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2"/>
          <w:szCs w:val="32"/>
          <w:highlight w:val="none"/>
        </w:rPr>
      </w:pPr>
      <w:r>
        <w:rPr>
          <w:b/>
          <w:color w:val="auto"/>
          <w:sz w:val="32"/>
          <w:szCs w:val="32"/>
          <w:highlight w:val="none"/>
        </w:rPr>
      </w:r>
      <w:r/>
    </w:p>
    <w:p>
      <w:pPr>
        <w:pStyle w:val="757"/>
        <w:ind w:firstLine="0"/>
        <w:jc w:val="center"/>
        <w:spacing w:line="240" w:lineRule="auto"/>
        <w:rPr>
          <w:rFonts w:ascii="方正小标宋简体" w:eastAsia="方正小标宋简体"/>
          <w:bCs/>
          <w:color w:val="auto"/>
          <w:sz w:val="52"/>
          <w:szCs w:val="52"/>
          <w:highlight w:val="none"/>
        </w:rPr>
      </w:pPr>
      <w:r>
        <w:rPr>
          <w:rFonts w:ascii="方正小标宋简体" w:eastAsia="方正小标宋简体"/>
          <w:bCs/>
          <w:color w:val="auto"/>
          <w:sz w:val="52"/>
          <w:szCs w:val="52"/>
          <w:highlight w:val="none"/>
        </w:rPr>
      </w:r>
      <w:r/>
    </w:p>
    <w:p>
      <w:pPr>
        <w:pStyle w:val="757"/>
        <w:ind w:firstLine="0"/>
        <w:jc w:val="center"/>
        <w:spacing w:line="240" w:lineRule="auto"/>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如皋市政府采购</w:t>
      </w:r>
      <w:bookmarkStart w:id="58" w:name="_GoBack"/>
      <w:r/>
      <w:bookmarkEnd w:id="58"/>
      <w:r>
        <w:rPr>
          <w:rFonts w:hint="eastAsia" w:ascii="方正小标宋简体" w:eastAsia="方正小标宋简体"/>
          <w:bCs/>
          <w:color w:val="auto"/>
          <w:sz w:val="52"/>
          <w:szCs w:val="52"/>
          <w:highlight w:val="none"/>
        </w:rPr>
        <w:t xml:space="preserve">竞争性磋商文件</w:t>
      </w:r>
      <w:r/>
    </w:p>
    <w:p>
      <w:pPr>
        <w:pStyle w:val="757"/>
        <w:ind w:firstLine="0"/>
        <w:spacing w:line="240" w:lineRule="auto"/>
        <w:rPr>
          <w:b/>
          <w:bCs/>
          <w:color w:val="auto"/>
          <w:sz w:val="32"/>
          <w:highlight w:val="none"/>
        </w:rPr>
      </w:pPr>
      <w:r>
        <w:rPr>
          <w:b/>
          <w:bCs/>
          <w:color w:val="auto"/>
          <w:sz w:val="32"/>
          <w:highlight w:val="none"/>
        </w:rPr>
      </w:r>
      <w:r/>
    </w:p>
    <w:p>
      <w:pPr>
        <w:pStyle w:val="757"/>
        <w:ind w:firstLine="0"/>
        <w:spacing w:line="240" w:lineRule="auto"/>
        <w:rPr>
          <w:b/>
          <w:bCs/>
          <w:color w:val="auto"/>
          <w:sz w:val="32"/>
          <w:highlight w:val="none"/>
        </w:rPr>
      </w:pPr>
      <w:r>
        <w:rPr>
          <w:b/>
          <w:bCs/>
          <w:color w:val="auto"/>
          <w:sz w:val="32"/>
          <w:highlight w:val="none"/>
        </w:rPr>
      </w:r>
      <w:r/>
    </w:p>
    <w:p>
      <w:pPr>
        <w:pStyle w:val="757"/>
        <w:ind w:firstLine="0"/>
        <w:jc w:val="both"/>
        <w:spacing w:line="240" w:lineRule="auto"/>
        <w:rPr>
          <w:b/>
          <w:bCs/>
          <w:color w:val="auto"/>
          <w:sz w:val="32"/>
          <w:highlight w:val="none"/>
        </w:rPr>
      </w:pPr>
      <w:r>
        <w:rPr>
          <w:b/>
          <w:bCs/>
          <w:color w:val="auto"/>
          <w:sz w:val="32"/>
          <w:highlight w:val="none"/>
        </w:rPr>
      </w:r>
      <w:r/>
    </w:p>
    <w:p>
      <w:pPr>
        <w:pStyle w:val="757"/>
        <w:ind w:firstLine="0"/>
        <w:jc w:val="center"/>
        <w:spacing w:line="240" w:lineRule="auto"/>
        <w:rPr>
          <w:b/>
          <w:bCs/>
          <w:color w:val="auto"/>
          <w:sz w:val="32"/>
          <w:highlight w:val="none"/>
        </w:rPr>
      </w:pPr>
      <w:r>
        <w:rPr>
          <w:b/>
          <w:bCs/>
          <w:color w:val="auto"/>
          <w:sz w:val="32"/>
          <w:highlight w:val="none"/>
        </w:rPr>
        <w:t xml:space="preserve">项目名称：</w:t>
      </w:r>
      <w:r>
        <w:rPr>
          <w:rFonts w:hint="eastAsia"/>
          <w:b/>
          <w:bCs/>
          <w:color w:val="auto"/>
          <w:sz w:val="32"/>
          <w:highlight w:val="none"/>
        </w:rPr>
        <w:t xml:space="preserve">如皋市高级技工学校智能化工程</w:t>
      </w:r>
      <w:r/>
    </w:p>
    <w:p>
      <w:pPr>
        <w:pStyle w:val="757"/>
        <w:ind w:firstLine="0"/>
        <w:jc w:val="center"/>
        <w:spacing w:line="240" w:lineRule="auto"/>
        <w:rPr>
          <w:b/>
          <w:bCs/>
          <w:color w:val="auto"/>
          <w:sz w:val="32"/>
          <w:highlight w:val="none"/>
        </w:rPr>
      </w:pPr>
      <w:r>
        <w:rPr>
          <w:rFonts w:hint="eastAsia"/>
          <w:b/>
          <w:bCs/>
          <w:color w:val="auto"/>
          <w:sz w:val="32"/>
          <w:highlight w:val="none"/>
        </w:rPr>
        <w:t xml:space="preserve">项目编号：JSZC-320682-NTZJ-C2026-0017</w:t>
      </w:r>
      <w:r/>
    </w:p>
    <w:p>
      <w:pPr>
        <w:pStyle w:val="757"/>
        <w:ind w:firstLine="0"/>
        <w:jc w:val="center"/>
        <w:spacing w:line="240" w:lineRule="auto"/>
        <w:rPr>
          <w:b/>
          <w:bCs/>
          <w:color w:val="auto"/>
          <w:sz w:val="32"/>
          <w:highlight w:val="none"/>
        </w:rPr>
      </w:pPr>
      <w:r>
        <w:rPr>
          <w:b/>
          <w:bCs/>
          <w:color w:val="auto"/>
          <w:sz w:val="32"/>
          <w:highlight w:val="none"/>
        </w:rPr>
      </w:r>
      <w:r/>
    </w:p>
    <w:p>
      <w:pPr>
        <w:pStyle w:val="757"/>
        <w:ind w:firstLine="0"/>
        <w:jc w:val="center"/>
        <w:spacing w:line="240" w:lineRule="auto"/>
        <w:rPr>
          <w:b/>
          <w:bCs/>
          <w:color w:val="auto"/>
          <w:sz w:val="32"/>
          <w:highlight w:val="none"/>
        </w:rPr>
      </w:pPr>
      <w:r>
        <w:rPr>
          <w:b/>
          <w:bCs/>
          <w:color w:val="auto"/>
          <w:sz w:val="32"/>
          <w:highlight w:val="none"/>
        </w:rPr>
      </w:r>
      <w:r/>
    </w:p>
    <w:p>
      <w:pPr>
        <w:pStyle w:val="757"/>
        <w:ind w:firstLine="0"/>
        <w:jc w:val="center"/>
        <w:spacing w:line="240" w:lineRule="auto"/>
        <w:rPr>
          <w:b/>
          <w:bCs/>
          <w:color w:val="auto"/>
          <w:sz w:val="32"/>
          <w:highlight w:val="none"/>
        </w:rPr>
      </w:pPr>
      <w:r>
        <w:rPr>
          <w:b/>
          <w:bCs/>
          <w:color w:val="auto"/>
          <w:sz w:val="32"/>
          <w:highlight w:val="none"/>
        </w:rPr>
      </w:r>
      <w:r/>
    </w:p>
    <w:p>
      <w:pPr>
        <w:pStyle w:val="757"/>
        <w:ind w:firstLine="0"/>
        <w:jc w:val="center"/>
        <w:spacing w:line="240" w:lineRule="auto"/>
        <w:rPr>
          <w:b/>
          <w:bCs/>
          <w:color w:val="auto"/>
          <w:sz w:val="32"/>
          <w:highlight w:val="none"/>
        </w:rPr>
      </w:pPr>
      <w:r>
        <w:rPr>
          <w:b/>
          <w:bCs/>
          <w:color w:val="auto"/>
          <w:sz w:val="32"/>
          <w:highlight w:val="none"/>
        </w:rPr>
      </w:r>
      <w:r/>
    </w:p>
    <w:p>
      <w:pPr>
        <w:pStyle w:val="757"/>
        <w:ind w:firstLine="0"/>
        <w:jc w:val="center"/>
        <w:spacing w:line="240" w:lineRule="auto"/>
        <w:rPr>
          <w:b/>
          <w:bCs/>
          <w:color w:val="auto"/>
          <w:sz w:val="32"/>
          <w:highlight w:val="none"/>
        </w:rPr>
      </w:pPr>
      <w:r>
        <w:rPr>
          <w:b/>
          <w:bCs/>
          <w:color w:val="auto"/>
          <w:sz w:val="32"/>
          <w:highlight w:val="none"/>
        </w:rPr>
      </w:r>
      <w:r/>
    </w:p>
    <w:p>
      <w:pPr>
        <w:pStyle w:val="757"/>
        <w:ind w:firstLine="0"/>
        <w:jc w:val="center"/>
        <w:spacing w:line="240" w:lineRule="auto"/>
        <w:rPr>
          <w:b/>
          <w:bCs/>
          <w:color w:val="auto"/>
          <w:sz w:val="32"/>
          <w:highlight w:val="none"/>
        </w:rPr>
      </w:pPr>
      <w:r>
        <w:rPr>
          <w:b/>
          <w:bCs/>
          <w:color w:val="auto"/>
          <w:sz w:val="32"/>
          <w:highlight w:val="none"/>
        </w:rPr>
      </w:r>
      <w:r/>
    </w:p>
    <w:p>
      <w:pPr>
        <w:pStyle w:val="757"/>
        <w:ind w:firstLine="851"/>
        <w:spacing w:line="240" w:lineRule="auto"/>
        <w:rPr>
          <w:b/>
          <w:bCs/>
          <w:color w:val="auto"/>
          <w:sz w:val="32"/>
          <w:highlight w:val="none"/>
          <w:u w:val="single"/>
        </w:rPr>
      </w:pPr>
      <w:r>
        <w:rPr>
          <w:rFonts w:hint="eastAsia"/>
          <w:b/>
          <w:bCs/>
          <w:color w:val="auto"/>
          <w:sz w:val="32"/>
          <w:highlight w:val="none"/>
        </w:rPr>
        <w:t xml:space="preserve">采购人名称：如皋市高级技工学校</w:t>
      </w:r>
      <w:r/>
    </w:p>
    <w:p>
      <w:pPr>
        <w:pStyle w:val="757"/>
        <w:ind w:firstLine="851"/>
        <w:spacing w:line="240" w:lineRule="auto"/>
        <w:rPr>
          <w:b/>
          <w:bCs/>
          <w:color w:val="auto"/>
          <w:sz w:val="32"/>
          <w:highlight w:val="none"/>
          <w:u w:val="single"/>
        </w:rPr>
      </w:pPr>
      <w:r>
        <w:rPr>
          <w:rFonts w:hint="eastAsia"/>
          <w:b/>
          <w:bCs/>
          <w:color w:val="auto"/>
          <w:sz w:val="32"/>
          <w:highlight w:val="none"/>
        </w:rPr>
        <w:t xml:space="preserve">采购代理机构名称：南通中江工程项目管理有限公司</w:t>
      </w:r>
      <w:r/>
    </w:p>
    <w:p>
      <w:pPr>
        <w:pStyle w:val="757"/>
        <w:ind w:firstLine="0"/>
        <w:jc w:val="center"/>
        <w:spacing w:line="240" w:lineRule="auto"/>
        <w:rPr>
          <w:b/>
          <w:bCs/>
          <w:color w:val="auto"/>
          <w:sz w:val="32"/>
          <w:highlight w:val="none"/>
        </w:rPr>
        <w:sectPr>
          <w:headerReference w:type="default" r:id="rId9"/>
          <w:footnotePr/>
          <w:endnotePr/>
          <w:type w:val="nextPage"/>
          <w:pgSz w:w="11906" w:h="16838" w:orient="portrait"/>
          <w:pgMar w:top="1418" w:right="1134" w:bottom="1134" w:left="1418" w:header="851" w:footer="992" w:gutter="0"/>
          <w:cols w:num="1" w:sep="0" w:space="720" w:equalWidth="1"/>
          <w:docGrid w:linePitch="360"/>
        </w:sectPr>
      </w:pPr>
      <w:r>
        <w:rPr>
          <w:rFonts w:hint="eastAsia"/>
          <w:b/>
          <w:bCs/>
          <w:color w:val="auto"/>
          <w:sz w:val="32"/>
          <w:highlight w:val="none"/>
        </w:rPr>
        <w:t xml:space="preserve">2026年08月</w:t>
      </w:r>
      <w:r>
        <w:rPr>
          <w:rFonts w:hint="eastAsia"/>
          <w:b/>
          <w:bCs/>
          <w:color w:val="auto"/>
          <w:sz w:val="32"/>
          <w:highlight w:val="none"/>
          <w:lang w:val="en-US" w:eastAsia="zh-CN"/>
        </w:rPr>
        <w:t xml:space="preserve">20</w:t>
      </w:r>
      <w:r>
        <w:rPr>
          <w:rFonts w:hint="eastAsia"/>
          <w:b/>
          <w:bCs/>
          <w:color w:val="auto"/>
          <w:sz w:val="32"/>
          <w:highlight w:val="none"/>
        </w:rPr>
        <w:t xml:space="preserve">日</w:t>
      </w:r>
      <w:r/>
    </w:p>
    <w:p>
      <w:pPr>
        <w:pStyle w:val="757"/>
        <w:ind w:firstLine="0"/>
        <w:jc w:val="center"/>
        <w:spacing w:line="240" w:lineRule="auto"/>
        <w:rPr>
          <w:rFonts w:ascii="方正小标宋简体" w:eastAsia="方正小标宋简体"/>
          <w:bCs/>
          <w:color w:val="auto"/>
          <w:sz w:val="32"/>
          <w:szCs w:val="32"/>
          <w:highlight w:val="none"/>
        </w:rPr>
        <w:outlineLvl w:val="0"/>
      </w:pPr>
      <w:r>
        <w:rPr>
          <w:rFonts w:hint="eastAsia" w:ascii="方正小标宋简体" w:eastAsia="方正小标宋简体"/>
          <w:bCs/>
          <w:color w:val="auto"/>
          <w:sz w:val="32"/>
          <w:szCs w:val="32"/>
          <w:highlight w:val="none"/>
        </w:rPr>
        <w:t xml:space="preserve">第1章 竞争性磋商公告</w:t>
      </w:r>
      <w:r/>
    </w:p>
    <w:p>
      <w:pPr>
        <w:pStyle w:val="730"/>
        <w:ind w:firstLine="560"/>
        <w:spacing w:after="0" w:line="500" w:lineRule="exact"/>
        <w:rPr>
          <w:rFonts w:ascii="黑体" w:hAnsi="黑体" w:eastAsia="黑体"/>
          <w:color w:val="auto"/>
          <w:sz w:val="28"/>
          <w:szCs w:val="28"/>
          <w:highlight w:val="none"/>
        </w:rPr>
        <w:outlineLvl w:val="1"/>
      </w:pPr>
      <w:r/>
      <w:bookmarkStart w:id="0" w:name="_Toc28359012"/>
      <w:r/>
      <w:bookmarkStart w:id="1" w:name="_Toc28359089"/>
      <w:r/>
      <w:bookmarkStart w:id="2" w:name="_Toc35393629"/>
      <w:r/>
      <w:bookmarkStart w:id="3" w:name="_Toc35393798"/>
      <w:r/>
      <w:bookmarkStart w:id="4" w:name="OLE_LINK2"/>
      <w:r>
        <w:rPr>
          <w:rFonts w:hint="eastAsia" w:ascii="黑体" w:hAnsi="黑体" w:eastAsia="黑体"/>
          <w:color w:val="auto"/>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1.项目名称：如皋市高级技工学校智能化工程</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2.项目编号：JSZC-320682-NTZJ-C2026-0017</w:t>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3.预算金额：人民币155.846895万元</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4.最高限价：人民币155.846895万元，报价超过最高限价视为无效响应。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5.采购需求：本项目为如皋市高级技工学校智能化工程，详见第3章。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6.合同履行期限：自合同签订之日起60个日历天内完成，具体时间以采购人通知为准。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8.本项目是否专门面向中小企业采购：是。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9.项目类型：工程。</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10.项目所属行业：</w:t>
      </w:r>
      <w:r>
        <w:rPr>
          <w:rFonts w:ascii="仿宋" w:hAnsi="仿宋" w:eastAsia="仿宋"/>
          <w:color w:val="auto"/>
          <w:sz w:val="28"/>
          <w:szCs w:val="28"/>
          <w:highlight w:val="none"/>
        </w:rPr>
        <w:t xml:space="preserve">建筑业</w:t>
      </w:r>
      <w:r>
        <w:rPr>
          <w:rFonts w:hint="eastAsia" w:ascii="仿宋" w:hAnsi="仿宋" w:eastAsia="仿宋"/>
          <w:color w:val="auto"/>
          <w:sz w:val="28"/>
          <w:szCs w:val="28"/>
          <w:highlight w:val="none"/>
        </w:rPr>
        <w:t xml:space="preserve">。</w:t>
      </w:r>
      <w:r/>
    </w:p>
    <w:p>
      <w:pPr>
        <w:pStyle w:val="730"/>
        <w:ind w:firstLine="560"/>
        <w:spacing w:after="0" w:line="500" w:lineRule="exact"/>
        <w:rPr>
          <w:rFonts w:ascii="黑体" w:hAnsi="黑体" w:eastAsia="黑体"/>
          <w:color w:val="auto"/>
          <w:sz w:val="28"/>
          <w:szCs w:val="28"/>
          <w:highlight w:val="none"/>
        </w:rPr>
        <w:outlineLvl w:val="1"/>
      </w:pPr>
      <w:r/>
      <w:bookmarkStart w:id="5" w:name="_Toc35393799"/>
      <w:r/>
      <w:bookmarkStart w:id="6" w:name="_Toc28359090"/>
      <w:r/>
      <w:bookmarkStart w:id="7" w:name="_Toc28359013"/>
      <w:r/>
      <w:bookmarkStart w:id="8" w:name="_Toc35393630"/>
      <w:r>
        <w:rPr>
          <w:rFonts w:hint="eastAsia" w:ascii="黑体" w:hAnsi="黑体" w:eastAsia="黑体"/>
          <w:color w:val="auto"/>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73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9" w:name="_Toc28359014"/>
      <w:r/>
      <w:bookmarkStart w:id="10" w:name="_Toc28359091"/>
      <w:r>
        <w:rPr>
          <w:rFonts w:hint="eastAsia" w:ascii="仿宋" w:hAnsi="仿宋" w:eastAsia="仿宋" w:cs="Times New Roman"/>
          <w:color w:val="auto"/>
          <w:sz w:val="28"/>
          <w:szCs w:val="28"/>
          <w:highlight w:val="none"/>
        </w:rPr>
        <w:t xml:space="preserve">（1）具有独立承担民事责任的能力;</w:t>
      </w:r>
      <w:r/>
    </w:p>
    <w:p>
      <w:pPr>
        <w:pStyle w:val="73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73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73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73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738"/>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738"/>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1）提供《中小企业声明函》、《残疾人福利性单位声明函》或监狱和省级以上监狱管理局、戒毒管理局（含新疆生产建设兵团）出具的属于监狱企业的证明文件。</w:t>
      </w:r>
      <w:r>
        <w:rPr>
          <w:rFonts w:hint="eastAsia" w:ascii="仿宋" w:hAnsi="仿宋" w:eastAsia="仿宋" w:cs="Times New Roman"/>
          <w:b/>
          <w:bCs/>
          <w:color w:val="auto"/>
          <w:sz w:val="28"/>
          <w:szCs w:val="28"/>
          <w:highlight w:val="none"/>
        </w:rPr>
        <w:t xml:space="preserve">对于专门面向中小企业采购的项目，不提供的，按无效响应处理</w:t>
      </w:r>
      <w:r>
        <w:rPr>
          <w:rFonts w:hint="eastAsia" w:ascii="仿宋" w:hAnsi="仿宋" w:eastAsia="仿宋" w:cs="Times New Roman"/>
          <w:color w:val="auto"/>
          <w:sz w:val="28"/>
          <w:szCs w:val="28"/>
          <w:highlight w:val="none"/>
        </w:rPr>
        <w:t xml:space="preserve">。</w:t>
      </w:r>
      <w:r/>
    </w:p>
    <w:p>
      <w:pPr>
        <w:pStyle w:val="738"/>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rPr>
        <w:t xml:space="preserve">响应供应商须提供承诺函，格式自拟。不提供视为无效响应。</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pStyle w:val="738"/>
        <w:ind w:firstLine="567"/>
        <w:spacing w:before="0" w:beforeAutospacing="0" w:after="0" w:afterAutospacing="0" w:line="500" w:lineRule="exact"/>
        <w:shd w:val="clear" w:color="auto" w:fill="ffffff"/>
        <w:widowControl w:val="o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（1）响应供应商须具备电子与智能化工程专业承包贰级及以上资质，</w:t>
      </w:r>
      <w:r>
        <w:rPr>
          <w:rFonts w:hint="eastAsia" w:ascii="仿宋" w:hAnsi="仿宋" w:eastAsia="仿宋"/>
          <w:b/>
          <w:bCs/>
          <w:color w:val="auto"/>
          <w:sz w:val="28"/>
          <w:szCs w:val="28"/>
          <w:highlight w:val="none"/>
        </w:rPr>
        <w:t xml:space="preserve">并具有有效的企业安全生产许可证，响应文件中须提供相关有效证书。</w:t>
      </w:r>
      <w:r/>
    </w:p>
    <w:p>
      <w:pPr>
        <w:pStyle w:val="738"/>
        <w:ind w:firstLine="567"/>
        <w:spacing w:before="0" w:beforeAutospacing="0" w:after="0" w:afterAutospacing="0" w:line="500" w:lineRule="exact"/>
        <w:shd w:val="clear" w:color="auto" w:fill="ffff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（2）响应供应商拟选派项目负责人须具备机电工程专业注册建造师贰级及以上执业资格，并具备有效的安全生产考核合格证书（B证），</w:t>
      </w:r>
      <w:r>
        <w:rPr>
          <w:rFonts w:hint="eastAsia" w:ascii="仿宋" w:hAnsi="仿宋" w:eastAsia="仿宋" w:cs="Times New Roman"/>
          <w:b/>
          <w:bCs/>
          <w:color w:val="auto"/>
          <w:sz w:val="28"/>
          <w:szCs w:val="28"/>
          <w:highlight w:val="none"/>
        </w:rPr>
        <w:t xml:space="preserve">且必须为响应供应商单位正式员工，</w:t>
      </w:r>
      <w:r>
        <w:rPr>
          <w:rFonts w:hint="eastAsia" w:ascii="仿宋" w:hAnsi="仿宋" w:eastAsia="仿宋"/>
          <w:b/>
          <w:bCs/>
          <w:color w:val="auto"/>
          <w:sz w:val="28"/>
          <w:szCs w:val="28"/>
          <w:highlight w:val="none"/>
        </w:rPr>
        <w:t xml:space="preserve">须提供相关证书复印件以及</w:t>
      </w:r>
      <w:r>
        <w:rPr>
          <w:rFonts w:hint="eastAsia" w:ascii="仿宋" w:hAnsi="仿宋" w:eastAsia="仿宋"/>
          <w:b/>
          <w:bCs/>
          <w:iCs/>
          <w:color w:val="auto"/>
          <w:sz w:val="28"/>
          <w:szCs w:val="28"/>
          <w:highlight w:val="none"/>
        </w:rPr>
        <w:t xml:space="preserve">提供响应文件提交截止日前最近1个月响应供应商为其缴纳社保的证明。新成立企业距响应文件提交截止日期不足30日的，可不提供缴纳社保的证明（以新办企业营业执照发放日期为准）。</w:t>
      </w:r>
      <w:r/>
    </w:p>
    <w:p>
      <w:pPr>
        <w:pStyle w:val="738"/>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color w:val="auto"/>
          <w:sz w:val="28"/>
          <w:szCs w:val="28"/>
          <w:highlight w:val="none"/>
        </w:rPr>
        <w:t xml:space="preserve">授权委托书。</w:t>
      </w:r>
      <w:r/>
    </w:p>
    <w:p>
      <w:pPr>
        <w:ind w:firstLine="560"/>
        <w:spacing w:line="500" w:lineRule="exact"/>
        <w:rPr>
          <w:rFonts w:ascii="仿宋" w:hAnsi="仿宋" w:eastAsia="仿宋"/>
          <w:i/>
          <w:iCs/>
          <w:color w:val="auto"/>
          <w:sz w:val="28"/>
          <w:szCs w:val="28"/>
          <w:highlight w:val="none"/>
          <w:u w:val="single"/>
        </w:rPr>
      </w:pPr>
      <w:r/>
      <w:bookmarkStart w:id="11" w:name="_Toc35393631"/>
      <w:r/>
      <w:bookmarkStart w:id="12" w:name="_Toc35393800"/>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730"/>
        <w:ind w:firstLine="560"/>
        <w:spacing w:after="0"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时间：公告发布之日起5个工作日内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s="仿宋"/>
          <w:color w:val="auto"/>
          <w:sz w:val="30"/>
          <w:highlight w:val="none"/>
        </w:rPr>
        <w:t xml:space="preserve">本项目采用“苏采云”系统网上注册登记方式，具体详见《江苏省政府采购管理交易系统（苏采云）投标人操作手册》。</w:t>
      </w:r>
      <w:r/>
    </w:p>
    <w:p>
      <w:pPr>
        <w:pStyle w:val="730"/>
        <w:ind w:firstLine="560"/>
        <w:spacing w:after="0" w:line="500" w:lineRule="exact"/>
        <w:rPr>
          <w:rFonts w:ascii="黑体" w:hAnsi="黑体" w:eastAsia="黑体"/>
          <w:color w:val="auto"/>
          <w:sz w:val="28"/>
          <w:szCs w:val="28"/>
          <w:highlight w:val="none"/>
        </w:rPr>
        <w:outlineLvl w:val="1"/>
      </w:pPr>
      <w:r/>
      <w:bookmarkStart w:id="13" w:name="_Toc35393801"/>
      <w:r/>
      <w:bookmarkStart w:id="14" w:name="_Toc28359092"/>
      <w:r/>
      <w:bookmarkStart w:id="15" w:name="_Toc35393632"/>
      <w:r/>
      <w:bookmarkStart w:id="16" w:name="_Toc28359015"/>
      <w:r>
        <w:rPr>
          <w:rFonts w:hint="eastAsia" w:ascii="黑体" w:hAnsi="黑体" w:eastAsia="黑体"/>
          <w:color w:val="auto"/>
          <w:sz w:val="28"/>
          <w:szCs w:val="28"/>
          <w:highlight w:val="none"/>
        </w:rPr>
        <w:t xml:space="preserve">四、</w:t>
      </w:r>
      <w:bookmarkEnd w:id="13"/>
      <w:r/>
      <w:bookmarkEnd w:id="14"/>
      <w:r/>
      <w:bookmarkEnd w:id="15"/>
      <w:r/>
      <w:bookmarkEnd w:id="16"/>
      <w:r>
        <w:rPr>
          <w:rFonts w:hint="eastAsia" w:ascii="黑体" w:hAnsi="黑体" w:eastAsia="黑体"/>
          <w:color w:val="auto"/>
          <w:sz w:val="28"/>
          <w:szCs w:val="28"/>
          <w:highlight w:val="none"/>
        </w:rPr>
        <w:t xml:space="preserve">竞争性磋商响应文件提交和开启</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截止时间：2026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04</w:t>
      </w:r>
      <w:r>
        <w:rPr>
          <w:rFonts w:hint="eastAsia" w:ascii="仿宋" w:hAnsi="仿宋" w:eastAsia="仿宋"/>
          <w:bCs/>
          <w:color w:val="auto"/>
          <w:sz w:val="28"/>
          <w:szCs w:val="28"/>
          <w:highlight w:val="none"/>
        </w:rPr>
        <w:t xml:space="preserve">日09点00分（北京时间）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04</w:t>
      </w:r>
      <w:r>
        <w:rPr>
          <w:rFonts w:hint="eastAsia" w:ascii="仿宋" w:hAnsi="仿宋" w:eastAsia="仿宋"/>
          <w:bCs/>
          <w:color w:val="auto"/>
          <w:sz w:val="28"/>
          <w:szCs w:val="28"/>
          <w:highlight w:val="none"/>
        </w:rPr>
        <w:t xml:space="preserve">日09点00分（北京时间）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730"/>
        <w:ind w:firstLine="560"/>
        <w:spacing w:after="0" w:line="500" w:lineRule="exact"/>
        <w:rPr>
          <w:rFonts w:ascii="黑体" w:hAnsi="黑体" w:eastAsia="黑体"/>
          <w:color w:val="auto"/>
          <w:sz w:val="28"/>
          <w:szCs w:val="28"/>
          <w:highlight w:val="none"/>
        </w:rPr>
        <w:outlineLvl w:val="1"/>
      </w:pPr>
      <w:r/>
      <w:bookmarkStart w:id="17" w:name="_Toc28359094"/>
      <w:r/>
      <w:bookmarkStart w:id="18" w:name="_Toc35393634"/>
      <w:r/>
      <w:bookmarkStart w:id="19" w:name="_Toc28359017"/>
      <w:r/>
      <w:bookmarkStart w:id="20" w:name="_Toc35393803"/>
      <w:r>
        <w:rPr>
          <w:rFonts w:hint="eastAsia" w:ascii="黑体" w:hAnsi="黑体" w:eastAsia="黑体"/>
          <w:color w:val="auto"/>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730"/>
        <w:ind w:firstLine="560"/>
        <w:spacing w:after="0" w:line="500" w:lineRule="exact"/>
        <w:rPr>
          <w:rFonts w:ascii="黑体" w:hAnsi="黑体" w:eastAsia="黑体"/>
          <w:color w:val="auto"/>
          <w:sz w:val="28"/>
          <w:szCs w:val="28"/>
          <w:highlight w:val="none"/>
        </w:rPr>
        <w:outlineLvl w:val="1"/>
      </w:pPr>
      <w:r/>
      <w:bookmarkStart w:id="21" w:name="_Toc35393635"/>
      <w:r/>
      <w:bookmarkStart w:id="22" w:name="_Toc35393804"/>
      <w:r>
        <w:rPr>
          <w:rFonts w:hint="eastAsia" w:ascii="黑体" w:hAnsi="黑体" w:eastAsia="黑体"/>
          <w:color w:val="auto"/>
          <w:sz w:val="28"/>
          <w:szCs w:val="28"/>
          <w:highlight w:val="none"/>
        </w:rPr>
        <w:t xml:space="preserve">六、其他补充事宜</w:t>
      </w:r>
      <w:bookmarkEnd w:id="21"/>
      <w:r/>
      <w:bookmarkEnd w:id="22"/>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743"/>
          <w:rFonts w:ascii="仿宋" w:hAnsi="仿宋" w:eastAsia="仿宋" w:cs="宋体"/>
          <w:bCs/>
          <w:color w:val="auto"/>
          <w:sz w:val="28"/>
          <w:szCs w:val="28"/>
          <w:highlight w:val="none"/>
        </w:rPr>
        <w:t xml:space="preserve">http://jsxcmm.com/help/gys.html</w:t>
      </w:r>
      <w:r>
        <w:rPr>
          <w:rStyle w:val="743"/>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color w:val="auto"/>
          <w:sz w:val="28"/>
          <w:szCs w:val="28"/>
          <w:highlight w:val="none"/>
        </w:rPr>
      </w:pPr>
      <w:r>
        <w:rPr>
          <w:rFonts w:hint="eastAsia" w:ascii="仿宋" w:hAnsi="仿宋" w:eastAsia="仿宋" w:cs="宋体"/>
          <w:color w:val="auto"/>
          <w:sz w:val="28"/>
          <w:szCs w:val="28"/>
          <w:highlight w:val="none"/>
        </w:rPr>
        <w:t xml:space="preserve">2. 磋商</w:t>
      </w:r>
      <w:r>
        <w:rPr>
          <w:rFonts w:ascii="仿宋" w:hAnsi="仿宋" w:eastAsia="仿宋" w:cs="宋体"/>
          <w:color w:val="auto"/>
          <w:sz w:val="28"/>
          <w:szCs w:val="28"/>
          <w:highlight w:val="none"/>
        </w:rPr>
        <w:t xml:space="preserve">保证金：免收</w:t>
      </w:r>
      <w:r>
        <w:rPr>
          <w:rFonts w:hint="eastAsia" w:ascii="仿宋" w:hAnsi="仿宋" w:eastAsia="仿宋" w:cs="宋体"/>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3. 履约保证金：</w:t>
      </w:r>
      <w:r>
        <w:rPr>
          <w:rFonts w:hint="eastAsia" w:ascii="仿宋" w:hAnsi="仿宋" w:eastAsia="仿宋"/>
          <w:color w:val="auto"/>
          <w:sz w:val="28"/>
          <w:szCs w:val="28"/>
          <w:highlight w:val="none"/>
        </w:rPr>
        <w:t xml:space="preserve">中标（成交）结果公告期满后7个工作日内，成交供应商按照成交金额10%向采购单位缴纳履约保证金,成交供应商可以选择以转账、支票、汇票、本票、银行保函(见索即付)、保险保函(见索即付)等非现金形式缴纳履约保证金。履约验收完毕后，采购人在5个工作日内退还履约保证金。成交人未在规定时间内缴纳履约保证金将视为成交单位放弃成交资格。</w:t>
      </w:r>
      <w:r/>
    </w:p>
    <w:p>
      <w:pPr>
        <w:ind w:firstLine="560"/>
        <w:jc w:val="left"/>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履约保证金收款单位名称为：如皋市财政局</w:t>
      </w:r>
      <w:r/>
    </w:p>
    <w:p>
      <w:pPr>
        <w:ind w:firstLine="560"/>
        <w:jc w:val="left"/>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开户行：如皋建行营业部，账号：32001647236051117660</w:t>
      </w:r>
      <w:r/>
    </w:p>
    <w:p>
      <w:pPr>
        <w:ind w:firstLine="560"/>
        <w:jc w:val="left"/>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联系电话：0513-87651173</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w:t>
      </w:r>
      <w:r>
        <w:rPr>
          <w:rFonts w:hint="eastAsia" w:ascii="仿宋" w:hAnsi="仿宋" w:eastAsia="仿宋" w:cs="宋体"/>
          <w:color w:val="auto"/>
          <w:sz w:val="28"/>
          <w:szCs w:val="28"/>
          <w:highlight w:val="none"/>
        </w:rPr>
        <w:t xml:space="preserve">本项目</w:t>
      </w:r>
      <w:r>
        <w:rPr>
          <w:rFonts w:hint="eastAsia" w:ascii="仿宋" w:hAnsi="仿宋" w:eastAsia="仿宋"/>
          <w:color w:val="auto"/>
          <w:sz w:val="28"/>
          <w:szCs w:val="28"/>
          <w:highlight w:val="none"/>
        </w:rPr>
        <w:t xml:space="preserve">为了保证响应供应商能全面了解本项目实际情况，避免盲目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 xml:space="preserve">方案编制失误</w:t>
      </w:r>
      <w:r>
        <w:rPr>
          <w:rFonts w:hint="eastAsia" w:ascii="仿宋" w:hAnsi="仿宋" w:eastAsia="仿宋"/>
          <w:color w:val="auto"/>
          <w:sz w:val="28"/>
          <w:szCs w:val="28"/>
          <w:highlight w:val="none"/>
        </w:rPr>
        <w:t xml:space="preserve">或响应报价失误均由响应供应商自行承担；</w:t>
      </w:r>
      <w:r>
        <w:rPr>
          <w:rFonts w:ascii="仿宋" w:hAnsi="仿宋" w:eastAsia="仿宋"/>
          <w:color w:val="auto"/>
          <w:sz w:val="28"/>
          <w:szCs w:val="28"/>
          <w:highlight w:val="none"/>
        </w:rPr>
        <w:t xml:space="preserve">因</w:t>
      </w: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自身不能参加现场勘察或现场踏勘不全面的，不得因此提出修改报价或履约过程中提出索赔等要求。</w:t>
      </w:r>
      <w:r/>
    </w:p>
    <w:p>
      <w:pPr>
        <w:pStyle w:val="730"/>
        <w:ind w:firstLine="560"/>
        <w:spacing w:after="0" w:line="500" w:lineRule="exact"/>
        <w:rPr>
          <w:rFonts w:ascii="黑体" w:hAnsi="黑体" w:eastAsia="黑体"/>
          <w:color w:val="auto"/>
          <w:sz w:val="28"/>
          <w:szCs w:val="28"/>
          <w:highlight w:val="none"/>
        </w:rPr>
        <w:outlineLvl w:val="1"/>
      </w:pPr>
      <w:r/>
      <w:bookmarkStart w:id="23" w:name="_Toc35393805"/>
      <w:r/>
      <w:bookmarkStart w:id="24" w:name="_Toc28359095"/>
      <w:r/>
      <w:bookmarkStart w:id="25" w:name="_Toc28359018"/>
      <w:r/>
      <w:bookmarkStart w:id="26" w:name="_Toc35393636"/>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color w:val="auto"/>
          <w:sz w:val="28"/>
          <w:szCs w:val="28"/>
          <w:highlight w:val="none"/>
        </w:rPr>
      </w:pPr>
      <w:r/>
      <w:bookmarkStart w:id="27" w:name="_Toc28359096"/>
      <w:r/>
      <w:bookmarkStart w:id="28" w:name="_Toc35393637"/>
      <w:r/>
      <w:bookmarkStart w:id="29" w:name="_Toc28413"/>
      <w:r/>
      <w:bookmarkStart w:id="30" w:name="_Toc28359019"/>
      <w:r/>
      <w:bookmarkStart w:id="31" w:name="_Toc35393806"/>
      <w:r/>
      <w:bookmarkStart w:id="32" w:name="_Toc35393807"/>
      <w:r/>
      <w:bookmarkStart w:id="33" w:name="_Toc28359097"/>
      <w:r/>
      <w:bookmarkStart w:id="34" w:name="_Toc28359020"/>
      <w:r/>
      <w:bookmarkStart w:id="35" w:name="_Toc35393638"/>
      <w:r>
        <w:rPr>
          <w:rFonts w:hint="eastAsia" w:ascii="仿宋" w:hAnsi="仿宋" w:eastAsia="仿宋" w:cs="宋体"/>
          <w:color w:val="auto"/>
          <w:sz w:val="28"/>
          <w:szCs w:val="28"/>
          <w:highlight w:val="none"/>
        </w:rPr>
        <w:t xml:space="preserve">1. 采购人信息</w:t>
      </w:r>
      <w:bookmarkEnd w:id="27"/>
      <w:r/>
      <w:bookmarkEnd w:id="28"/>
      <w:r/>
      <w:bookmarkEnd w:id="29"/>
      <w:r/>
      <w:bookmarkEnd w:id="30"/>
      <w:r/>
      <w:bookmarkEnd w:id="31"/>
      <w:r/>
      <w:r/>
    </w:p>
    <w:p>
      <w:pPr>
        <w:ind w:firstLine="84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    称：如皋市高级技工学校</w:t>
      </w:r>
      <w:r/>
    </w:p>
    <w:p>
      <w:pPr>
        <w:ind w:firstLine="84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rPr>
          <w:color w:val="auto"/>
          <w:highlight w:val="none"/>
        </w:rPr>
        <w:fldChar w:fldCharType="begin"/>
      </w:r>
      <w:r>
        <w:rPr>
          <w:color w:val="auto"/>
          <w:highlight w:val="none"/>
        </w:rPr>
        <w:instrText xml:space="preserve"> HYPERLINK "https://www.bangboer.net/a11" \t "https://www.bangboer.net/news/_blank" </w:instrText>
      </w:r>
      <w:r>
        <w:rPr>
          <w:color w:val="auto"/>
          <w:highlight w:val="none"/>
        </w:rPr>
        <w:fldChar w:fldCharType="separate"/>
      </w:r>
      <w:r>
        <w:rPr>
          <w:rFonts w:ascii="仿宋" w:hAnsi="仿宋" w:eastAsia="仿宋"/>
          <w:color w:val="auto"/>
          <w:sz w:val="28"/>
          <w:szCs w:val="28"/>
          <w:highlight w:val="none"/>
        </w:rPr>
        <w:t xml:space="preserve">江苏</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t xml:space="preserve">省如皋市长江镇教育路1号</w:t>
      </w:r>
      <w:r/>
    </w:p>
    <w:p>
      <w:pPr>
        <w:ind w:firstLine="84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项目经办人姓名：吴亚军</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项目经办人联系方式：13235212933</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采购代理机构信息</w:t>
      </w:r>
      <w:bookmarkEnd w:id="32"/>
      <w:r/>
      <w:bookmarkEnd w:id="33"/>
      <w:r/>
      <w:bookmarkEnd w:id="34"/>
      <w:r/>
      <w:bookmarkEnd w:id="35"/>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    称：南通中江工程项目管理有限公司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项目经办人姓名：魏书丽</w:t>
      </w:r>
      <w:r/>
    </w:p>
    <w:p>
      <w:pPr>
        <w:ind w:firstLine="84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项目经办人联系方式：15051237698</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1.办理政采贷和履约保函（保险）告知函</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2.磋商</w:t>
      </w:r>
      <w:r>
        <w:rPr>
          <w:rFonts w:ascii="仿宋" w:hAnsi="仿宋" w:eastAsia="仿宋"/>
          <w:b/>
          <w:color w:val="auto"/>
          <w:sz w:val="28"/>
          <w:szCs w:val="28"/>
          <w:highlight w:val="none"/>
        </w:rPr>
        <w:t xml:space="preserve">文件</w:t>
      </w:r>
      <w:r/>
    </w:p>
    <w:p>
      <w:pPr>
        <w:pStyle w:val="757"/>
        <w:ind w:firstLine="562"/>
        <w:spacing w:before="0" w:after="0"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757"/>
        <w:ind w:firstLine="0"/>
        <w:jc w:val="center"/>
        <w:spacing w:line="240" w:lineRule="auto"/>
        <w:rPr>
          <w:rFonts w:ascii="方正小标宋简体" w:eastAsia="方正小标宋简体"/>
          <w:bCs/>
          <w:color w:val="auto"/>
          <w:sz w:val="32"/>
          <w:szCs w:val="32"/>
          <w:highlight w:val="none"/>
        </w:rPr>
        <w:outlineLvl w:val="0"/>
      </w:pPr>
      <w:r>
        <w:rPr>
          <w:rFonts w:ascii="仿宋" w:hAnsi="仿宋" w:eastAsia="仿宋"/>
          <w:b/>
          <w:color w:val="auto"/>
          <w:sz w:val="28"/>
          <w:szCs w:val="28"/>
          <w:highlight w:val="none"/>
        </w:rPr>
        <w:br w:type="page" w:clear="all"/>
      </w:r>
      <w:r>
        <w:rPr>
          <w:rFonts w:hint="eastAsia" w:ascii="方正小标宋简体" w:eastAsia="方正小标宋简体"/>
          <w:bCs/>
          <w:color w:val="auto"/>
          <w:sz w:val="32"/>
          <w:szCs w:val="32"/>
          <w:highlight w:val="none"/>
        </w:rPr>
        <w:t xml:space="preserve">第2章 磋商须知</w:t>
      </w:r>
      <w:r/>
    </w:p>
    <w:p>
      <w:pPr>
        <w:ind w:firstLine="548"/>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1. 参加磋商费用</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2. 磋商文件的约束力</w:t>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3.响应文件编制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4.响应文件提交、撤回和修改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w:t>
      </w:r>
      <w:r>
        <w:rPr>
          <w:rFonts w:hint="eastAsia" w:ascii="仿宋" w:hAnsi="仿宋" w:eastAsia="仿宋"/>
          <w:color w:val="auto"/>
          <w:sz w:val="28"/>
          <w:szCs w:val="28"/>
          <w:highlight w:val="none"/>
        </w:rPr>
        <w:t xml:space="preserve">《江苏省政府采购管理交易系统（苏采云）投标人操作手册》</w:t>
      </w:r>
      <w:r>
        <w:rPr>
          <w:rFonts w:hint="eastAsia" w:ascii="仿宋" w:hAnsi="仿宋" w:eastAsia="仿宋"/>
          <w:bCs/>
          <w:color w:val="auto"/>
          <w:sz w:val="28"/>
          <w:szCs w:val="28"/>
          <w:highlight w:val="none"/>
        </w:rPr>
        <w:t xml:space="preserve">。供应商撤回电子响应文件的，则认为其不再参与本项目磋商活动。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tabs>
          <w:tab w:val="left" w:pos="900" w:leader="none"/>
        </w:tabs>
        <w:rPr>
          <w:rFonts w:ascii="仿宋" w:hAnsi="仿宋" w:eastAsia="仿宋"/>
          <w:color w:val="auto"/>
          <w:sz w:val="28"/>
          <w:szCs w:val="28"/>
          <w:highlight w:val="none"/>
        </w:rPr>
        <w:outlineLvl w:val="1"/>
      </w:pPr>
      <w:r>
        <w:rPr>
          <w:rFonts w:hint="eastAsia" w:ascii="黑体" w:hAnsi="黑体" w:eastAsia="黑体"/>
          <w:color w:val="auto"/>
          <w:sz w:val="28"/>
          <w:szCs w:val="28"/>
          <w:highlight w:val="none"/>
        </w:rPr>
        <w:t xml:space="preserve">5. 磋商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采购人或者代理机构将在竞争性磋商公告中规定的时间和地点组织竞争性磋商活动。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磋商小组由政府采购评审专家、采购人代表组成。评审专家不得以评审专家身份参加本部门或本单位采购项目的评审。达到公开招标限额标准的项目，磋商小组应当由3人以上单数组成。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接到澄清要求的供应商，应在磋商小组规定的时间内做出澄清，澄清的内容作为响应文件的补充部分，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供应商在评审全过程中应保持通讯畅通，并安排专人与采购人或采购代理机构及磋商小组联系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5.10各响应供应商请关注开标大厅交流区，响应文件解密结束后，请勿离开开标大厅。在资格审查、符合性审查和综合评审结束后，根据采购人或采购代理机构通知，须在</w:t>
      </w:r>
      <w:r>
        <w:rPr>
          <w:rFonts w:hint="eastAsia" w:ascii="仿宋" w:hAnsi="仿宋" w:eastAsia="仿宋"/>
          <w:b/>
          <w:bCs/>
          <w:color w:val="auto"/>
          <w:sz w:val="28"/>
          <w:szCs w:val="28"/>
          <w:highlight w:val="none"/>
        </w:rPr>
        <w:t xml:space="preserve">20分钟内</w:t>
      </w:r>
      <w:r>
        <w:rPr>
          <w:rFonts w:hint="eastAsia" w:ascii="仿宋" w:hAnsi="仿宋" w:eastAsia="仿宋"/>
          <w:color w:val="auto"/>
          <w:sz w:val="28"/>
          <w:szCs w:val="28"/>
          <w:highlight w:val="none"/>
        </w:rPr>
        <w:t xml:space="preserve">填写并提交最后报价。未在规定时间内提交最后报价的，视为退出磋商。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 有下列情形之一的，视为供应商串通，其响应无效：</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5.14.1不同供应商的响应文件由同一单位或者个人编制；</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5.14.2不同供应商的电子响应文件由同一台电子设备编制、打包、加密或者上传；</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5.14.3 不同供应商的响应文件由同一供应商的电子设备打印、复印；</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5.14.4不同供应商的响应报价用同一个预算编制软件密码锁制作或者出自同一供应商的电子文档；</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5.14.5不同供应商从同一个单位或者同一个自然人的互联网协议地址下载竞争性磋商文件、上传响应文件；</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5.14.6 不同供应商的响应文件异常一致或者响应报价呈规律性差异；</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5.14.7 不同供应商委托同一单位或者个人办理磋商事宜；</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5.14.8不同供应商的响应文件载明的项目管理成员或者联系人员为同一人；</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5.14.9不同供应商的磋商保证金虽然经由供应商自己的基本账户转出，但所需资金来自同一单位或者个人的账户。</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 出现下列情形之一的，磋商小组应当启动异常低价响应审查程序： </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5.15.1.响应报价低于全部通过符合性审查供应商响应报价平均值50%的，即响应报价&lt;全部通过符合性审查供应商响应报价平均值×50%；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5.15.2.响应报价低于通过符合性审查的次低报价供应商响应报价50%的，即响应报价&lt;通过符合性审查的次低报价供应商响应报价×50%；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5.15.3.响应报价低于采购项目最高限价45%的，即响应报价&lt;采购项目最高限价×45%；</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5.15.4.磋商小组基于专业判断，认为供应商报价过低，有可能影响产品质量或者不能诚信履约的其他情形。</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6.成交和合同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bookmarkEnd w:id="4"/>
      <w:r/>
    </w:p>
    <w:p>
      <w:pPr>
        <w:ind w:firstLine="560"/>
        <w:spacing w:line="500" w:lineRule="exact"/>
        <w:rPr>
          <w:rFonts w:ascii="黑体" w:hAnsi="黑体" w:eastAsia="黑体"/>
          <w:bCs/>
          <w:color w:val="auto"/>
          <w:sz w:val="28"/>
          <w:szCs w:val="28"/>
          <w:highlight w:val="none"/>
        </w:rPr>
        <w:outlineLvl w:val="1"/>
      </w:pPr>
      <w:r>
        <w:rPr>
          <w:rFonts w:hint="eastAsia" w:ascii="黑体" w:hAnsi="黑体" w:eastAsia="黑体"/>
          <w:bCs/>
          <w:color w:val="auto"/>
          <w:sz w:val="28"/>
          <w:szCs w:val="28"/>
          <w:highlight w:val="none"/>
        </w:rPr>
        <w:t xml:space="preserve">7.政府采购政策功能落实</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7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2000≤Y&lt;40000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6000≤Y&lt;80000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300≤Y&lt;6000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5≤X&lt;20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5000≤Y&lt;50000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10≤X&lt;50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200≤Y&lt;3000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1000≤Y&lt;200000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8000≤Z &lt;120000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100≤Z &lt;8000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 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color w:val="auto"/>
          <w:sz w:val="28"/>
          <w:szCs w:val="28"/>
          <w:highlight w:val="none"/>
        </w:rPr>
        <w:outlineLvl w:val="1"/>
      </w:pPr>
      <w:r/>
      <w:bookmarkStart w:id="36" w:name="_Toc15560"/>
      <w:r>
        <w:rPr>
          <w:rFonts w:hint="eastAsia" w:ascii="黑体" w:hAnsi="黑体" w:eastAsia="黑体"/>
          <w:bCs/>
          <w:color w:val="auto"/>
          <w:sz w:val="28"/>
          <w:szCs w:val="28"/>
          <w:highlight w:val="none"/>
        </w:rPr>
        <w:t xml:space="preserve">8.无效响应和磋商活动终止</w:t>
      </w:r>
      <w:bookmarkEnd w:id="3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不具备竞争性磋商文件中规定的资格要求的。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不符合法律、法规和竞争性磋商文件中规定的其他实质性要求的。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响应文件未按照磋商文件要求加盖电子签章。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8.1.12其他法律、法规及本磋商文件规定的属无效响应的情形。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出现下列情形之一的，本次竞争性磋商采购活动将被终止：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w:t>
      </w:r>
      <w:r>
        <w:rPr>
          <w:rFonts w:hint="eastAsia" w:ascii="仿宋" w:hAnsi="仿宋" w:eastAsia="仿宋"/>
          <w:color w:val="auto"/>
          <w:sz w:val="28"/>
          <w:szCs w:val="28"/>
          <w:highlight w:val="none"/>
        </w:rPr>
        <w:t xml:space="preserve">磋商</w:t>
      </w:r>
      <w:r>
        <w:rPr>
          <w:rFonts w:ascii="仿宋" w:hAnsi="仿宋" w:eastAsia="仿宋"/>
          <w:color w:val="auto"/>
          <w:sz w:val="28"/>
          <w:szCs w:val="28"/>
          <w:highlight w:val="none"/>
        </w:rPr>
        <w:t xml:space="preserve">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8.2.4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8.2.5  因重大变故，采购任务取消的。</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9. 询问、质疑和投诉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10.9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，见磋商文件第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未参加磋商活动的供应商或在磋商活动中自身权益未受到损害的供应商所提出的质疑。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供应商组成联合体参加磋商活动，联合体中任何一方或多方未按要求签字、盖章、加盖公章的质疑。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A座710室，联系电话0513-87623860）。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outlineLvl w:val="1"/>
      </w:pPr>
      <w:r>
        <w:rPr>
          <w:rFonts w:hint="eastAsia" w:ascii="黑体" w:hAnsi="黑体" w:eastAsia="黑体"/>
          <w:color w:val="auto"/>
          <w:sz w:val="28"/>
          <w:szCs w:val="28"/>
          <w:highlight w:val="none"/>
        </w:rPr>
        <w:t xml:space="preserve">10. 政府采购合同信用融资扶持政策</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11. 采购代理服务费</w:t>
      </w:r>
      <w:r/>
    </w:p>
    <w:p>
      <w:pPr>
        <w:ind w:firstLine="560"/>
        <w:jc w:val="left"/>
        <w:spacing w:line="50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11.1 </w:t>
      </w:r>
      <w:r>
        <w:rPr>
          <w:rFonts w:hint="eastAsia" w:ascii="仿宋" w:hAnsi="仿宋" w:eastAsia="仿宋" w:cs="仿宋"/>
          <w:color w:val="auto"/>
          <w:sz w:val="28"/>
          <w:szCs w:val="28"/>
          <w:highlight w:val="none"/>
        </w:rPr>
        <w:t xml:space="preserve">采购代理服务费依据财政部《政府采购代理机构管理暂行办法》(财库〔2018〕2号)及《江苏省政府采购代理服务收费指导意见》（苏政采协〔2024〕20号）的规定执行。收取标准：以预算价为基数，采用差额定率累进法（50万元</w:t>
      </w:r>
      <w:r>
        <w:rPr>
          <w:rFonts w:hint="eastAsia" w:ascii="仿宋" w:hAnsi="仿宋" w:eastAsia="仿宋" w:cs="仿宋"/>
          <w:color w:val="auto"/>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11.3.1收款单位名称为：</w:t>
      </w:r>
      <w:r>
        <w:rPr>
          <w:rFonts w:hint="eastAsia" w:ascii="仿宋" w:hAnsi="仿宋" w:eastAsia="仿宋" w:cs="宋体"/>
          <w:color w:val="auto"/>
          <w:sz w:val="28"/>
          <w:szCs w:val="28"/>
          <w:highlight w:val="none"/>
        </w:rPr>
        <w:t xml:space="preserve">南通中江工程项目管理有限公司江海分公司</w:t>
      </w:r>
      <w:r>
        <w:rPr>
          <w:rFonts w:hint="eastAsia" w:ascii="仿宋" w:hAnsi="仿宋" w:eastAsia="仿宋"/>
          <w:color w:val="auto"/>
          <w:sz w:val="28"/>
          <w:szCs w:val="28"/>
          <w:highlight w:val="none"/>
        </w:rPr>
        <w:t xml:space="preserve">；</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11.3.2账户号码：</w:t>
      </w:r>
      <w:r>
        <w:rPr>
          <w:rFonts w:hint="eastAsia" w:ascii="仿宋" w:hAnsi="仿宋" w:eastAsia="仿宋" w:cs="宋体"/>
          <w:color w:val="auto"/>
          <w:sz w:val="28"/>
          <w:szCs w:val="28"/>
          <w:highlight w:val="none"/>
        </w:rPr>
        <w:t xml:space="preserve">32050164726000001501</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11.3.3开户行：</w:t>
      </w:r>
      <w:r>
        <w:rPr>
          <w:rFonts w:hint="eastAsia" w:ascii="仿宋" w:hAnsi="仿宋" w:eastAsia="仿宋" w:cs="宋体"/>
          <w:color w:val="auto"/>
          <w:sz w:val="28"/>
          <w:szCs w:val="28"/>
          <w:highlight w:val="none"/>
        </w:rPr>
        <w:t xml:space="preserve">中国建设银行股份有限公司如皋北门支行，行号：105306200032。</w:t>
      </w:r>
      <w:r/>
    </w:p>
    <w:p>
      <w:pPr>
        <w:ind w:firstLine="560"/>
        <w:jc w:val="left"/>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57"/>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32"/>
          <w:szCs w:val="32"/>
          <w:highlight w:val="none"/>
        </w:rPr>
        <w:br w:type="page" w:clear="all"/>
      </w:r>
      <w:r>
        <w:rPr>
          <w:rFonts w:hint="eastAsia" w:ascii="方正小标宋简体" w:eastAsia="方正小标宋简体"/>
          <w:bCs/>
          <w:color w:val="auto"/>
          <w:sz w:val="32"/>
          <w:szCs w:val="32"/>
          <w:highlight w:val="none"/>
        </w:rPr>
        <w:t xml:space="preserve">第3章 采购需求</w:t>
      </w:r>
      <w:r/>
    </w:p>
    <w:p>
      <w:pPr>
        <w:ind w:firstLine="562"/>
        <w:jc w:val="left"/>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供应商在制作</w:t>
      </w:r>
      <w:r>
        <w:rPr>
          <w:rFonts w:hint="eastAsia" w:ascii="仿宋" w:hAnsi="仿宋" w:eastAsia="仿宋"/>
          <w:b/>
          <w:bCs/>
          <w:color w:val="auto"/>
          <w:sz w:val="28"/>
          <w:szCs w:val="28"/>
          <w:highlight w:val="none"/>
        </w:rPr>
        <w:t xml:space="preserve">响应</w:t>
      </w:r>
      <w:r>
        <w:rPr>
          <w:rFonts w:ascii="仿宋" w:hAnsi="仿宋" w:eastAsia="仿宋"/>
          <w:b/>
          <w:bCs/>
          <w:color w:val="auto"/>
          <w:sz w:val="28"/>
          <w:szCs w:val="28"/>
          <w:highlight w:val="none"/>
        </w:rPr>
        <w:t xml:space="preserve">文件时仔细研究</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方正小标宋简体" w:eastAsia="方正小标宋简体"/>
          <w:bCs/>
          <w:color w:val="auto"/>
          <w:sz w:val="32"/>
          <w:szCs w:val="32"/>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w:t>
      </w:r>
      <w:r>
        <w:rPr>
          <w:rFonts w:hint="eastAsia" w:ascii="仿宋" w:hAnsi="仿宋" w:eastAsia="仿宋"/>
          <w:b/>
          <w:bCs/>
          <w:color w:val="auto"/>
          <w:sz w:val="28"/>
          <w:szCs w:val="28"/>
          <w:highlight w:val="none"/>
        </w:rPr>
        <w:t xml:space="preserve">磋商</w:t>
      </w:r>
      <w:r>
        <w:rPr>
          <w:rFonts w:ascii="仿宋" w:hAnsi="仿宋" w:eastAsia="仿宋"/>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numPr>
          <w:ilvl w:val="0"/>
          <w:numId w:val="1"/>
        </w:num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项目简介</w:t>
      </w:r>
      <w:r/>
    </w:p>
    <w:p>
      <w:pPr>
        <w:ind w:firstLine="560"/>
        <w:spacing w:line="500" w:lineRule="exact"/>
        <w:rPr>
          <w:rFonts w:ascii="黑体" w:hAnsi="黑体" w:eastAsia="黑体"/>
          <w:color w:val="auto"/>
          <w:sz w:val="28"/>
          <w:szCs w:val="28"/>
          <w:highlight w:val="none"/>
        </w:rPr>
      </w:pPr>
      <w:r>
        <w:rPr>
          <w:rFonts w:hint="eastAsia" w:ascii="仿宋" w:hAnsi="仿宋" w:eastAsia="仿宋" w:cs="宋体"/>
          <w:color w:val="auto"/>
          <w:sz w:val="28"/>
          <w:szCs w:val="28"/>
          <w:highlight w:val="none"/>
        </w:rPr>
        <w:t xml:space="preserve">如皋市高级技工学校智能化工程项目</w:t>
      </w:r>
      <w:r>
        <w:rPr>
          <w:rFonts w:hint="eastAsia"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二、采购内容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具体建设规模、工程特征、自然地理条件、环境保护要求、现场实际情况、交通运输情况等详见：附件1：清单编制说明；附件2：图纸；附件3：工程量清单。</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响应供应商在磋商截止时间前须自行踏勘现场，清单中如有描述不到的参考现场实际情况，工程量清单准确性由响应供应商自行核查并承担风险，也包含在投标综合单价中。成交供应商进场后不得以不了解现场为由提出增加费用的要求，结算时除发包人要求变更外，其他一律不作调整。</w:t>
      </w:r>
      <w:r/>
    </w:p>
    <w:p>
      <w:pPr>
        <w:numPr>
          <w:ilvl w:val="0"/>
          <w:numId w:val="2"/>
        </w:numPr>
        <w:ind w:firstLine="560"/>
        <w:spacing w:line="500" w:lineRule="exact"/>
        <w:rPr>
          <w:rFonts w:ascii="仿宋" w:hAnsi="仿宋" w:eastAsia="仿宋"/>
          <w:color w:val="auto"/>
          <w:sz w:val="28"/>
          <w:szCs w:val="28"/>
          <w:highlight w:val="none"/>
        </w:rPr>
        <w:outlineLvl w:val="1"/>
      </w:pPr>
      <w:r>
        <w:rPr>
          <w:rFonts w:hint="eastAsia" w:ascii="黑体" w:hAnsi="黑体" w:eastAsia="黑体"/>
          <w:color w:val="auto"/>
          <w:sz w:val="28"/>
          <w:szCs w:val="28"/>
          <w:highlight w:val="none"/>
        </w:rPr>
        <w:t xml:space="preserve">技术要求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（一）符合采购文件、图纸、工程量清单等要求。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（二）施工期间做好清洁和保护工作，确保出入人员及车辆安全。</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（三）成交供应商在项目施工中必须严格遵守相关的法规、规范和现场采购人的规定，</w:t>
      </w:r>
      <w:r>
        <w:rPr>
          <w:rFonts w:hint="eastAsia" w:ascii="仿宋" w:hAnsi="仿宋" w:eastAsia="仿宋"/>
          <w:bCs/>
          <w:color w:val="auto"/>
          <w:sz w:val="28"/>
          <w:szCs w:val="28"/>
          <w:highlight w:val="none"/>
        </w:rPr>
        <w:t xml:space="preserve">督促现场施工人员规范操作，采取严格有力的安全防护措施，做好安全防护工作（包括施工现场防护等），确保施工安装的人身安全，相关专业技术岗位必须持证上岗，一切安全责任均由成交人自负。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（四）成交供应商必须按不低于采购文件要求的材料质量及技术要求等标准供货、施工、安装等。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（五）施工期间的水、电费用由成交供应商负责。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（六）成交供应商施工中必须按时清理施工场地，垃圾必须清理离场。竣工时对施工场所全面打扫。</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（七）成交供应商在施工中做到项目负责人全程现场管理。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（八）采购人有权对成交人提供的材料和设备进行复检，成交人应予以积极配合，对不符合设计要求及验收规范的材料和设备，有权终止使用，发生的一切损失和费用由成交人承担。</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（九）成交供应商必须遵守政府有关主管部门对施工噪音、环境保护和安全生产等的管理规定，如因成交供应商的原因，导致扰民投诉及相关部门罚款的，均由成交供应商负责处理，费用自理。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（十）成交供应商不得拒绝完成采购人在施工地点范围内变更或要求增加的工程内容。</w:t>
      </w:r>
      <w:r/>
    </w:p>
    <w:p>
      <w:pPr>
        <w:ind w:firstLine="560"/>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（十一）请响应供应商在响应文件中上传品牌响应表</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详见附件4</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。未提供视为无效响应。</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响应供应商不能简单照搬磋商文件提供的需求，必须按磋商文件技术规格逐项作出实质性应答，如照搬照抄项目需求中的技术的，成交后成交人在同采购人签订合同和履约环节中不得提出异议，一切后果和损失由成交人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质量要求：合格；施工前需提供合格样品，需保证合同项目下所用材料是全新的、未使用过的，需与提供的样品一致且经检验是合格的。需按图纸设计要求做到安全文明施工，工完料尽，满足相关施工验收标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成交人应保证货物是全新、未使用过的原装合格正品，并完全符合采购文件及本合同规定的质量、规格和性能的要求。验收过程中发现产品不符合上述要求的，将视作不合格产品，采购人有权终止合同，造成的一切损失由成交人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（四）成交人应保证提供的产品不得侵犯第三方专利权、商标权和设计权、版权等。否则，成交人应负全部责任，并承担由此引起的一切后果。</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（五）成交人应保证其货物在正确安装、正常使用下，在其使用寿命期内应具有满意的性能。</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（六）成交人应采取必要的安全措施保证货物的运输及安装的安全，并承担货物的运输及安装过程中产生的风险。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（七）成交人必须保证所提供的产品符合国家相应质量要求，供货时必须随产品提供出厂材料，包括但不限于检验报告（复印件）、产品合格证（原件）。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（八）成交人所供货物最终验收后，成交人应对由于设计、工艺或材料的缺陷而发生的任何不足或故障负责，并承担由此引起的一切后果。</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九）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color w:val="auto"/>
          <w:highlight w:val="none"/>
        </w:rPr>
      </w:pPr>
      <w:r>
        <w:rPr>
          <w:rFonts w:hint="eastAsia" w:ascii="仿宋" w:hAnsi="仿宋" w:eastAsia="仿宋"/>
          <w:bCs/>
          <w:color w:val="auto"/>
          <w:sz w:val="28"/>
          <w:szCs w:val="28"/>
          <w:highlight w:val="none"/>
        </w:rPr>
        <w:t xml:space="preserve">（十）在项目采购或实施过程中，如国家标准修改，应按照新国家标准实施；如本磋商文件规定高于国家标准，无论新旧标准，均按本磋商文件规定实施；如本磋商文件规定低于国家标准，无论新旧标准，均按国家标准规定实施。如本磋商文件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五、工期和地点</w:t>
      </w:r>
      <w:r/>
    </w:p>
    <w:p>
      <w:pPr>
        <w:ind w:firstLine="560"/>
        <w:spacing w:line="500" w:lineRule="exact"/>
        <w:rPr>
          <w:rFonts w:ascii="仿宋" w:hAnsi="仿宋" w:eastAsia="仿宋"/>
          <w:color w:val="auto"/>
          <w:sz w:val="28"/>
          <w:szCs w:val="28"/>
          <w:highlight w:val="none"/>
        </w:rPr>
      </w:pPr>
      <w:r/>
      <w:bookmarkStart w:id="37" w:name="_Toc13568"/>
      <w:r>
        <w:rPr>
          <w:rFonts w:hint="eastAsia" w:ascii="仿宋" w:hAnsi="仿宋" w:eastAsia="仿宋"/>
          <w:color w:val="auto"/>
          <w:sz w:val="28"/>
          <w:szCs w:val="28"/>
          <w:highlight w:val="none"/>
        </w:rPr>
        <w:t xml:space="preserve">工期：</w:t>
      </w:r>
      <w:bookmarkEnd w:id="37"/>
      <w:r/>
      <w:bookmarkStart w:id="38" w:name="_Toc13136"/>
      <w:r>
        <w:rPr>
          <w:rFonts w:hint="eastAsia" w:ascii="仿宋" w:hAnsi="仿宋" w:eastAsia="仿宋"/>
          <w:color w:val="auto"/>
          <w:sz w:val="28"/>
          <w:szCs w:val="28"/>
          <w:highlight w:val="none"/>
        </w:rPr>
        <w:t xml:space="preserve">自合同签订之日起60个日历天内完成，具体时间以采购人通知为准。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w:t>
      </w:r>
      <w:bookmarkEnd w:id="38"/>
      <w:r>
        <w:rPr>
          <w:rFonts w:hint="eastAsia" w:ascii="仿宋" w:hAnsi="仿宋" w:eastAsia="仿宋"/>
          <w:color w:val="auto"/>
          <w:sz w:val="28"/>
          <w:szCs w:val="28"/>
          <w:highlight w:val="none"/>
        </w:rPr>
        <w:t xml:space="preserve">采购人指定地点</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六、验收方案</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成交人需按照工程量清单及技术要求完成本合同约定全部施工内容，工程具备验收条件时，以建设单位现场验收考核、工程竣工验收证明书为准。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在接到成交供应商以书面形式提出验收申请后，在 5 个工作日内及时组织相关专业技术人员</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并出具验收报告，作为支付货款的依据。</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七、缺陷责任期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自竣工并验收合格之日起2年。在工程保修期内，成交人应当根据有关法律规定以及工程质量保修书约定承担保修责任。</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八、</w:t>
      </w:r>
      <w:bookmarkStart w:id="39" w:name="_Toc23889"/>
      <w:r>
        <w:rPr>
          <w:rFonts w:hint="eastAsia" w:ascii="黑体" w:hAnsi="黑体" w:eastAsia="黑体"/>
          <w:color w:val="auto"/>
          <w:sz w:val="28"/>
          <w:szCs w:val="28"/>
          <w:highlight w:val="none"/>
        </w:rPr>
        <w:t xml:space="preserve">付款方式</w:t>
      </w:r>
      <w:bookmarkEnd w:id="39"/>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s="Times New Roman"/>
          <w:bCs/>
          <w:color w:val="auto"/>
          <w:sz w:val="28"/>
          <w:szCs w:val="28"/>
          <w:highlight w:val="none"/>
          <w:lang w:eastAsia="zh-CN"/>
        </w:rPr>
        <w:t xml:space="preserve">签订合同后支付预付款为合同</w:t>
      </w:r>
      <w:r>
        <w:rPr>
          <w:rFonts w:hint="eastAsia" w:ascii="仿宋" w:hAnsi="仿宋" w:eastAsia="仿宋" w:cs="Times New Roman"/>
          <w:bCs/>
          <w:strike w:val="0"/>
          <w:color w:val="auto"/>
          <w:sz w:val="28"/>
          <w:szCs w:val="28"/>
          <w:highlight w:val="none"/>
          <w:u w:val="none"/>
          <w:lang w:eastAsia="zh-CN"/>
        </w:rPr>
        <w:t xml:space="preserve">金额的</w:t>
      </w:r>
      <w:r>
        <w:rPr>
          <w:rFonts w:hint="eastAsia" w:ascii="仿宋" w:hAnsi="仿宋" w:eastAsia="仿宋" w:cs="Times New Roman"/>
          <w:bCs/>
          <w:strike w:val="0"/>
          <w:color w:val="auto"/>
          <w:sz w:val="28"/>
          <w:szCs w:val="28"/>
          <w:highlight w:val="none"/>
          <w:u w:val="none"/>
          <w:lang w:val="en-US" w:eastAsia="zh-CN"/>
        </w:rPr>
        <w:t xml:space="preserve">10</w:t>
      </w:r>
      <w:r>
        <w:rPr>
          <w:rFonts w:hint="eastAsia" w:ascii="仿宋" w:hAnsi="仿宋" w:eastAsia="仿宋" w:cs="Times New Roman"/>
          <w:bCs/>
          <w:strike w:val="0"/>
          <w:color w:val="auto"/>
          <w:sz w:val="28"/>
          <w:szCs w:val="28"/>
          <w:highlight w:val="none"/>
          <w:u w:val="none"/>
          <w:lang w:eastAsia="zh-CN"/>
        </w:rPr>
        <w:t xml:space="preserve">%；</w:t>
      </w:r>
      <w:r>
        <w:rPr>
          <w:rFonts w:hint="eastAsia" w:ascii="仿宋" w:hAnsi="仿宋" w:eastAsia="仿宋"/>
          <w:color w:val="auto"/>
          <w:sz w:val="28"/>
          <w:szCs w:val="28"/>
          <w:highlight w:val="none"/>
        </w:rPr>
        <w:t xml:space="preserve">项目工程竣工验收合格</w:t>
      </w:r>
      <w:r>
        <w:rPr>
          <w:rFonts w:hint="eastAsia" w:ascii="仿宋" w:hAnsi="仿宋" w:eastAsia="仿宋" w:cs="Times New Roman"/>
          <w:bCs/>
          <w:color w:val="auto"/>
          <w:sz w:val="28"/>
          <w:szCs w:val="28"/>
          <w:highlight w:val="none"/>
          <w:lang w:eastAsia="zh-CN"/>
        </w:rPr>
        <w:t xml:space="preserve">后</w:t>
      </w:r>
      <w:r>
        <w:rPr>
          <w:rFonts w:hint="eastAsia" w:ascii="仿宋" w:hAnsi="仿宋" w:eastAsia="仿宋" w:cs="Times New Roman"/>
          <w:bCs/>
          <w:color w:val="auto"/>
          <w:sz w:val="28"/>
          <w:szCs w:val="28"/>
          <w:highlight w:val="none"/>
          <w:lang w:val="en-US" w:eastAsia="zh-CN"/>
        </w:rPr>
        <w:t xml:space="preserve">自</w:t>
      </w:r>
      <w:r>
        <w:rPr>
          <w:rFonts w:hint="eastAsia" w:ascii="仿宋" w:hAnsi="仿宋" w:eastAsia="仿宋" w:cs="Times New Roman"/>
          <w:color w:val="auto"/>
          <w:sz w:val="28"/>
          <w:szCs w:val="28"/>
          <w:highlight w:val="none"/>
          <w:lang w:val="zh-CN" w:eastAsia="zh-CN"/>
        </w:rPr>
        <w:t xml:space="preserve">交付之日起</w:t>
      </w:r>
      <w:r>
        <w:rPr>
          <w:rFonts w:hint="eastAsia" w:ascii="仿宋" w:hAnsi="仿宋" w:eastAsia="仿宋" w:cs="Times New Roman"/>
          <w:color w:val="auto"/>
          <w:sz w:val="28"/>
          <w:szCs w:val="28"/>
          <w:highlight w:val="none"/>
          <w:lang w:val="en-US" w:eastAsia="zh-CN"/>
        </w:rPr>
        <w:t xml:space="preserve">60</w:t>
      </w:r>
      <w:r>
        <w:rPr>
          <w:rFonts w:hint="eastAsia" w:ascii="仿宋" w:hAnsi="仿宋" w:eastAsia="仿宋" w:cs="Times New Roman"/>
          <w:color w:val="auto"/>
          <w:sz w:val="28"/>
          <w:szCs w:val="28"/>
          <w:highlight w:val="none"/>
          <w:lang w:val="zh-CN" w:eastAsia="zh-CN"/>
        </w:rPr>
        <w:t xml:space="preserve">日内支付款项。</w:t>
      </w:r>
      <w:r>
        <w:rPr>
          <w:rFonts w:hint="eastAsia" w:ascii="仿宋" w:hAnsi="仿宋" w:eastAsia="仿宋" w:cs="Times New Roman"/>
          <w:color w:val="auto"/>
          <w:sz w:val="28"/>
          <w:szCs w:val="28"/>
          <w:highlight w:val="none"/>
        </w:rPr>
        <w:t xml:space="preserve">每次支付前，成交人均应出具符合采购人财务规定以及开票报税要求的相应金额的正式发票。</w:t>
      </w:r>
      <w:r/>
    </w:p>
    <w:p>
      <w:pPr>
        <w:ind w:firstLine="560"/>
        <w:spacing w:line="50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工程验收合格后三个月内，项目建设单位会同监理单位监督施工单位如实编制工程结算，由建设单位委托社会审计机构进行工程结算审计，结算以审计报告为准。工程竣工结算核减率在1%以内，其审计咨询服务费甲方承担；核减率超过1%的，审计费用按照苏建价协（2022）7 号文计算全部费用由承包方承付，建设单位在工程结算审定价中扣除，建设单位直接代为支付给审计单位。</w:t>
      </w:r>
      <w:r/>
    </w:p>
    <w:p>
      <w:pPr>
        <w:ind w:firstLine="560"/>
        <w:spacing w:line="500" w:lineRule="exact"/>
        <w:rPr>
          <w:rFonts w:ascii="仿宋" w:hAnsi="仿宋" w:eastAsia="仿宋"/>
          <w:color w:val="auto"/>
          <w:sz w:val="28"/>
          <w:szCs w:val="28"/>
          <w:highlight w:val="none"/>
        </w:rPr>
        <w:outlineLvl w:val="1"/>
      </w:pPr>
      <w:r>
        <w:rPr>
          <w:rFonts w:hint="eastAsia" w:ascii="黑体" w:hAnsi="黑体" w:eastAsia="黑体"/>
          <w:color w:val="auto"/>
          <w:sz w:val="28"/>
          <w:szCs w:val="28"/>
          <w:highlight w:val="none"/>
        </w:rPr>
        <w:t xml:space="preserve">九、磋商过程中可能会实质性变动的内容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采购需求中的技术、服务要求以及合同草案条款。</w:t>
      </w:r>
      <w:r/>
    </w:p>
    <w:p>
      <w:pPr>
        <w:pStyle w:val="738"/>
        <w:ind w:firstLine="560"/>
        <w:spacing w:before="0" w:beforeAutospacing="0" w:after="0" w:afterAutospacing="0" w:line="500" w:lineRule="exact"/>
        <w:rPr>
          <w:rFonts w:ascii="黑体" w:eastAsia="黑体" w:cs="Times New Roman"/>
          <w:color w:val="auto"/>
          <w:sz w:val="28"/>
          <w:szCs w:val="28"/>
          <w:highlight w:val="none"/>
        </w:rPr>
        <w:outlineLvl w:val="1"/>
      </w:pPr>
      <w:r/>
      <w:bookmarkStart w:id="40" w:name="_Toc12729"/>
      <w:r/>
      <w:bookmarkStart w:id="41" w:name="_Toc2133"/>
      <w:r>
        <w:rPr>
          <w:rFonts w:hint="eastAsia" w:ascii="黑体" w:eastAsia="黑体" w:cs="黑体"/>
          <w:color w:val="auto"/>
          <w:sz w:val="28"/>
          <w:szCs w:val="28"/>
          <w:highlight w:val="none"/>
        </w:rPr>
        <w:t xml:space="preserve">十、安全文明施工</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1.项目安全生产的达标目标及相应事项的约定：满足江苏省、南通市等安监部门安全文明生产的要求，做好安全技术教育及交底，落实所有安全技术措施和人身防护用品。</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2.建立安全制度、安全检查制度、安全教育制度、工地班前活动制度、文明施工检查制度。</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3.成交人应严格按《建设工程安全生产管理条例》等法律、法规采取安全措施、组织施工，如发生事故，责任概由成交人承担。</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4.成交人对施工现场的安全生产负责。成交人在工地现场必须配备专职安全员；安全员必须持证上岗。</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6.工程施工前，成交人应根据法律、法规、规范、标准等要求，制定安全施工标准及要求，负责向施工作业班组、作业人员作出详细的说明，并由双方签字确认。</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8.特种作业人员，必须按照国家有关规定经过专门的安全作业培训，并取得特种作业操作资格证书后，方可上岗作业。</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11.成交人负责施工期间施工区域内的安全保卫工作，包括在施工区域内提供和维护有利于工程和公众安全和方便的灯光、护板、格栅等警告警示信号和警卫。</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12.成交人应对现场作业、施工方法及所施工工程的完备性、稳定性和安全性承担全部责任，并负责承担对工程的稳定、完整、安全、可靠及有效运行所必需的全部工作及相关费用。</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13.在施工期间，由于非采购人原因造成的事故，成交人需承担全部责任及由此引起的一切费用，采购人不承担任何责任，造成事故严重或多次造成事故的，采购人有权单方解除合同并拒付工程款。</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14.环境保护：成交人应在施工组织设计中列明环境保护的具体措施。在合同履行期间，承包人应根据《南通市城乡建设局关于把环境保护纳入合同管</w:t>
      </w:r>
      <w:r>
        <w:rPr>
          <w:rFonts w:hint="eastAsia" w:ascii="仿宋" w:hAnsi="仿宋" w:eastAsia="仿宋" w:cs="仿宋"/>
          <w:color w:val="auto"/>
          <w:sz w:val="28"/>
          <w:szCs w:val="28"/>
          <w:highlight w:val="none"/>
        </w:rPr>
        <w:t xml:space="preserve">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p>
      <w:pPr>
        <w:pStyle w:val="738"/>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p>
      <w:pPr>
        <w:pStyle w:val="738"/>
        <w:ind w:firstLine="560"/>
        <w:spacing w:before="0" w:beforeAutospacing="0" w:after="0" w:afterAutospacing="0" w:line="500" w:lineRule="exact"/>
        <w:rPr>
          <w:rFonts w:ascii="黑体" w:eastAsia="黑体" w:cs="Times New Roman"/>
          <w:color w:val="auto"/>
          <w:sz w:val="28"/>
          <w:szCs w:val="28"/>
          <w:highlight w:val="none"/>
        </w:rPr>
        <w:outlineLvl w:val="1"/>
      </w:pPr>
      <w:r>
        <w:rPr>
          <w:rFonts w:hint="eastAsia" w:ascii="黑体" w:eastAsia="黑体" w:cs="黑体"/>
          <w:color w:val="auto"/>
          <w:sz w:val="28"/>
          <w:szCs w:val="28"/>
          <w:highlight w:val="none"/>
        </w:rPr>
        <w:t xml:space="preserve">十一、结算方式及报价要求</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（一）报价要求</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本采购文件规定的工程范围、工程规模、工期要求、技术要求、工程量清单等是响应供应商报价的基础，响应供应商在报价中所报的单价和合价，以及报价汇总表中的价格均包括现场所有拆除相关费用；材料、运输、施工、安全、垃圾清运、税费、技术措施费、机械进出场费、风险费、政策性文件规定费用、设计费等一切与之相关费用；工程类的直接费、间接费、措施费、规费、税费等一切费用等。</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报价方式：本工程项目采用固定单价报价。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注：（1）变更估价原则</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关于变更估价的约定: A、变更引起工程量增减（即</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报价中有与原工程量清单相同项目综合单价的），按以下办法执行：A-1、因变更引起工程量增减偏差在±15%（含15%）以内，按照</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综合单价（除税价格）执行。A-2、因变更引起工程量偏差幅度超过±15%（不含15%），其增加或减少部分的工程量单价参照</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文件“</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控制价编制及复核依据”的口径计算*（1-投标下浮率）执行（其中材料执行施工期如皋信息价或认质认价，认质认价材料不下浮）。</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B、变更引起新的工程量清单项目增加（即没有与原工程量清单相同或类似项目综合单价的）按以下办法执行：B-1、结算时工程量及组价参照本</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文件 “</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控制价编制及复核依据”的相关条款计取，并依据投标下浮率下浮，作为结算依据（（其中材料执行施工期如皋信息价或认质认价，认质认价材料不下浮）） 。B-2、结算时无法按B-1条款组价的新增工程量清单项目（即无相同或类似计价定额执行的），施工中由承包人提出，发包人确认后作为依据，同时工程量经发包人确认按实计量。</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注：投标下浮率为=（1-A1/A2）*100%</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A1=投标（</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价-暂列金额-暂定价-规费-税金）;</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A2=招标（招标控制价-暂列金额-暂定价-规费-税金）。</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单价及总价措施项目费均为除税价格。</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（2）因工程变更引起已标价工程量清单项目或其工程数量发生变化时，按照下列规定调整：</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A、变更引起工程量增减（</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报价中有与原工程量清单相同项目综合单价的），按以下办法执行：A-1、因变更引起工程量增减偏差在±15%（含15%）以内，参照投标综合单价执行。A-2、因变更引起工程量偏差幅度超过±15%（不含15%），其增加或减少部分的工程量单价参照本招标文件 “</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控制价编制及复核依据”的口径计算*（1-投标下浮率）执行（（其中材料执行施工期如皋信息价或认质认价，认质认价材料不下浮））。</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B、变更引起新的工程量清单项目增加（没有与原工程量清单相同或类似项目综合单价的）按以下办法执行：B-1、结算时工程量及组价参照本</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文件“</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控制价编制及复核依据”的相关条款计取，并依据投标下浮率下浮，作为结算依据（（其中材料执行施工期如皋信息价或认质认价，认质认价材料不下浮））。B-2、结算时无法按B-1条款组价的新增工程量清单项目（即无相同或类似计价定额执行的），施工中由承包人提出，发包人确认后作为依据，同时工程量经发包人确认按实计量。</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文件“</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控制价编制及复核依据”的口径计算*（1-投标下浮率）执行或由承包人提出适当的措施费变更要求，经发包人确认后调整。</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注：投标下浮率为=（1-A1/A2）*100%</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A1=投标（中标价-暂列金额-暂定价-规费-税金）;</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A2=招标（招标控制价-暂列金额-暂定价-规费-税金）。</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注：（1）因非承包人原因引起工程量增减或已标价工程量清单项目变化时（如项目特征不符、工程量清单缺项或工程量偏差等），调整方法参照此条款执行。</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（2）暂列金额及暂定价按除税价格计入。</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（3）综合单价为除税价格。</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（4）单价及总价措施项目费均为除税价格。</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响应供应商所报价格中包含本项目施工中的所有措施项目费用，提请响应供应商自主踏勘现场，按照建筑工程施工的相关规范要求综合考虑本工程所需的全部措施项目，结算时不作调整。在施工过程中如因施工组织设计不符合实际需要、不完善、计算错误等原因导致修改，或是应监理工程师合理指令作适当调整时，结算时均不作调整。</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5.响应供应商报价应根据本单位掌握的材料价格信息，结合企业综合情况自主报价，同时要充分考虑材料价格升降等风险因素，竣工结算时所报单价不得变动。</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本工程计税方式为一般计税方法，响应供应商必须在报价中根据自身管理水平、材料采购及机械配备等因素，考虑实际可抵扣进项税，合理确定增值税应纳税费率进行自主报价。营改增相关要求及内容详见财税【2016】36 号文、建办标【2016】4 号文、苏建价【2016】154 号及附件。税率及相关规定详见“省住房城乡建设厅关于调整建设工程计价增值税税率的通知（详见苏建函价〔2019〕178 号）”。响应供应商根据相关文件规定自主报价。</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7.报价含交付使用前一切费用。不接受选择性报价。</w:t>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（二）本项目成交后不允许转包或分包。</w:t>
      </w:r>
      <w:r/>
    </w:p>
    <w:p>
      <w:pPr>
        <w:ind w:firstLine="560"/>
        <w:spacing w:line="500" w:lineRule="exact"/>
        <w:rPr>
          <w:rFonts w:ascii="黑体" w:hAnsi="宋体" w:eastAsia="黑体"/>
          <w:color w:val="auto"/>
          <w:sz w:val="28"/>
          <w:szCs w:val="28"/>
          <w:highlight w:val="none"/>
        </w:rPr>
        <w:outlineLvl w:val="1"/>
      </w:pPr>
      <w:r>
        <w:rPr>
          <w:rFonts w:hint="eastAsia" w:ascii="黑体" w:hAnsi="宋体" w:eastAsia="黑体" w:cs="黑体"/>
          <w:color w:val="auto"/>
          <w:sz w:val="28"/>
          <w:szCs w:val="28"/>
          <w:highlight w:val="none"/>
        </w:rPr>
        <w:t xml:space="preserve">十二、其他要求</w:t>
      </w:r>
      <w:bookmarkEnd w:id="40"/>
      <w:bookmarkEnd w:id="41"/>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1.成交人须按政府主管部门要求及时支付农民工工资，满足施工所需要的资金安排，按时足额支付到农民工本人的银行账户。</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2.在施工过程中，须加强绿色建造与环境管理，做好扬尘防治工作，减少噪音污染等工作。</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contextualSpacing/>
        <w:ind w:firstLine="560"/>
        <w:spacing w:line="50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4.建筑或生活垃圾，包括楼层原有的和施工产生的垃圾都需要清运出场，运距响应供应商自行考虑，费用包含在投标报价中。</w:t>
      </w:r>
      <w:r/>
    </w:p>
    <w:p>
      <w:pPr>
        <w:contextualSpacing/>
        <w:ind w:firstLine="560"/>
        <w:spacing w:line="50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响应供应商投标前须自行现场踏勘，在报价中综合考虑比如场地狭小、高压线防护、杆线迁移、涉及的树木绿化迁移，老基础拆除等等类似需增加的施工成本，否则由此引起的所有问题均由响应供应商自行承担，结算不调整；因施工造成的原有路面的破损，成交人负责免费修复；本工程的临时道路、冲洗台等均由成交人施工，价格由响应供应商自行综合考虑在投标报价中。</w:t>
      </w:r>
      <w:r/>
    </w:p>
    <w:p>
      <w:pPr>
        <w:contextualSpacing/>
        <w:ind w:firstLine="560"/>
        <w:spacing w:line="50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6.本工程水电费由成交人承担；本工程施工过程中如需其他单位配合（或配合其他单位），所需费用由响应供应商自行综合考虑在报价中，结算时不调整。</w:t>
      </w:r>
      <w:r/>
    </w:p>
    <w:p>
      <w:pPr>
        <w:contextualSpacing/>
        <w:ind w:firstLine="560"/>
        <w:spacing w:line="50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7.根据本</w:t>
      </w:r>
      <w:r>
        <w:rPr>
          <w:rFonts w:hint="eastAsia" w:ascii="仿宋" w:hAnsi="仿宋" w:eastAsia="仿宋" w:cs="仿宋"/>
          <w:bCs/>
          <w:color w:val="auto"/>
          <w:sz w:val="28"/>
          <w:szCs w:val="28"/>
          <w:highlight w:val="none"/>
        </w:rPr>
        <w:t xml:space="preserve">项目实际情况，潜在供应商自行踏勘现场，以便潜在供应商充分了解本项目的实际情况，避免盲目响应。若潜在供应商不踏勘现场，且参加磋商的，视同已踏勘现场，清楚本项目现场情况，对响应文件负责；若其成为成交供应商，在施工及结算过程中，不得因此提出任何未预见困难、项目、措施等，也不得增加价格，更不得降低项目实施质量、效果。</w:t>
      </w:r>
      <w:r/>
    </w:p>
    <w:p>
      <w:pPr>
        <w:contextualSpacing/>
        <w:ind w:firstLine="560"/>
        <w:spacing w:line="500" w:lineRule="exact"/>
        <w:shd w:val="clear" w:color="auto" w:fill="ffffff"/>
        <w:widowControl/>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757"/>
        <w:ind w:firstLine="0"/>
        <w:jc w:val="both"/>
        <w:spacing w:line="500" w:lineRule="exact"/>
        <w:rPr>
          <w:rFonts w:ascii="方正小标宋简体" w:eastAsia="方正小标宋简体"/>
          <w:bCs/>
          <w:color w:val="auto"/>
          <w:sz w:val="32"/>
          <w:szCs w:val="32"/>
          <w:highlight w:val="none"/>
        </w:rPr>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pPr>
      <w:r>
        <w:rPr>
          <w:rFonts w:ascii="方正小标宋简体" w:eastAsia="方正小标宋简体"/>
          <w:bCs/>
          <w:color w:val="auto"/>
          <w:sz w:val="32"/>
          <w:szCs w:val="32"/>
          <w:highlight w:val="none"/>
        </w:rPr>
      </w:r>
      <w:r/>
    </w:p>
    <w:p>
      <w:pPr>
        <w:pStyle w:val="757"/>
        <w:numPr>
          <w:ilvl w:val="0"/>
          <w:numId w:val="3"/>
        </w:numPr>
        <w:ind w:firstLine="0"/>
        <w:jc w:val="center"/>
        <w:spacing w:line="240" w:lineRule="auto"/>
        <w:rPr>
          <w:rFonts w:ascii="方正小标宋简体" w:eastAsia="方正小标宋简体"/>
          <w:bCs/>
          <w:color w:val="auto"/>
          <w:sz w:val="32"/>
          <w:szCs w:val="32"/>
          <w:highlight w:val="none"/>
        </w:rPr>
        <w:outlineLvl w:val="0"/>
      </w:pPr>
      <w:r>
        <w:rPr>
          <w:rFonts w:hint="eastAsia" w:ascii="方正小标宋简体" w:eastAsia="方正小标宋简体"/>
          <w:bCs/>
          <w:color w:val="auto"/>
          <w:sz w:val="32"/>
          <w:szCs w:val="32"/>
          <w:highlight w:val="none"/>
        </w:rPr>
        <w:t xml:space="preserve">合同文本</w:t>
      </w:r>
      <w:r/>
    </w:p>
    <w:p>
      <w:pPr>
        <w:jc w:val="center"/>
        <w:spacing w:before="19"/>
        <w:widowControl/>
        <w:rPr>
          <w:rFonts w:hint="eastAsia" w:ascii="仿宋" w:hAnsi="仿宋" w:eastAsia="仿宋" w:cs="Times New Roman"/>
          <w:color w:val="auto"/>
          <w:sz w:val="32"/>
          <w:szCs w:val="32"/>
          <w:highlight w:val="none"/>
        </w:rPr>
      </w:pPr>
      <w:r>
        <w:rPr>
          <w:rFonts w:hint="eastAsia" w:ascii="方正小标宋简体" w:hAnsi="Times New Roman" w:eastAsia="方正小标宋简体" w:cs="Times New Roman"/>
          <w:color w:val="auto"/>
          <w:sz w:val="32"/>
          <w:szCs w:val="32"/>
          <w:highlight w:val="none"/>
        </w:rPr>
        <w:t xml:space="preserve">如皋市政府采购合同</w:t>
      </w:r>
      <w:r/>
    </w:p>
    <w:p>
      <w:pPr>
        <w:jc w:val="center"/>
        <w:spacing w:before="19"/>
        <w:widowControl/>
        <w:rPr>
          <w:rFonts w:ascii="方正小标宋简体" w:hAnsi="Times New Roman" w:eastAsia="方正小标宋简体" w:cs="Times New Roman"/>
          <w:color w:val="auto"/>
          <w:sz w:val="32"/>
          <w:szCs w:val="32"/>
          <w:highlight w:val="none"/>
        </w:rPr>
      </w:pPr>
      <w:r>
        <w:rPr>
          <w:rFonts w:ascii="方正小标宋简体" w:hAnsi="Times New Roman" w:eastAsia="方正小标宋简体" w:cs="Times New Roman"/>
          <w:color w:val="auto"/>
          <w:sz w:val="32"/>
          <w:szCs w:val="32"/>
          <w:highlight w:val="none"/>
        </w:rPr>
      </w:r>
      <w:r/>
    </w:p>
    <w:p>
      <w:pPr>
        <w:ind w:firstLine="64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 xml:space="preserve">项目名称：</w:t>
      </w:r>
      <w:r/>
    </w:p>
    <w:p>
      <w:pPr>
        <w:ind w:firstLine="640"/>
        <w:rPr>
          <w:rFonts w:ascii="仿宋" w:hAnsi="仿宋" w:eastAsia="仿宋" w:cs="Times New Roman"/>
          <w:color w:val="auto"/>
          <w:sz w:val="32"/>
          <w:szCs w:val="32"/>
          <w:highlight w:val="none"/>
          <w:u w:val="single"/>
        </w:rPr>
      </w:pPr>
      <w:r>
        <w:rPr>
          <w:rFonts w:hint="eastAsia" w:ascii="仿宋" w:hAnsi="仿宋" w:eastAsia="仿宋" w:cs="Times New Roman"/>
          <w:color w:val="auto"/>
          <w:sz w:val="32"/>
          <w:szCs w:val="32"/>
          <w:highlight w:val="none"/>
        </w:rPr>
        <w:t xml:space="preserve">计划编号：</w:t>
      </w:r>
      <w:r/>
    </w:p>
    <w:p>
      <w:pPr>
        <w:ind w:firstLine="640"/>
        <w:rPr>
          <w:rFonts w:ascii="仿宋" w:hAnsi="仿宋" w:eastAsia="仿宋" w:cs="Times New Roman"/>
          <w:color w:val="auto"/>
          <w:sz w:val="32"/>
          <w:szCs w:val="32"/>
          <w:highlight w:val="none"/>
          <w:u w:val="single"/>
        </w:rPr>
      </w:pPr>
      <w:r>
        <w:rPr>
          <w:rFonts w:hint="eastAsia" w:ascii="仿宋" w:hAnsi="仿宋" w:eastAsia="仿宋" w:cs="Times New Roman"/>
          <w:color w:val="auto"/>
          <w:sz w:val="32"/>
          <w:szCs w:val="32"/>
          <w:highlight w:val="none"/>
        </w:rPr>
        <w:t xml:space="preserve">甲方：</w:t>
      </w:r>
      <w:r/>
    </w:p>
    <w:p>
      <w:pPr>
        <w:ind w:firstLine="64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 xml:space="preserve">乙方：</w:t>
      </w:r>
      <w:r/>
    </w:p>
    <w:p>
      <w:pPr>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r>
      <w:r/>
    </w:p>
    <w:p>
      <w:pPr>
        <w:jc w:val="center"/>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 xml:space="preserve">签订时间：      年    月    日</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依照《中华人民共和国政府采购法》、《中华人民共和国民法典》、《中华人民共和国建筑法》、及其他有关法律、行政法规，遵循平等、自愿、公平和诚实信用的原则，双方就</w:t>
      </w:r>
      <w:r>
        <w:rPr>
          <w:rFonts w:hint="eastAsia" w:ascii="仿宋" w:hAnsi="仿宋" w:eastAsia="仿宋" w:cs="Times New Roman"/>
          <w:bCs/>
          <w:color w:val="auto"/>
          <w:sz w:val="24"/>
          <w:highlight w:val="none"/>
        </w:rPr>
        <w:t xml:space="preserve">相关</w:t>
      </w:r>
      <w:r>
        <w:rPr>
          <w:rFonts w:hint="eastAsia" w:ascii="仿宋" w:hAnsi="仿宋" w:eastAsia="仿宋" w:cs="Times New Roman"/>
          <w:color w:val="auto"/>
          <w:sz w:val="24"/>
          <w:highlight w:val="none"/>
        </w:rPr>
        <w:t xml:space="preserve">事项协商一致，订立以下合同条款：</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一、工程概况</w:t>
      </w:r>
      <w:r/>
    </w:p>
    <w:p>
      <w:pPr>
        <w:ind w:left="420" w:right="105" w:firstLine="480"/>
        <w:jc w:val="both"/>
        <w:spacing w:after="0" w:line="400" w:lineRule="exact"/>
        <w:widowControl w:val="off"/>
        <w:rPr>
          <w:rFonts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工程名称：</w:t>
      </w:r>
      <w:r/>
    </w:p>
    <w:p>
      <w:pPr>
        <w:ind w:left="420" w:right="105" w:firstLine="480"/>
        <w:jc w:val="both"/>
        <w:spacing w:after="0" w:line="40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工程地点： </w:t>
      </w:r>
      <w:r/>
    </w:p>
    <w:p>
      <w:pPr>
        <w:ind w:left="420" w:right="105" w:firstLine="480"/>
        <w:jc w:val="both"/>
        <w:spacing w:after="0" w:line="40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工程内容： </w:t>
      </w:r>
      <w:r/>
    </w:p>
    <w:p>
      <w:pPr>
        <w:ind w:right="105" w:firstLine="96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工程立项批准文号： </w:t>
      </w:r>
      <w:r/>
    </w:p>
    <w:p>
      <w:pPr>
        <w:ind w:right="105" w:firstLine="96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承包范围：</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二、合同工期</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开工日期：20 年  月  日（具体开工日期以</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发出开工通知书为准）</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竣工日期：20年月日</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合同工期总日历天数</w:t>
      </w:r>
      <w:r>
        <w:rPr>
          <w:rFonts w:hint="eastAsia" w:ascii="仿宋" w:hAnsi="仿宋" w:eastAsia="仿宋" w:cs="Times New Roman"/>
          <w:color w:val="auto"/>
          <w:sz w:val="24"/>
          <w:highlight w:val="none"/>
          <w:u w:val="single"/>
          <w:lang w:val="en-US" w:eastAsia="zh-CN"/>
        </w:rPr>
        <w:t xml:space="preserve"> 60 </w:t>
      </w:r>
      <w:r>
        <w:rPr>
          <w:rFonts w:hint="eastAsia" w:ascii="仿宋" w:hAnsi="仿宋" w:eastAsia="仿宋" w:cs="Times New Roman"/>
          <w:color w:val="auto"/>
          <w:sz w:val="24"/>
          <w:highlight w:val="none"/>
        </w:rPr>
        <w:t xml:space="preserve">天。工期总日历天数与根据前述计划开竣工日期计算的工期天数不一致的，以计划竣工日期为准为准。</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三、技术要求</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（一）符合采购文件、图纸、工程量清单等要求。</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（二）施工期间做好清洁和保护工作，确保出入人员及车辆安全。</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（三）</w:t>
      </w:r>
      <w:r>
        <w:rPr>
          <w:rFonts w:hint="eastAsia" w:ascii="仿宋" w:hAnsi="仿宋" w:eastAsia="仿宋" w:cs="Times New Roman"/>
          <w:color w:val="auto"/>
          <w:sz w:val="24"/>
          <w:highlight w:val="none"/>
          <w:lang w:val="en-US" w:eastAsia="zh-CN"/>
        </w:rPr>
        <w:t xml:space="preserve">乙方</w:t>
      </w:r>
      <w:r>
        <w:rPr>
          <w:rFonts w:hint="eastAsia" w:ascii="仿宋" w:hAnsi="仿宋" w:eastAsia="仿宋" w:cs="Times New Roman"/>
          <w:color w:val="auto"/>
          <w:sz w:val="24"/>
          <w:highlight w:val="none"/>
        </w:rPr>
        <w:t xml:space="preserve">在项目施工中必须严格遵守相关的法规、规范和现场</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的规定，督促现场施工人员规范操作，采取严格有力的安全防护措施，做好安全防护工作（包括施工现场防护等），确保施工安装的人身安全，相关专业技术岗位必须持证上岗，一切安全责任均由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自负。</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（四）</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必须按不低于采购文件要求的材料质量及技术要求等标准供货、施工、安装等。</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（五）施工期间的水、电费用由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负责。</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（六）</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施工中必须按时清理施工场地，垃圾必须清理离场。竣工时对施工场所全面打扫。</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（七）</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在施工中做到项目负责人全程现场管理。</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（八）</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有权对</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提供的材料和设备进行复检，</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应予以积极配合，对不符合设计要求及验收规范的材料和设备，有权终止使用，发生的一切损失和费用由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承担。</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（九）</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必须遵守政府有关主管部门对施工噪音、环境保护和安全生产等的管理规定，如因</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的原因，导致扰民投诉及相关部门罚款的，均由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负责处理，费用自理。</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（十）</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不得拒绝完成</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在施工地点范围内变更或要求增加的工程内容。</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四、质量标准</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1、工程质量符合合格标准。</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2、本工程采用的技术规范：</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（1）国家、地方、行业现行的建设工程强制性条文、其他规范和标准；</w:t>
      </w:r>
      <w:r/>
    </w:p>
    <w:p>
      <w:pPr>
        <w:ind w:right="105" w:firstLine="480"/>
        <w:spacing w:line="400" w:lineRule="exact"/>
        <w:rPr>
          <w:rFonts w:ascii="仿宋" w:hAnsi="仿宋" w:eastAsia="仿宋" w:cs="Times New Roman"/>
          <w:color w:val="auto"/>
          <w:sz w:val="24"/>
          <w:highlight w:val="none"/>
          <w:lang w:val="zh-CN"/>
        </w:rPr>
      </w:pPr>
      <w:r>
        <w:rPr>
          <w:rFonts w:hint="eastAsia" w:ascii="仿宋" w:hAnsi="仿宋" w:eastAsia="仿宋" w:cs="Times New Roman"/>
          <w:color w:val="auto"/>
          <w:sz w:val="24"/>
          <w:highlight w:val="none"/>
        </w:rPr>
        <w:t xml:space="preserve">（2）国家、地方、行业现行的有关材料、设备的规范和标准。</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五、合同价款</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金额（大写）：元(人民币)</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          ￥ ：</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六、</w:t>
      </w:r>
      <w:r>
        <w:rPr>
          <w:rFonts w:hint="eastAsia" w:ascii="仿宋" w:hAnsi="仿宋" w:eastAsia="仿宋" w:cs="Times New Roman"/>
          <w:b/>
          <w:color w:val="auto"/>
          <w:sz w:val="24"/>
          <w:highlight w:val="none"/>
          <w:lang w:val="en-US" w:eastAsia="zh-CN"/>
        </w:rPr>
        <w:t xml:space="preserve">甲</w:t>
      </w:r>
      <w:r>
        <w:rPr>
          <w:rFonts w:hint="eastAsia" w:ascii="仿宋" w:hAnsi="仿宋" w:eastAsia="仿宋" w:cs="Times New Roman"/>
          <w:b/>
          <w:color w:val="auto"/>
          <w:sz w:val="24"/>
          <w:highlight w:val="none"/>
          <w:lang w:eastAsia="zh-CN"/>
        </w:rPr>
        <w:t xml:space="preserve">乙</w:t>
      </w:r>
      <w:r>
        <w:rPr>
          <w:rFonts w:hint="eastAsia" w:ascii="仿宋" w:hAnsi="仿宋" w:eastAsia="仿宋" w:cs="Times New Roman"/>
          <w:b/>
          <w:color w:val="auto"/>
          <w:sz w:val="24"/>
          <w:highlight w:val="none"/>
          <w:lang w:val="en-US" w:eastAsia="zh-CN"/>
        </w:rPr>
        <w:t xml:space="preserve">双</w:t>
      </w:r>
      <w:r>
        <w:rPr>
          <w:rFonts w:hint="eastAsia" w:ascii="仿宋" w:hAnsi="仿宋" w:eastAsia="仿宋" w:cs="Times New Roman"/>
          <w:b/>
          <w:color w:val="auto"/>
          <w:sz w:val="24"/>
          <w:highlight w:val="none"/>
          <w:lang w:eastAsia="zh-CN"/>
        </w:rPr>
        <w:t xml:space="preserve">方</w:t>
      </w:r>
      <w:r>
        <w:rPr>
          <w:rFonts w:hint="eastAsia" w:ascii="仿宋" w:hAnsi="仿宋" w:eastAsia="仿宋" w:cs="Times New Roman"/>
          <w:b/>
          <w:color w:val="auto"/>
          <w:sz w:val="24"/>
          <w:highlight w:val="none"/>
        </w:rPr>
        <w:t xml:space="preserve">派驻本项目相关负责人：</w:t>
      </w:r>
      <w:r/>
    </w:p>
    <w:p>
      <w:pPr>
        <w:ind w:right="105" w:firstLine="480"/>
        <w:spacing w:line="400" w:lineRule="exac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1.甲方项目负责人：   ；联系电话：</w:t>
      </w:r>
      <w:r/>
    </w:p>
    <w:p>
      <w:pPr>
        <w:ind w:right="105" w:firstLine="480"/>
        <w:spacing w:line="400" w:lineRule="exac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2.乙方项目负责人</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lang w:val="en-US" w:eastAsia="zh-CN"/>
        </w:rPr>
        <w:t xml:space="preserve">（1）</w:t>
      </w:r>
      <w:r>
        <w:rPr>
          <w:rFonts w:hint="eastAsia" w:ascii="仿宋" w:hAnsi="仿宋" w:eastAsia="仿宋" w:cs="Times New Roman"/>
          <w:color w:val="auto"/>
          <w:sz w:val="24"/>
          <w:highlight w:val="none"/>
        </w:rPr>
        <w:t xml:space="preserve">项目经理：</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；电话：</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        </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注册类别：</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            </w:t>
      </w:r>
      <w:r/>
    </w:p>
    <w:p>
      <w:pPr>
        <w:ind w:right="105" w:firstLine="480"/>
        <w:spacing w:line="400" w:lineRule="exact"/>
        <w:rPr>
          <w:rFonts w:ascii="仿宋" w:hAnsi="仿宋" w:eastAsia="仿宋" w:cs="Times New Roman"/>
          <w:color w:val="auto"/>
          <w:sz w:val="24"/>
          <w:highlight w:val="none"/>
          <w:u w:val="single"/>
        </w:rPr>
      </w:pPr>
      <w:r>
        <w:rPr>
          <w:rFonts w:hint="eastAsia" w:ascii="仿宋" w:hAnsi="仿宋" w:eastAsia="仿宋" w:cs="Times New Roman"/>
          <w:color w:val="auto"/>
          <w:sz w:val="24"/>
          <w:highlight w:val="none"/>
        </w:rPr>
        <w:t xml:space="preserve">建造师注册编号：</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rPr>
        <w:t xml:space="preserve">项目安全员</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电话：</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         </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   安全证书编号： ；           </w:t>
      </w:r>
      <w:r/>
    </w:p>
    <w:p>
      <w:pPr>
        <w:ind w:right="105" w:firstLine="482"/>
        <w:spacing w:line="400" w:lineRule="exact"/>
        <w:rPr>
          <w:rFonts w:ascii="仿宋" w:hAnsi="仿宋" w:eastAsia="仿宋" w:cs="Times New Roman"/>
          <w:color w:val="auto"/>
          <w:sz w:val="24"/>
          <w:highlight w:val="none"/>
        </w:rPr>
      </w:pPr>
      <w:r>
        <w:rPr>
          <w:rFonts w:hint="eastAsia" w:ascii="仿宋" w:hAnsi="仿宋" w:eastAsia="仿宋" w:cs="Times New Roman"/>
          <w:b/>
          <w:color w:val="auto"/>
          <w:sz w:val="24"/>
          <w:highlight w:val="none"/>
        </w:rPr>
        <w:t xml:space="preserve">七、组成合同的文件</w:t>
      </w:r>
      <w:r/>
    </w:p>
    <w:p>
      <w:pPr>
        <w:ind w:right="105" w:firstLine="480"/>
        <w:spacing w:line="400" w:lineRule="exact"/>
        <w:rPr>
          <w:rFonts w:ascii="仿宋" w:hAnsi="仿宋" w:eastAsia="仿宋" w:cs="Times New Roman"/>
          <w:b/>
          <w:color w:val="auto"/>
          <w:sz w:val="24"/>
          <w:highlight w:val="none"/>
        </w:rPr>
      </w:pPr>
      <w:r>
        <w:rPr>
          <w:rFonts w:hint="eastAsia" w:ascii="仿宋" w:hAnsi="仿宋" w:eastAsia="仿宋" w:cs="Times New Roman"/>
          <w:color w:val="auto"/>
          <w:sz w:val="24"/>
          <w:highlight w:val="none"/>
        </w:rPr>
        <w:t xml:space="preserve"> 本合同的组成文件和解释顺序如下：</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（一）本合同协议书；</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（二）洽商、变更等明确双方权利、义务的纪要、协议；</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（三）竞争性磋商文件、中标（成交）通知书和响应文件；</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宋体"/>
          <w:color w:val="auto"/>
          <w:sz w:val="24"/>
          <w:highlight w:val="none"/>
        </w:rPr>
        <w:t xml:space="preserve">（四）工程量清单或确定工程造价的工程预算书和图纸；</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（五）标准、规范及有关技术文件、技术要求；</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宋体"/>
          <w:color w:val="auto"/>
          <w:sz w:val="24"/>
          <w:highlight w:val="none"/>
        </w:rPr>
        <w:t xml:space="preserve">（六）经双方确认的信函、传真、电子邮件等，将作为本合同的组成部分，具有合同的效力。</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八、本协议书中有关词语含义与本合同第二部分《通用条款》中赋予它们的定义相同。</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九、</w:t>
      </w:r>
      <w:r>
        <w:rPr>
          <w:rFonts w:hint="eastAsia" w:ascii="仿宋" w:hAnsi="仿宋" w:eastAsia="仿宋" w:cs="Times New Roman"/>
          <w:b/>
          <w:color w:val="auto"/>
          <w:sz w:val="24"/>
          <w:highlight w:val="none"/>
          <w:lang w:val="en-US" w:eastAsia="zh-CN"/>
        </w:rPr>
        <w:t xml:space="preserve">乙方</w:t>
      </w:r>
      <w:r>
        <w:rPr>
          <w:rFonts w:hint="eastAsia" w:ascii="仿宋" w:hAnsi="仿宋" w:eastAsia="仿宋" w:cs="Times New Roman"/>
          <w:b/>
          <w:color w:val="auto"/>
          <w:sz w:val="24"/>
          <w:highlight w:val="none"/>
        </w:rPr>
        <w:t xml:space="preserve">向</w:t>
      </w:r>
      <w:r>
        <w:rPr>
          <w:rFonts w:hint="eastAsia" w:ascii="仿宋" w:hAnsi="仿宋" w:eastAsia="仿宋" w:cs="Times New Roman"/>
          <w:b/>
          <w:color w:val="auto"/>
          <w:sz w:val="24"/>
          <w:highlight w:val="none"/>
          <w:lang w:val="en-US" w:eastAsia="zh-CN"/>
        </w:rPr>
        <w:t xml:space="preserve">甲方</w:t>
      </w:r>
      <w:r>
        <w:rPr>
          <w:rFonts w:hint="eastAsia" w:ascii="仿宋" w:hAnsi="仿宋" w:eastAsia="仿宋" w:cs="Times New Roman"/>
          <w:b/>
          <w:color w:val="auto"/>
          <w:sz w:val="24"/>
          <w:highlight w:val="none"/>
        </w:rPr>
        <w:t xml:space="preserve">承诺按照合同约定进行施工、竣工并在质量保修期内承担工程质量保修责任。</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十、</w:t>
      </w:r>
      <w:r>
        <w:rPr>
          <w:rFonts w:hint="eastAsia" w:ascii="仿宋" w:hAnsi="仿宋" w:eastAsia="仿宋" w:cs="Times New Roman"/>
          <w:b/>
          <w:color w:val="auto"/>
          <w:sz w:val="24"/>
          <w:highlight w:val="none"/>
          <w:lang w:val="en-US" w:eastAsia="zh-CN"/>
        </w:rPr>
        <w:t xml:space="preserve">甲方</w:t>
      </w:r>
      <w:r>
        <w:rPr>
          <w:rFonts w:hint="eastAsia" w:ascii="仿宋" w:hAnsi="仿宋" w:eastAsia="仿宋" w:cs="Times New Roman"/>
          <w:b/>
          <w:color w:val="auto"/>
          <w:sz w:val="24"/>
          <w:highlight w:val="none"/>
        </w:rPr>
        <w:t xml:space="preserve">向</w:t>
      </w:r>
      <w:r>
        <w:rPr>
          <w:rFonts w:hint="eastAsia" w:ascii="仿宋" w:hAnsi="仿宋" w:eastAsia="仿宋" w:cs="Times New Roman"/>
          <w:b/>
          <w:color w:val="auto"/>
          <w:sz w:val="24"/>
          <w:highlight w:val="none"/>
          <w:lang w:val="en-US" w:eastAsia="zh-CN"/>
        </w:rPr>
        <w:t xml:space="preserve">乙方</w:t>
      </w:r>
      <w:r>
        <w:rPr>
          <w:rFonts w:hint="eastAsia" w:ascii="仿宋" w:hAnsi="仿宋" w:eastAsia="仿宋" w:cs="Times New Roman"/>
          <w:b/>
          <w:color w:val="auto"/>
          <w:sz w:val="24"/>
          <w:highlight w:val="none"/>
        </w:rPr>
        <w:t xml:space="preserve">承诺按照合同约定的期限和方式支付合同价款及其他应当支付的款项。</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十一、合同生效</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合同订立时间： 年月日；</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合同订立地点： ；   </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本合同双方约定签字盖章后生效。</w:t>
      </w:r>
      <w:r/>
    </w:p>
    <w:p>
      <w:pPr>
        <w:ind w:right="105"/>
        <w:jc w:val="center"/>
        <w:spacing w:line="400" w:lineRule="exact"/>
        <w:rPr>
          <w:rFonts w:ascii="仿宋" w:hAnsi="仿宋" w:eastAsia="仿宋" w:cs="Times New Roman"/>
          <w:b/>
          <w:color w:val="auto"/>
          <w:sz w:val="24"/>
          <w:highlight w:val="none"/>
        </w:rPr>
      </w:pPr>
      <w:r>
        <w:rPr>
          <w:rFonts w:ascii="仿宋" w:hAnsi="仿宋" w:eastAsia="仿宋" w:cs="Times New Roman"/>
          <w:b/>
          <w:color w:val="auto"/>
          <w:sz w:val="24"/>
          <w:highlight w:val="none"/>
        </w:rPr>
      </w:r>
      <w:r/>
    </w:p>
    <w:p>
      <w:pPr>
        <w:ind w:right="105"/>
        <w:jc w:val="center"/>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专用条款</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十二、双方一般权利和义务</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（一）甲方权利和义务</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甲方应按约定的时间和要求完成以下工作：</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1、施工现场具备施工条件的要求及完成时间：提供施工所需的红线内场地，并在计算工期前将施工现场各种障碍物清除；其他料场、办公等用地由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自行解决。</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2、将所需的水、电、电讯线路接至施工现场的时间、地点和供应要求： 。</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3、施工场地与公共道路的通道开通时间和要求：计算工期前负责公共道路的畅通。</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4、工程地质和地下管网线资料的提供时间：计算工期前提供工程地质和地下管网线路等资料。</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5、由</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办理的施工所需证件、批件的名称和完成时间：计算工期前办妥相关开工手续。</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6、水准点与坐标控制点交验要求：开工前提供水准点与坐标控制点，按施工图由</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、监理现场书面交验，交验后，</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应妥善保护场内水准点与控制点，任意破坏或遗失应由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负责恢复的费用。</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7、图纸会审和设计交底时间：现场另行确定。</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8、协调处理施工场地周围地下管线和邻近建筑物、构筑物（含文物保护建筑）、古树名木的保护工作：督促</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做好保护工作。</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9、双方约定</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应做的其他工作：协商处理。</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（二）乙方权利和义务</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乙方应按约定的时间和要求完成以下工作：</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1、需由设计资质等级和业务范围允许的</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完成的设计文件提交时间：无约定。</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2、应提供计划、报表的名称及完成时间：进场后一周内提供材料计划，每月15日、30日前分别向</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和监理方提供详细的施工进度计划、已完工程量报表（含工程变更及签证预算）、甲供材料清单、乙购材料清单、材料进场计划、劳动力及用款计划等资料，分项的施工组织设计开工前向</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提供。</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3、承担施工安全保卫工作及非夜间施工照明的责任和要求：由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负责。</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4、向</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提供的办公和生活房屋及设施的要求：向</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和监理方分别提供不少于/平方米的办公及生活用房。</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5、需</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办理的有关施工场地交通、环卫和施工噪音管理等手续：按有关规定办理上述手续，费用由负责。施工中建筑垃圾需运出施工现场外时，</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需到城管部门办理相关手续并按城管部门指定地点放置。</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6、已完工程成品保护的特殊要求及费用承担：已竣工工程未交付甲方验收之前的成品保护由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负责，费用由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负责；甲方在竣工验收前使用，发生损坏的修理费用由甲方承担。</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7、施工场地周围地下管线和邻近建筑物、构筑物（含文物保护建筑）、古树名木的保护要求及费用承担：做好邻近建筑物的保护和观测工作，因</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的责任造成的财产和人身损失，由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承担相关费用。</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8、施工现场清洁卫生的要求：</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所有人员进入工地后必须遵守相关管理规定，做到文明施工、规范施工。</w:t>
      </w:r>
      <w:r/>
    </w:p>
    <w:p>
      <w:pPr>
        <w:ind w:firstLine="480"/>
        <w:spacing w:line="400" w:lineRule="exact"/>
        <w:rPr>
          <w:rFonts w:ascii="仿宋" w:hAnsi="仿宋" w:eastAsia="仿宋" w:cs="Times New Roman"/>
          <w:color w:val="auto"/>
          <w:sz w:val="24"/>
          <w:highlight w:val="none"/>
          <w:u w:val="single"/>
        </w:rPr>
      </w:pPr>
      <w:r>
        <w:rPr>
          <w:rFonts w:hint="eastAsia" w:ascii="仿宋" w:hAnsi="仿宋" w:eastAsia="仿宋" w:cs="Times New Roman"/>
          <w:color w:val="auto"/>
          <w:sz w:val="24"/>
          <w:highlight w:val="none"/>
        </w:rPr>
        <w:t xml:space="preserve">9、双方约定</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应做的其他工作：</w:t>
      </w:r>
      <w:r>
        <w:rPr>
          <w:rFonts w:hint="eastAsia" w:ascii="仿宋" w:hAnsi="仿宋" w:eastAsia="仿宋" w:cs="Times New Roman"/>
          <w:color w:val="auto"/>
          <w:sz w:val="24"/>
          <w:highlight w:val="none"/>
          <w:u w:val="single"/>
        </w:rPr>
        <w:t xml:space="preserve">另订协议。</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十三、工程验收</w:t>
      </w:r>
      <w:r/>
    </w:p>
    <w:p>
      <w:pPr>
        <w:ind w:right="105" w:firstLine="480"/>
        <w:spacing w:line="400" w:lineRule="exact"/>
        <w:rPr>
          <w:rFonts w:ascii="仿宋" w:hAnsi="仿宋" w:eastAsia="仿宋" w:cs="Times New Roman"/>
          <w:b/>
          <w:color w:val="auto"/>
          <w:sz w:val="24"/>
          <w:highlight w:val="none"/>
        </w:rPr>
      </w:pPr>
      <w:r>
        <w:rPr>
          <w:rFonts w:hint="eastAsia" w:ascii="仿宋" w:hAnsi="仿宋" w:eastAsia="仿宋" w:cs="Times New Roman"/>
          <w:color w:val="auto"/>
          <w:sz w:val="24"/>
          <w:highlight w:val="none"/>
        </w:rPr>
        <w:t xml:space="preserve">（一）甲方在收到乙方送交的竣工报告十日内，组织有关部门进行全面验收，</w:t>
      </w:r>
      <w:r>
        <w:rPr>
          <w:rFonts w:hint="eastAsia" w:ascii="仿宋" w:hAnsi="仿宋" w:eastAsia="仿宋" w:cs="Times New Roman"/>
          <w:bCs/>
          <w:color w:val="auto"/>
          <w:sz w:val="24"/>
          <w:highlight w:val="none"/>
        </w:rPr>
        <w:t xml:space="preserve">并出具验收报告</w:t>
      </w:r>
      <w:r>
        <w:rPr>
          <w:rFonts w:hint="eastAsia" w:ascii="仿宋" w:hAnsi="仿宋" w:eastAsia="仿宋" w:cs="Times New Roman"/>
          <w:color w:val="auto"/>
          <w:sz w:val="24"/>
          <w:highlight w:val="none"/>
        </w:rPr>
        <w:t xml:space="preserve">。</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（二）甲方在验收中，如发现有与合同规定不符的，应在3天内向乙方提出书面意见，不签发验收单，并同时将该书面意见提交至市采购中心。乙方在接到甲方书面意见后，应在</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rPr>
        <w:t xml:space="preserve">天内予以处理，并将处理结果以书面形式告知采购中心。</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十四、验收方案</w:t>
      </w:r>
      <w:r/>
    </w:p>
    <w:p>
      <w:pPr>
        <w:ind w:firstLine="480"/>
        <w:jc w:val="left"/>
        <w:spacing w:line="40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在接到乙方以书面形式提出验收申请后，甲方进行验收并出具验收报告，作为支付的依据。</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十五、履约保证金</w:t>
      </w:r>
      <w:r/>
    </w:p>
    <w:p>
      <w:pPr>
        <w:ind w:firstLine="480"/>
        <w:jc w:val="left"/>
        <w:spacing w:line="40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中标（成交）结果公告期满后7个工作日内，乙方按照成交金额10%向甲方缴纳履约保证金,乙方可以选择以转账、支票、汇票、本票、银行保函(见索即付)、保险保函(见索即付)等非现金形式缴纳履约保证金。履约验收完毕后，甲方在5个工作日内退还履约保证金。乙方未在规定时间内缴纳履约保证金将视为成交单位放弃成交资格。</w:t>
      </w:r>
      <w:r/>
    </w:p>
    <w:p>
      <w:pPr>
        <w:ind w:firstLine="480"/>
        <w:jc w:val="left"/>
        <w:spacing w:line="40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履约保证金收款单位名称为：如皋市财政局</w:t>
      </w:r>
      <w:r/>
    </w:p>
    <w:p>
      <w:pPr>
        <w:ind w:firstLine="480"/>
        <w:jc w:val="left"/>
        <w:spacing w:line="40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开户行：如皋建行营业部，账号：32001647236051117660</w:t>
      </w:r>
      <w:r/>
    </w:p>
    <w:p>
      <w:pPr>
        <w:ind w:firstLine="480"/>
        <w:jc w:val="left"/>
        <w:spacing w:line="40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联系电话：0513-87651173</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十六、工程结算方式</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1、本项目采用全费用固定单价报价。在合同实施期间，合同价不随国家政策或法规、标准及市场因素的变化而进行调整。成交价应包括完成该工程项目采购范围内相应工程量清单及</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后续确定工程量的全部内容，以及为</w:t>
      </w:r>
      <w:r>
        <w:rPr>
          <w:rFonts w:hint="eastAsia" w:ascii="仿宋" w:hAnsi="仿宋" w:eastAsia="仿宋" w:cs="Times New Roman"/>
          <w:color w:val="auto"/>
          <w:sz w:val="24"/>
          <w:highlight w:val="none"/>
        </w:rPr>
        <w:t xml:space="preserve">完成上述内容所必须的人工费、材料费、机械费、环境保护费、文明施工费、工地器材搬运费、场地清理费、临时设施费、工程车辆使用费、夜间施工增加费、冬雨季施工增加费、生产工具用具使用费、施工用水电蒸气费、特殊地区施工增加费、已完工程及设备保护费、运输费、安装费、施工队伍调遣费、大型施工机械调遣费、工程排污费、社会保障费、住房公积金、危险作业意外伤害保险费、企业管理费、利润、安全生产费、赶工措施费、检验费及检测费用、规费、税金、采购代理费等所需的全部费用（以上包含但不限于）。即为完成各项全费用综合单价所需的全部费用，</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不另外支付其他任何费用。结算时除</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要求变更外，投标单价一律不作调整。</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因</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要求工程变更引起工程项目或其工程数量发生变化时，按照下列规定调整：A、变更引起工程量增减，按照投标固定单价执行。B、变更引起新的工程项目增加由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提出，经</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确认后作为结算依据。</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应根据本单位掌握的材料价格信息，结合企业综合情况自主报价，同时要充分考虑材料价格升降等风险因素，竣工结算时不论增减，不予调整。</w:t>
      </w:r>
      <w:r/>
    </w:p>
    <w:p>
      <w:pPr>
        <w:ind w:right="105" w:firstLine="482"/>
        <w:jc w:val="left"/>
        <w:spacing w:after="0" w:line="400" w:lineRule="exact"/>
        <w:widowControl/>
        <w:rPr>
          <w:rFonts w:ascii="仿宋" w:hAnsi="仿宋" w:eastAsia="仿宋" w:cs="Times New Roman"/>
          <w:b/>
          <w:color w:val="auto"/>
          <w:sz w:val="24"/>
          <w:szCs w:val="24"/>
          <w:highlight w:val="none"/>
          <w:lang w:val="en-US" w:eastAsia="zh-CN" w:bidi="ar-SA"/>
        </w:rPr>
      </w:pPr>
      <w:r>
        <w:rPr>
          <w:rFonts w:hint="eastAsia" w:ascii="仿宋" w:hAnsi="仿宋" w:eastAsia="仿宋" w:cs="Times New Roman"/>
          <w:b/>
          <w:color w:val="auto"/>
          <w:sz w:val="24"/>
          <w:szCs w:val="24"/>
          <w:highlight w:val="none"/>
          <w:lang w:val="en-US" w:eastAsia="zh-CN" w:bidi="ar-SA"/>
        </w:rPr>
        <w:t xml:space="preserve">十七、付款方式</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 1.</w:t>
      </w:r>
      <w:r>
        <w:rPr>
          <w:rFonts w:hint="eastAsia" w:ascii="仿宋" w:hAnsi="仿宋" w:eastAsia="仿宋" w:cs="Times New Roman"/>
          <w:color w:val="auto"/>
          <w:sz w:val="24"/>
          <w:highlight w:val="none"/>
          <w:lang w:eastAsia="zh-CN"/>
        </w:rPr>
        <w:t xml:space="preserve">签订合同后支付预付款为合同金额的</w:t>
      </w:r>
      <w:r>
        <w:rPr>
          <w:rFonts w:hint="eastAsia" w:ascii="仿宋" w:hAnsi="仿宋" w:eastAsia="仿宋" w:cs="Times New Roman"/>
          <w:color w:val="auto"/>
          <w:sz w:val="24"/>
          <w:highlight w:val="none"/>
          <w:lang w:val="en-US" w:eastAsia="zh-CN"/>
        </w:rPr>
        <w:t xml:space="preserve">10</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rPr>
        <w:t xml:space="preserve">项目工程竣工验收合格</w:t>
      </w:r>
      <w:r>
        <w:rPr>
          <w:rFonts w:hint="eastAsia" w:ascii="仿宋" w:hAnsi="仿宋" w:eastAsia="仿宋" w:cs="Times New Roman"/>
          <w:color w:val="auto"/>
          <w:sz w:val="24"/>
          <w:highlight w:val="none"/>
          <w:lang w:eastAsia="zh-CN"/>
        </w:rPr>
        <w:t xml:space="preserve">后</w:t>
      </w:r>
      <w:r>
        <w:rPr>
          <w:rFonts w:hint="eastAsia" w:ascii="仿宋" w:hAnsi="仿宋" w:eastAsia="仿宋" w:cs="Times New Roman"/>
          <w:color w:val="auto"/>
          <w:sz w:val="24"/>
          <w:highlight w:val="none"/>
          <w:lang w:val="en-US" w:eastAsia="zh-CN"/>
        </w:rPr>
        <w:t xml:space="preserve">自</w:t>
      </w:r>
      <w:r>
        <w:rPr>
          <w:rFonts w:hint="eastAsia" w:ascii="仿宋" w:hAnsi="仿宋" w:eastAsia="仿宋" w:cs="Times New Roman"/>
          <w:color w:val="auto"/>
          <w:sz w:val="24"/>
          <w:highlight w:val="none"/>
          <w:lang w:val="zh-CN" w:eastAsia="zh-CN"/>
        </w:rPr>
        <w:t xml:space="preserve">交付之日起</w:t>
      </w:r>
      <w:r>
        <w:rPr>
          <w:rFonts w:hint="eastAsia" w:ascii="仿宋" w:hAnsi="仿宋" w:eastAsia="仿宋" w:cs="Times New Roman"/>
          <w:color w:val="auto"/>
          <w:sz w:val="24"/>
          <w:highlight w:val="none"/>
          <w:lang w:val="en-US" w:eastAsia="zh-CN"/>
        </w:rPr>
        <w:t xml:space="preserve">60</w:t>
      </w:r>
      <w:r>
        <w:rPr>
          <w:rFonts w:hint="eastAsia" w:ascii="仿宋" w:hAnsi="仿宋" w:eastAsia="仿宋" w:cs="Times New Roman"/>
          <w:color w:val="auto"/>
          <w:sz w:val="24"/>
          <w:highlight w:val="none"/>
          <w:lang w:val="zh-CN" w:eastAsia="zh-CN"/>
        </w:rPr>
        <w:t xml:space="preserve">日内支付款项。</w:t>
      </w:r>
      <w:r>
        <w:rPr>
          <w:rFonts w:hint="eastAsia" w:ascii="仿宋" w:hAnsi="仿宋" w:eastAsia="仿宋" w:cs="Times New Roman"/>
          <w:color w:val="auto"/>
          <w:sz w:val="24"/>
          <w:highlight w:val="none"/>
        </w:rPr>
        <w:t xml:space="preserve">每次支付前，</w:t>
      </w:r>
      <w:r>
        <w:rPr>
          <w:rFonts w:hint="eastAsia" w:ascii="仿宋" w:hAnsi="仿宋" w:eastAsia="仿宋" w:cs="Times New Roman"/>
          <w:color w:val="auto"/>
          <w:sz w:val="24"/>
          <w:highlight w:val="none"/>
          <w:lang w:val="en-US" w:eastAsia="zh-CN"/>
        </w:rPr>
        <w:t xml:space="preserve">乙方</w:t>
      </w:r>
      <w:r>
        <w:rPr>
          <w:rFonts w:hint="eastAsia" w:ascii="仿宋" w:hAnsi="仿宋" w:eastAsia="仿宋" w:cs="Times New Roman"/>
          <w:color w:val="auto"/>
          <w:sz w:val="24"/>
          <w:highlight w:val="none"/>
        </w:rPr>
        <w:t xml:space="preserve">均应出具符合</w:t>
      </w:r>
      <w:r>
        <w:rPr>
          <w:rFonts w:hint="eastAsia" w:ascii="仿宋" w:hAnsi="仿宋" w:eastAsia="仿宋" w:cs="Times New Roman"/>
          <w:color w:val="auto"/>
          <w:sz w:val="24"/>
          <w:highlight w:val="none"/>
          <w:lang w:val="en-US" w:eastAsia="zh-CN"/>
        </w:rPr>
        <w:t xml:space="preserve">甲方</w:t>
      </w:r>
      <w:r>
        <w:rPr>
          <w:rFonts w:hint="eastAsia" w:ascii="仿宋" w:hAnsi="仿宋" w:eastAsia="仿宋" w:cs="Times New Roman"/>
          <w:color w:val="auto"/>
          <w:sz w:val="24"/>
          <w:highlight w:val="none"/>
        </w:rPr>
        <w:t xml:space="preserve">财务规定以及开票报税要求的相应金额的正式发票。</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w:t>
      </w:r>
      <w:r>
        <w:rPr>
          <w:rFonts w:hint="eastAsia" w:ascii="仿宋" w:hAnsi="仿宋" w:eastAsia="仿宋" w:cs="Times New Roman"/>
          <w:color w:val="auto"/>
          <w:sz w:val="24"/>
          <w:highlight w:val="none"/>
          <w:lang w:val="zh-CN"/>
        </w:rPr>
        <w:t xml:space="preserve">工程验收合格后三个月内，项目建设单位会同监理单位监督施工单位如实编制工程结算，由建设单位委托社会审计机构进行工程结算审计，结算以审计报告为准。工程竣工结算核减率在1%以内，其审计咨询服务费甲方承担；核减率超过1%的，审计费用按照苏建价协（2022）7 号文计算全部费用由乙方承付，建设单位在工程结算审定价中扣除，建设单位直接代为支付给审计单位。</w:t>
      </w:r>
      <w:r/>
    </w:p>
    <w:p>
      <w:pPr>
        <w:ind w:firstLine="482"/>
        <w:spacing w:line="400" w:lineRule="exact"/>
        <w:rPr>
          <w:rFonts w:hint="eastAsia" w:ascii="仿宋" w:hAnsi="仿宋" w:eastAsia="仿宋" w:cs="Times New Roman"/>
          <w:b/>
          <w:color w:val="auto"/>
          <w:sz w:val="24"/>
          <w:highlight w:val="none"/>
          <w:lang w:eastAsia="zh-CN"/>
        </w:rPr>
      </w:pPr>
      <w:r>
        <w:rPr>
          <w:rFonts w:hint="eastAsia" w:ascii="仿宋" w:hAnsi="仿宋" w:eastAsia="仿宋" w:cs="Times New Roman"/>
          <w:b/>
          <w:color w:val="auto"/>
          <w:sz w:val="24"/>
          <w:highlight w:val="none"/>
        </w:rPr>
        <w:t xml:space="preserve">如</w:t>
      </w:r>
      <w:r>
        <w:rPr>
          <w:rFonts w:hint="eastAsia" w:ascii="仿宋" w:hAnsi="仿宋" w:eastAsia="仿宋" w:cs="Times New Roman"/>
          <w:b/>
          <w:color w:val="auto"/>
          <w:sz w:val="24"/>
          <w:highlight w:val="none"/>
          <w:lang w:val="en-US" w:eastAsia="zh-CN"/>
        </w:rPr>
        <w:t xml:space="preserve">乙方</w:t>
      </w:r>
      <w:r>
        <w:rPr>
          <w:rFonts w:hint="eastAsia" w:ascii="仿宋" w:hAnsi="仿宋" w:eastAsia="仿宋" w:cs="Times New Roman"/>
          <w:b/>
          <w:color w:val="auto"/>
          <w:sz w:val="24"/>
          <w:highlight w:val="none"/>
        </w:rPr>
        <w:t xml:space="preserve">不能</w:t>
      </w:r>
      <w:r>
        <w:rPr>
          <w:rFonts w:hint="eastAsia" w:ascii="仿宋" w:hAnsi="仿宋" w:eastAsia="仿宋" w:cs="Times New Roman"/>
          <w:b/>
          <w:color w:val="auto"/>
          <w:sz w:val="24"/>
          <w:highlight w:val="none"/>
          <w:lang w:val="en-US" w:eastAsia="zh-CN"/>
        </w:rPr>
        <w:t xml:space="preserve">按时</w:t>
      </w:r>
      <w:r>
        <w:rPr>
          <w:rFonts w:hint="eastAsia" w:ascii="仿宋" w:hAnsi="仿宋" w:eastAsia="仿宋" w:cs="Times New Roman"/>
          <w:b/>
          <w:color w:val="auto"/>
          <w:sz w:val="24"/>
          <w:highlight w:val="none"/>
        </w:rPr>
        <w:t xml:space="preserve">提供正式发票，</w:t>
      </w:r>
      <w:r>
        <w:rPr>
          <w:rFonts w:hint="eastAsia" w:ascii="仿宋" w:hAnsi="仿宋" w:eastAsia="仿宋" w:cs="Times New Roman"/>
          <w:b/>
          <w:color w:val="auto"/>
          <w:sz w:val="24"/>
          <w:highlight w:val="none"/>
          <w:lang w:val="en-US" w:eastAsia="zh-CN"/>
        </w:rPr>
        <w:t xml:space="preserve">甲方</w:t>
      </w:r>
      <w:r>
        <w:rPr>
          <w:rFonts w:hint="eastAsia" w:ascii="仿宋" w:hAnsi="仿宋" w:eastAsia="仿宋" w:cs="Times New Roman"/>
          <w:b/>
          <w:color w:val="auto"/>
          <w:sz w:val="24"/>
          <w:highlight w:val="none"/>
        </w:rPr>
        <w:t xml:space="preserve">有权支付顺延</w:t>
      </w:r>
      <w:r>
        <w:rPr>
          <w:rFonts w:hint="eastAsia" w:ascii="仿宋" w:hAnsi="仿宋" w:eastAsia="仿宋" w:cs="Times New Roman"/>
          <w:b/>
          <w:color w:val="auto"/>
          <w:sz w:val="24"/>
          <w:highlight w:val="none"/>
          <w:lang w:eastAsia="zh-CN"/>
        </w:rPr>
        <w:t xml:space="preserve">。</w:t>
      </w:r>
      <w:r/>
    </w:p>
    <w:p>
      <w:pPr>
        <w:ind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十八、工程保修期</w:t>
      </w:r>
      <w:r/>
    </w:p>
    <w:p>
      <w:pPr>
        <w:ind w:right="105" w:firstLine="360"/>
        <w:spacing w:line="400" w:lineRule="exact"/>
        <w:rPr>
          <w:rFonts w:ascii="仿宋" w:hAnsi="仿宋" w:eastAsia="仿宋" w:cs="Arial"/>
          <w:color w:val="auto"/>
          <w:sz w:val="24"/>
          <w:highlight w:val="none"/>
        </w:rPr>
      </w:pPr>
      <w:r>
        <w:rPr>
          <w:rFonts w:hint="eastAsia" w:ascii="仿宋" w:hAnsi="仿宋" w:eastAsia="仿宋" w:cs="Arial"/>
          <w:color w:val="auto"/>
          <w:sz w:val="24"/>
          <w:highlight w:val="none"/>
        </w:rPr>
        <w:t xml:space="preserve">　本工程保修期为</w:t>
      </w:r>
      <w:r>
        <w:rPr>
          <w:rFonts w:hint="eastAsia" w:ascii="仿宋" w:hAnsi="仿宋" w:eastAsia="仿宋" w:cs="Arial"/>
          <w:color w:val="auto"/>
          <w:sz w:val="24"/>
          <w:highlight w:val="none"/>
          <w:u w:val="single"/>
        </w:rPr>
        <w:t xml:space="preserve">贰</w:t>
      </w:r>
      <w:r>
        <w:rPr>
          <w:rFonts w:hint="eastAsia" w:ascii="仿宋" w:hAnsi="仿宋" w:eastAsia="仿宋" w:cs="Arial"/>
          <w:color w:val="auto"/>
          <w:sz w:val="24"/>
          <w:highlight w:val="none"/>
        </w:rPr>
        <w:t xml:space="preserve">年。</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十九、其他事项</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1、农民工工资支付须严格执行《保障农民工工资支付条例》的相关规定，</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应按照规定，满足施工所需要的资金安排，及时足额拨付人工费用至农民工工资专用账户，拨付周期不得超过一个月，并监督施工单位按时足额支付到农民工本人的银行账户。</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2、在施工过程中，须加强绿色建造与环境管理，做好扬尘防治工作，减少噪音污染等工作。</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应严格按照《建设工程安全生产管理条例》等法律、工程建设安全生产地有关管理规定，采取安全措施组织施工，并对本合同范围内所有施工范围和施工人员负全部安全生产责任。若发生安全事故，一切责任由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承担，发生一般或以上等级安全事故（按照国务院第493号令的等级标准），</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在承担相应赔偿责任的同时，向</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二十、安全文明施工</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1、施工期间承包施工方必须严格按安全文明施工规范组织施工，建立健全安全生产组织网络、安全责任体系、制度，同时认真记好安全台帐。如发生安全事故一律由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负全责。</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2、施工单位必须依法为施工现场从事管理和作业的员工办理团体人身意外伤害保险。</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3、施工现场必须按要求布设通告、警示标志、施工护栏及警示红灯，并明确专职安全员日夜巡查。</w:t>
      </w:r>
      <w:r/>
    </w:p>
    <w:p>
      <w:pPr>
        <w:ind w:right="105" w:firstLine="482"/>
        <w:spacing w:line="400" w:lineRule="exact"/>
        <w:rPr>
          <w:rFonts w:hint="eastAsia"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二十一、违约</w:t>
      </w:r>
      <w:r/>
    </w:p>
    <w:p>
      <w:pPr>
        <w:ind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若由于</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原因造成施工质量存在严重缺陷，则</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有权终止合同，勒令退场，除工程质量保证金不予退还外，还应承担赔偿</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损失的责任，并且已完成的有效工程量只按50%计量结算。</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如经验收达不到协议书中约定的质量标准，除返工合格后，返工损失费自付外，</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还应按合同总价的 20 %对</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进行赔偿。</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在工程施工期间必须抓好安全生产工作，如在施工期间发生安全事故，由此所造成的损失由</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承担。</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出现下列情形之一的：（1）因</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原因，致使质量（包括关键部位）达不到采购文件要求的；（2）因</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原因，致使工期拖延，节点工期滞后施工组织设计超过5天的；（3）暂估价材料或专业项目，经招标或</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及监理单位确认价格后</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拒不实施的；（4）违反采购文件其他实质性条款的。</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有权针对以上情形另行组织施工，该部分工程结算价款以</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与另行组织施工的施工方合同价为准，工程价款直接从</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合同价中扣除。</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本工程不得转包和违法分包，否则一经发现，</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有权解除合同，取消施工资格，已完工程量不予结算。</w:t>
      </w:r>
      <w:r/>
    </w:p>
    <w:p>
      <w:pPr>
        <w:ind w:right="105" w:firstLine="482"/>
        <w:spacing w:line="400" w:lineRule="exact"/>
        <w:rPr>
          <w:rFonts w:ascii="仿宋" w:hAnsi="仿宋" w:eastAsia="仿宋" w:cs="Times New Roman"/>
          <w:color w:val="auto"/>
          <w:sz w:val="24"/>
          <w:highlight w:val="none"/>
        </w:rPr>
      </w:pPr>
      <w:r>
        <w:rPr>
          <w:rFonts w:hint="eastAsia" w:ascii="仿宋" w:hAnsi="仿宋" w:eastAsia="仿宋" w:cs="Times New Roman"/>
          <w:b/>
          <w:color w:val="auto"/>
          <w:sz w:val="24"/>
          <w:highlight w:val="none"/>
        </w:rPr>
        <w:t xml:space="preserve">二十二、违约责任</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1、乙方不按期完成合同约定的内容，应向甲方支付违约金，除不可抗力因素或甲方造成原因外，每延迟交付一天按合同总价款的</w:t>
      </w:r>
      <w:r>
        <w:rPr>
          <w:rFonts w:hint="eastAsia" w:ascii="仿宋" w:hAnsi="仿宋" w:eastAsia="仿宋" w:cs="Times New Roman"/>
          <w:color w:val="auto"/>
          <w:sz w:val="24"/>
          <w:highlight w:val="none"/>
          <w:u w:val="single"/>
        </w:rPr>
        <w:t xml:space="preserve">1-3‰</w:t>
      </w:r>
      <w:r>
        <w:rPr>
          <w:rFonts w:hint="eastAsia" w:ascii="仿宋" w:hAnsi="仿宋" w:eastAsia="仿宋" w:cs="Times New Roman"/>
          <w:color w:val="auto"/>
          <w:sz w:val="24"/>
          <w:highlight w:val="none"/>
        </w:rPr>
        <w:t xml:space="preserve">支付违约金; 延期超过日，甲方有权强制解除合同并要求赔偿损失。 </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2、乙方的施工质量不符合设计规范要求的，应按甲方要求的时间进行返工，并承担返工费用，工期不予顺延。</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3、非甲方原因，乙方不履行本合同规定的义务，致使工作延误，甲方有权要求其强制履行或解除合同，并要求乙方等额赔偿由此造成的一切损失。</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宋体"/>
          <w:color w:val="auto"/>
          <w:sz w:val="24"/>
          <w:highlight w:val="none"/>
        </w:rPr>
        <w:t xml:space="preserve">4、甲方不及时给出必要指令、确认、批准，不按合同约定履行各项义务、支付款项及发生其它使合同无法履行的行为，应承担违约责任（包括支付因其违约导致乙方增加的经济支出和从应支付之日起计算的应支付款项的利息、赔偿因其违约给乙方造成的窝工等损失等），并相应顺延工期。</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5、本项目不得转让分包，如有发生，甲方有权要求乙方无条件清理退场，所造成的一切损失由乙方负责。</w:t>
      </w:r>
      <w:r/>
    </w:p>
    <w:p>
      <w:pPr>
        <w:ind w:right="105" w:firstLine="482"/>
        <w:spacing w:line="400" w:lineRule="exact"/>
        <w:rPr>
          <w:rFonts w:ascii="仿宋" w:hAnsi="仿宋" w:eastAsia="仿宋" w:cs="Times New Roman"/>
          <w:color w:val="auto"/>
          <w:sz w:val="24"/>
          <w:highlight w:val="none"/>
        </w:rPr>
      </w:pPr>
      <w:r>
        <w:rPr>
          <w:rFonts w:hint="eastAsia" w:ascii="仿宋" w:hAnsi="仿宋" w:eastAsia="仿宋" w:cs="Times New Roman"/>
          <w:b/>
          <w:color w:val="auto"/>
          <w:sz w:val="24"/>
          <w:highlight w:val="none"/>
        </w:rPr>
        <w:t xml:space="preserve">二十三、</w:t>
      </w:r>
      <w:r>
        <w:rPr>
          <w:rFonts w:hint="eastAsia" w:ascii="仿宋" w:hAnsi="仿宋" w:eastAsia="仿宋" w:cs="Times New Roman"/>
          <w:color w:val="auto"/>
          <w:sz w:val="24"/>
          <w:highlight w:val="none"/>
        </w:rPr>
        <w:t xml:space="preserve">本合同一切未尽事宜，按《中华人民共和国民法典》有关规定执行;无相关规定的，由甲乙双方协商解决。</w:t>
      </w:r>
      <w:r/>
    </w:p>
    <w:p>
      <w:pPr>
        <w:ind w:right="105" w:firstLine="482"/>
        <w:spacing w:line="400" w:lineRule="exact"/>
        <w:rPr>
          <w:rFonts w:ascii="仿宋" w:hAnsi="仿宋" w:eastAsia="仿宋" w:cs="Times New Roman"/>
          <w:color w:val="auto"/>
          <w:sz w:val="24"/>
          <w:highlight w:val="none"/>
        </w:rPr>
      </w:pPr>
      <w:r>
        <w:rPr>
          <w:rFonts w:hint="eastAsia" w:ascii="仿宋" w:hAnsi="仿宋" w:eastAsia="仿宋" w:cs="Times New Roman"/>
          <w:b/>
          <w:color w:val="auto"/>
          <w:sz w:val="24"/>
          <w:highlight w:val="none"/>
        </w:rPr>
        <w:t xml:space="preserve">二十四、合同生效与终止</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（一）本合同经甲乙双方签字盖章后生效，采购中心审核后实施，双方签订的合同内容不能超出磋商文件和响应文件的实质性内容。</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（二）在竣工结算、甲方支付完毕，乙方将工程交付甲方后，除有关保修条款仍然生效外，其它条款即告终止，保修期满后，有关保修条款终止。</w:t>
      </w:r>
      <w:r/>
    </w:p>
    <w:p>
      <w:pPr>
        <w:ind w:right="105" w:firstLine="482"/>
        <w:spacing w:line="400" w:lineRule="exact"/>
        <w:rPr>
          <w:rFonts w:ascii="仿宋" w:hAnsi="仿宋" w:eastAsia="仿宋" w:cs="Times New Roman"/>
          <w:color w:val="auto"/>
          <w:sz w:val="24"/>
          <w:highlight w:val="none"/>
        </w:rPr>
      </w:pPr>
      <w:r>
        <w:rPr>
          <w:rFonts w:hint="eastAsia" w:ascii="仿宋" w:hAnsi="仿宋" w:eastAsia="仿宋" w:cs="Times New Roman"/>
          <w:b/>
          <w:color w:val="auto"/>
          <w:sz w:val="24"/>
          <w:highlight w:val="none"/>
        </w:rPr>
        <w:t xml:space="preserve">二十五、</w:t>
      </w:r>
      <w:r>
        <w:rPr>
          <w:rFonts w:hint="eastAsia" w:ascii="仿宋" w:hAnsi="仿宋" w:eastAsia="仿宋" w:cs="Times New Roman"/>
          <w:color w:val="auto"/>
          <w:sz w:val="24"/>
          <w:highlight w:val="none"/>
        </w:rPr>
        <w:t xml:space="preserve">本合同一式</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rPr>
        <w:t xml:space="preserve">份，以中文书写，甲方、乙方各执</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rPr>
        <w:t xml:space="preserve">份。</w:t>
      </w:r>
      <w:r/>
    </w:p>
    <w:p>
      <w:pPr>
        <w:ind w:right="105" w:firstLine="482"/>
        <w:jc w:val="center"/>
        <w:spacing w:line="400" w:lineRule="exact"/>
        <w:rPr>
          <w:rFonts w:ascii="仿宋" w:hAnsi="仿宋" w:eastAsia="仿宋" w:cs="Times New Roman"/>
          <w:b/>
          <w:color w:val="auto"/>
          <w:sz w:val="24"/>
          <w:highlight w:val="none"/>
        </w:rPr>
      </w:pPr>
      <w:r>
        <w:rPr>
          <w:rFonts w:ascii="仿宋" w:hAnsi="仿宋" w:eastAsia="仿宋" w:cs="Times New Roman"/>
          <w:b/>
          <w:color w:val="auto"/>
          <w:sz w:val="24"/>
          <w:highlight w:val="none"/>
        </w:rPr>
      </w:r>
      <w:r/>
    </w:p>
    <w:p>
      <w:pPr>
        <w:ind w:right="105" w:firstLine="482"/>
        <w:jc w:val="center"/>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通用条款</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二十六、词语涵义</w:t>
      </w:r>
      <w:r/>
    </w:p>
    <w:p>
      <w:pPr>
        <w:ind w:right="105" w:firstLine="480"/>
        <w:spacing w:line="400" w:lineRule="exact"/>
        <w:rPr>
          <w:rFonts w:ascii="仿宋" w:hAnsi="仿宋" w:eastAsia="仿宋" w:cs="宋体"/>
          <w:color w:val="auto"/>
          <w:sz w:val="24"/>
          <w:highlight w:val="none"/>
        </w:rPr>
      </w:pPr>
      <w:r>
        <w:rPr>
          <w:rFonts w:hint="eastAsia" w:ascii="仿宋" w:hAnsi="仿宋" w:eastAsia="仿宋" w:cs="Times New Roman"/>
          <w:color w:val="auto"/>
          <w:sz w:val="24"/>
          <w:highlight w:val="none"/>
        </w:rPr>
        <w:t xml:space="preserve">（一）</w:t>
      </w:r>
      <w:r>
        <w:rPr>
          <w:rFonts w:hint="eastAsia" w:ascii="仿宋" w:hAnsi="仿宋" w:eastAsia="仿宋" w:cs="宋体"/>
          <w:color w:val="auto"/>
          <w:sz w:val="24"/>
          <w:highlight w:val="none"/>
          <w:lang w:eastAsia="zh-CN"/>
        </w:rPr>
        <w:t xml:space="preserve">甲方</w:t>
      </w:r>
      <w:r>
        <w:rPr>
          <w:rFonts w:hint="eastAsia" w:ascii="仿宋" w:hAnsi="仿宋" w:eastAsia="仿宋" w:cs="宋体"/>
          <w:color w:val="auto"/>
          <w:sz w:val="24"/>
          <w:highlight w:val="none"/>
        </w:rPr>
        <w:t xml:space="preserve">：协议条款约定的，具有发包主体资格和支付工程价款能力的当事人。</w:t>
      </w:r>
      <w:r/>
    </w:p>
    <w:p>
      <w:pPr>
        <w:ind w:right="105" w:firstLine="480"/>
        <w:spacing w:line="400" w:lineRule="exact"/>
        <w:rPr>
          <w:rFonts w:ascii="仿宋" w:hAnsi="仿宋" w:eastAsia="仿宋" w:cs="宋体"/>
          <w:color w:val="auto"/>
          <w:sz w:val="24"/>
          <w:highlight w:val="none"/>
        </w:rPr>
      </w:pPr>
      <w:r>
        <w:rPr>
          <w:rFonts w:hint="eastAsia" w:ascii="仿宋" w:hAnsi="仿宋" w:eastAsia="仿宋" w:cs="Times New Roman"/>
          <w:color w:val="auto"/>
          <w:sz w:val="24"/>
          <w:highlight w:val="none"/>
        </w:rPr>
        <w:t xml:space="preserve">（二）</w:t>
      </w:r>
      <w:r>
        <w:rPr>
          <w:rFonts w:hint="eastAsia" w:ascii="仿宋" w:hAnsi="仿宋" w:eastAsia="仿宋" w:cs="宋体"/>
          <w:color w:val="auto"/>
          <w:sz w:val="24"/>
          <w:highlight w:val="none"/>
          <w:lang w:eastAsia="zh-CN"/>
        </w:rPr>
        <w:t xml:space="preserve">乙方</w:t>
      </w:r>
      <w:r>
        <w:rPr>
          <w:rFonts w:hint="eastAsia" w:ascii="仿宋" w:hAnsi="仿宋" w:eastAsia="仿宋" w:cs="宋体"/>
          <w:color w:val="auto"/>
          <w:sz w:val="24"/>
          <w:highlight w:val="none"/>
        </w:rPr>
        <w:t xml:space="preserve">：协议条款约定的，具有承包主体资格并被</w:t>
      </w:r>
      <w:r>
        <w:rPr>
          <w:rFonts w:hint="eastAsia" w:ascii="仿宋" w:hAnsi="仿宋" w:eastAsia="仿宋" w:cs="宋体"/>
          <w:color w:val="auto"/>
          <w:sz w:val="24"/>
          <w:highlight w:val="none"/>
          <w:lang w:eastAsia="zh-CN"/>
        </w:rPr>
        <w:t xml:space="preserve">甲方</w:t>
      </w:r>
      <w:r>
        <w:rPr>
          <w:rFonts w:hint="eastAsia" w:ascii="仿宋" w:hAnsi="仿宋" w:eastAsia="仿宋" w:cs="宋体"/>
          <w:color w:val="auto"/>
          <w:sz w:val="24"/>
          <w:highlight w:val="none"/>
        </w:rPr>
        <w:t xml:space="preserve">接受的当事人。</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（三）合同价款：按有关规定或协议条款约定的各种取费标准计算的，用以支付乙方按照合同要求完成工程内容的价款总额。</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（四）经济支出：在施工中已经发生，经甲方确认后以增加预算形式支付的合同价款。</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（五）费用：甲方在合同价款之外，需要直接支付的开支和乙方应负担的开支。</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（六）工期：协议条款约定的合同工期。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（七）开工日期：协议条款约定的工程开工日期。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（八）竣工日期：协议条款约定的工程竣工日期。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（九）图纸：由甲方提供或乙方提供经甲方代表批准，乙方用以施工的所有图纸（包括配套说明和有关资料）。</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（十）施工场地（或称工地）：经甲方提供的用于本合同工程施工的场所以及在合同中指定作为施工场地组成部分的其他场所。</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（十一）书面形式：根据合同发生的手写、打印、印刷的各种通知、任命、委托、证书、签证、备忘录、会议纪要、函件及经过确认的电报、电传等。</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（十二）</w:t>
      </w:r>
      <w:r>
        <w:rPr>
          <w:rFonts w:hint="eastAsia" w:ascii="仿宋" w:hAnsi="仿宋" w:eastAsia="仿宋" w:cs="Times New Roman"/>
          <w:color w:val="auto"/>
          <w:sz w:val="24"/>
          <w:highlight w:val="none"/>
        </w:rPr>
        <w:t xml:space="preserve">不可抗力：指</w:t>
      </w:r>
      <w:r>
        <w:rPr>
          <w:rFonts w:ascii="仿宋" w:hAnsi="仿宋" w:eastAsia="仿宋" w:cs="Arial"/>
          <w:color w:val="auto"/>
          <w:spacing w:val="8"/>
          <w:sz w:val="24"/>
          <w:highlight w:val="none"/>
        </w:rPr>
        <w:t xml:space="preserve">不能预见、不能避免和不能克服的客观情况</w:t>
      </w:r>
      <w:r>
        <w:rPr>
          <w:rFonts w:hint="eastAsia" w:ascii="仿宋" w:hAnsi="仿宋" w:eastAsia="仿宋" w:cs="Arial"/>
          <w:color w:val="auto"/>
          <w:spacing w:val="8"/>
          <w:sz w:val="24"/>
          <w:highlight w:val="none"/>
        </w:rPr>
        <w:t xml:space="preserve">，</w:t>
      </w:r>
      <w:r>
        <w:rPr>
          <w:rFonts w:hint="eastAsia" w:ascii="仿宋" w:hAnsi="仿宋" w:eastAsia="仿宋" w:cs="宋体"/>
          <w:color w:val="auto"/>
          <w:sz w:val="24"/>
          <w:highlight w:val="none"/>
        </w:rPr>
        <w:t xml:space="preserve">如战争、动乱、空中飞行物体坠落或其它非甲乙方责任造成的爆炸、火灾，以及协议条款约定等级以上的风、雨、雪、地震等。</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（十三）协议条款：结合具体工程，甲、乙协商后签订的书面协议。</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二十七、质量标准</w:t>
      </w:r>
      <w:r/>
    </w:p>
    <w:p>
      <w:pPr>
        <w:ind w:right="105" w:firstLine="480"/>
        <w:spacing w:line="400" w:lineRule="exact"/>
        <w:tabs>
          <w:tab w:val="left" w:pos="-100" w:leader="none"/>
          <w:tab w:val="left" w:pos="0" w:leader="none"/>
          <w:tab w:val="left" w:pos="1134" w:leader="none"/>
        </w:tabs>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《建筑工程施工质量验收统一标准》（</w:t>
      </w:r>
      <w:r>
        <w:rPr>
          <w:rFonts w:ascii="仿宋" w:hAnsi="仿宋" w:eastAsia="仿宋" w:cs="Times New Roman"/>
          <w:color w:val="auto"/>
          <w:sz w:val="24"/>
          <w:highlight w:val="none"/>
        </w:rPr>
        <w:t xml:space="preserve">GB </w:t>
      </w:r>
      <w:r>
        <w:rPr>
          <w:rFonts w:hint="eastAsia" w:ascii="仿宋" w:hAnsi="仿宋" w:eastAsia="仿宋" w:cs="Times New Roman"/>
          <w:color w:val="auto"/>
          <w:sz w:val="24"/>
          <w:highlight w:val="none"/>
        </w:rPr>
        <w:t xml:space="preserve">50300-20</w:t>
      </w:r>
      <w:r>
        <w:rPr>
          <w:rFonts w:hint="eastAsia" w:ascii="仿宋" w:hAnsi="仿宋" w:eastAsia="仿宋" w:cs="Times New Roman"/>
          <w:color w:val="auto"/>
          <w:sz w:val="24"/>
          <w:highlight w:val="none"/>
          <w:lang w:val="en-US" w:eastAsia="zh-CN"/>
        </w:rPr>
        <w:t xml:space="preserve">13</w:t>
      </w:r>
      <w:r>
        <w:rPr>
          <w:rFonts w:hint="eastAsia" w:ascii="仿宋" w:hAnsi="仿宋" w:eastAsia="仿宋" w:cs="Times New Roman"/>
          <w:color w:val="auto"/>
          <w:sz w:val="24"/>
          <w:highlight w:val="none"/>
        </w:rPr>
        <w:t xml:space="preserve">），《建筑装饰工程质量验收规范》（GB50210</w:t>
      </w:r>
      <w:r>
        <w:rPr>
          <w:rFonts w:hint="eastAsia" w:ascii="仿宋" w:hAnsi="仿宋" w:eastAsia="仿宋" w:cs="Times New Roman"/>
          <w:color w:val="auto"/>
          <w:sz w:val="24"/>
          <w:highlight w:val="none"/>
        </w:rPr>
        <w:noBreakHyphen/>
      </w:r>
      <w:r>
        <w:rPr>
          <w:rFonts w:hint="eastAsia" w:ascii="仿宋" w:hAnsi="仿宋" w:eastAsia="仿宋" w:cs="Times New Roman"/>
          <w:color w:val="auto"/>
          <w:sz w:val="24"/>
          <w:highlight w:val="none"/>
        </w:rPr>
        <w:t xml:space="preserve">2018）和中华人民共和国建设部颁发的其它现行标准、规范及省、市有关规定。</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二十八、安全施工</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（一）进入施工现场的各类安全防护由乙方统一协调管理，安全责任由乙方承担，费用包含在竞标报价中。 </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（二）乙方负责进入现场施工人员及财物安全，</w:t>
      </w:r>
      <w:r>
        <w:rPr>
          <w:rFonts w:hint="eastAsia" w:ascii="仿宋" w:hAnsi="仿宋" w:eastAsia="仿宋" w:cs="宋体"/>
          <w:color w:val="auto"/>
          <w:sz w:val="24"/>
          <w:highlight w:val="none"/>
        </w:rPr>
        <w:t xml:space="preserve">非乙方责任造成的伤亡事故，由责任方承担责任和有关费用。</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（三）乙方应合理安全使用水、电设施，否则引起的一切责任由乙方承担。</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（四）在有毒有害环境中施工，甲方应按有关规定提供相应的防护措施，并承担有关的经济支出。</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二十九、检查和返工</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一）乙方应认真按照标准、规范和设计的要求以及甲方依据合同发出的指令施工，随时接受甲方代表及其委派人员的检查检验、为检查检验提供便利条件，并按甲方代表及委派人员的要求返工、修改，承担由自身原因导致返工、修改的费用。因甲方不正确纠正或其它非乙方原因引起的经济支出，由甲方承担。</w:t>
      </w:r>
      <w:r/>
    </w:p>
    <w:p>
      <w:pPr>
        <w:ind w:right="105"/>
        <w:spacing w:line="400" w:lineRule="exact"/>
        <w:rPr>
          <w:rFonts w:ascii="仿宋" w:hAnsi="仿宋" w:eastAsia="仿宋" w:cs="Times New Roman"/>
          <w:color w:val="auto"/>
          <w:sz w:val="24"/>
          <w:highlight w:val="none"/>
        </w:rPr>
      </w:pPr>
      <w:r>
        <w:rPr>
          <w:rFonts w:hint="eastAsia" w:ascii="仿宋" w:hAnsi="仿宋" w:eastAsia="仿宋" w:cs="宋体"/>
          <w:color w:val="auto"/>
          <w:sz w:val="24"/>
          <w:highlight w:val="none"/>
        </w:rPr>
        <w:t xml:space="preserve">  （二）以上检查检验不应影响施工正常进行，如影响施工正常进行，检查检验不合格，影响正常施工的费用由乙方承担。除此之外影响正常施工的经济支出由甲方承担，相应顺延工期。</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三十、竣工验收</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一）工程竣工验收按照乙方自评、甲方验收的流程进行。工程完工后，乙方通过自检认为达到竣工验收条件时，应按国家和如皋市关于工程竣工有关规定，向甲方代表提供完整的竣工档案资料、竣工验收报告等满足竣工验收的资料。甲方收到上述资料后在约定时间七日内组织有关部门进行全面的验收，如乙方提供的验收资料不全或不符合规定的要求，或由于乙方的原因造成竣工条件不具备，则验收期顺延，责任由乙方承担。</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（二）甲方组织验收后三日内，给予批准或提出修改意见，如果初次验收未通过，乙方应按甲方所提修改意见并承担整改费用，完成后再次申报。</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（三）甲方在收到乙方送交的竣工报告十日内，无正当理由不组织验收，或验收后七天内不予批准，也不提出修改意见，可视为竣工报告已被批准，即可办理工程结算手续。</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三十一、付款</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根据协议条款约定的时间、方式和甲方代表确认的工程量，按构成合同价款相应项目的单价和取费标准计算、支付工程价款。甲方在其代表计量签字后10天内不予支付，乙方可向甲方发出要求付款的通知，甲方在收到乙方通知后仍不能按要求支付，乙方可在发出通知5天后停止施工，甲方承担违约责任。</w:t>
      </w:r>
      <w:r/>
    </w:p>
    <w:p>
      <w:pPr>
        <w:ind w:right="105" w:firstLine="482"/>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三十二、不可抗力</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不可抗力发生后，乙方应迅速采取措施，尽力减少损失，并在24小时内向甲方代表通报受害情况，按协议条款约定的时间向甲方报告损失情况和清理、修复的费用，甲方应对灾害处理提供必要条件。灾害继续发生，乙方应每隔10天向甲方报告一次灾害情况，直到灾害结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因灾害发生的费用由双方分别承担：</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（一）工程本身的损害由甲方承担；　　</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（二）人员伤亡由其所属单位负责，并承担相应费用；</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（三）造成乙方设备、机械的损坏及停工等损失，由乙方承担；</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（四）所需清理修复工作的责任与费用的承担，双方另签补充协议约定。</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三十三、专利权</w:t>
      </w:r>
      <w:r/>
    </w:p>
    <w:p>
      <w:pPr>
        <w:ind w:right="105" w:firstLine="480"/>
        <w:spacing w:line="400" w:lineRule="exact"/>
        <w:rPr>
          <w:rFonts w:ascii="仿宋" w:hAnsi="仿宋" w:eastAsia="仿宋" w:cs="Times New Roman"/>
          <w:b/>
          <w:color w:val="auto"/>
          <w:sz w:val="24"/>
          <w:highlight w:val="none"/>
        </w:rPr>
      </w:pP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方应保障</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免于受到由于工程上使用的或有关的或准备采用的</w:t>
      </w:r>
      <w:r>
        <w:rPr>
          <w:rFonts w:hint="eastAsia" w:ascii="仿宋" w:hAnsi="仿宋" w:eastAsia="仿宋" w:cs="Times New Roman"/>
          <w:color w:val="auto"/>
          <w:sz w:val="24"/>
          <w:highlight w:val="none"/>
          <w:lang w:eastAsia="zh-CN"/>
        </w:rPr>
        <w:t xml:space="preserve">乙方</w:t>
      </w:r>
      <w:r>
        <w:rPr>
          <w:rFonts w:hint="eastAsia" w:ascii="仿宋" w:hAnsi="仿宋" w:eastAsia="仿宋" w:cs="Times New Roman"/>
          <w:color w:val="auto"/>
          <w:sz w:val="24"/>
          <w:highlight w:val="none"/>
        </w:rPr>
        <w:t xml:space="preserve">设备、材料或工程设备等侵犯专利权、设计商标或名称或其它受保护的权利而引起的索赔和诉讼，并保证</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免于承担与此有关的赔偿费、诉讼费和其它开支，但由于执行工程师提供的设计或技术规范而侵犯上述权利的情况除外。</w:t>
      </w:r>
      <w:r/>
    </w:p>
    <w:p>
      <w:pPr>
        <w:ind w:right="105" w:firstLine="482"/>
        <w:spacing w:line="400" w:lineRule="exact"/>
        <w:rPr>
          <w:rFonts w:ascii="仿宋" w:hAnsi="仿宋" w:eastAsia="仿宋" w:cs="宋体"/>
          <w:b/>
          <w:color w:val="auto"/>
          <w:sz w:val="24"/>
          <w:highlight w:val="none"/>
        </w:rPr>
      </w:pPr>
      <w:r>
        <w:rPr>
          <w:rFonts w:hint="eastAsia" w:ascii="仿宋" w:hAnsi="仿宋" w:eastAsia="仿宋" w:cs="Times New Roman"/>
          <w:b/>
          <w:color w:val="auto"/>
          <w:sz w:val="24"/>
          <w:highlight w:val="none"/>
        </w:rPr>
        <w:t xml:space="preserve">三十四、</w:t>
      </w:r>
      <w:r>
        <w:rPr>
          <w:rFonts w:hint="eastAsia" w:ascii="仿宋" w:hAnsi="仿宋" w:eastAsia="仿宋" w:cs="宋体"/>
          <w:b/>
          <w:color w:val="auto"/>
          <w:sz w:val="24"/>
          <w:highlight w:val="none"/>
        </w:rPr>
        <w:t xml:space="preserve">工程保修</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乙方按国家有关规定和协议条款约定的保修项目、内容、范围、期限，进行保修。保修期从甲方代表在最终验收记录上签字之日算起。分单验收的工程，按单项工程分别计算保修期。</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保修期间，乙方应在接到修理通知之日后10天内派人修理，否则，甲方可委托其它单位或人员修理。因乙方原因造成返修的费用，甲方在保修金内扣除，不足部分，由乙方交付。因乙方之外原因造成返修的经济支出，由甲方承担。</w:t>
      </w:r>
      <w:r/>
    </w:p>
    <w:p>
      <w:pPr>
        <w:ind w:right="105" w:firstLine="482"/>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三十五、索赔</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甲方未能按合同约定支付各种费用、顺延工期、赔偿损失，乙方可按以下方式向甲方索赔：</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（一）有正当索赔理由，且有索赔事件发生时的有关证据；</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（二）索赔事件发生后20天内，向甲方发出要求索赔的通知；</w:t>
      </w:r>
      <w:r/>
    </w:p>
    <w:p>
      <w:pPr>
        <w:ind w:right="105" w:firstLine="480"/>
        <w:spacing w:line="40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（三）甲方在接到索赔通知后10天内给予批准，或要求乙方进一步补充索赔理由和证据，在10天内未予答复，应视为该项索赔已经批准。</w:t>
      </w:r>
      <w:r/>
    </w:p>
    <w:p>
      <w:pPr>
        <w:ind w:right="105" w:firstLine="482"/>
        <w:spacing w:line="400" w:lineRule="exact"/>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三十六、合同争议</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甲乙双方应通过友好协商，解决在执行本合同中所发生的或与本合同有关的一切争端。如果协商仍得不到解决，任何一方均可按《中华人民共和国民法典》规定提交调解和仲裁。</w:t>
      </w:r>
      <w:r/>
    </w:p>
    <w:p>
      <w:pPr>
        <w:ind w:right="105" w:firstLine="482"/>
        <w:spacing w:line="400" w:lineRule="exac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 xml:space="preserve">三十七、适用法律</w:t>
      </w:r>
      <w:r/>
    </w:p>
    <w:p>
      <w:pPr>
        <w:ind w:right="105" w:firstLine="480"/>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本合同应按照中华人民共和国的现行法律进行解释。</w:t>
      </w:r>
      <w:r/>
    </w:p>
    <w:tbl>
      <w:tblPr>
        <w:tblStyle w:val="72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tcPr>
          <w:p>
            <w:pPr>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甲方（公章）：</w:t>
            </w:r>
            <w:r/>
          </w:p>
          <w:p>
            <w:pPr>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地址：</w:t>
            </w:r>
            <w:r/>
          </w:p>
          <w:p>
            <w:pPr>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法定代表人（授权人）：</w:t>
            </w:r>
            <w:r/>
          </w:p>
          <w:p>
            <w:pPr>
              <w:spacing w:line="400" w:lineRule="exact"/>
              <w:rPr>
                <w:rFonts w:ascii="仿宋" w:hAnsi="仿宋" w:eastAsia="仿宋" w:cs="Times New Roman"/>
                <w:color w:val="auto"/>
                <w:sz w:val="24"/>
                <w:highlight w:val="none"/>
              </w:rPr>
            </w:pPr>
            <w:r>
              <w:rPr>
                <w:rFonts w:ascii="仿宋" w:hAnsi="仿宋" w:eastAsia="仿宋" w:cs="Times New Roman"/>
                <w:color w:val="auto"/>
                <w:sz w:val="24"/>
                <w:highlight w:val="none"/>
              </w:rPr>
            </w:r>
            <w:r/>
          </w:p>
          <w:p>
            <w:pPr>
              <w:spacing w:line="400" w:lineRule="exact"/>
              <w:rPr>
                <w:rFonts w:ascii="仿宋" w:hAnsi="仿宋" w:eastAsia="仿宋" w:cs="Times New Roman"/>
                <w:color w:val="auto"/>
                <w:sz w:val="24"/>
                <w:highlight w:val="none"/>
              </w:rPr>
            </w:pPr>
            <w:r>
              <w:rPr>
                <w:rFonts w:ascii="仿宋" w:hAnsi="仿宋" w:eastAsia="仿宋" w:cs="Times New Roman"/>
                <w:color w:val="auto"/>
                <w:sz w:val="24"/>
                <w:highlight w:val="none"/>
              </w:rPr>
            </w:r>
            <w:r/>
          </w:p>
          <w:p>
            <w:pPr>
              <w:jc w:val="right"/>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年  月  日</w:t>
            </w:r>
            <w:r/>
          </w:p>
        </w:tc>
        <w:tc>
          <w:tcPr>
            <w:tcW w:w="4261" w:type="dxa"/>
            <w:textDirection w:val="lrTb"/>
            <w:noWrap/>
          </w:tcPr>
          <w:p>
            <w:pPr>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乙方（公章）：</w:t>
            </w:r>
            <w:r/>
          </w:p>
          <w:p>
            <w:pPr>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地址：</w:t>
            </w:r>
            <w:r/>
          </w:p>
          <w:p>
            <w:pPr>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法定代表人（授权人）：</w:t>
            </w:r>
            <w:r/>
          </w:p>
          <w:p>
            <w:pPr>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开户行：</w:t>
            </w:r>
            <w:r/>
          </w:p>
          <w:p>
            <w:pPr>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银行账号：</w:t>
            </w:r>
            <w:r/>
          </w:p>
          <w:p>
            <w:pPr>
              <w:jc w:val="right"/>
              <w:spacing w:line="400" w:lineRule="exact"/>
              <w:rPr>
                <w:rFonts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        年  月  日</w:t>
            </w:r>
            <w:r/>
          </w:p>
        </w:tc>
      </w:tr>
    </w:tbl>
    <w:p>
      <w:pPr>
        <w:ind w:firstLine="480"/>
        <w:spacing w:line="400" w:lineRule="exact"/>
        <w:rPr>
          <w:rFonts w:ascii="仿宋_GB2312" w:hAnsi="宋体" w:eastAsia="仿宋_GB2312"/>
          <w:color w:val="auto"/>
          <w:sz w:val="24"/>
          <w:highlight w:val="none"/>
        </w:rPr>
      </w:pPr>
      <w:r>
        <w:rPr>
          <w:rFonts w:ascii="仿宋_GB2312" w:hAnsi="宋体" w:eastAsia="仿宋_GB2312"/>
          <w:color w:val="auto"/>
          <w:sz w:val="24"/>
          <w:highlight w:val="none"/>
        </w:rPr>
      </w:r>
      <w:r/>
    </w:p>
    <w:p>
      <w:pPr>
        <w:pStyle w:val="736"/>
        <w:rPr>
          <w:rFonts w:ascii="仿宋_GB2312" w:hAnsi="宋体" w:eastAsia="仿宋_GB2312"/>
          <w:color w:val="auto"/>
          <w:sz w:val="24"/>
          <w:highlight w:val="none"/>
        </w:rPr>
      </w:pPr>
      <w:r>
        <w:rPr>
          <w:rFonts w:ascii="仿宋_GB2312" w:hAnsi="宋体" w:eastAsia="仿宋_GB2312"/>
          <w:color w:val="auto"/>
          <w:sz w:val="24"/>
          <w:highlight w:val="none"/>
        </w:rPr>
      </w:r>
      <w:r/>
    </w:p>
    <w:p>
      <w:pPr>
        <w:pStyle w:val="726"/>
        <w:ind w:left="1680" w:firstLine="480"/>
        <w:rPr>
          <w:rFonts w:ascii="仿宋_GB2312" w:hAnsi="宋体" w:eastAsia="仿宋_GB2312"/>
          <w:color w:val="auto"/>
          <w:sz w:val="24"/>
          <w:highlight w:val="none"/>
        </w:rPr>
      </w:pPr>
      <w:r>
        <w:rPr>
          <w:rFonts w:ascii="仿宋_GB2312" w:hAnsi="宋体" w:eastAsia="仿宋_GB2312"/>
          <w:color w:val="auto"/>
          <w:sz w:val="24"/>
          <w:highlight w:val="none"/>
        </w:rPr>
      </w:r>
      <w:r/>
    </w:p>
    <w:p>
      <w:pPr>
        <w:rPr>
          <w:rFonts w:ascii="仿宋_GB2312" w:hAnsi="宋体" w:eastAsia="仿宋_GB2312"/>
          <w:color w:val="auto"/>
          <w:sz w:val="24"/>
          <w:highlight w:val="none"/>
        </w:rPr>
      </w:pPr>
      <w:r>
        <w:rPr>
          <w:rFonts w:ascii="仿宋_GB2312" w:hAnsi="宋体" w:eastAsia="仿宋_GB2312"/>
          <w:color w:val="auto"/>
          <w:sz w:val="24"/>
          <w:highlight w:val="none"/>
        </w:rPr>
      </w:r>
      <w:r/>
    </w:p>
    <w:p>
      <w:pPr>
        <w:pStyle w:val="736"/>
        <w:rPr>
          <w:rFonts w:ascii="仿宋_GB2312" w:hAnsi="宋体" w:eastAsia="仿宋_GB2312"/>
          <w:color w:val="auto"/>
          <w:sz w:val="24"/>
          <w:highlight w:val="none"/>
        </w:rPr>
      </w:pPr>
      <w:r>
        <w:rPr>
          <w:rFonts w:ascii="仿宋_GB2312" w:hAnsi="宋体" w:eastAsia="仿宋_GB2312"/>
          <w:color w:val="auto"/>
          <w:sz w:val="24"/>
          <w:highlight w:val="none"/>
        </w:rPr>
      </w:r>
      <w:r/>
    </w:p>
    <w:p>
      <w:pPr>
        <w:pStyle w:val="726"/>
        <w:ind w:left="1680" w:firstLine="480"/>
        <w:rPr>
          <w:rFonts w:ascii="仿宋_GB2312" w:hAnsi="宋体" w:eastAsia="仿宋_GB2312"/>
          <w:color w:val="auto"/>
          <w:sz w:val="24"/>
          <w:highlight w:val="none"/>
        </w:rPr>
      </w:pPr>
      <w:r>
        <w:rPr>
          <w:rFonts w:ascii="仿宋_GB2312" w:hAnsi="宋体" w:eastAsia="仿宋_GB2312"/>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57"/>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550"/>
        <w:spacing w:line="360" w:lineRule="auto"/>
        <w:widowControl/>
        <w:rPr>
          <w:rFonts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clear="all"/>
      </w:r>
      <w:r/>
    </w:p>
    <w:p>
      <w:pPr>
        <w:ind w:right="105" w:firstLine="562"/>
        <w:jc w:val="center"/>
        <w:rPr>
          <w:rFonts w:hint="default" w:ascii="Times New Roman" w:hAnsi="Times New Roman" w:eastAsia="仿宋_GB2312" w:cs="Times New Roman"/>
          <w:b/>
          <w:bCs/>
          <w:color w:val="auto"/>
          <w:sz w:val="28"/>
          <w:szCs w:val="28"/>
          <w:highlight w:val="none"/>
        </w:rPr>
        <w:outlineLvl w:val="9"/>
      </w:pPr>
      <w:r>
        <w:rPr>
          <w:rFonts w:hint="default" w:ascii="Times New Roman" w:hAnsi="Times New Roman" w:eastAsia="仿宋_GB2312" w:cs="Times New Roman"/>
          <w:b/>
          <w:color w:val="auto"/>
          <w:sz w:val="28"/>
          <w:szCs w:val="28"/>
          <w:highlight w:val="none"/>
        </w:rPr>
        <w:t xml:space="preserve">安全生产责任书</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甲方：如皋市高级技工学校</w:t>
      </w:r>
      <w:r/>
    </w:p>
    <w:p>
      <w:pPr>
        <w:spacing w:line="360" w:lineRule="auto"/>
        <w:rPr>
          <w:rFonts w:hint="eastAsia" w:ascii="仿宋" w:hAnsi="仿宋" w:eastAsia="仿宋" w:cs="仿宋"/>
          <w:bCs/>
          <w:color w:val="auto"/>
          <w:sz w:val="24"/>
          <w:highlight w:val="none"/>
        </w:rPr>
      </w:pPr>
      <w:r>
        <w:rPr>
          <w:rFonts w:hint="eastAsia" w:ascii="仿宋" w:hAnsi="仿宋" w:eastAsia="仿宋" w:cs="仿宋"/>
          <w:b/>
          <w:bCs/>
          <w:color w:val="auto"/>
          <w:sz w:val="24"/>
          <w:highlight w:val="none"/>
        </w:rPr>
        <w:t xml:space="preserve">乙方：</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为在</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rPr>
        <w:t xml:space="preserve">施工项目合同的实施过程中创造安全高效的施工环境，切实搞好本项目的安全管理工作，本项目双方特此签订安全生产合同：</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rPr>
        <w:t xml:space="preserve">一、甲方职责</w:t>
      </w:r>
      <w:r>
        <w:rPr>
          <w:rFonts w:hint="eastAsia" w:ascii="仿宋" w:hAnsi="仿宋" w:eastAsia="仿宋" w:cs="仿宋"/>
          <w:bCs/>
          <w:color w:val="auto"/>
          <w:sz w:val="24"/>
          <w:highlight w:val="none"/>
          <w:lang w:val="en-US" w:eastAsia="zh-CN"/>
        </w:rPr>
        <w:t xml:space="preserve">                                                                                                                                          </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1.严格遵守国家有关安全生产的法律法规、认真执行工程承发包合同中的有关安全要求。</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2.按照“安全第一、预防为主”和坚持“管生产必须管安全”的原则进行安全生产管理，做到生产与安全工作同时计划、布置、检查、总结和评比。</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3.重要的安全设施必须坚持与主体工程“三同时”的原则，即：同时设计、审批，同时施工，同时验收，投入使用。</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4.定期召开安全生产调度会，及时传达中央及地方有关安全生产的精神。</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5.组织对乙方施工现场安全生产检查，监督乙方并及时处理发现的各项隐患。</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二、 乙方职责</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1.严格遵守国家有关安全生产的法律法规和有关安全生产的规定，认真执行工程承发包合同中的有关安全要求。</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2.坚持“安全第一、预防为主” 和坚持“管生产必须管安全”的原则，加强安全生产宣传教育，增 强安全员安全生产意识，建立健全各项安全生产的管理机构和安全生产管理制度，配备专职及兼职安全管 理人员，有组织有领导地开展安全生产活动。各级领导、工程技术人员、生产管理人员和具体操作人员，必须熟悉和遵守本条款的各项规定，做到生产与安全工作同时计划、布置、检查、总结和评比。</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3.建立健全安全生产责任制。从派往项目实施的项目经理到生产工人（包括临时雇请的民工）的安 全生产管理系统必须做到纵向到底，一环不漏；各职能部门、人员的安全生产责任制做到横向到边，人人 有责。项目经理是安全生产的第一责任人。现场设置的安全机构，应按施工人员的 1%-3%配备安全员（至少一人）专职负责所有员工的安全和治安保卫工作及预防事故的发生。安全机构人员，有权按有关规定发布指令，并采取保护性措施防止事故发生。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4.乙方在任何时候都应采取各种合理的预防措施，防止其员工发生任何违法、违禁、暴力或妨碍治安的行为。</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5.乙方必须具有劳动安全管理部门颁发的安全生产证书，参加施工的人员，必须接受安全技术教育，熟知和遵守本工种的各项安全技术操作规程，定期进行安全技术考核，合格者方准上岗操作。对于从事电 气、起重、建筑</w:t>
      </w:r>
      <w:r>
        <w:rPr>
          <w:rFonts w:hint="eastAsia" w:ascii="仿宋" w:hAnsi="仿宋" w:eastAsia="仿宋" w:cs="仿宋"/>
          <w:bCs/>
          <w:color w:val="auto"/>
          <w:sz w:val="24"/>
          <w:highlight w:val="none"/>
          <w:lang w:val="en-US" w:eastAsia="zh-CN"/>
        </w:rPr>
        <w:t xml:space="preserve">登</w:t>
      </w:r>
      <w:r>
        <w:rPr>
          <w:rFonts w:hint="eastAsia" w:ascii="仿宋" w:hAnsi="仿宋" w:eastAsia="仿宋" w:cs="仿宋"/>
          <w:bCs/>
          <w:color w:val="auto"/>
          <w:sz w:val="24"/>
          <w:highlight w:val="none"/>
        </w:rPr>
        <w:t xml:space="preserve">高架设作业、锅炉、压力容器、焊接、机动车船驾驶、爆破、潜水、瓦斯检验等特殊工 种的人员，经过专业培训，获得《安全操作合格证》后，方准持证上岗。施工现场如出现特种作业无证操作现象时，项目经理必须承担管理责任。</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6.对于易燃易爆的材料除应专门妥善保管之外，还应配备有足够的消防设施，所有施工人员都应熟 悉消防设备的性能和使用方法；乙方不得将任何种类的爆炸物给予、易货或以其他方式转让给任何其他人，或允许、容忍上述同样行为。</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8.所有施工机具设备和高空作业的设备均应定期检查，并有安全员的签字记录，保证其经常处于完好状态；不合格的机具、设备和劳动保护用品严禁使用。</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9.施工中采用新技术、新工艺、新设备、新材料时，必须制定相应的安全技术措施，施工现场必须具有相关的安全标志牌。</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10.乙方必须按照本工程项目特点，组织制定本工程实施中的生产安全事故应急救援预案；如果发生 安全事故，应按照《国务院关于特大安全事故行政责任追究的规定》以及其他有关规定，及时上报有关部门，并坚持“四不放过”的原则，严肃处理相关责任人。</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三、违约责任</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如因甲方或乙方违约造成安全事故，将依法追究责任。</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本合同作为建设工程施工合同的附件，本合同份数与建设工程施工合同约定相同。由双方法定代表人或其授权的代理人签署与加盖公章后生效，全部工程竣工验收后失效。</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甲方(公章)：　　　　　　         乙方(公章)：　　　　</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法定代表人(签字)：　　　　       法定代表人(签字)：　　　　</w:t>
      </w:r>
      <w:r/>
    </w:p>
    <w:p>
      <w:pPr>
        <w:ind w:firstLine="480"/>
        <w:keepLines w:val="0"/>
        <w:keepNext w:val="0"/>
        <w:pageBreakBefore w:val="0"/>
        <w:spacing w:line="44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委托代理人(签字)：　　　　       委托代理人(签字)：</w:t>
      </w:r>
      <w:r/>
    </w:p>
    <w:p>
      <w:pPr>
        <w:ind w:firstLine="3840"/>
        <w:jc w:val="both"/>
        <w:keepLines w:val="0"/>
        <w:keepNext w:val="0"/>
        <w:pageBreakBefore w:val="0"/>
        <w:spacing w:line="440" w:lineRule="exact"/>
        <w:widowControl w:val="off"/>
        <w:rPr>
          <w:rFonts w:hint="default" w:ascii="Times New Roman" w:hAnsi="Times New Roman" w:eastAsia="仿宋_GB2312" w:cs="Times New Roman"/>
          <w:b/>
          <w:bCs/>
          <w:color w:val="auto"/>
          <w:sz w:val="28"/>
          <w:szCs w:val="28"/>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rPr>
          <w:rFonts w:hint="eastAsia" w:ascii="仿宋" w:hAnsi="仿宋" w:eastAsia="仿宋" w:cs="仿宋"/>
          <w:b/>
          <w:bCs/>
          <w:color w:val="auto"/>
          <w:szCs w:val="32"/>
          <w:highlight w:val="none"/>
        </w:rPr>
        <w:br w:type="page" w:clear="all"/>
      </w:r>
      <w:r>
        <w:rPr>
          <w:rFonts w:hint="eastAsia" w:ascii="Times New Roman" w:hAnsi="Times New Roman" w:eastAsia="仿宋_GB2312" w:cs="Times New Roman"/>
          <w:b/>
          <w:bCs/>
          <w:color w:val="auto"/>
          <w:szCs w:val="32"/>
          <w:highlight w:val="none"/>
          <w:lang w:val="en-US" w:eastAsia="zh-CN"/>
        </w:rPr>
        <w:t xml:space="preserve">                                   </w:t>
      </w:r>
      <w:r>
        <w:rPr>
          <w:rFonts w:hint="default" w:ascii="Times New Roman" w:hAnsi="Times New Roman" w:eastAsia="仿宋_GB2312" w:cs="Times New Roman"/>
          <w:b/>
          <w:bCs/>
          <w:color w:val="auto"/>
          <w:sz w:val="28"/>
          <w:szCs w:val="28"/>
          <w:highlight w:val="none"/>
        </w:rPr>
        <w:t xml:space="preserve">工程质量保修书</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（全称）：如皋市高级技工学校</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（全称）：              </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和</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根据《中华人民共和国建筑法》和《建设工程质量管理条例》，经协商一致就</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签订工程质量保修书。</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一、工程质量保修范围和内容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在质量保修期内，按照有关法律规定和合同约定，承担工程质量保修责任。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保修范围包括基础设施工程、房屋建筑的地基基础工程、主体结构工程，屋面防水工程、有防水要求的卫生间、房间和外墙面的防渗漏，供热与供冷系统，电气管线、给排水管道、设备安装和装修工程，以及双方约定的其他项目。具体保修的内容，双方约定如下：本施工合同范围内的全部工程。</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二、质量保修期</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根据《建设工程质量管理条例》及有关规定，工程的质量保修期如下：</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1.基础设施工程、房屋建筑的地基基础工程和主体结构工程为设计文件规定的工程合理使用年限；</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2.屋面防水工程、有防水要求的卫生间、房间和外墙面的防渗为</w:t>
      </w:r>
      <w:r>
        <w:rPr>
          <w:rFonts w:hint="eastAsia" w:ascii="仿宋" w:hAnsi="仿宋" w:eastAsia="仿宋" w:cs="仿宋"/>
          <w:color w:val="auto"/>
          <w:sz w:val="24"/>
          <w:highlight w:val="none"/>
          <w:u w:val="single"/>
          <w:lang w:val="en-US" w:eastAsia="zh-CN"/>
        </w:rPr>
        <w:t xml:space="preserve">5</w:t>
      </w:r>
      <w:r>
        <w:rPr>
          <w:rFonts w:hint="eastAsia" w:ascii="仿宋" w:hAnsi="仿宋" w:eastAsia="仿宋" w:cs="仿宋"/>
          <w:color w:val="auto"/>
          <w:sz w:val="24"/>
          <w:highlight w:val="none"/>
        </w:rPr>
        <w:t xml:space="preserve">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3.装修工程为</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rPr>
        <w:t xml:space="preserve">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4.电气管线、给排水管道、设备安装工程为</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rPr>
        <w:t xml:space="preserve">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5.供热与供冷系统为</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个采暖期、供冷期；</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6.住宅小区内的给排水设施、道路等配套工程为</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rPr>
        <w:t xml:space="preserve">年；</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7.其他项目保修期限约定如下：/。</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质量保修期自工程竣工验收合格之日起计算。</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三、缺陷责任期计算。工程缺陷责任期为</w:t>
      </w:r>
      <w:r>
        <w:rPr>
          <w:rFonts w:hint="eastAsia" w:ascii="仿宋" w:hAnsi="仿宋" w:eastAsia="仿宋" w:cs="仿宋"/>
          <w:color w:val="auto"/>
          <w:sz w:val="24"/>
          <w:highlight w:val="none"/>
          <w:lang w:val="en-US" w:eastAsia="zh-CN"/>
        </w:rPr>
        <w:t xml:space="preserve">贰年</w:t>
      </w:r>
      <w:r>
        <w:rPr>
          <w:rFonts w:hint="eastAsia" w:ascii="仿宋" w:hAnsi="仿宋" w:eastAsia="仿宋" w:cs="仿宋"/>
          <w:color w:val="auto"/>
          <w:sz w:val="24"/>
          <w:highlight w:val="none"/>
        </w:rPr>
        <w:t xml:space="preserve">，自工程竣工验收合格之日起计算。单位工程先于全部工程进行验收，单位工程缺陷责任期自单位工程验收合格之日起算。</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四、质量保修责任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1.属于保修范围、内容的项目，</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应当在接到保修通知之日起3天内派人保修。</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自行巡查、检修、养护的，应当提前24小时通知</w:t>
      </w: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进场时间，取得</w:t>
      </w: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同意后方可进行。</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不在约定期限内派人保修的，</w:t>
      </w: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可以委托他人修理。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2.发生紧急事故需抢修的，</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在接到事故通知后，应当立即到达事故现场抢修。</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实施保修。</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4.质量保修完成后，由</w:t>
      </w: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组织验收。</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五、保修费用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保修费用由造成质量缺陷的责任方承担。质量保证金为合同价的3%，在未付工程款中予以预留（缺陷责任期内，由</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原因造成的缺陷，</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应负责维修，并承担鉴定及维修费用。如</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不维修也不承担费用，</w:t>
      </w: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可按合同约定从保证金或银行保函中扣除，费用超出保证金额的，</w:t>
      </w: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可按合同约定向</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进行索赔。</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维修并承担相应费用后，不免除对工程的损失赔偿责任）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六、双方约定的其他工程质量保修事项：</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负责保修期间检修区域内的安全保卫工作，无论</w:t>
      </w: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是否给予了批准或同意，</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均应对现场作业、施工方法及所维保工程的完备性、稳定性和安全性承担全部责任，由于非</w:t>
      </w: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原因造成的事故，</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需承担全部责任及由此引起的一切费用，</w:t>
      </w: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不承担任何责任。</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工程质量保修书由</w:t>
      </w: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在工程竣工验收前共同签署，作为施工合同附件，其有效期限至保修期满。</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6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(公章)：　　　　　        　</w:t>
      </w:r>
      <w:r>
        <w:rPr>
          <w:rFonts w:hint="eastAsia" w:ascii="仿宋" w:hAnsi="仿宋" w:eastAsia="仿宋" w:cs="仿宋"/>
          <w:color w:val="auto"/>
          <w:sz w:val="24"/>
          <w:highlight w:val="none"/>
          <w:lang w:eastAsia="zh-CN"/>
        </w:rPr>
        <w:t xml:space="preserve">乙方</w:t>
      </w:r>
      <w:r>
        <w:rPr>
          <w:rFonts w:hint="eastAsia" w:ascii="仿宋" w:hAnsi="仿宋" w:eastAsia="仿宋" w:cs="仿宋"/>
          <w:color w:val="auto"/>
          <w:sz w:val="24"/>
          <w:highlight w:val="none"/>
        </w:rPr>
        <w:t xml:space="preserve">(公章)：　　　      　</w:t>
      </w:r>
      <w:r/>
    </w:p>
    <w:p>
      <w:pPr>
        <w:ind w:firstLine="480"/>
        <w:spacing w:line="6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　　　        　法定代表人(签字)：　    　　　</w:t>
      </w:r>
      <w:r/>
    </w:p>
    <w:p>
      <w:pPr>
        <w:ind w:firstLine="480"/>
        <w:spacing w:line="6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委托代理人(签字)：　　　        　委托代理人(签字)：　　   </w:t>
      </w:r>
      <w:r/>
    </w:p>
    <w:p>
      <w:pPr>
        <w:ind w:firstLine="600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both"/>
        <w:rPr>
          <w:rFonts w:hint="default" w:ascii="Times New Roman" w:hAnsi="Times New Roman" w:eastAsia="仿宋_GB2312" w:cs="Times New Roman"/>
          <w:b/>
          <w:bCs/>
          <w:color w:val="auto"/>
          <w:szCs w:val="32"/>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rPr>
          <w:rFonts w:hint="default" w:ascii="Times New Roman" w:hAnsi="Times New Roman" w:eastAsia="仿宋_GB2312" w:cs="Times New Roman"/>
          <w:b/>
          <w:bCs/>
          <w:color w:val="auto"/>
          <w:szCs w:val="32"/>
          <w:highlight w:val="none"/>
        </w:rPr>
        <w:br w:type="page" w:clear="all"/>
      </w:r>
      <w:r/>
    </w:p>
    <w:p>
      <w:pPr>
        <w:jc w:val="center"/>
        <w:rPr>
          <w:rFonts w:hint="default" w:ascii="Times New Roman" w:hAnsi="Times New Roman" w:eastAsia="仿宋_GB2312" w:cs="Times New Roman"/>
          <w:b/>
          <w:bCs/>
          <w:color w:val="auto"/>
          <w:sz w:val="28"/>
          <w:szCs w:val="28"/>
          <w:highlight w:val="none"/>
        </w:rPr>
      </w:pPr>
      <w:r>
        <w:rPr>
          <w:rFonts w:hint="default" w:ascii="Times New Roman" w:hAnsi="Times New Roman" w:eastAsia="仿宋_GB2312" w:cs="Times New Roman"/>
          <w:b/>
          <w:bCs/>
          <w:color w:val="auto"/>
          <w:sz w:val="28"/>
          <w:szCs w:val="28"/>
          <w:highlight w:val="none"/>
        </w:rPr>
        <w:t xml:space="preserve">工程建设项目廉政责任书</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建设单位（甲方）：如皋市高级技工学校</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施工单位（乙方）： </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第一条　甲乙双方的责任</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（一）应严格遵守国家关于市场准入、项目招标投标、工程建设、施工安装和市场活动等有关法律法规、相关政策，以及廉政建设的各项规定。</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（二）严格执行建设工程项目承发包合同文件，自觉按合同办事。</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（三）业务活动必须坚持公开、公平、公正、诚信、透明的原则（除法律法规另有规定者外），不得为获取不正当的利益，损害国家、集体和对方利益，不得违反工程建设管理、施工安装的规章制度。</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（四）发现对方在业务活动中有违规、违纪、违法行为的，应及时提醒对方，情节严重的，向其上级主管部门或纪检监察、司法等有关机关举报。</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第二条　甲方的责任</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甲方的领导和从事该建设工程项目的工作人员，在工程建设的事前、事中、事后就遵守以下规定：</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（一）不准向乙方和相关单位索要或接受现金、代币购物券、礼仪储蓄单、债券、股票及其他有价证券、消费卡、购物卡、电话充值卡、商品提货单等各种支付凭证和高档耐用物品、金银制品等贵重物品。</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（二）不准在乙方和相关单位报销应由甲方或个人支付的费用。</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（三）不准要求、暗示和接受乙方和相关单位为个人装修住房、婚丧嫁娶、配偶子女的工作安排以及出国（境）、旅游等提供方便。</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（四）不准参加有可能影响公正执行公务的乙方和相关单位的宴请和健身、娱乐活动。</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（六）不准在逢年过节、婚丧喜庆、工作调动、子女上学等方面收受乙方和相关单位的礼金、礼品。</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第三条　乙方的责任</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不准以任何理由向甲方、相关单位及其工作人员索要、接受或赠送现金、代币购物券、礼仪储蓄单、债券、股票及其他有价证券、消费卡、购物卡、电话充值卡、商品提货单等各种支付凭证和高档耐用物品、金银制品等贵重物品。</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（二）不准以任何理由为甲方和相关单位报销应由对方或个人支付的费用。</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（三）不准接受或暗示为甲方、相关单位或个人装修住房、婚丧嫁娶、配偶子女的工作安排以及出国（境）、旅游等提供方便。</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（四）不准以任何理由为甲方、相关单位或个人组织有可能影响公正执行公务的宴请、健身、娱乐等活动。</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（五）不准利用逢年过节、婚丧喜庆、工作调动、子女上学等机会向甲方或个人赠送礼金、礼品。</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第四条　违约责任</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（二）乙方工作人员有违反本责任书第一、三条责任行为的，甲方有权终止施工合同，并报请主管部门取消参与本市范围内工程建设资格；给甲方单位造成经济损失的，应予以赔偿。</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（三）乙方有违反廉政合同内容的，按相应的法规或规定进行处理。</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第五条　本责任书作为工程施工合同的附件；与工程施工合同具有同等法律效力。经双方签署后立即生效。</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第六条　本责任书的有效期为双方签署之日起至该工程项目竣工验收合格时止。</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第七条　本责任书作为建设工程施工合同的附件，本合同份数与建设工程施工合同约定相同，送交甲乙双方的监督单位各一份。</w:t>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1"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甲方单位：（盖章）　　　　　     乙方单位：（盖章）</w:t>
      </w:r>
      <w:r/>
    </w:p>
    <w:p>
      <w:pPr>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代表人：　　　　　　　　　　     代表人：</w:t>
      </w:r>
      <w:r/>
    </w:p>
    <w:p>
      <w:pPr>
        <w:ind w:left="480"/>
        <w:jc w:val="left"/>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p>
    <w:p>
      <w:pPr>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center"/>
        <w:rPr>
          <w:rFonts w:hint="default" w:ascii="Times New Roman" w:hAnsi="Times New Roman" w:eastAsia="仿宋_GB2312" w:cs="Times New Roman"/>
          <w:b/>
          <w:bCs/>
          <w:color w:val="auto"/>
          <w:sz w:val="28"/>
          <w:szCs w:val="28"/>
          <w:highlight w:val="none"/>
        </w:rPr>
      </w:pPr>
      <w:r>
        <w:rPr>
          <w:rFonts w:hint="default" w:ascii="Times New Roman" w:hAnsi="Times New Roman" w:eastAsia="仿宋_GB2312" w:cs="Times New Roman"/>
          <w:b/>
          <w:bCs/>
          <w:color w:val="auto"/>
          <w:sz w:val="28"/>
          <w:szCs w:val="28"/>
          <w:highlight w:val="none"/>
        </w:rPr>
        <w:t xml:space="preserve">施工项目履约承诺书</w:t>
      </w:r>
      <w:r/>
    </w:p>
    <w:p>
      <w:pPr>
        <w:spacing w:line="48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    如皋市高级技工学校：</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我司已中（投）标由贵单位发包的</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施工项目，在合同履约阶段，我司承诺在人员、工期、质量、安全、污染防治等方面接受贵单位的管理，主要内容如下：</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1.人员管理</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严格按照工程建设领域的相关规范配备现场管理人员，未经贵单位同意，不擅自更换项目经理、技术负责人、施工员、质量员、安全员等现场管理人员，并配备预算员、资料员。</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2.质量管控</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严格按照工程建设领域的相关规范开展施工作业，不偷工减料、不以次充好，采取有力措施保障施工质量。</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3.安全管控</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严格按照工程建设领域的相关规范开展安全管理，确保施工期间不违章作业、不野蛮施工及不发生各类安全事故。</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4.污染防治</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严格按照各级行业主管部门的要求做好污染防治工作，确保措施到位，不被各级检查通报；严格遵守污染防治要求，合理安排施工计划，确保工程按序时推进。</w:t>
      </w:r>
      <w:r/>
    </w:p>
    <w:p>
      <w:pPr>
        <w:ind w:firstLine="48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我司承诺在履约阶段遵守各项廉政规定，不向建设、设计、监理等管理单位赠送礼品、礼金、礼卡等；不发生任何资质挂靠、转包、违法分包等行为。如违背以上承诺，除法律法规规定应由我单位承担的责任外，我司自愿接受贵单位包括但不限于在合同执行、款项支付、经济追究、信用评价、招投标限制等方面的处罚。</w:t>
      </w:r>
      <w:r/>
    </w:p>
    <w:p>
      <w:pPr>
        <w:ind w:firstLine="640"/>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firstLine="640"/>
        <w:jc w:val="cente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640"/>
        <w:jc w:val="center"/>
        <w:keepLines w:val="0"/>
        <w:keepNext w:val="0"/>
        <w:pageBreakBefore w:val="0"/>
        <w:spacing w:line="4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施工单位名称（公章）：                            </w:t>
      </w:r>
      <w:r/>
    </w:p>
    <w:p>
      <w:pPr>
        <w:ind w:firstLine="640"/>
        <w:jc w:val="center"/>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年  月  日</w:t>
      </w:r>
      <w:r/>
    </w:p>
    <w:p>
      <w:pPr>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clear="all"/>
      </w:r>
      <w:r/>
    </w:p>
    <w:p>
      <w:pPr>
        <w:pStyle w:val="757"/>
        <w:ind w:firstLine="0"/>
        <w:jc w:val="center"/>
        <w:spacing w:line="240" w:lineRule="auto"/>
        <w:rPr>
          <w:b/>
          <w:color w:val="auto"/>
          <w:highlight w:val="none"/>
        </w:rPr>
        <w:outlineLvl w:val="0"/>
      </w:pPr>
      <w:r>
        <w:rPr>
          <w:rFonts w:hint="eastAsia" w:ascii="方正小标宋简体" w:eastAsia="方正小标宋简体"/>
          <w:bCs/>
          <w:color w:val="auto"/>
          <w:sz w:val="32"/>
          <w:szCs w:val="32"/>
          <w:highlight w:val="none"/>
        </w:rPr>
        <w:t xml:space="preserve">第5章 评审标准和方法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评审因素：价格、性能参数、产品实力、企业实力、人员配备及服务能力，以及相应的比重或者权值等。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最后报价得分=(评审基准价／最后报价)×价格分分值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评分表</w:t>
      </w:r>
      <w:r/>
    </w:p>
    <w:tbl>
      <w:tblPr>
        <w:tblStyle w:val="722"/>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328"/>
        <w:gridCol w:w="832"/>
        <w:gridCol w:w="6100"/>
      </w:tblGrid>
      <w:tr>
        <w:trPr>
          <w:jc w:val="center"/>
        </w:trPr>
        <w:tc>
          <w:tcPr>
            <w:tcW w:w="735" w:type="dxa"/>
            <w:vAlign w:val="center"/>
            <w:textDirection w:val="lrTb"/>
            <w:noWrap/>
          </w:tcPr>
          <w:p>
            <w:pPr>
              <w:spacing w:line="500" w:lineRule="exact"/>
              <w:rPr>
                <w:rFonts w:ascii="仿宋" w:hAnsi="仿宋" w:eastAsia="仿宋" w:cs="仿宋"/>
                <w:color w:val="auto"/>
                <w:sz w:val="24"/>
                <w:highlight w:val="none"/>
              </w:rPr>
            </w:pPr>
            <w:r>
              <w:rPr>
                <w:rFonts w:hint="eastAsia" w:ascii="仿宋" w:hAnsi="仿宋" w:eastAsia="仿宋" w:cs="Times New Roman"/>
                <w:color w:val="auto"/>
                <w:sz w:val="28"/>
                <w:szCs w:val="28"/>
                <w:highlight w:val="none"/>
              </w:rPr>
              <w:br w:type="page" w:clear="all"/>
            </w:r>
            <w:r>
              <w:rPr>
                <w:rFonts w:ascii="仿宋" w:hAnsi="仿宋" w:eastAsia="仿宋" w:cs="Times New Roman"/>
                <w:color w:val="auto"/>
                <w:sz w:val="24"/>
                <w:highlight w:val="none"/>
              </w:rPr>
              <w:br w:type="page" w:clear="all"/>
            </w:r>
            <w:r>
              <w:rPr>
                <w:rFonts w:hint="eastAsia" w:ascii="仿宋" w:hAnsi="仿宋" w:eastAsia="仿宋" w:cs="仿宋"/>
                <w:color w:val="auto"/>
                <w:sz w:val="24"/>
                <w:highlight w:val="none"/>
              </w:rPr>
              <w:t xml:space="preserve">序号</w:t>
            </w:r>
            <w:r/>
          </w:p>
        </w:tc>
        <w:tc>
          <w:tcPr>
            <w:tcW w:w="1328" w:type="dxa"/>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评审因素</w:t>
            </w:r>
            <w:r/>
          </w:p>
        </w:tc>
        <w:tc>
          <w:tcPr>
            <w:tcW w:w="832" w:type="dxa"/>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分值</w:t>
            </w:r>
            <w:r/>
          </w:p>
        </w:tc>
        <w:tc>
          <w:tcPr>
            <w:tcW w:w="6100" w:type="dxa"/>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评审标准</w:t>
            </w:r>
            <w:r/>
          </w:p>
        </w:tc>
      </w:tr>
      <w:tr>
        <w:trPr>
          <w:jc w:val="center"/>
        </w:trPr>
        <w:tc>
          <w:tcPr>
            <w:tcW w:w="735" w:type="dxa"/>
            <w:vAlign w:val="center"/>
            <w:textDirection w:val="lrTb"/>
            <w:noWrap/>
          </w:tcPr>
          <w:p>
            <w:pPr>
              <w:jc w:val="center"/>
              <w:spacing w:after="120"/>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328"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t xml:space="preserve">施工组织设计</w:t>
            </w:r>
            <w:r/>
          </w:p>
        </w:tc>
        <w:tc>
          <w:tcPr>
            <w:tcW w:w="832" w:type="dxa"/>
            <w:vAlign w:val="center"/>
            <w:textDirection w:val="lrTb"/>
            <w:noWrap/>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tcW w:w="6100" w:type="dxa"/>
            <w:vAlign w:val="center"/>
            <w:textDirection w:val="lrTb"/>
            <w:noWrap/>
          </w:tcPr>
          <w:p>
            <w:pPr>
              <w:ind w:firstLine="480"/>
              <w:jc w:val="left"/>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施工组织设计包括但不限于：</w:t>
            </w:r>
            <w:r/>
          </w:p>
          <w:p>
            <w:pPr>
              <w:ind w:firstLine="480"/>
              <w:jc w:val="left"/>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①施工程序及总体组织部署；</w:t>
            </w:r>
            <w:r/>
          </w:p>
          <w:p>
            <w:pPr>
              <w:ind w:firstLine="480"/>
              <w:jc w:val="left"/>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②安全文明施工保证措施；</w:t>
            </w:r>
            <w:r/>
          </w:p>
          <w:p>
            <w:pPr>
              <w:ind w:firstLine="480"/>
              <w:jc w:val="left"/>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③</w:t>
            </w:r>
            <w:r>
              <w:rPr>
                <w:rFonts w:hint="eastAsia" w:ascii="仿宋" w:hAnsi="仿宋" w:eastAsia="仿宋" w:cs="仿宋"/>
                <w:color w:val="auto"/>
                <w:sz w:val="24"/>
                <w:highlight w:val="none"/>
              </w:rPr>
              <w:t xml:space="preserve">施</w:t>
            </w:r>
            <w:bookmarkStart w:id="42" w:name="OLE_LINK71"/>
            <w:r>
              <w:rPr>
                <w:rFonts w:hint="eastAsia" w:ascii="仿宋" w:hAnsi="仿宋" w:eastAsia="仿宋" w:cs="仿宋"/>
                <w:color w:val="auto"/>
                <w:sz w:val="24"/>
                <w:highlight w:val="none"/>
              </w:rPr>
              <w:t xml:space="preserve">工质量保证措施及目标；</w:t>
            </w:r>
            <w:r/>
          </w:p>
          <w:p>
            <w:pPr>
              <w:ind w:firstLine="480"/>
              <w:jc w:val="left"/>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④</w:t>
            </w:r>
            <w:r>
              <w:rPr>
                <w:rFonts w:hint="eastAsia" w:ascii="仿宋" w:hAnsi="仿宋" w:eastAsia="仿宋" w:cs="仿宋"/>
                <w:color w:val="auto"/>
                <w:sz w:val="24"/>
                <w:highlight w:val="none"/>
              </w:rPr>
              <w:t xml:space="preserve">施工安装方案及工</w:t>
            </w:r>
            <w:bookmarkEnd w:id="42"/>
            <w:r>
              <w:rPr>
                <w:rFonts w:hint="eastAsia" w:ascii="仿宋" w:hAnsi="仿宋" w:eastAsia="仿宋" w:cs="仿宋"/>
                <w:color w:val="auto"/>
                <w:sz w:val="24"/>
                <w:highlight w:val="none"/>
              </w:rPr>
              <w:t xml:space="preserve">艺方法；</w:t>
            </w:r>
            <w:r/>
          </w:p>
          <w:p>
            <w:pPr>
              <w:ind w:firstLine="480"/>
              <w:jc w:val="left"/>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⑤</w:t>
            </w:r>
            <w:r>
              <w:rPr>
                <w:rFonts w:hint="eastAsia" w:ascii="仿宋" w:hAnsi="仿宋" w:eastAsia="仿宋" w:cs="仿宋"/>
                <w:color w:val="auto"/>
                <w:sz w:val="24"/>
                <w:highlight w:val="none"/>
              </w:rPr>
              <w:t xml:space="preserve">售后服务方案、售后服务承诺及保障等。</w:t>
            </w:r>
            <w:r/>
          </w:p>
          <w:p>
            <w:pPr>
              <w:ind w:firstLine="480"/>
              <w:jc w:val="left"/>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方面内容中每缺少一项内容扣2分，每有一处需求分析内容存在缺陷或不足的扣1分，扣完为止。(本项最多得</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p>
            <w:pPr>
              <w:ind w:firstLine="480"/>
              <w:jc w:val="left"/>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注：实施方案内容存在缺陷或不足是指以下任意一种情形：</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90"/>
        </w:trPr>
        <w:tc>
          <w:tcPr>
            <w:tcW w:w="735" w:type="dxa"/>
            <w:vAlign w:val="center"/>
            <w:textDirection w:val="lrTb"/>
            <w:noWrap/>
          </w:tcPr>
          <w:p>
            <w:pPr>
              <w:jc w:val="center"/>
              <w:spacing w:after="120"/>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1328" w:type="dxa"/>
            <w:vAlign w:val="center"/>
            <w:textDirection w:val="lrTb"/>
            <w:noWrap/>
          </w:tcPr>
          <w:p>
            <w:pPr>
              <w:jc w:val="center"/>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业绩</w:t>
            </w:r>
            <w:r/>
          </w:p>
        </w:tc>
        <w:tc>
          <w:tcPr>
            <w:tcW w:w="832" w:type="dxa"/>
            <w:vAlign w:val="center"/>
            <w:textDirection w:val="lrTb"/>
            <w:noWrap/>
          </w:tcPr>
          <w:p>
            <w:pPr>
              <w:jc w:val="center"/>
              <w:spacing w:line="36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5</w:t>
            </w:r>
            <w:r/>
          </w:p>
        </w:tc>
        <w:tc>
          <w:tcPr>
            <w:tcW w:w="6100" w:type="dxa"/>
            <w:vAlign w:val="center"/>
            <w:textDirection w:val="lrTb"/>
            <w:noWrap/>
          </w:tcPr>
          <w:p>
            <w:pPr>
              <w:ind w:firstLine="480"/>
              <w:jc w:val="left"/>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响应供应商2023年1月1日以来（以合同签订时间为准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项目须完成终验</w:t>
            </w:r>
            <w:r>
              <w:rPr>
                <w:rFonts w:hint="eastAsia" w:ascii="仿宋" w:hAnsi="仿宋" w:eastAsia="仿宋" w:cs="仿宋"/>
                <w:color w:val="auto"/>
                <w:sz w:val="24"/>
                <w:highlight w:val="none"/>
              </w:rPr>
              <w:t xml:space="preserve">）承接过</w:t>
            </w:r>
            <w:r>
              <w:rPr>
                <w:rFonts w:hint="eastAsia" w:ascii="仿宋" w:hAnsi="仿宋" w:eastAsia="仿宋" w:cs="仿宋"/>
                <w:color w:val="auto"/>
                <w:sz w:val="24"/>
                <w:highlight w:val="none"/>
                <w:lang w:val="en-US" w:eastAsia="zh-CN"/>
              </w:rPr>
              <w:t xml:space="preserve">类似</w:t>
            </w:r>
            <w:r>
              <w:rPr>
                <w:rFonts w:hint="eastAsia" w:ascii="仿宋" w:hAnsi="仿宋" w:eastAsia="仿宋" w:cs="仿宋"/>
                <w:color w:val="auto"/>
                <w:sz w:val="24"/>
                <w:highlight w:val="none"/>
              </w:rPr>
              <w:t xml:space="preserve">智能化工程项目业绩的，每提供一个得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分，最高</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p>
            <w:pPr>
              <w:ind w:firstLine="480"/>
              <w:spacing w:line="36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须提供相应业绩合同、验收报告及</w:t>
            </w:r>
            <w:r>
              <w:rPr>
                <w:rFonts w:hint="eastAsia" w:ascii="仿宋" w:hAnsi="仿宋" w:eastAsia="仿宋" w:cs="仿宋"/>
                <w:b/>
                <w:bCs/>
                <w:color w:val="auto"/>
                <w:sz w:val="24"/>
                <w:highlight w:val="none"/>
                <w:lang w:val="en-US" w:eastAsia="zh-CN"/>
              </w:rPr>
              <w:t xml:space="preserve">对应</w:t>
            </w:r>
            <w:r>
              <w:rPr>
                <w:rFonts w:hint="eastAsia" w:ascii="仿宋" w:hAnsi="仿宋" w:eastAsia="仿宋" w:cs="仿宋"/>
                <w:b/>
                <w:bCs/>
                <w:color w:val="auto"/>
                <w:sz w:val="24"/>
                <w:highlight w:val="none"/>
              </w:rPr>
              <w:t xml:space="preserve">结算发票</w:t>
            </w:r>
            <w:r>
              <w:rPr>
                <w:rFonts w:hint="eastAsia" w:ascii="仿宋" w:hAnsi="仿宋" w:eastAsia="仿宋" w:cs="仿宋"/>
                <w:b/>
                <w:bCs/>
                <w:color w:val="auto"/>
                <w:sz w:val="24"/>
                <w:highlight w:val="none"/>
              </w:rPr>
              <w:t xml:space="preserve">证明材料扫描件，并加盖响应供应商公章。不提供或提供不全不得分。</w:t>
            </w:r>
            <w:r/>
          </w:p>
        </w:tc>
      </w:tr>
      <w:tr>
        <w:trPr>
          <w:jc w:val="center"/>
        </w:trPr>
        <w:tc>
          <w:tcPr>
            <w:tcW w:w="735" w:type="dxa"/>
            <w:vAlign w:val="center"/>
            <w:textDirection w:val="lrTb"/>
            <w:noWrap/>
          </w:tcPr>
          <w:p>
            <w:pPr>
              <w:jc w:val="center"/>
              <w:spacing w:after="120"/>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1328" w:type="dxa"/>
            <w:vAlign w:val="center"/>
            <w:textDirection w:val="lrTb"/>
            <w:noWrap/>
          </w:tcPr>
          <w:p>
            <w:pPr>
              <w:jc w:val="center"/>
              <w:spacing w:line="300" w:lineRule="exact"/>
              <w:widowControl/>
              <w:rPr>
                <w:rFonts w:ascii="仿宋" w:hAnsi="仿宋" w:eastAsia="仿宋" w:cs="仿宋"/>
                <w:color w:val="auto"/>
                <w:sz w:val="24"/>
                <w:highlight w:val="none"/>
              </w:rPr>
            </w:pPr>
            <w:r>
              <w:rPr>
                <w:rFonts w:hint="eastAsia" w:ascii="仿宋" w:hAnsi="仿宋" w:eastAsia="仿宋" w:cs="Times New Roman"/>
                <w:color w:val="auto"/>
                <w:sz w:val="24"/>
                <w:highlight w:val="none"/>
              </w:rPr>
              <w:t xml:space="preserve">体系认证</w:t>
            </w:r>
            <w:r/>
          </w:p>
        </w:tc>
        <w:tc>
          <w:tcPr>
            <w:tcW w:w="832"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Times New Roman"/>
                <w:color w:val="auto"/>
                <w:sz w:val="24"/>
                <w:highlight w:val="none"/>
              </w:rPr>
              <w:t xml:space="preserve">5</w:t>
            </w:r>
            <w:r/>
          </w:p>
        </w:tc>
        <w:tc>
          <w:tcPr>
            <w:tcW w:w="6100" w:type="dxa"/>
            <w:vAlign w:val="center"/>
            <w:textDirection w:val="lrTb"/>
            <w:noWrap/>
          </w:tcPr>
          <w:p>
            <w:pPr>
              <w:ind w:firstLine="480"/>
              <w:jc w:val="left"/>
              <w:spacing w:line="3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供应商具有有效的ISO9001质量管理体系认证证书、ISO14001环境管理体系认证证书、ISO45001职业健康安全管理体系认证证书、信息技术服务管理体系认证证书、信息安全管理体系认证证书，每有一项得1分，最高得5分。</w:t>
            </w:r>
            <w:r>
              <w:rPr>
                <w:rFonts w:hint="eastAsia" w:ascii="仿宋" w:hAnsi="仿宋" w:eastAsia="仿宋" w:cs="仿宋"/>
                <w:b/>
                <w:bCs/>
                <w:color w:val="auto"/>
                <w:sz w:val="24"/>
                <w:highlight w:val="none"/>
              </w:rPr>
              <w:t xml:space="preserve">须在响应文件中提供</w:t>
            </w:r>
            <w:r>
              <w:rPr>
                <w:rFonts w:hint="eastAsia" w:ascii="仿宋" w:hAnsi="仿宋" w:eastAsia="仿宋" w:cs="仿宋"/>
                <w:b/>
                <w:bCs/>
                <w:color w:val="auto"/>
                <w:sz w:val="24"/>
                <w:highlight w:val="none"/>
                <w:lang w:val="en-US" w:eastAsia="zh-CN"/>
              </w:rPr>
              <w:t xml:space="preserve">上述</w:t>
            </w:r>
            <w:r>
              <w:rPr>
                <w:rFonts w:hint="eastAsia" w:ascii="仿宋" w:hAnsi="仿宋" w:eastAsia="仿宋" w:cs="仿宋"/>
                <w:b/>
                <w:bCs/>
                <w:color w:val="auto"/>
                <w:sz w:val="24"/>
                <w:highlight w:val="none"/>
              </w:rPr>
              <w:t xml:space="preserve">相关证书扫描件</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不提供不得分。</w:t>
            </w:r>
            <w:r/>
          </w:p>
        </w:tc>
      </w:tr>
      <w:tr>
        <w:trPr>
          <w:jc w:val="center"/>
        </w:trPr>
        <w:tc>
          <w:tcPr>
            <w:tcW w:w="735" w:type="dxa"/>
            <w:vAlign w:val="center"/>
            <w:textDirection w:val="lrTb"/>
            <w:noWrap/>
          </w:tcPr>
          <w:p>
            <w:pPr>
              <w:jc w:val="center"/>
              <w:spacing w:after="120"/>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1328"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人员配备</w:t>
            </w:r>
            <w:r/>
          </w:p>
        </w:tc>
        <w:tc>
          <w:tcPr>
            <w:tcW w:w="8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6100" w:type="dxa"/>
            <w:vAlign w:val="center"/>
            <w:textDirection w:val="lrTb"/>
            <w:noWrap/>
          </w:tcPr>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1.项目负责人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具有高级工程师的得1分。</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2.项目技术负责人：具有高级工程师的得1分，机电工程专业注册建造师贰级及以上证书的得1分；本项最高得2分。</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3.项目组人员（不含项目负责人、项目技术负责人）：具有机电工程专业注册建造师贰级及以上证书、网络工程师证书、注册信息安全专业人员证书(CISP)、</w:t>
            </w:r>
            <w:r>
              <w:rPr>
                <w:rFonts w:hint="eastAsia" w:ascii="仿宋" w:hAnsi="仿宋" w:eastAsia="仿宋" w:cs="仿宋"/>
                <w:color w:val="auto"/>
                <w:sz w:val="24"/>
                <w:highlight w:val="none"/>
              </w:rPr>
              <w:t xml:space="preserve">国家人力资源和社会保障部门颁发的电子信息专业工程师、应急管理部门颁发的高处作业特种操作证、应急管理部门颁发的电工作业特种操作证、住房和城乡建设部门颁发的安全员C证，每一类型证书提供1个得1分，最多得7分。（重复类型证书不得分、同一人拥有多个证书的按一个证书计分）。</w:t>
            </w:r>
            <w:r/>
          </w:p>
          <w:p>
            <w:pPr>
              <w:ind w:firstLine="482"/>
              <w:jc w:val="left"/>
              <w:spacing w:line="3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响应文件中须提供以上人员证书扫描件及提供响应文件提交截止日前最近1个月响应供应商为其缴纳社保的证明。新成立企业距响应文件提交截止日期不足30日的，可不提供缴纳社保的证明（以新办企业营业执照发放日期为准）。不提供或提供不全不得分。</w:t>
            </w:r>
            <w:r/>
          </w:p>
        </w:tc>
      </w:tr>
      <w:tr>
        <w:trPr>
          <w:jc w:val="center"/>
        </w:trPr>
        <w:tc>
          <w:tcPr>
            <w:tcW w:w="735" w:type="dxa"/>
            <w:vAlign w:val="center"/>
            <w:textDirection w:val="lrTb"/>
            <w:noWrap/>
          </w:tcPr>
          <w:p>
            <w:pPr>
              <w:jc w:val="center"/>
              <w:spacing w:after="120"/>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1328"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性能参数</w:t>
            </w:r>
            <w:r/>
          </w:p>
        </w:tc>
        <w:tc>
          <w:tcPr>
            <w:tcW w:w="832" w:type="dxa"/>
            <w:vAlign w:val="center"/>
            <w:textDirection w:val="lrTb"/>
            <w:noWrap/>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30</w:t>
            </w:r>
            <w:r/>
          </w:p>
        </w:tc>
        <w:tc>
          <w:tcPr>
            <w:tcW w:w="6100" w:type="dxa"/>
            <w:vAlign w:val="center"/>
            <w:textDirection w:val="lrTb"/>
            <w:noWrap/>
          </w:tcPr>
          <w:p>
            <w:pPr>
              <w:numPr>
                <w:ilvl w:val="0"/>
                <w:numId w:val="4"/>
              </w:num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视频监控系统：(8分)</w:t>
            </w:r>
            <w:r/>
          </w:p>
          <w:p>
            <w:pPr>
              <w:ind w:firstLine="480"/>
              <w:jc w:val="left"/>
              <w:spacing w:line="30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1.400万高清半球摄像机：支持SD卡录像文件保护功能，可以在一张内存卡中实现图片和视频分区域存储。SD卡中录像文件能通过专属客户端播放，支持SD卡热插拔，支持512GB及以上容量。得2分。</w:t>
            </w:r>
            <w:r>
              <w:rPr>
                <w:rFonts w:hint="eastAsia" w:ascii="仿宋" w:hAnsi="仿宋" w:eastAsia="仿宋" w:cs="仿宋"/>
                <w:b/>
                <w:bCs/>
                <w:color w:val="auto"/>
                <w:sz w:val="24"/>
                <w:highlight w:val="none"/>
              </w:rPr>
              <w:t xml:space="preserve">须提供</w:t>
            </w:r>
            <w:r>
              <w:rPr>
                <w:rFonts w:hint="eastAsia" w:ascii="仿宋" w:hAnsi="仿宋" w:eastAsia="仿宋" w:cs="仿宋"/>
                <w:b/>
                <w:bCs/>
                <w:color w:val="auto"/>
                <w:sz w:val="24"/>
                <w:highlight w:val="none"/>
                <w:lang w:val="en-US" w:eastAsia="zh-CN"/>
              </w:rPr>
              <w:t xml:space="preserve">产品依据</w:t>
            </w:r>
            <w:r>
              <w:rPr>
                <w:rFonts w:hint="eastAsia" w:ascii="仿宋" w:hAnsi="仿宋" w:eastAsia="仿宋" w:cs="仿宋"/>
                <w:b/>
                <w:bCs/>
                <w:color w:val="auto"/>
                <w:sz w:val="24"/>
                <w:highlight w:val="none"/>
              </w:rPr>
              <w:t xml:space="preserve">SJ/T11528-2015信息技术移动存储存储卡通用规范</w:t>
            </w:r>
            <w:r>
              <w:rPr>
                <w:rFonts w:hint="eastAsia" w:ascii="仿宋" w:hAnsi="仿宋" w:eastAsia="仿宋" w:cs="仿宋"/>
                <w:b/>
                <w:bCs/>
                <w:color w:val="auto"/>
                <w:sz w:val="24"/>
                <w:highlight w:val="none"/>
                <w:lang w:val="en-US" w:eastAsia="zh-CN"/>
              </w:rPr>
              <w:t xml:space="preserve">的</w:t>
            </w:r>
            <w:r>
              <w:rPr>
                <w:rFonts w:hint="eastAsia" w:ascii="仿宋" w:hAnsi="仿宋" w:eastAsia="仿宋" w:cs="仿宋"/>
                <w:b/>
                <w:bCs/>
                <w:color w:val="auto"/>
                <w:sz w:val="24"/>
                <w:highlight w:val="none"/>
              </w:rPr>
              <w:t xml:space="preserve">第三方检测机构出具的检测报告扫描件并加盖响应供应商公章。</w:t>
            </w:r>
            <w:r>
              <w:rPr>
                <w:rFonts w:hint="eastAsia" w:ascii="仿宋" w:hAnsi="仿宋" w:eastAsia="仿宋" w:cs="仿宋"/>
                <w:b/>
                <w:bCs/>
                <w:color w:val="auto"/>
                <w:sz w:val="24"/>
                <w:highlight w:val="none"/>
                <w:lang w:val="en-US" w:eastAsia="zh-CN"/>
              </w:rPr>
              <w:t xml:space="preserve">不提供不得分。</w:t>
            </w:r>
            <w:r/>
          </w:p>
          <w:p>
            <w:pPr>
              <w:ind w:firstLine="480"/>
              <w:jc w:val="left"/>
              <w:spacing w:line="300" w:lineRule="exact"/>
              <w:rPr>
                <w:rFonts w:hint="eastAsia" w:ascii="仿宋" w:hAnsi="仿宋" w:eastAsia="仿宋" w:cs="仿宋"/>
                <w:b/>
                <w:bCs/>
                <w:color w:val="auto"/>
                <w:sz w:val="24"/>
                <w:highlight w:val="none"/>
                <w:lang w:val="en-US" w:eastAsia="zh-CN"/>
              </w:rPr>
            </w:pPr>
            <w:r>
              <w:rPr>
                <w:rFonts w:hint="eastAsia" w:ascii="仿宋" w:hAnsi="仿宋" w:eastAsia="仿宋" w:cs="仿宋"/>
                <w:color w:val="auto"/>
                <w:sz w:val="24"/>
                <w:highlight w:val="none"/>
              </w:rPr>
              <w:t xml:space="preserve">2.400万高清半球摄像机：支持AI-ISP图像质量提升算法，当环境照度低于设定阈值时，摄像机自动开启AI-ISP图像质量提升算法，使视频图像更清晰。得2分。</w:t>
            </w:r>
            <w:r>
              <w:rPr>
                <w:rFonts w:hint="eastAsia" w:ascii="仿宋" w:hAnsi="仿宋" w:eastAsia="仿宋" w:cs="仿宋"/>
                <w:b/>
                <w:bCs/>
                <w:color w:val="auto"/>
                <w:sz w:val="24"/>
                <w:highlight w:val="none"/>
              </w:rPr>
              <w:t xml:space="preserve">须提供</w:t>
            </w:r>
            <w:r>
              <w:rPr>
                <w:rFonts w:hint="eastAsia" w:ascii="仿宋" w:hAnsi="仿宋" w:eastAsia="仿宋" w:cs="仿宋"/>
                <w:b/>
                <w:bCs/>
                <w:color w:val="auto"/>
                <w:sz w:val="24"/>
                <w:highlight w:val="none"/>
                <w:lang w:val="en-US" w:eastAsia="zh-CN"/>
              </w:rPr>
              <w:t xml:space="preserve">产品依据</w:t>
            </w:r>
            <w:r>
              <w:rPr>
                <w:rFonts w:hint="eastAsia" w:ascii="仿宋" w:hAnsi="仿宋" w:eastAsia="仿宋" w:cs="仿宋"/>
                <w:b/>
                <w:bCs/>
                <w:color w:val="auto"/>
                <w:sz w:val="24"/>
                <w:highlight w:val="none"/>
              </w:rPr>
              <w:t xml:space="preserve">GA/T1127-2025</w:t>
            </w:r>
            <w:r>
              <w:rPr>
                <w:rFonts w:hint="eastAsia" w:ascii="仿宋" w:hAnsi="仿宋" w:eastAsia="仿宋" w:cs="仿宋"/>
                <w:b/>
                <w:bCs/>
                <w:color w:val="auto"/>
                <w:sz w:val="24"/>
                <w:highlight w:val="none"/>
                <w:lang w:val="en-US" w:eastAsia="zh-CN"/>
              </w:rPr>
              <w:t xml:space="preserve"> </w:t>
            </w:r>
            <w:r>
              <w:rPr>
                <w:rFonts w:hint="eastAsia" w:ascii="仿宋" w:hAnsi="仿宋" w:eastAsia="仿宋" w:cs="仿宋"/>
                <w:b/>
                <w:bCs/>
                <w:color w:val="auto"/>
                <w:sz w:val="24"/>
                <w:highlight w:val="none"/>
              </w:rPr>
              <w:t xml:space="preserve">安全防范视频监控摄像机的第三方检测机构出具的检测报告扫描件并加盖响应供应商公章。</w:t>
            </w:r>
            <w:r>
              <w:rPr>
                <w:rFonts w:hint="eastAsia" w:ascii="仿宋" w:hAnsi="仿宋" w:eastAsia="仿宋" w:cs="仿宋"/>
                <w:b/>
                <w:bCs/>
                <w:color w:val="auto"/>
                <w:sz w:val="24"/>
                <w:highlight w:val="none"/>
                <w:lang w:val="en-US" w:eastAsia="zh-CN"/>
              </w:rPr>
              <w:t xml:space="preserve">不提供不得分。</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3.32路NVR硬盘录像机：支持IPC离线状态原因显示，包括设备连接中、用户名密码错误、网络不通、请求媒体流失败、媒体流中断、带宽不足、弱密码拒绝访问。得2分。</w:t>
            </w:r>
            <w:r>
              <w:rPr>
                <w:rFonts w:hint="eastAsia" w:ascii="仿宋" w:hAnsi="仿宋" w:eastAsia="仿宋" w:cs="仿宋"/>
                <w:b/>
                <w:bCs/>
                <w:color w:val="auto"/>
                <w:sz w:val="24"/>
                <w:highlight w:val="none"/>
              </w:rPr>
              <w:t xml:space="preserve">须提供</w:t>
            </w:r>
            <w:r>
              <w:rPr>
                <w:rFonts w:hint="eastAsia" w:ascii="仿宋" w:hAnsi="仿宋" w:eastAsia="仿宋" w:cs="仿宋"/>
                <w:b/>
                <w:bCs/>
                <w:color w:val="auto"/>
                <w:sz w:val="24"/>
                <w:highlight w:val="none"/>
                <w:lang w:val="en-US" w:eastAsia="zh-CN"/>
              </w:rPr>
              <w:t xml:space="preserve">产品依据</w:t>
            </w:r>
            <w:r>
              <w:rPr>
                <w:rFonts w:hint="eastAsia" w:ascii="仿宋" w:hAnsi="仿宋" w:eastAsia="仿宋" w:cs="仿宋"/>
                <w:b/>
                <w:bCs/>
                <w:color w:val="auto"/>
                <w:sz w:val="24"/>
                <w:highlight w:val="none"/>
              </w:rPr>
              <w:t xml:space="preserve">GB/T43026-2023 公共安全视频监控联网信息安全测试规范的第三方检测机构出具的检测报告扫描件并加盖响应供应商公章。</w:t>
            </w:r>
            <w:r>
              <w:rPr>
                <w:rFonts w:hint="eastAsia" w:ascii="仿宋" w:hAnsi="仿宋" w:eastAsia="仿宋" w:cs="仿宋"/>
                <w:b/>
                <w:bCs/>
                <w:color w:val="auto"/>
                <w:sz w:val="24"/>
                <w:highlight w:val="none"/>
                <w:lang w:val="en-US" w:eastAsia="zh-CN"/>
              </w:rPr>
              <w:t xml:space="preserve">不提供不得分。</w:t>
            </w:r>
            <w:r/>
          </w:p>
          <w:p>
            <w:pPr>
              <w:ind w:firstLine="480"/>
              <w:jc w:val="left"/>
              <w:spacing w:line="300" w:lineRule="exact"/>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4.汇聚交换机：支持基础网络保护策略，</w:t>
            </w:r>
            <w:r>
              <w:rPr>
                <w:rFonts w:hint="eastAsia" w:ascii="仿宋" w:hAnsi="仿宋" w:eastAsia="仿宋" w:cs="仿宋"/>
                <w:strike w:val="0"/>
                <w:color w:val="auto"/>
                <w:sz w:val="24"/>
                <w:highlight w:val="none"/>
                <w:lang w:val="en-US" w:eastAsia="zh-CN"/>
              </w:rPr>
              <w:t xml:space="preserve">可</w:t>
            </w:r>
            <w:r>
              <w:rPr>
                <w:rFonts w:hint="eastAsia" w:ascii="仿宋" w:hAnsi="仿宋" w:eastAsia="仿宋" w:cs="仿宋"/>
                <w:strike w:val="0"/>
                <w:color w:val="auto"/>
                <w:sz w:val="24"/>
                <w:highlight w:val="none"/>
              </w:rPr>
              <w:t xml:space="preserve">通</w:t>
            </w:r>
            <w:r>
              <w:rPr>
                <w:rFonts w:hint="eastAsia" w:ascii="仿宋" w:hAnsi="仿宋" w:eastAsia="仿宋" w:cs="仿宋"/>
                <w:color w:val="auto"/>
                <w:sz w:val="24"/>
                <w:highlight w:val="none"/>
              </w:rPr>
              <w:t xml:space="preserve">过对攻击源头采取隔离措施。得2分</w:t>
            </w:r>
            <w:r>
              <w:rPr>
                <w:rFonts w:hint="eastAsia" w:ascii="仿宋" w:hAnsi="仿宋" w:eastAsia="仿宋" w:cs="仿宋"/>
                <w:color w:val="auto"/>
                <w:sz w:val="24"/>
                <w:highlight w:val="none"/>
                <w:lang w:eastAsia="zh-CN"/>
              </w:rPr>
              <w:t xml:space="preserve">。</w:t>
            </w:r>
            <w:r>
              <w:rPr>
                <w:rFonts w:hint="eastAsia" w:ascii="仿宋" w:hAnsi="仿宋" w:eastAsia="仿宋" w:cs="仿宋"/>
                <w:b/>
                <w:bCs/>
                <w:color w:val="auto"/>
                <w:sz w:val="24"/>
                <w:highlight w:val="none"/>
              </w:rPr>
              <w:t xml:space="preserve">须提供所投产品官网截图并加盖响应供应商公章。</w:t>
            </w:r>
            <w:r>
              <w:rPr>
                <w:rFonts w:hint="eastAsia" w:ascii="仿宋" w:hAnsi="仿宋" w:eastAsia="仿宋" w:cs="仿宋"/>
                <w:b/>
                <w:bCs/>
                <w:color w:val="auto"/>
                <w:sz w:val="24"/>
                <w:highlight w:val="none"/>
                <w:lang w:val="en-US" w:eastAsia="zh-CN"/>
              </w:rPr>
              <w:t xml:space="preserve">不提供不得分。</w:t>
            </w:r>
            <w:r/>
          </w:p>
          <w:p>
            <w:pPr>
              <w:numPr>
                <w:ilvl w:val="0"/>
                <w:numId w:val="4"/>
              </w:num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无线网络系统：（1分）</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1.无线控制器</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可以从区域分析、干扰、覆盖、接入、认证等维度度量网络状态，帮助分析定位体验问题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包括分析问题区域、信道率利用率高的AP，覆盖不足的AP、接入失败问题分类、认证失败导致的占比趋势等</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得1分。</w:t>
            </w:r>
            <w:r>
              <w:rPr>
                <w:rFonts w:hint="eastAsia" w:ascii="仿宋" w:hAnsi="仿宋" w:eastAsia="仿宋" w:cs="仿宋"/>
                <w:b/>
                <w:bCs/>
                <w:color w:val="auto"/>
                <w:sz w:val="24"/>
                <w:highlight w:val="none"/>
              </w:rPr>
              <w:t xml:space="preserve">须提供</w:t>
            </w:r>
            <w:r>
              <w:rPr>
                <w:rFonts w:hint="eastAsia" w:ascii="仿宋" w:hAnsi="仿宋" w:eastAsia="仿宋" w:cs="仿宋"/>
                <w:b/>
                <w:bCs/>
                <w:color w:val="auto"/>
                <w:sz w:val="24"/>
                <w:highlight w:val="none"/>
                <w:lang w:val="en-US" w:eastAsia="zh-CN"/>
              </w:rPr>
              <w:t xml:space="preserve">所投产品原厂技术白皮书</w:t>
            </w:r>
            <w:r>
              <w:rPr>
                <w:rFonts w:hint="eastAsia" w:ascii="仿宋" w:hAnsi="仿宋" w:eastAsia="仿宋" w:cs="仿宋"/>
                <w:b/>
                <w:bCs/>
                <w:color w:val="auto"/>
                <w:sz w:val="24"/>
                <w:highlight w:val="none"/>
                <w:lang w:val="en-US" w:eastAsia="zh-CN"/>
              </w:rPr>
              <w:t xml:space="preserve">扫描件</w:t>
            </w:r>
            <w:r>
              <w:rPr>
                <w:rFonts w:hint="eastAsia" w:ascii="仿宋" w:hAnsi="仿宋" w:eastAsia="仿宋" w:cs="仿宋"/>
                <w:b/>
                <w:bCs/>
                <w:color w:val="auto"/>
                <w:sz w:val="24"/>
                <w:highlight w:val="none"/>
                <w:lang w:val="en-US" w:eastAsia="zh-CN"/>
              </w:rPr>
              <w:t xml:space="preserve">或软件功能截图</w:t>
            </w:r>
            <w:r>
              <w:rPr>
                <w:rFonts w:hint="eastAsia" w:ascii="仿宋" w:hAnsi="仿宋" w:eastAsia="仿宋" w:cs="仿宋"/>
                <w:b/>
                <w:bCs/>
                <w:color w:val="auto"/>
                <w:sz w:val="24"/>
                <w:highlight w:val="none"/>
              </w:rPr>
              <w:t xml:space="preserve">并加盖响应供应商公章</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不提供不得分。</w:t>
            </w:r>
            <w:r/>
          </w:p>
          <w:p>
            <w:pPr>
              <w:numPr>
                <w:ilvl w:val="0"/>
                <w:numId w:val="4"/>
              </w:num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报告厅大屏及灯光系统：（</w:t>
            </w:r>
            <w:r>
              <w:rPr>
                <w:rFonts w:hint="eastAsia" w:ascii="仿宋" w:hAnsi="仿宋" w:eastAsia="仿宋" w:cs="仿宋"/>
                <w:color w:val="auto"/>
                <w:sz w:val="24"/>
                <w:highlight w:val="none"/>
                <w:lang w:val="en-US" w:eastAsia="zh-CN"/>
              </w:rPr>
              <w:t xml:space="preserve">19</w:t>
            </w:r>
            <w:r>
              <w:rPr>
                <w:rFonts w:hint="eastAsia" w:ascii="仿宋" w:hAnsi="仿宋" w:eastAsia="仿宋" w:cs="仿宋"/>
                <w:color w:val="auto"/>
                <w:sz w:val="24"/>
                <w:highlight w:val="none"/>
              </w:rPr>
              <w:t xml:space="preserve">分）</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1.P2.5室内屏：白平衡亮度≥850nits,支持通过配套软件0-100%无级调节；色温：3000K-38000K可调。得2分。</w:t>
            </w:r>
            <w:r>
              <w:rPr>
                <w:rFonts w:hint="eastAsia" w:ascii="仿宋" w:hAnsi="仿宋" w:eastAsia="仿宋" w:cs="仿宋"/>
                <w:b/>
                <w:bCs/>
                <w:color w:val="auto"/>
                <w:sz w:val="24"/>
                <w:highlight w:val="none"/>
              </w:rPr>
              <w:t xml:space="preserve">须提供</w:t>
            </w:r>
            <w:r>
              <w:rPr>
                <w:rFonts w:hint="eastAsia" w:ascii="仿宋" w:hAnsi="仿宋" w:eastAsia="仿宋" w:cs="仿宋"/>
                <w:b/>
                <w:bCs/>
                <w:color w:val="auto"/>
                <w:sz w:val="24"/>
                <w:highlight w:val="none"/>
                <w:lang w:val="en-US" w:eastAsia="zh-CN"/>
              </w:rPr>
              <w:t xml:space="preserve">产品</w:t>
            </w:r>
            <w:r>
              <w:rPr>
                <w:rFonts w:hint="eastAsia" w:ascii="仿宋" w:hAnsi="仿宋" w:eastAsia="仿宋" w:cs="仿宋"/>
                <w:b/>
                <w:bCs/>
                <w:color w:val="auto"/>
                <w:sz w:val="24"/>
                <w:highlight w:val="none"/>
              </w:rPr>
              <w:t xml:space="preserve">依据SJ/T 11141-2017《LED显示屏通用规范》（核心入库行标，亮度、白平衡、色温测量的基准）的第三方检测机构出具的检测报告扫描件并加盖响应供应商公章。</w:t>
            </w:r>
            <w:r>
              <w:rPr>
                <w:rFonts w:hint="eastAsia" w:ascii="仿宋" w:hAnsi="仿宋" w:eastAsia="仿宋" w:cs="仿宋"/>
                <w:b/>
                <w:bCs/>
                <w:color w:val="auto"/>
                <w:sz w:val="24"/>
                <w:highlight w:val="none"/>
                <w:lang w:val="en-US" w:eastAsia="zh-CN"/>
              </w:rPr>
              <w:t xml:space="preserve">不提供不得分。</w:t>
            </w:r>
            <w:r/>
          </w:p>
          <w:p>
            <w:pPr>
              <w:ind w:firstLine="480"/>
              <w:jc w:val="left"/>
              <w:spacing w:line="300" w:lineRule="exact"/>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2.P2.5室内屏：符合TIRT《显示设备显示性能和视觉健康认证技术规范第5部分:室内LED显示屏》技术要求。得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rPr>
                <w:rFonts w:hint="eastAsia" w:ascii="仿宋" w:hAnsi="仿宋" w:eastAsia="仿宋" w:cs="仿宋"/>
                <w:b/>
                <w:bCs/>
                <w:color w:val="auto"/>
                <w:sz w:val="24"/>
                <w:highlight w:val="none"/>
              </w:rPr>
              <w:t xml:space="preserve">须提供产品认证证书</w:t>
            </w:r>
            <w:r>
              <w:rPr>
                <w:rFonts w:hint="eastAsia" w:ascii="仿宋" w:hAnsi="仿宋" w:eastAsia="仿宋" w:cs="仿宋"/>
                <w:b/>
                <w:bCs/>
                <w:color w:val="auto"/>
                <w:sz w:val="24"/>
                <w:highlight w:val="none"/>
              </w:rPr>
              <w:t xml:space="preserve">扫描件并加盖响应供应商公章</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不提供不得分。</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 P2.5室内屏光生物安全：产品依据标准进行光生物安全及蓝光危害评估检测属无危害类，在8h(约30000s)曝辐中不造成光化学紫外危害(ES),在1000s(约16min)内不造成近紫外危害 (EUVA),在10000s(约2.8h)内不造成对视网膜蓝光危害(LB),在10s内不造成对视网膜热危害(LR),在1000s内不造成对眼睛的红外辐射危害(EIR)。得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rPr>
                <w:rFonts w:hint="eastAsia" w:ascii="仿宋" w:hAnsi="仿宋" w:eastAsia="仿宋" w:cs="仿宋"/>
                <w:b/>
                <w:bCs/>
                <w:color w:val="auto"/>
                <w:sz w:val="24"/>
                <w:highlight w:val="none"/>
              </w:rPr>
              <w:t xml:space="preserve">须提供产品依据GB/T20145《灯和灯系统的光生物安全性》的第三方检测机构出具的检测报告扫描件并加盖响应供应商公章。</w:t>
            </w:r>
            <w:r>
              <w:rPr>
                <w:rFonts w:hint="eastAsia" w:ascii="仿宋" w:hAnsi="仿宋" w:eastAsia="仿宋" w:cs="仿宋"/>
                <w:b/>
                <w:bCs/>
                <w:color w:val="auto"/>
                <w:sz w:val="24"/>
                <w:highlight w:val="none"/>
                <w:lang w:val="en-US" w:eastAsia="zh-CN"/>
              </w:rPr>
              <w:t xml:space="preserve">不提供不得分。</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4.室内屏（P2.5、P1.5）显示屏运动图像无拖影。得1分。</w:t>
            </w:r>
            <w:r>
              <w:rPr>
                <w:rFonts w:hint="eastAsia" w:ascii="仿宋" w:hAnsi="仿宋" w:eastAsia="仿宋" w:cs="仿宋"/>
                <w:b/>
                <w:bCs/>
                <w:color w:val="auto"/>
                <w:sz w:val="24"/>
                <w:highlight w:val="none"/>
              </w:rPr>
              <w:t xml:space="preserve">须提供</w:t>
            </w:r>
            <w:r>
              <w:rPr>
                <w:rFonts w:hint="eastAsia" w:ascii="仿宋" w:hAnsi="仿宋" w:eastAsia="仿宋" w:cs="仿宋"/>
                <w:b/>
                <w:bCs/>
                <w:color w:val="auto"/>
                <w:sz w:val="24"/>
                <w:highlight w:val="none"/>
                <w:lang w:val="en-US" w:eastAsia="zh-CN"/>
              </w:rPr>
              <w:t xml:space="preserve">所投产品公开发行的技术白皮书</w:t>
            </w:r>
            <w:r>
              <w:rPr>
                <w:rFonts w:hint="eastAsia" w:ascii="仿宋" w:hAnsi="仿宋" w:eastAsia="仿宋" w:cs="仿宋"/>
                <w:b/>
                <w:bCs/>
                <w:color w:val="auto"/>
                <w:sz w:val="24"/>
                <w:highlight w:val="none"/>
                <w:lang w:val="en-US" w:eastAsia="zh-CN"/>
              </w:rPr>
              <w:t xml:space="preserve">扫描件</w:t>
            </w:r>
            <w:r>
              <w:rPr>
                <w:rFonts w:hint="eastAsia" w:ascii="仿宋" w:hAnsi="仿宋" w:eastAsia="仿宋" w:cs="仿宋"/>
                <w:b/>
                <w:bCs/>
                <w:color w:val="auto"/>
                <w:sz w:val="24"/>
                <w:highlight w:val="none"/>
                <w:lang w:val="en-US" w:eastAsia="zh-CN"/>
              </w:rPr>
              <w:t xml:space="preserve">或软件功能截图</w:t>
            </w:r>
            <w:r>
              <w:rPr>
                <w:rFonts w:hint="eastAsia" w:ascii="仿宋" w:hAnsi="仿宋" w:eastAsia="仿宋" w:cs="仿宋"/>
                <w:b/>
                <w:bCs/>
                <w:color w:val="auto"/>
                <w:sz w:val="24"/>
                <w:highlight w:val="none"/>
              </w:rPr>
              <w:t xml:space="preserve">并加盖响应供应商公章</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不提供不得分。</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5.室内屏（P2.5、P1.25）：</w:t>
            </w:r>
            <w:r>
              <w:rPr>
                <w:rFonts w:hint="eastAsia" w:ascii="仿宋" w:hAnsi="仿宋" w:eastAsia="仿宋" w:cs="仿宋"/>
                <w:color w:val="auto"/>
                <w:sz w:val="24"/>
                <w:highlight w:val="none"/>
                <w:lang w:val="en-US" w:eastAsia="zh-CN"/>
              </w:rPr>
              <w:t xml:space="preserve">具有</w:t>
            </w:r>
            <w:r>
              <w:rPr>
                <w:rFonts w:hint="eastAsia" w:ascii="仿宋" w:hAnsi="仿宋" w:eastAsia="仿宋" w:cs="仿宋"/>
                <w:color w:val="auto"/>
                <w:sz w:val="24"/>
                <w:highlight w:val="none"/>
              </w:rPr>
              <w:t xml:space="preserve">防信号远程</w:t>
            </w:r>
            <w:r>
              <w:rPr>
                <w:rFonts w:hint="eastAsia" w:ascii="仿宋" w:hAnsi="仿宋" w:eastAsia="仿宋" w:cs="仿宋"/>
                <w:strike w:val="0"/>
                <w:color w:val="auto"/>
                <w:sz w:val="24"/>
                <w:highlight w:val="none"/>
              </w:rPr>
              <w:t xml:space="preserve">窃密技术。</w:t>
            </w:r>
            <w:r>
              <w:rPr>
                <w:rFonts w:hint="eastAsia" w:ascii="仿宋" w:hAnsi="仿宋" w:eastAsia="仿宋" w:cs="仿宋"/>
                <w:color w:val="auto"/>
                <w:sz w:val="24"/>
                <w:highlight w:val="none"/>
              </w:rPr>
              <w:t xml:space="preserve">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rPr>
                <w:rFonts w:hint="eastAsia" w:ascii="仿宋" w:hAnsi="仿宋" w:eastAsia="仿宋" w:cs="仿宋"/>
                <w:b/>
                <w:bCs/>
                <w:color w:val="auto"/>
                <w:sz w:val="24"/>
                <w:highlight w:val="none"/>
              </w:rPr>
              <w:t xml:space="preserve">须提供</w:t>
            </w:r>
            <w:r>
              <w:rPr>
                <w:rFonts w:hint="eastAsia" w:ascii="仿宋" w:hAnsi="仿宋" w:eastAsia="仿宋" w:cs="仿宋"/>
                <w:b/>
                <w:bCs/>
                <w:color w:val="auto"/>
                <w:sz w:val="24"/>
                <w:highlight w:val="none"/>
                <w:lang w:val="en-US" w:eastAsia="zh-CN"/>
              </w:rPr>
              <w:t xml:space="preserve">所投产品公开发行的技术白皮书</w:t>
            </w:r>
            <w:r>
              <w:rPr>
                <w:rFonts w:hint="eastAsia" w:ascii="仿宋" w:hAnsi="仿宋" w:eastAsia="仿宋" w:cs="仿宋"/>
                <w:b/>
                <w:bCs/>
                <w:color w:val="auto"/>
                <w:sz w:val="24"/>
                <w:highlight w:val="none"/>
                <w:lang w:val="en-US" w:eastAsia="zh-CN"/>
              </w:rPr>
              <w:t xml:space="preserve">扫描件</w:t>
            </w:r>
            <w:r>
              <w:rPr>
                <w:rFonts w:hint="eastAsia" w:ascii="仿宋" w:hAnsi="仿宋" w:eastAsia="仿宋" w:cs="仿宋"/>
                <w:b/>
                <w:bCs/>
                <w:color w:val="auto"/>
                <w:sz w:val="24"/>
                <w:highlight w:val="none"/>
                <w:lang w:val="en-US" w:eastAsia="zh-CN"/>
              </w:rPr>
              <w:t xml:space="preserve">或软件功能截图</w:t>
            </w:r>
            <w:r>
              <w:rPr>
                <w:rFonts w:hint="eastAsia" w:ascii="仿宋" w:hAnsi="仿宋" w:eastAsia="仿宋" w:cs="仿宋"/>
                <w:b/>
                <w:bCs/>
                <w:color w:val="auto"/>
                <w:sz w:val="24"/>
                <w:highlight w:val="none"/>
              </w:rPr>
              <w:t xml:space="preserve">并加盖响应供应商公章</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不提供不得分。</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6.室内屏（P2.5、P1.25）：</w:t>
            </w:r>
            <w:r>
              <w:rPr>
                <w:rFonts w:hint="eastAsia" w:ascii="仿宋" w:hAnsi="仿宋" w:eastAsia="仿宋" w:cs="仿宋"/>
                <w:color w:val="auto"/>
                <w:sz w:val="24"/>
                <w:highlight w:val="none"/>
                <w:lang w:val="en-US" w:eastAsia="zh-CN"/>
              </w:rPr>
              <w:t xml:space="preserve">具有</w:t>
            </w:r>
            <w:r>
              <w:rPr>
                <w:rFonts w:hint="eastAsia" w:ascii="仿宋" w:hAnsi="仿宋" w:eastAsia="仿宋" w:cs="仿宋"/>
                <w:color w:val="auto"/>
                <w:sz w:val="24"/>
                <w:highlight w:val="none"/>
              </w:rPr>
              <w:t xml:space="preserve">防电力远程窃密技术</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得1分。</w:t>
            </w:r>
            <w:r>
              <w:rPr>
                <w:rFonts w:hint="eastAsia" w:ascii="仿宋" w:hAnsi="仿宋" w:eastAsia="仿宋" w:cs="仿宋"/>
                <w:b/>
                <w:bCs/>
                <w:color w:val="auto"/>
                <w:sz w:val="24"/>
                <w:highlight w:val="none"/>
              </w:rPr>
              <w:t xml:space="preserve">须提供</w:t>
            </w:r>
            <w:r>
              <w:rPr>
                <w:rFonts w:hint="eastAsia" w:ascii="仿宋" w:hAnsi="仿宋" w:eastAsia="仿宋" w:cs="仿宋"/>
                <w:b/>
                <w:bCs/>
                <w:color w:val="auto"/>
                <w:sz w:val="24"/>
                <w:highlight w:val="none"/>
                <w:lang w:val="en-US" w:eastAsia="zh-CN"/>
              </w:rPr>
              <w:t xml:space="preserve">所投产品公开发行的技术白皮书</w:t>
            </w:r>
            <w:r>
              <w:rPr>
                <w:rFonts w:hint="eastAsia" w:ascii="仿宋" w:hAnsi="仿宋" w:eastAsia="仿宋" w:cs="仿宋"/>
                <w:b/>
                <w:bCs/>
                <w:color w:val="auto"/>
                <w:sz w:val="24"/>
                <w:highlight w:val="none"/>
                <w:lang w:val="en-US" w:eastAsia="zh-CN"/>
              </w:rPr>
              <w:t xml:space="preserve">扫描件</w:t>
            </w:r>
            <w:r>
              <w:rPr>
                <w:rFonts w:hint="eastAsia" w:ascii="仿宋" w:hAnsi="仿宋" w:eastAsia="仿宋" w:cs="仿宋"/>
                <w:b/>
                <w:bCs/>
                <w:color w:val="auto"/>
                <w:sz w:val="24"/>
                <w:highlight w:val="none"/>
                <w:lang w:val="en-US" w:eastAsia="zh-CN"/>
              </w:rPr>
              <w:t xml:space="preserve">或软件功能截图</w:t>
            </w:r>
            <w:r>
              <w:rPr>
                <w:rFonts w:hint="eastAsia" w:ascii="仿宋" w:hAnsi="仿宋" w:eastAsia="仿宋" w:cs="仿宋"/>
                <w:b/>
                <w:bCs/>
                <w:color w:val="auto"/>
                <w:sz w:val="24"/>
                <w:highlight w:val="none"/>
              </w:rPr>
              <w:t xml:space="preserve">并加盖响应供应商公章。</w:t>
            </w:r>
            <w:r>
              <w:rPr>
                <w:rFonts w:hint="eastAsia" w:ascii="仿宋" w:hAnsi="仿宋" w:eastAsia="仿宋" w:cs="仿宋"/>
                <w:b/>
                <w:bCs/>
                <w:color w:val="auto"/>
                <w:sz w:val="24"/>
                <w:highlight w:val="none"/>
                <w:lang w:val="en-US" w:eastAsia="zh-CN"/>
              </w:rPr>
              <w:t xml:space="preserve">不提供不得分。</w:t>
            </w:r>
            <w:r/>
          </w:p>
          <w:p>
            <w:pPr>
              <w:ind w:firstLine="482"/>
              <w:jc w:val="left"/>
              <w:spacing w:line="3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7.</w:t>
            </w:r>
            <w:r>
              <w:rPr>
                <w:rFonts w:hint="eastAsia" w:ascii="仿宋" w:hAnsi="仿宋" w:eastAsia="仿宋" w:cs="仿宋"/>
                <w:color w:val="auto"/>
                <w:sz w:val="24"/>
                <w:highlight w:val="none"/>
              </w:rPr>
              <w:t xml:space="preserve">P2.5室内屏播控软件</w:t>
            </w:r>
            <w:r>
              <w:rPr>
                <w:rFonts w:ascii="仿宋" w:hAnsi="仿宋" w:eastAsia="仿宋" w:cs="仿宋"/>
                <w:color w:val="auto"/>
                <w:sz w:val="24"/>
                <w:highlight w:val="none"/>
              </w:rPr>
              <w:t xml:space="preserve">画面控制：支持控制画面显示为黑屏锁定，正常显示，可设置自测试画面，控制箱体液晶开启关闭</w:t>
            </w:r>
            <w:r>
              <w:rPr>
                <w:rFonts w:hint="eastAsia" w:ascii="仿宋" w:hAnsi="仿宋" w:eastAsia="仿宋" w:cs="仿宋"/>
                <w:color w:val="auto"/>
                <w:sz w:val="24"/>
                <w:highlight w:val="none"/>
              </w:rPr>
              <w:t xml:space="preserve">。得1分。</w:t>
            </w:r>
            <w:r>
              <w:rPr>
                <w:rFonts w:hint="eastAsia" w:ascii="仿宋" w:hAnsi="仿宋" w:eastAsia="仿宋" w:cs="仿宋"/>
                <w:b/>
                <w:bCs/>
                <w:color w:val="auto"/>
                <w:sz w:val="24"/>
                <w:highlight w:val="none"/>
              </w:rPr>
              <w:t xml:space="preserve">须提供</w:t>
            </w:r>
            <w:r>
              <w:rPr>
                <w:rFonts w:hint="eastAsia" w:ascii="仿宋" w:hAnsi="仿宋" w:eastAsia="仿宋" w:cs="仿宋"/>
                <w:b/>
                <w:bCs/>
                <w:color w:val="auto"/>
                <w:sz w:val="24"/>
                <w:highlight w:val="none"/>
                <w:lang w:val="en-US" w:eastAsia="zh-CN"/>
              </w:rPr>
              <w:t xml:space="preserve">所投产品公开发行的技术白皮书</w:t>
            </w:r>
            <w:r>
              <w:rPr>
                <w:rFonts w:hint="eastAsia" w:ascii="仿宋" w:hAnsi="仿宋" w:eastAsia="仿宋" w:cs="仿宋"/>
                <w:b/>
                <w:bCs/>
                <w:color w:val="auto"/>
                <w:sz w:val="24"/>
                <w:highlight w:val="none"/>
                <w:lang w:val="en-US" w:eastAsia="zh-CN"/>
              </w:rPr>
              <w:t xml:space="preserve">扫描件</w:t>
            </w:r>
            <w:r>
              <w:rPr>
                <w:rFonts w:hint="eastAsia" w:ascii="仿宋" w:hAnsi="仿宋" w:eastAsia="仿宋" w:cs="仿宋"/>
                <w:b/>
                <w:bCs/>
                <w:color w:val="auto"/>
                <w:sz w:val="24"/>
                <w:highlight w:val="none"/>
                <w:lang w:val="en-US" w:eastAsia="zh-CN"/>
              </w:rPr>
              <w:t xml:space="preserve">或软件功能截图</w:t>
            </w:r>
            <w:r>
              <w:rPr>
                <w:rFonts w:hint="eastAsia" w:ascii="仿宋" w:hAnsi="仿宋" w:eastAsia="仿宋" w:cs="仿宋"/>
                <w:b/>
                <w:bCs/>
                <w:color w:val="auto"/>
                <w:sz w:val="24"/>
                <w:highlight w:val="none"/>
              </w:rPr>
              <w:t xml:space="preserve">并加盖响应供应商公章。</w:t>
            </w:r>
            <w:r>
              <w:rPr>
                <w:rFonts w:hint="eastAsia" w:ascii="仿宋" w:hAnsi="仿宋" w:eastAsia="仿宋" w:cs="仿宋"/>
                <w:b/>
                <w:bCs/>
                <w:color w:val="auto"/>
                <w:sz w:val="24"/>
                <w:highlight w:val="none"/>
                <w:lang w:val="en-US" w:eastAsia="zh-CN"/>
              </w:rPr>
              <w:t xml:space="preserve">不提供不得分。</w:t>
            </w:r>
            <w:r/>
          </w:p>
          <w:p>
            <w:pPr>
              <w:ind w:firstLine="482"/>
              <w:jc w:val="left"/>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8.</w:t>
            </w:r>
            <w:r>
              <w:rPr>
                <w:rFonts w:hint="eastAsia" w:ascii="仿宋" w:hAnsi="仿宋" w:eastAsia="仿宋" w:cs="仿宋"/>
                <w:color w:val="auto"/>
                <w:sz w:val="24"/>
                <w:highlight w:val="none"/>
              </w:rPr>
              <w:t xml:space="preserve">全数字会议系统主机</w:t>
            </w:r>
            <w:r>
              <w:rPr>
                <w:rFonts w:ascii="仿宋" w:hAnsi="仿宋" w:eastAsia="仿宋" w:cs="仿宋"/>
                <w:color w:val="auto"/>
                <w:sz w:val="24"/>
                <w:highlight w:val="none"/>
              </w:rPr>
              <w:t xml:space="preserve">具有录音功能</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可以实现全程会议录音，有自动录音和手动录音≥2种方式可选，录音界面可实时查看录音时间进度、录音生成的文件名和存储磁盘剩余的录制时间，录音过程可控，可停止或开始录音，录音结束可从主机上卸载U盘</w:t>
            </w:r>
            <w:r>
              <w:rPr>
                <w:rFonts w:hint="eastAsia" w:ascii="仿宋" w:hAnsi="仿宋" w:eastAsia="仿宋" w:cs="仿宋"/>
                <w:color w:val="auto"/>
                <w:sz w:val="24"/>
                <w:highlight w:val="none"/>
              </w:rPr>
              <w:t xml:space="preserve">。得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rPr>
                <w:rFonts w:hint="eastAsia" w:ascii="仿宋" w:hAnsi="仿宋" w:eastAsia="仿宋" w:cs="仿宋"/>
                <w:b/>
                <w:bCs/>
                <w:color w:val="auto"/>
                <w:sz w:val="24"/>
                <w:highlight w:val="none"/>
              </w:rPr>
              <w:t xml:space="preserve">须</w:t>
            </w:r>
            <w:r>
              <w:rPr>
                <w:rFonts w:ascii="仿宋" w:hAnsi="仿宋" w:eastAsia="仿宋" w:cs="仿宋"/>
                <w:b/>
                <w:bCs/>
                <w:color w:val="auto"/>
                <w:sz w:val="24"/>
                <w:highlight w:val="none"/>
              </w:rPr>
              <w:t xml:space="preserve">提供软件功能界面截图</w:t>
            </w:r>
            <w:r>
              <w:rPr>
                <w:rFonts w:hint="eastAsia" w:ascii="仿宋" w:hAnsi="仿宋" w:eastAsia="仿宋" w:cs="仿宋"/>
                <w:b/>
                <w:bCs/>
                <w:color w:val="auto"/>
                <w:sz w:val="24"/>
                <w:highlight w:val="none"/>
              </w:rPr>
              <w:t xml:space="preserve">并加盖响应供应商公章。</w:t>
            </w:r>
            <w:r>
              <w:rPr>
                <w:rFonts w:hint="eastAsia" w:ascii="仿宋" w:hAnsi="仿宋" w:eastAsia="仿宋" w:cs="仿宋"/>
                <w:b/>
                <w:bCs/>
                <w:color w:val="auto"/>
                <w:sz w:val="24"/>
                <w:highlight w:val="none"/>
                <w:lang w:val="en-US" w:eastAsia="zh-CN"/>
              </w:rPr>
              <w:t xml:space="preserve">不提供不得分。</w:t>
            </w:r>
            <w:r/>
          </w:p>
          <w:p>
            <w:pPr>
              <w:ind w:firstLine="482"/>
              <w:jc w:val="left"/>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9.</w:t>
            </w:r>
            <w:r>
              <w:rPr>
                <w:rFonts w:hint="eastAsia" w:ascii="仿宋" w:hAnsi="仿宋" w:eastAsia="仿宋" w:cs="仿宋"/>
                <w:color w:val="auto"/>
                <w:sz w:val="24"/>
                <w:highlight w:val="none"/>
              </w:rPr>
              <w:t xml:space="preserve">全数字会议系统主机</w:t>
            </w:r>
            <w:r>
              <w:rPr>
                <w:rFonts w:ascii="仿宋" w:hAnsi="仿宋" w:eastAsia="仿宋" w:cs="仿宋"/>
                <w:color w:val="auto"/>
                <w:sz w:val="24"/>
                <w:highlight w:val="none"/>
              </w:rPr>
              <w:t xml:space="preserve">会议单元检测功能</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在会议开始之前可对每个会议单元进行检测，检测的单元指标包含：话筒、操作按键、LED指示灯、扬声器，检测方式可选择自动检测和手动开始检测，也可任意选择上一单元或下一单元检测，单元检测时间可提供自定义选择，从而保障会议单元每个部件处于正常工作状态</w:t>
            </w:r>
            <w:r>
              <w:rPr>
                <w:rFonts w:hint="eastAsia" w:ascii="仿宋" w:hAnsi="仿宋" w:eastAsia="仿宋" w:cs="仿宋"/>
                <w:color w:val="auto"/>
                <w:sz w:val="24"/>
                <w:highlight w:val="none"/>
              </w:rPr>
              <w:t xml:space="preserve">。得2分。</w:t>
            </w:r>
            <w:r>
              <w:rPr>
                <w:rFonts w:hint="eastAsia" w:ascii="仿宋" w:hAnsi="仿宋" w:eastAsia="仿宋" w:cs="仿宋"/>
                <w:b/>
                <w:bCs/>
                <w:color w:val="auto"/>
                <w:sz w:val="24"/>
                <w:highlight w:val="none"/>
              </w:rPr>
              <w:t xml:space="preserve">须</w:t>
            </w:r>
            <w:r>
              <w:rPr>
                <w:rFonts w:ascii="仿宋" w:hAnsi="仿宋" w:eastAsia="仿宋" w:cs="仿宋"/>
                <w:b/>
                <w:bCs/>
                <w:color w:val="auto"/>
                <w:sz w:val="24"/>
                <w:highlight w:val="none"/>
              </w:rPr>
              <w:t xml:space="preserve">提供主机软件功能界面截图</w:t>
            </w:r>
            <w:r>
              <w:rPr>
                <w:rFonts w:hint="eastAsia" w:ascii="仿宋" w:hAnsi="仿宋" w:eastAsia="仿宋" w:cs="仿宋"/>
                <w:b/>
                <w:bCs/>
                <w:color w:val="auto"/>
                <w:sz w:val="24"/>
                <w:highlight w:val="none"/>
              </w:rPr>
              <w:t xml:space="preserve">并加盖响应供应商公章。</w:t>
            </w:r>
            <w:r>
              <w:rPr>
                <w:rFonts w:hint="eastAsia" w:ascii="仿宋" w:hAnsi="仿宋" w:eastAsia="仿宋" w:cs="仿宋"/>
                <w:b/>
                <w:bCs/>
                <w:color w:val="auto"/>
                <w:sz w:val="24"/>
                <w:highlight w:val="none"/>
                <w:lang w:val="en-US" w:eastAsia="zh-CN"/>
              </w:rPr>
              <w:t xml:space="preserve">不提供不得分。</w:t>
            </w:r>
            <w:r/>
          </w:p>
          <w:p>
            <w:pPr>
              <w:ind w:firstLine="482"/>
              <w:jc w:val="left"/>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10.</w:t>
            </w:r>
            <w:r>
              <w:rPr>
                <w:rFonts w:hint="eastAsia" w:ascii="仿宋" w:hAnsi="仿宋" w:eastAsia="仿宋" w:cs="仿宋"/>
                <w:color w:val="auto"/>
                <w:sz w:val="24"/>
                <w:highlight w:val="none"/>
              </w:rPr>
              <w:t xml:space="preserve">会议系统</w:t>
            </w:r>
            <w:r>
              <w:rPr>
                <w:rFonts w:ascii="仿宋" w:hAnsi="仿宋" w:eastAsia="仿宋" w:cs="仿宋"/>
                <w:color w:val="auto"/>
                <w:sz w:val="24"/>
                <w:highlight w:val="none"/>
              </w:rPr>
              <w:t xml:space="preserve">中控主机具有查看定时点功能，可查看定时点名称、时间、周期、命令类型、歌曲播放模式、歌曲数量和歌曲名称</w:t>
            </w:r>
            <w:r>
              <w:rPr>
                <w:rFonts w:hint="eastAsia" w:ascii="仿宋" w:hAnsi="仿宋" w:eastAsia="仿宋" w:cs="仿宋"/>
                <w:color w:val="auto"/>
                <w:sz w:val="24"/>
                <w:highlight w:val="none"/>
              </w:rPr>
              <w:t xml:space="preserve">。得2分。</w:t>
            </w:r>
            <w:r>
              <w:rPr>
                <w:rFonts w:hint="eastAsia" w:ascii="仿宋" w:hAnsi="仿宋" w:eastAsia="仿宋" w:cs="仿宋"/>
                <w:b/>
                <w:bCs/>
                <w:color w:val="auto"/>
                <w:sz w:val="24"/>
                <w:highlight w:val="none"/>
              </w:rPr>
              <w:t xml:space="preserve">须</w:t>
            </w:r>
            <w:r>
              <w:rPr>
                <w:rFonts w:ascii="仿宋" w:hAnsi="仿宋" w:eastAsia="仿宋" w:cs="仿宋"/>
                <w:b/>
                <w:bCs/>
                <w:color w:val="auto"/>
                <w:sz w:val="24"/>
                <w:highlight w:val="none"/>
              </w:rPr>
              <w:t xml:space="preserve">提供主机软件功能界面截图</w:t>
            </w:r>
            <w:r>
              <w:rPr>
                <w:rFonts w:hint="eastAsia" w:ascii="仿宋" w:hAnsi="仿宋" w:eastAsia="仿宋" w:cs="仿宋"/>
                <w:b/>
                <w:bCs/>
                <w:color w:val="auto"/>
                <w:sz w:val="24"/>
                <w:highlight w:val="none"/>
              </w:rPr>
              <w:t xml:space="preserve">并加盖响应供应商公章。</w:t>
            </w:r>
            <w:r>
              <w:rPr>
                <w:rFonts w:hint="eastAsia" w:ascii="仿宋" w:hAnsi="仿宋" w:eastAsia="仿宋" w:cs="仿宋"/>
                <w:b/>
                <w:bCs/>
                <w:color w:val="auto"/>
                <w:sz w:val="24"/>
                <w:highlight w:val="none"/>
                <w:lang w:val="en-US" w:eastAsia="zh-CN"/>
              </w:rPr>
              <w:t xml:space="preserve">不提供不得分。</w:t>
            </w:r>
            <w:r/>
          </w:p>
          <w:p>
            <w:pPr>
              <w:ind w:firstLine="482"/>
              <w:jc w:val="left"/>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11.</w:t>
            </w:r>
            <w:r>
              <w:rPr>
                <w:rFonts w:hint="eastAsia" w:ascii="仿宋" w:hAnsi="仿宋" w:eastAsia="仿宋" w:cs="仿宋"/>
                <w:color w:val="auto"/>
                <w:sz w:val="24"/>
                <w:highlight w:val="none"/>
              </w:rPr>
              <w:t xml:space="preserve">会议系统</w:t>
            </w:r>
            <w:r>
              <w:rPr>
                <w:rFonts w:ascii="仿宋" w:hAnsi="仿宋" w:eastAsia="仿宋" w:cs="仿宋"/>
                <w:color w:val="auto"/>
                <w:sz w:val="24"/>
                <w:highlight w:val="none"/>
              </w:rPr>
              <w:t xml:space="preserve">中控主机支持智能声压检测功能，通过采集会议主机或者其他前级音频设备的信号输出，在安卓平板端或者WEB端实时显示音频信号的dB值，实现实时检测会议室的声音大小变化情况</w:t>
            </w:r>
            <w:bookmarkStart w:id="43" w:name="OLE_LINK1"/>
            <w:r>
              <w:rPr>
                <w:rFonts w:hint="eastAsia" w:ascii="仿宋" w:hAnsi="仿宋" w:eastAsia="仿宋" w:cs="仿宋"/>
                <w:color w:val="auto"/>
                <w:sz w:val="24"/>
                <w:highlight w:val="none"/>
              </w:rPr>
              <w:t xml:space="preserve">。得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bookmarkEnd w:id="43"/>
            <w:r>
              <w:rPr>
                <w:rFonts w:hint="eastAsia" w:ascii="仿宋" w:hAnsi="仿宋" w:eastAsia="仿宋" w:cs="仿宋"/>
                <w:color w:val="auto"/>
                <w:sz w:val="24"/>
                <w:highlight w:val="none"/>
              </w:rPr>
              <w:t xml:space="preserve">。</w:t>
            </w:r>
            <w:r>
              <w:rPr>
                <w:rFonts w:hint="eastAsia" w:ascii="仿宋" w:hAnsi="仿宋" w:eastAsia="仿宋" w:cs="仿宋"/>
                <w:b/>
                <w:bCs/>
                <w:color w:val="auto"/>
                <w:sz w:val="24"/>
                <w:highlight w:val="none"/>
              </w:rPr>
              <w:t xml:space="preserve">须</w:t>
            </w:r>
            <w:r>
              <w:rPr>
                <w:rFonts w:ascii="仿宋" w:hAnsi="仿宋" w:eastAsia="仿宋" w:cs="仿宋"/>
                <w:b/>
                <w:bCs/>
                <w:color w:val="auto"/>
                <w:sz w:val="24"/>
                <w:highlight w:val="none"/>
              </w:rPr>
              <w:t xml:space="preserve">提供安卓平板端或者WEB端软件功能界面截图</w:t>
            </w:r>
            <w:r>
              <w:rPr>
                <w:rFonts w:hint="eastAsia" w:ascii="仿宋" w:hAnsi="仿宋" w:eastAsia="仿宋" w:cs="仿宋"/>
                <w:b/>
                <w:bCs/>
                <w:color w:val="auto"/>
                <w:sz w:val="24"/>
                <w:highlight w:val="none"/>
              </w:rPr>
              <w:t xml:space="preserve">并加盖响应供应商公章。</w:t>
            </w:r>
            <w:r>
              <w:rPr>
                <w:rFonts w:hint="eastAsia" w:ascii="仿宋" w:hAnsi="仿宋" w:eastAsia="仿宋" w:cs="仿宋"/>
                <w:b/>
                <w:bCs/>
                <w:color w:val="auto"/>
                <w:sz w:val="24"/>
                <w:highlight w:val="none"/>
                <w:lang w:val="en-US" w:eastAsia="zh-CN"/>
              </w:rPr>
              <w:t xml:space="preserve">不提供不得分。</w:t>
            </w:r>
            <w:r/>
          </w:p>
          <w:p>
            <w:pPr>
              <w:ind w:firstLine="482"/>
              <w:jc w:val="left"/>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四、广播系统（2分）</w:t>
            </w:r>
            <w:r/>
          </w:p>
          <w:p>
            <w:pPr>
              <w:ind w:left="30" w:firstLine="480"/>
              <w:jc w:val="left"/>
              <w:spacing w:line="2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1.网络广播主机服务器</w:t>
            </w:r>
            <w:r>
              <w:rPr>
                <w:rFonts w:hint="eastAsia" w:ascii="仿宋" w:hAnsi="仿宋" w:eastAsia="仿宋" w:cs="仿宋"/>
                <w:color w:val="auto"/>
                <w:sz w:val="24"/>
                <w:highlight w:val="none"/>
                <w:lang w:val="en-US" w:eastAsia="zh-CN"/>
              </w:rPr>
              <w:t xml:space="preserve">具备与</w:t>
            </w:r>
            <w:r>
              <w:rPr>
                <w:rFonts w:hint="eastAsia" w:ascii="仿宋" w:hAnsi="仿宋" w:eastAsia="仿宋" w:cs="仿宋"/>
                <w:color w:val="auto"/>
                <w:sz w:val="24"/>
                <w:highlight w:val="none"/>
              </w:rPr>
              <w:t xml:space="preserve">消防联动报警功能，支持≥32路消防通道触发报警，支持≥32路通道的线路故障检测功能，支持≥1路RS485通信协议，可与第三方系统通讯实现联动告警触发，可配置≥2种消防联动模式，并行模式或交替模式，配置≥2种消防信号类型“连续性信号或交替性信号”，交替信号周期10-120s可自由选择，可选广播报警优先或声光报警优先，广播报警时间10-60s,声光报警10-60s。得2分。</w:t>
            </w:r>
            <w:r>
              <w:rPr>
                <w:rFonts w:hint="eastAsia" w:ascii="仿宋" w:hAnsi="仿宋" w:eastAsia="仿宋" w:cs="仿宋"/>
                <w:b/>
                <w:bCs/>
                <w:color w:val="auto"/>
                <w:sz w:val="24"/>
                <w:highlight w:val="none"/>
              </w:rPr>
              <w:t xml:space="preserve">须提供设备外观接口、软件功能、线路故障检测功能界面截图</w:t>
            </w:r>
            <w:r>
              <w:rPr>
                <w:rFonts w:hint="eastAsia" w:ascii="仿宋" w:hAnsi="仿宋" w:eastAsia="仿宋" w:cs="仿宋"/>
                <w:b/>
                <w:bCs/>
                <w:color w:val="auto"/>
                <w:sz w:val="24"/>
                <w:highlight w:val="none"/>
              </w:rPr>
              <w:t xml:space="preserve">并加盖响应供应商公章。</w:t>
            </w:r>
            <w:r>
              <w:rPr>
                <w:rFonts w:hint="eastAsia" w:ascii="仿宋" w:hAnsi="仿宋" w:eastAsia="仿宋" w:cs="仿宋"/>
                <w:b/>
                <w:bCs/>
                <w:color w:val="auto"/>
                <w:sz w:val="24"/>
                <w:highlight w:val="none"/>
                <w:lang w:val="en-US" w:eastAsia="zh-CN"/>
              </w:rPr>
              <w:t xml:space="preserve">不提供不得分。</w:t>
            </w:r>
            <w:r/>
          </w:p>
        </w:tc>
      </w:tr>
      <w:tr>
        <w:trPr>
          <w:jc w:val="center"/>
        </w:trPr>
        <w:tc>
          <w:tcPr>
            <w:tcW w:w="735" w:type="dxa"/>
            <w:vAlign w:val="center"/>
            <w:textDirection w:val="lrTb"/>
            <w:noWrap/>
          </w:tcPr>
          <w:p>
            <w:pPr>
              <w:jc w:val="center"/>
              <w:spacing w:after="120"/>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1328"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32"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6100" w:type="dxa"/>
            <w:vAlign w:val="top"/>
            <w:textDirection w:val="lrTb"/>
            <w:noWrap/>
          </w:tcPr>
          <w:p>
            <w:pPr>
              <w:ind w:firstLine="480"/>
              <w:jc w:val="left"/>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价格分采用低价优先法计算，即满足磋商文件要求且最后报价中最低报价为评审基准价，其价格分为满分。其他响应供应商的价格分统一按照下列公式计算：</w:t>
            </w:r>
            <w:r/>
          </w:p>
          <w:p>
            <w:pPr>
              <w:ind w:firstLine="480"/>
              <w:jc w:val="left"/>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最后报价得分=(评审基准价／最后报价)×价格分分值</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磋商过程中，不得去掉报价中的最高报价和最低报价。因落实政府采购政策进行价格调整的，以调整后的价格计算评审基准价和最后报价。</w:t>
            </w:r>
            <w:r/>
          </w:p>
        </w:tc>
      </w:tr>
    </w:tbl>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1.上述响应文件中所提供的相关证书等证明材料如有有效期的均须在有效期内。</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上述响应文件中所提供的相关合同业绩、获奖证书、获奖文件、证明及报告等必须与原件一致。采购结束后，在确认采购结果之前，采购人将对成交供应商响应文件中所提供的证明文件进行核实，如发现不一致，则另行确定成交结果。</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3.本项目商务技术评分标准中须提供的相关得分佐证材料较多，响应供应商需有序放置于相应响应文件中，并注明如评分点 1，评分点 2……，条理清晰，对重点部分着重标注标识，便于评委检索。若因错放，漏放造成的不得分情况由响应供应商自行承担。</w:t>
      </w:r>
      <w:r/>
    </w:p>
    <w:p>
      <w:pPr>
        <w:pStyle w:val="757"/>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r>
        <w:rPr>
          <w:rFonts w:hint="eastAsia" w:ascii="方正小标宋简体" w:eastAsia="方正小标宋简体"/>
          <w:bCs/>
          <w:color w:val="auto"/>
          <w:sz w:val="32"/>
          <w:szCs w:val="32"/>
          <w:highlight w:val="none"/>
        </w:rPr>
        <w:t xml:space="preserve">第6章 竞争性磋商响应文件组成</w:t>
      </w:r>
      <w:r/>
    </w:p>
    <w:p>
      <w:pPr>
        <w:pStyle w:val="757"/>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如皋市政府采购竞争性磋商响应文件</w:t>
      </w:r>
      <w:r/>
    </w:p>
    <w:p>
      <w:pPr>
        <w:ind w:firstLine="1434"/>
        <w:rPr>
          <w:rFonts w:ascii="宋体" w:hAnsi="宋体"/>
          <w:b/>
          <w:color w:val="auto"/>
          <w:sz w:val="24"/>
          <w:highlight w:val="none"/>
        </w:rPr>
      </w:pPr>
      <w:r>
        <w:rPr>
          <w:rFonts w:ascii="宋体" w:hAnsi="宋体"/>
          <w:b/>
          <w:color w:val="auto"/>
          <w:sz w:val="24"/>
          <w:highlight w:val="none"/>
        </w:rPr>
      </w:r>
      <w:r/>
    </w:p>
    <w:p>
      <w:pPr>
        <w:jc w:val="both"/>
        <w:rPr>
          <w:rFonts w:hint="eastAsia" w:ascii="宋体" w:hAnsi="宋体"/>
          <w:b/>
          <w:color w:val="auto"/>
          <w:sz w:val="32"/>
          <w:szCs w:val="32"/>
          <w:highlight w:val="none"/>
        </w:rPr>
      </w:pPr>
      <w:r>
        <w:rPr>
          <w:rFonts w:hint="eastAsia" w:ascii="宋体" w:hAnsi="宋体"/>
          <w:b/>
          <w:color w:val="auto"/>
          <w:sz w:val="32"/>
          <w:szCs w:val="32"/>
          <w:highlight w:val="none"/>
        </w:rPr>
      </w:r>
      <w:r/>
    </w:p>
    <w:p>
      <w:pPr>
        <w:jc w:val="both"/>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项目名称：如皋市高级技工学校智能化工程</w:t>
      </w:r>
      <w:r/>
    </w:p>
    <w:p>
      <w:pPr>
        <w:jc w:val="center"/>
        <w:rPr>
          <w:rFonts w:ascii="宋体" w:hAnsi="宋体"/>
          <w:b/>
          <w:color w:val="auto"/>
          <w:sz w:val="32"/>
          <w:szCs w:val="32"/>
          <w:highlight w:val="none"/>
          <w:u w:val="single"/>
        </w:rPr>
      </w:pPr>
      <w:r>
        <w:rPr>
          <w:rFonts w:hint="eastAsia" w:ascii="宋体" w:hAnsi="宋体"/>
          <w:b/>
          <w:color w:val="auto"/>
          <w:sz w:val="32"/>
          <w:szCs w:val="32"/>
          <w:highlight w:val="none"/>
        </w:rPr>
        <w:t xml:space="preserve">项目编号：JSZC-320682-NTZJ-C2026-0017</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730"/>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730"/>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宋体" w:hAnsi="宋体"/>
          <w:b/>
          <w:color w:val="auto"/>
          <w:sz w:val="24"/>
          <w:highlight w:val="none"/>
        </w:rPr>
      </w:pPr>
      <w:r>
        <w:rPr>
          <w:rFonts w:ascii="宋体" w:hAnsi="宋体"/>
          <w:b/>
          <w:color w:val="auto"/>
          <w:sz w:val="24"/>
          <w:highlight w:val="none"/>
        </w:rPr>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firstLine="560"/>
        <w:rPr>
          <w:rFonts w:ascii="仿宋" w:hAnsi="仿宋" w:eastAsia="仿宋"/>
          <w:color w:val="auto"/>
          <w:sz w:val="28"/>
          <w:szCs w:val="28"/>
          <w:highlight w:val="none"/>
        </w:rPr>
        <w:outlineLvl w:val="1"/>
      </w:pPr>
      <w:r>
        <w:rPr>
          <w:rFonts w:hint="eastAsia" w:ascii="黑体" w:hAnsi="黑体" w:eastAsia="黑体"/>
          <w:color w:val="auto"/>
          <w:sz w:val="28"/>
          <w:szCs w:val="28"/>
          <w:highlight w:val="none"/>
        </w:rPr>
        <w:t xml:space="preserve">一、资格证明文件</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供应商名称（公章）：_________________</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（六）项目实施所必须的许可资质证明材料</w:t>
      </w:r>
      <w:r/>
    </w:p>
    <w:p>
      <w:pPr>
        <w:pStyle w:val="738"/>
        <w:ind w:firstLine="567"/>
        <w:spacing w:before="0" w:beforeAutospacing="0" w:after="0" w:afterAutospacing="0" w:line="500" w:lineRule="exact"/>
        <w:shd w:val="clear" w:color="auto" w:fill="ffffff"/>
        <w:widowControl w:val="o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（1）响应供应商须具备电子与智能化工程专业承包贰级及以上资质，</w:t>
      </w:r>
      <w:r>
        <w:rPr>
          <w:rFonts w:hint="eastAsia" w:ascii="仿宋" w:hAnsi="仿宋" w:eastAsia="仿宋"/>
          <w:b/>
          <w:bCs/>
          <w:color w:val="auto"/>
          <w:sz w:val="28"/>
          <w:szCs w:val="28"/>
          <w:highlight w:val="none"/>
        </w:rPr>
        <w:t xml:space="preserve">并具有有效的企业安全生产许可证，响应文件中须提供相关有效证书。</w:t>
      </w:r>
      <w:r/>
    </w:p>
    <w:p>
      <w:pPr>
        <w:pStyle w:val="738"/>
        <w:ind w:firstLine="567"/>
        <w:spacing w:before="0" w:beforeAutospacing="0" w:after="0" w:afterAutospacing="0" w:line="500" w:lineRule="exact"/>
        <w:shd w:val="clear" w:color="auto" w:fill="ffffff"/>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（2）响应供应商拟选派项目负责人须具备机电工程专业注册建造师贰级及以上执业资格，并具备有效的安全生产考核合格证书（B证），</w:t>
      </w:r>
      <w:r>
        <w:rPr>
          <w:rFonts w:hint="eastAsia" w:ascii="仿宋" w:hAnsi="仿宋" w:eastAsia="仿宋" w:cs="Times New Roman"/>
          <w:b/>
          <w:bCs/>
          <w:color w:val="auto"/>
          <w:sz w:val="28"/>
          <w:szCs w:val="28"/>
          <w:highlight w:val="none"/>
        </w:rPr>
        <w:t xml:space="preserve">且必须为响应供应商单位正式员工，</w:t>
      </w:r>
      <w:r>
        <w:rPr>
          <w:rFonts w:hint="eastAsia" w:ascii="仿宋" w:hAnsi="仿宋" w:eastAsia="仿宋"/>
          <w:b/>
          <w:bCs/>
          <w:color w:val="auto"/>
          <w:sz w:val="28"/>
          <w:szCs w:val="28"/>
          <w:highlight w:val="none"/>
        </w:rPr>
        <w:t xml:space="preserve">须提供相关证书复印件以及</w:t>
      </w:r>
      <w:r>
        <w:rPr>
          <w:rFonts w:hint="eastAsia" w:ascii="仿宋" w:hAnsi="仿宋" w:eastAsia="仿宋"/>
          <w:b/>
          <w:bCs/>
          <w:iCs/>
          <w:color w:val="auto"/>
          <w:sz w:val="28"/>
          <w:szCs w:val="28"/>
          <w:highlight w:val="none"/>
        </w:rPr>
        <w:t xml:space="preserve">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Cs/>
          <w:color w:val="auto"/>
          <w:sz w:val="28"/>
          <w:szCs w:val="28"/>
          <w:highlight w:val="none"/>
        </w:rPr>
      </w:pPr>
      <w:r>
        <w:rPr>
          <w:rFonts w:ascii="仿宋" w:hAnsi="仿宋" w:eastAsia="仿宋"/>
          <w:iCs/>
          <w:color w:val="auto"/>
          <w:sz w:val="28"/>
          <w:szCs w:val="28"/>
          <w:highlight w:val="none"/>
        </w:rPr>
      </w:r>
      <w:r/>
    </w:p>
    <w:p>
      <w:pPr>
        <w:rPr>
          <w:rFonts w:ascii="仿宋" w:hAnsi="仿宋" w:eastAsia="仿宋"/>
          <w:color w:val="auto"/>
          <w:sz w:val="28"/>
          <w:szCs w:val="28"/>
          <w:highlight w:val="none"/>
        </w:rPr>
      </w:pPr>
      <w:r>
        <w:rPr>
          <w:rFonts w:ascii="仿宋" w:hAnsi="仿宋" w:eastAsia="仿宋"/>
          <w:color w:val="auto"/>
          <w:sz w:val="28"/>
          <w:szCs w:val="28"/>
          <w:highlight w:val="none"/>
        </w:rPr>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p>
    <w:p>
      <w:pPr>
        <w:ind w:firstLine="562"/>
        <w:jc w:val="center"/>
        <w:spacing w:before="50"/>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法定代表人身份证明</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经营期限：</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姓名：性别： </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年龄：职务：</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r/>
    </w:p>
    <w:p>
      <w:pPr>
        <w:ind w:firstLine="560"/>
        <w:jc w:val="left"/>
        <w:spacing w:before="5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w:t>
      </w:r>
      <w:r/>
    </w:p>
    <w:p>
      <w:pPr>
        <w:ind w:firstLine="560"/>
        <w:jc w:val="righ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jc w:val="lef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日期：年 月日</w:t>
      </w: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。（法定代表人参加磋商采购活动的，无需提供）</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75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本授权书声明：____________（供应商名称）授权________________（代理人的姓名）为我方就项目名称</w:t>
      </w:r>
      <w:r>
        <w:rPr>
          <w:rFonts w:hint="eastAsia" w:ascii="仿宋" w:hAnsi="仿宋" w:eastAsia="仿宋"/>
          <w:color w:val="auto"/>
          <w:sz w:val="28"/>
          <w:szCs w:val="28"/>
          <w:highlight w:val="none"/>
          <w:u w:val="single"/>
        </w:rPr>
        <w:t xml:space="preserve">：如皋市高级技工学校智能化工程</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rPr>
        <w:t xml:space="preserve">JSZC-320682-NTZJ-C2026-0017</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75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75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59"/>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75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759"/>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75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5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75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75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75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59"/>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759"/>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759"/>
        <w:ind w:firstLine="480"/>
        <w:spacing w:line="500" w:lineRule="exact"/>
        <w:rPr>
          <w:rFonts w:ascii="仿宋" w:hAnsi="仿宋" w:eastAsia="仿宋"/>
          <w:color w:val="auto"/>
          <w:sz w:val="28"/>
          <w:szCs w:val="28"/>
          <w:highlight w:val="none"/>
        </w:rPr>
      </w:pPr>
      <w:r/>
      <w:bookmarkStart w:id="44" w:name="_格式3__银行出具的资信证明"/>
      <w:r/>
      <w:bookmarkEnd w:id="44"/>
      <w:r/>
      <w:bookmarkStart w:id="45" w:name="_Hlt26955070"/>
      <w:r/>
      <w:bookmarkEnd w:id="45"/>
      <w:r/>
      <w:bookmarkStart w:id="46" w:name="_Hlt26671380"/>
      <w:r/>
      <w:bookmarkEnd w:id="46"/>
      <w:r/>
      <w:r/>
    </w:p>
    <w:p>
      <w:pPr>
        <w:pStyle w:val="725"/>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法定代表人身份证复印件</w:t>
      </w:r>
      <w:r/>
    </w:p>
    <w:p>
      <w:pPr>
        <w:pStyle w:val="725"/>
        <w:ind w:firstLine="140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25"/>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25"/>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pStyle w:val="725"/>
        <w:rPr>
          <w:rFonts w:ascii="宋体" w:hAnsi="宋体"/>
          <w:color w:val="auto"/>
          <w:sz w:val="24"/>
          <w:highlight w:val="none"/>
        </w:rPr>
      </w:pPr>
      <w:r>
        <w:rPr>
          <w:rFonts w:ascii="宋体" w:hAnsi="宋体"/>
          <w:color w:val="auto"/>
          <w:sz w:val="24"/>
          <w:highlight w:val="none"/>
        </w:rPr>
      </w:r>
      <w:r/>
    </w:p>
    <w:p>
      <w:pPr>
        <w:ind w:firstLine="480"/>
        <w:jc w:val="left"/>
        <w:spacing w:before="50"/>
        <w:rPr>
          <w:rFonts w:ascii="仿宋" w:hAnsi="仿宋" w:eastAsia="仿宋"/>
          <w:color w:val="auto"/>
          <w:sz w:val="24"/>
          <w:highlight w:val="none"/>
        </w:rPr>
      </w:pPr>
      <w:r>
        <w:rPr>
          <w:rFonts w:ascii="仿宋" w:hAnsi="仿宋" w:eastAsia="仿宋"/>
          <w:color w:val="auto"/>
          <w:sz w:val="24"/>
          <w:highlight w:val="none"/>
        </w:rPr>
      </w:r>
      <w:r/>
    </w:p>
    <w:p>
      <w:pPr>
        <w:ind w:firstLine="480"/>
        <w:jc w:val="left"/>
        <w:spacing w:before="50"/>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（九）</w:t>
      </w:r>
      <w:r>
        <w:rPr>
          <w:rFonts w:hint="eastAsia" w:ascii="仿宋" w:hAnsi="仿宋" w:eastAsia="仿宋" w:cs="Arial"/>
          <w:color w:val="auto"/>
          <w:sz w:val="28"/>
          <w:szCs w:val="28"/>
          <w:highlight w:val="none"/>
        </w:rPr>
        <w:t xml:space="preserve">磋商响应函</w:t>
      </w:r>
      <w:r/>
    </w:p>
    <w:p>
      <w:pPr>
        <w:jc w:val="center"/>
        <w:spacing w:before="50"/>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竞争性磋商响应函</w:t>
      </w:r>
      <w:r/>
    </w:p>
    <w:p>
      <w:pPr>
        <w:pStyle w:val="75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rPr>
        <w:t xml:space="preserve">如皋市高级技工学校</w:t>
      </w:r>
      <w:r/>
    </w:p>
    <w:p>
      <w:pPr>
        <w:pStyle w:val="75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color w:val="auto"/>
          <w:sz w:val="28"/>
          <w:szCs w:val="28"/>
          <w:highlight w:val="none"/>
          <w:u w:val="single"/>
        </w:rPr>
        <w:t xml:space="preserve">如皋市高级技工学校智能化工程</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rPr>
        <w:t xml:space="preserve">JSZC-320682-NTZJ-C2026-0017</w:t>
      </w:r>
      <w:r>
        <w:rPr>
          <w:rFonts w:hint="eastAsia" w:ascii="仿宋" w:hAnsi="仿宋" w:eastAsia="仿宋"/>
          <w:color w:val="auto"/>
          <w:sz w:val="28"/>
          <w:szCs w:val="28"/>
          <w:highlight w:val="none"/>
          <w:u w:val="single"/>
        </w:rPr>
        <w:tab/>
      </w:r>
      <w:r>
        <w:rPr>
          <w:rFonts w:hint="eastAsia" w:ascii="仿宋" w:hAnsi="仿宋" w:eastAsia="仿宋"/>
          <w:color w:val="auto"/>
          <w:sz w:val="28"/>
          <w:szCs w:val="28"/>
          <w:highlight w:val="none"/>
        </w:rPr>
        <w:t xml:space="preserve">）竞争性磋商文件，正式授权下述签字人_________ (姓名和职务)代表我方______________（供应商的名称），全权处理本次项目磋商采购的有关事宜。</w:t>
      </w:r>
      <w:r/>
    </w:p>
    <w:p>
      <w:pPr>
        <w:pStyle w:val="75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75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75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75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75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75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75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75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pStyle w:val="75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pStyle w:val="75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75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75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75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75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right="640"/>
        <w:jc w:val="left"/>
        <w:spacing w:line="500" w:lineRule="exact"/>
        <w:rPr>
          <w:rFonts w:ascii="仿宋" w:hAnsi="仿宋" w:eastAsia="仿宋"/>
          <w:color w:val="auto"/>
          <w:sz w:val="32"/>
          <w:szCs w:val="32"/>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（十）中小企业声明函</w:t>
      </w:r>
      <w:r/>
    </w:p>
    <w:p>
      <w:pPr>
        <w:jc w:val="left"/>
        <w:widowControl/>
        <w:rPr>
          <w:rFonts w:ascii="Calibri" w:hAnsi="Calibri" w:eastAsia="等线"/>
          <w:color w:val="auto"/>
          <w:szCs w:val="22"/>
          <w:highlight w:val="none"/>
        </w:rPr>
      </w:pPr>
      <w:r>
        <w:rPr>
          <w:rFonts w:ascii="Calibri" w:hAnsi="Calibri" w:eastAsia="等线"/>
          <w:color w:val="auto"/>
          <w:szCs w:val="22"/>
          <w:highlight w:val="none"/>
        </w:rPr>
      </w:r>
      <w:r/>
    </w:p>
    <w:p>
      <w:pPr>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中小企业声明函（工程、服务）</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color w:val="auto"/>
          <w:sz w:val="32"/>
          <w:szCs w:val="32"/>
          <w:highlight w:val="none"/>
          <w:u w:val="single"/>
        </w:rPr>
        <w:t xml:space="preserve">（如皋市高级技工学校）</w:t>
      </w:r>
      <w:r>
        <w:rPr>
          <w:rFonts w:hint="eastAsia" w:ascii="仿宋" w:hAnsi="仿宋" w:eastAsia="仿宋"/>
          <w:color w:val="auto"/>
          <w:sz w:val="32"/>
          <w:szCs w:val="32"/>
          <w:highlight w:val="none"/>
        </w:rPr>
        <w:t xml:space="preserve"> 的</w:t>
      </w:r>
      <w:r>
        <w:rPr>
          <w:rFonts w:hint="eastAsia" w:ascii="仿宋" w:hAnsi="仿宋" w:eastAsia="仿宋"/>
          <w:i/>
          <w:color w:val="auto"/>
          <w:sz w:val="32"/>
          <w:szCs w:val="32"/>
          <w:highlight w:val="none"/>
          <w:u w:val="single"/>
        </w:rPr>
        <w:t xml:space="preserve">（如皋市高级技工学校智能化工程）</w:t>
      </w:r>
      <w:r>
        <w:rPr>
          <w:rFonts w:hint="eastAsia" w:ascii="仿宋" w:hAnsi="仿宋" w:eastAsia="仿宋"/>
          <w:color w:val="auto"/>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Fonts w:hint="eastAsia" w:ascii="仿宋" w:hAnsi="仿宋" w:eastAsia="仿宋"/>
          <w:i/>
          <w:color w:val="auto"/>
          <w:sz w:val="32"/>
          <w:szCs w:val="32"/>
          <w:highlight w:val="none"/>
          <w:u w:val="single"/>
        </w:rPr>
        <w:t xml:space="preserve">（如皋市高级技工学校智能化工程）</w:t>
      </w:r>
      <w:r>
        <w:rPr>
          <w:rFonts w:hint="eastAsia" w:ascii="仿宋" w:hAnsi="仿宋" w:eastAsia="仿宋"/>
          <w:color w:val="auto"/>
          <w:sz w:val="32"/>
          <w:szCs w:val="32"/>
          <w:highlight w:val="none"/>
        </w:rPr>
        <w:t xml:space="preserve">，属于</w:t>
      </w:r>
      <w:r>
        <w:rPr>
          <w:rFonts w:hint="eastAsia" w:ascii="仿宋" w:hAnsi="仿宋" w:eastAsia="仿宋"/>
          <w:i/>
          <w:color w:val="auto"/>
          <w:sz w:val="32"/>
          <w:szCs w:val="32"/>
          <w:highlight w:val="none"/>
          <w:u w:val="single"/>
        </w:rPr>
        <w:t xml:space="preserve">（建筑业）</w:t>
      </w:r>
      <w:r>
        <w:rPr>
          <w:rFonts w:hint="eastAsia" w:ascii="仿宋" w:hAnsi="仿宋" w:eastAsia="仿宋"/>
          <w:color w:val="auto"/>
          <w:sz w:val="32"/>
          <w:szCs w:val="32"/>
          <w:highlight w:val="none"/>
        </w:rPr>
        <w:t xml:space="preserve"> ；承建（承接）企业为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ind w:right="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ind w:firstLine="480"/>
        <w:jc w:val="left"/>
        <w:spacing w:before="50"/>
        <w:rPr>
          <w:rFonts w:ascii="仿宋" w:hAnsi="仿宋" w:eastAsia="仿宋"/>
          <w:color w:val="auto"/>
          <w:sz w:val="28"/>
          <w:szCs w:val="28"/>
          <w:highlight w:val="none"/>
        </w:rPr>
      </w:pPr>
      <w:r>
        <w:rPr>
          <w:rFonts w:ascii="仿宋" w:hAnsi="仿宋" w:eastAsia="仿宋"/>
          <w:bCs/>
          <w:color w:val="auto"/>
          <w:sz w:val="28"/>
          <w:szCs w:val="28"/>
          <w:highlight w:val="none"/>
        </w:rPr>
        <w:br w:type="page" w:clear="all"/>
      </w:r>
      <w:r/>
    </w:p>
    <w:p>
      <w:pPr>
        <w:ind w:firstLine="480"/>
        <w:jc w:val="left"/>
        <w:spacing w:before="50"/>
        <w:rPr>
          <w:rFonts w:ascii="仿宋" w:hAnsi="仿宋" w:eastAsia="仿宋"/>
          <w:b/>
          <w:bCs/>
          <w:color w:val="auto"/>
          <w:sz w:val="28"/>
          <w:szCs w:val="28"/>
          <w:highlight w:val="none"/>
        </w:rPr>
      </w:pPr>
      <w:r>
        <w:rPr>
          <w:rFonts w:hint="eastAsia" w:ascii="仿宋" w:hAnsi="仿宋" w:eastAsia="仿宋"/>
          <w:bCs/>
          <w:color w:val="auto"/>
          <w:sz w:val="28"/>
          <w:szCs w:val="28"/>
          <w:highlight w:val="none"/>
        </w:rPr>
        <w:t xml:space="preserve">（十一）</w:t>
      </w:r>
      <w:r>
        <w:rPr>
          <w:rFonts w:hint="eastAsia" w:ascii="仿宋" w:hAnsi="仿宋" w:eastAsia="仿宋"/>
          <w:color w:val="auto"/>
          <w:sz w:val="28"/>
          <w:szCs w:val="28"/>
          <w:highlight w:val="none"/>
        </w:rPr>
        <w:t xml:space="preserve">其他资格证明材料</w:t>
      </w:r>
      <w:r/>
    </w:p>
    <w:p>
      <w:pPr>
        <w:pStyle w:val="738"/>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rPr>
        <w:t xml:space="preserve">响应供应商须提供承诺函，格式自拟。不提供视为无效响应。</w:t>
      </w:r>
      <w:r/>
    </w:p>
    <w:p>
      <w:pPr>
        <w:ind w:firstLine="562"/>
        <w:rPr>
          <w:rFonts w:ascii="仿宋" w:hAnsi="仿宋" w:eastAsia="仿宋"/>
          <w:b/>
          <w:color w:val="auto"/>
          <w:sz w:val="28"/>
          <w:szCs w:val="28"/>
          <w:highlight w:val="none"/>
        </w:rPr>
      </w:pPr>
      <w:r>
        <w:rPr>
          <w:rFonts w:ascii="仿宋" w:hAnsi="仿宋" w:eastAsia="仿宋"/>
          <w:b/>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二、商务技术文件</w:t>
      </w:r>
      <w:r/>
    </w:p>
    <w:p>
      <w:pPr>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bCs/>
          <w:color w:val="auto"/>
          <w:sz w:val="28"/>
          <w:szCs w:val="28"/>
          <w:highlight w:val="none"/>
        </w:rPr>
        <w:t xml:space="preserve">符合技术要求或者服务要求的相关证明材料</w:t>
      </w:r>
      <w:r/>
    </w:p>
    <w:p>
      <w:pPr>
        <w:ind w:firstLine="562"/>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附件4：</w:t>
      </w:r>
      <w:r>
        <w:rPr>
          <w:rFonts w:hint="eastAsia" w:ascii="仿宋" w:hAnsi="仿宋" w:eastAsia="仿宋"/>
          <w:b/>
          <w:bCs/>
          <w:color w:val="auto"/>
          <w:sz w:val="28"/>
          <w:szCs w:val="28"/>
          <w:highlight w:val="none"/>
        </w:rPr>
        <w:t xml:space="preserve">请响应供应商在响应文件中上传品牌响应表。未提供视为无效响应。</w:t>
      </w:r>
      <w:r/>
    </w:p>
    <w:p>
      <w:pPr>
        <w:ind w:firstLine="562"/>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2.附件6：承诺书。未提供视为无效响应。</w:t>
      </w:r>
      <w:r/>
    </w:p>
    <w:p>
      <w:pPr>
        <w:pStyle w:val="723"/>
        <w:ind w:firstLine="480"/>
        <w:rPr>
          <w:color w:val="auto"/>
          <w:highlight w:val="none"/>
        </w:rPr>
      </w:pPr>
      <w:r>
        <w:rPr>
          <w:color w:val="auto"/>
          <w:highlight w:val="none"/>
        </w:rPr>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（三）商务部分正负偏离表</w:t>
      </w:r>
      <w:r/>
    </w:p>
    <w:p>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商务部分正负偏离表</w:t>
      </w:r>
      <w:r/>
    </w:p>
    <w:tbl>
      <w:tblPr>
        <w:tblStyle w:val="72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817"/>
        <w:gridCol w:w="3975"/>
        <w:gridCol w:w="1170"/>
        <w:gridCol w:w="1185"/>
        <w:gridCol w:w="734"/>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97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工期</w:t>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自合同签订之日起60个日历天内完成，具体时间以采购人通知为准。</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地点</w:t>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缺陷责任期</w:t>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自竣工并验收合格之日起2年。在工程保修期内，成交人应当根据有关法律规定以及工程质量保修书约定承担保修责任。</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验收方案</w:t>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成交人需按照工程量清单及技术要求完成本合同约定全部施工内容，工程具备验收条件时，以建设单位现场验收考核、工程竣工验收证明书为准。</w:t>
            </w:r>
            <w:r/>
          </w:p>
          <w:p>
            <w:pPr>
              <w:rPr>
                <w:rFonts w:ascii="仿宋" w:hAnsi="仿宋" w:eastAsia="仿宋"/>
                <w:color w:val="auto"/>
                <w:sz w:val="24"/>
                <w:highlight w:val="none"/>
              </w:rPr>
            </w:pPr>
            <w:r>
              <w:rPr>
                <w:rFonts w:hint="eastAsia" w:ascii="仿宋" w:hAnsi="仿宋" w:eastAsia="仿宋"/>
                <w:color w:val="auto"/>
                <w:sz w:val="24"/>
                <w:highlight w:val="none"/>
              </w:rPr>
              <w:t xml:space="preserve">在接到成交供应商以书面形式提出验收申请后，在 5 个工作日内及时组织相关专业技术人员，必要时邀请采购办等相关部门共同参与验收，并出具验收报告，作为支付货款的依据。</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hint="eastAsia" w:ascii="仿宋" w:hAnsi="仿宋" w:eastAsia="仿宋"/>
                <w:color w:val="auto"/>
                <w:sz w:val="24"/>
                <w:highlight w:val="none"/>
              </w:rPr>
            </w:pPr>
            <w:r>
              <w:rPr>
                <w:rFonts w:hint="eastAsia" w:ascii="仿宋" w:hAnsi="仿宋" w:eastAsia="仿宋"/>
                <w:color w:val="auto"/>
                <w:sz w:val="24"/>
                <w:highlight w:val="none"/>
              </w:rPr>
              <w:t xml:space="preserve">1.</w:t>
            </w:r>
            <w:r>
              <w:rPr>
                <w:rFonts w:hint="eastAsia" w:ascii="仿宋" w:hAnsi="仿宋" w:eastAsia="仿宋"/>
                <w:color w:val="auto"/>
                <w:sz w:val="24"/>
                <w:highlight w:val="none"/>
                <w:lang w:eastAsia="zh-CN"/>
              </w:rPr>
              <w:t xml:space="preserve">签订合同后支付预付款为合同金额的</w:t>
            </w:r>
            <w:r>
              <w:rPr>
                <w:rFonts w:hint="eastAsia" w:ascii="仿宋" w:hAnsi="仿宋" w:eastAsia="仿宋"/>
                <w:color w:val="auto"/>
                <w:sz w:val="24"/>
                <w:highlight w:val="none"/>
                <w:lang w:val="en-US" w:eastAsia="zh-CN"/>
              </w:rPr>
              <w:t xml:space="preserve">10</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项目工程竣工验收合格</w:t>
            </w:r>
            <w:r>
              <w:rPr>
                <w:rFonts w:hint="eastAsia" w:ascii="仿宋" w:hAnsi="仿宋" w:eastAsia="仿宋"/>
                <w:color w:val="auto"/>
                <w:sz w:val="24"/>
                <w:highlight w:val="none"/>
                <w:lang w:eastAsia="zh-CN"/>
              </w:rPr>
              <w:t xml:space="preserve">后</w:t>
            </w:r>
            <w:r>
              <w:rPr>
                <w:rFonts w:hint="eastAsia" w:ascii="仿宋" w:hAnsi="仿宋" w:eastAsia="仿宋"/>
                <w:color w:val="auto"/>
                <w:sz w:val="24"/>
                <w:highlight w:val="none"/>
                <w:lang w:val="en-US" w:eastAsia="zh-CN"/>
              </w:rPr>
              <w:t xml:space="preserve">自</w:t>
            </w:r>
            <w:r>
              <w:rPr>
                <w:rFonts w:hint="eastAsia" w:ascii="仿宋" w:hAnsi="仿宋" w:eastAsia="仿宋"/>
                <w:color w:val="auto"/>
                <w:sz w:val="24"/>
                <w:highlight w:val="none"/>
                <w:lang w:val="zh-CN" w:eastAsia="zh-CN"/>
              </w:rPr>
              <w:t xml:space="preserve">交付之日起</w:t>
            </w:r>
            <w:r>
              <w:rPr>
                <w:rFonts w:hint="eastAsia" w:ascii="仿宋" w:hAnsi="仿宋" w:eastAsia="仿宋"/>
                <w:color w:val="auto"/>
                <w:sz w:val="24"/>
                <w:highlight w:val="none"/>
                <w:lang w:val="en-US" w:eastAsia="zh-CN"/>
              </w:rPr>
              <w:t xml:space="preserve">60</w:t>
            </w:r>
            <w:r>
              <w:rPr>
                <w:rFonts w:hint="eastAsia" w:ascii="仿宋" w:hAnsi="仿宋" w:eastAsia="仿宋"/>
                <w:color w:val="auto"/>
                <w:sz w:val="24"/>
                <w:highlight w:val="none"/>
                <w:lang w:val="zh-CN" w:eastAsia="zh-CN"/>
              </w:rPr>
              <w:t xml:space="preserve">日内支付款项。</w:t>
            </w:r>
            <w:r>
              <w:rPr>
                <w:rFonts w:hint="eastAsia" w:ascii="仿宋" w:hAnsi="仿宋" w:eastAsia="仿宋"/>
                <w:color w:val="auto"/>
                <w:sz w:val="24"/>
                <w:highlight w:val="none"/>
              </w:rPr>
              <w:t xml:space="preserve">每次支付前，成交人均应出具符合采购人财务规定以及开票报税要求的相应金额的正式发票。</w:t>
            </w:r>
            <w:r/>
          </w:p>
          <w:p>
            <w:pPr>
              <w:rPr>
                <w:rFonts w:ascii="仿宋" w:hAnsi="仿宋" w:eastAsia="仿宋"/>
                <w:color w:val="auto"/>
                <w:sz w:val="24"/>
                <w:highlight w:val="none"/>
              </w:rPr>
            </w:pPr>
            <w:r>
              <w:rPr>
                <w:rFonts w:hint="eastAsia" w:ascii="仿宋" w:hAnsi="仿宋" w:eastAsia="仿宋"/>
                <w:color w:val="auto"/>
                <w:sz w:val="24"/>
                <w:highlight w:val="none"/>
              </w:rPr>
              <w:t xml:space="preserve">2.工程验收合格后三个月内，项目建设单位会同监理单位监督施工单位如实编制工程结算，由建设单位委托社会审计机构进行工程结算审计，结算以审计报告为准。工程竣工结算核减率在1%以内，其审计咨询服务费甲方承担；核减率超过1%的，审计费用按照苏建价协（2022）7 号文计算全部费用由承包方承付，建设单位在工程结算审定价中扣除，建设单位直接代为支付给审计单位。</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磋商过程中可能会实质性变动的内容</w:t>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采购需求中的技术、服务要求以及合同草案条款。</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响应货币</w:t>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人民币</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w:t>
            </w:r>
            <w:r/>
          </w:p>
        </w:tc>
        <w:tc>
          <w:tcPr>
            <w:shd w:val="clear" w:color="auto" w:fill="auto"/>
            <w:tcBorders>
              <w:top w:val="single" w:color="auto" w:sz="4" w:space="0"/>
              <w:left w:val="single" w:color="auto" w:sz="4" w:space="0"/>
              <w:right w:val="single" w:color="auto" w:sz="4" w:space="0"/>
            </w:tcBorders>
            <w:tcW w:w="1817"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安全文明施工</w:t>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1.项目安全生产的达标目标及相应事项的约定：满足江苏省、南通市等安监部门安全文明生产的要求，做好安全技术教育及交底，落实所有安全技术措施和人身防护用品。</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2.建立安全制度、安全检查制度、安全教育制度、工地班前活动制度、文明施工检查制度。</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3.成交人应严格按《建设工程安全生产管理条例》等法律、法规采取安全措施、组织施工，如发生事故，责任概由成交人承担。</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11</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4.成交人对施工现场的安全生产负责。成交人在工地现场必须配备专职安全员；安全员必须持证上岗。</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12</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 </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13</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6.工程施工前，成交人应根据法律、法规、规范、标准等要求，制定安全施工标准及要求，负责向施工作业班组、作业人员作出详细的说明，并由双方签字确认。</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14</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 </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15</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8.特种作业人员，必须按照国家有关规定经过专门的安全作业培训，并取得特种作业操作资格证书后，方可上岗作业。 </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16</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 </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17</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18</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11.成交人负责施工期间施工区域内的安全保卫工作，包括在施工区域内提供和维护有利于工程和公众安全和方便的灯光、护板、格栅等警告警示信号和警卫。 </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19</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12.成交人应对现场作业、施工方法及所施工工程的完备性、稳定性和安全性承担全部责任，并负责承担对工程的稳定、完整、安全、可靠及有效运行所必需的全部工作及相关费用。 </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20</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13.在施工期间，由于非采购人原因造成的事故，成交人需承担全部责任及由此引起的一切费用，采购人不承担任何责任，造成事故严重或多次造成事故的，采购人有权单方解除合同并拒付工程款。</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21</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14.环境保护：成交人应在施工组织设计中列明环境保护的具体措施。在合同履行期间，承包人应根据《南通市城乡建设局关于把环境保护纳入合同管</w:t>
            </w:r>
            <w:r>
              <w:rPr>
                <w:rFonts w:hint="eastAsia" w:ascii="仿宋" w:hAnsi="仿宋" w:eastAsia="仿宋"/>
                <w:color w:val="auto"/>
                <w:sz w:val="24"/>
                <w:highlight w:val="none"/>
              </w:rPr>
              <w:t xml:space="preserve">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22</w:t>
            </w:r>
            <w:r/>
          </w:p>
        </w:tc>
        <w:tc>
          <w:tcPr>
            <w:shd w:val="clear" w:color="auto" w:fill="auto"/>
            <w:tcBorders>
              <w:left w:val="single" w:color="auto" w:sz="4" w:space="0"/>
              <w:bottom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23</w:t>
            </w:r>
            <w:r/>
          </w:p>
        </w:tc>
        <w:tc>
          <w:tcPr>
            <w:shd w:val="clear" w:color="auto" w:fill="auto"/>
            <w:tcBorders>
              <w:top w:val="single" w:color="auto" w:sz="4" w:space="0"/>
              <w:left w:val="single" w:color="auto" w:sz="4" w:space="0"/>
              <w:right w:val="single" w:color="auto" w:sz="4" w:space="0"/>
            </w:tcBorders>
            <w:tcW w:w="1817"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结算方式及报价要求</w:t>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1.本采购文件规定的工程范围、工程规模、工期要求、技术要求、工程量清单等是响应供应商报价的基础，响应供应商在报价中所报的单价和合价，以及报价汇总表中的价格均包括现场所有拆除相关费用；材料、运输、施工、安全、垃圾清运、税费、技术措施费、机械进出场费、风险费、政策性文件规定费用、设计费等一切与之相关费用；工程类的直接费、间接费、措施费、规费、税费等一切费用等。</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24</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25</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报价方式：本工程项目采用固定单价报价。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p>
          <w:p>
            <w:pPr>
              <w:rPr>
                <w:rFonts w:ascii="仿宋" w:hAnsi="仿宋" w:eastAsia="仿宋"/>
                <w:color w:val="auto"/>
                <w:sz w:val="24"/>
                <w:highlight w:val="none"/>
              </w:rPr>
            </w:pPr>
            <w:r>
              <w:rPr>
                <w:rFonts w:hint="eastAsia" w:ascii="仿宋" w:hAnsi="仿宋" w:eastAsia="仿宋"/>
                <w:color w:val="auto"/>
                <w:sz w:val="24"/>
                <w:highlight w:val="none"/>
              </w:rPr>
              <w:t xml:space="preserve">注：（1）变更估价原则</w:t>
            </w:r>
            <w:r/>
          </w:p>
          <w:p>
            <w:pPr>
              <w:rPr>
                <w:rFonts w:ascii="仿宋" w:hAnsi="仿宋" w:eastAsia="仿宋"/>
                <w:color w:val="auto"/>
                <w:sz w:val="24"/>
                <w:highlight w:val="none"/>
              </w:rPr>
            </w:pPr>
            <w:r>
              <w:rPr>
                <w:rFonts w:hint="eastAsia" w:ascii="仿宋" w:hAnsi="仿宋" w:eastAsia="仿宋"/>
                <w:color w:val="auto"/>
                <w:sz w:val="24"/>
                <w:highlight w:val="none"/>
              </w:rPr>
              <w:t xml:space="preserve">关于变更估价的约定: A、变更引起工程量增减（即</w:t>
            </w:r>
            <w:r>
              <w:rPr>
                <w:rFonts w:hint="eastAsia" w:ascii="仿宋" w:hAnsi="仿宋" w:eastAsia="仿宋"/>
                <w:color w:val="auto"/>
                <w:sz w:val="24"/>
                <w:highlight w:val="none"/>
                <w:lang w:val="en-US" w:eastAsia="zh-CN"/>
              </w:rPr>
              <w:t xml:space="preserve">响应</w:t>
            </w:r>
            <w:r>
              <w:rPr>
                <w:rFonts w:hint="eastAsia" w:ascii="仿宋" w:hAnsi="仿宋" w:eastAsia="仿宋"/>
                <w:color w:val="auto"/>
                <w:sz w:val="24"/>
                <w:highlight w:val="none"/>
              </w:rPr>
              <w:t xml:space="preserve">报价中有与原工程量清单相同项目综合单价的），按以下办法执行：A-1、因变更引起工程量增减偏差在±15%（含15%）以内，按照</w:t>
            </w:r>
            <w:r>
              <w:rPr>
                <w:rFonts w:hint="eastAsia" w:ascii="仿宋" w:hAnsi="仿宋" w:eastAsia="仿宋"/>
                <w:color w:val="auto"/>
                <w:sz w:val="24"/>
                <w:highlight w:val="none"/>
                <w:lang w:val="en-US" w:eastAsia="zh-CN"/>
              </w:rPr>
              <w:t xml:space="preserve">响应</w:t>
            </w:r>
            <w:r>
              <w:rPr>
                <w:rFonts w:hint="eastAsia" w:ascii="仿宋" w:hAnsi="仿宋" w:eastAsia="仿宋"/>
                <w:color w:val="auto"/>
                <w:sz w:val="24"/>
                <w:highlight w:val="none"/>
              </w:rPr>
              <w:t xml:space="preserve">综合单价（除税价格）执行。A-2、因变更引起工程量偏差幅度超过±15%（不含15%），其增加或减少部分的工程量单价参照</w:t>
            </w:r>
            <w:r>
              <w:rPr>
                <w:rFonts w:hint="eastAsia" w:ascii="仿宋" w:hAnsi="仿宋" w:eastAsia="仿宋"/>
                <w:color w:val="auto"/>
                <w:sz w:val="24"/>
                <w:highlight w:val="none"/>
                <w:lang w:val="en-US" w:eastAsia="zh-CN"/>
              </w:rPr>
              <w:t xml:space="preserve">采购</w:t>
            </w:r>
            <w:r>
              <w:rPr>
                <w:rFonts w:hint="eastAsia" w:ascii="仿宋" w:hAnsi="仿宋" w:eastAsia="仿宋"/>
                <w:color w:val="auto"/>
                <w:sz w:val="24"/>
                <w:highlight w:val="none"/>
              </w:rPr>
              <w:t xml:space="preserve">文件“</w:t>
            </w:r>
            <w:r>
              <w:rPr>
                <w:rFonts w:hint="eastAsia" w:ascii="仿宋" w:hAnsi="仿宋" w:eastAsia="仿宋"/>
                <w:color w:val="auto"/>
                <w:sz w:val="24"/>
                <w:highlight w:val="none"/>
                <w:lang w:val="en-US" w:eastAsia="zh-CN"/>
              </w:rPr>
              <w:t xml:space="preserve">采购</w:t>
            </w:r>
            <w:r>
              <w:rPr>
                <w:rFonts w:hint="eastAsia" w:ascii="仿宋" w:hAnsi="仿宋" w:eastAsia="仿宋"/>
                <w:color w:val="auto"/>
                <w:sz w:val="24"/>
                <w:highlight w:val="none"/>
              </w:rPr>
              <w:t xml:space="preserve">控制价编制及复核依据”的口径计算*（1-投标下浮率）执行（其中材料执行施工期如皋信息价或认质认价，认质认价材料不下浮）。</w:t>
            </w:r>
            <w:r/>
          </w:p>
          <w:p>
            <w:pPr>
              <w:rPr>
                <w:rFonts w:ascii="仿宋" w:hAnsi="仿宋" w:eastAsia="仿宋"/>
                <w:color w:val="auto"/>
                <w:sz w:val="24"/>
                <w:highlight w:val="none"/>
              </w:rPr>
            </w:pPr>
            <w:r>
              <w:rPr>
                <w:rFonts w:hint="eastAsia" w:ascii="仿宋" w:hAnsi="仿宋" w:eastAsia="仿宋"/>
                <w:color w:val="auto"/>
                <w:sz w:val="24"/>
                <w:highlight w:val="none"/>
              </w:rPr>
              <w:t xml:space="preserve">B、变更引起新的工程量清单项目增加（即没有与原工程量清单相同或类似项目综合单价的）按以下办法执行：B-1、结算时工程量及组价参照本</w:t>
            </w:r>
            <w:r>
              <w:rPr>
                <w:rFonts w:hint="eastAsia" w:ascii="仿宋" w:hAnsi="仿宋" w:eastAsia="仿宋"/>
                <w:color w:val="auto"/>
                <w:sz w:val="24"/>
                <w:highlight w:val="none"/>
                <w:lang w:val="en-US" w:eastAsia="zh-CN"/>
              </w:rPr>
              <w:t xml:space="preserve">采购</w:t>
            </w:r>
            <w:r>
              <w:rPr>
                <w:rFonts w:hint="eastAsia" w:ascii="仿宋" w:hAnsi="仿宋" w:eastAsia="仿宋"/>
                <w:color w:val="auto"/>
                <w:sz w:val="24"/>
                <w:highlight w:val="none"/>
              </w:rPr>
              <w:t xml:space="preserve">文件 “</w:t>
            </w:r>
            <w:r>
              <w:rPr>
                <w:rFonts w:hint="eastAsia" w:ascii="仿宋" w:hAnsi="仿宋" w:eastAsia="仿宋"/>
                <w:color w:val="auto"/>
                <w:sz w:val="24"/>
                <w:highlight w:val="none"/>
                <w:lang w:val="en-US" w:eastAsia="zh-CN"/>
              </w:rPr>
              <w:t xml:space="preserve">采购</w:t>
            </w:r>
            <w:r>
              <w:rPr>
                <w:rFonts w:hint="eastAsia" w:ascii="仿宋" w:hAnsi="仿宋" w:eastAsia="仿宋"/>
                <w:color w:val="auto"/>
                <w:sz w:val="24"/>
                <w:highlight w:val="none"/>
              </w:rPr>
              <w:t xml:space="preserve">控制价编制及复核依据”的相关条款计取，并依据投标下浮率下浮，作为结算依据（（其中材料执行施工期如皋信息价或认质认价，认质认价材料不下浮）） 。B-2、结算时无法按B-1条款组价的新增工程量清单项目（即无相同或类似计价定额执行的），施工中由承包人提出，发包人确认后作为依据，同时工程量经发包人确认按实计量。</w:t>
            </w:r>
            <w:r/>
          </w:p>
          <w:p>
            <w:pPr>
              <w:rPr>
                <w:rFonts w:ascii="仿宋" w:hAnsi="仿宋" w:eastAsia="仿宋"/>
                <w:color w:val="auto"/>
                <w:sz w:val="24"/>
                <w:highlight w:val="none"/>
              </w:rPr>
            </w:pPr>
            <w:r>
              <w:rPr>
                <w:rFonts w:hint="eastAsia" w:ascii="仿宋" w:hAnsi="仿宋" w:eastAsia="仿宋"/>
                <w:color w:val="auto"/>
                <w:sz w:val="24"/>
                <w:highlight w:val="none"/>
              </w:rPr>
              <w:t xml:space="preserve">注：投标下浮率为=（1-A1/A2）*100%</w:t>
            </w:r>
            <w:r/>
          </w:p>
          <w:p>
            <w:pPr>
              <w:rPr>
                <w:rFonts w:ascii="仿宋" w:hAnsi="仿宋" w:eastAsia="仿宋"/>
                <w:color w:val="auto"/>
                <w:sz w:val="24"/>
                <w:highlight w:val="none"/>
              </w:rPr>
            </w:pPr>
            <w:r>
              <w:rPr>
                <w:rFonts w:hint="eastAsia" w:ascii="仿宋" w:hAnsi="仿宋" w:eastAsia="仿宋"/>
                <w:color w:val="auto"/>
                <w:sz w:val="24"/>
                <w:highlight w:val="none"/>
              </w:rPr>
              <w:t xml:space="preserve">A1=投标（</w:t>
            </w:r>
            <w:r>
              <w:rPr>
                <w:rFonts w:hint="eastAsia" w:ascii="仿宋" w:hAnsi="仿宋" w:eastAsia="仿宋"/>
                <w:color w:val="auto"/>
                <w:sz w:val="24"/>
                <w:highlight w:val="none"/>
                <w:lang w:val="en-US" w:eastAsia="zh-CN"/>
              </w:rPr>
              <w:t xml:space="preserve">成交</w:t>
            </w:r>
            <w:r>
              <w:rPr>
                <w:rFonts w:hint="eastAsia" w:ascii="仿宋" w:hAnsi="仿宋" w:eastAsia="仿宋"/>
                <w:color w:val="auto"/>
                <w:sz w:val="24"/>
                <w:highlight w:val="none"/>
              </w:rPr>
              <w:t xml:space="preserve">价-暂列金额-暂定价-规费-税金）;</w:t>
            </w:r>
            <w:r/>
          </w:p>
          <w:p>
            <w:pPr>
              <w:rPr>
                <w:rFonts w:ascii="仿宋" w:hAnsi="仿宋" w:eastAsia="仿宋"/>
                <w:color w:val="auto"/>
                <w:sz w:val="24"/>
                <w:highlight w:val="none"/>
              </w:rPr>
            </w:pPr>
            <w:r>
              <w:rPr>
                <w:rFonts w:hint="eastAsia" w:ascii="仿宋" w:hAnsi="仿宋" w:eastAsia="仿宋"/>
                <w:color w:val="auto"/>
                <w:sz w:val="24"/>
                <w:highlight w:val="none"/>
              </w:rPr>
              <w:t xml:space="preserve">A2=招标（招标控制价-暂列金额-暂定价-规费-税金）。</w:t>
            </w:r>
            <w:r/>
          </w:p>
          <w:p>
            <w:pPr>
              <w:rPr>
                <w:rFonts w:ascii="仿宋" w:hAnsi="仿宋" w:eastAsia="仿宋"/>
                <w:color w:val="auto"/>
                <w:sz w:val="24"/>
                <w:highlight w:val="none"/>
              </w:rPr>
            </w:pPr>
            <w:r>
              <w:rPr>
                <w:rFonts w:hint="eastAsia" w:ascii="仿宋" w:hAnsi="仿宋" w:eastAsia="仿宋"/>
                <w:color w:val="auto"/>
                <w:sz w:val="24"/>
                <w:highlight w:val="none"/>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rPr>
                <w:rFonts w:ascii="仿宋" w:hAnsi="仿宋" w:eastAsia="仿宋"/>
                <w:color w:val="auto"/>
                <w:sz w:val="24"/>
                <w:highlight w:val="none"/>
              </w:rPr>
            </w:pPr>
            <w:r>
              <w:rPr>
                <w:rFonts w:hint="eastAsia" w:ascii="仿宋" w:hAnsi="仿宋" w:eastAsia="仿宋"/>
                <w:color w:val="auto"/>
                <w:sz w:val="24"/>
                <w:highlight w:val="none"/>
              </w:rPr>
              <w:t xml:space="preserve">单价及总价措施项目费均为除税价格。</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26</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（2）因工程变更引起已标价工程量清单项目或其工程数量发生变化时，按照下列规定调整：</w:t>
            </w:r>
            <w:r/>
          </w:p>
          <w:p>
            <w:pPr>
              <w:rPr>
                <w:rFonts w:ascii="仿宋" w:hAnsi="仿宋" w:eastAsia="仿宋"/>
                <w:color w:val="auto"/>
                <w:sz w:val="24"/>
                <w:highlight w:val="none"/>
              </w:rPr>
            </w:pPr>
            <w:r>
              <w:rPr>
                <w:rFonts w:hint="eastAsia" w:ascii="仿宋" w:hAnsi="仿宋" w:eastAsia="仿宋"/>
                <w:color w:val="auto"/>
                <w:sz w:val="24"/>
                <w:highlight w:val="none"/>
              </w:rPr>
              <w:t xml:space="preserve">A、变更引起工程量增减（</w:t>
            </w:r>
            <w:r>
              <w:rPr>
                <w:rFonts w:hint="eastAsia" w:ascii="仿宋" w:hAnsi="仿宋" w:eastAsia="仿宋"/>
                <w:color w:val="auto"/>
                <w:sz w:val="24"/>
                <w:highlight w:val="none"/>
                <w:lang w:val="en-US" w:eastAsia="zh-CN"/>
              </w:rPr>
              <w:t xml:space="preserve">响应</w:t>
            </w:r>
            <w:r>
              <w:rPr>
                <w:rFonts w:hint="eastAsia" w:ascii="仿宋" w:hAnsi="仿宋" w:eastAsia="仿宋"/>
                <w:color w:val="auto"/>
                <w:sz w:val="24"/>
                <w:highlight w:val="none"/>
              </w:rPr>
              <w:t xml:space="preserve">报价中有与原工程量清单相同项目综合单价的），按以下办法执行：A-1、因变更引起工程量增减偏差在±15%（含15%）以内，参照投标综合单价执行。A-2、因变更引起工程量偏差幅度超过±15%（不含15%），其增加或减少部分的工程量单价参照本招标文件 “</w:t>
            </w:r>
            <w:r>
              <w:rPr>
                <w:rFonts w:hint="eastAsia" w:ascii="仿宋" w:hAnsi="仿宋" w:eastAsia="仿宋"/>
                <w:color w:val="auto"/>
                <w:sz w:val="24"/>
                <w:highlight w:val="none"/>
                <w:lang w:val="en-US" w:eastAsia="zh-CN"/>
              </w:rPr>
              <w:t xml:space="preserve">采购</w:t>
            </w:r>
            <w:r>
              <w:rPr>
                <w:rFonts w:hint="eastAsia" w:ascii="仿宋" w:hAnsi="仿宋" w:eastAsia="仿宋"/>
                <w:color w:val="auto"/>
                <w:sz w:val="24"/>
                <w:highlight w:val="none"/>
              </w:rPr>
              <w:t xml:space="preserve">控制价编制及复核依据”的口径计算*（1-投标下浮率）执行（（其中材料执行施工期如皋信息价或认质认价，认质认价材料不下浮））。</w:t>
            </w:r>
            <w:r/>
          </w:p>
          <w:p>
            <w:pPr>
              <w:rPr>
                <w:rFonts w:ascii="仿宋" w:hAnsi="仿宋" w:eastAsia="仿宋"/>
                <w:color w:val="auto"/>
                <w:sz w:val="24"/>
                <w:highlight w:val="none"/>
              </w:rPr>
            </w:pPr>
            <w:r>
              <w:rPr>
                <w:rFonts w:hint="eastAsia" w:ascii="仿宋" w:hAnsi="仿宋" w:eastAsia="仿宋"/>
                <w:color w:val="auto"/>
                <w:sz w:val="24"/>
                <w:highlight w:val="none"/>
              </w:rPr>
              <w:t xml:space="preserve">B、变更引起新的工程量清单项目增加（没有与原工程量清单相同或类似项目综合单价的）按以下办法执行：B-1、结算时工程量及组价参照本</w:t>
            </w:r>
            <w:r>
              <w:rPr>
                <w:rFonts w:hint="eastAsia" w:ascii="仿宋" w:hAnsi="仿宋" w:eastAsia="仿宋"/>
                <w:color w:val="auto"/>
                <w:sz w:val="24"/>
                <w:highlight w:val="none"/>
                <w:lang w:val="en-US" w:eastAsia="zh-CN"/>
              </w:rPr>
              <w:t xml:space="preserve">采购</w:t>
            </w:r>
            <w:r>
              <w:rPr>
                <w:rFonts w:hint="eastAsia" w:ascii="仿宋" w:hAnsi="仿宋" w:eastAsia="仿宋"/>
                <w:color w:val="auto"/>
                <w:sz w:val="24"/>
                <w:highlight w:val="none"/>
              </w:rPr>
              <w:t xml:space="preserve">文件“</w:t>
            </w:r>
            <w:r>
              <w:rPr>
                <w:rFonts w:hint="eastAsia" w:ascii="仿宋" w:hAnsi="仿宋" w:eastAsia="仿宋"/>
                <w:color w:val="auto"/>
                <w:sz w:val="24"/>
                <w:highlight w:val="none"/>
                <w:lang w:val="en-US" w:eastAsia="zh-CN"/>
              </w:rPr>
              <w:t xml:space="preserve">采购</w:t>
            </w:r>
            <w:r>
              <w:rPr>
                <w:rFonts w:hint="eastAsia" w:ascii="仿宋" w:hAnsi="仿宋" w:eastAsia="仿宋"/>
                <w:color w:val="auto"/>
                <w:sz w:val="24"/>
                <w:highlight w:val="none"/>
              </w:rPr>
              <w:t xml:space="preserve">控制价编制及复核依据”的相关条款计取，并依据投标下浮率下浮，作为结算依据（（其中材料执行施工期如皋信息价或认质认价，认质认价材料不下浮））。B-2、结算时无法按B-1条款组价的新增工程量清单项目（即无相同或类似计价定额执行的），施工中由承包人提出，发包人确认后作为依据，同时工程量经发包人确认按实计量。</w:t>
            </w:r>
            <w:r/>
          </w:p>
          <w:p>
            <w:pPr>
              <w:rPr>
                <w:rFonts w:ascii="仿宋" w:hAnsi="仿宋" w:eastAsia="仿宋"/>
                <w:color w:val="auto"/>
                <w:sz w:val="24"/>
                <w:highlight w:val="none"/>
              </w:rPr>
            </w:pPr>
            <w:r>
              <w:rPr>
                <w:rFonts w:hint="eastAsia" w:ascii="仿宋" w:hAnsi="仿宋" w:eastAsia="仿宋"/>
                <w:color w:val="auto"/>
                <w:sz w:val="24"/>
                <w:highlight w:val="none"/>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w:t>
            </w:r>
            <w:r>
              <w:rPr>
                <w:rFonts w:hint="eastAsia" w:ascii="仿宋" w:hAnsi="仿宋" w:eastAsia="仿宋"/>
                <w:color w:val="auto"/>
                <w:sz w:val="24"/>
                <w:highlight w:val="none"/>
                <w:lang w:val="en-US" w:eastAsia="zh-CN"/>
              </w:rPr>
              <w:t xml:space="preserve">采购</w:t>
            </w:r>
            <w:r>
              <w:rPr>
                <w:rFonts w:hint="eastAsia" w:ascii="仿宋" w:hAnsi="仿宋" w:eastAsia="仿宋"/>
                <w:color w:val="auto"/>
                <w:sz w:val="24"/>
                <w:highlight w:val="none"/>
              </w:rPr>
              <w:t xml:space="preserve">文件“</w:t>
            </w:r>
            <w:r>
              <w:rPr>
                <w:rFonts w:hint="eastAsia" w:ascii="仿宋" w:hAnsi="仿宋" w:eastAsia="仿宋"/>
                <w:color w:val="auto"/>
                <w:sz w:val="24"/>
                <w:highlight w:val="none"/>
                <w:lang w:val="en-US" w:eastAsia="zh-CN"/>
              </w:rPr>
              <w:t xml:space="preserve">采购</w:t>
            </w:r>
            <w:r>
              <w:rPr>
                <w:rFonts w:hint="eastAsia" w:ascii="仿宋" w:hAnsi="仿宋" w:eastAsia="仿宋"/>
                <w:color w:val="auto"/>
                <w:sz w:val="24"/>
                <w:highlight w:val="none"/>
              </w:rPr>
              <w:t xml:space="preserve">控制价编制及复核依据”的口径计算*（1-投标下浮率）执行或由承包人提出适当的措施费变更要求，经发包人确认后调整。</w:t>
            </w:r>
            <w:r/>
          </w:p>
          <w:p>
            <w:pPr>
              <w:rPr>
                <w:rFonts w:ascii="仿宋" w:hAnsi="仿宋" w:eastAsia="仿宋"/>
                <w:color w:val="auto"/>
                <w:sz w:val="24"/>
                <w:highlight w:val="none"/>
              </w:rPr>
            </w:pPr>
            <w:r>
              <w:rPr>
                <w:rFonts w:hint="eastAsia" w:ascii="仿宋" w:hAnsi="仿宋" w:eastAsia="仿宋"/>
                <w:color w:val="auto"/>
                <w:sz w:val="24"/>
                <w:highlight w:val="none"/>
              </w:rPr>
              <w:t xml:space="preserve">注：投标下浮率为=（1-A1/A2）*100%</w:t>
            </w:r>
            <w:r/>
          </w:p>
          <w:p>
            <w:pPr>
              <w:rPr>
                <w:rFonts w:ascii="仿宋" w:hAnsi="仿宋" w:eastAsia="仿宋"/>
                <w:color w:val="auto"/>
                <w:sz w:val="24"/>
                <w:highlight w:val="none"/>
              </w:rPr>
            </w:pPr>
            <w:r>
              <w:rPr>
                <w:rFonts w:hint="eastAsia" w:ascii="仿宋" w:hAnsi="仿宋" w:eastAsia="仿宋"/>
                <w:color w:val="auto"/>
                <w:sz w:val="24"/>
                <w:highlight w:val="none"/>
              </w:rPr>
              <w:t xml:space="preserve">A1=投标（中标价-暂列金额-暂定价-规费-税金）;</w:t>
            </w:r>
            <w:r/>
          </w:p>
          <w:p>
            <w:pPr>
              <w:rPr>
                <w:rFonts w:ascii="仿宋" w:hAnsi="仿宋" w:eastAsia="仿宋"/>
                <w:color w:val="auto"/>
                <w:sz w:val="24"/>
                <w:highlight w:val="none"/>
              </w:rPr>
            </w:pPr>
            <w:r>
              <w:rPr>
                <w:rFonts w:hint="eastAsia" w:ascii="仿宋" w:hAnsi="仿宋" w:eastAsia="仿宋"/>
                <w:color w:val="auto"/>
                <w:sz w:val="24"/>
                <w:highlight w:val="none"/>
              </w:rPr>
              <w:t xml:space="preserve">A2=招标（招标控制价-暂列金额-暂定价-规费-税金）。</w:t>
            </w:r>
            <w:r/>
          </w:p>
          <w:p>
            <w:pPr>
              <w:rPr>
                <w:rFonts w:ascii="仿宋" w:hAnsi="仿宋" w:eastAsia="仿宋"/>
                <w:color w:val="auto"/>
                <w:sz w:val="24"/>
                <w:highlight w:val="none"/>
              </w:rPr>
            </w:pPr>
            <w:r>
              <w:rPr>
                <w:rFonts w:hint="eastAsia" w:ascii="仿宋" w:hAnsi="仿宋" w:eastAsia="仿宋"/>
                <w:color w:val="auto"/>
                <w:sz w:val="24"/>
                <w:highlight w:val="none"/>
              </w:rPr>
              <w:t xml:space="preserve">注：（1）因非承包人原因引起工程量增减或已标价工程量清单项目变化时（如项目特征不符、工程量清单缺项或工程量偏差等），调整方法参照此条款执行。</w:t>
            </w:r>
            <w:r/>
          </w:p>
          <w:p>
            <w:pPr>
              <w:rPr>
                <w:rFonts w:ascii="仿宋" w:hAnsi="仿宋" w:eastAsia="仿宋"/>
                <w:color w:val="auto"/>
                <w:sz w:val="24"/>
                <w:highlight w:val="none"/>
              </w:rPr>
            </w:pPr>
            <w:r>
              <w:rPr>
                <w:rFonts w:hint="eastAsia" w:ascii="仿宋" w:hAnsi="仿宋" w:eastAsia="仿宋"/>
                <w:color w:val="auto"/>
                <w:sz w:val="24"/>
                <w:highlight w:val="none"/>
              </w:rPr>
              <w:t xml:space="preserve">（2）暂列金额及暂定价按除税价格计入。</w:t>
            </w:r>
            <w:r/>
          </w:p>
          <w:p>
            <w:pPr>
              <w:rPr>
                <w:rFonts w:ascii="仿宋" w:hAnsi="仿宋" w:eastAsia="仿宋"/>
                <w:color w:val="auto"/>
                <w:sz w:val="24"/>
                <w:highlight w:val="none"/>
              </w:rPr>
            </w:pPr>
            <w:r>
              <w:rPr>
                <w:rFonts w:hint="eastAsia" w:ascii="仿宋" w:hAnsi="仿宋" w:eastAsia="仿宋"/>
                <w:color w:val="auto"/>
                <w:sz w:val="24"/>
                <w:highlight w:val="none"/>
              </w:rPr>
              <w:t xml:space="preserve">（3）综合单价为除税价格。</w:t>
            </w:r>
            <w:r/>
          </w:p>
          <w:p>
            <w:pPr>
              <w:rPr>
                <w:rFonts w:ascii="仿宋" w:hAnsi="仿宋" w:eastAsia="仿宋"/>
                <w:color w:val="auto"/>
                <w:sz w:val="24"/>
                <w:highlight w:val="none"/>
              </w:rPr>
            </w:pPr>
            <w:r>
              <w:rPr>
                <w:rFonts w:hint="eastAsia" w:ascii="仿宋" w:hAnsi="仿宋" w:eastAsia="仿宋"/>
                <w:color w:val="auto"/>
                <w:sz w:val="24"/>
                <w:highlight w:val="none"/>
              </w:rPr>
              <w:t xml:space="preserve">（4）单价及总价措施项目费均为除税价格。</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27</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4.响应供应商所报价格中包含本项目施工中的所有措施项目费用，提请响应供应商自主踏勘现场，按照建筑工程施工的相关规范要求综合考虑本工程所需的全部措施项目，结算时不作调整。在施工过程中如因施工组织设计不符合实际需要、不完善、计算错误等原因导致修改，或是应监理工程师合理指令作适当调整时，结算时均不作调整。</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28</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5.响应供应商报价应根据本单位掌握的材料价格信息，结合企业综合情况自主报价，同时要充分考虑材料价格升降等风险因素，竣工结算时所报单价不得变动。</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29</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6.本工程计税方式为一般计税方法，响应供应商必须在报价中根据自身管理水平、材料采购及机械配备等因素，考虑实际可抵扣进项税，合理确定增值税应纳税费率进行自主报价。营改增相关要求及内容详见财税【2016】36 号文、建办标【2016】4 号文、苏建价【2016】154 号及附件。税率及相关规定详见“省住房城乡建设厅关于调整建设工程计价增值税税率的通知（详见苏建函价〔2019〕178 号）”。响应供应商根据相关文件规定自主报价。</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30</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7.报价含交付使用前一切费用。不接受选择性报价。</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31</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（二）本项目成交后不允许转包或分包。</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32</w:t>
            </w:r>
            <w:r/>
          </w:p>
        </w:tc>
        <w:tc>
          <w:tcPr>
            <w:shd w:val="clear" w:color="auto" w:fill="auto"/>
            <w:tcBorders>
              <w:top w:val="single" w:color="auto" w:sz="4" w:space="0"/>
              <w:left w:val="single" w:color="auto" w:sz="4" w:space="0"/>
              <w:right w:val="single" w:color="auto" w:sz="4" w:space="0"/>
            </w:tcBorders>
            <w:tcW w:w="1817" w:type="dxa"/>
            <w:vAlign w:val="center"/>
            <w:vMerge w:val="restart"/>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其他要求</w:t>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33</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2.在施工过程中，须加强绿色建造与环境管理，做好扬尘防治工作，减少噪音污染等工作。</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34</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3.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35</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4.建筑或生活垃圾，包括楼层原有的和施工产生的垃圾都需要清运出场，运距响应供应商自行考虑，费用包含在投标报价中。</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36</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5.响应供应商投标前须自行现场踏勘，在报价中综合考虑比如场地狭小、高压线防护、杆线迁移、涉及的树木绿化迁移，老基础拆除等等类似需增加的施工成本，否则由此引起的所有问题均由响应供应商自行承担，结算不调整；因施工造成的原有路面的破损，成交人负责免费修复；本工程的临时道路、冲洗台等均由成交人施工，价格由响应供应商自行综合考虑在投标报价中。</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37</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6.本工程水电费由成交人承担；本工程施工过程中如需其他单位配合（或配合其他单位），所需费用由响应供应商自行综合考虑在报价中，结算时不调整。</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38</w:t>
            </w:r>
            <w:r/>
          </w:p>
        </w:tc>
        <w:tc>
          <w:tcPr>
            <w:shd w:val="clear" w:color="auto" w:fill="auto"/>
            <w:tcBorders>
              <w:left w:val="single" w:color="auto" w:sz="4" w:space="0"/>
              <w:bottom w:val="single" w:color="auto" w:sz="4" w:space="0"/>
              <w:right w:val="single" w:color="auto" w:sz="4" w:space="0"/>
            </w:tcBorders>
            <w:tcW w:w="1817" w:type="dxa"/>
            <w:vAlign w:val="center"/>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975"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7.根据本项目实际情况，潜在供应商自行踏勘现场，以便潜在供应商充分了解本项目的实际情况，避免盲目响应。若潜在供应商不踏勘现场，且参加磋商的，视同已踏勘现场，清楚本项目现场情况，对响应文件负责；若其成为成交供应商，在施工及结算过程中，不得因此提出任何未预见困难、项目、措施等，也不得增加价格，更不得降低项目实施质量、效果。</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注：按照竞争性磋商文件要求详细填列，可增减行。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（四）竞争性磋商文件规定提交的其他材料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施工组织设计</w:t>
      </w:r>
      <w:r>
        <w:rPr>
          <w:rFonts w:hint="eastAsia" w:ascii="仿宋" w:hAnsi="仿宋" w:eastAsia="仿宋"/>
          <w:color w:val="auto"/>
          <w:sz w:val="28"/>
          <w:szCs w:val="28"/>
          <w:highlight w:val="none"/>
        </w:rPr>
        <w:t xml:space="preserve">；</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2.业绩；</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3.体系认证；</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4.人员配备；</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5.性能参数。</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rPr>
          <w:rFonts w:ascii="黑体" w:hAnsi="黑体" w:eastAsia="黑体"/>
          <w:bCs/>
          <w:color w:val="auto"/>
          <w:sz w:val="28"/>
          <w:szCs w:val="28"/>
          <w:highlight w:val="none"/>
        </w:rPr>
        <w:outlineLvl w:val="1"/>
      </w:pPr>
      <w:r>
        <w:rPr>
          <w:rFonts w:hint="eastAsia" w:ascii="黑体" w:hAnsi="黑体" w:eastAsia="黑体"/>
          <w:color w:val="auto"/>
          <w:sz w:val="28"/>
          <w:szCs w:val="28"/>
          <w:highlight w:val="none"/>
        </w:rPr>
        <w:t xml:space="preserve">三、报价文件</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（一）竞争性磋商响应报价表</w:t>
      </w:r>
      <w:r/>
    </w:p>
    <w:p>
      <w:pPr>
        <w:ind w:firstLine="304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竞争性磋商响应报价表</w:t>
      </w:r>
      <w:r/>
    </w:p>
    <w:tbl>
      <w:tblPr>
        <w:tblStyle w:val="722"/>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项目名称：如皋市高级技工学校智能化工程</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项目编号：JSZC-320682-NTZJ-C2026-0017</w:t>
            </w:r>
            <w:r>
              <w:rPr>
                <w:rFonts w:hint="eastAsia" w:ascii="仿宋" w:hAnsi="仿宋" w:eastAsia="仿宋" w:cs="宋体"/>
                <w:color w:val="auto"/>
                <w:sz w:val="24"/>
                <w:highlight w:val="none"/>
              </w:rPr>
              <w:tab/>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竞争性磋商响应报价（元）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color w:val="auto"/>
                <w:szCs w:val="21"/>
                <w:highlight w:val="none"/>
              </w:rPr>
            </w:pPr>
            <w:r>
              <w:rPr>
                <w:rFonts w:ascii="仿宋" w:hAnsi="仿宋" w:eastAsia="仿宋" w:cs="宋体"/>
                <w:color w:val="auto"/>
                <w:szCs w:val="21"/>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（二）竞争性磋商响应报价明细表</w:t>
      </w:r>
      <w:r/>
    </w:p>
    <w:p>
      <w:pPr>
        <w:ind w:firstLine="3040"/>
        <w:rPr>
          <w:rFonts w:ascii="宋体" w:hAnsi="宋体"/>
          <w:color w:val="auto"/>
          <w:sz w:val="24"/>
          <w:highlight w:val="none"/>
        </w:rPr>
      </w:pPr>
      <w:r>
        <w:rPr>
          <w:rFonts w:hint="eastAsia" w:ascii="方正小标宋简体" w:hAnsi="宋体" w:eastAsia="方正小标宋简体"/>
          <w:color w:val="auto"/>
          <w:sz w:val="32"/>
          <w:szCs w:val="32"/>
          <w:highlight w:val="none"/>
        </w:rPr>
        <w:t xml:space="preserve">竞争性磋商响应报价明细表</w:t>
      </w:r>
      <w:r/>
    </w:p>
    <w:p>
      <w:pPr>
        <w:rPr>
          <w:rFonts w:ascii="宋体" w:hAnsi="宋体"/>
          <w:color w:val="auto"/>
          <w:highlight w:val="none"/>
        </w:rPr>
      </w:pPr>
      <w:r>
        <w:rPr>
          <w:rFonts w:ascii="宋体" w:hAnsi="宋体"/>
          <w:color w:val="auto"/>
          <w:highlight w:val="none"/>
        </w:rPr>
      </w:r>
      <w:r/>
    </w:p>
    <w:p>
      <w:pPr>
        <w:pStyle w:val="736"/>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请供应商按清单进行报价</w:t>
      </w:r>
      <w:r/>
    </w:p>
    <w:p>
      <w:pPr>
        <w:pStyle w:val="726"/>
        <w:ind w:left="1680"/>
        <w:rPr>
          <w:rFonts w:ascii="仿宋" w:hAnsi="仿宋" w:eastAsia="仿宋"/>
          <w:color w:val="auto"/>
          <w:sz w:val="24"/>
          <w:highlight w:val="none"/>
        </w:rPr>
      </w:pPr>
      <w:r>
        <w:rPr>
          <w:rFonts w:ascii="仿宋" w:hAnsi="仿宋" w:eastAsia="仿宋"/>
          <w:color w:val="auto"/>
          <w:sz w:val="24"/>
          <w:highlight w:val="none"/>
        </w:rPr>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根据提供的工程量清单进行报价，已标价的工程量清单（包括：投标总价封面、投标总价扉页、工程计价总说明、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规费、税金项目计价表、承包人提供主要材料和工程设备一览表）。</w:t>
      </w:r>
      <w:r/>
    </w:p>
    <w:p>
      <w:pPr>
        <w:ind w:firstLine="63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2.此表可以根据需要自行增减行数</w:t>
      </w:r>
      <w:r>
        <w:rPr>
          <w:rFonts w:hint="eastAsia" w:ascii="仿宋" w:hAnsi="仿宋" w:eastAsia="仿宋"/>
          <w:b/>
          <w:bCs/>
          <w:color w:val="auto"/>
          <w:sz w:val="28"/>
          <w:szCs w:val="28"/>
          <w:highlight w:val="none"/>
        </w:rPr>
        <w:t xml:space="preserve">（详见项目需求）</w:t>
      </w:r>
      <w:r>
        <w:rPr>
          <w:rFonts w:hint="eastAsia" w:ascii="仿宋" w:hAnsi="仿宋" w:eastAsia="仿宋"/>
          <w:color w:val="auto"/>
          <w:sz w:val="28"/>
          <w:szCs w:val="28"/>
          <w:highlight w:val="none"/>
        </w:rPr>
        <w:t xml:space="preserve">。</w:t>
      </w:r>
      <w:r/>
    </w:p>
    <w:p>
      <w:pPr>
        <w:ind w:firstLine="63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3.项目如有分包，请各磋商供应商按投报的分包分别列表。</w:t>
      </w:r>
      <w:r/>
    </w:p>
    <w:p>
      <w:pPr>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4.报价包括完成本项目涉及的一切费用，采购人不再支付其他任何费用。</w:t>
      </w:r>
      <w:r>
        <w:rPr>
          <w:rFonts w:hint="eastAsia" w:ascii="仿宋" w:hAnsi="仿宋" w:eastAsia="仿宋"/>
          <w:bCs/>
          <w:color w:val="auto"/>
          <w:sz w:val="28"/>
          <w:szCs w:val="28"/>
          <w:highlight w:val="none"/>
        </w:rPr>
        <w:br w:type="page" w:clear="all"/>
      </w:r>
      <w:r/>
    </w:p>
    <w:p>
      <w:pPr>
        <w:spacing w:line="500" w:lineRule="exac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 xml:space="preserve">（三）</w:t>
      </w:r>
      <w:r>
        <w:rPr>
          <w:rFonts w:hint="eastAsia" w:ascii="仿宋" w:hAnsi="仿宋" w:eastAsia="仿宋" w:cs="Arial"/>
          <w:color w:val="auto"/>
          <w:sz w:val="28"/>
          <w:szCs w:val="28"/>
          <w:highlight w:val="none"/>
        </w:rPr>
        <w:t xml:space="preserve">残疾人福利性单位声明函</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rPr>
        <w:t xml:space="preserve">如皋市高级技工学校</w:t>
      </w:r>
      <w:r>
        <w:rPr>
          <w:rFonts w:hint="eastAsia" w:ascii="仿宋" w:hAnsi="仿宋" w:eastAsia="仿宋"/>
          <w:color w:val="auto"/>
          <w:sz w:val="28"/>
          <w:szCs w:val="28"/>
          <w:highlight w:val="none"/>
        </w:rPr>
        <w:t xml:space="preserve">单位的项目编号为</w:t>
      </w:r>
      <w:r>
        <w:rPr>
          <w:rFonts w:hint="eastAsia" w:ascii="仿宋" w:hAnsi="仿宋" w:eastAsia="仿宋"/>
          <w:color w:val="auto"/>
          <w:sz w:val="28"/>
          <w:szCs w:val="28"/>
          <w:highlight w:val="none"/>
          <w:u w:val="single"/>
        </w:rPr>
        <w:t xml:space="preserve">JSZC-320682-NTZJ-C2026-0017</w:t>
      </w:r>
      <w:r>
        <w:rPr>
          <w:rFonts w:hint="eastAsia" w:ascii="仿宋" w:hAnsi="仿宋" w:eastAsia="仿宋"/>
          <w:color w:val="auto"/>
          <w:sz w:val="28"/>
          <w:szCs w:val="28"/>
          <w:highlight w:val="none"/>
          <w:u w:val="single"/>
        </w:rPr>
        <w:tab/>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如皋市高级技工学校智能化工程</w:t>
      </w:r>
      <w:r>
        <w:rPr>
          <w:rFonts w:hint="eastAsia" w:ascii="仿宋" w:hAnsi="仿宋" w:eastAsia="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注意：成交供应商提供的《中小企业声明函》、《残疾人福利性单位声明函》将随成交结果同时公告，接受社会监督。</w:t>
      </w:r>
      <w:r/>
    </w:p>
    <w:p>
      <w:pPr>
        <w:rPr>
          <w:rFonts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pStyle w:val="757"/>
        <w:ind w:firstLine="0"/>
        <w:jc w:val="center"/>
        <w:rPr>
          <w:rFonts w:ascii="方正小标宋简体" w:eastAsia="方正小标宋简体"/>
          <w:bCs/>
          <w:color w:val="auto"/>
          <w:sz w:val="32"/>
          <w:szCs w:val="32"/>
          <w:highlight w:val="none"/>
        </w:rPr>
        <w:outlineLvl w:val="0"/>
      </w:pPr>
      <w:r/>
      <w:bookmarkStart w:id="47" w:name="_Toc7554"/>
      <w:r/>
      <w:bookmarkStart w:id="48" w:name="_Toc31933"/>
      <w:r/>
      <w:bookmarkStart w:id="49" w:name="_Toc16866"/>
      <w:r/>
      <w:bookmarkStart w:id="50" w:name="_Toc22834"/>
      <w:r>
        <w:rPr>
          <w:rFonts w:hint="eastAsia" w:ascii="方正小标宋简体" w:eastAsia="方正小标宋简体"/>
          <w:bCs/>
          <w:color w:val="auto"/>
          <w:sz w:val="32"/>
          <w:szCs w:val="32"/>
          <w:highlight w:val="none"/>
        </w:rPr>
        <w:t xml:space="preserve">第7章 附件</w:t>
      </w:r>
      <w:bookmarkEnd w:id="47"/>
      <w:r/>
      <w:bookmarkEnd w:id="48"/>
      <w:r/>
      <w:bookmarkEnd w:id="49"/>
      <w:bookmarkEnd w:id="50"/>
      <w:r/>
    </w:p>
    <w:p>
      <w:pPr>
        <w:ind w:firstLine="560"/>
        <w:spacing w:line="500" w:lineRule="exact"/>
        <w:rPr>
          <w:rFonts w:ascii="方正小标宋简体" w:hAnsi="Arial" w:eastAsia="方正小标宋简体"/>
          <w:bCs/>
          <w:color w:val="auto"/>
          <w:sz w:val="32"/>
          <w:szCs w:val="32"/>
          <w:highlight w:val="none"/>
        </w:rPr>
      </w:pPr>
      <w:r/>
      <w:bookmarkStart w:id="51" w:name="_Toc10302"/>
      <w:r/>
      <w:bookmarkStart w:id="52" w:name="_Toc79"/>
      <w:r/>
      <w:bookmarkStart w:id="53" w:name="_Toc17353"/>
      <w:r/>
      <w:bookmarkStart w:id="54" w:name="_Toc6445"/>
      <w:r/>
      <w:bookmarkStart w:id="55" w:name="_Toc20215"/>
      <w:r>
        <w:rPr>
          <w:rFonts w:hint="eastAsia" w:ascii="方正小标宋简体" w:hAnsi="Arial" w:eastAsia="方正小标宋简体"/>
          <w:bCs/>
          <w:color w:val="auto"/>
          <w:sz w:val="32"/>
          <w:szCs w:val="32"/>
          <w:highlight w:val="none"/>
        </w:rPr>
        <w:t xml:space="preserve">附件1：清单编制说明</w:t>
      </w:r>
      <w:r/>
    </w:p>
    <w:p>
      <w:pPr>
        <w:ind w:firstLine="560"/>
        <w:spacing w:line="500" w:lineRule="exact"/>
        <w:rPr>
          <w:rFonts w:ascii="方正小标宋简体" w:hAnsi="Arial" w:eastAsia="方正小标宋简体"/>
          <w:bCs/>
          <w:color w:val="auto"/>
          <w:sz w:val="32"/>
          <w:szCs w:val="32"/>
          <w:highlight w:val="none"/>
        </w:rPr>
      </w:pPr>
      <w:r>
        <w:rPr>
          <w:rFonts w:hint="eastAsia" w:ascii="方正小标宋简体" w:hAnsi="Arial" w:eastAsia="方正小标宋简体"/>
          <w:bCs/>
          <w:color w:val="auto"/>
          <w:sz w:val="32"/>
          <w:szCs w:val="32"/>
          <w:highlight w:val="none"/>
        </w:rPr>
        <w:t xml:space="preserve">附件2：图纸</w:t>
      </w:r>
      <w:r/>
    </w:p>
    <w:p>
      <w:pPr>
        <w:ind w:firstLine="560"/>
        <w:spacing w:line="500" w:lineRule="exact"/>
        <w:rPr>
          <w:rFonts w:ascii="方正小标宋简体" w:hAnsi="Arial" w:eastAsia="方正小标宋简体"/>
          <w:bCs/>
          <w:color w:val="auto"/>
          <w:sz w:val="32"/>
          <w:szCs w:val="32"/>
          <w:highlight w:val="none"/>
        </w:rPr>
      </w:pPr>
      <w:r>
        <w:rPr>
          <w:rFonts w:hint="eastAsia" w:ascii="方正小标宋简体" w:hAnsi="Arial" w:eastAsia="方正小标宋简体"/>
          <w:bCs/>
          <w:color w:val="auto"/>
          <w:sz w:val="32"/>
          <w:szCs w:val="32"/>
          <w:highlight w:val="none"/>
        </w:rPr>
        <w:t xml:space="preserve">附件3：工程量清单</w:t>
      </w:r>
      <w:r/>
    </w:p>
    <w:p>
      <w:pPr>
        <w:ind w:firstLine="560"/>
        <w:spacing w:line="500" w:lineRule="exact"/>
        <w:rPr>
          <w:rFonts w:ascii="方正小标宋简体" w:hAnsi="Arial" w:eastAsia="方正小标宋简体"/>
          <w:bCs/>
          <w:color w:val="auto"/>
          <w:sz w:val="32"/>
          <w:szCs w:val="32"/>
          <w:highlight w:val="none"/>
        </w:rPr>
      </w:pPr>
      <w:r>
        <w:rPr>
          <w:rFonts w:hint="eastAsia" w:ascii="方正小标宋简体" w:hAnsi="Arial" w:eastAsia="方正小标宋简体"/>
          <w:bCs/>
          <w:color w:val="auto"/>
          <w:sz w:val="32"/>
          <w:szCs w:val="32"/>
          <w:highlight w:val="none"/>
        </w:rPr>
        <w:t xml:space="preserve">附件4：</w:t>
      </w:r>
      <w:bookmarkStart w:id="56" w:name="_Toc7231"/>
      <w:r/>
      <w:bookmarkStart w:id="57" w:name="_Toc26344"/>
      <w:r>
        <w:rPr>
          <w:rFonts w:hint="eastAsia" w:ascii="方正小标宋简体" w:hAnsi="Arial" w:eastAsia="方正小标宋简体"/>
          <w:bCs/>
          <w:color w:val="auto"/>
          <w:sz w:val="32"/>
          <w:szCs w:val="32"/>
          <w:highlight w:val="none"/>
        </w:rPr>
        <w:t xml:space="preserve">品牌</w:t>
      </w:r>
      <w:r>
        <w:rPr>
          <w:rFonts w:hint="eastAsia" w:ascii="方正小标宋简体" w:hAnsi="Arial" w:eastAsia="方正小标宋简体"/>
          <w:bCs/>
          <w:color w:val="auto"/>
          <w:sz w:val="32"/>
          <w:szCs w:val="32"/>
          <w:highlight w:val="none"/>
          <w:lang w:val="en-US" w:eastAsia="zh-CN"/>
        </w:rPr>
        <w:t xml:space="preserve">响应</w:t>
      </w:r>
      <w:r>
        <w:rPr>
          <w:rFonts w:hint="eastAsia" w:ascii="方正小标宋简体" w:hAnsi="Arial" w:eastAsia="方正小标宋简体"/>
          <w:bCs/>
          <w:color w:val="auto"/>
          <w:sz w:val="32"/>
          <w:szCs w:val="32"/>
          <w:highlight w:val="none"/>
        </w:rPr>
        <w:t xml:space="preserve">表</w:t>
      </w:r>
      <w:r/>
    </w:p>
    <w:tbl>
      <w:tblPr>
        <w:tblStyle w:val="722"/>
        <w:tblW w:w="94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0"/>
        <w:gridCol w:w="2805"/>
        <w:gridCol w:w="4605"/>
        <w:gridCol w:w="1080"/>
      </w:tblGrid>
      <w:tr>
        <w:trPr>
          <w:trHeight w:val="600"/>
        </w:trPr>
        <w:tc>
          <w:tcPr>
            <w:gridSpan w:val="4"/>
            <w:shd w:val="clear" w:color="auto" w:fill="auto"/>
            <w:tcBorders>
              <w:top w:val="none" w:color="000000" w:sz="4" w:space="0"/>
              <w:left w:val="none" w:color="000000" w:sz="4" w:space="0"/>
              <w:bottom w:val="none" w:color="000000" w:sz="4" w:space="0"/>
              <w:right w:val="none" w:color="000000" w:sz="4" w:space="0"/>
            </w:tcBorders>
            <w:tcW w:w="9420"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智能化系统品牌响应表</w:t>
            </w:r>
            <w:r/>
          </w:p>
        </w:tc>
      </w:tr>
      <w:tr>
        <w:trPr>
          <w:trHeight w:val="240"/>
        </w:trPr>
        <w:tc>
          <w:tcPr>
            <w:shd w:val="clear" w:color="auto" w:fill="auto"/>
            <w:tcBorders>
              <w:top w:val="single" w:color="000000" w:sz="8"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设备名称</w:t>
            </w:r>
            <w:r/>
          </w:p>
        </w:tc>
        <w:tc>
          <w:tcPr>
            <w:shd w:val="clear" w:color="auto" w:fill="auto"/>
            <w:tcBorders>
              <w:top w:val="single" w:color="000000" w:sz="8" w:space="0"/>
              <w:left w:val="single" w:color="000000" w:sz="4" w:space="0"/>
              <w:bottom w:val="single" w:color="000000" w:sz="4" w:space="0"/>
              <w:right w:val="none" w:color="000000" w:sz="4" w:space="0"/>
            </w:tcBorders>
            <w:tcW w:w="460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响应品牌</w:t>
            </w:r>
            <w:r/>
          </w:p>
        </w:tc>
        <w:tc>
          <w:tcPr>
            <w:shd w:val="clear" w:color="auto" w:fill="auto"/>
            <w:tcBorders>
              <w:top w:val="single" w:color="000000" w:sz="8" w:space="0"/>
              <w:left w:val="single" w:color="000000" w:sz="4" w:space="0"/>
              <w:bottom w:val="single" w:color="000000" w:sz="4" w:space="0"/>
              <w:right w:val="single" w:color="000000" w:sz="8"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备注</w:t>
            </w:r>
            <w:r/>
          </w:p>
        </w:tc>
      </w:tr>
      <w:tr>
        <w:trPr>
          <w:trHeight w:val="240"/>
        </w:trPr>
        <w:tc>
          <w:tcPr>
            <w:gridSpan w:val="3"/>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视频监控系统</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400万高清半球摄像机</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24口接入交换机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32路NVR硬盘录像机</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监控专用硬盘</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管理中心电脑</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汇聚心交换机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46寸监视器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六类4对非屏蔽双绞线</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85"/>
        </w:trPr>
        <w:tc>
          <w:tcPr>
            <w:gridSpan w:val="3"/>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六类非屏蔽信息模块</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单口面板</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单口网络地插</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3米六类跳线</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六类非屏蔽线缆</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24口六类快速配线架</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12口光纤配线架</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网线理线器</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2米六类跳线</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机柜42u</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85"/>
        </w:trPr>
        <w:tc>
          <w:tcPr>
            <w:gridSpan w:val="3"/>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无线网络系统</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16口 POE交换机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无线AP</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gridSpan w:val="3"/>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会议系统</w:t>
            </w:r>
            <w:r/>
          </w:p>
        </w:tc>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网络播放器（IP终端）</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专业会议音箱</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双通道专业数字功放</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专业音频处理器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专业自动反馈抑制器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12路模拟调音台</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真分集无线话筒</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八路天线分配器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话筒天线</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音频连接线</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立式机柜</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85"/>
        </w:trPr>
        <w:tc>
          <w:tcPr>
            <w:gridSpan w:val="3"/>
            <w:shd w:val="clear" w:color="auto" w:fill="auto"/>
            <w:tcBorders>
              <w:top w:val="single" w:color="000000" w:sz="4" w:space="0"/>
              <w:left w:val="single" w:color="000000" w:sz="8"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大屏及灯光系统（报告厅）</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P2.5室内屏</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P1.25室内屏</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专业视频处理器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多功能卡配电箱</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P4.75室内屏</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无缝高清矩阵切换器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HDMI无缝高清输入卡</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HDMI无缝高清输出卡</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HDMI超高清HDBase-T收发盒</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网络中控主机</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串口分配器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影视灯</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固定染色灯</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摇头灯</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灯光控制台</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直通箱</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85"/>
        </w:trPr>
        <w:tc>
          <w:tcPr>
            <w:gridSpan w:val="3"/>
            <w:shd w:val="clear" w:color="auto" w:fill="auto"/>
            <w:tcBorders>
              <w:top w:val="single" w:color="000000" w:sz="4" w:space="0"/>
              <w:left w:val="single" w:color="000000" w:sz="8"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广播系统</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网络广播主机服务器（含软件）</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采集器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IP音频采集器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CD播放器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调谐器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前置放大器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IP网络音箱</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话筒</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寻呼话筒</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立式豪华型机柜</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教学音箱</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壁挂音箱</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网络功放</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壁挂扬声器</w:t>
            </w:r>
            <w:r/>
          </w:p>
        </w:tc>
        <w:tc>
          <w:tcPr>
            <w:shd w:val="clear" w:color="auto" w:fill="auto"/>
            <w:tcBorders>
              <w:top w:val="single" w:color="000000" w:sz="4" w:space="0"/>
              <w:left w:val="single" w:color="000000" w:sz="4" w:space="0"/>
              <w:bottom w:val="single" w:color="000000" w:sz="4"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240"/>
        </w:trPr>
        <w:tc>
          <w:tcPr>
            <w:shd w:val="clear" w:color="auto" w:fill="auto"/>
            <w:tcBorders>
              <w:top w:val="single" w:color="000000" w:sz="4" w:space="0"/>
              <w:left w:val="single" w:color="000000" w:sz="8" w:space="0"/>
              <w:bottom w:val="single" w:color="000000" w:sz="8" w:space="0"/>
              <w:right w:val="single" w:color="000000" w:sz="4" w:space="0"/>
            </w:tcBorders>
            <w:tcW w:w="9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8" w:space="0"/>
              <w:right w:val="single" w:color="000000" w:sz="4" w:space="0"/>
            </w:tcBorders>
            <w:tcW w:w="280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室外音柱</w:t>
            </w:r>
            <w:r/>
          </w:p>
        </w:tc>
        <w:tc>
          <w:tcPr>
            <w:shd w:val="clear" w:color="auto" w:fill="auto"/>
            <w:tcBorders>
              <w:top w:val="single" w:color="000000" w:sz="4" w:space="0"/>
              <w:left w:val="single" w:color="000000" w:sz="4" w:space="0"/>
              <w:bottom w:val="single" w:color="000000" w:sz="8" w:space="0"/>
              <w:right w:val="none" w:color="000000" w:sz="4" w:space="0"/>
            </w:tcBorders>
            <w:tcW w:w="460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bl>
    <w:p>
      <w:pPr>
        <w:ind w:firstLine="560"/>
        <w:spacing w:line="500" w:lineRule="exact"/>
        <w:rPr>
          <w:rFonts w:hint="eastAsia" w:ascii="方正小标宋简体" w:hAnsi="Arial" w:eastAsia="方正小标宋简体"/>
          <w:bCs/>
          <w:color w:val="auto"/>
          <w:sz w:val="32"/>
          <w:szCs w:val="32"/>
          <w:highlight w:val="none"/>
        </w:rPr>
      </w:pPr>
      <w:r>
        <w:rPr>
          <w:rFonts w:hint="eastAsia" w:ascii="方正小标宋简体" w:hAnsi="Arial" w:eastAsia="方正小标宋简体"/>
          <w:bCs/>
          <w:color w:val="auto"/>
          <w:sz w:val="32"/>
          <w:szCs w:val="32"/>
          <w:highlight w:val="none"/>
        </w:rPr>
      </w:r>
      <w:r/>
    </w:p>
    <w:p>
      <w:pPr>
        <w:ind w:firstLine="560"/>
        <w:spacing w:line="500" w:lineRule="exact"/>
        <w:rPr>
          <w:rFonts w:ascii="方正小标宋简体" w:hAnsi="Arial" w:eastAsia="方正小标宋简体"/>
          <w:bCs/>
          <w:color w:val="auto"/>
          <w:sz w:val="32"/>
          <w:szCs w:val="32"/>
          <w:highlight w:val="none"/>
        </w:rPr>
      </w:pPr>
      <w:r>
        <w:rPr>
          <w:rFonts w:hint="eastAsia" w:ascii="方正小标宋简体" w:hAnsi="Arial" w:eastAsia="方正小标宋简体"/>
          <w:bCs/>
          <w:color w:val="auto"/>
          <w:sz w:val="32"/>
          <w:szCs w:val="32"/>
          <w:highlight w:val="none"/>
        </w:rPr>
        <w:t xml:space="preserve">附件5：现场踏勘确认函</w:t>
      </w:r>
      <w:r/>
    </w:p>
    <w:p>
      <w:pPr>
        <w:ind w:firstLine="560"/>
        <w:spacing w:line="500" w:lineRule="exact"/>
        <w:rPr>
          <w:rFonts w:ascii="方正小标宋简体" w:hAnsi="Arial" w:eastAsia="方正小标宋简体"/>
          <w:bCs/>
          <w:color w:val="auto"/>
          <w:sz w:val="32"/>
          <w:szCs w:val="32"/>
          <w:highlight w:val="none"/>
        </w:rPr>
      </w:pPr>
      <w:r>
        <w:rPr>
          <w:rFonts w:ascii="方正小标宋简体" w:hAnsi="Arial" w:eastAsia="方正小标宋简体"/>
          <w:bCs/>
          <w:color w:val="auto"/>
          <w:sz w:val="32"/>
          <w:szCs w:val="32"/>
          <w:highlight w:val="none"/>
        </w:rPr>
      </w:r>
      <w:bookmarkEnd w:id="51"/>
      <w:bookmarkEnd w:id="52"/>
      <w:bookmarkEnd w:id="53"/>
      <w:bookmarkEnd w:id="54"/>
      <w:bookmarkEnd w:id="55"/>
      <w:bookmarkEnd w:id="56"/>
      <w:bookmarkEnd w:id="57"/>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现场踏勘确认函</w:t>
      </w:r>
      <w:r/>
    </w:p>
    <w:p>
      <w:pPr>
        <w:spacing w:line="300" w:lineRule="exact"/>
        <w:rPr>
          <w:rFonts w:ascii="仿宋" w:hAnsi="仿宋" w:eastAsia="仿宋"/>
          <w:color w:val="auto"/>
          <w:szCs w:val="21"/>
          <w:highlight w:val="none"/>
        </w:rPr>
      </w:pPr>
      <w:r>
        <w:rPr>
          <w:rFonts w:ascii="仿宋" w:hAnsi="仿宋" w:eastAsia="仿宋"/>
          <w:color w:val="auto"/>
          <w:szCs w:val="21"/>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______________________________：</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依据贵单位（采购项目名称</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项目磋商文件的要求。我方已于年月日自行对该项目进行了现场勘察，我公司现就现场勘察情况做如下承诺：</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、经现场勘察，我方已熟悉与该项目相关的物业管理现场、现场周围交通道路等所有情况。</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、我方承诺自行承担本次现场勘察所发生的所有费用并承担勘察现场的相关责任和风险。</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、我方承诺在任何情况下均不以不完全了解现场情况为理由而向采购人提出任何索赔的要求。</w:t>
      </w:r>
      <w:r/>
    </w:p>
    <w:p>
      <w:pPr>
        <w:jc w:val="right"/>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righ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响应供应商：（加盖公章）</w:t>
      </w:r>
      <w:r/>
    </w:p>
    <w:p>
      <w:pPr>
        <w:pStyle w:val="736"/>
        <w:rPr>
          <w:color w:val="auto"/>
          <w:highlight w:val="none"/>
        </w:rPr>
      </w:pPr>
      <w:r>
        <w:rPr>
          <w:color w:val="auto"/>
          <w:highlight w:val="none"/>
        </w:rPr>
      </w:r>
      <w:r/>
    </w:p>
    <w:p>
      <w:pPr>
        <w:ind w:firstLine="560"/>
        <w:jc w:val="righ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法定代表人或被授权人：（签字或盖章）</w:t>
      </w:r>
      <w:r/>
    </w:p>
    <w:p>
      <w:pPr>
        <w:pStyle w:val="736"/>
        <w:rPr>
          <w:color w:val="auto"/>
          <w:highlight w:val="none"/>
        </w:rPr>
      </w:pPr>
      <w:r>
        <w:rPr>
          <w:color w:val="auto"/>
          <w:highlight w:val="none"/>
        </w:rPr>
      </w:r>
      <w:r/>
    </w:p>
    <w:p>
      <w:pPr>
        <w:jc w:val="right"/>
        <w:spacing w:line="3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年月  日</w:t>
      </w:r>
      <w:r/>
    </w:p>
    <w:p>
      <w:pPr>
        <w:rPr>
          <w:rFonts w:ascii="仿宋" w:hAnsi="仿宋" w:eastAsia="仿宋"/>
          <w:color w:val="auto"/>
          <w:szCs w:val="21"/>
          <w:highlight w:val="none"/>
        </w:rPr>
      </w:pPr>
      <w:r>
        <w:rPr>
          <w:rFonts w:ascii="仿宋" w:hAnsi="仿宋" w:eastAsia="仿宋"/>
          <w:color w:val="auto"/>
          <w:szCs w:val="21"/>
          <w:highlight w:val="none"/>
        </w:rPr>
      </w:r>
      <w:r/>
    </w:p>
    <w:p>
      <w:pPr>
        <w:pStyle w:val="723"/>
        <w:ind w:firstLine="480"/>
        <w:rPr>
          <w:color w:val="auto"/>
          <w:highlight w:val="none"/>
        </w:rPr>
      </w:pPr>
      <w:r>
        <w:rPr>
          <w:color w:val="auto"/>
          <w:highlight w:val="none"/>
        </w:rPr>
      </w:r>
      <w:r/>
    </w:p>
    <w:p>
      <w:pPr>
        <w:rPr>
          <w:color w:val="auto"/>
          <w:highlight w:val="none"/>
        </w:rPr>
      </w:pPr>
      <w:r>
        <w:rPr>
          <w:color w:val="auto"/>
          <w:highlight w:val="none"/>
        </w:rPr>
        <w:br w:type="page" w:clear="all"/>
      </w:r>
      <w:r/>
    </w:p>
    <w:p>
      <w:pPr>
        <w:ind w:firstLine="560"/>
        <w:spacing w:line="500" w:lineRule="exact"/>
        <w:rPr>
          <w:rFonts w:ascii="方正小标宋简体" w:hAnsi="Arial" w:eastAsia="方正小标宋简体"/>
          <w:bCs/>
          <w:color w:val="auto"/>
          <w:sz w:val="32"/>
          <w:szCs w:val="32"/>
          <w:highlight w:val="none"/>
        </w:rPr>
      </w:pPr>
      <w:r>
        <w:rPr>
          <w:rFonts w:hint="eastAsia" w:ascii="方正小标宋简体" w:hAnsi="Arial" w:eastAsia="方正小标宋简体"/>
          <w:bCs/>
          <w:color w:val="auto"/>
          <w:sz w:val="32"/>
          <w:szCs w:val="32"/>
          <w:highlight w:val="none"/>
        </w:rPr>
        <w:t xml:space="preserve">附件6：</w:t>
      </w:r>
      <w:r/>
    </w:p>
    <w:p>
      <w:pPr>
        <w:ind w:left="4079"/>
        <w:spacing w:before="172" w:line="223" w:lineRule="auto"/>
        <w:rPr>
          <w:rFonts w:ascii="仿宋" w:hAnsi="仿宋" w:eastAsia="仿宋" w:cs="仿宋"/>
          <w:b/>
          <w:bCs/>
          <w:color w:val="auto"/>
          <w:sz w:val="28"/>
          <w:szCs w:val="28"/>
          <w:highlight w:val="none"/>
        </w:rPr>
        <w:outlineLvl w:val="1"/>
      </w:pPr>
      <w:r>
        <w:rPr>
          <w:rFonts w:hint="eastAsia" w:ascii="仿宋" w:hAnsi="仿宋" w:eastAsia="仿宋" w:cs="仿宋"/>
          <w:b/>
          <w:bCs/>
          <w:color w:val="auto"/>
          <w:spacing w:val="2"/>
          <w:sz w:val="28"/>
          <w:szCs w:val="28"/>
          <w:highlight w:val="none"/>
        </w:rPr>
        <w:t xml:space="preserve">承诺书</w:t>
      </w:r>
      <w:r/>
    </w:p>
    <w:p>
      <w:pPr>
        <w:pStyle w:val="723"/>
        <w:ind w:left="113" w:right="85" w:firstLine="440"/>
        <w:jc w:val="both"/>
        <w:spacing w:before="7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为确保本项目工程质量达到优良标准。在</w:t>
      </w:r>
      <w:r>
        <w:rPr>
          <w:rFonts w:hint="eastAsia" w:ascii="仿宋" w:hAnsi="仿宋" w:eastAsia="仿宋" w:cs="仿宋"/>
          <w:color w:val="auto"/>
          <w:spacing w:val="-1"/>
          <w:sz w:val="22"/>
          <w:szCs w:val="22"/>
          <w:highlight w:val="none"/>
        </w:rPr>
        <w:t xml:space="preserve">工程竣工验收前，本单位将从人员、材料、机械</w:t>
      </w:r>
      <w:r>
        <w:rPr>
          <w:rFonts w:hint="eastAsia" w:ascii="仿宋" w:hAnsi="仿宋" w:eastAsia="仿宋" w:cs="仿宋"/>
          <w:color w:val="auto"/>
          <w:spacing w:val="-2"/>
          <w:sz w:val="22"/>
          <w:szCs w:val="22"/>
          <w:highlight w:val="none"/>
        </w:rPr>
        <w:t xml:space="preserve">等方面强化管理，并作出如下承</w:t>
      </w:r>
      <w:r>
        <w:rPr>
          <w:rFonts w:hint="eastAsia" w:ascii="仿宋" w:hAnsi="仿宋" w:eastAsia="仿宋" w:cs="仿宋"/>
          <w:color w:val="auto"/>
          <w:spacing w:val="-14"/>
          <w:sz w:val="22"/>
          <w:szCs w:val="22"/>
          <w:highlight w:val="none"/>
        </w:rPr>
        <w:t xml:space="preserve">诺：</w:t>
      </w:r>
      <w:r/>
    </w:p>
    <w:p>
      <w:pPr>
        <w:pStyle w:val="723"/>
        <w:ind w:left="552" w:firstLine="454"/>
        <w:widowControl/>
        <w:rPr>
          <w:rFonts w:ascii="仿宋" w:hAnsi="仿宋" w:eastAsia="仿宋" w:cs="仿宋"/>
          <w:b/>
          <w:bCs/>
          <w:color w:val="auto"/>
          <w:sz w:val="22"/>
          <w:szCs w:val="22"/>
          <w:highlight w:val="none"/>
        </w:rPr>
      </w:pPr>
      <w:r>
        <w:rPr>
          <w:rFonts w:hint="eastAsia" w:ascii="仿宋" w:hAnsi="仿宋" w:eastAsia="仿宋" w:cs="仿宋"/>
          <w:b/>
          <w:bCs/>
          <w:color w:val="auto"/>
          <w:spacing w:val="3"/>
          <w:sz w:val="22"/>
          <w:szCs w:val="22"/>
          <w:highlight w:val="none"/>
        </w:rPr>
        <w:t xml:space="preserve">一、人员方面</w:t>
      </w:r>
      <w:r/>
    </w:p>
    <w:p>
      <w:pPr>
        <w:pStyle w:val="723"/>
        <w:ind w:left="550" w:firstLine="444"/>
        <w:spacing w:before="152"/>
        <w:widowControl/>
        <w:rPr>
          <w:rFonts w:ascii="仿宋" w:hAnsi="仿宋" w:eastAsia="仿宋" w:cs="仿宋"/>
          <w:color w:val="auto"/>
          <w:sz w:val="22"/>
          <w:szCs w:val="22"/>
          <w:highlight w:val="none"/>
        </w:rPr>
      </w:pPr>
      <w:r>
        <w:rPr>
          <w:rFonts w:hint="eastAsia" w:ascii="仿宋" w:hAnsi="仿宋" w:eastAsia="仿宋" w:cs="仿宋"/>
          <w:color w:val="auto"/>
          <w:spacing w:val="1"/>
          <w:sz w:val="22"/>
          <w:szCs w:val="22"/>
          <w:highlight w:val="none"/>
        </w:rPr>
        <w:t xml:space="preserve">本单位拟派遣的主要人员配备表如下：</w:t>
      </w:r>
      <w:r/>
    </w:p>
    <w:tbl>
      <w:tblPr>
        <w:tblStyle w:val="775"/>
        <w:tblW w:w="898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6"/>
        <w:gridCol w:w="1976"/>
        <w:gridCol w:w="883"/>
        <w:gridCol w:w="1602"/>
        <w:gridCol w:w="1766"/>
        <w:gridCol w:w="1908"/>
      </w:tblGrid>
      <w:tr>
        <w:trPr>
          <w:trHeight w:val="709"/>
        </w:trPr>
        <w:tc>
          <w:tcPr>
            <w:tcBorders>
              <w:top w:val="single" w:color="000000" w:sz="12" w:space="0"/>
              <w:left w:val="single" w:color="000000" w:sz="12" w:space="0"/>
            </w:tcBorders>
            <w:tcW w:w="846" w:type="dxa"/>
            <w:textDirection w:val="lrTb"/>
            <w:noWrap w:val="false"/>
          </w:tcPr>
          <w:p>
            <w:pPr>
              <w:ind w:left="143"/>
              <w:spacing w:before="229" w:line="360" w:lineRule="auto"/>
              <w:widowControl/>
              <w:rPr>
                <w:rFonts w:ascii="仿宋" w:hAnsi="仿宋" w:eastAsia="仿宋" w:cs="仿宋"/>
                <w:color w:val="auto"/>
                <w:sz w:val="24"/>
                <w:highlight w:val="none"/>
              </w:rPr>
            </w:pPr>
            <w:r>
              <w:rPr>
                <w:rFonts w:hint="eastAsia" w:ascii="仿宋" w:hAnsi="仿宋" w:eastAsia="仿宋" w:cs="仿宋"/>
                <w:b/>
                <w:bCs/>
                <w:color w:val="auto"/>
                <w:spacing w:val="1"/>
                <w:sz w:val="24"/>
                <w:highlight w:val="none"/>
              </w:rPr>
              <w:t xml:space="preserve">机构</w:t>
            </w:r>
            <w:r/>
          </w:p>
        </w:tc>
        <w:tc>
          <w:tcPr>
            <w:tcBorders>
              <w:top w:val="single" w:color="000000" w:sz="12" w:space="0"/>
            </w:tcBorders>
            <w:tcW w:w="1976" w:type="dxa"/>
            <w:textDirection w:val="lrTb"/>
            <w:noWrap w:val="false"/>
          </w:tcPr>
          <w:p>
            <w:pPr>
              <w:ind w:left="346"/>
              <w:spacing w:before="228" w:line="360" w:lineRule="auto"/>
              <w:widowControl/>
              <w:rPr>
                <w:rFonts w:ascii="仿宋" w:hAnsi="仿宋" w:eastAsia="仿宋" w:cs="仿宋"/>
                <w:color w:val="auto"/>
                <w:sz w:val="24"/>
                <w:highlight w:val="none"/>
              </w:rPr>
            </w:pPr>
            <w:r>
              <w:rPr>
                <w:rFonts w:hint="eastAsia" w:ascii="仿宋" w:hAnsi="仿宋" w:eastAsia="仿宋" w:cs="仿宋"/>
                <w:b/>
                <w:bCs/>
                <w:color w:val="auto"/>
                <w:spacing w:val="7"/>
                <w:sz w:val="24"/>
                <w:highlight w:val="none"/>
              </w:rPr>
              <w:t xml:space="preserve">项目拟任岗位</w:t>
            </w:r>
            <w:r/>
          </w:p>
        </w:tc>
        <w:tc>
          <w:tcPr>
            <w:tcBorders>
              <w:top w:val="single" w:color="000000" w:sz="12" w:space="0"/>
            </w:tcBorders>
            <w:tcW w:w="883" w:type="dxa"/>
            <w:textDirection w:val="lrTb"/>
            <w:noWrap w:val="false"/>
          </w:tcPr>
          <w:p>
            <w:pPr>
              <w:ind w:left="183"/>
              <w:spacing w:before="228" w:line="360" w:lineRule="auto"/>
              <w:widowControl/>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姓名</w:t>
            </w:r>
            <w:r/>
          </w:p>
        </w:tc>
        <w:tc>
          <w:tcPr>
            <w:tcBorders>
              <w:top w:val="single" w:color="000000" w:sz="12" w:space="0"/>
            </w:tcBorders>
            <w:tcW w:w="1602" w:type="dxa"/>
            <w:textDirection w:val="lrTb"/>
            <w:noWrap w:val="false"/>
          </w:tcPr>
          <w:p>
            <w:pPr>
              <w:ind w:left="163"/>
              <w:spacing w:before="228" w:line="360" w:lineRule="auto"/>
              <w:widowControl/>
              <w:rPr>
                <w:rFonts w:ascii="仿宋" w:hAnsi="仿宋" w:eastAsia="仿宋" w:cs="仿宋"/>
                <w:color w:val="auto"/>
                <w:sz w:val="24"/>
                <w:highlight w:val="none"/>
              </w:rPr>
            </w:pPr>
            <w:r>
              <w:rPr>
                <w:rFonts w:hint="eastAsia" w:ascii="仿宋" w:hAnsi="仿宋" w:eastAsia="仿宋" w:cs="仿宋"/>
                <w:b/>
                <w:bCs/>
                <w:color w:val="auto"/>
                <w:spacing w:val="6"/>
                <w:sz w:val="24"/>
                <w:highlight w:val="none"/>
              </w:rPr>
              <w:t xml:space="preserve">身份证号码</w:t>
            </w:r>
            <w:r/>
          </w:p>
        </w:tc>
        <w:tc>
          <w:tcPr>
            <w:tcBorders>
              <w:top w:val="single" w:color="000000" w:sz="12" w:space="0"/>
            </w:tcBorders>
            <w:tcW w:w="1766" w:type="dxa"/>
            <w:textDirection w:val="lrTb"/>
            <w:noWrap w:val="false"/>
          </w:tcPr>
          <w:p>
            <w:pPr>
              <w:ind w:left="142"/>
              <w:spacing w:before="229" w:line="360" w:lineRule="auto"/>
              <w:widowControl/>
              <w:rPr>
                <w:rFonts w:ascii="仿宋" w:hAnsi="仿宋" w:eastAsia="仿宋" w:cs="仿宋"/>
                <w:color w:val="auto"/>
                <w:sz w:val="24"/>
                <w:highlight w:val="none"/>
              </w:rPr>
            </w:pPr>
            <w:r>
              <w:rPr>
                <w:rFonts w:hint="eastAsia" w:ascii="仿宋" w:hAnsi="仿宋" w:eastAsia="仿宋" w:cs="仿宋"/>
                <w:b/>
                <w:bCs/>
                <w:color w:val="auto"/>
                <w:spacing w:val="6"/>
                <w:sz w:val="24"/>
                <w:highlight w:val="none"/>
              </w:rPr>
              <w:t xml:space="preserve">资格证书编号</w:t>
            </w:r>
            <w:r/>
          </w:p>
        </w:tc>
        <w:tc>
          <w:tcPr>
            <w:tcBorders>
              <w:top w:val="single" w:color="000000" w:sz="12" w:space="0"/>
              <w:right w:val="single" w:color="000000" w:sz="12" w:space="0"/>
            </w:tcBorders>
            <w:tcW w:w="1908" w:type="dxa"/>
            <w:textDirection w:val="lrTb"/>
            <w:noWrap w:val="false"/>
          </w:tcPr>
          <w:p>
            <w:pPr>
              <w:ind w:left="454"/>
              <w:spacing w:before="229" w:line="360" w:lineRule="auto"/>
              <w:widowControl/>
              <w:rPr>
                <w:rFonts w:ascii="仿宋" w:hAnsi="仿宋" w:eastAsia="仿宋" w:cs="仿宋"/>
                <w:color w:val="auto"/>
                <w:sz w:val="24"/>
                <w:highlight w:val="none"/>
              </w:rPr>
            </w:pPr>
            <w:r>
              <w:rPr>
                <w:rFonts w:hint="eastAsia" w:ascii="仿宋" w:hAnsi="仿宋" w:eastAsia="仿宋" w:cs="仿宋"/>
                <w:b/>
                <w:bCs/>
                <w:color w:val="auto"/>
                <w:spacing w:val="6"/>
                <w:sz w:val="24"/>
                <w:highlight w:val="none"/>
              </w:rPr>
              <w:t xml:space="preserve">联系电话</w:t>
            </w:r>
            <w:r/>
          </w:p>
        </w:tc>
      </w:tr>
      <w:tr>
        <w:trPr>
          <w:trHeight w:val="567"/>
        </w:trPr>
        <w:tc>
          <w:tcPr>
            <w:tcBorders>
              <w:left w:val="single" w:color="000000" w:sz="12" w:space="0"/>
              <w:bottom w:val="none" w:color="000000" w:sz="4" w:space="0"/>
            </w:tcBorders>
            <w:tcW w:w="846" w:type="dxa"/>
            <w:vMerge w:val="restart"/>
            <w:textDirection w:val="tbRlV"/>
            <w:noWrap w:val="false"/>
          </w:tcPr>
          <w:p>
            <w:pPr>
              <w:ind w:left="1682"/>
              <w:spacing w:before="313"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现场</w:t>
            </w:r>
            <w:r/>
          </w:p>
        </w:tc>
        <w:tc>
          <w:tcPr>
            <w:tcW w:w="1976" w:type="dxa"/>
            <w:textDirection w:val="lrTb"/>
            <w:noWrap w:val="false"/>
          </w:tcPr>
          <w:p>
            <w:pPr>
              <w:ind w:left="391"/>
              <w:spacing w:before="150" w:line="360" w:lineRule="auto"/>
              <w:widowControl/>
              <w:rPr>
                <w:rFonts w:ascii="仿宋" w:hAnsi="仿宋" w:eastAsia="仿宋" w:cs="仿宋"/>
                <w:color w:val="auto"/>
                <w:sz w:val="24"/>
                <w:highlight w:val="none"/>
              </w:rPr>
            </w:pPr>
            <w:r>
              <w:rPr>
                <w:rFonts w:hint="eastAsia" w:ascii="仿宋" w:hAnsi="仿宋" w:eastAsia="仿宋" w:cs="仿宋"/>
                <w:color w:val="auto"/>
                <w:spacing w:val="-2"/>
                <w:sz w:val="24"/>
                <w:highlight w:val="none"/>
              </w:rPr>
              <w:t xml:space="preserve">项目负责人</w:t>
            </w:r>
            <w:r/>
          </w:p>
        </w:tc>
        <w:tc>
          <w:tcPr>
            <w:tcW w:w="883"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602"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766" w:type="dxa"/>
            <w:textDirection w:val="lrTb"/>
            <w:noWrap w:val="false"/>
          </w:tcPr>
          <w:p>
            <w:pPr>
              <w:pStyle w:val="776"/>
              <w:jc w:val="center"/>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Borders>
              <w:right w:val="single" w:color="000000" w:sz="12" w:space="0"/>
            </w:tcBorders>
            <w:tcW w:w="1908"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r>
      <w:tr>
        <w:trPr>
          <w:trHeight w:val="747"/>
        </w:trPr>
        <w:tc>
          <w:tcPr>
            <w:tcBorders>
              <w:top w:val="none" w:color="000000" w:sz="4" w:space="0"/>
              <w:left w:val="single" w:color="000000" w:sz="12" w:space="0"/>
              <w:bottom w:val="none" w:color="000000" w:sz="4" w:space="0"/>
            </w:tcBorders>
            <w:tcW w:w="846" w:type="dxa"/>
            <w:vMerge w:val="continue"/>
            <w:textDirection w:val="tbRlV"/>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976" w:type="dxa"/>
            <w:textDirection w:val="lrTb"/>
            <w:noWrap w:val="false"/>
          </w:tcPr>
          <w:p>
            <w:pPr>
              <w:ind w:left="150"/>
              <w:spacing w:before="243" w:line="360" w:lineRule="auto"/>
              <w:widowControl/>
              <w:rPr>
                <w:rFonts w:ascii="仿宋" w:hAnsi="仿宋" w:eastAsia="仿宋" w:cs="仿宋"/>
                <w:color w:val="auto"/>
                <w:sz w:val="24"/>
                <w:highlight w:val="none"/>
              </w:rPr>
            </w:pPr>
            <w:r>
              <w:rPr>
                <w:rFonts w:hint="eastAsia" w:ascii="仿宋" w:hAnsi="仿宋" w:eastAsia="仿宋" w:cs="仿宋"/>
                <w:color w:val="auto"/>
                <w:spacing w:val="-2"/>
                <w:sz w:val="24"/>
                <w:highlight w:val="none"/>
              </w:rPr>
              <w:t xml:space="preserve">项目技术负责人</w:t>
            </w:r>
            <w:r/>
          </w:p>
        </w:tc>
        <w:tc>
          <w:tcPr>
            <w:tcW w:w="883"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602"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766" w:type="dxa"/>
            <w:textDirection w:val="lrTb"/>
            <w:noWrap w:val="false"/>
          </w:tcPr>
          <w:p>
            <w:pPr>
              <w:jc w:val="center"/>
              <w:spacing w:before="172"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Borders>
              <w:right w:val="single" w:color="000000" w:sz="12" w:space="0"/>
            </w:tcBorders>
            <w:tcW w:w="1908"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r>
      <w:tr>
        <w:trPr>
          <w:trHeight w:val="582"/>
        </w:trPr>
        <w:tc>
          <w:tcPr>
            <w:tcBorders>
              <w:top w:val="none" w:color="000000" w:sz="4" w:space="0"/>
              <w:left w:val="single" w:color="000000" w:sz="12" w:space="0"/>
              <w:bottom w:val="none" w:color="000000" w:sz="4" w:space="0"/>
            </w:tcBorders>
            <w:tcW w:w="846" w:type="dxa"/>
            <w:vMerge w:val="continue"/>
            <w:textDirection w:val="tbRlV"/>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976" w:type="dxa"/>
            <w:textDirection w:val="lrTb"/>
            <w:noWrap w:val="false"/>
          </w:tcPr>
          <w:p>
            <w:pPr>
              <w:ind w:left="632"/>
              <w:spacing w:before="172" w:line="360" w:lineRule="auto"/>
              <w:widowControl/>
              <w:rPr>
                <w:rFonts w:ascii="仿宋" w:hAnsi="仿宋" w:eastAsia="仿宋" w:cs="仿宋"/>
                <w:color w:val="auto"/>
                <w:sz w:val="24"/>
                <w:highlight w:val="none"/>
              </w:rPr>
            </w:pPr>
            <w:r>
              <w:rPr>
                <w:rFonts w:hint="eastAsia" w:ascii="仿宋" w:hAnsi="仿宋" w:eastAsia="仿宋" w:cs="仿宋"/>
                <w:color w:val="auto"/>
                <w:spacing w:val="-3"/>
                <w:sz w:val="24"/>
                <w:highlight w:val="none"/>
              </w:rPr>
              <w:t xml:space="preserve">安全员</w:t>
            </w:r>
            <w:r/>
          </w:p>
        </w:tc>
        <w:tc>
          <w:tcPr>
            <w:tcW w:w="883"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602"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766" w:type="dxa"/>
            <w:textDirection w:val="lrTb"/>
            <w:noWrap w:val="false"/>
          </w:tcPr>
          <w:p>
            <w:pPr>
              <w:ind w:left="632"/>
              <w:jc w:val="center"/>
              <w:spacing w:before="172" w:line="360" w:lineRule="auto"/>
              <w:widowControl/>
              <w:rPr>
                <w:rFonts w:ascii="仿宋" w:hAnsi="仿宋" w:eastAsia="仿宋" w:cs="仿宋"/>
                <w:color w:val="auto"/>
                <w:spacing w:val="-3"/>
                <w:sz w:val="24"/>
                <w:highlight w:val="none"/>
              </w:rPr>
            </w:pPr>
            <w:r>
              <w:rPr>
                <w:rFonts w:ascii="仿宋" w:hAnsi="仿宋" w:eastAsia="仿宋" w:cs="仿宋"/>
                <w:color w:val="auto"/>
                <w:spacing w:val="-3"/>
                <w:sz w:val="24"/>
                <w:highlight w:val="none"/>
              </w:rPr>
            </w:r>
            <w:r/>
          </w:p>
        </w:tc>
        <w:tc>
          <w:tcPr>
            <w:tcBorders>
              <w:right w:val="single" w:color="000000" w:sz="12" w:space="0"/>
            </w:tcBorders>
            <w:tcW w:w="1908"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r>
      <w:tr>
        <w:trPr>
          <w:trHeight w:val="656"/>
        </w:trPr>
        <w:tc>
          <w:tcPr>
            <w:tcBorders>
              <w:top w:val="none" w:color="000000" w:sz="4" w:space="0"/>
              <w:left w:val="single" w:color="000000" w:sz="12" w:space="0"/>
              <w:bottom w:val="none" w:color="000000" w:sz="4" w:space="0"/>
            </w:tcBorders>
            <w:tcW w:w="846" w:type="dxa"/>
            <w:vMerge w:val="continue"/>
            <w:textDirection w:val="tbRlV"/>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976" w:type="dxa"/>
            <w:textDirection w:val="lrTb"/>
            <w:noWrap w:val="false"/>
          </w:tcPr>
          <w:p>
            <w:pPr>
              <w:ind w:left="626"/>
              <w:spacing w:before="206" w:line="360" w:lineRule="auto"/>
              <w:widowControl/>
              <w:rPr>
                <w:rFonts w:ascii="仿宋" w:hAnsi="仿宋" w:eastAsia="仿宋" w:cs="仿宋"/>
                <w:color w:val="auto"/>
                <w:sz w:val="24"/>
                <w:highlight w:val="none"/>
              </w:rPr>
            </w:pPr>
            <w:r>
              <w:rPr>
                <w:rFonts w:hint="eastAsia" w:ascii="仿宋" w:hAnsi="仿宋" w:eastAsia="仿宋" w:cs="仿宋"/>
                <w:color w:val="auto"/>
                <w:spacing w:val="-2"/>
                <w:sz w:val="24"/>
                <w:highlight w:val="none"/>
              </w:rPr>
              <w:t xml:space="preserve">施工员</w:t>
            </w:r>
            <w:r/>
          </w:p>
        </w:tc>
        <w:tc>
          <w:tcPr>
            <w:tcW w:w="883"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602"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766" w:type="dxa"/>
            <w:textDirection w:val="lrTb"/>
            <w:noWrap w:val="false"/>
          </w:tcPr>
          <w:p>
            <w:pPr>
              <w:jc w:val="center"/>
              <w:spacing w:before="172" w:line="360" w:lineRule="auto"/>
              <w:widowControl/>
              <w:rPr>
                <w:rFonts w:ascii="仿宋" w:hAnsi="仿宋" w:eastAsia="仿宋" w:cs="仿宋"/>
                <w:color w:val="auto"/>
                <w:spacing w:val="-3"/>
                <w:sz w:val="24"/>
                <w:highlight w:val="none"/>
              </w:rPr>
            </w:pPr>
            <w:r>
              <w:rPr>
                <w:rFonts w:ascii="仿宋" w:hAnsi="仿宋" w:eastAsia="仿宋" w:cs="仿宋"/>
                <w:color w:val="auto"/>
                <w:spacing w:val="-3"/>
                <w:sz w:val="24"/>
                <w:highlight w:val="none"/>
              </w:rPr>
            </w:r>
            <w:r/>
          </w:p>
        </w:tc>
        <w:tc>
          <w:tcPr>
            <w:tcBorders>
              <w:right w:val="single" w:color="000000" w:sz="12" w:space="0"/>
            </w:tcBorders>
            <w:tcW w:w="1908"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r>
      <w:tr>
        <w:trPr>
          <w:trHeight w:val="627"/>
        </w:trPr>
        <w:tc>
          <w:tcPr>
            <w:tcBorders>
              <w:top w:val="none" w:color="000000" w:sz="4" w:space="0"/>
              <w:left w:val="single" w:color="000000" w:sz="12" w:space="0"/>
              <w:bottom w:val="none" w:color="000000" w:sz="4" w:space="0"/>
            </w:tcBorders>
            <w:tcW w:w="846" w:type="dxa"/>
            <w:vMerge w:val="continue"/>
            <w:textDirection w:val="tbRlV"/>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976" w:type="dxa"/>
            <w:textDirection w:val="lrTb"/>
            <w:noWrap w:val="false"/>
          </w:tcPr>
          <w:p>
            <w:pPr>
              <w:ind w:left="628"/>
              <w:spacing w:before="195" w:line="360" w:lineRule="auto"/>
              <w:widowControl/>
              <w:rPr>
                <w:rFonts w:ascii="仿宋" w:hAnsi="仿宋" w:eastAsia="仿宋" w:cs="仿宋"/>
                <w:color w:val="auto"/>
                <w:sz w:val="24"/>
                <w:highlight w:val="none"/>
              </w:rPr>
            </w:pPr>
            <w:r>
              <w:rPr>
                <w:rFonts w:hint="eastAsia" w:ascii="仿宋" w:hAnsi="仿宋" w:eastAsia="仿宋" w:cs="仿宋"/>
                <w:color w:val="auto"/>
                <w:spacing w:val="-3"/>
                <w:sz w:val="24"/>
                <w:highlight w:val="none"/>
              </w:rPr>
              <w:t xml:space="preserve">质检员</w:t>
            </w:r>
            <w:r/>
          </w:p>
        </w:tc>
        <w:tc>
          <w:tcPr>
            <w:tcW w:w="883"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602"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766" w:type="dxa"/>
            <w:textDirection w:val="lrTb"/>
            <w:noWrap w:val="false"/>
          </w:tcPr>
          <w:p>
            <w:pPr>
              <w:jc w:val="center"/>
              <w:spacing w:before="172" w:line="360" w:lineRule="auto"/>
              <w:widowControl/>
              <w:rPr>
                <w:rFonts w:ascii="仿宋" w:hAnsi="仿宋" w:eastAsia="仿宋" w:cs="仿宋"/>
                <w:color w:val="auto"/>
                <w:spacing w:val="-3"/>
                <w:sz w:val="24"/>
                <w:highlight w:val="none"/>
              </w:rPr>
            </w:pPr>
            <w:r>
              <w:rPr>
                <w:rFonts w:ascii="仿宋" w:hAnsi="仿宋" w:eastAsia="仿宋" w:cs="仿宋"/>
                <w:color w:val="auto"/>
                <w:spacing w:val="-3"/>
                <w:sz w:val="24"/>
                <w:highlight w:val="none"/>
              </w:rPr>
            </w:r>
            <w:r/>
          </w:p>
        </w:tc>
        <w:tc>
          <w:tcPr>
            <w:tcBorders>
              <w:right w:val="single" w:color="000000" w:sz="12" w:space="0"/>
            </w:tcBorders>
            <w:tcW w:w="1908"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r>
      <w:tr>
        <w:trPr>
          <w:trHeight w:val="612"/>
        </w:trPr>
        <w:tc>
          <w:tcPr>
            <w:tcBorders>
              <w:top w:val="none" w:color="000000" w:sz="4" w:space="0"/>
              <w:left w:val="single" w:color="000000" w:sz="12" w:space="0"/>
              <w:bottom w:val="none" w:color="000000" w:sz="4" w:space="0"/>
            </w:tcBorders>
            <w:tcW w:w="846" w:type="dxa"/>
            <w:vMerge w:val="continue"/>
            <w:textDirection w:val="tbRlV"/>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976" w:type="dxa"/>
            <w:textDirection w:val="lrTb"/>
            <w:noWrap w:val="false"/>
          </w:tcPr>
          <w:p>
            <w:pPr>
              <w:ind w:left="627"/>
              <w:spacing w:before="199" w:line="360" w:lineRule="auto"/>
              <w:widowControl/>
              <w:rPr>
                <w:rFonts w:ascii="仿宋" w:hAnsi="仿宋" w:eastAsia="仿宋" w:cs="仿宋"/>
                <w:color w:val="auto"/>
                <w:sz w:val="24"/>
                <w:highlight w:val="none"/>
              </w:rPr>
            </w:pPr>
            <w:r>
              <w:rPr>
                <w:rFonts w:hint="eastAsia" w:ascii="仿宋" w:hAnsi="仿宋" w:eastAsia="仿宋" w:cs="仿宋"/>
                <w:color w:val="auto"/>
                <w:spacing w:val="-2"/>
                <w:sz w:val="24"/>
                <w:highlight w:val="none"/>
              </w:rPr>
              <w:t xml:space="preserve">材料员</w:t>
            </w:r>
            <w:r/>
          </w:p>
        </w:tc>
        <w:tc>
          <w:tcPr>
            <w:tcW w:w="883"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602"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W w:w="1766" w:type="dxa"/>
            <w:textDirection w:val="lrTb"/>
            <w:noWrap w:val="false"/>
          </w:tcPr>
          <w:p>
            <w:pPr>
              <w:jc w:val="center"/>
              <w:spacing w:before="172" w:line="360" w:lineRule="auto"/>
              <w:widowControl/>
              <w:rPr>
                <w:rFonts w:ascii="仿宋" w:hAnsi="仿宋" w:eastAsia="仿宋" w:cs="仿宋"/>
                <w:color w:val="auto"/>
                <w:spacing w:val="-3"/>
                <w:sz w:val="24"/>
                <w:highlight w:val="none"/>
              </w:rPr>
            </w:pPr>
            <w:r>
              <w:rPr>
                <w:rFonts w:ascii="仿宋" w:hAnsi="仿宋" w:eastAsia="仿宋" w:cs="仿宋"/>
                <w:color w:val="auto"/>
                <w:spacing w:val="-3"/>
                <w:sz w:val="24"/>
                <w:highlight w:val="none"/>
              </w:rPr>
            </w:r>
            <w:r/>
          </w:p>
        </w:tc>
        <w:tc>
          <w:tcPr>
            <w:tcBorders>
              <w:right w:val="single" w:color="000000" w:sz="12" w:space="0"/>
            </w:tcBorders>
            <w:tcW w:w="1908"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r>
      <w:tr>
        <w:trPr>
          <w:trHeight w:val="679"/>
        </w:trPr>
        <w:tc>
          <w:tcPr>
            <w:tcBorders>
              <w:top w:val="none" w:color="000000" w:sz="4" w:space="0"/>
              <w:left w:val="single" w:color="000000" w:sz="12" w:space="0"/>
              <w:bottom w:val="single" w:color="000000" w:sz="12" w:space="0"/>
            </w:tcBorders>
            <w:tcW w:w="846" w:type="dxa"/>
            <w:vMerge w:val="continue"/>
            <w:textDirection w:val="tbRlV"/>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Borders>
              <w:bottom w:val="single" w:color="000000" w:sz="12" w:space="0"/>
            </w:tcBorders>
            <w:tcW w:w="1976" w:type="dxa"/>
            <w:textDirection w:val="lrTb"/>
            <w:noWrap w:val="false"/>
          </w:tcPr>
          <w:p>
            <w:pPr>
              <w:ind w:left="629"/>
              <w:spacing w:before="217" w:line="360" w:lineRule="auto"/>
              <w:widowControl/>
              <w:rPr>
                <w:rFonts w:ascii="仿宋" w:hAnsi="仿宋" w:eastAsia="仿宋" w:cs="仿宋"/>
                <w:color w:val="auto"/>
                <w:sz w:val="24"/>
                <w:highlight w:val="none"/>
              </w:rPr>
            </w:pPr>
            <w:r>
              <w:rPr>
                <w:rFonts w:hint="eastAsia" w:ascii="仿宋" w:hAnsi="仿宋" w:eastAsia="仿宋" w:cs="仿宋"/>
                <w:color w:val="auto"/>
                <w:spacing w:val="-3"/>
                <w:sz w:val="24"/>
                <w:highlight w:val="none"/>
              </w:rPr>
              <w:t xml:space="preserve">预算员</w:t>
            </w:r>
            <w:r/>
          </w:p>
        </w:tc>
        <w:tc>
          <w:tcPr>
            <w:tcBorders>
              <w:bottom w:val="single" w:color="000000" w:sz="12" w:space="0"/>
            </w:tcBorders>
            <w:tcW w:w="883"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Borders>
              <w:bottom w:val="single" w:color="000000" w:sz="12" w:space="0"/>
            </w:tcBorders>
            <w:tcW w:w="1602"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c>
          <w:tcPr>
            <w:tcBorders>
              <w:bottom w:val="single" w:color="000000" w:sz="12" w:space="0"/>
            </w:tcBorders>
            <w:tcW w:w="1766" w:type="dxa"/>
            <w:textDirection w:val="lrTb"/>
            <w:noWrap w:val="false"/>
          </w:tcPr>
          <w:p>
            <w:pPr>
              <w:ind w:left="632"/>
              <w:jc w:val="center"/>
              <w:spacing w:before="172" w:line="360" w:lineRule="auto"/>
              <w:widowControl/>
              <w:rPr>
                <w:rFonts w:ascii="仿宋" w:hAnsi="仿宋" w:eastAsia="仿宋" w:cs="仿宋"/>
                <w:color w:val="auto"/>
                <w:spacing w:val="-3"/>
                <w:sz w:val="24"/>
                <w:highlight w:val="none"/>
              </w:rPr>
            </w:pPr>
            <w:r>
              <w:rPr>
                <w:rFonts w:ascii="仿宋" w:hAnsi="仿宋" w:eastAsia="仿宋" w:cs="仿宋"/>
                <w:color w:val="auto"/>
                <w:spacing w:val="-3"/>
                <w:sz w:val="24"/>
                <w:highlight w:val="none"/>
              </w:rPr>
            </w:r>
            <w:r/>
          </w:p>
        </w:tc>
        <w:tc>
          <w:tcPr>
            <w:tcBorders>
              <w:bottom w:val="single" w:color="000000" w:sz="12" w:space="0"/>
              <w:right w:val="single" w:color="000000" w:sz="12" w:space="0"/>
            </w:tcBorders>
            <w:tcW w:w="1908" w:type="dxa"/>
            <w:textDirection w:val="lrTb"/>
            <w:noWrap w:val="false"/>
          </w:tcPr>
          <w:p>
            <w:pPr>
              <w:pStyle w:val="776"/>
              <w:spacing w:line="360" w:lineRule="auto"/>
              <w:widowControl/>
              <w:rPr>
                <w:rFonts w:ascii="仿宋" w:hAnsi="仿宋" w:eastAsia="仿宋" w:cs="仿宋"/>
                <w:color w:val="auto"/>
                <w:highlight w:val="none"/>
              </w:rPr>
            </w:pPr>
            <w:r>
              <w:rPr>
                <w:rFonts w:ascii="仿宋" w:hAnsi="仿宋" w:eastAsia="仿宋" w:cs="仿宋"/>
                <w:color w:val="auto"/>
                <w:highlight w:val="none"/>
              </w:rPr>
            </w:r>
            <w:r/>
          </w:p>
        </w:tc>
      </w:tr>
    </w:tbl>
    <w:p>
      <w:pPr>
        <w:pStyle w:val="723"/>
        <w:ind w:left="116" w:right="84" w:firstLine="448"/>
        <w:spacing w:before="31"/>
        <w:widowControl/>
        <w:rPr>
          <w:rFonts w:ascii="仿宋" w:hAnsi="仿宋" w:eastAsia="仿宋" w:cs="仿宋"/>
          <w:color w:val="auto"/>
          <w:sz w:val="22"/>
          <w:szCs w:val="22"/>
          <w:highlight w:val="none"/>
        </w:rPr>
      </w:pPr>
      <w:r>
        <w:rPr>
          <w:rFonts w:hint="eastAsia" w:ascii="仿宋" w:hAnsi="仿宋" w:eastAsia="仿宋" w:cs="仿宋"/>
          <w:color w:val="auto"/>
          <w:spacing w:val="2"/>
          <w:sz w:val="22"/>
          <w:szCs w:val="22"/>
          <w:highlight w:val="none"/>
        </w:rPr>
        <w:t xml:space="preserve">（1）响应文件中须明确拟派项目管理人员（包括但不限于项目负责</w:t>
      </w:r>
      <w:r>
        <w:rPr>
          <w:rFonts w:hint="eastAsia" w:ascii="仿宋" w:hAnsi="仿宋" w:eastAsia="仿宋" w:cs="仿宋"/>
          <w:color w:val="auto"/>
          <w:spacing w:val="1"/>
          <w:sz w:val="22"/>
          <w:szCs w:val="22"/>
          <w:highlight w:val="none"/>
        </w:rPr>
        <w:t xml:space="preserve">人、技术负责人</w:t>
      </w:r>
      <w:r>
        <w:rPr>
          <w:rFonts w:hint="eastAsia" w:ascii="仿宋" w:hAnsi="仿宋" w:eastAsia="仿宋" w:cs="仿宋"/>
          <w:color w:val="auto"/>
          <w:sz w:val="22"/>
          <w:szCs w:val="22"/>
          <w:highlight w:val="none"/>
        </w:rPr>
        <w:t xml:space="preserve">、安全员、施工员、质检员、材料员、预算员，人员不可兼岗），必须是本企业的正式在职员工并持有相应资格证书，响应文件须填写拟派项目管理人员一览表（包括姓名、拟任岗位、身份证、资格证书、手机号码（手机号码必须为本人）；采购人可在成交候选人公示期内对以上情况进行核查，如发现以上有虚假信息，则取消成交候选人资格。</w:t>
      </w:r>
      <w:r/>
    </w:p>
    <w:p>
      <w:pPr>
        <w:pStyle w:val="723"/>
        <w:ind w:left="116" w:right="84" w:firstLine="442"/>
        <w:spacing w:before="31"/>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（2）响应文件中拟派项目负责人到施工现场负责施工管理，不得更换（不可抗力除外</w:t>
      </w:r>
      <w:r>
        <w:rPr>
          <w:rFonts w:hint="eastAsia" w:ascii="仿宋" w:hAnsi="仿宋" w:eastAsia="仿宋" w:cs="仿宋"/>
          <w:b/>
          <w:bCs/>
          <w:color w:val="auto"/>
          <w:sz w:val="22"/>
          <w:szCs w:val="22"/>
          <w:highlight w:val="none"/>
        </w:rPr>
        <w:t xml:space="preserve">），响应供应商慎重考虑选择，否则视为成交人违约，采购人有权单方解除合同。若未经采购人批准，擅自更换项目经理，扣合同价10%的违约金，并整改到位。其他管理人员因身体健康、离职以及不可抗力等客观原因，确需更换的，必须得到采购人书面批准，同时报主管部门备案，且每发生一次：更换技术负责人、安全员应向采购人支付违约金人民币10万元/人；更换其他人员，应向采购人支付违约金人民币5万元/人。注： 所有更换的人员必须是本企业的正式在职员工，并且不得低于原岗位的人员具有的条件。因身体健康原因更换必须提供三甲医院相关证明材料。</w:t>
      </w:r>
      <w:r/>
    </w:p>
    <w:p>
      <w:pPr>
        <w:pStyle w:val="723"/>
        <w:ind w:left="116" w:right="84" w:firstLine="442"/>
        <w:spacing w:before="31"/>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3）所有项目管理人员只能为本项目服务，不得同时从事非采购人项目的工作，否则视为成交人违约，采购人有权单方解除合同。采购人将对成交人派驻现场的所有管理人员实施项目现场集中脸谱考勤，成交人派驻现场的项目负责人、技术负责人、安全员每人每日工作时间不少于 8 小时，并每月在工地工作的时间不少于 25 天；其他人员每人每日工作时间不少于 8 小时</w:t>
      </w:r>
      <w:r>
        <w:rPr>
          <w:rFonts w:hint="eastAsia" w:ascii="仿宋" w:hAnsi="仿宋" w:eastAsia="仿宋" w:cs="仿宋"/>
          <w:b/>
          <w:bCs/>
          <w:color w:val="auto"/>
          <w:sz w:val="22"/>
          <w:szCs w:val="22"/>
          <w:highlight w:val="none"/>
        </w:rPr>
        <w:t xml:space="preserve">，并每个月在工地工作的时间不得少于 20 天。所有管理人员如有事情离开现场必须事先以书面形式征得采购人同意，否则根据实际缺勤时间，按人民币 100 元/小时向采购人提交违约金。缺勤时间累计超过 240 小时，采购人有权随时单方解除合同，要求成交人无条件退场。项目负责人、技术负责人、安全员每缺勤一天向采购人支付人民币 3000 元违约金；其他人员每人每缺勤一天向采购人支付人民币 1000 元违约金。所有项目管理人员必须保持通讯设备 24 小时畅通，发现一次电话未接的，并且不及时回复的处罚人民币100 元/次。</w:t>
      </w:r>
      <w:r/>
    </w:p>
    <w:p>
      <w:pPr>
        <w:pStyle w:val="723"/>
        <w:ind w:left="116" w:right="84" w:firstLine="442"/>
        <w:spacing w:before="31"/>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（4）所有项目管理人员必须持证上岗，如发现不称职，采购人有权要求成交人在 3 日内调换相匹配的人员到位，成交人应无条件立即更换，如成交人未能执行，采购人有权单方解除合同，由此造成的经济损失由成交人承担。如采购人认为项目负责人，不能胜任工作并提出更换，成交人必须予以组织更换能胜任的人员，且向采购人支付违约金 30 万元；其他人员不能胜任工作并提出更换，成交人必须予以组织更换能胜任的人员，且按更换相应人员标准向采购人支付违约金，如成交人未能执行，采购人有权单方解除合同，由此造成的经济损失由我单位承担。</w:t>
      </w:r>
      <w:r/>
    </w:p>
    <w:p>
      <w:pPr>
        <w:pStyle w:val="723"/>
        <w:ind w:left="477" w:firstLine="434"/>
        <w:spacing w:before="168"/>
        <w:widowControl/>
        <w:rPr>
          <w:rFonts w:ascii="仿宋" w:hAnsi="仿宋" w:eastAsia="仿宋" w:cs="仿宋"/>
          <w:b/>
          <w:bCs/>
          <w:color w:val="auto"/>
          <w:sz w:val="22"/>
          <w:szCs w:val="22"/>
          <w:highlight w:val="none"/>
        </w:rPr>
      </w:pPr>
      <w:r>
        <w:rPr>
          <w:rFonts w:hint="eastAsia" w:ascii="仿宋" w:hAnsi="仿宋" w:eastAsia="仿宋" w:cs="仿宋"/>
          <w:b/>
          <w:bCs/>
          <w:color w:val="auto"/>
          <w:spacing w:val="-2"/>
          <w:sz w:val="22"/>
          <w:szCs w:val="22"/>
          <w:highlight w:val="none"/>
        </w:rPr>
        <w:t xml:space="preserve">二、材料、机械方面：</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（1）我单位承诺：所有材料必须按设计图纸技术要求采买崭新材料，不得使用再生骨料、碎石砂、再生料、 PVC 再生塑料管材、利旧等。如有发现则视为违约，采购人有权单方解除合同，由此造成的经济损失由我单位承担。</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（2）我单位承诺：在工程施工期间，采购人不定期组织有关专家对工程质量进行抽查，如发现已施工完成的工程中，材料、质量未达到质量标准的，有一次成交人按人民币5-10 万元/次向采购人支付违约金。项目实施过程中叫停，我单位无条件负责整改更换不达标材料，由此造成的经济损失由我单位自行承担。</w:t>
      </w:r>
      <w:r/>
    </w:p>
    <w:p>
      <w:pPr>
        <w:pStyle w:val="723"/>
        <w:ind w:left="474" w:firstLine="458"/>
        <w:spacing w:before="155"/>
        <w:widowControl/>
        <w:rPr>
          <w:rFonts w:ascii="仿宋" w:hAnsi="仿宋" w:eastAsia="仿宋" w:cs="仿宋"/>
          <w:b/>
          <w:bCs/>
          <w:color w:val="auto"/>
          <w:sz w:val="22"/>
          <w:szCs w:val="22"/>
          <w:highlight w:val="none"/>
        </w:rPr>
      </w:pPr>
      <w:r>
        <w:rPr>
          <w:rFonts w:hint="eastAsia" w:ascii="仿宋" w:hAnsi="仿宋" w:eastAsia="仿宋" w:cs="仿宋"/>
          <w:b/>
          <w:bCs/>
          <w:color w:val="auto"/>
          <w:spacing w:val="4"/>
          <w:sz w:val="22"/>
          <w:szCs w:val="22"/>
          <w:highlight w:val="none"/>
        </w:rPr>
        <w:t xml:space="preserve">三、工程进度方面</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我单位承诺：确保工程按时竣工。否则每延迟一天扣违约金 1 万元。</w:t>
      </w:r>
      <w:r/>
    </w:p>
    <w:p>
      <w:pPr>
        <w:pStyle w:val="723"/>
        <w:ind w:right="84" w:firstLine="442"/>
        <w:spacing w:before="31"/>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四、项目部临时设施设置等方面：</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（1）我单位承诺：项目部设在项目沿线附近的产权房，不得使用活动板房，且办公面积不少于 100 平方米，设置施工单位管理人员办公室、会议室、人员实名制集中脸谱考勤室（须有监控，业主代表、监理等相关部门人员手机可联网查看）等。办公室内配备必要的空调、电脑、打印机、无线网络等办公用品，相关制度、进度横道图、总平图等制图制表布置上墙，符合采购人要求。如我单位未能执行，我单位应向采购人支付违约金人民币 15 万元。</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我单位承诺：本项目所有管理人员、施工人员等工作期间都必须在人员考勤室实名制考勤，农民工工资发放以此为依据，否则由此造成的矛盾、经济损失等由成交人承担。成交人必须严格执行《江苏省工程建设领域农民工工资支付管理办法》（苏建建管 〔2016〕707 号）、《市政府办公室关于加强和完善治理拖欠农民工工资问题的通知》（皋政办发 〔2017〕152 号）等文件规定，采取有效措施保证农民工工</w:t>
      </w:r>
      <w:r>
        <w:rPr>
          <w:rFonts w:hint="eastAsia" w:ascii="仿宋" w:hAnsi="仿宋" w:eastAsia="仿宋" w:cs="仿宋"/>
          <w:color w:val="auto"/>
          <w:sz w:val="22"/>
          <w:szCs w:val="22"/>
          <w:highlight w:val="none"/>
        </w:rPr>
        <w:t xml:space="preserve">资按月足额兑付。成交人应设立“工资专用账户”，项目部应建立《员工实名制台账》，全面实行农民工实名制管理、农民工工资专用账户、银行按月代发农民工工资、施工现场农民工维权信息公示和劳资专管员等制度，严禁发放给“包工头”或其他不具备用工主体资格的组织和个人。我单位依法分包的，应按合同及时支付分包工程款，并对分包企业拖欠的农民工工资承担连带支付责任。如发生拖欠农民工工资现象，采购人有权从我单位应得工程进度款中扣除相应款项直接发给农民工本人，并处以应发款项 10%的罚款。因拖欠农民工工资而产生的一切后果由我单位承担。</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（3）我单位承诺：现场安全文明施工措施按国家、行业相关标准设置，费用按省有关文件计取，提取其中 30%用于现场考评。我单位应该确保现场安全文明施工措施费专款专用，在财务管理中单独列支，不得挪作他用。工程竣工结算时，结合现场考评结果，按市建设工程造价管理处核定的费率标准结算费用。发生一般以上质量、安全及设备事故的工程，取消现场考评费率的计取，基本费费率计取 60%。未经核定的不予计取。</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（4）我单位承诺：自备发电机组，连续停电48 小时以上的开机费用签证后进行结算，停电造成工期延误及其他费用，采购人不予签证。</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（5）我单位承诺：采购人对我单位的各项经济处罚，经工程监理签证、书面告知成交人即生效，采购人直接在我单位的履约保证金或工程款中扣除。</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（6）我单位承诺：我单位出现下列情形之一的，建设单位有权单方面解除施工合同。</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a.因承包人原因未按期开工超过 10 天；</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b.由于承包人原因造成施工质量存在缺陷；</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C.承包人未经采购人许可擅自停工；</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d.承包人出现严重安全、质量事故，或在采购人规定的整改期限内达不到整改要求或明显无法按期完工的；</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e.未经采购人同意，承包人将本工程转包或分包的；</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f.项目管理人员（包括但不限于项目负责人、技术负责人、安全员、施工员、质检员、材料员、预算员）到岗率不符合采购人要求的；</w:t>
      </w:r>
      <w:r/>
    </w:p>
    <w:p>
      <w:pPr>
        <w:pStyle w:val="723"/>
        <w:ind w:left="116" w:right="84" w:firstLine="440"/>
        <w:spacing w:before="31"/>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g.合同中规定的其他情形。</w:t>
      </w:r>
      <w:r/>
    </w:p>
    <w:p>
      <w:pPr>
        <w:spacing w:line="360" w:lineRule="auto"/>
        <w:widowControl/>
        <w:rPr>
          <w:rFonts w:ascii="仿宋" w:hAnsi="仿宋" w:eastAsia="仿宋" w:cs="仿宋"/>
          <w:color w:val="auto"/>
          <w:highlight w:val="none"/>
        </w:rPr>
      </w:pPr>
      <w:r>
        <w:rPr>
          <w:rFonts w:ascii="仿宋" w:hAnsi="仿宋" w:eastAsia="仿宋" w:cs="仿宋"/>
          <w:color w:val="auto"/>
          <w:highlight w:val="none"/>
        </w:rPr>
      </w:r>
      <w:r/>
    </w:p>
    <w:p>
      <w:pPr>
        <w:spacing w:line="360" w:lineRule="auto"/>
        <w:widowControl/>
        <w:rPr>
          <w:rFonts w:ascii="仿宋" w:hAnsi="仿宋" w:eastAsia="仿宋" w:cs="仿宋"/>
          <w:color w:val="auto"/>
          <w:highlight w:val="none"/>
        </w:rPr>
      </w:pPr>
      <w:r>
        <w:rPr>
          <w:rFonts w:ascii="仿宋" w:hAnsi="仿宋" w:eastAsia="仿宋" w:cs="仿宋"/>
          <w:color w:val="auto"/>
          <w:highlight w:val="none"/>
        </w:rPr>
      </w:r>
      <w:r/>
    </w:p>
    <w:p>
      <w:pPr>
        <w:spacing w:line="360" w:lineRule="auto"/>
        <w:widowControl/>
        <w:rPr>
          <w:rFonts w:ascii="仿宋" w:hAnsi="仿宋" w:eastAsia="仿宋" w:cs="仿宋"/>
          <w:color w:val="auto"/>
          <w:highlight w:val="none"/>
        </w:rPr>
      </w:pPr>
      <w:r>
        <w:rPr>
          <w:rFonts w:ascii="仿宋" w:hAnsi="仿宋" w:eastAsia="仿宋" w:cs="仿宋"/>
          <w:color w:val="auto"/>
          <w:highlight w:val="none"/>
        </w:rPr>
      </w:r>
      <w:r/>
    </w:p>
    <w:p>
      <w:pPr>
        <w:spacing w:line="360"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p>
      <w:pPr>
        <w:pStyle w:val="723"/>
        <w:ind w:left="3597" w:firstLine="460"/>
        <w:spacing w:before="69"/>
        <w:widowControl/>
        <w:rPr>
          <w:rFonts w:ascii="仿宋" w:hAnsi="仿宋" w:eastAsia="仿宋" w:cs="仿宋"/>
          <w:color w:val="auto"/>
          <w:szCs w:val="24"/>
          <w:highlight w:val="none"/>
        </w:rPr>
      </w:pPr>
      <w:r>
        <w:rPr>
          <w:rFonts w:hint="eastAsia" w:ascii="仿宋" w:hAnsi="仿宋" w:eastAsia="仿宋" w:cs="仿宋"/>
          <w:color w:val="auto"/>
          <w:spacing w:val="-5"/>
          <w:szCs w:val="24"/>
          <w:highlight w:val="none"/>
        </w:rPr>
        <w:t xml:space="preserve">承诺单位（盖法人章</w:t>
      </w:r>
      <w:r>
        <w:rPr>
          <w:rFonts w:hint="eastAsia" w:ascii="仿宋" w:hAnsi="仿宋" w:eastAsia="仿宋" w:cs="仿宋"/>
          <w:color w:val="auto"/>
          <w:spacing w:val="-2"/>
          <w:szCs w:val="24"/>
          <w:highlight w:val="none"/>
        </w:rPr>
        <w:t xml:space="preserve">）：</w:t>
      </w:r>
      <w:r/>
    </w:p>
    <w:p>
      <w:pPr>
        <w:spacing w:line="360"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p>
      <w:pPr>
        <w:pStyle w:val="723"/>
        <w:ind w:left="3598" w:firstLine="468"/>
        <w:spacing w:before="70"/>
        <w:widowControl/>
        <w:rPr>
          <w:rFonts w:ascii="仿宋" w:hAnsi="仿宋" w:eastAsia="仿宋" w:cs="仿宋"/>
          <w:color w:val="auto"/>
          <w:szCs w:val="24"/>
          <w:highlight w:val="none"/>
        </w:rPr>
      </w:pPr>
      <w:r>
        <w:rPr>
          <w:rFonts w:hint="eastAsia" w:ascii="仿宋" w:hAnsi="仿宋" w:eastAsia="仿宋" w:cs="仿宋"/>
          <w:color w:val="auto"/>
          <w:spacing w:val="-3"/>
          <w:szCs w:val="24"/>
          <w:highlight w:val="none"/>
        </w:rPr>
        <w:t xml:space="preserve">法定代表人或授权</w:t>
      </w:r>
      <w:r>
        <w:rPr>
          <w:rFonts w:hint="eastAsia" w:ascii="仿宋" w:hAnsi="仿宋" w:eastAsia="仿宋" w:cs="仿宋"/>
          <w:color w:val="auto"/>
          <w:spacing w:val="-3"/>
          <w:szCs w:val="24"/>
          <w:highlight w:val="none"/>
        </w:rPr>
        <w:t xml:space="preserve">代理</w:t>
      </w:r>
      <w:r>
        <w:rPr>
          <w:rFonts w:hint="eastAsia" w:ascii="仿宋" w:hAnsi="仿宋" w:eastAsia="仿宋" w:cs="仿宋"/>
          <w:color w:val="auto"/>
          <w:spacing w:val="-3"/>
          <w:szCs w:val="24"/>
          <w:highlight w:val="none"/>
        </w:rPr>
        <w:t xml:space="preserve">人（签字或盖章</w:t>
      </w:r>
      <w:r>
        <w:rPr>
          <w:rFonts w:hint="eastAsia" w:ascii="仿宋" w:hAnsi="仿宋" w:eastAsia="仿宋" w:cs="仿宋"/>
          <w:color w:val="auto"/>
          <w:spacing w:val="2"/>
          <w:szCs w:val="24"/>
          <w:highlight w:val="none"/>
        </w:rPr>
        <w:t xml:space="preserve">）：</w:t>
      </w:r>
      <w:r/>
    </w:p>
    <w:p>
      <w:pPr>
        <w:pStyle w:val="723"/>
        <w:ind w:left="4700" w:firstLine="380"/>
        <w:spacing w:before="292"/>
        <w:widowControl/>
        <w:rPr>
          <w:rFonts w:ascii="仿宋" w:hAnsi="仿宋" w:eastAsia="仿宋" w:cs="仿宋"/>
          <w:color w:val="auto"/>
          <w:szCs w:val="24"/>
          <w:highlight w:val="none"/>
        </w:rPr>
      </w:pPr>
      <w:r>
        <w:rPr>
          <w:rFonts w:hint="eastAsia" w:ascii="仿宋" w:hAnsi="仿宋" w:eastAsia="仿宋" w:cs="仿宋"/>
          <w:color w:val="auto"/>
          <w:spacing w:val="-25"/>
          <w:szCs w:val="24"/>
          <w:highlight w:val="none"/>
        </w:rPr>
        <w:t xml:space="preserve">日期：</w:t>
      </w:r>
      <w:r/>
    </w:p>
    <w:p>
      <w:pPr>
        <w:spacing w:line="299" w:lineRule="auto"/>
        <w:rPr>
          <w:rFonts w:ascii="Arial"/>
          <w:color w:val="auto"/>
          <w:highlight w:val="none"/>
        </w:rPr>
      </w:pPr>
      <w:r>
        <w:rPr>
          <w:rFonts w:ascii="Arial"/>
          <w:color w:val="auto"/>
          <w:highlight w:val="none"/>
        </w:rPr>
      </w:r>
      <w:r/>
    </w:p>
    <w:p>
      <w:pPr>
        <w:pStyle w:val="726"/>
        <w:ind w:left="1680"/>
        <w:rPr>
          <w:color w:val="auto"/>
          <w:highlight w:val="none"/>
        </w:rPr>
      </w:pPr>
      <w:r>
        <w:rPr>
          <w:color w:val="auto"/>
          <w:highlight w:val="none"/>
        </w:rPr>
      </w:r>
      <w:r/>
    </w:p>
    <w:p>
      <w:pPr>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文鼎CS楷体">
    <w:panose1 w:val="020B0503020202020204"/>
  </w:font>
  <w:font w:name="Calibri">
    <w:panose1 w:val="020F0502020204030204"/>
  </w:font>
  <w:font w:name="Cambria">
    <w:panose1 w:val="0204050305040603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4"/>
                          </w:pPr>
                          <w:r>
                            <w:fldChar w:fldCharType="begin"/>
                          </w:r>
                          <w:r>
                            <w:instrText xml:space="preserve"> PAGE  \* MERGEFORMAT </w:instrText>
                          </w:r>
                          <w:r>
                            <w:fldChar w:fldCharType="separate"/>
                          </w:r>
                          <w:r>
                            <w:t xml:space="preserve">33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4"/>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4"/>
                          </w:pPr>
                          <w:r>
                            <w:fldChar w:fldCharType="begin"/>
                          </w:r>
                          <w:r>
                            <w:instrText xml:space="preserve"> PAGE  \* MERGEFORMAT </w:instrText>
                          </w:r>
                          <w:r>
                            <w:fldChar w:fldCharType="separate"/>
                          </w:r>
                          <w:r>
                            <w:t xml:space="preserve">60</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4"/>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41"/>
      </w:rPr>
      <w:framePr w:wrap="around" w:vAnchor="text" w:hAnchor="margin" w:xAlign="center" w:y="1"/>
    </w:pPr>
    <w:r>
      <w:fldChar w:fldCharType="begin"/>
    </w:r>
    <w:r>
      <w:rPr>
        <w:rStyle w:val="741"/>
      </w:rPr>
      <w:instrText xml:space="preserve">PAGE  </w:instrText>
    </w:r>
    <w:r>
      <w:fldChar w:fldCharType="end"/>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Pr>
        <w:rFonts w:hint="eastAsia"/>
      </w:rPr>
      <w:t xml:space="preserve">如</w:t>
    </w:r>
    <w:r>
      <w:t xml:space="preserve">皋市政府采购</w:t>
    </w:r>
    <w:r>
      <w:rPr>
        <w:rFonts w:hint="eastAsia"/>
      </w:rPr>
      <w:t xml:space="preserve">竞争性磋商</w:t>
    </w:r>
    <w: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1"/>
    <w:link w:val="717"/>
    <w:uiPriority w:val="9"/>
    <w:rPr>
      <w:rFonts w:ascii="Arial" w:hAnsi="Arial" w:eastAsia="Arial" w:cs="Arial"/>
      <w:sz w:val="40"/>
      <w:szCs w:val="40"/>
    </w:rPr>
  </w:style>
  <w:style w:type="character" w:styleId="15">
    <w:name w:val="Heading 2 Char"/>
    <w:basedOn w:val="721"/>
    <w:link w:val="718"/>
    <w:uiPriority w:val="9"/>
    <w:rPr>
      <w:rFonts w:ascii="Arial" w:hAnsi="Arial" w:eastAsia="Arial" w:cs="Arial"/>
      <w:sz w:val="34"/>
    </w:rPr>
  </w:style>
  <w:style w:type="character" w:styleId="17">
    <w:name w:val="Heading 3 Char"/>
    <w:basedOn w:val="721"/>
    <w:link w:val="719"/>
    <w:uiPriority w:val="9"/>
    <w:rPr>
      <w:rFonts w:ascii="Arial" w:hAnsi="Arial" w:eastAsia="Arial" w:cs="Arial"/>
      <w:sz w:val="30"/>
      <w:szCs w:val="30"/>
    </w:rPr>
  </w:style>
  <w:style w:type="character" w:styleId="19">
    <w:name w:val="Heading 4 Char"/>
    <w:basedOn w:val="721"/>
    <w:link w:val="720"/>
    <w:uiPriority w:val="9"/>
    <w:rPr>
      <w:rFonts w:ascii="Arial" w:hAnsi="Arial" w:eastAsia="Arial" w:cs="Arial"/>
      <w:b/>
      <w:bCs/>
      <w:sz w:val="26"/>
      <w:szCs w:val="26"/>
    </w:rPr>
  </w:style>
  <w:style w:type="paragraph" w:styleId="20">
    <w:name w:val="Heading 5"/>
    <w:basedOn w:val="716"/>
    <w:next w:val="7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1"/>
    <w:link w:val="20"/>
    <w:uiPriority w:val="9"/>
    <w:rPr>
      <w:rFonts w:ascii="Arial" w:hAnsi="Arial" w:eastAsia="Arial" w:cs="Arial"/>
      <w:b/>
      <w:bCs/>
      <w:sz w:val="24"/>
      <w:szCs w:val="24"/>
    </w:rPr>
  </w:style>
  <w:style w:type="paragraph" w:styleId="22">
    <w:name w:val="Heading 6"/>
    <w:basedOn w:val="716"/>
    <w:next w:val="7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1"/>
    <w:link w:val="22"/>
    <w:uiPriority w:val="9"/>
    <w:rPr>
      <w:rFonts w:ascii="Arial" w:hAnsi="Arial" w:eastAsia="Arial" w:cs="Arial"/>
      <w:b/>
      <w:bCs/>
      <w:sz w:val="22"/>
      <w:szCs w:val="22"/>
    </w:rPr>
  </w:style>
  <w:style w:type="paragraph" w:styleId="24">
    <w:name w:val="Heading 7"/>
    <w:basedOn w:val="716"/>
    <w:next w:val="7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1"/>
    <w:link w:val="24"/>
    <w:uiPriority w:val="9"/>
    <w:rPr>
      <w:rFonts w:ascii="Arial" w:hAnsi="Arial" w:eastAsia="Arial" w:cs="Arial"/>
      <w:b/>
      <w:bCs/>
      <w:i/>
      <w:iCs/>
      <w:sz w:val="22"/>
      <w:szCs w:val="22"/>
    </w:rPr>
  </w:style>
  <w:style w:type="paragraph" w:styleId="26">
    <w:name w:val="Heading 8"/>
    <w:basedOn w:val="716"/>
    <w:next w:val="7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1"/>
    <w:link w:val="26"/>
    <w:uiPriority w:val="9"/>
    <w:rPr>
      <w:rFonts w:ascii="Arial" w:hAnsi="Arial" w:eastAsia="Arial" w:cs="Arial"/>
      <w:i/>
      <w:iCs/>
      <w:sz w:val="22"/>
      <w:szCs w:val="22"/>
    </w:rPr>
  </w:style>
  <w:style w:type="paragraph" w:styleId="28">
    <w:name w:val="Heading 9"/>
    <w:basedOn w:val="716"/>
    <w:next w:val="7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6"/>
    <w:next w:val="716"/>
    <w:link w:val="34"/>
    <w:uiPriority w:val="10"/>
    <w:qFormat/>
    <w:pPr>
      <w:contextualSpacing/>
      <w:spacing w:before="300" w:after="200"/>
    </w:pPr>
    <w:rPr>
      <w:sz w:val="48"/>
      <w:szCs w:val="48"/>
    </w:rPr>
  </w:style>
  <w:style w:type="character" w:styleId="34">
    <w:name w:val="Title Char"/>
    <w:basedOn w:val="721"/>
    <w:link w:val="33"/>
    <w:uiPriority w:val="10"/>
    <w:rPr>
      <w:sz w:val="48"/>
      <w:szCs w:val="48"/>
    </w:rPr>
  </w:style>
  <w:style w:type="paragraph" w:styleId="35">
    <w:name w:val="Subtitle"/>
    <w:basedOn w:val="716"/>
    <w:next w:val="716"/>
    <w:link w:val="36"/>
    <w:uiPriority w:val="11"/>
    <w:qFormat/>
    <w:pPr>
      <w:spacing w:before="200" w:after="200"/>
    </w:pPr>
    <w:rPr>
      <w:sz w:val="24"/>
      <w:szCs w:val="24"/>
    </w:rPr>
  </w:style>
  <w:style w:type="character" w:styleId="36">
    <w:name w:val="Subtitle Char"/>
    <w:basedOn w:val="721"/>
    <w:link w:val="35"/>
    <w:uiPriority w:val="11"/>
    <w:rPr>
      <w:sz w:val="24"/>
      <w:szCs w:val="24"/>
    </w:rPr>
  </w:style>
  <w:style w:type="paragraph" w:styleId="37">
    <w:name w:val="Quote"/>
    <w:basedOn w:val="716"/>
    <w:next w:val="716"/>
    <w:link w:val="38"/>
    <w:uiPriority w:val="29"/>
    <w:qFormat/>
    <w:pPr>
      <w:ind w:left="720" w:right="720"/>
    </w:pPr>
    <w:rPr>
      <w:i/>
    </w:rPr>
  </w:style>
  <w:style w:type="character" w:styleId="38">
    <w:name w:val="Quote Char"/>
    <w:link w:val="37"/>
    <w:uiPriority w:val="29"/>
    <w:rPr>
      <w:i/>
    </w:rPr>
  </w:style>
  <w:style w:type="paragraph" w:styleId="39">
    <w:name w:val="Intense Quote"/>
    <w:basedOn w:val="716"/>
    <w:next w:val="7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1"/>
    <w:link w:val="735"/>
    <w:uiPriority w:val="99"/>
  </w:style>
  <w:style w:type="character" w:styleId="44">
    <w:name w:val="Footer Char"/>
    <w:basedOn w:val="721"/>
    <w:link w:val="734"/>
    <w:uiPriority w:val="99"/>
  </w:style>
  <w:style w:type="paragraph" w:styleId="45">
    <w:name w:val="Caption"/>
    <w:basedOn w:val="716"/>
    <w:next w:val="716"/>
    <w:uiPriority w:val="35"/>
    <w:semiHidden/>
    <w:unhideWhenUsed/>
    <w:qFormat/>
    <w:pPr>
      <w:spacing w:line="276" w:lineRule="auto"/>
    </w:pPr>
    <w:rPr>
      <w:b/>
      <w:bCs/>
      <w:color w:val="4f81bd" w:themeColor="accent1"/>
      <w:sz w:val="18"/>
      <w:szCs w:val="18"/>
    </w:rPr>
  </w:style>
  <w:style w:type="character" w:styleId="46">
    <w:name w:val="Caption Char"/>
    <w:basedOn w:val="45"/>
    <w:link w:val="734"/>
    <w:uiPriority w:val="99"/>
  </w:style>
  <w:style w:type="table" w:styleId="48">
    <w:name w:val="Table Grid Light"/>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36"/>
    <w:uiPriority w:val="99"/>
    <w:rPr>
      <w:sz w:val="18"/>
    </w:rPr>
  </w:style>
  <w:style w:type="character" w:styleId="176">
    <w:name w:val="footnote reference"/>
    <w:basedOn w:val="721"/>
    <w:uiPriority w:val="99"/>
    <w:unhideWhenUsed/>
    <w:rPr>
      <w:vertAlign w:val="superscript"/>
    </w:rPr>
  </w:style>
  <w:style w:type="paragraph" w:styleId="177">
    <w:name w:val="endnote text"/>
    <w:basedOn w:val="7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1"/>
    <w:uiPriority w:val="99"/>
    <w:semiHidden/>
    <w:unhideWhenUsed/>
    <w:rPr>
      <w:vertAlign w:val="superscript"/>
    </w:rPr>
  </w:style>
  <w:style w:type="paragraph" w:styleId="180">
    <w:name w:val="toc 1"/>
    <w:basedOn w:val="716"/>
    <w:next w:val="716"/>
    <w:uiPriority w:val="39"/>
    <w:unhideWhenUsed/>
    <w:pPr>
      <w:ind w:left="0" w:right="0" w:firstLine="0"/>
      <w:spacing w:after="57"/>
    </w:pPr>
  </w:style>
  <w:style w:type="paragraph" w:styleId="181">
    <w:name w:val="toc 2"/>
    <w:basedOn w:val="716"/>
    <w:next w:val="716"/>
    <w:uiPriority w:val="39"/>
    <w:unhideWhenUsed/>
    <w:pPr>
      <w:ind w:left="283" w:right="0" w:firstLine="0"/>
      <w:spacing w:after="57"/>
    </w:pPr>
  </w:style>
  <w:style w:type="paragraph" w:styleId="182">
    <w:name w:val="toc 3"/>
    <w:basedOn w:val="716"/>
    <w:next w:val="716"/>
    <w:uiPriority w:val="39"/>
    <w:unhideWhenUsed/>
    <w:pPr>
      <w:ind w:left="567" w:right="0" w:firstLine="0"/>
      <w:spacing w:after="57"/>
    </w:pPr>
  </w:style>
  <w:style w:type="paragraph" w:styleId="183">
    <w:name w:val="toc 4"/>
    <w:basedOn w:val="716"/>
    <w:next w:val="716"/>
    <w:uiPriority w:val="39"/>
    <w:unhideWhenUsed/>
    <w:pPr>
      <w:ind w:left="850" w:right="0" w:firstLine="0"/>
      <w:spacing w:after="57"/>
    </w:pPr>
  </w:style>
  <w:style w:type="paragraph" w:styleId="184">
    <w:name w:val="toc 5"/>
    <w:basedOn w:val="716"/>
    <w:next w:val="716"/>
    <w:uiPriority w:val="39"/>
    <w:unhideWhenUsed/>
    <w:pPr>
      <w:ind w:left="1134" w:right="0" w:firstLine="0"/>
      <w:spacing w:after="57"/>
    </w:pPr>
  </w:style>
  <w:style w:type="paragraph" w:styleId="185">
    <w:name w:val="toc 6"/>
    <w:basedOn w:val="716"/>
    <w:next w:val="716"/>
    <w:uiPriority w:val="39"/>
    <w:unhideWhenUsed/>
    <w:pPr>
      <w:ind w:left="1417" w:right="0" w:firstLine="0"/>
      <w:spacing w:after="57"/>
    </w:pPr>
  </w:style>
  <w:style w:type="paragraph" w:styleId="186">
    <w:name w:val="toc 7"/>
    <w:basedOn w:val="716"/>
    <w:next w:val="716"/>
    <w:uiPriority w:val="39"/>
    <w:unhideWhenUsed/>
    <w:pPr>
      <w:ind w:left="1701" w:right="0" w:firstLine="0"/>
      <w:spacing w:after="57"/>
    </w:pPr>
  </w:style>
  <w:style w:type="paragraph" w:styleId="187">
    <w:name w:val="toc 8"/>
    <w:basedOn w:val="716"/>
    <w:next w:val="716"/>
    <w:uiPriority w:val="39"/>
    <w:unhideWhenUsed/>
    <w:pPr>
      <w:ind w:left="1984" w:right="0" w:firstLine="0"/>
      <w:spacing w:after="57"/>
    </w:pPr>
  </w:style>
  <w:style w:type="paragraph" w:styleId="188">
    <w:name w:val="toc 9"/>
    <w:basedOn w:val="716"/>
    <w:next w:val="7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6"/>
    <w:next w:val="716"/>
    <w:uiPriority w:val="99"/>
    <w:unhideWhenUsed/>
    <w:pPr>
      <w:spacing w:after="0" w:afterAutospacing="0"/>
    </w:pPr>
  </w:style>
  <w:style w:type="paragraph" w:styleId="716" w:default="1">
    <w:name w:val="Normal"/>
    <w:next w:val="723"/>
    <w:uiPriority w:val="0"/>
    <w:qFormat/>
    <w:pPr>
      <w:jc w:val="both"/>
      <w:widowControl w:val="off"/>
    </w:pPr>
    <w:rPr>
      <w:rFonts w:ascii="Times New Roman" w:hAnsi="Times New Roman" w:eastAsia="宋体" w:cs="Times New Roman"/>
      <w:sz w:val="21"/>
      <w:szCs w:val="24"/>
      <w:lang w:val="en-US" w:eastAsia="zh-CN" w:bidi="ar-SA"/>
    </w:rPr>
  </w:style>
  <w:style w:type="paragraph" w:styleId="717">
    <w:name w:val="Heading 1"/>
    <w:basedOn w:val="716"/>
    <w:next w:val="716"/>
    <w:uiPriority w:val="0"/>
    <w:qFormat/>
    <w:pPr>
      <w:keepLines/>
      <w:keepNext/>
      <w:spacing w:before="340" w:after="330" w:line="578" w:lineRule="auto"/>
      <w:outlineLvl w:val="0"/>
    </w:pPr>
    <w:rPr>
      <w:b/>
      <w:bCs/>
      <w:sz w:val="44"/>
      <w:szCs w:val="44"/>
    </w:rPr>
  </w:style>
  <w:style w:type="paragraph" w:styleId="718">
    <w:name w:val="Heading 2"/>
    <w:basedOn w:val="716"/>
    <w:next w:val="716"/>
    <w:link w:val="763"/>
    <w:uiPriority w:val="0"/>
    <w:qFormat/>
    <w:pPr>
      <w:keepLines/>
      <w:keepNext/>
      <w:spacing w:before="260" w:after="260" w:line="416" w:lineRule="auto"/>
      <w:outlineLvl w:val="1"/>
    </w:pPr>
    <w:rPr>
      <w:rFonts w:ascii="Arial" w:hAnsi="Arial" w:eastAsia="黑体"/>
      <w:b/>
      <w:bCs/>
      <w:sz w:val="32"/>
      <w:szCs w:val="32"/>
    </w:rPr>
  </w:style>
  <w:style w:type="paragraph" w:styleId="719">
    <w:name w:val="Heading 3"/>
    <w:basedOn w:val="716"/>
    <w:next w:val="725"/>
    <w:link w:val="748"/>
    <w:uiPriority w:val="0"/>
    <w:qFormat/>
    <w:pPr>
      <w:keepLines/>
      <w:keepNext/>
      <w:spacing w:before="260" w:after="260" w:line="416" w:lineRule="auto"/>
      <w:outlineLvl w:val="2"/>
    </w:pPr>
    <w:rPr>
      <w:b/>
      <w:sz w:val="32"/>
      <w:szCs w:val="20"/>
    </w:rPr>
  </w:style>
  <w:style w:type="paragraph" w:styleId="720">
    <w:name w:val="Heading 4"/>
    <w:basedOn w:val="716"/>
    <w:next w:val="716"/>
    <w:link w:val="749"/>
    <w:uiPriority w:val="0"/>
    <w:qFormat/>
    <w:pPr>
      <w:keepLines/>
      <w:keepNext/>
      <w:spacing w:before="280" w:after="290" w:line="376" w:lineRule="auto"/>
      <w:outlineLvl w:val="3"/>
    </w:pPr>
    <w:rPr>
      <w:rFonts w:ascii="Arial" w:hAnsi="Arial" w:eastAsia="黑体"/>
      <w:sz w:val="28"/>
      <w:szCs w:val="28"/>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Body Text"/>
    <w:basedOn w:val="716"/>
    <w:next w:val="724"/>
    <w:uiPriority w:val="0"/>
    <w:qFormat/>
    <w:pPr>
      <w:ind w:firstLine="560"/>
      <w:jc w:val="left"/>
      <w:spacing w:line="360" w:lineRule="auto"/>
    </w:pPr>
    <w:rPr>
      <w:rFonts w:ascii="宋体" w:hAnsi="宋体"/>
      <w:sz w:val="24"/>
      <w:szCs w:val="28"/>
    </w:rPr>
  </w:style>
  <w:style w:type="paragraph" w:styleId="724">
    <w:name w:val="Body Text First Indent"/>
    <w:basedOn w:val="723"/>
    <w:next w:val="716"/>
    <w:uiPriority w:val="99"/>
    <w:qFormat/>
    <w:pPr>
      <w:ind w:firstLine="420"/>
    </w:pPr>
    <w:rPr>
      <w:rFonts w:eastAsia="楷体_GB2312"/>
    </w:rPr>
  </w:style>
  <w:style w:type="paragraph" w:styleId="725">
    <w:name w:val="Normal Indent"/>
    <w:basedOn w:val="716"/>
    <w:link w:val="754"/>
    <w:uiPriority w:val="0"/>
    <w:qFormat/>
    <w:pPr>
      <w:ind w:firstLine="420"/>
    </w:pPr>
  </w:style>
  <w:style w:type="paragraph" w:styleId="726">
    <w:name w:val="index 5"/>
    <w:basedOn w:val="716"/>
    <w:next w:val="716"/>
    <w:uiPriority w:val="0"/>
    <w:qFormat/>
    <w:pPr>
      <w:ind w:left="800"/>
    </w:pPr>
  </w:style>
  <w:style w:type="paragraph" w:styleId="727">
    <w:name w:val="Document Map"/>
    <w:basedOn w:val="716"/>
    <w:uiPriority w:val="0"/>
    <w:semiHidden/>
    <w:qFormat/>
    <w:pPr>
      <w:shd w:val="clear" w:color="auto" w:fill="000080"/>
    </w:pPr>
  </w:style>
  <w:style w:type="paragraph" w:styleId="728">
    <w:name w:val="annotation text"/>
    <w:basedOn w:val="716"/>
    <w:uiPriority w:val="0"/>
    <w:qFormat/>
    <w:pPr>
      <w:jc w:val="left"/>
    </w:pPr>
  </w:style>
  <w:style w:type="paragraph" w:styleId="729">
    <w:name w:val="Body Text Indent"/>
    <w:basedOn w:val="716"/>
    <w:uiPriority w:val="0"/>
    <w:qFormat/>
    <w:pPr>
      <w:ind w:left="420"/>
      <w:spacing w:after="120"/>
    </w:pPr>
  </w:style>
  <w:style w:type="paragraph" w:styleId="730">
    <w:name w:val="Plain Text"/>
    <w:basedOn w:val="716"/>
    <w:link w:val="753"/>
    <w:uiPriority w:val="0"/>
    <w:qFormat/>
    <w:pPr>
      <w:jc w:val="left"/>
      <w:spacing w:after="200" w:line="252" w:lineRule="auto"/>
      <w:widowControl/>
    </w:pPr>
    <w:rPr>
      <w:rFonts w:ascii="宋体" w:hAnsi="Courier New"/>
      <w:szCs w:val="20"/>
    </w:rPr>
  </w:style>
  <w:style w:type="paragraph" w:styleId="731">
    <w:name w:val="Date"/>
    <w:basedOn w:val="716"/>
    <w:next w:val="716"/>
    <w:link w:val="744"/>
    <w:uiPriority w:val="0"/>
    <w:qFormat/>
    <w:rPr>
      <w:sz w:val="24"/>
      <w:szCs w:val="20"/>
    </w:rPr>
  </w:style>
  <w:style w:type="paragraph" w:styleId="732">
    <w:name w:val="Body Text Indent 2"/>
    <w:basedOn w:val="716"/>
    <w:uiPriority w:val="0"/>
    <w:qFormat/>
    <w:pPr>
      <w:ind w:left="420"/>
      <w:spacing w:after="120" w:line="480" w:lineRule="auto"/>
    </w:pPr>
  </w:style>
  <w:style w:type="paragraph" w:styleId="733">
    <w:name w:val="Balloon Text"/>
    <w:basedOn w:val="716"/>
    <w:link w:val="746"/>
    <w:uiPriority w:val="0"/>
    <w:qFormat/>
    <w:rPr>
      <w:sz w:val="18"/>
      <w:szCs w:val="18"/>
    </w:rPr>
  </w:style>
  <w:style w:type="paragraph" w:styleId="734">
    <w:name w:val="Footer"/>
    <w:basedOn w:val="716"/>
    <w:uiPriority w:val="0"/>
    <w:qFormat/>
    <w:pPr>
      <w:jc w:val="left"/>
      <w:tabs>
        <w:tab w:val="center" w:pos="4153" w:leader="none"/>
        <w:tab w:val="right" w:pos="8306" w:leader="none"/>
      </w:tabs>
    </w:pPr>
    <w:rPr>
      <w:sz w:val="18"/>
      <w:szCs w:val="18"/>
    </w:rPr>
  </w:style>
  <w:style w:type="paragraph" w:styleId="735">
    <w:name w:val="Header"/>
    <w:basedOn w:val="716"/>
    <w:link w:val="755"/>
    <w:uiPriority w:val="99"/>
    <w:qFormat/>
    <w:pPr>
      <w:jc w:val="center"/>
      <w:tabs>
        <w:tab w:val="center" w:pos="4153" w:leader="none"/>
        <w:tab w:val="right" w:pos="8306" w:leader="none"/>
      </w:tabs>
      <w:pBdr>
        <w:bottom w:val="single" w:color="auto" w:sz="6" w:space="1"/>
      </w:pBdr>
    </w:pPr>
    <w:rPr>
      <w:sz w:val="18"/>
      <w:szCs w:val="18"/>
    </w:rPr>
  </w:style>
  <w:style w:type="paragraph" w:styleId="736">
    <w:name w:val="footnote text"/>
    <w:basedOn w:val="716"/>
    <w:next w:val="726"/>
    <w:uiPriority w:val="0"/>
    <w:qFormat/>
    <w:pPr>
      <w:jc w:val="left"/>
      <w:spacing w:line="312" w:lineRule="atLeast"/>
    </w:pPr>
    <w:rPr>
      <w:sz w:val="18"/>
      <w:szCs w:val="22"/>
    </w:rPr>
  </w:style>
  <w:style w:type="paragraph" w:styleId="737">
    <w:name w:val="Body Text Indent 3"/>
    <w:basedOn w:val="716"/>
    <w:link w:val="745"/>
    <w:uiPriority w:val="0"/>
    <w:qFormat/>
    <w:pPr>
      <w:ind w:left="420"/>
      <w:spacing w:after="120"/>
    </w:pPr>
    <w:rPr>
      <w:sz w:val="16"/>
      <w:szCs w:val="16"/>
    </w:rPr>
  </w:style>
  <w:style w:type="paragraph" w:styleId="738">
    <w:name w:val="Normal (Web)"/>
    <w:basedOn w:val="716"/>
    <w:uiPriority w:val="99"/>
    <w:unhideWhenUsed/>
    <w:qFormat/>
    <w:pPr>
      <w:jc w:val="left"/>
      <w:spacing w:before="100" w:beforeAutospacing="1" w:after="100" w:afterAutospacing="1"/>
      <w:widowControl/>
    </w:pPr>
    <w:rPr>
      <w:rFonts w:ascii="宋体" w:hAnsi="宋体" w:cs="宋体"/>
      <w:sz w:val="24"/>
    </w:rPr>
  </w:style>
  <w:style w:type="table" w:styleId="739">
    <w:name w:val="Table Grid"/>
    <w:basedOn w:val="7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21"/>
    <w:uiPriority w:val="22"/>
    <w:qFormat/>
    <w:rPr>
      <w:b/>
      <w:bCs/>
    </w:rPr>
  </w:style>
  <w:style w:type="character" w:styleId="741">
    <w:name w:val="page number"/>
    <w:basedOn w:val="721"/>
    <w:uiPriority w:val="0"/>
    <w:qFormat/>
  </w:style>
  <w:style w:type="character" w:styleId="742">
    <w:name w:val="Emphasis"/>
    <w:basedOn w:val="721"/>
    <w:uiPriority w:val="20"/>
    <w:qFormat/>
    <w:rPr>
      <w:i/>
      <w:iCs/>
    </w:rPr>
  </w:style>
  <w:style w:type="character" w:styleId="743">
    <w:name w:val="Hyperlink"/>
    <w:basedOn w:val="721"/>
    <w:uiPriority w:val="0"/>
    <w:qFormat/>
    <w:rPr>
      <w:color w:val="0000ff"/>
      <w:u w:val="single"/>
    </w:rPr>
  </w:style>
  <w:style w:type="character" w:styleId="744" w:customStyle="1">
    <w:name w:val="日期 Char"/>
    <w:basedOn w:val="721"/>
    <w:link w:val="731"/>
    <w:uiPriority w:val="0"/>
    <w:qFormat/>
    <w:rPr>
      <w:sz w:val="24"/>
    </w:rPr>
  </w:style>
  <w:style w:type="character" w:styleId="745" w:customStyle="1">
    <w:name w:val="正文文本缩进 3 Char"/>
    <w:basedOn w:val="721"/>
    <w:link w:val="737"/>
    <w:uiPriority w:val="0"/>
    <w:qFormat/>
    <w:rPr>
      <w:sz w:val="16"/>
      <w:szCs w:val="16"/>
    </w:rPr>
  </w:style>
  <w:style w:type="character" w:styleId="746" w:customStyle="1">
    <w:name w:val="批注框文本 Char"/>
    <w:basedOn w:val="721"/>
    <w:link w:val="733"/>
    <w:uiPriority w:val="0"/>
    <w:qFormat/>
    <w:rPr>
      <w:sz w:val="18"/>
      <w:szCs w:val="18"/>
    </w:rPr>
  </w:style>
  <w:style w:type="character" w:styleId="747" w:customStyle="1">
    <w:name w:val="纯文本 Char"/>
    <w:uiPriority w:val="99"/>
    <w:qFormat/>
    <w:rPr>
      <w:rFonts w:ascii="宋体" w:hAnsi="Courier New"/>
      <w:sz w:val="21"/>
    </w:rPr>
  </w:style>
  <w:style w:type="character" w:styleId="748" w:customStyle="1">
    <w:name w:val="标题 3 Char"/>
    <w:basedOn w:val="721"/>
    <w:link w:val="719"/>
    <w:uiPriority w:val="0"/>
    <w:qFormat/>
    <w:rPr>
      <w:b/>
      <w:sz w:val="32"/>
    </w:rPr>
  </w:style>
  <w:style w:type="character" w:styleId="749" w:customStyle="1">
    <w:name w:val="标题 4 Char"/>
    <w:basedOn w:val="721"/>
    <w:link w:val="720"/>
    <w:uiPriority w:val="0"/>
    <w:qFormat/>
    <w:rPr>
      <w:rFonts w:ascii="Arial" w:hAnsi="Arial" w:eastAsia="黑体"/>
      <w:b/>
      <w:bCs/>
      <w:sz w:val="28"/>
      <w:szCs w:val="28"/>
    </w:rPr>
  </w:style>
  <w:style w:type="character" w:styleId="750" w:customStyle="1">
    <w:name w:val="正文缩进2格 Char"/>
    <w:link w:val="751"/>
    <w:uiPriority w:val="0"/>
    <w:qFormat/>
    <w:rPr>
      <w:rFonts w:ascii="仿宋_GB2312" w:hAnsi="宋体" w:eastAsia="仿宋_GB2312"/>
      <w:sz w:val="31"/>
      <w:szCs w:val="28"/>
      <w:lang w:bidi="ar-SA"/>
    </w:rPr>
  </w:style>
  <w:style w:type="paragraph" w:styleId="751" w:customStyle="1">
    <w:name w:val="正文缩进2格"/>
    <w:basedOn w:val="716"/>
    <w:link w:val="750"/>
    <w:uiPriority w:val="0"/>
    <w:qFormat/>
    <w:pPr>
      <w:ind w:firstLine="639"/>
      <w:spacing w:line="600" w:lineRule="exact"/>
    </w:pPr>
    <w:rPr>
      <w:rFonts w:ascii="仿宋_GB2312" w:hAnsi="宋体" w:eastAsia="仿宋_GB2312"/>
      <w:sz w:val="31"/>
      <w:szCs w:val="28"/>
    </w:rPr>
  </w:style>
  <w:style w:type="character" w:styleId="752" w:customStyle="1">
    <w:name w:val="纯文本 Char2"/>
    <w:basedOn w:val="721"/>
    <w:uiPriority w:val="0"/>
    <w:qFormat/>
    <w:rPr>
      <w:rFonts w:ascii="宋体" w:hAnsi="Courier New" w:eastAsia="宋体"/>
      <w:sz w:val="24"/>
      <w:lang w:val="en-US" w:eastAsia="zh-CN" w:bidi="ar-SA"/>
    </w:rPr>
  </w:style>
  <w:style w:type="character" w:styleId="753" w:customStyle="1">
    <w:name w:val="纯文本 Char1"/>
    <w:basedOn w:val="721"/>
    <w:link w:val="730"/>
    <w:uiPriority w:val="0"/>
    <w:qFormat/>
    <w:rPr>
      <w:rFonts w:ascii="宋体" w:hAnsi="Courier New" w:cs="Courier New"/>
      <w:sz w:val="21"/>
      <w:szCs w:val="21"/>
    </w:rPr>
  </w:style>
  <w:style w:type="character" w:styleId="754" w:customStyle="1">
    <w:name w:val="正文缩进 Char"/>
    <w:link w:val="725"/>
    <w:uiPriority w:val="0"/>
    <w:qFormat/>
    <w:rPr>
      <w:rFonts w:eastAsia="宋体"/>
      <w:sz w:val="21"/>
      <w:szCs w:val="24"/>
      <w:lang w:val="en-US" w:eastAsia="zh-CN" w:bidi="ar-SA"/>
    </w:rPr>
  </w:style>
  <w:style w:type="character" w:styleId="755" w:customStyle="1">
    <w:name w:val="页眉 Char"/>
    <w:link w:val="735"/>
    <w:uiPriority w:val="99"/>
    <w:qFormat/>
    <w:rPr>
      <w:sz w:val="18"/>
      <w:szCs w:val="18"/>
    </w:rPr>
  </w:style>
  <w:style w:type="paragraph" w:styleId="756" w:customStyle="1">
    <w:name w:val="Char"/>
    <w:basedOn w:val="727"/>
    <w:uiPriority w:val="0"/>
    <w:qFormat/>
    <w:rPr>
      <w:rFonts w:ascii="Tahoma" w:hAnsi="Tahoma"/>
      <w:sz w:val="24"/>
    </w:rPr>
  </w:style>
  <w:style w:type="paragraph" w:styleId="757" w:customStyle="1">
    <w:name w:val="普通正文"/>
    <w:basedOn w:val="716"/>
    <w:uiPriority w:val="0"/>
    <w:qFormat/>
    <w:pPr>
      <w:ind w:firstLine="480"/>
      <w:jc w:val="left"/>
      <w:spacing w:before="120" w:after="120" w:line="360" w:lineRule="auto"/>
    </w:pPr>
    <w:rPr>
      <w:rFonts w:ascii="Arial" w:hAnsi="Arial"/>
      <w:sz w:val="24"/>
    </w:rPr>
  </w:style>
  <w:style w:type="paragraph" w:styleId="758" w:customStyle="1">
    <w:name w:val="msonormalcxspmiddle"/>
    <w:basedOn w:val="716"/>
    <w:uiPriority w:val="0"/>
    <w:qFormat/>
    <w:pPr>
      <w:jc w:val="left"/>
      <w:spacing w:before="100" w:beforeAutospacing="1" w:after="100" w:afterAutospacing="1"/>
      <w:widowControl/>
    </w:pPr>
    <w:rPr>
      <w:rFonts w:ascii="宋体" w:hAnsi="宋体" w:cs="宋体"/>
      <w:sz w:val="24"/>
    </w:rPr>
  </w:style>
  <w:style w:type="paragraph" w:styleId="759" w:customStyle="1">
    <w:name w:val="Char1"/>
    <w:basedOn w:val="716"/>
    <w:uiPriority w:val="0"/>
    <w:qFormat/>
    <w:pPr>
      <w:tabs>
        <w:tab w:val="left" w:pos="360" w:leader="none"/>
      </w:tabs>
    </w:pPr>
    <w:rPr>
      <w:color w:val="000000"/>
      <w:sz w:val="24"/>
    </w:rPr>
  </w:style>
  <w:style w:type="paragraph" w:styleId="760" w:customStyle="1">
    <w:name w:val="Char Char Char Char"/>
    <w:basedOn w:val="727"/>
    <w:uiPriority w:val="0"/>
    <w:qFormat/>
    <w:pPr>
      <w:spacing w:line="360" w:lineRule="auto"/>
    </w:pPr>
    <w:rPr>
      <w:szCs w:val="20"/>
    </w:rPr>
  </w:style>
  <w:style w:type="character" w:styleId="761" w:customStyle="1">
    <w:name w:val="p0 Char"/>
    <w:link w:val="762"/>
    <w:uiPriority w:val="0"/>
    <w:qFormat/>
    <w:rPr>
      <w:sz w:val="21"/>
      <w:szCs w:val="21"/>
    </w:rPr>
  </w:style>
  <w:style w:type="paragraph" w:styleId="762" w:customStyle="1">
    <w:name w:val="p0"/>
    <w:basedOn w:val="716"/>
    <w:link w:val="761"/>
    <w:uiPriority w:val="0"/>
    <w:qFormat/>
    <w:pPr>
      <w:widowControl/>
    </w:pPr>
    <w:rPr>
      <w:szCs w:val="21"/>
    </w:rPr>
  </w:style>
  <w:style w:type="character" w:styleId="763" w:customStyle="1">
    <w:name w:val="标题 2 Char"/>
    <w:link w:val="718"/>
    <w:uiPriority w:val="0"/>
    <w:qFormat/>
    <w:rPr>
      <w:rFonts w:ascii="Arial" w:hAnsi="Arial" w:eastAsia="黑体"/>
      <w:b/>
      <w:bCs/>
      <w:sz w:val="32"/>
      <w:szCs w:val="32"/>
    </w:rPr>
  </w:style>
  <w:style w:type="paragraph" w:styleId="764" w:customStyle="1">
    <w:name w:val="正文_0_0"/>
    <w:basedOn w:val="716"/>
    <w:uiPriority w:val="0"/>
    <w:qFormat/>
    <w:rPr>
      <w:szCs w:val="21"/>
    </w:rPr>
  </w:style>
  <w:style w:type="paragraph" w:styleId="765" w:customStyle="1">
    <w:name w:val="标题 3_1"/>
    <w:basedOn w:val="766"/>
    <w:next w:val="766"/>
    <w:uiPriority w:val="0"/>
    <w:qFormat/>
    <w:pPr>
      <w:keepLines/>
      <w:keepNext/>
      <w:spacing w:before="260" w:after="260" w:line="410" w:lineRule="auto"/>
      <w:outlineLvl w:val="2"/>
    </w:pPr>
    <w:rPr>
      <w:b/>
      <w:bCs/>
      <w:sz w:val="32"/>
      <w:szCs w:val="32"/>
    </w:rPr>
  </w:style>
  <w:style w:type="paragraph" w:styleId="766" w:customStyle="1">
    <w:name w:val="正文_2"/>
    <w:basedOn w:val="716"/>
    <w:uiPriority w:val="0"/>
    <w:qFormat/>
    <w:rPr>
      <w:szCs w:val="21"/>
    </w:rPr>
  </w:style>
  <w:style w:type="paragraph" w:styleId="767" w:customStyle="1">
    <w:name w:val="标题 4_1"/>
    <w:basedOn w:val="766"/>
    <w:next w:val="766"/>
    <w:uiPriority w:val="0"/>
    <w:qFormat/>
    <w:pPr>
      <w:keepLines/>
      <w:keepNext/>
      <w:spacing w:before="280" w:after="290" w:line="372" w:lineRule="auto"/>
      <w:outlineLvl w:val="3"/>
    </w:pPr>
    <w:rPr>
      <w:rFonts w:ascii="Cambria" w:hAnsi="Cambria"/>
      <w:b/>
      <w:bCs/>
      <w:sz w:val="28"/>
      <w:szCs w:val="28"/>
    </w:rPr>
  </w:style>
  <w:style w:type="paragraph" w:styleId="768" w:customStyle="1">
    <w:name w:val="正文_0_0_0"/>
    <w:basedOn w:val="716"/>
    <w:uiPriority w:val="0"/>
    <w:qFormat/>
    <w:rPr>
      <w:szCs w:val="21"/>
    </w:rPr>
  </w:style>
  <w:style w:type="paragraph" w:styleId="769" w:customStyle="1">
    <w:name w:val="标题 4_0_0"/>
    <w:basedOn w:val="768"/>
    <w:next w:val="768"/>
    <w:uiPriority w:val="0"/>
    <w:qFormat/>
    <w:pPr>
      <w:keepLines/>
      <w:keepNext/>
      <w:spacing w:before="280" w:after="290" w:line="372" w:lineRule="auto"/>
      <w:outlineLvl w:val="3"/>
    </w:pPr>
    <w:rPr>
      <w:rFonts w:ascii="Cambria" w:hAnsi="Cambria" w:eastAsia="Times New Roman"/>
      <w:b/>
      <w:bCs/>
      <w:sz w:val="28"/>
      <w:szCs w:val="28"/>
    </w:rPr>
  </w:style>
  <w:style w:type="paragraph" w:styleId="770" w:customStyle="1">
    <w:name w:val="纯文本11"/>
    <w:basedOn w:val="716"/>
    <w:uiPriority w:val="0"/>
    <w:qFormat/>
    <w:rPr>
      <w:rFonts w:hint="eastAsia" w:ascii="宋体" w:hAnsi="Courier New"/>
      <w:sz w:val="20"/>
      <w:szCs w:val="20"/>
    </w:rPr>
  </w:style>
  <w:style w:type="paragraph" w:styleId="771" w:customStyle="1">
    <w:name w:val="普通(网站)11"/>
    <w:basedOn w:val="716"/>
    <w:uiPriority w:val="0"/>
    <w:qFormat/>
    <w:pPr>
      <w:jc w:val="left"/>
    </w:pPr>
    <w:rPr>
      <w:rFonts w:ascii="Calibri" w:hAnsi="Calibri"/>
      <w:sz w:val="24"/>
    </w:rPr>
  </w:style>
  <w:style w:type="paragraph" w:styleId="772" w:customStyle="1">
    <w:name w:val="标题 211"/>
    <w:basedOn w:val="716"/>
    <w:uiPriority w:val="0"/>
    <w:qFormat/>
    <w:pPr>
      <w:keepLines/>
      <w:keepNext/>
      <w:spacing w:before="260" w:after="260" w:line="412" w:lineRule="auto"/>
      <w:outlineLvl w:val="1"/>
    </w:pPr>
    <w:rPr>
      <w:rFonts w:ascii="Cambria" w:hAnsi="Cambria"/>
      <w:b/>
      <w:bCs/>
      <w:sz w:val="32"/>
      <w:szCs w:val="32"/>
    </w:rPr>
  </w:style>
  <w:style w:type="paragraph" w:styleId="773" w:customStyle="1">
    <w:name w:val="Table Paragraph"/>
    <w:basedOn w:val="716"/>
    <w:next w:val="716"/>
    <w:uiPriority w:val="1"/>
    <w:qFormat/>
    <w:rPr>
      <w:rFonts w:ascii="宋体" w:hAnsi="宋体" w:cs="宋体"/>
      <w:sz w:val="22"/>
      <w:lang w:eastAsia="en-US" w:bidi="en-US"/>
    </w:rPr>
  </w:style>
  <w:style w:type="paragraph" w:styleId="774" w:customStyle="1">
    <w:name w:val="正文_0"/>
    <w:uiPriority w:val="0"/>
    <w:qFormat/>
    <w:pPr>
      <w:jc w:val="both"/>
      <w:widowControl w:val="off"/>
    </w:pPr>
    <w:rPr>
      <w:rFonts w:ascii="Calibri" w:hAnsi="Calibri" w:eastAsia="宋体" w:cs="Times New Roman"/>
      <w:sz w:val="21"/>
      <w:szCs w:val="22"/>
      <w:lang w:val="en-US" w:eastAsia="zh-CN" w:bidi="ar-SA"/>
    </w:rPr>
  </w:style>
  <w:style w:type="table" w:styleId="775" w:customStyle="1">
    <w:name w:val="Table Normal"/>
    <w:uiPriority w:val="0"/>
    <w:semiHidden/>
    <w:unhideWhenUsed/>
    <w:qFormat/>
    <w:tblPr>
      <w:tblCellMar>
        <w:left w:w="0" w:type="dxa"/>
        <w:top w:w="0" w:type="dxa"/>
        <w:right w:w="0" w:type="dxa"/>
        <w:bottom w:w="0" w:type="dxa"/>
      </w:tblCellMar>
    </w:tblPr>
  </w:style>
  <w:style w:type="paragraph" w:styleId="776" w:customStyle="1">
    <w:name w:val="Table Text"/>
    <w:basedOn w:val="716"/>
    <w:uiPriority w:val="0"/>
    <w:semiHidden/>
    <w:qFormat/>
    <w:rPr>
      <w:rFonts w:ascii="Arial" w:hAnsi="Arial" w:eastAsia="Arial" w:cs="Arial"/>
      <w:szCs w:val="21"/>
      <w:lang w:eastAsia="en-US"/>
    </w:rPr>
  </w:style>
  <w:style w:type="paragraph" w:styleId="777" w:customStyle="1">
    <w:name w:val="正文缩进1"/>
    <w:basedOn w:val="716"/>
    <w:uiPriority w:val="0"/>
    <w:qFormat/>
    <w:pPr>
      <w:ind w:firstLine="420"/>
    </w:pPr>
  </w:style>
  <w:style w:type="paragraph" w:styleId="778">
    <w:name w:val="List Paragraph"/>
    <w:basedOn w:val="716"/>
    <w:uiPriority w:val="34"/>
    <w:qFormat/>
    <w:pPr>
      <w:ind w:firstLine="420"/>
    </w:pPr>
  </w:style>
  <w:style w:type="numbering" w:styleId="14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杨洁</cp:lastModifiedBy>
  <cp:revision>5</cp:revision>
  <dcterms:created xsi:type="dcterms:W3CDTF">2026-08-06T06:01:00Z</dcterms:created>
  <dcterms:modified xsi:type="dcterms:W3CDTF">2026-08-20T10:44:36Z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168F76407A8F49D584706709BCC4513B_13</vt:lpwstr>
  </property>
  <property fmtid="{D5CDD505-2E9C-101B-9397-08002B2CF9AE}" pid="4" name="KSOTemplateDocerSaveRecord">
    <vt:lpwstr>eyJoZGlkIjoiYmViMmMzOTZmM2RlY2U5YzgxYmVjYmVmOThmZDA4MzIiLCJ1c2VySWQiOiI2MzQ3ODY4MTAifQ==</vt:lpwstr>
  </property>
</Properties>
</file>