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954"/>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954"/>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954"/>
        <w:ind w:firstLine="1372"/>
        <w:spacing w:line="240" w:lineRule="auto"/>
        <w:rPr>
          <w:rFonts w:hint="eastAsia" w:eastAsia="宋体"/>
          <w:b/>
          <w:bCs/>
          <w:sz w:val="32"/>
          <w:u w:val="single"/>
          <w:lang w:eastAsia="zh-CN"/>
        </w:rPr>
      </w:pPr>
      <w:r>
        <w:rPr>
          <w:b/>
          <w:bCs/>
          <w:sz w:val="32"/>
        </w:rPr>
        <w:t xml:space="preserve">项目名称：</w:t>
      </w:r>
      <w:r>
        <w:rPr>
          <w:rFonts w:hint="eastAsia"/>
          <w:b/>
          <w:bCs/>
          <w:sz w:val="32"/>
          <w:lang w:eastAsia="zh-CN"/>
        </w:rPr>
        <w:t xml:space="preserve">全市13个水质自动站全托管运维技术服务采购项目</w:t>
      </w:r>
      <w:r/>
    </w:p>
    <w:p>
      <w:pPr>
        <w:pStyle w:val="954"/>
        <w:ind w:firstLine="1372"/>
        <w:spacing w:line="240" w:lineRule="auto"/>
        <w:rPr>
          <w:rFonts w:hint="eastAsia"/>
          <w:b/>
          <w:bCs/>
          <w:sz w:val="32"/>
          <w:u w:val="single"/>
        </w:rPr>
      </w:pPr>
      <w:r>
        <w:rPr>
          <w:rFonts w:hint="eastAsia"/>
          <w:b/>
          <w:bCs/>
          <w:sz w:val="32"/>
        </w:rPr>
        <w:t xml:space="preserve">项目编号：JSZC-320682-JSDZ-C2026-0079</w:t>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jc w:val="center"/>
        <w:spacing w:line="240" w:lineRule="auto"/>
        <w:rPr>
          <w:b/>
          <w:bCs/>
          <w:sz w:val="32"/>
        </w:rPr>
      </w:pPr>
      <w:r>
        <w:rPr>
          <w:b/>
          <w:bCs/>
          <w:sz w:val="32"/>
        </w:rPr>
      </w:r>
      <w:r/>
    </w:p>
    <w:p>
      <w:pPr>
        <w:pStyle w:val="954"/>
        <w:ind w:firstLine="0"/>
        <w:spacing w:line="240" w:lineRule="auto"/>
        <w:rPr>
          <w:b/>
          <w:bCs/>
          <w:sz w:val="32"/>
          <w:u w:val="single"/>
        </w:rPr>
      </w:pPr>
      <w:r>
        <w:rPr>
          <w:rFonts w:hint="eastAsia"/>
          <w:b/>
          <w:bCs/>
          <w:sz w:val="32"/>
        </w:rPr>
        <w:t xml:space="preserve">采购人名称：南通市如皋生态环境局</w:t>
      </w:r>
      <w:r/>
    </w:p>
    <w:p>
      <w:pPr>
        <w:pStyle w:val="954"/>
        <w:ind w:firstLine="0"/>
        <w:spacing w:line="240" w:lineRule="auto"/>
        <w:rPr>
          <w:b/>
          <w:bCs/>
          <w:sz w:val="32"/>
          <w:u w:val="single"/>
        </w:rPr>
      </w:pPr>
      <w:r>
        <w:rPr>
          <w:rFonts w:hint="eastAsia"/>
          <w:b/>
          <w:bCs/>
          <w:sz w:val="32"/>
        </w:rPr>
        <w:t xml:space="preserve">采购代理机构名称：大洲设计咨询集团有限公司如皋分公司</w:t>
      </w:r>
      <w:r/>
    </w:p>
    <w:p>
      <w:pPr>
        <w:pStyle w:val="954"/>
        <w:ind w:firstLine="0"/>
        <w:jc w:val="center"/>
        <w:spacing w:line="240" w:lineRule="auto"/>
        <w:rPr>
          <w:rFonts w:hint="eastAsia"/>
          <w:b/>
          <w:bCs/>
          <w:sz w:val="32"/>
        </w:rPr>
      </w:pPr>
      <w:r>
        <w:rPr>
          <w:rFonts w:hint="eastAsia"/>
          <w:b/>
          <w:bCs/>
          <w:sz w:val="32"/>
        </w:rPr>
      </w:r>
      <w:r/>
    </w:p>
    <w:p>
      <w:pPr>
        <w:pStyle w:val="954"/>
        <w:ind w:firstLine="0"/>
        <w:jc w:val="center"/>
        <w:spacing w:line="240" w:lineRule="auto"/>
        <w:rPr>
          <w:rFonts w:ascii="方正小标宋简体" w:eastAsia="方正小标宋简体"/>
          <w:bCs/>
          <w:sz w:val="32"/>
          <w:szCs w:val="32"/>
        </w:rPr>
      </w:pPr>
      <w:r>
        <w:rPr>
          <w:rFonts w:hint="eastAsia"/>
          <w:b/>
          <w:bCs/>
          <w:sz w:val="32"/>
        </w:rPr>
        <w:t xml:space="preserve">2026年9月30</w:t>
      </w:r>
      <w:bookmarkStart w:id="63" w:name="_GoBack"/>
      <w:r/>
      <w:bookmarkEnd w:id="63"/>
      <w:r>
        <w:rPr>
          <w:rFonts w:hint="eastAsia"/>
          <w:b/>
          <w:bCs/>
          <w:sz w:val="32"/>
        </w:rPr>
        <w:t xml:space="preserve">日</w:t>
      </w:r>
      <w:r>
        <w:rPr>
          <w:b/>
          <w:bCs/>
          <w:sz w:val="32"/>
        </w:rPr>
        <w:br w:type="page" w:clear="all"/>
      </w:r>
      <w:r>
        <w:rPr>
          <w:rFonts w:hint="eastAsia" w:ascii="方正小标宋简体" w:eastAsia="方正小标宋简体"/>
          <w:bCs/>
          <w:sz w:val="32"/>
          <w:szCs w:val="32"/>
        </w:rPr>
        <w:t xml:space="preserve">第一章 竞争性磋商公告</w:t>
      </w:r>
      <w:r/>
    </w:p>
    <w:p>
      <w:pPr>
        <w:pStyle w:val="927"/>
        <w:ind w:firstLine="560"/>
        <w:spacing w:after="0" w:line="500" w:lineRule="exact"/>
        <w:rPr>
          <w:rFonts w:ascii="黑体" w:hAnsi="黑体" w:eastAsia="黑体"/>
          <w:sz w:val="28"/>
          <w:szCs w:val="28"/>
        </w:rPr>
      </w:pPr>
      <w:r/>
      <w:bookmarkStart w:id="0" w:name="_Toc28359089"/>
      <w:r/>
      <w:bookmarkStart w:id="1" w:name="_Toc28359012"/>
      <w:r/>
      <w:bookmarkStart w:id="2" w:name="_Toc35393629"/>
      <w:r/>
      <w:bookmarkStart w:id="3" w:name="_Toc35393798"/>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1.项目名称：</w:t>
      </w:r>
      <w:r>
        <w:rPr>
          <w:rFonts w:hint="eastAsia" w:ascii="仿宋" w:hAnsi="仿宋" w:eastAsia="仿宋"/>
          <w:sz w:val="28"/>
          <w:szCs w:val="28"/>
          <w:lang w:eastAsia="zh-CN"/>
        </w:rPr>
        <w:t xml:space="preserve">全市13个水质自动站全托管运维技术服务采购项目</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2.项目编号：JSZC-320682-JSDZ-C2026-0079</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3.预算金额：采购包一：46.62万元；采购包二：51.25万元；采购包三：36.63万元。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4.最高限价：采购包一：46.62万元/年；采购包二：51.25万元/年；采购包三：36.63万元/年。</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5.采购需求：本次采购的项目内容为如皋市13个水质自动站运维服务，要求响应供应商根据招标文件的要求负责水质自动监测系统的运行维护及管理工作。具体详见竞争性磋商文件“第三章 项目需求”。</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6.合同履行期</w:t>
      </w:r>
      <w:r>
        <w:rPr>
          <w:rFonts w:hint="eastAsia" w:ascii="仿宋" w:hAnsi="仿宋" w:eastAsia="仿宋"/>
          <w:sz w:val="28"/>
          <w:szCs w:val="28"/>
          <w:highlight w:val="none"/>
        </w:rPr>
        <w:t xml:space="preserve">限：</w:t>
      </w:r>
      <w:r>
        <w:rPr>
          <w:rFonts w:hint="eastAsia" w:ascii="仿宋" w:hAnsi="仿宋" w:eastAsia="仿宋" w:cs="宋体"/>
          <w:color w:val="000000" w:themeColor="text1"/>
          <w:sz w:val="28"/>
          <w:szCs w:val="28"/>
          <w:highlight w:val="none"/>
          <w14:textFill>
            <w14:solidFill>
              <w14:schemeClr w14:val="tx1"/>
            </w14:solidFill>
          </w14:textFill>
        </w:rPr>
        <w:t xml:space="preserve">2026年11月21日-202</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14:textFill>
            <w14:solidFill>
              <w14:schemeClr w14:val="tx1"/>
            </w14:solidFill>
          </w14:textFill>
        </w:rPr>
        <w:t xml:space="preserve">年11月20日。合同期满后，经考核合格，在服务内容不变的前提下，可续签合同，最多续签不超过两次。</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总服务期不超过三年。</w:t>
      </w:r>
      <w:r>
        <w:rPr>
          <w:rFonts w:hint="eastAsia" w:ascii="仿宋" w:hAnsi="仿宋" w:eastAsia="仿宋" w:cs="宋体"/>
          <w:color w:val="000000" w:themeColor="text1"/>
          <w:sz w:val="28"/>
          <w:szCs w:val="28"/>
          <w:highlight w:val="none"/>
          <w14:textFill>
            <w14:solidFill>
              <w14:schemeClr w14:val="tx1"/>
            </w14:solidFill>
          </w14:textFill>
        </w:rPr>
        <w:t xml:space="preserve">具体以采购人通知为准。</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本项目三个分包将按照采购包一、采购包二、采购包三的顺序进行开标，响应供应商可以参加一个或多个分包的竞争，但已经成为采购包一的第一成交候选人的供应商不得成为采购包二的第一成交候选人，以此类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7.本项目是否接受联合</w:t>
      </w:r>
      <w:r>
        <w:rPr>
          <w:rFonts w:hint="eastAsia" w:ascii="仿宋" w:hAnsi="仿宋" w:eastAsia="仿宋"/>
          <w:sz w:val="28"/>
          <w:szCs w:val="28"/>
          <w:highlight w:val="none"/>
        </w:rPr>
        <w:t xml:space="preserve">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8.本项目是否专门面向中小企业采购：是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9.项目类型：服务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10.项目所属行业：其</w:t>
      </w:r>
      <w:r>
        <w:rPr>
          <w:rFonts w:ascii="仿宋" w:hAnsi="仿宋" w:eastAsia="仿宋"/>
          <w:sz w:val="28"/>
          <w:szCs w:val="28"/>
        </w:rPr>
        <w:t xml:space="preserve">他未列明行业。</w:t>
      </w:r>
      <w:r/>
    </w:p>
    <w:p>
      <w:pPr>
        <w:pStyle w:val="927"/>
        <w:ind w:firstLine="560"/>
        <w:spacing w:after="0" w:line="500" w:lineRule="exact"/>
        <w:rPr>
          <w:rFonts w:ascii="黑体" w:hAnsi="黑体" w:eastAsia="黑体"/>
          <w:sz w:val="28"/>
          <w:szCs w:val="28"/>
        </w:rPr>
      </w:pPr>
      <w:r/>
      <w:bookmarkStart w:id="5" w:name="_Toc28359090"/>
      <w:r/>
      <w:bookmarkStart w:id="6" w:name="_Toc28359013"/>
      <w:r/>
      <w:bookmarkStart w:id="7" w:name="_Toc35393799"/>
      <w:r/>
      <w:bookmarkStart w:id="8" w:name="_Toc35393630"/>
      <w:r>
        <w:rPr>
          <w:rFonts w:hint="eastAsia" w:ascii="黑体" w:hAnsi="黑体" w:eastAsia="黑体"/>
          <w:sz w:val="28"/>
          <w:szCs w:val="28"/>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bookmarkStart w:id="9" w:name="_Toc28359091"/>
      <w:r/>
      <w:bookmarkStart w:id="10" w:name="_Toc28359014"/>
      <w:r>
        <w:rPr>
          <w:rFonts w:hint="eastAsia" w:ascii="仿宋" w:hAnsi="仿宋" w:eastAsia="仿宋" w:cs="Times New Roman"/>
          <w:sz w:val="28"/>
          <w:szCs w:val="28"/>
        </w:rPr>
        <w:t xml:space="preserve">（1）具有独立承担民事责任的能力;</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93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934"/>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934"/>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934"/>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934"/>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ind w:firstLine="560"/>
        <w:spacing w:line="500" w:lineRule="exact"/>
        <w:rPr>
          <w:rFonts w:ascii="仿宋" w:hAnsi="仿宋" w:eastAsia="仿宋"/>
          <w:iCs/>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sz w:val="28"/>
          <w:szCs w:val="28"/>
        </w:rPr>
        <w:t xml:space="preserve">其</w:t>
      </w:r>
      <w:r>
        <w:rPr>
          <w:rFonts w:ascii="仿宋" w:hAnsi="仿宋" w:eastAsia="仿宋"/>
          <w:sz w:val="28"/>
          <w:szCs w:val="28"/>
        </w:rPr>
        <w:t xml:space="preserve">他未列明行业</w:t>
      </w:r>
      <w:r>
        <w:rPr>
          <w:rFonts w:hint="eastAsia" w:ascii="仿宋" w:hAnsi="仿宋" w:eastAsia="仿宋"/>
          <w:i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iCs/>
          <w:sz w:val="28"/>
          <w:szCs w:val="28"/>
        </w:rPr>
        <w:t xml:space="preserve">（2）响应供应商须已按照《生态环境监测条例》规定，完成生态环境监测技术服务机构备案（备案信息已归集至江苏省生态环境监测技术服务机构管理系统），须提供备案截图或备案证明材料。不提供视为无效响应。</w:t>
      </w:r>
      <w:r/>
    </w:p>
    <w:p>
      <w:pPr>
        <w:pStyle w:val="934"/>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927"/>
        <w:ind w:firstLine="560"/>
        <w:spacing w:after="0" w:line="500" w:lineRule="exact"/>
        <w:rPr>
          <w:rFonts w:ascii="黑体" w:hAnsi="黑体" w:eastAsia="黑体"/>
          <w:sz w:val="28"/>
          <w:szCs w:val="28"/>
        </w:rPr>
      </w:pPr>
      <w:r/>
      <w:bookmarkStart w:id="11" w:name="_Toc35393800"/>
      <w:r/>
      <w:bookmarkStart w:id="12" w:name="_Toc35393631"/>
      <w:r>
        <w:rPr>
          <w:rFonts w:hint="eastAsia" w:ascii="黑体" w:hAnsi="黑体" w:eastAsia="黑体"/>
          <w:sz w:val="28"/>
          <w:szCs w:val="28"/>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时间：本公告发布之日起5个工作日内。</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本项目采用“苏采云”系统网上注册登记方式，具体详见《江苏省政府采购管理交易系统（苏采云）响应供应商操作手册》。</w:t>
      </w:r>
      <w:r/>
    </w:p>
    <w:p>
      <w:pPr>
        <w:pStyle w:val="927"/>
        <w:ind w:firstLine="560"/>
        <w:spacing w:after="0" w:line="500" w:lineRule="exact"/>
        <w:rPr>
          <w:rFonts w:ascii="黑体" w:hAnsi="黑体" w:eastAsia="黑体"/>
          <w:sz w:val="28"/>
          <w:szCs w:val="28"/>
        </w:rPr>
      </w:pPr>
      <w:r/>
      <w:bookmarkStart w:id="13" w:name="_Toc35393801"/>
      <w:r/>
      <w:bookmarkStart w:id="14" w:name="_Toc28359015"/>
      <w:r/>
      <w:bookmarkStart w:id="15" w:name="_Toc28359092"/>
      <w:r/>
      <w:bookmarkStart w:id="16" w:name="_Toc35393632"/>
      <w:r>
        <w:rPr>
          <w:rFonts w:hint="eastAsia" w:ascii="黑体" w:hAnsi="黑体" w:eastAsia="黑体"/>
          <w:sz w:val="28"/>
          <w:szCs w:val="28"/>
        </w:rPr>
        <w:t xml:space="preserve">四、</w:t>
      </w:r>
      <w:bookmarkEnd w:id="13"/>
      <w:r/>
      <w:bookmarkEnd w:id="14"/>
      <w:r/>
      <w:bookmarkEnd w:id="15"/>
      <w:r/>
      <w:bookmarkEnd w:id="16"/>
      <w:r>
        <w:rPr>
          <w:rFonts w:hint="eastAsia" w:ascii="黑体" w:hAnsi="黑体" w:eastAsia="黑体"/>
          <w:sz w:val="28"/>
          <w:szCs w:val="28"/>
        </w:rPr>
        <w:t xml:space="preserve">竞争性磋商响应文件提交和开启</w:t>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10</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12</w:t>
      </w:r>
      <w:r>
        <w:rPr>
          <w:rFonts w:hint="eastAsia" w:ascii="仿宋" w:hAnsi="仿宋" w:eastAsia="仿宋"/>
          <w:bCs/>
          <w:sz w:val="28"/>
          <w:szCs w:val="28"/>
        </w:rPr>
        <w:t xml:space="preserve">日9点00分（北京时间）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地点：通过“苏采云”系统提交，具体详见《江苏省政府采购管理交易系统（苏采云）响应供应商操作手册》。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10</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12</w:t>
      </w:r>
      <w:r>
        <w:rPr>
          <w:rFonts w:hint="eastAsia" w:ascii="仿宋" w:hAnsi="仿宋" w:eastAsia="仿宋"/>
          <w:bCs/>
          <w:sz w:val="28"/>
          <w:szCs w:val="28"/>
        </w:rPr>
        <w:t xml:space="preserve">日9点00分（北京时间）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927"/>
        <w:ind w:firstLine="560"/>
        <w:spacing w:after="0" w:line="500" w:lineRule="exact"/>
        <w:rPr>
          <w:rFonts w:ascii="黑体" w:hAnsi="黑体" w:eastAsia="黑体"/>
          <w:sz w:val="28"/>
          <w:szCs w:val="28"/>
        </w:rPr>
      </w:pPr>
      <w:r/>
      <w:bookmarkStart w:id="17" w:name="_Toc35393803"/>
      <w:r/>
      <w:bookmarkStart w:id="18" w:name="_Toc28359017"/>
      <w:r/>
      <w:bookmarkStart w:id="19" w:name="_Toc35393634"/>
      <w:r/>
      <w:bookmarkStart w:id="20" w:name="_Toc28359094"/>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927"/>
        <w:ind w:firstLine="560"/>
        <w:spacing w:after="0" w:line="500" w:lineRule="exact"/>
        <w:rPr>
          <w:rFonts w:ascii="黑体" w:hAnsi="黑体" w:eastAsia="黑体"/>
          <w:sz w:val="28"/>
          <w:szCs w:val="28"/>
        </w:rPr>
      </w:pPr>
      <w:r/>
      <w:bookmarkStart w:id="21" w:name="_Toc35393635"/>
      <w:r/>
      <w:bookmarkStart w:id="22" w:name="_Toc35393804"/>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具体详见《江苏省政府采购管理交易系统（苏采云）响应供应商操作手册》，特别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940"/>
          <w:rFonts w:ascii="仿宋" w:hAnsi="仿宋" w:eastAsia="仿宋" w:cs="宋体"/>
          <w:bCs/>
          <w:sz w:val="28"/>
          <w:szCs w:val="28"/>
        </w:rPr>
        <w:t xml:space="preserve">http://jsxcmm.com/help/gys.html</w:t>
      </w:r>
      <w:r>
        <w:rPr>
          <w:rStyle w:val="940"/>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b/>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927"/>
        <w:ind w:firstLine="560"/>
        <w:spacing w:after="0" w:line="500" w:lineRule="exact"/>
        <w:rPr>
          <w:rFonts w:ascii="黑体" w:hAnsi="黑体" w:eastAsia="黑体"/>
          <w:sz w:val="28"/>
          <w:szCs w:val="28"/>
        </w:rPr>
      </w:pPr>
      <w:r/>
      <w:bookmarkStart w:id="23" w:name="_Toc35393636"/>
      <w:r/>
      <w:bookmarkStart w:id="24" w:name="_Toc28359018"/>
      <w:r/>
      <w:bookmarkStart w:id="25" w:name="_Toc28359095"/>
      <w:r/>
      <w:bookmarkStart w:id="26"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28359096"/>
      <w:r/>
      <w:bookmarkStart w:id="28" w:name="_Toc28359019"/>
      <w:r/>
      <w:bookmarkStart w:id="29" w:name="_Toc35393637"/>
      <w:r/>
      <w:bookmarkStart w:id="30" w:name="_Toc35393806"/>
      <w:r>
        <w:rPr>
          <w:rFonts w:hint="eastAsia" w:ascii="仿宋" w:hAnsi="仿宋" w:eastAsia="仿宋" w:cs="宋体"/>
          <w:sz w:val="28"/>
          <w:szCs w:val="28"/>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rPr>
      </w:pPr>
      <w:r/>
      <w:bookmarkStart w:id="31" w:name="_Toc35393807"/>
      <w:r/>
      <w:bookmarkStart w:id="32" w:name="_Toc28359097"/>
      <w:r/>
      <w:bookmarkStart w:id="33" w:name="_Toc28359020"/>
      <w:r/>
      <w:bookmarkStart w:id="34" w:name="_Toc35393638"/>
      <w:r>
        <w:rPr>
          <w:rFonts w:hint="eastAsia" w:ascii="仿宋" w:hAnsi="仿宋" w:eastAsia="仿宋"/>
          <w:sz w:val="28"/>
          <w:szCs w:val="28"/>
        </w:rPr>
        <w:t xml:space="preserve">名    称：</w:t>
      </w:r>
      <w:r>
        <w:rPr>
          <w:rFonts w:hint="eastAsia" w:ascii="仿宋" w:hAnsi="仿宋" w:eastAsia="仿宋"/>
          <w:sz w:val="28"/>
          <w:szCs w:val="28"/>
          <w:u w:val="single"/>
        </w:rPr>
        <w:t xml:space="preserve">南通市如皋生态环境局</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sz w:val="28"/>
          <w:szCs w:val="28"/>
          <w:u w:val="single"/>
        </w:rPr>
        <w:t xml:space="preserve">陈云</w:t>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18362116298</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大洲设计咨询集团有限公司如皋分公司　</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如皋市健康路1号紫竹园312幢（兴业银行）五层　　　　　　　　　　　　</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项目经办人姓名：刘佳文</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0513-88555586、18962988284　　　　　　</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954"/>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954"/>
        <w:ind w:firstLine="0"/>
        <w:jc w:val="center"/>
        <w:spacing w:line="240" w:lineRule="auto"/>
        <w:rPr>
          <w:rFonts w:ascii="方正小标宋简体" w:eastAsia="方正小标宋简体"/>
          <w:bCs/>
          <w:sz w:val="32"/>
          <w:szCs w:val="32"/>
        </w:rPr>
      </w:pPr>
      <w:r>
        <w:rPr>
          <w:rFonts w:ascii="仿宋" w:hAnsi="仿宋" w:eastAsia="仿宋"/>
          <w:b/>
          <w:sz w:val="28"/>
          <w:szCs w:val="28"/>
        </w:rPr>
        <w:br w:type="page" w:clear="all"/>
      </w:r>
      <w:r>
        <w:rPr>
          <w:rFonts w:hint="eastAsia" w:ascii="方正小标宋简体" w:eastAsia="方正小标宋简体"/>
          <w:bCs/>
          <w:sz w:val="32"/>
          <w:szCs w:val="32"/>
        </w:rPr>
        <w:t xml:space="preserve">第二章 磋商须知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参加磋商费用</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磋商文件的约束力</w:t>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供应商编写的响应文件应包括资格审查文件、商务技术文件、报价文件等部分，具体按照“第六章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ascii="仿宋" w:hAnsi="仿宋" w:eastAsia="仿宋"/>
          <w:b/>
          <w:bCs/>
          <w:sz w:val="28"/>
          <w:szCs w:val="28"/>
        </w:rPr>
      </w:pPr>
      <w:r>
        <w:rPr>
          <w:rFonts w:hint="eastAsia" w:ascii="仿宋" w:hAnsi="仿宋" w:eastAsia="仿宋"/>
          <w:sz w:val="28"/>
          <w:szCs w:val="28"/>
        </w:rPr>
        <w:t xml:space="preserve">5.15 </w:t>
      </w:r>
      <w:r>
        <w:rPr>
          <w:rFonts w:hint="eastAsia" w:ascii="仿宋" w:hAnsi="仿宋" w:eastAsia="仿宋"/>
          <w:b/>
          <w:bCs/>
          <w:sz w:val="28"/>
          <w:szCs w:val="28"/>
        </w:rPr>
        <w:t xml:space="preserve">评审小组认为响应供应商的报价明显低于其他通过符合性审查响应供应商的报价，有可能影响产品质量或者不能诚信履约的，出现下列情形之一的可以通过视频会议，要求供应商在合理的时间内提供说明，必要时提交相关证明材料： </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5.15.3响应报价低于采购项目最高限价45%的，即响应报价&lt;采购项目最高限价×45%；</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5.15.4评审小组基于专业判断，认为供应商报价过低，有可能影响产品质量或者不能诚信履约的其他情形。</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评审小组应当要求相关供应商在评审现场不少于30分钟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小组应当将其作为无效响应处理。</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9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1445"/>
        <w:gridCol w:w="682"/>
        <w:gridCol w:w="1830"/>
        <w:gridCol w:w="1572"/>
        <w:gridCol w:w="1036"/>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bookmarkEnd w:id="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11.1采购代理服务费收取标准：根据《江苏省政府采购代理服务收费指导意见》（苏政采协</w:t>
      </w:r>
      <w:r>
        <w:rPr>
          <w:rFonts w:hint="eastAsia" w:ascii="仿宋" w:hAnsi="仿宋" w:eastAsia="仿宋" w:cs="仿宋"/>
          <w:sz w:val="28"/>
          <w:szCs w:val="28"/>
        </w:rPr>
        <w:t xml:space="preserve">〔2024〕</w:t>
      </w:r>
      <w:r>
        <w:rPr>
          <w:rFonts w:hint="eastAsia" w:ascii="仿宋" w:hAnsi="仿宋" w:eastAsia="仿宋"/>
          <w:sz w:val="28"/>
          <w:szCs w:val="28"/>
        </w:rPr>
        <w:t xml:space="preserve">20号），采购代理服务费以成交价为基数，采用差额定率累进法（50万元（含）以下部</w:t>
      </w:r>
      <w:r>
        <w:rPr>
          <w:rFonts w:hint="eastAsia" w:ascii="仿宋" w:hAnsi="仿宋" w:eastAsia="仿宋"/>
          <w:sz w:val="28"/>
          <w:szCs w:val="28"/>
        </w:rPr>
        <w:t xml:space="preserve">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按8折收取，不足叁仟按叁仟元计取，由成交供应商承担。本项目预算中包含此费用，成交供应商在报价中需考虑此费用的代付，采购人不再另行支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11.3.1收款单位名称为：大洲设计咨询集团有限公司如皋分公司；</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11.3.2账户号码：408890100100068270；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11.3.3开户行：兴业银行如皋支行。</w:t>
      </w:r>
      <w:r/>
    </w:p>
    <w:p>
      <w:pPr>
        <w:pStyle w:val="95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方正小标宋简体" w:eastAsia="方正小标宋简体"/>
          <w:bCs/>
          <w:sz w:val="32"/>
          <w:szCs w:val="32"/>
        </w:rPr>
        <w:t xml:space="preserve">第三章 采购需求</w:t>
      </w:r>
      <w:r/>
    </w:p>
    <w:p>
      <w:pPr>
        <w:ind w:firstLine="562"/>
        <w:jc w:val="left"/>
        <w:spacing w:line="48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54"/>
        <w:ind w:firstLine="562"/>
        <w:spacing w:before="0" w:after="0" w:line="480" w:lineRule="exact"/>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为保障我市本级事权内13个水质自动监测站高质量稳定运行，更好地保障服务环境管理，需采购运行维护服务，包括对设施、仪器及设备等进行日常维护管理、质量保证与质量控制、档案与记录、站点数据审核等，确保站点设备及系统连续、稳定、有效运行。</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本次采购的项目内容为如皋市13个水质自动站运维服务，要求响应供应商根据采购文件的要求负责水质自动监测系统的运行维护及管理工作。</w:t>
      </w:r>
      <w:r/>
    </w:p>
    <w:p>
      <w:pPr>
        <w:ind w:left="420" w:firstLine="560"/>
        <w:jc w:val="center"/>
        <w:spacing w:beforeAutospacing="1" w:after="120"/>
        <w:rPr>
          <w:rFonts w:ascii="仿宋" w:hAnsi="仿宋" w:eastAsia="仿宋" w:cs="仿宋"/>
          <w:sz w:val="28"/>
          <w:szCs w:val="28"/>
        </w:rPr>
      </w:pPr>
      <w:r>
        <w:rPr>
          <w:rFonts w:hint="eastAsia" w:ascii="仿宋" w:hAnsi="仿宋" w:eastAsia="仿宋" w:cs="仿宋"/>
          <w:sz w:val="28"/>
          <w:szCs w:val="28"/>
        </w:rPr>
        <w:t xml:space="preserve">表1 三个包的服务内容及服务期限</w:t>
      </w:r>
      <w:r/>
    </w:p>
    <w:tbl>
      <w:tblPr>
        <w:tblStyle w:val="936"/>
        <w:tblW w:w="8490"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4769"/>
        <w:gridCol w:w="2610"/>
      </w:tblGrid>
      <w:tr>
        <w:trPr/>
        <w:tc>
          <w:tcPr>
            <w:shd w:val="clear" w:color="auto" w:fill="auto"/>
            <w:tcBorders>
              <w:top w:val="single" w:color="auto" w:sz="4" w:space="0"/>
              <w:left w:val="single" w:color="auto" w:sz="4" w:space="0"/>
              <w:bottom w:val="single" w:color="auto" w:sz="4" w:space="0"/>
              <w:right w:val="single" w:color="auto" w:sz="4" w:space="0"/>
            </w:tcBorders>
            <w:tcW w:w="1111" w:type="dxa"/>
            <w:textDirection w:val="lrTb"/>
            <w:noWrap/>
          </w:tcPr>
          <w:p>
            <w:pPr>
              <w:spacing w:line="520" w:lineRule="exact"/>
              <w:rPr>
                <w:rFonts w:ascii="仿宋" w:hAnsi="仿宋" w:eastAsia="仿宋" w:cs="仿宋"/>
                <w:sz w:val="24"/>
              </w:rPr>
            </w:pPr>
            <w:r/>
            <w:bookmarkStart w:id="35" w:name="_Toc29854"/>
            <w:r>
              <w:rPr>
                <w:rFonts w:hint="eastAsia" w:ascii="仿宋" w:hAnsi="仿宋" w:eastAsia="仿宋" w:cs="仿宋"/>
                <w:sz w:val="24"/>
              </w:rPr>
              <w:t xml:space="preserve">包号</w:t>
            </w:r>
            <w:bookmarkEnd w:id="35"/>
            <w:r/>
            <w:r/>
          </w:p>
        </w:tc>
        <w:tc>
          <w:tcPr>
            <w:shd w:val="clear" w:color="auto" w:fill="auto"/>
            <w:tcBorders>
              <w:top w:val="single" w:color="auto" w:sz="4" w:space="0"/>
              <w:left w:val="single" w:color="auto" w:sz="4" w:space="0"/>
              <w:bottom w:val="single" w:color="auto" w:sz="4" w:space="0"/>
              <w:right w:val="single" w:color="auto" w:sz="4" w:space="0"/>
            </w:tcBorders>
            <w:tcW w:w="4769" w:type="dxa"/>
            <w:textDirection w:val="lrTb"/>
            <w:noWrap/>
          </w:tcPr>
          <w:p>
            <w:pPr>
              <w:spacing w:line="520" w:lineRule="exact"/>
              <w:rPr>
                <w:rFonts w:ascii="仿宋" w:hAnsi="仿宋" w:eastAsia="仿宋" w:cs="仿宋"/>
                <w:sz w:val="24"/>
              </w:rPr>
            </w:pPr>
            <w:r/>
            <w:bookmarkStart w:id="36" w:name="_Toc9141"/>
            <w:r>
              <w:rPr>
                <w:rFonts w:hint="eastAsia" w:ascii="仿宋" w:hAnsi="仿宋" w:eastAsia="仿宋" w:cs="仿宋"/>
                <w:sz w:val="24"/>
              </w:rPr>
              <w:t xml:space="preserve">服务内容</w:t>
            </w:r>
            <w:bookmarkEnd w:id="36"/>
            <w:r/>
            <w:r/>
          </w:p>
        </w:tc>
        <w:tc>
          <w:tcPr>
            <w:shd w:val="clear" w:color="auto" w:fill="auto"/>
            <w:tcBorders>
              <w:top w:val="single" w:color="auto" w:sz="4" w:space="0"/>
              <w:left w:val="single" w:color="auto" w:sz="4" w:space="0"/>
              <w:bottom w:val="single" w:color="auto" w:sz="4" w:space="0"/>
              <w:right w:val="single" w:color="auto" w:sz="4" w:space="0"/>
            </w:tcBorders>
            <w:tcW w:w="2610" w:type="dxa"/>
            <w:textDirection w:val="lrTb"/>
            <w:noWrap/>
          </w:tcPr>
          <w:p>
            <w:pPr>
              <w:spacing w:line="520" w:lineRule="exact"/>
              <w:rPr>
                <w:rFonts w:ascii="仿宋" w:hAnsi="仿宋" w:eastAsia="仿宋" w:cs="仿宋"/>
                <w:sz w:val="24"/>
              </w:rPr>
            </w:pPr>
            <w:r>
              <w:rPr>
                <w:rFonts w:hint="eastAsia" w:ascii="仿宋" w:hAnsi="仿宋" w:eastAsia="仿宋" w:cs="仿宋"/>
                <w:sz w:val="24"/>
              </w:rPr>
              <w:t xml:space="preserve">服务期限</w:t>
            </w:r>
            <w:r/>
          </w:p>
        </w:tc>
      </w:tr>
      <w:tr>
        <w:trPr/>
        <w:tc>
          <w:tcPr>
            <w:shd w:val="clear" w:color="auto" w:fill="auto"/>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spacing w:line="520" w:lineRule="exact"/>
              <w:rPr>
                <w:rFonts w:ascii="仿宋" w:hAnsi="仿宋" w:eastAsia="仿宋" w:cs="仿宋"/>
                <w:sz w:val="24"/>
              </w:rPr>
            </w:pPr>
            <w:r/>
            <w:bookmarkStart w:id="37" w:name="_Toc2722"/>
            <w:r>
              <w:rPr>
                <w:rFonts w:hint="eastAsia" w:ascii="仿宋" w:hAnsi="仿宋" w:eastAsia="仿宋" w:cs="仿宋"/>
                <w:sz w:val="24"/>
              </w:rPr>
              <w:t xml:space="preserve">采购包一</w:t>
            </w:r>
            <w:bookmarkEnd w:id="37"/>
            <w:r/>
            <w:r/>
          </w:p>
        </w:tc>
        <w:tc>
          <w:tcPr>
            <w:shd w:val="clear" w:color="auto" w:fill="auto"/>
            <w:tcBorders>
              <w:top w:val="single" w:color="auto" w:sz="4" w:space="0"/>
              <w:left w:val="single" w:color="auto" w:sz="4" w:space="0"/>
              <w:bottom w:val="single" w:color="auto" w:sz="4" w:space="0"/>
              <w:right w:val="single" w:color="auto" w:sz="4" w:space="0"/>
            </w:tcBorders>
            <w:tcW w:w="4769" w:type="dxa"/>
            <w:textDirection w:val="lrTb"/>
            <w:noWrap/>
          </w:tcPr>
          <w:p>
            <w:pPr>
              <w:spacing w:line="520" w:lineRule="exact"/>
              <w:rPr>
                <w:rFonts w:ascii="仿宋" w:hAnsi="仿宋" w:eastAsia="仿宋" w:cs="仿宋"/>
                <w:sz w:val="24"/>
              </w:rPr>
            </w:pPr>
            <w:r/>
            <w:bookmarkStart w:id="38" w:name="_Toc10896"/>
            <w:r>
              <w:rPr>
                <w:rFonts w:hint="eastAsia" w:ascii="仿宋" w:hAnsi="仿宋" w:eastAsia="仿宋" w:cs="仿宋"/>
                <w:sz w:val="24"/>
              </w:rPr>
              <w:t xml:space="preserve">3</w:t>
            </w:r>
            <w:bookmarkEnd w:id="38"/>
            <w:r>
              <w:rPr>
                <w:rFonts w:hint="eastAsia" w:ascii="仿宋" w:hAnsi="仿宋" w:eastAsia="仿宋" w:cs="仿宋"/>
                <w:sz w:val="24"/>
              </w:rPr>
              <w:t xml:space="preserve">个市考（环西大桥、四新桥、长庄大桥）和1个长江经济带省考勇敢大桥水质自动站运维服务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jc w:val="left"/>
              <w:spacing w:line="520" w:lineRule="exact"/>
              <w:rPr>
                <w:rFonts w:ascii="仿宋" w:hAnsi="仿宋" w:eastAsia="仿宋" w:cs="仿宋"/>
                <w:sz w:val="24"/>
              </w:rPr>
            </w:pPr>
            <w:r>
              <w:rPr>
                <w:rFonts w:hint="eastAsia" w:ascii="仿宋" w:hAnsi="仿宋" w:eastAsia="仿宋" w:cs="仿宋"/>
                <w:sz w:val="24"/>
              </w:rPr>
              <w:t xml:space="preserve">2026年11月21日～2027年11月20日</w:t>
            </w:r>
            <w:r/>
          </w:p>
        </w:tc>
      </w:tr>
      <w:tr>
        <w:trPr/>
        <w:tc>
          <w:tcPr>
            <w:shd w:val="clear" w:color="auto" w:fill="auto"/>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spacing w:line="520" w:lineRule="exact"/>
              <w:rPr>
                <w:rFonts w:ascii="仿宋" w:hAnsi="仿宋" w:eastAsia="仿宋" w:cs="仿宋"/>
                <w:sz w:val="24"/>
              </w:rPr>
            </w:pPr>
            <w:r>
              <w:rPr>
                <w:rFonts w:hint="eastAsia" w:ascii="仿宋" w:hAnsi="仿宋" w:eastAsia="仿宋" w:cs="仿宋"/>
                <w:sz w:val="24"/>
              </w:rPr>
              <w:t xml:space="preserve">采购包二</w:t>
            </w:r>
            <w:r/>
          </w:p>
        </w:tc>
        <w:tc>
          <w:tcPr>
            <w:shd w:val="clear" w:color="auto" w:fill="auto"/>
            <w:tcBorders>
              <w:top w:val="single" w:color="auto" w:sz="4" w:space="0"/>
              <w:left w:val="single" w:color="auto" w:sz="4" w:space="0"/>
              <w:bottom w:val="single" w:color="auto" w:sz="4" w:space="0"/>
              <w:right w:val="single" w:color="auto" w:sz="4" w:space="0"/>
            </w:tcBorders>
            <w:tcW w:w="4769" w:type="dxa"/>
            <w:textDirection w:val="lrTb"/>
            <w:noWrap/>
          </w:tcPr>
          <w:p>
            <w:pPr>
              <w:spacing w:line="520" w:lineRule="exact"/>
              <w:rPr>
                <w:rFonts w:ascii="仿宋" w:hAnsi="仿宋" w:eastAsia="仿宋" w:cs="仿宋"/>
                <w:sz w:val="24"/>
              </w:rPr>
            </w:pPr>
            <w:r/>
            <w:bookmarkStart w:id="39" w:name="_Toc23870"/>
            <w:r>
              <w:rPr>
                <w:rFonts w:hint="eastAsia" w:ascii="仿宋" w:hAnsi="仿宋" w:eastAsia="仿宋" w:cs="仿宋"/>
                <w:sz w:val="24"/>
              </w:rPr>
              <w:t xml:space="preserve">3个水源地（鹏鹞水厂、备用水源地、上游预警站）和1个市考拉马河桥水质自动站运维服务</w:t>
            </w:r>
            <w:bookmarkEnd w:id="39"/>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jc w:val="left"/>
              <w:spacing w:line="520" w:lineRule="exact"/>
              <w:rPr>
                <w:rFonts w:ascii="仿宋" w:hAnsi="仿宋" w:eastAsia="仿宋" w:cs="仿宋"/>
                <w:sz w:val="24"/>
              </w:rPr>
            </w:pPr>
            <w:r>
              <w:rPr>
                <w:rFonts w:hint="eastAsia" w:ascii="仿宋" w:hAnsi="仿宋" w:eastAsia="仿宋" w:cs="仿宋"/>
                <w:sz w:val="24"/>
              </w:rPr>
              <w:t xml:space="preserve">2026年11月21日～2027年11月20日</w:t>
            </w:r>
            <w:r/>
          </w:p>
        </w:tc>
      </w:tr>
      <w:tr>
        <w:trPr/>
        <w:tc>
          <w:tcPr>
            <w:shd w:val="clear" w:color="auto" w:fill="auto"/>
            <w:tcBorders>
              <w:top w:val="single" w:color="auto" w:sz="4" w:space="0"/>
              <w:left w:val="single" w:color="auto" w:sz="4" w:space="0"/>
              <w:bottom w:val="single" w:color="auto" w:sz="4" w:space="0"/>
              <w:right w:val="single" w:color="auto" w:sz="4" w:space="0"/>
            </w:tcBorders>
            <w:tcW w:w="1111" w:type="dxa"/>
            <w:vAlign w:val="center"/>
            <w:textDirection w:val="lrTb"/>
            <w:noWrap/>
          </w:tcPr>
          <w:p>
            <w:pPr>
              <w:jc w:val="center"/>
              <w:spacing w:line="520" w:lineRule="exact"/>
              <w:rPr>
                <w:rFonts w:ascii="仿宋" w:hAnsi="仿宋" w:eastAsia="仿宋" w:cs="仿宋"/>
                <w:sz w:val="24"/>
              </w:rPr>
            </w:pPr>
            <w:r>
              <w:rPr>
                <w:rFonts w:hint="eastAsia" w:ascii="仿宋" w:hAnsi="仿宋" w:eastAsia="仿宋" w:cs="仿宋"/>
                <w:sz w:val="24"/>
              </w:rPr>
              <w:t xml:space="preserve">采购包三</w:t>
            </w:r>
            <w:r/>
          </w:p>
        </w:tc>
        <w:tc>
          <w:tcPr>
            <w:shd w:val="clear" w:color="auto" w:fill="auto"/>
            <w:tcBorders>
              <w:top w:val="single" w:color="auto" w:sz="4" w:space="0"/>
              <w:left w:val="single" w:color="auto" w:sz="4" w:space="0"/>
              <w:bottom w:val="single" w:color="auto" w:sz="4" w:space="0"/>
              <w:right w:val="single" w:color="auto" w:sz="4" w:space="0"/>
            </w:tcBorders>
            <w:tcW w:w="4769" w:type="dxa"/>
            <w:textDirection w:val="lrTb"/>
            <w:noWrap/>
          </w:tcPr>
          <w:p>
            <w:pPr>
              <w:spacing w:line="520" w:lineRule="exact"/>
              <w:rPr>
                <w:rFonts w:ascii="仿宋" w:hAnsi="仿宋" w:eastAsia="仿宋" w:cs="仿宋"/>
                <w:sz w:val="24"/>
              </w:rPr>
            </w:pPr>
            <w:r>
              <w:rPr>
                <w:rFonts w:hint="eastAsia" w:ascii="仿宋" w:hAnsi="仿宋" w:eastAsia="仿宋" w:cs="仿宋"/>
                <w:sz w:val="24"/>
              </w:rPr>
              <w:t xml:space="preserve">5个入江支流（如皋港闸、戴案港、青年港、周圩港、久隆河）水质自动站运维服务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610" w:type="dxa"/>
            <w:vAlign w:val="center"/>
            <w:textDirection w:val="lrTb"/>
            <w:noWrap/>
          </w:tcPr>
          <w:p>
            <w:pPr>
              <w:jc w:val="left"/>
              <w:spacing w:line="520" w:lineRule="exact"/>
              <w:rPr>
                <w:rFonts w:ascii="仿宋" w:hAnsi="仿宋" w:eastAsia="仿宋" w:cs="仿宋"/>
                <w:sz w:val="24"/>
              </w:rPr>
            </w:pPr>
            <w:r>
              <w:rPr>
                <w:rFonts w:hint="eastAsia" w:ascii="仿宋" w:hAnsi="仿宋" w:eastAsia="仿宋" w:cs="仿宋"/>
                <w:sz w:val="24"/>
              </w:rPr>
              <w:t xml:space="preserve">2026年11月21日～2027年11月20日</w:t>
            </w:r>
            <w:r/>
          </w:p>
        </w:tc>
      </w:tr>
    </w:tbl>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建议响应供应商根据采购人提供的点位踏勘现场，踏勘现场所产生的费用由响应供应商自行承担，未踏勘现场导致的报价失误或者对系统及仪</w:t>
      </w:r>
      <w:r>
        <w:rPr>
          <w:rFonts w:hint="eastAsia" w:ascii="仿宋" w:hAnsi="仿宋" w:eastAsia="仿宋" w:cs="仿宋"/>
          <w:b/>
          <w:bCs/>
          <w:sz w:val="28"/>
          <w:szCs w:val="28"/>
          <w:highlight w:val="none"/>
        </w:rPr>
        <w:t xml:space="preserve">器设备现状理解和维保要求产生的歧义，后果由响应供应商自行承担。同时应了解在用的相关系统、控制平台、信息平台、集成平台等接入现状及运行模式。无论响应供应商对现场及现有平台考察与否，都将被视为熟悉履行合同有关的情况</w:t>
      </w:r>
      <w:r>
        <w:rPr>
          <w:rFonts w:hint="eastAsia" w:ascii="仿宋" w:hAnsi="仿宋" w:eastAsia="仿宋" w:cs="仿宋"/>
          <w:b/>
          <w:bCs/>
          <w:sz w:val="28"/>
          <w:szCs w:val="28"/>
        </w:rPr>
        <w:t xml:space="preserve">，并承担投标有关的风险、责任和义务。踏勘联系人：陈云 18362116298。</w:t>
      </w:r>
      <w:r/>
    </w:p>
    <w:p>
      <w:pPr>
        <w:numPr>
          <w:ilvl w:val="0"/>
          <w:numId w:val="1"/>
        </w:numPr>
        <w:ind w:firstLine="560"/>
        <w:spacing w:line="500" w:lineRule="exact"/>
        <w:rPr>
          <w:rFonts w:ascii="黑体" w:hAnsi="黑体" w:eastAsia="黑体"/>
          <w:sz w:val="28"/>
          <w:szCs w:val="28"/>
        </w:rPr>
      </w:pPr>
      <w:r>
        <w:rPr>
          <w:rFonts w:hint="eastAsia" w:ascii="黑体" w:hAnsi="黑体" w:eastAsia="黑体"/>
          <w:sz w:val="28"/>
          <w:szCs w:val="28"/>
        </w:rPr>
        <w:t xml:space="preserve">服务要求</w:t>
      </w:r>
      <w:r/>
    </w:p>
    <w:p>
      <w:pPr>
        <w:numPr>
          <w:ilvl w:val="0"/>
          <w:numId w:val="2"/>
        </w:numPr>
        <w:ind w:firstLine="48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项目说明</w:t>
      </w:r>
      <w:r/>
    </w:p>
    <w:p>
      <w:pPr>
        <w:ind w:left="420" w:firstLine="560"/>
        <w:jc w:val="center"/>
        <w:spacing w:beforeAutospacing="1" w:after="120"/>
        <w:rPr>
          <w:rFonts w:hint="eastAsia" w:ascii="仿宋" w:hAnsi="仿宋" w:eastAsia="仿宋" w:cs="仿宋"/>
          <w:sz w:val="28"/>
          <w:szCs w:val="28"/>
        </w:rPr>
      </w:pPr>
      <w:r>
        <w:rPr>
          <w:rFonts w:hint="eastAsia" w:ascii="仿宋" w:hAnsi="仿宋" w:eastAsia="仿宋" w:cs="仿宋"/>
          <w:sz w:val="28"/>
          <w:szCs w:val="28"/>
        </w:rPr>
        <w:t xml:space="preserve">表2</w:t>
      </w:r>
      <w:r>
        <w:rPr>
          <w:rFonts w:hint="eastAsia" w:ascii="仿宋" w:hAnsi="仿宋" w:eastAsia="仿宋" w:cs="仿宋"/>
          <w:sz w:val="28"/>
          <w:szCs w:val="28"/>
        </w:rPr>
        <w:t xml:space="preserve">采购包</w:t>
      </w:r>
      <w:r>
        <w:rPr>
          <w:rFonts w:hint="eastAsia" w:ascii="仿宋" w:hAnsi="仿宋" w:eastAsia="仿宋" w:cs="仿宋"/>
          <w:sz w:val="28"/>
          <w:szCs w:val="28"/>
        </w:rPr>
        <w:t xml:space="preserve">一4个站配置清单表</w:t>
      </w:r>
      <w:r/>
    </w:p>
    <w:tbl>
      <w:tblPr>
        <w:tblStyle w:val="920"/>
        <w:tblW w:w="860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750"/>
        <w:gridCol w:w="2193"/>
        <w:gridCol w:w="1635"/>
        <w:gridCol w:w="1410"/>
        <w:gridCol w:w="1095"/>
      </w:tblGrid>
      <w:tr>
        <w:trPr>
          <w:trHeight w:val="320"/>
        </w:trPr>
        <w:tc>
          <w:tcPr>
            <w:shd w:val="clear" w:color="auto" w:fill="auto"/>
            <w:tcBorders>
              <w:top w:val="single" w:color="auto" w:sz="4" w:space="0"/>
              <w:left w:val="single" w:color="auto" w:sz="4" w:space="0"/>
              <w:bottom w:val="single" w:color="auto" w:sz="4" w:space="0"/>
              <w:right w:val="single" w:color="auto" w:sz="4" w:space="0"/>
            </w:tcBorders>
            <w:tcW w:w="1517"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站点</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系统配置</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highlight w:val="none"/>
              </w:rPr>
              <w:t xml:space="preserve">生产厂商</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仪器型号</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启用时间</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环西大桥、四新桥、</w:t>
            </w:r>
            <w:r/>
          </w:p>
          <w:p>
            <w:pPr>
              <w:jc w:val="center"/>
              <w:widowControl/>
              <w:rPr>
                <w:rFonts w:hint="eastAsia" w:ascii="仿宋" w:hAnsi="仿宋" w:eastAsia="仿宋" w:cs="仿宋"/>
                <w:sz w:val="24"/>
              </w:rPr>
            </w:pPr>
            <w:r>
              <w:rPr>
                <w:rFonts w:hint="eastAsia" w:ascii="仿宋" w:hAnsi="仿宋" w:eastAsia="仿宋" w:cs="仿宋"/>
                <w:sz w:val="24"/>
              </w:rPr>
              <w:t xml:space="preserve">长庄大桥</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lang w:eastAsia="zh-CN"/>
              </w:rPr>
            </w:pPr>
            <w:r>
              <w:rPr>
                <w:rFonts w:hint="eastAsia" w:ascii="仿宋" w:hAnsi="仿宋" w:eastAsia="仿宋" w:cs="仿宋"/>
                <w:sz w:val="24"/>
                <w:lang w:eastAsia="zh-CN"/>
              </w:rPr>
              <w:t xml:space="preserve">上海摩威环境科技股份有限公司（以下简称上海摩威）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MOLWAY-KZ</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五参数自动监测仪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highlight w:val="none"/>
              </w:rPr>
              <w:t xml:space="preserve">哈希水质分析仪(上海)有限公司</w:t>
            </w:r>
            <w:r>
              <w:rPr>
                <w:rFonts w:hint="eastAsia" w:ascii="仿宋" w:hAnsi="仿宋" w:eastAsia="仿宋" w:cs="仿宋"/>
                <w:sz w:val="24"/>
                <w:highlight w:val="none"/>
                <w:lang w:eastAsia="zh-CN"/>
              </w:rPr>
              <w:t xml:space="preserve">（以下简称</w:t>
            </w:r>
            <w:r>
              <w:rPr>
                <w:rFonts w:hint="eastAsia" w:ascii="仿宋" w:hAnsi="仿宋" w:eastAsia="仿宋" w:cs="仿宋"/>
                <w:sz w:val="24"/>
              </w:rPr>
              <w:t xml:space="preserve">HACH</w:t>
            </w:r>
            <w:r>
              <w:rPr>
                <w:rFonts w:hint="eastAsia" w:ascii="仿宋" w:hAnsi="仿宋" w:eastAsia="仿宋" w:cs="仿宋"/>
                <w:sz w:val="24"/>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sc型</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氨氮自动监测仪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lang w:eastAsia="zh-CN"/>
              </w:rPr>
            </w:pPr>
            <w:r>
              <w:rPr>
                <w:rFonts w:hint="eastAsia" w:ascii="仿宋" w:hAnsi="仿宋" w:eastAsia="仿宋" w:cs="仿宋"/>
                <w:sz w:val="24"/>
              </w:rPr>
              <w:t xml:space="preserve">HACH</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NA8000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总磷、总氮自动监测仪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NPW-160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高锰酸盐指数自动监测仪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COD-203A</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采水单元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lang w:eastAsia="zh-CN"/>
              </w:rPr>
              <w:t xml:space="preserve">上海摩威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MOLWAY-CS</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629"/>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配水及预处理单元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lang w:eastAsia="zh-CN"/>
              </w:rPr>
              <w:t xml:space="preserve">上海摩威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MOLWAY-PSYCL</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数据采集及传输单元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lang w:eastAsia="zh-CN"/>
              </w:rPr>
              <w:t xml:space="preserve">上海摩威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MOLWAY-SC</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2021.4</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勇敢大桥</w:t>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系统采样及控制</w:t>
            </w:r>
            <w:r/>
          </w:p>
          <w:p>
            <w:pPr>
              <w:jc w:val="center"/>
              <w:widowControl/>
              <w:rPr>
                <w:rFonts w:hint="eastAsia" w:ascii="仿宋" w:hAnsi="仿宋" w:eastAsia="仿宋" w:cs="仿宋"/>
                <w:sz w:val="24"/>
              </w:rPr>
            </w:pPr>
            <w:r>
              <w:rPr>
                <w:rFonts w:hint="eastAsia" w:ascii="仿宋" w:hAnsi="仿宋" w:eastAsia="仿宋" w:cs="仿宋"/>
                <w:sz w:val="24"/>
              </w:rPr>
              <w:t xml:space="preserve">单元</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lang w:eastAsia="zh-CN"/>
              </w:rPr>
            </w:pPr>
            <w:r>
              <w:rPr>
                <w:rFonts w:hint="eastAsia" w:ascii="仿宋" w:hAnsi="仿宋" w:eastAsia="仿宋" w:cs="仿宋"/>
                <w:sz w:val="24"/>
              </w:rPr>
              <w:t xml:space="preserve">杭州绿洁</w:t>
            </w:r>
            <w:r>
              <w:rPr>
                <w:rFonts w:hint="eastAsia" w:ascii="仿宋" w:hAnsi="仿宋" w:eastAsia="仿宋" w:cs="仿宋"/>
                <w:sz w:val="24"/>
                <w:lang w:eastAsia="zh-CN"/>
              </w:rPr>
              <w:t xml:space="preserve">科技股份有限公司（以下简称杭州绿洁）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五参数自动监测仪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GR-6600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氨氮自动监测仪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GR-3411</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总磷自动监测仪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GR-3100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总氮自动监测仪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GR-2140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r>
        <w:trPr>
          <w:trHeight w:val="639"/>
        </w:trPr>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193"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高锰酸盐指数自动监测仪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GR-2110</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2020.12</w:t>
            </w:r>
            <w:r/>
          </w:p>
        </w:tc>
      </w:tr>
    </w:tbl>
    <w:p>
      <w:pPr>
        <w:ind w:left="420" w:firstLine="560"/>
        <w:jc w:val="center"/>
        <w:spacing w:beforeAutospacing="1" w:after="120"/>
        <w:rPr>
          <w:rFonts w:hint="eastAsia" w:ascii="仿宋" w:hAnsi="仿宋" w:eastAsia="仿宋" w:cs="仿宋"/>
          <w:sz w:val="28"/>
          <w:szCs w:val="28"/>
        </w:rPr>
      </w:pPr>
      <w:r>
        <w:rPr>
          <w:rFonts w:hint="eastAsia" w:ascii="仿宋" w:hAnsi="仿宋" w:eastAsia="仿宋" w:cs="仿宋"/>
          <w:sz w:val="28"/>
          <w:szCs w:val="28"/>
        </w:rPr>
        <w:t xml:space="preserve">表3 </w:t>
      </w:r>
      <w:r>
        <w:rPr>
          <w:rFonts w:hint="eastAsia" w:ascii="仿宋" w:hAnsi="仿宋" w:eastAsia="仿宋" w:cs="仿宋"/>
          <w:sz w:val="28"/>
          <w:szCs w:val="28"/>
        </w:rPr>
        <w:t xml:space="preserve">采购</w:t>
      </w:r>
      <w:r>
        <w:rPr>
          <w:rFonts w:hint="eastAsia" w:ascii="仿宋" w:hAnsi="仿宋" w:eastAsia="仿宋" w:cs="仿宋"/>
          <w:sz w:val="28"/>
          <w:szCs w:val="28"/>
        </w:rPr>
        <w:t xml:space="preserve">二4个站主要监测设备一览表</w:t>
      </w:r>
      <w:r/>
    </w:p>
    <w:tbl>
      <w:tblPr>
        <w:tblStyle w:val="920"/>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5"/>
        <w:gridCol w:w="720"/>
        <w:gridCol w:w="2205"/>
        <w:gridCol w:w="1575"/>
        <w:gridCol w:w="1470"/>
        <w:gridCol w:w="1206"/>
      </w:tblGrid>
      <w:tr>
        <w:trPr>
          <w:jc w:val="center"/>
        </w:trPr>
        <w:tc>
          <w:tcPr>
            <w:shd w:val="clear" w:color="auto" w:fill="auto"/>
            <w:tcW w:w="151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站点名称</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序号</w:t>
            </w:r>
            <w:r/>
          </w:p>
        </w:tc>
        <w:tc>
          <w:tcPr>
            <w:shd w:val="clear" w:color="auto" w:fill="auto"/>
            <w:tcW w:w="220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highlight w:val="none"/>
              </w:rPr>
              <w:t xml:space="preserve">系统配置</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生产厂商</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仪器型号</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启用时间</w:t>
            </w:r>
            <w:r/>
          </w:p>
        </w:tc>
      </w:tr>
      <w:tr>
        <w:trPr>
          <w:jc w:val="center"/>
        </w:trPr>
        <w:tc>
          <w:tcPr>
            <w:shd w:val="clear" w:color="auto" w:fill="auto"/>
            <w:tcW w:w="1515" w:type="dxa"/>
            <w:vAlign w:val="center"/>
            <w:vMerge w:val="restart"/>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鹏鹞水务水质自动站</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上海摩威</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MOLWAY-KZ</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lang w:eastAsia="zh-CN"/>
              </w:rPr>
            </w:pPr>
            <w:r>
              <w:rPr>
                <w:rFonts w:hint="eastAsia" w:ascii="仿宋" w:hAnsi="仿宋" w:eastAsia="仿宋" w:cs="仿宋"/>
                <w:sz w:val="24"/>
              </w:rPr>
              <w:t xml:space="preserve">水质五参数（水温、pH、溶解氧、浊度、电导率）</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lang w:eastAsia="zh-CN"/>
              </w:rPr>
            </w:pPr>
            <w:r>
              <w:rPr>
                <w:rFonts w:hint="eastAsia" w:ascii="仿宋" w:hAnsi="仿宋" w:eastAsia="仿宋" w:cs="仿宋"/>
                <w:sz w:val="24"/>
              </w:rPr>
              <w:t xml:space="preserve">苏州国弘环保科技有限公司</w:t>
            </w:r>
            <w:r>
              <w:rPr>
                <w:rFonts w:hint="eastAsia" w:ascii="仿宋" w:hAnsi="仿宋" w:eastAsia="仿宋" w:cs="仿宋"/>
                <w:sz w:val="24"/>
                <w:lang w:eastAsia="zh-CN"/>
              </w:rPr>
              <w:t xml:space="preserve">（以下简称苏州</w:t>
            </w:r>
            <w:r>
              <w:rPr>
                <w:rFonts w:hint="eastAsia" w:ascii="仿宋" w:hAnsi="仿宋" w:eastAsia="仿宋" w:cs="仿宋"/>
                <w:sz w:val="24"/>
              </w:rPr>
              <w:t xml:space="preserve">国弘</w:t>
            </w:r>
            <w:r>
              <w:rPr>
                <w:rFonts w:hint="eastAsia" w:ascii="仿宋" w:hAnsi="仿宋" w:eastAsia="仿宋" w:cs="仿宋"/>
                <w:sz w:val="24"/>
                <w:lang w:eastAsia="zh-CN"/>
              </w:rPr>
              <w:t xml:space="preserve">）</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MQPC-10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高锰酸盐指数</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lang w:eastAsia="zh-CN"/>
              </w:rPr>
            </w:pPr>
            <w:r>
              <w:rPr>
                <w:rFonts w:hint="eastAsia" w:ascii="仿宋" w:hAnsi="仿宋" w:eastAsia="仿宋" w:cs="仿宋"/>
                <w:bCs/>
                <w:sz w:val="24"/>
              </w:rPr>
              <w:t xml:space="preserve">南京鸿恺环保科技有限公司</w:t>
            </w:r>
            <w:r>
              <w:rPr>
                <w:rFonts w:hint="eastAsia" w:ascii="仿宋" w:hAnsi="仿宋" w:eastAsia="仿宋" w:cs="仿宋"/>
                <w:bCs/>
                <w:sz w:val="24"/>
                <w:lang w:eastAsia="zh-CN"/>
              </w:rPr>
              <w:t xml:space="preserve">（以下简称南京</w:t>
            </w:r>
            <w:r>
              <w:rPr>
                <w:rFonts w:hint="eastAsia" w:ascii="仿宋" w:hAnsi="仿宋" w:eastAsia="仿宋" w:cs="仿宋"/>
                <w:bCs/>
                <w:sz w:val="24"/>
              </w:rPr>
              <w:t xml:space="preserve">鸿恺</w:t>
            </w:r>
            <w:r>
              <w:rPr>
                <w:rFonts w:hint="eastAsia" w:ascii="仿宋" w:hAnsi="仿宋" w:eastAsia="仿宋" w:cs="仿宋"/>
                <w:bCs/>
                <w:sz w:val="24"/>
                <w:lang w:eastAsia="zh-CN"/>
              </w:rPr>
              <w:t xml:space="preserve">）</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HC-CODmn</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氨氮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南京鸿恺</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HC-NH3-N</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sz w:val="24"/>
                <w:lang w:eastAsia="zh-CN"/>
              </w:rPr>
            </w:pPr>
            <w:r>
              <w:rPr>
                <w:rFonts w:hint="eastAsia" w:ascii="仿宋" w:hAnsi="仿宋" w:eastAsia="仿宋" w:cs="仿宋"/>
                <w:sz w:val="24"/>
              </w:rPr>
              <w:t xml:space="preserve">总有机碳</w:t>
            </w:r>
            <w:r>
              <w:rPr>
                <w:rFonts w:hint="eastAsia" w:ascii="仿宋" w:hAnsi="仿宋" w:eastAsia="仿宋" w:cs="仿宋"/>
                <w:sz w:val="24"/>
                <w:lang w:eastAsia="zh-CN"/>
              </w:rPr>
              <w:t xml:space="preserve">自动</w:t>
            </w:r>
            <w:r/>
          </w:p>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sz w:val="24"/>
                <w:lang w:eastAsia="zh-CN"/>
              </w:rPr>
              <w:t xml:space="preserve">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highlight w:val="yellow"/>
                <w:lang w:eastAsia="zh-CN"/>
              </w:rPr>
            </w:pPr>
            <w:r>
              <w:rPr>
                <w:rFonts w:hint="eastAsia" w:ascii="仿宋" w:hAnsi="仿宋" w:eastAsia="仿宋" w:cs="仿宋"/>
                <w:bCs/>
                <w:sz w:val="24"/>
              </w:rPr>
              <w:t xml:space="preserve">岛津</w:t>
            </w:r>
            <w:r>
              <w:rPr>
                <w:rFonts w:hint="eastAsia" w:ascii="仿宋" w:hAnsi="仿宋" w:eastAsia="仿宋" w:cs="仿宋"/>
                <w:bCs/>
                <w:sz w:val="24"/>
                <w:lang w:eastAsia="zh-CN"/>
              </w:rPr>
              <w:t xml:space="preserve">制作所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TOC-4200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2020年12月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总磷</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highlight w:val="yellow"/>
                <w:lang w:eastAsia="zh-CN"/>
              </w:rPr>
            </w:pPr>
            <w:r>
              <w:rPr>
                <w:rFonts w:hint="eastAsia" w:ascii="仿宋" w:hAnsi="仿宋" w:eastAsia="仿宋" w:cs="仿宋"/>
                <w:sz w:val="24"/>
                <w:highlight w:val="none"/>
                <w:lang w:eastAsia="zh-CN"/>
              </w:rPr>
              <w:t xml:space="preserve">江苏</w:t>
            </w:r>
            <w:r>
              <w:rPr>
                <w:rFonts w:hint="eastAsia" w:ascii="仿宋" w:hAnsi="仿宋" w:eastAsia="仿宋" w:cs="仿宋"/>
                <w:sz w:val="24"/>
                <w:highlight w:val="none"/>
              </w:rPr>
              <w:t xml:space="preserve">国技</w:t>
            </w:r>
            <w:r>
              <w:rPr>
                <w:rFonts w:hint="eastAsia" w:ascii="仿宋" w:hAnsi="仿宋" w:eastAsia="仿宋" w:cs="仿宋"/>
                <w:sz w:val="24"/>
                <w:highlight w:val="none"/>
                <w:lang w:eastAsia="zh-CN"/>
              </w:rPr>
              <w:t xml:space="preserve">仪器有限公</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AM-4030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2024年7月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GR-2140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2024年7月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W w:w="2205" w:type="dxa"/>
            <w:vAlign w:val="center"/>
            <w:textDirection w:val="lrTb"/>
            <w:noWrap/>
          </w:tcPr>
          <w:p>
            <w:pPr>
              <w:ind w:left="1" w:hanging="108"/>
              <w:jc w:val="center"/>
              <w:spacing w:line="280" w:lineRule="exact"/>
              <w:rPr>
                <w:rFonts w:hint="eastAsia" w:ascii="仿宋" w:hAnsi="仿宋" w:eastAsia="仿宋" w:cs="仿宋"/>
                <w:bCs/>
                <w:sz w:val="24"/>
              </w:rPr>
            </w:pPr>
            <w:r>
              <w:rPr>
                <w:rFonts w:hint="eastAsia" w:ascii="仿宋" w:hAnsi="仿宋" w:eastAsia="仿宋" w:cs="仿宋"/>
                <w:bCs/>
                <w:sz w:val="24"/>
              </w:rPr>
              <w:t xml:space="preserve">挥发酚</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rPr>
                <w:rFonts w:hint="eastAsia" w:ascii="仿宋" w:hAnsi="仿宋" w:eastAsia="仿宋" w:cs="仿宋"/>
                <w:sz w:val="24"/>
              </w:rPr>
            </w:pPr>
            <w:r>
              <w:rPr>
                <w:rFonts w:hint="eastAsia" w:ascii="仿宋" w:hAnsi="仿宋" w:eastAsia="仿宋" w:cs="仿宋"/>
                <w:sz w:val="24"/>
              </w:rPr>
              <w:t xml:space="preserve">GR-3910</w:t>
            </w:r>
            <w:r/>
          </w:p>
        </w:tc>
        <w:tc>
          <w:tcPr>
            <w:shd w:val="clear" w:color="auto" w:fill="auto"/>
            <w:tcW w:w="1206" w:type="dxa"/>
            <w:vAlign w:val="center"/>
            <w:textDirection w:val="lrTb"/>
            <w:noWrap/>
          </w:tcPr>
          <w:p>
            <w:pPr>
              <w:jc w:val="center"/>
              <w:spacing w:line="280" w:lineRule="exact"/>
              <w:rPr>
                <w:rFonts w:hint="eastAsia" w:ascii="仿宋" w:hAnsi="仿宋" w:eastAsia="仿宋" w:cs="仿宋"/>
                <w:sz w:val="24"/>
              </w:rPr>
            </w:pPr>
            <w:r>
              <w:rPr>
                <w:rFonts w:hint="eastAsia" w:ascii="仿宋" w:hAnsi="仿宋" w:eastAsia="仿宋" w:cs="仿宋"/>
                <w:sz w:val="24"/>
              </w:rPr>
              <w:t xml:space="preserve">2024年7月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9</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挥发性有机物</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lang w:eastAsia="zh-CN"/>
              </w:rPr>
            </w:pPr>
            <w:r>
              <w:rPr>
                <w:rFonts w:hint="eastAsia" w:ascii="仿宋" w:hAnsi="仿宋" w:eastAsia="仿宋" w:cs="仿宋"/>
                <w:bCs/>
                <w:sz w:val="24"/>
              </w:rPr>
              <w:t xml:space="preserve">常州磐诺</w:t>
            </w:r>
            <w:r>
              <w:rPr>
                <w:rFonts w:hint="eastAsia" w:ascii="仿宋" w:hAnsi="仿宋" w:eastAsia="仿宋" w:cs="仿宋"/>
                <w:bCs/>
                <w:sz w:val="24"/>
                <w:lang w:eastAsia="zh-CN"/>
              </w:rPr>
              <w:t xml:space="preserve">仪器有限公司（以下简称常州</w:t>
            </w:r>
            <w:r>
              <w:rPr>
                <w:rFonts w:hint="eastAsia" w:ascii="仿宋" w:hAnsi="仿宋" w:eastAsia="仿宋" w:cs="仿宋"/>
                <w:bCs/>
                <w:sz w:val="24"/>
              </w:rPr>
              <w:t xml:space="preserve">磐诺</w:t>
            </w:r>
            <w:r>
              <w:rPr>
                <w:rFonts w:hint="eastAsia" w:ascii="仿宋" w:hAnsi="仿宋" w:eastAsia="仿宋" w:cs="仿宋"/>
                <w:bCs/>
                <w:sz w:val="24"/>
                <w:lang w:eastAsia="zh-CN"/>
              </w:rPr>
              <w:t xml:space="preserve">）</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PN-8700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2025年11月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10</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生物毒性（发光细菌）</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GR-8800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2024年7月</w:t>
            </w:r>
            <w:r/>
          </w:p>
        </w:tc>
      </w:tr>
      <w:tr>
        <w:trPr>
          <w:jc w:val="center"/>
        </w:trPr>
        <w:tc>
          <w:tcPr>
            <w:shd w:val="clear" w:color="auto" w:fill="auto"/>
            <w:tcW w:w="1515"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应急水库自动监测站</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2205" w:type="dxa"/>
            <w:vAlign w:val="center"/>
            <w:textDirection w:val="lrTb"/>
            <w:noWrap/>
          </w:tcPr>
          <w:p>
            <w:pPr>
              <w:jc w:val="center"/>
              <w:spacing w:line="269" w:lineRule="auto"/>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水质五参数（水温、pH、溶解氧、浊度、电导率）</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GR-6600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高锰酸盐指数</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GR-2110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氨氮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GR-3411</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总磷</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GR-3100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GR-2140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挥发酚</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GR-3910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叶绿素</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GR-6720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2024年9月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9</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蓝绿藻</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杭州绿洁</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GR-6730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2024年9月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10</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挥发性有机物</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常州磐诺</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PN-8700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上游预警站</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2205" w:type="dxa"/>
            <w:vAlign w:val="center"/>
            <w:textDirection w:val="lrTb"/>
            <w:noWrap/>
          </w:tcPr>
          <w:p>
            <w:pPr>
              <w:jc w:val="center"/>
              <w:spacing w:line="269" w:lineRule="auto"/>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水质五参数（水温、pH、溶解氧、浊度、电导率）</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GR-6600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2205" w:type="dxa"/>
            <w:vAlign w:val="center"/>
            <w:textDirection w:val="lrTb"/>
            <w:noWrap/>
          </w:tcPr>
          <w:p>
            <w:pPr>
              <w:ind w:left="-107"/>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高锰酸盐指数</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GR-2110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氨氮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GR-3411</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总磷</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GR-3100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总氮</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sz w:val="24"/>
              </w:rPr>
              <w:t xml:space="preserve">绿洁科技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GR-2140</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2026年8月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W w:w="2205" w:type="dxa"/>
            <w:vAlign w:val="center"/>
            <w:textDirection w:val="lrTb"/>
            <w:noWrap/>
          </w:tcPr>
          <w:p>
            <w:pPr>
              <w:ind w:left="1" w:hanging="108"/>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挥发酚</w:t>
            </w:r>
            <w:r>
              <w:rPr>
                <w:rFonts w:hint="eastAsia" w:ascii="仿宋" w:hAnsi="仿宋" w:eastAsia="仿宋" w:cs="仿宋"/>
                <w:sz w:val="24"/>
                <w:lang w:eastAsia="zh-CN"/>
              </w:rPr>
              <w:t xml:space="preserve">自动监测仪</w:t>
            </w:r>
            <w:r/>
          </w:p>
        </w:tc>
        <w:tc>
          <w:tcPr>
            <w:shd w:val="clear" w:color="auto" w:fill="auto"/>
            <w:tcW w:w="1575"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sz w:val="24"/>
              </w:rPr>
              <w:t xml:space="preserve">力合科技</w:t>
            </w:r>
            <w:r/>
          </w:p>
        </w:tc>
        <w:tc>
          <w:tcPr>
            <w:shd w:val="clear" w:color="auto" w:fill="auto"/>
            <w:tcW w:w="1470" w:type="dxa"/>
            <w:vAlign w:val="center"/>
            <w:textDirection w:val="lrTb"/>
            <w:noWrap/>
          </w:tcPr>
          <w:p>
            <w:pPr>
              <w:jc w:val="center"/>
              <w:spacing w:line="280" w:lineRule="exact"/>
              <w:widowControl/>
              <w:rPr>
                <w:rFonts w:hint="eastAsia" w:ascii="仿宋" w:hAnsi="仿宋" w:eastAsia="仿宋" w:cs="仿宋"/>
                <w:bCs/>
                <w:sz w:val="24"/>
              </w:rPr>
            </w:pPr>
            <w:r>
              <w:rPr>
                <w:rFonts w:hint="eastAsia" w:ascii="仿宋" w:hAnsi="仿宋" w:eastAsia="仿宋" w:cs="仿宋"/>
                <w:bCs/>
                <w:sz w:val="24"/>
              </w:rPr>
              <w:t xml:space="preserve">LF-2002</w:t>
            </w:r>
            <w:r/>
          </w:p>
        </w:tc>
        <w:tc>
          <w:tcPr>
            <w:shd w:val="clear" w:color="auto" w:fill="auto"/>
            <w:tcW w:w="1206"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2023年8月</w:t>
            </w:r>
            <w:r/>
          </w:p>
        </w:tc>
      </w:tr>
      <w:tr>
        <w:trPr>
          <w:jc w:val="center"/>
        </w:trPr>
        <w:tc>
          <w:tcPr>
            <w:shd w:val="clear" w:color="auto" w:fill="auto"/>
            <w:tcW w:w="1515" w:type="dxa"/>
            <w:vAlign w:val="center"/>
            <w:vMerge w:val="restart"/>
            <w:textDirection w:val="lrTb"/>
            <w:noWrap/>
          </w:tcPr>
          <w:p>
            <w:pPr>
              <w:jc w:val="center"/>
              <w:rPr>
                <w:rFonts w:hint="eastAsia" w:ascii="仿宋" w:hAnsi="仿宋" w:eastAsia="仿宋" w:cs="仿宋"/>
                <w:sz w:val="24"/>
              </w:rPr>
            </w:pPr>
            <w:r>
              <w:rPr>
                <w:rFonts w:hint="eastAsia" w:ascii="仿宋" w:hAnsi="仿宋" w:eastAsia="仿宋" w:cs="仿宋"/>
                <w:sz w:val="24"/>
              </w:rPr>
              <w:t xml:space="preserve">拉马河桥站</w:t>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W w:w="2205" w:type="dxa"/>
            <w:vAlign w:val="center"/>
            <w:textDirection w:val="lrTb"/>
            <w:noWrap/>
          </w:tcPr>
          <w:p>
            <w:pPr>
              <w:jc w:val="center"/>
              <w:spacing w:line="269" w:lineRule="auto"/>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上海摩威</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MOLWAY-KZ</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W w:w="220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五参数自动监测仪</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HACH，sc型</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W w:w="220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氨氮自动监测仪</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HACH，Amtax</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W w:w="220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总磷、总氮自动监测仪</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HACH，NPW-160</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r>
        <w:trPr>
          <w:jc w:val="center"/>
        </w:trPr>
        <w:tc>
          <w:tcPr>
            <w:shd w:val="clear" w:color="auto" w:fill="auto"/>
            <w:tcW w:w="1515" w:type="dxa"/>
            <w:vAlign w:val="center"/>
            <w:vMerge w:val="continue"/>
            <w:textDirection w:val="lrTb"/>
            <w:noWrap/>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W w:w="720" w:type="dxa"/>
            <w:vAlign w:val="center"/>
            <w:textDirection w:val="lrTb"/>
            <w:noWrap/>
          </w:tcPr>
          <w:p>
            <w:pPr>
              <w:jc w:val="center"/>
              <w:spacing w:line="280" w:lineRule="exact"/>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W w:w="220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高锰酸盐指数自动监测仪</w:t>
            </w:r>
            <w:r/>
          </w:p>
        </w:tc>
        <w:tc>
          <w:tcPr>
            <w:shd w:val="clear" w:color="auto" w:fill="auto"/>
            <w:tcW w:w="1575"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w:t>
            </w:r>
            <w:r/>
          </w:p>
        </w:tc>
        <w:tc>
          <w:tcPr>
            <w:shd w:val="clear" w:color="auto" w:fill="auto"/>
            <w:tcW w:w="1470"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HACH，COD-203A</w:t>
            </w:r>
            <w:r/>
          </w:p>
        </w:tc>
        <w:tc>
          <w:tcPr>
            <w:shd w:val="clear" w:color="auto" w:fill="auto"/>
            <w:tcW w:w="1206" w:type="dxa"/>
            <w:vAlign w:val="center"/>
            <w:textDirection w:val="lrTb"/>
            <w:noWrap/>
          </w:tcPr>
          <w:p>
            <w:pPr>
              <w:jc w:val="center"/>
              <w:spacing w:line="268" w:lineRule="auto"/>
              <w:widowControl/>
              <w:rPr>
                <w:rFonts w:hint="eastAsia" w:ascii="仿宋" w:hAnsi="仿宋" w:eastAsia="仿宋" w:cs="仿宋"/>
                <w:sz w:val="24"/>
              </w:rPr>
            </w:pPr>
            <w:r>
              <w:rPr>
                <w:rFonts w:hint="eastAsia" w:ascii="仿宋" w:hAnsi="仿宋" w:eastAsia="仿宋" w:cs="仿宋"/>
                <w:sz w:val="24"/>
              </w:rPr>
              <w:t xml:space="preserve">2021年4月</w:t>
            </w:r>
            <w:r/>
          </w:p>
        </w:tc>
      </w:tr>
    </w:tbl>
    <w:p>
      <w:pPr>
        <w:spacing w:after="200" w:line="271"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482"/>
        <w:jc w:val="center"/>
        <w:spacing w:line="272" w:lineRule="auto"/>
        <w:widowControl/>
        <w:rPr>
          <w:rFonts w:hint="eastAsia" w:ascii="仿宋" w:hAnsi="仿宋" w:eastAsia="仿宋" w:cs="仿宋"/>
          <w:b/>
          <w:sz w:val="28"/>
          <w:szCs w:val="28"/>
        </w:rPr>
      </w:pPr>
      <w:r>
        <w:rPr>
          <w:rFonts w:hint="eastAsia" w:ascii="仿宋" w:hAnsi="仿宋" w:eastAsia="仿宋" w:cs="仿宋"/>
          <w:sz w:val="28"/>
          <w:szCs w:val="28"/>
        </w:rPr>
        <w:t xml:space="preserve">表4 采购包三5个入江支流主要监测设备一览表</w:t>
      </w:r>
      <w:r/>
    </w:p>
    <w:tbl>
      <w:tblPr>
        <w:tblStyle w:val="920"/>
        <w:tblW w:w="8685" w:type="dxa"/>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720"/>
        <w:gridCol w:w="2205"/>
        <w:gridCol w:w="1455"/>
        <w:gridCol w:w="1575"/>
        <w:gridCol w:w="1230"/>
      </w:tblGrid>
      <w:tr>
        <w:trPr>
          <w:trHeight w:val="256"/>
        </w:trPr>
        <w:tc>
          <w:tcPr>
            <w:shd w:val="clear" w:color="auto" w:fill="auto"/>
            <w:tcBorders>
              <w:top w:val="single" w:color="auto" w:sz="4" w:space="0"/>
              <w:left w:val="single" w:color="auto" w:sz="4" w:space="0"/>
              <w:right w:val="single" w:color="auto" w:sz="4" w:space="0"/>
            </w:tcBorders>
            <w:tcW w:w="1500" w:type="dxa"/>
            <w:vAlign w:val="center"/>
            <w:vMerge w:val="restart"/>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如皋港闸、青年港、周圩港、久隆河、戴案港</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系统配置</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生产厂商</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仪器型号</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启用时间</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系统控制单元</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hint="eastAsia" w:ascii="仿宋" w:hAnsi="仿宋" w:eastAsia="仿宋" w:cs="仿宋"/>
                <w:sz w:val="24"/>
                <w:lang w:eastAsia="zh-CN"/>
              </w:rPr>
            </w:pPr>
            <w:r>
              <w:rPr>
                <w:rFonts w:hint="eastAsia" w:ascii="仿宋" w:hAnsi="仿宋" w:eastAsia="仿宋" w:cs="仿宋"/>
                <w:sz w:val="24"/>
                <w:lang w:eastAsia="zh-CN"/>
              </w:rPr>
              <w:t xml:space="preserve">上海摩威</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MOLWAY-KZ</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五参数自动监测仪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textDirection w:val="lrTb"/>
            <w:noWrap/>
          </w:tcPr>
          <w:p>
            <w:pPr>
              <w:jc w:val="center"/>
              <w:rPr>
                <w:rFonts w:hint="eastAsia" w:ascii="仿宋" w:hAnsi="仿宋" w:eastAsia="仿宋" w:cs="仿宋"/>
                <w:sz w:val="24"/>
              </w:rPr>
            </w:pPr>
            <w:r>
              <w:rPr>
                <w:rFonts w:hint="eastAsia" w:ascii="仿宋" w:hAnsi="仿宋" w:eastAsia="仿宋" w:cs="仿宋"/>
                <w:sz w:val="24"/>
                <w:lang w:eastAsia="zh-CN"/>
              </w:rPr>
              <w:t xml:space="preserve">苏州</w:t>
            </w:r>
            <w:r>
              <w:rPr>
                <w:rFonts w:hint="eastAsia" w:ascii="仿宋" w:hAnsi="仿宋" w:eastAsia="仿宋" w:cs="仿宋"/>
                <w:sz w:val="24"/>
              </w:rPr>
              <w:t xml:space="preserve">国弘</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MQPC-10</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氨氮自动监测仪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rPr>
                <w:rFonts w:hint="eastAsia" w:ascii="仿宋" w:hAnsi="仿宋" w:eastAsia="仿宋" w:cs="仿宋"/>
                <w:sz w:val="24"/>
              </w:rPr>
            </w:pPr>
            <w:r>
              <w:rPr>
                <w:rFonts w:hint="eastAsia" w:ascii="仿宋" w:hAnsi="仿宋" w:eastAsia="仿宋" w:cs="仿宋"/>
                <w:bCs/>
                <w:sz w:val="24"/>
              </w:rPr>
              <w:t xml:space="preserve">南京鸿恺</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HK-NH3-N</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总氮自动监测仪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rPr>
                <w:rFonts w:hint="eastAsia" w:ascii="仿宋" w:hAnsi="仿宋" w:eastAsia="仿宋" w:cs="仿宋"/>
                <w:sz w:val="24"/>
              </w:rPr>
            </w:pPr>
            <w:r>
              <w:rPr>
                <w:rFonts w:hint="eastAsia" w:ascii="仿宋" w:hAnsi="仿宋" w:eastAsia="仿宋" w:cs="仿宋"/>
                <w:bCs/>
                <w:sz w:val="24"/>
              </w:rPr>
              <w:t xml:space="preserve">南京鸿恺</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HK-TN</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256"/>
        </w:trPr>
        <w:tc>
          <w:tcPr>
            <w:shd w:val="clear" w:color="auto" w:fill="auto"/>
            <w:tcBorders>
              <w:left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总磷自动监测仪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rPr>
                <w:rFonts w:hint="eastAsia" w:ascii="仿宋" w:hAnsi="仿宋" w:eastAsia="仿宋" w:cs="仿宋"/>
                <w:sz w:val="24"/>
              </w:rPr>
            </w:pPr>
            <w:r>
              <w:rPr>
                <w:rFonts w:hint="eastAsia" w:ascii="仿宋" w:hAnsi="仿宋" w:eastAsia="仿宋" w:cs="仿宋"/>
                <w:bCs/>
                <w:sz w:val="24"/>
              </w:rPr>
              <w:t xml:space="preserve">南京鸿恺</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HK-TP</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r>
        <w:trPr>
          <w:trHeight w:val="512"/>
        </w:trPr>
        <w:tc>
          <w:tcPr>
            <w:shd w:val="clear" w:color="auto" w:fill="auto"/>
            <w:tcBorders>
              <w:left w:val="single" w:color="auto" w:sz="4" w:space="0"/>
              <w:bottom w:val="single" w:color="auto" w:sz="4" w:space="0"/>
              <w:right w:val="single" w:color="auto" w:sz="4" w:space="0"/>
            </w:tcBorders>
            <w:tcW w:w="1500" w:type="dxa"/>
            <w:vAlign w:val="center"/>
            <w:vMerge w:val="continue"/>
            <w:textDirection w:val="lrTb"/>
            <w:noWrap/>
          </w:tcPr>
          <w:p>
            <w:pPr>
              <w:jc w:val="center"/>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205"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rPr>
              <w:t xml:space="preserve">高锰酸盐指数自动监测仪</w:t>
            </w:r>
            <w:r/>
          </w:p>
        </w:tc>
        <w:tc>
          <w:tcPr>
            <w:shd w:val="clear" w:color="auto" w:fill="auto"/>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rPr>
                <w:rFonts w:hint="eastAsia" w:ascii="仿宋" w:hAnsi="仿宋" w:eastAsia="仿宋" w:cs="仿宋"/>
                <w:sz w:val="24"/>
              </w:rPr>
            </w:pPr>
            <w:r>
              <w:rPr>
                <w:rFonts w:hint="eastAsia" w:ascii="仿宋" w:hAnsi="仿宋" w:eastAsia="仿宋" w:cs="仿宋"/>
                <w:bCs/>
                <w:sz w:val="24"/>
              </w:rPr>
              <w:t xml:space="preserve">南京鸿恺</w:t>
            </w:r>
            <w:r/>
          </w:p>
        </w:tc>
        <w:tc>
          <w:tcPr>
            <w:shd w:val="clear" w:color="auto" w:fill="auto"/>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center"/>
              <w:rPr>
                <w:rFonts w:hint="eastAsia" w:ascii="仿宋" w:hAnsi="仿宋" w:eastAsia="仿宋" w:cs="仿宋"/>
                <w:sz w:val="24"/>
                <w:szCs w:val="24"/>
                <w:lang w:val="en-US" w:eastAsia="zh-CN" w:bidi="ar-SA"/>
              </w:rPr>
            </w:pPr>
            <w:r>
              <w:rPr>
                <w:rFonts w:hint="eastAsia" w:ascii="仿宋" w:hAnsi="仿宋" w:eastAsia="仿宋" w:cs="仿宋"/>
                <w:sz w:val="24"/>
              </w:rPr>
              <w:t xml:space="preserve">HK-CODmn</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top"/>
            <w:textDirection w:val="lrTb"/>
            <w:noWrap/>
          </w:tcPr>
          <w:p>
            <w:pPr>
              <w:jc w:val="center"/>
              <w:widowControl/>
              <w:rPr>
                <w:rFonts w:hint="eastAsia" w:ascii="仿宋" w:hAnsi="仿宋" w:eastAsia="仿宋" w:cs="仿宋"/>
                <w:sz w:val="24"/>
                <w:szCs w:val="24"/>
                <w:lang w:val="en-US" w:eastAsia="zh-CN" w:bidi="ar-SA"/>
              </w:rPr>
            </w:pPr>
            <w:r>
              <w:rPr>
                <w:rFonts w:hint="eastAsia" w:ascii="仿宋" w:hAnsi="仿宋" w:eastAsia="仿宋" w:cs="仿宋"/>
                <w:sz w:val="24"/>
              </w:rPr>
              <w:t xml:space="preserve">2020年12月</w:t>
            </w:r>
            <w:r/>
          </w:p>
        </w:tc>
      </w:tr>
    </w:tbl>
    <w:p>
      <w:pPr>
        <w:numPr>
          <w:ilvl w:val="0"/>
          <w:numId w:val="2"/>
        </w:numPr>
        <w:ind w:firstLine="48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服务内容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包括但不限</w:t>
      </w:r>
      <w:r>
        <w:rPr>
          <w:rFonts w:hint="eastAsia" w:ascii="仿宋" w:hAnsi="仿宋" w:eastAsia="仿宋" w:cs="仿宋"/>
          <w:sz w:val="28"/>
          <w:szCs w:val="28"/>
          <w:highlight w:val="none"/>
        </w:rPr>
        <w:t xml:space="preserve">于备品备件、耗材、试剂、标准物质、备用设备、监测仪器和辅助设备的维修、废液处理、水电费、通讯费、站房维修等。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根据工作内容，供应商在报价中应包含（但不限于）表5所列各部分工作的费用：</w:t>
      </w:r>
      <w:r/>
    </w:p>
    <w:p>
      <w:pPr>
        <w:ind w:firstLine="361"/>
        <w:jc w:val="center"/>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表5报价应含的各部分工作费用</w:t>
      </w:r>
      <w:r/>
    </w:p>
    <w:tbl>
      <w:tblPr>
        <w:tblStyle w:val="920"/>
        <w:tblW w:w="8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50"/>
        <w:gridCol w:w="1950"/>
        <w:gridCol w:w="5485"/>
      </w:tblGrid>
      <w:tr>
        <w:trPr>
          <w:jc w:val="center"/>
          <w:trHeight w:val="63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服务项目</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说明</w:t>
            </w:r>
            <w:r/>
          </w:p>
        </w:tc>
      </w:tr>
      <w:tr>
        <w:trPr>
          <w:jc w:val="center"/>
          <w:trHeight w:val="63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rPr>
                <w:rFonts w:hint="eastAsia" w:ascii="仿宋" w:hAnsi="仿宋" w:eastAsia="仿宋" w:cs="仿宋"/>
                <w:sz w:val="24"/>
                <w:highlight w:val="none"/>
              </w:rPr>
            </w:pPr>
            <w:r>
              <w:rPr>
                <w:rFonts w:hint="eastAsia" w:ascii="仿宋" w:hAnsi="仿宋" w:eastAsia="仿宋" w:cs="仿宋"/>
                <w:sz w:val="24"/>
                <w:highlight w:val="none"/>
              </w:rPr>
              <w:t xml:space="preserve">备品备件及耗材费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highlight w:val="none"/>
              </w:rPr>
            </w:pPr>
            <w:r>
              <w:rPr>
                <w:rFonts w:hint="eastAsia" w:ascii="仿宋" w:hAnsi="仿宋" w:eastAsia="仿宋" w:cs="仿宋"/>
                <w:sz w:val="24"/>
                <w:highlight w:val="none"/>
              </w:rPr>
              <w:t xml:space="preserve">保证所有监测设备正常运行的备品备件及耗材的费用</w:t>
            </w:r>
            <w:r/>
          </w:p>
        </w:tc>
      </w:tr>
      <w:tr>
        <w:trPr>
          <w:jc w:val="center"/>
          <w:trHeight w:val="507"/>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日常运维费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运维过程产生的试剂费、人工费、差旅费等</w:t>
            </w:r>
            <w:r/>
          </w:p>
        </w:tc>
      </w:tr>
      <w:tr>
        <w:trPr>
          <w:jc w:val="center"/>
          <w:trHeight w:val="57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仪器设备维修费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站点所有仪器设备的维修，包括所有辅助设备的费用</w:t>
            </w:r>
            <w:r/>
          </w:p>
        </w:tc>
      </w:tr>
      <w:tr>
        <w:trPr>
          <w:jc w:val="center"/>
          <w:trHeight w:val="551"/>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质量控制管理费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质控样、实验室比对等内部质量控制工作产生的费用 </w:t>
            </w:r>
            <w:r/>
          </w:p>
        </w:tc>
      </w:tr>
      <w:tr>
        <w:trPr>
          <w:jc w:val="center"/>
          <w:trHeight w:val="563"/>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水电、通讯费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自来水、空调、仪器设备等水电费用及网络通讯费用</w:t>
            </w:r>
            <w:r/>
          </w:p>
        </w:tc>
      </w:tr>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备用设备费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一套常规站备用设备的费用</w:t>
            </w:r>
            <w:r/>
          </w:p>
        </w:tc>
      </w:tr>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废液处理费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废液处理的费用</w:t>
            </w:r>
            <w:r/>
          </w:p>
        </w:tc>
      </w:tr>
      <w:tr>
        <w:trPr>
          <w:jc w:val="center"/>
          <w:trHeight w:val="487"/>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1050" w:type="dxa"/>
            <w:vAlign w:val="center"/>
            <w:textDirection w:val="lrTb"/>
            <w:noWrap/>
          </w:tcPr>
          <w:p>
            <w:pPr>
              <w:jc w:val="center"/>
              <w:rPr>
                <w:rFonts w:hint="eastAsia" w:ascii="仿宋" w:hAnsi="仿宋" w:eastAsia="仿宋" w:cs="仿宋"/>
                <w:sz w:val="24"/>
              </w:rPr>
            </w:pPr>
            <w:r>
              <w:rPr>
                <w:rFonts w:hint="eastAsia" w:ascii="仿宋" w:hAnsi="仿宋" w:eastAsia="仿宋" w:cs="仿宋"/>
                <w:sz w:val="24"/>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950" w:type="dxa"/>
            <w:vAlign w:val="center"/>
            <w:textDirection w:val="lrTb"/>
            <w:noWrap/>
          </w:tcPr>
          <w:p>
            <w:pPr>
              <w:jc w:val="left"/>
              <w:rPr>
                <w:rFonts w:hint="eastAsia" w:ascii="仿宋" w:hAnsi="仿宋" w:eastAsia="仿宋" w:cs="仿宋"/>
                <w:sz w:val="24"/>
              </w:rPr>
            </w:pPr>
            <w:r>
              <w:rPr>
                <w:rFonts w:hint="eastAsia" w:ascii="仿宋" w:hAnsi="仿宋" w:eastAsia="仿宋" w:cs="仿宋"/>
                <w:sz w:val="24"/>
              </w:rPr>
              <w:t xml:space="preserve">站房维修费</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5485" w:type="dxa"/>
            <w:vAlign w:val="center"/>
            <w:textDirection w:val="lrTb"/>
            <w:noWrap/>
          </w:tcPr>
          <w:p>
            <w:pPr>
              <w:rPr>
                <w:rFonts w:hint="eastAsia" w:ascii="仿宋" w:hAnsi="仿宋" w:eastAsia="仿宋" w:cs="仿宋"/>
                <w:sz w:val="24"/>
              </w:rPr>
            </w:pPr>
            <w:r>
              <w:rPr>
                <w:rFonts w:hint="eastAsia" w:ascii="仿宋" w:hAnsi="仿宋" w:eastAsia="仿宋" w:cs="仿宋"/>
                <w:sz w:val="24"/>
              </w:rPr>
              <w:t xml:space="preserve">站房维修的费用</w:t>
            </w:r>
            <w:r/>
          </w:p>
        </w:tc>
      </w:tr>
    </w:tbl>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（三）总体要求</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要求供应商根据磋商文件的要求负责水质自动监测系统的运营维护及管理工作。在运营维护及管理期间，成交供应商必须遵守国家的有关法律、法规及其他规定，本着为采购人负责的精神，依照规范，科学管理，使各监测监控系统运行达到国家及行业颁布的技术标准和采购人要求的考核指标要求，使水质自动监测系统运行真正发挥其效能和作用。</w:t>
      </w:r>
      <w:r/>
    </w:p>
    <w:p>
      <w:pPr>
        <w:ind w:firstLine="560"/>
        <w:jc w:val="left"/>
        <w:spacing w:line="500" w:lineRule="exact"/>
        <w:widowControl/>
        <w:rPr>
          <w:rFonts w:ascii="仿宋" w:hAnsi="仿宋" w:eastAsia="仿宋" w:cs="仿宋"/>
          <w:sz w:val="28"/>
          <w:szCs w:val="28"/>
        </w:rPr>
      </w:pPr>
      <w:r>
        <w:rPr>
          <w:rFonts w:hint="eastAsia" w:ascii="仿宋" w:hAnsi="仿宋" w:eastAsia="仿宋" w:cs="仿宋"/>
          <w:sz w:val="28"/>
          <w:szCs w:val="28"/>
        </w:rPr>
        <w:t xml:space="preserve">1.水、电、通讯及财产保护：运行管理期间所需水、电、通讯等费用由成交供应商负责，委托运行管理及维修的全部资产（包括全部产权和建筑物、设备、软件、配套设施、水质自动站和配套监控系统产生的各类数据信息及相关文档资料）属采购人所有。未经采购人同意，成交供应商不得以任何方式对各类财产进行出售、抵押或转移；同时，在委托运行管理及维修期间，协助采购人做好水质自动站固定资产的管理、备品配件的登记等工作。成交供应商有责任保证上述全部资产的完整、安全并处于良好状态。</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2.人员培训：应配备1名经验丰富的运维人员，运维人员合同运维周期内所运维水站数量不得多于6个水站</w:t>
      </w:r>
      <w:r>
        <w:rPr>
          <w:rFonts w:hint="eastAsia" w:ascii="仿宋" w:hAnsi="仿宋" w:eastAsia="仿宋" w:cs="仿宋"/>
          <w:b/>
          <w:bCs/>
          <w:sz w:val="28"/>
          <w:szCs w:val="28"/>
        </w:rPr>
        <w:t xml:space="preserve">（总数量是指不论运维地区，总共不能超过6个。提供承诺函）</w:t>
      </w:r>
      <w:r>
        <w:rPr>
          <w:rFonts w:hint="eastAsia" w:ascii="仿宋" w:hAnsi="仿宋" w:eastAsia="仿宋" w:cs="仿宋"/>
          <w:sz w:val="28"/>
          <w:szCs w:val="28"/>
        </w:rPr>
        <w:t xml:space="preserve">。为本</w:t>
      </w:r>
      <w:r>
        <w:rPr>
          <w:rFonts w:hint="eastAsia" w:ascii="仿宋" w:hAnsi="仿宋" w:eastAsia="仿宋" w:cs="仿宋"/>
          <w:sz w:val="28"/>
          <w:szCs w:val="28"/>
          <w:highlight w:val="none"/>
        </w:rPr>
        <w:t xml:space="preserve">项目配置的运维人员应通过省级及以上水质自动站持证上岗考核或培训</w:t>
      </w:r>
      <w:r>
        <w:rPr>
          <w:rFonts w:hint="eastAsia" w:ascii="仿宋" w:hAnsi="仿宋" w:eastAsia="仿宋" w:cs="仿宋"/>
          <w:b/>
          <w:bCs/>
          <w:sz w:val="28"/>
          <w:szCs w:val="28"/>
          <w:highlight w:val="none"/>
        </w:rPr>
        <w:t xml:space="preserve">（须提供聘用合同及2026年01月</w:t>
      </w:r>
      <w:r>
        <w:rPr>
          <w:rFonts w:hint="eastAsia" w:ascii="仿宋" w:hAnsi="仿宋" w:eastAsia="仿宋" w:cs="仿宋"/>
          <w:sz w:val="28"/>
          <w:szCs w:val="28"/>
          <w:highlight w:val="none"/>
        </w:rPr>
        <w:t xml:space="preserve">～</w:t>
      </w:r>
      <w:r>
        <w:rPr>
          <w:rFonts w:hint="eastAsia" w:ascii="仿宋" w:hAnsi="仿宋" w:eastAsia="仿宋" w:cs="仿宋"/>
          <w:b/>
          <w:bCs/>
          <w:sz w:val="28"/>
          <w:szCs w:val="28"/>
          <w:highlight w:val="none"/>
        </w:rPr>
        <w:t xml:space="preserve">2026年8月中任意一个月职工社会保险缴纳证明、培训合格证明、职称证书证明或其他类似证明材料）</w:t>
      </w:r>
      <w:r>
        <w:rPr>
          <w:rFonts w:hint="eastAsia" w:ascii="仿宋" w:hAnsi="仿宋" w:eastAsia="仿宋" w:cs="仿宋"/>
          <w:sz w:val="28"/>
          <w:szCs w:val="28"/>
          <w:highlight w:val="none"/>
        </w:rPr>
        <w:t xml:space="preserve">。若</w:t>
      </w:r>
      <w:r>
        <w:rPr>
          <w:rFonts w:hint="eastAsia" w:ascii="仿宋" w:hAnsi="仿宋" w:eastAsia="仿宋" w:cs="仿宋"/>
          <w:sz w:val="28"/>
          <w:szCs w:val="28"/>
        </w:rPr>
        <w:t xml:space="preserve">现场运维人员变动，须提前向采购人提交书面申请及接任者资质证明，经审核同意后方可更换，确保运维工作无缝衔接。所有运维人员需定期参加技术更新与安全教育培训，持续提升专业技能与应急处置能力。采购人有权对运维人员进行不定期考核，对于考核不合格或无法胜任岗位的人员，成交供应商须在收到通知后5个工作日内完成替换，并承担由此产生的一切责任与费用，保障水质自动站稳定高效运行。</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本项目配置1名项目负责人，须由响应供应商授权全面负责项目的组织实施工作，并有权调动保障项目实施的各类资源。负责项目的现场沟通协调、技术管理和质量控制，具有最终审批权和解释权。该人员应有3年及以上水质自动监测站运维管理经验。</w:t>
      </w:r>
      <w:r/>
    </w:p>
    <w:p>
      <w:pPr>
        <w:ind w:firstLine="560"/>
        <w:jc w:val="left"/>
        <w:spacing w:line="500" w:lineRule="exact"/>
        <w:rPr>
          <w:sz w:val="24"/>
        </w:rPr>
      </w:pPr>
      <w:r>
        <w:rPr>
          <w:rFonts w:hint="eastAsia" w:ascii="仿宋" w:hAnsi="仿宋" w:eastAsia="仿宋" w:cs="仿宋"/>
          <w:sz w:val="28"/>
          <w:szCs w:val="28"/>
        </w:rPr>
        <w:t xml:space="preserve">3</w:t>
      </w:r>
      <w:r>
        <w:rPr>
          <w:rFonts w:hint="eastAsia" w:ascii="仿宋" w:hAnsi="仿宋" w:eastAsia="仿宋" w:cs="仿宋"/>
          <w:b/>
          <w:bCs/>
          <w:sz w:val="28"/>
          <w:szCs w:val="28"/>
        </w:rPr>
        <w:t xml:space="preserve">.成交后供应商须提供驻场服务，</w:t>
      </w:r>
      <w:r>
        <w:rPr>
          <w:rFonts w:hint="eastAsia" w:ascii="仿宋" w:hAnsi="仿宋" w:eastAsia="仿宋" w:cs="仿宋"/>
          <w:sz w:val="28"/>
          <w:szCs w:val="28"/>
        </w:rPr>
        <w:t xml:space="preserve">成交供应商需在成交后一个月（30日历日）内安排一名相关专业大学专科及以上学历技术人员到我单位驻站工作，</w:t>
      </w:r>
      <w:r>
        <w:rPr>
          <w:rFonts w:hint="eastAsia" w:ascii="仿宋" w:hAnsi="仿宋" w:eastAsia="仿宋" w:cs="仿宋"/>
          <w:b/>
          <w:bCs/>
          <w:sz w:val="28"/>
          <w:szCs w:val="28"/>
        </w:rPr>
        <w:t xml:space="preserve">驻站人员需有不少于1年的地表水水质自动站数据审核工作经验（提供相关工作经验证明）或有不少于1年的水站运维经验（提供有效的水站上岗证证书）或不少于1年的水质实验分析经验（提供工作经历承诺函）</w:t>
      </w:r>
      <w:r>
        <w:rPr>
          <w:rFonts w:hint="eastAsia" w:ascii="仿宋" w:hAnsi="仿宋" w:eastAsia="仿宋" w:cs="仿宋"/>
          <w:sz w:val="28"/>
          <w:szCs w:val="28"/>
        </w:rPr>
        <w:t xml:space="preserve">。主要工作为各级水质自动站数据审核、报告编制、水站数据跟踪统计和我单位安排的相关工作，若出现不适岗情况时成交供应商应及时更换驻站技术人员，成交供应商需履行对驻站人员的监督职责</w:t>
      </w:r>
      <w:r>
        <w:rPr>
          <w:rFonts w:hint="eastAsia" w:ascii="仿宋" w:hAnsi="仿宋" w:eastAsia="仿宋" w:cs="仿宋"/>
          <w:b/>
          <w:bCs/>
          <w:sz w:val="28"/>
          <w:szCs w:val="28"/>
        </w:rPr>
        <w:t xml:space="preserve">（提供适岗承诺函）</w:t>
      </w:r>
      <w:r>
        <w:rPr>
          <w:rFonts w:hint="eastAsia" w:ascii="仿宋" w:hAnsi="仿宋" w:eastAsia="仿宋" w:cs="仿宋"/>
          <w:sz w:val="28"/>
          <w:szCs w:val="28"/>
        </w:rPr>
        <w:t xml:space="preserve">。</w:t>
      </w:r>
      <w:r/>
    </w:p>
    <w:p>
      <w:pPr>
        <w:ind w:firstLine="562"/>
        <w:jc w:val="left"/>
        <w:spacing w:line="500" w:lineRule="exact"/>
        <w:rPr>
          <w:rFonts w:ascii="仿宋" w:hAnsi="仿宋" w:eastAsia="仿宋" w:cs="仿宋"/>
          <w:b/>
          <w:bCs/>
          <w:sz w:val="28"/>
          <w:szCs w:val="28"/>
        </w:rPr>
      </w:pPr>
      <w:r>
        <w:rPr>
          <w:rFonts w:hint="eastAsia" w:ascii="仿宋" w:hAnsi="仿宋" w:eastAsia="仿宋" w:cs="仿宋"/>
          <w:b/>
          <w:bCs/>
          <w:sz w:val="28"/>
          <w:szCs w:val="28"/>
        </w:rPr>
        <w:t xml:space="preserve">4.</w:t>
      </w:r>
      <w:r>
        <w:rPr>
          <w:rFonts w:hint="eastAsia" w:ascii="仿宋" w:hAnsi="仿宋" w:eastAsia="仿宋" w:cs="仿宋"/>
          <w:sz w:val="28"/>
          <w:szCs w:val="28"/>
        </w:rPr>
        <w:t xml:space="preserve">运维单位须在成交后一个月（30日历日）内，配置1辆专门车辆，并向我单位提交已有、采购的证明材料（车辆接受租赁，如为租赁合同，则租赁合同周期需至少覆盖服务周期）</w:t>
      </w:r>
      <w:r>
        <w:rPr>
          <w:rFonts w:hint="eastAsia" w:ascii="仿宋" w:hAnsi="仿宋" w:eastAsia="仿宋" w:cs="仿宋"/>
          <w:b/>
          <w:bCs/>
          <w:sz w:val="28"/>
          <w:szCs w:val="28"/>
        </w:rPr>
        <w:t xml:space="preserve">（提供承诺函）。</w:t>
      </w:r>
      <w:r/>
    </w:p>
    <w:p>
      <w:pPr>
        <w:ind w:firstLine="562"/>
        <w:spacing w:line="500" w:lineRule="exact"/>
        <w:tabs>
          <w:tab w:val="left" w:pos="2020" w:leader="none"/>
          <w:tab w:val="center" w:pos="4535" w:leader="none"/>
        </w:tabs>
        <w:rPr>
          <w:rFonts w:ascii="仿宋" w:hAnsi="仿宋" w:eastAsia="仿宋" w:cs="仿宋"/>
          <w:b/>
          <w:bCs/>
          <w:sz w:val="28"/>
          <w:szCs w:val="28"/>
          <w:highlight w:val="none"/>
        </w:rPr>
        <w:outlineLvl w:val="0"/>
      </w:pPr>
      <w:r>
        <w:rPr>
          <w:rFonts w:hint="eastAsia" w:ascii="仿宋" w:hAnsi="仿宋" w:eastAsia="仿宋" w:cs="仿宋"/>
          <w:b/>
          <w:bCs/>
          <w:color w:val="000000"/>
          <w:sz w:val="28"/>
          <w:szCs w:val="28"/>
        </w:rPr>
        <w:t xml:space="preserve">5.</w:t>
      </w:r>
      <w:r>
        <w:rPr>
          <w:rFonts w:hint="eastAsia" w:ascii="仿宋" w:hAnsi="仿宋" w:eastAsia="仿宋" w:cs="仿宋"/>
          <w:sz w:val="28"/>
          <w:szCs w:val="28"/>
        </w:rPr>
        <w:t xml:space="preserve">运维单位需要配备1套通过计量检定/校准的便携式五参数（水温、pH值值、溶解氧、电导率和浊度）监测设备，溶解氧便携监测设备应满足原位监测要求，并在需要时用于水质自动监测站的质控及比对考核。</w:t>
      </w:r>
      <w:r>
        <w:rPr>
          <w:rFonts w:hint="eastAsia" w:ascii="仿宋" w:hAnsi="仿宋" w:eastAsia="仿宋" w:cs="仿宋"/>
          <w:b/>
          <w:bCs/>
          <w:sz w:val="28"/>
          <w:szCs w:val="28"/>
          <w:highlight w:val="none"/>
        </w:rPr>
        <w:t xml:space="preserve">（已经购买的须提供购置发票或采购合同证明，以及与设备型号一致的检定/校准证书；未购买的须与生产厂家签订了供货协议或意向性供货协议，并提供协议证明，以及检定/校准承诺函）。</w:t>
      </w:r>
      <w:r/>
    </w:p>
    <w:p>
      <w:pPr>
        <w:ind w:firstLine="560"/>
        <w:jc w:val="left"/>
        <w:spacing w:line="500" w:lineRule="exact"/>
        <w:rPr>
          <w:rFonts w:ascii="仿宋" w:hAnsi="仿宋" w:eastAsia="仿宋" w:cs="仿宋"/>
          <w:b/>
          <w:bCs/>
          <w:sz w:val="28"/>
          <w:szCs w:val="28"/>
        </w:rPr>
      </w:pPr>
      <w:r>
        <w:rPr>
          <w:rFonts w:hint="eastAsia" w:ascii="仿宋" w:hAnsi="仿宋" w:eastAsia="仿宋" w:cs="仿宋"/>
          <w:sz w:val="28"/>
          <w:szCs w:val="28"/>
        </w:rPr>
        <w:t xml:space="preserve">6.运维单位须配备1套九参数分析仪（水温、pH值、溶解氧、电导率、浊度、高锰酸盐指数、氨氮、总磷、总氮）备机。</w:t>
      </w:r>
      <w:r>
        <w:rPr>
          <w:rFonts w:hint="eastAsia" w:ascii="仿宋" w:hAnsi="仿宋" w:eastAsia="仿宋" w:cs="仿宋"/>
          <w:b/>
          <w:bCs/>
          <w:sz w:val="28"/>
          <w:szCs w:val="28"/>
        </w:rPr>
        <w:t xml:space="preserve">备机均应通过环境保护部环境监测仪器质量监督检验中心的适用性检测，具有环境保护部环境监测仪器质量监督检验中心出具的在有效期内的检测合格报告。</w:t>
      </w:r>
      <w:r>
        <w:rPr>
          <w:rFonts w:hint="eastAsia" w:ascii="仿宋" w:hAnsi="仿宋" w:eastAsia="仿宋" w:cs="仿宋"/>
          <w:sz w:val="28"/>
          <w:szCs w:val="28"/>
        </w:rPr>
        <w:t xml:space="preserve">测量数据等参数按水站数据传输协议上传我单位指定的平</w:t>
      </w:r>
      <w:r>
        <w:rPr>
          <w:rFonts w:hint="eastAsia" w:ascii="仿宋" w:hAnsi="仿宋" w:eastAsia="仿宋" w:cs="仿宋"/>
          <w:sz w:val="28"/>
          <w:szCs w:val="28"/>
          <w:highlight w:val="none"/>
        </w:rPr>
        <w:t xml:space="preserve">台。</w:t>
      </w:r>
      <w:r>
        <w:rPr>
          <w:rFonts w:hint="eastAsia" w:ascii="仿宋" w:hAnsi="仿宋" w:eastAsia="仿宋" w:cs="仿宋"/>
          <w:b/>
          <w:bCs/>
          <w:sz w:val="28"/>
          <w:szCs w:val="28"/>
          <w:highlight w:val="none"/>
        </w:rPr>
        <w:t xml:space="preserve">未购买备机的须与生产厂家签订供货协议或意向性供货协议（提供协议证明）。</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运维单位须承诺成交后1个月（30日历日）内配齐本技术要求中所涉及的仪器设备、耗材和备件。耗材按照不少于半年的消耗量配置，备件按照至少1年使用量配置。必须使用原厂生产的备品备件和耗材（若无原厂生产的，则应使用检定合格的），严禁使用未经权威机构检定合格或劣质备品备件和耗材</w:t>
      </w:r>
      <w:r>
        <w:rPr>
          <w:rFonts w:hint="eastAsia" w:ascii="仿宋" w:hAnsi="仿宋" w:eastAsia="仿宋" w:cs="仿宋"/>
          <w:b/>
          <w:bCs/>
          <w:sz w:val="28"/>
          <w:szCs w:val="28"/>
        </w:rPr>
        <w:t xml:space="preserve">（提供承诺函）</w:t>
      </w:r>
      <w:r>
        <w:rPr>
          <w:rFonts w:hint="eastAsia" w:ascii="仿宋" w:hAnsi="仿宋" w:eastAsia="仿宋" w:cs="仿宋"/>
          <w:sz w:val="28"/>
          <w:szCs w:val="28"/>
        </w:rPr>
        <w:t xml:space="preserve">。</w:t>
      </w:r>
      <w:r/>
    </w:p>
    <w:p>
      <w:pPr>
        <w:ind w:firstLine="561"/>
        <w:jc w:val="left"/>
        <w:spacing w:line="500" w:lineRule="exact"/>
        <w:rPr>
          <w:rFonts w:ascii="仿宋" w:hAnsi="仿宋" w:eastAsia="仿宋" w:cs="仿宋"/>
          <w:sz w:val="28"/>
          <w:szCs w:val="28"/>
        </w:rPr>
      </w:pPr>
      <w:r>
        <w:rPr>
          <w:rFonts w:hint="eastAsia" w:ascii="仿宋" w:hAnsi="仿宋" w:eastAsia="仿宋" w:cs="仿宋"/>
          <w:sz w:val="28"/>
          <w:szCs w:val="28"/>
        </w:rPr>
        <w:t xml:space="preserve">8.不论何时，成交供应商都应承担监测数据的保密责任；成交供应商按照采购人的要求，进行报告和传输有关的监测数据，均不得以任何方式和渠道向外界传递任何监测数据。相关监测数据必须按相关要求成功接入国家、省、市级数据平台并可正常使用，实现一点多发，多址传送。</w:t>
      </w:r>
      <w:r/>
    </w:p>
    <w:p>
      <w:pPr>
        <w:ind w:firstLine="561"/>
        <w:jc w:val="left"/>
        <w:spacing w:line="500" w:lineRule="exact"/>
        <w:rPr>
          <w:rFonts w:ascii="仿宋" w:hAnsi="仿宋" w:eastAsia="仿宋" w:cs="仿宋"/>
          <w:sz w:val="28"/>
          <w:szCs w:val="28"/>
        </w:rPr>
      </w:pPr>
      <w:r>
        <w:rPr>
          <w:rFonts w:hint="eastAsia" w:ascii="仿宋" w:hAnsi="仿宋" w:eastAsia="仿宋" w:cs="仿宋"/>
          <w:sz w:val="28"/>
          <w:szCs w:val="28"/>
        </w:rPr>
        <w:t xml:space="preserve">9.成交供应商成交后不得转包。供应商的投标响应须满足或满足且优于本采购文件中的要求，不得有负偏离，若有负偏离视为无效投标。</w:t>
      </w:r>
      <w:r/>
    </w:p>
    <w:p>
      <w:pPr>
        <w:ind w:firstLine="561"/>
        <w:jc w:val="left"/>
        <w:spacing w:line="500" w:lineRule="exact"/>
        <w:rPr>
          <w:rFonts w:ascii="仿宋" w:hAnsi="仿宋" w:eastAsia="仿宋" w:cs="仿宋"/>
          <w:sz w:val="28"/>
          <w:szCs w:val="28"/>
        </w:rPr>
      </w:pPr>
      <w:r>
        <w:rPr>
          <w:rFonts w:hint="eastAsia" w:ascii="仿宋" w:hAnsi="仿宋" w:eastAsia="仿宋" w:cs="仿宋"/>
          <w:sz w:val="28"/>
          <w:szCs w:val="28"/>
        </w:rPr>
        <w:t xml:space="preserve">10.负责运维期间安全工作，期间造成的设备毁损、人员伤亡等安全事故，由运维单位负责处理并承担相应的经济、民事等法律责任。</w:t>
      </w:r>
      <w:r/>
    </w:p>
    <w:p>
      <w:pPr>
        <w:ind w:firstLine="560"/>
        <w:spacing w:line="500" w:lineRule="exact"/>
        <w:tabs>
          <w:tab w:val="left" w:pos="2020" w:leader="none"/>
          <w:tab w:val="center" w:pos="4535" w:leader="none"/>
        </w:tabs>
        <w:rPr>
          <w:rFonts w:ascii="仿宋" w:hAnsi="仿宋" w:eastAsia="仿宋" w:cs="仿宋"/>
          <w:sz w:val="28"/>
          <w:szCs w:val="28"/>
        </w:rPr>
        <w:outlineLvl w:val="0"/>
      </w:pPr>
      <w:r>
        <w:rPr>
          <w:rFonts w:hint="eastAsia" w:ascii="仿宋" w:hAnsi="仿宋" w:eastAsia="仿宋" w:cs="仿宋"/>
          <w:sz w:val="28"/>
          <w:szCs w:val="28"/>
        </w:rPr>
        <w:t xml:space="preserve">11.本项目</w:t>
      </w:r>
      <w:r>
        <w:rPr>
          <w:rFonts w:hint="eastAsia" w:ascii="仿宋" w:hAnsi="仿宋" w:eastAsia="仿宋" w:cs="仿宋"/>
          <w:sz w:val="28"/>
          <w:szCs w:val="28"/>
        </w:rPr>
        <w:t xml:space="preserve">在运维期中如遇涉及生态环境监测事权上收或运维期满后需无条件响应及配合下一轮相关运维方做好仪器设备系统性能合格性测试工作，保证无缝对接并交接（交接的仪器设备须满足相关技术要求），确保系统处于良好运行状态。</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12.当点位需要新增、撤销、变更时，会同属地生态环境部门按照点位管理程序向有关部门报批；如涉及站点迁移的须无条件并无偿做好站房及监测系统迁移、安装、集成、调试等交钥匙工作（含基础、水电）并做好相关记录。</w:t>
      </w:r>
      <w:r/>
    </w:p>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（四）运行维护要求</w:t>
      </w:r>
      <w:r/>
    </w:p>
    <w:p>
      <w:pPr>
        <w:ind w:firstLine="560"/>
        <w:jc w:val="left"/>
        <w:spacing w:line="500" w:lineRule="exact"/>
        <w:widowControl/>
        <w:rPr>
          <w:rFonts w:ascii="仿宋" w:hAnsi="仿宋" w:eastAsia="仿宋" w:cs="仿宋"/>
          <w:sz w:val="28"/>
          <w:szCs w:val="28"/>
        </w:rPr>
      </w:pPr>
      <w:r>
        <w:rPr>
          <w:rFonts w:hint="eastAsia" w:ascii="仿宋" w:hAnsi="仿宋" w:eastAsia="仿宋" w:cs="仿宋"/>
          <w:sz w:val="28"/>
          <w:szCs w:val="28"/>
        </w:rPr>
        <w:t xml:space="preserve">1.水站运维工作的开展须严格按照《</w:t>
      </w:r>
      <w:r>
        <w:rPr>
          <w:rFonts w:ascii="仿宋" w:hAnsi="仿宋" w:eastAsia="仿宋" w:cs="仿宋"/>
          <w:sz w:val="28"/>
          <w:szCs w:val="28"/>
        </w:rPr>
        <w:t xml:space="preserve">地表水水质自动监测站选址与基础设施建设技术要求</w:t>
      </w:r>
      <w:r>
        <w:rPr>
          <w:rFonts w:hint="eastAsia" w:ascii="仿宋" w:hAnsi="仿宋" w:eastAsia="仿宋" w:cs="仿宋"/>
          <w:sz w:val="28"/>
          <w:szCs w:val="28"/>
        </w:rPr>
        <w:t xml:space="preserve">》（HJ 915.1-2024）、</w:t>
      </w:r>
      <w:r>
        <w:rPr>
          <w:rFonts w:ascii="仿宋" w:hAnsi="仿宋" w:eastAsia="仿宋" w:cs="仿宋"/>
          <w:sz w:val="28"/>
          <w:szCs w:val="28"/>
        </w:rPr>
        <w:t xml:space="preserve">地表水水质自动监测站（常规五参数、</w:t>
      </w:r>
      <w:r>
        <w:rPr>
          <w:rFonts w:hint="eastAsia" w:ascii="仿宋" w:hAnsi="仿宋" w:eastAsia="仿宋" w:cs="仿宋"/>
          <w:sz w:val="28"/>
          <w:szCs w:val="28"/>
        </w:rPr>
        <w:t xml:space="preserve">COD</w:t>
      </w:r>
      <w:r>
        <w:rPr>
          <w:rFonts w:hint="eastAsia" w:ascii="仿宋" w:hAnsi="仿宋" w:eastAsia="仿宋" w:cs="仿宋"/>
          <w:sz w:val="28"/>
          <w:szCs w:val="28"/>
          <w:vertAlign w:val="subscript"/>
        </w:rPr>
        <w:t xml:space="preserve">Mn</w:t>
      </w:r>
      <w:r>
        <w:rPr>
          <w:rFonts w:hint="eastAsia" w:ascii="仿宋" w:hAnsi="仿宋" w:eastAsia="仿宋" w:cs="仿宋"/>
          <w:sz w:val="28"/>
          <w:szCs w:val="28"/>
        </w:rPr>
        <w:t xml:space="preserve">、NH</w:t>
      </w:r>
      <w:r>
        <w:rPr>
          <w:rFonts w:hint="eastAsia" w:ascii="仿宋" w:hAnsi="仿宋" w:eastAsia="仿宋" w:cs="仿宋"/>
          <w:sz w:val="28"/>
          <w:szCs w:val="28"/>
          <w:vertAlign w:val="subscript"/>
        </w:rPr>
        <w:t xml:space="preserve">3</w:t>
      </w:r>
      <w:r>
        <w:rPr>
          <w:rFonts w:hint="eastAsia" w:ascii="仿宋" w:hAnsi="仿宋" w:eastAsia="仿宋" w:cs="仿宋"/>
          <w:sz w:val="28"/>
          <w:szCs w:val="28"/>
        </w:rPr>
        <w:t xml:space="preserve">-N</w:t>
      </w:r>
      <w:r>
        <w:rPr>
          <w:rFonts w:ascii="仿宋" w:hAnsi="仿宋" w:eastAsia="仿宋" w:cs="仿宋"/>
          <w:sz w:val="28"/>
          <w:szCs w:val="28"/>
        </w:rPr>
        <w:t xml:space="preserve">、TP、TN）安装验收技术规范</w:t>
      </w:r>
      <w:r>
        <w:rPr>
          <w:rFonts w:hint="eastAsia" w:ascii="仿宋" w:hAnsi="仿宋" w:eastAsia="仿宋" w:cs="仿宋"/>
          <w:sz w:val="28"/>
          <w:szCs w:val="28"/>
        </w:rPr>
        <w:t xml:space="preserve">（HJ 915.2-2024）、《地表水水质自动监测站（常规五参数、 COD</w:t>
      </w:r>
      <w:r>
        <w:rPr>
          <w:rFonts w:hint="eastAsia" w:ascii="仿宋" w:hAnsi="仿宋" w:eastAsia="仿宋" w:cs="仿宋"/>
          <w:sz w:val="28"/>
          <w:szCs w:val="28"/>
          <w:vertAlign w:val="subscript"/>
        </w:rPr>
        <w:t xml:space="preserve">Mn</w:t>
      </w:r>
      <w:r>
        <w:rPr>
          <w:rFonts w:hint="eastAsia" w:ascii="仿宋" w:hAnsi="仿宋" w:eastAsia="仿宋" w:cs="仿宋"/>
          <w:sz w:val="28"/>
          <w:szCs w:val="28"/>
        </w:rPr>
        <w:t xml:space="preserve">、NH</w:t>
      </w:r>
      <w:r>
        <w:rPr>
          <w:rFonts w:hint="eastAsia" w:ascii="仿宋" w:hAnsi="仿宋" w:eastAsia="仿宋" w:cs="仿宋"/>
          <w:sz w:val="28"/>
          <w:szCs w:val="28"/>
          <w:vertAlign w:val="subscript"/>
        </w:rPr>
        <w:t xml:space="preserve">3</w:t>
      </w:r>
      <w:r>
        <w:rPr>
          <w:rFonts w:hint="eastAsia" w:ascii="仿宋" w:hAnsi="仿宋" w:eastAsia="仿宋" w:cs="仿宋"/>
          <w:sz w:val="28"/>
          <w:szCs w:val="28"/>
        </w:rPr>
        <w:t xml:space="preserve">-N、TP、TN）运行维护技术规范》（HJ 915.3-2024）、《关于印发&lt;国家地表水水质自动监测站运行维护管</w:t>
      </w:r>
      <w:r>
        <w:rPr>
          <w:rFonts w:hint="eastAsia" w:ascii="仿宋" w:hAnsi="仿宋" w:eastAsia="仿宋" w:cs="仿宋"/>
          <w:sz w:val="28"/>
          <w:szCs w:val="28"/>
        </w:rPr>
        <w:t xml:space="preserve">理实施细则（试行）&gt;等文件的通知》（总站水字〔2019〕649号）、《环境水质（地表水）自动监测站运行维护技术规范》（DB 32/T 4536- 2023）、《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如文件中有矛盾之处，以后发布的文件为准，采购人保留对文件的解释权。</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2.当采购人依据国家或省级有关规定和技术规范要求出台新的水站运维要求时，以新要求为准。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签订合同后15天内，成交供应商按照相关技术规范和运维合同要求，结合成交实际情况，有针对性的编制运维交接方案，方案内容包括但不限于时间及人员安排、职责分工、交接内容、交接流程。经采购人审核确认后，交接双方按照运维交接方案有序开展运维交接工作。</w:t>
      </w:r>
      <w:r/>
    </w:p>
    <w:p>
      <w:pPr>
        <w:ind w:firstLine="482"/>
        <w:spacing w:line="500" w:lineRule="exact"/>
        <w:rPr>
          <w:rFonts w:ascii="仿宋" w:hAnsi="仿宋" w:eastAsia="仿宋" w:cs="仿宋"/>
          <w:sz w:val="28"/>
          <w:szCs w:val="28"/>
        </w:rPr>
      </w:pPr>
      <w:r>
        <w:rPr>
          <w:rFonts w:hint="eastAsia" w:ascii="仿宋" w:hAnsi="仿宋" w:eastAsia="仿宋" w:cs="仿宋"/>
          <w:sz w:val="28"/>
          <w:szCs w:val="28"/>
        </w:rPr>
        <w:t xml:space="preserve">说明：若因不可控因素导致上述相关自动站运维服务超过原有运维周期，至正式移交之日期间运维仍由原运维单位负责，所产生的运维费用以本次成交价格和实际发生时间计算，由成交供应商支付给原运维单位。</w:t>
      </w:r>
      <w:r/>
    </w:p>
    <w:p>
      <w:pPr>
        <w:ind w:firstLine="482"/>
        <w:spacing w:line="500" w:lineRule="exact"/>
        <w:rPr>
          <w:rFonts w:ascii="仿宋" w:hAnsi="仿宋" w:eastAsia="仿宋" w:cs="仿宋"/>
          <w:sz w:val="28"/>
          <w:szCs w:val="28"/>
        </w:rPr>
      </w:pPr>
      <w:r>
        <w:rPr>
          <w:rFonts w:hint="eastAsia" w:ascii="仿宋" w:hAnsi="仿宋" w:eastAsia="仿宋" w:cs="仿宋"/>
          <w:sz w:val="28"/>
          <w:szCs w:val="28"/>
        </w:rPr>
        <w:t xml:space="preserve">4、成交供应商应根据成交情况，有针对性的制定运维计划，根据每个水站现场实际情况，合理安排水站日常运维工作，对运维保障存在不确定性的水站，提前制定补测计划，按相关要求完成水样补充监测工作。</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每月15日前（如遇节假日顺延）提交上月运维（质控）报告（含采购人安排的其他工作完成情况），汇报每月运维（质控）计划执行情况以及工作开展情况。运维报告内容至少应包括水站维护人员、实际巡检日期、维护内容、维护效果、耗材和配件使用情况、废液收集和处理、站房和辅助设施维护、月度经费支出（含电费、网络费、耗材、车辆等）以及应急运维工作开展情况，预防人为干扰监测行为调查等情况；质控报告内容至少应包括仪器配置情况、维护人员、已实施的质控措施、质控实施日期、比对情况、溯源情况、校准及维护措施、数据有效率等。</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注：每月10日前﹝遇节假日顺延﹞提交电子版，每月15日前﹝遇节假日顺延﹞提交盖章纸质版。</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6.应制定质控计划，根据水站运行情况，制定质控工作内容，对停运补测水站，合理调整质控计划。按相关技术规范要求完成水站各项质控工作。</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7.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8.水站因故申请停运期间，或自动监测数据因高浊度、高盐度等其它外部因素干扰不具备代表性、不满足水质评价需求时，应根据相关规范要求进行补测，并保证补测流程的规范性、质控措施的完整性以及补测数据的可溯源性。</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9.应做好站点运维记录的规范上报。认真、及时做好水站运行维护记录（应当使用采购人认可的格式，可参照总站作业指导书中“记录表格—水质自动监测分册”或《南通市环境质量自动监测设施运维管理办法（试行）》附件），并根据数据审核有关要求按时完成水站数据审核、异常数据核实等工作。</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10.应做好站点日常安全管理，运维维护期间所需水电、通讯费用由运维单位负责，委托运维及管理的全部资产（包括全部产权和建筑物、设备、软件、配套设施、水质自动站和配套监控系统产生的各类数据信息及相关文档资料）属采购人所有。运维单位不得以任何方式对各类财产进行出售、抵押或转移；同时，在委托运维及管理期间，运维单位有责任保证上述全部资产的完整、安全并处于良好状态。未经采购人允许，非水站运维人员不得擅自进入站房。</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11.应负责站房、栈桥及相关附属设施设备的维修、维护工作。至少每年对水站系统全面进行检查一次，对站房外围进行整修或粉刷，保证墙面整洁、站房安全；对栈桥或取水设施进行一次修缮，确保取水的代表性；对防雷设施进行一次全面检测，并提供检测报告（防雷检测报告中应包含防直击雷电检验检测、屏蔽、等电位及接地检测检验、低压配电系统浪涌保护器（SPD）检测检验内容）；对站房的空调、门禁、消防、安防、标志牌等附属设施进行维护。</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注：须在签订合同后3个月内根据站点现状及采购人要求对上述事项进行首轮排查并维护、维修到位。</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12.须在签订合同后2个月内完成取水口、站房入户口及仪器室的视频监控检查及维修、维护，确保对站房内外仪器、进出入人员、采水单元区域实现24小时不间断监控，实时获取监控区域内清晰的监控图像，支持前端存储和中心存储两种模式，存储周期不低于1个月。高清摄像头不得低于200万像素，现有视频监控设备无法满足日常监控需求的，需要根据实际情况自行维修或更新（含涉及终端扩容，所有产权归采购人所有）。如视频监控系统不符合采购人要求，需及时整改。</w:t>
      </w:r>
      <w:r>
        <w:rPr>
          <w:rFonts w:hint="eastAsia" w:ascii="仿宋" w:hAnsi="仿宋" w:eastAsia="仿宋" w:cs="仿宋"/>
          <w:b/>
          <w:bCs/>
          <w:sz w:val="28"/>
          <w:szCs w:val="28"/>
        </w:rPr>
        <w:t xml:space="preserve">同时现场视频监控画面需上传萤石云或类似视频监控平台以实现采购方可通过手机/电脑，实时查看监控情况的需求，增加费用由成交供应商承担。如视频监控系统不符合采购人要求，需及时整改。</w:t>
      </w:r>
      <w:r>
        <w:rPr>
          <w:rFonts w:hint="eastAsia" w:ascii="仿宋" w:hAnsi="仿宋" w:eastAsia="仿宋" w:cs="仿宋"/>
          <w:sz w:val="28"/>
          <w:szCs w:val="28"/>
        </w:rPr>
        <w:t xml:space="preserve">须做好站点视频监控设备的维修、维护和保养，主动配合视频监控信息联网上传各类监控平台（按采购人要求开展），确保真实有效的监控视频信息在环境质量自动监控平台上实时反馈。</w:t>
      </w:r>
      <w:r/>
    </w:p>
    <w:p>
      <w:pPr>
        <w:ind w:right="100"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13.响应供应商必要时需对原有的工控机系统进行升级。系统软件、通用软件必须是具有在中国境内的合法使用权或版权的正版软件，涉及到第三方提出侵权或知识产权的起诉及支付版税等费用由响应供应商承担所有责任及费用。</w:t>
      </w:r>
      <w:r/>
    </w:p>
    <w:p>
      <w:pPr>
        <w:ind w:firstLine="560"/>
        <w:spacing w:line="500" w:lineRule="exact"/>
        <w:rPr>
          <w:rFonts w:ascii="仿宋" w:hAnsi="仿宋" w:eastAsia="仿宋" w:cs="仿宋"/>
          <w:b/>
          <w:bCs/>
          <w:sz w:val="28"/>
          <w:szCs w:val="28"/>
        </w:rPr>
      </w:pPr>
      <w:r/>
      <w:bookmarkStart w:id="40" w:name="_Toc86147044"/>
      <w:r>
        <w:rPr>
          <w:rFonts w:hint="eastAsia" w:ascii="仿宋" w:hAnsi="仿宋" w:eastAsia="仿宋" w:cs="仿宋"/>
          <w:b/>
          <w:bCs/>
          <w:sz w:val="28"/>
          <w:szCs w:val="28"/>
        </w:rPr>
        <w:t xml:space="preserve">（五）质量保证与质量控制</w:t>
      </w:r>
      <w:bookmarkEnd w:id="40"/>
      <w:r>
        <w:rPr>
          <w:rFonts w:hint="eastAsia" w:ascii="仿宋" w:hAnsi="仿宋" w:eastAsia="仿宋" w:cs="仿宋"/>
          <w:b/>
          <w:bCs/>
          <w:sz w:val="28"/>
          <w:szCs w:val="28"/>
        </w:rPr>
        <w:t xml:space="preserve">要求</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1.应建立质量保证体系，制定并完善运维管理制度、运维作业指导书及质控程序文件等，指导和规范运维人员现场操作流程。</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2.应建立备机和备品备件库。备机需通过性能测试并定期开展核查；备品备件需达到或高于原厂备件的性能；更换备机或关键零部件后，需及时校准仪器，并完成多点线性核查。</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3.水站使用试剂的纯度需分析纯以上，标准溶液的试剂纯度应在优级纯以上；日常质控、核查工作应使用有证标准物质；采用专用试剂瓶盛装，贴有明确标识（包括试剂名称、标液浓度、配置人、配制时间、有效期），应建立管理制度和台账，确保试剂、有证标准物质使用信息可溯源。</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4.监测仪器斜率k、截距b、消解温度、消解时间、显色时间、修正系数等关键参数信息变更时需提交书面申请。</w:t>
      </w:r>
      <w:r/>
    </w:p>
    <w:p>
      <w:pPr>
        <w:ind w:right="100" w:firstLine="560"/>
        <w:spacing w:line="480" w:lineRule="exact"/>
        <w:rPr>
          <w:rFonts w:ascii="仿宋" w:hAnsi="仿宋" w:eastAsia="仿宋" w:cs="仿宋"/>
          <w:sz w:val="28"/>
          <w:szCs w:val="28"/>
        </w:rPr>
      </w:pPr>
      <w:r>
        <w:rPr>
          <w:rFonts w:hint="eastAsia" w:ascii="仿宋" w:hAnsi="仿宋" w:eastAsia="仿宋" w:cs="仿宋"/>
          <w:sz w:val="28"/>
          <w:szCs w:val="28"/>
        </w:rPr>
        <w:t xml:space="preserve">5.水站常规五参数须完成周核查，氨氮、高锰酸盐指数、总磷、总氮须完成标准溶液核查、漂移测试、多点线性核查、集成干预检查、实际水样比对、加标回收试验、盲样考核等质控措施，总磷、总氮还须完成消解率测试，叶绿素a、蓝绿藻密度须完成多点线性核查、实际水样比对。</w:t>
      </w:r>
      <w:r/>
    </w:p>
    <w:p>
      <w:pPr>
        <w:ind w:right="100" w:firstLine="562"/>
        <w:spacing w:line="480" w:lineRule="exact"/>
        <w:rPr>
          <w:rFonts w:ascii="仿宋" w:hAnsi="仿宋" w:eastAsia="仿宋" w:cs="仿宋"/>
          <w:sz w:val="28"/>
          <w:szCs w:val="28"/>
          <w:lang w:val="zh-CN"/>
        </w:rPr>
      </w:pPr>
      <w:r>
        <w:rPr>
          <w:rFonts w:hint="eastAsia" w:ascii="仿宋" w:hAnsi="仿宋" w:eastAsia="仿宋" w:cs="仿宋"/>
          <w:b/>
          <w:bCs/>
          <w:sz w:val="28"/>
          <w:szCs w:val="28"/>
        </w:rPr>
        <w:t xml:space="preserve">注：</w:t>
      </w:r>
      <w:r>
        <w:rPr>
          <w:rFonts w:hint="eastAsia" w:ascii="仿宋" w:hAnsi="仿宋" w:eastAsia="仿宋" w:cs="仿宋"/>
          <w:sz w:val="28"/>
          <w:szCs w:val="28"/>
          <w:lang w:val="zh-CN"/>
        </w:rPr>
        <w:t xml:space="preserve">其中用于现场内部</w:t>
      </w:r>
      <w:r>
        <w:rPr>
          <w:rFonts w:hint="eastAsia" w:ascii="仿宋" w:hAnsi="仿宋" w:eastAsia="仿宋" w:cs="仿宋"/>
          <w:sz w:val="28"/>
          <w:szCs w:val="28"/>
        </w:rPr>
        <w:t xml:space="preserve">质量控制的仪器设备需为供应商自主拥有产权（应每年送检/校，并取得有资质单位颁发的证书），</w:t>
      </w:r>
      <w:r>
        <w:rPr>
          <w:rFonts w:hint="eastAsia" w:ascii="仿宋" w:hAnsi="仿宋" w:eastAsia="仿宋" w:cs="仿宋"/>
          <w:sz w:val="28"/>
          <w:szCs w:val="28"/>
          <w:lang w:val="zh-CN"/>
        </w:rPr>
        <w:t xml:space="preserve">实际水样比对需出具有资质实验室报告。</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6.质控措施频次和技术要求须满足下表4、表5、表6、表7要求。</w:t>
      </w:r>
      <w:r/>
    </w:p>
    <w:p>
      <w:pPr>
        <w:ind w:firstLine="480"/>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表4常规五参数质量控制措施实施频次和技术要求</w:t>
      </w:r>
      <w:r/>
    </w:p>
    <w:tbl>
      <w:tblPr>
        <w:tblStyle w:val="920"/>
        <w:tblW w:w="8437" w:type="dxa"/>
        <w:tblInd w:w="13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08"/>
        <w:gridCol w:w="951"/>
        <w:gridCol w:w="3259"/>
        <w:gridCol w:w="1237"/>
        <w:gridCol w:w="1982"/>
      </w:tblGrid>
      <w:tr>
        <w:trPr>
          <w:trHeight w:val="634"/>
        </w:trPr>
        <w:tc>
          <w:tcPr>
            <w:tcW w:w="100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w:t>
            </w:r>
            <w:r/>
          </w:p>
          <w:p>
            <w:pPr>
              <w:jc w:val="center"/>
              <w:rPr>
                <w:rFonts w:ascii="仿宋" w:hAnsi="仿宋" w:eastAsia="仿宋" w:cs="仿宋"/>
                <w:color w:val="000000"/>
                <w:sz w:val="24"/>
              </w:rPr>
            </w:pPr>
            <w:r>
              <w:rPr>
                <w:rFonts w:hint="eastAsia" w:ascii="仿宋" w:hAnsi="仿宋" w:eastAsia="仿宋" w:cs="仿宋"/>
                <w:color w:val="000000"/>
                <w:sz w:val="24"/>
              </w:rPr>
              <w:t xml:space="preserve">措施</w:t>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监测</w:t>
            </w:r>
            <w:r/>
          </w:p>
          <w:p>
            <w:pPr>
              <w:jc w:val="center"/>
              <w:rPr>
                <w:rFonts w:ascii="仿宋" w:hAnsi="仿宋" w:eastAsia="仿宋" w:cs="仿宋"/>
                <w:color w:val="000000"/>
                <w:sz w:val="24"/>
              </w:rPr>
            </w:pPr>
            <w:r>
              <w:rPr>
                <w:rFonts w:hint="eastAsia" w:ascii="仿宋" w:hAnsi="仿宋" w:eastAsia="仿宋" w:cs="仿宋"/>
                <w:color w:val="000000"/>
                <w:sz w:val="24"/>
              </w:rPr>
              <w:t xml:space="preserve">项目</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技术要求</w:t>
            </w:r>
            <w:r/>
          </w:p>
        </w:tc>
        <w:tc>
          <w:tcPr>
            <w:tcW w:w="198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实施频次</w:t>
            </w:r>
            <w:r/>
          </w:p>
        </w:tc>
      </w:tr>
      <w:tr>
        <w:trPr>
          <w:cantSplit/>
          <w:trHeight w:val="350"/>
        </w:trPr>
        <w:tc>
          <w:tcPr>
            <w:tcW w:w="100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标准溶液核查</w:t>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水温</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c>
          <w:tcPr>
            <w:tcW w:w="1982"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每周</w:t>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pH值</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±0.15</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溶解氧</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±0.8mg/L</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电导率</w:t>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标准溶液值</w:t>
            </w:r>
            <w:r>
              <w:rPr>
                <w:rFonts w:hint="eastAsia" w:ascii="仿宋" w:hAnsi="仿宋" w:eastAsia="仿宋" w:cs="仿宋"/>
                <w:color w:val="000000"/>
                <w:sz w:val="24"/>
              </w:rPr>
              <w:t xml:space="preserve">＞</w:t>
            </w:r>
            <w:r>
              <w:rPr>
                <w:rFonts w:hint="eastAsia" w:ascii="仿宋" w:hAnsi="仿宋" w:eastAsia="仿宋" w:cs="仿宋"/>
                <w:color w:val="000000"/>
                <w:sz w:val="24"/>
                <w:lang w:val="zh-CN"/>
              </w:rPr>
              <w:t xml:space="preserve">100μS/cm</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±5%</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标准溶液值≤100μS/cm</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±5μS/cm</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634"/>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浊度</w:t>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浊度≤30 NTU               浊度≥1000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不考核</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30 NTU＜浊度≤50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±15%</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50 NTU＜浊度＜1000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 ±10%</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现场</w:t>
            </w:r>
            <w:r/>
          </w:p>
          <w:p>
            <w:pPr>
              <w:jc w:val="center"/>
              <w:rPr>
                <w:rFonts w:ascii="仿宋" w:hAnsi="仿宋" w:eastAsia="仿宋" w:cs="仿宋"/>
                <w:color w:val="000000"/>
                <w:sz w:val="24"/>
              </w:rPr>
            </w:pPr>
            <w:r>
              <w:rPr>
                <w:rFonts w:hint="eastAsia" w:ascii="仿宋" w:hAnsi="仿宋" w:eastAsia="仿宋" w:cs="仿宋"/>
                <w:color w:val="000000"/>
                <w:sz w:val="24"/>
              </w:rPr>
              <w:t xml:space="preserve">比对</w:t>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水温</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±0.5 </w:t>
            </w:r>
            <w:r>
              <w:rPr>
                <w:rFonts w:hint="eastAsia" w:ascii="仿宋" w:hAnsi="仿宋" w:eastAsia="仿宋" w:cs="仿宋"/>
                <w:color w:val="000000"/>
                <w:sz w:val="24"/>
                <w:lang w:eastAsia="ja-JP"/>
              </w:rPr>
              <w:t xml:space="preserve">℃</w:t>
            </w:r>
            <w:r/>
          </w:p>
        </w:tc>
        <w:tc>
          <w:tcPr>
            <w:tcW w:w="1982"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pH值</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±0.5</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溶解氧</w:t>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±0.5 mg/L</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2"/>
            <w:tcW w:w="449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溶解氧过饱和时不考核</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电导率</w:t>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电导率</w:t>
            </w:r>
            <w:r>
              <w:rPr>
                <w:rFonts w:hint="eastAsia" w:ascii="仿宋" w:hAnsi="仿宋" w:eastAsia="仿宋" w:cs="仿宋"/>
                <w:color w:val="000000"/>
                <w:sz w:val="24"/>
              </w:rPr>
              <w:t xml:space="preserve">＞</w:t>
            </w:r>
            <w:r>
              <w:rPr>
                <w:rFonts w:hint="eastAsia" w:ascii="仿宋" w:hAnsi="仿宋" w:eastAsia="仿宋" w:cs="仿宋"/>
                <w:color w:val="000000"/>
                <w:sz w:val="24"/>
                <w:lang w:val="zh-CN"/>
              </w:rPr>
              <w:t xml:space="preserve">100μS/cm</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±10%</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619"/>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电导率≤100μS/cm</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±10μS/cm</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619"/>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浊度</w:t>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浊度</w:t>
            </w:r>
            <w:r>
              <w:rPr>
                <w:rFonts w:hint="eastAsia" w:ascii="仿宋" w:hAnsi="仿宋" w:eastAsia="仿宋" w:cs="仿宋"/>
                <w:color w:val="000000"/>
                <w:sz w:val="24"/>
              </w:rPr>
              <w:t xml:space="preserve">≤30 NTU    </w:t>
            </w:r>
            <w:r/>
          </w:p>
          <w:p>
            <w:pPr>
              <w:jc w:val="center"/>
              <w:rPr>
                <w:rFonts w:ascii="仿宋" w:hAnsi="仿宋" w:eastAsia="仿宋" w:cs="仿宋"/>
                <w:color w:val="000000"/>
                <w:sz w:val="24"/>
              </w:rPr>
            </w:pPr>
            <w:r>
              <w:rPr>
                <w:rFonts w:hint="eastAsia" w:ascii="仿宋" w:hAnsi="仿宋" w:eastAsia="仿宋" w:cs="仿宋"/>
                <w:color w:val="000000"/>
                <w:sz w:val="24"/>
                <w:lang w:val="zh-CN"/>
              </w:rPr>
              <w:t xml:space="preserve">浊度</w:t>
            </w:r>
            <w:r>
              <w:rPr>
                <w:rFonts w:hint="eastAsia" w:ascii="仿宋" w:hAnsi="仿宋" w:eastAsia="仿宋" w:cs="仿宋"/>
                <w:color w:val="000000"/>
                <w:sz w:val="24"/>
              </w:rPr>
              <w:t xml:space="preserve">≥1000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不考核</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0"/>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30 NTU＜</w:t>
            </w:r>
            <w:r>
              <w:rPr>
                <w:rFonts w:hint="eastAsia" w:ascii="仿宋" w:hAnsi="仿宋" w:eastAsia="仿宋" w:cs="仿宋"/>
                <w:color w:val="000000"/>
                <w:sz w:val="24"/>
                <w:lang w:val="zh-CN"/>
              </w:rPr>
              <w:t xml:space="preserve">浊度</w:t>
            </w:r>
            <w:r>
              <w:rPr>
                <w:rFonts w:hint="eastAsia" w:ascii="仿宋" w:hAnsi="仿宋" w:eastAsia="仿宋" w:cs="仿宋"/>
                <w:color w:val="000000"/>
                <w:sz w:val="24"/>
              </w:rPr>
              <w:t xml:space="preserve">≤50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±30%</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407"/>
        </w:trPr>
        <w:tc>
          <w:tcPr>
            <w:tcW w:w="100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5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25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50 NTU＜浊度＜1000 NTU</w:t>
            </w:r>
            <w:r/>
          </w:p>
        </w:tc>
        <w:tc>
          <w:tcPr>
            <w:tcW w:w="123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lang w:val="zh-CN"/>
              </w:rPr>
              <w:t xml:space="preserve">±20%</w:t>
            </w:r>
            <w:r/>
          </w:p>
        </w:tc>
        <w:tc>
          <w:tcPr>
            <w:tcW w:w="1982"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bl>
    <w:p>
      <w:pPr>
        <w:spacing w:line="500" w:lineRule="exact"/>
        <w:rPr>
          <w:rFonts w:ascii="仿宋" w:hAnsi="仿宋" w:eastAsia="仿宋" w:cs="仿宋"/>
          <w:color w:val="000000"/>
          <w:sz w:val="24"/>
        </w:rPr>
      </w:pPr>
      <w:r>
        <w:rPr>
          <w:rFonts w:hint="eastAsia" w:ascii="仿宋" w:hAnsi="仿宋" w:eastAsia="仿宋" w:cs="仿宋"/>
          <w:color w:val="000000"/>
          <w:sz w:val="24"/>
        </w:rPr>
        <w:t xml:space="preserve">    表5高锰酸盐指数、氨氮、总磷、总氮质量控制措施实施频次和技术要求</w:t>
      </w:r>
      <w:r/>
    </w:p>
    <w:tbl>
      <w:tblPr>
        <w:tblStyle w:val="920"/>
        <w:tblW w:w="8539" w:type="dxa"/>
        <w:tblInd w:w="7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3"/>
        <w:gridCol w:w="1928"/>
        <w:gridCol w:w="1001"/>
        <w:gridCol w:w="971"/>
        <w:gridCol w:w="1207"/>
        <w:gridCol w:w="2269"/>
      </w:tblGrid>
      <w:tr>
        <w:trPr>
          <w:trHeight w:val="325"/>
        </w:trPr>
        <w:tc>
          <w:tcPr>
            <w:tcW w:w="116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质控措施</w:t>
            </w:r>
            <w:r/>
          </w:p>
        </w:tc>
        <w:tc>
          <w:tcPr>
            <w:gridSpan w:val="3"/>
            <w:tcW w:w="3900"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技术要求</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实施频次</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备注</w:t>
            </w:r>
            <w:r/>
          </w:p>
        </w:tc>
      </w:tr>
      <w:tr>
        <w:trPr>
          <w:cantSplit/>
          <w:trHeight w:val="310"/>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标准溶液核查</w:t>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零点核查</w:t>
            </w:r>
            <w:r/>
          </w:p>
        </w:tc>
        <w:tc>
          <w:tcPr>
            <w:tcW w:w="100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±100%</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每日/每周</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60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跨度核查</w:t>
            </w:r>
            <w:r/>
          </w:p>
        </w:tc>
        <w:tc>
          <w:tcPr>
            <w:tcW w:w="100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每日/每周</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浮船站高锰酸盐指数为±15%</w:t>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5"/>
            <w:tcW w:w="7376" w:type="dxa"/>
            <w:vAlign w:val="center"/>
            <w:textDirection w:val="lrTb"/>
            <w:noWrap/>
          </w:tcPr>
          <w:p>
            <w:pPr>
              <w:rPr>
                <w:rFonts w:ascii="仿宋" w:hAnsi="仿宋" w:eastAsia="仿宋" w:cs="仿宋"/>
                <w:color w:val="000000"/>
                <w:sz w:val="24"/>
              </w:rPr>
            </w:pPr>
            <w:r>
              <w:rPr>
                <w:rFonts w:hint="eastAsia" w:ascii="仿宋" w:hAnsi="仿宋" w:eastAsia="仿宋" w:cs="仿宋"/>
                <w:color w:val="000000"/>
                <w:sz w:val="24"/>
              </w:rPr>
              <w:t xml:space="preserve">注：具备自动质控功能的站点每日开展，其余站点每周开展。</w:t>
            </w:r>
            <w:r/>
          </w:p>
        </w:tc>
      </w:tr>
      <w:tr>
        <w:trPr>
          <w:cantSplit/>
          <w:trHeight w:val="606"/>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漂移测试</w:t>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零点漂移</w:t>
            </w:r>
            <w:r/>
          </w:p>
        </w:tc>
        <w:tc>
          <w:tcPr>
            <w:tcW w:w="100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±5%</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每日</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高锰酸盐指数为±10%</w:t>
            </w:r>
            <w:r/>
          </w:p>
        </w:tc>
      </w:tr>
      <w:tr>
        <w:trPr>
          <w:cantSplit/>
          <w:trHeight w:val="60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跨度漂移</w:t>
            </w:r>
            <w:r/>
          </w:p>
        </w:tc>
        <w:tc>
          <w:tcPr>
            <w:tcW w:w="100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每日</w:t>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浮船站高锰酸盐指数为±15%</w:t>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5"/>
            <w:tcW w:w="7376" w:type="dxa"/>
            <w:vAlign w:val="center"/>
            <w:textDirection w:val="lrTb"/>
            <w:noWrap/>
          </w:tcPr>
          <w:p>
            <w:pPr>
              <w:rPr>
                <w:rFonts w:ascii="仿宋" w:hAnsi="仿宋" w:eastAsia="仿宋" w:cs="仿宋"/>
                <w:color w:val="000000"/>
                <w:sz w:val="24"/>
              </w:rPr>
            </w:pPr>
            <w:r>
              <w:rPr>
                <w:rFonts w:hint="eastAsia" w:ascii="仿宋" w:hAnsi="仿宋" w:eastAsia="仿宋" w:cs="仿宋"/>
                <w:color w:val="000000"/>
                <w:sz w:val="24"/>
              </w:rPr>
              <w:t xml:space="preserve">注：仅具备自动质控功能的站点需开展。</w:t>
            </w:r>
            <w:r/>
          </w:p>
        </w:tc>
      </w:tr>
      <w:tr>
        <w:trPr>
          <w:cantSplit/>
          <w:trHeight w:val="310"/>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多点线性核查</w:t>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线性相关系数r</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≥0.98</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c>
          <w:tcPr>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902"/>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示值误差</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多点线性中的零点示值误差参照零点核查要求</w:t>
            </w:r>
            <w:r/>
          </w:p>
        </w:tc>
      </w:tr>
      <w:tr>
        <w:trPr>
          <w:cantSplit/>
          <w:trHeight w:val="902"/>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集成干预检查</w:t>
            </w:r>
            <w:r/>
          </w:p>
        </w:tc>
        <w:tc>
          <w:tcPr>
            <w:tcW w:w="192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Ⅰ～Ⅱ类：两者结果均低于B</w:t>
            </w:r>
            <w:r>
              <w:rPr>
                <w:rFonts w:hint="eastAsia" w:ascii="仿宋" w:hAnsi="仿宋" w:eastAsia="仿宋" w:cs="仿宋"/>
                <w:color w:val="000000"/>
                <w:sz w:val="24"/>
                <w:vertAlign w:val="subscript"/>
              </w:rPr>
              <w:t xml:space="preserve">Ⅱ</w:t>
            </w:r>
            <w:r>
              <w:rPr>
                <w:rFonts w:hint="eastAsia" w:ascii="仿宋" w:hAnsi="仿宋" w:eastAsia="仿宋" w:cs="仿宋"/>
                <w:color w:val="000000"/>
                <w:sz w:val="24"/>
              </w:rPr>
              <w:t xml:space="preserve">时，判定结果合格</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每季度</w:t>
            </w:r>
            <w:r/>
          </w:p>
        </w:tc>
        <w:tc>
          <w:tcPr>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浮船站除外</w:t>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Ⅲ～劣Ⅴ类：±15%</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606"/>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实际水样比对</w:t>
            </w:r>
            <w:r/>
          </w:p>
        </w:tc>
        <w:tc>
          <w:tcPr>
            <w:tcW w:w="192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宋体" w:hAnsi="宋体" w:cs="宋体"/>
                <w:color w:val="000000"/>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pt;height:11.3pt;mso-wrap-distance-left:0.0pt;mso-wrap-distance-top:0.0pt;mso-wrap-distance-right:0.0pt;mso-wrap-distance-bottom:0.0pt;" filled="f" stroked="f">
                  <v:path textboxrect="0,0,0,0"/>
                  <v:imagedata r:id="rId16" o:title=""/>
                </v:shape>
                <o:OLEObject DrawAspect="Content" r:id="rId17" ObjectID="_1525040" ProgID="Equation.DSMT4" ShapeID="_x0000_i0" Type="Embed"/>
              </w:object>
            </w:r>
            <w:r>
              <w:rPr>
                <w:rFonts w:hint="eastAsia" w:ascii="宋体" w:hAnsi="宋体" w:cs="宋体"/>
                <w:color w:val="000000"/>
                <w:sz w:val="24"/>
              </w:rPr>
              <mc:AlternateContent>
                <mc:Choice Requires="wpg">
                  <w:drawing>
                    <wp:inline xmlns:wp="http://schemas.openxmlformats.org/drawingml/2006/wordprocessingDrawing" distT="0" distB="0" distL="0" distR="0">
                      <wp:extent cx="527050" cy="146050"/>
                      <wp:effectExtent l="0" t="0" r="0" b="571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27182" cy="146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pt;height:11.5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4"/>
              </w:rPr>
              <w:t xml:space="preserve">：±20%</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c>
          <w:tcPr>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60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宋体" w:hAnsi="宋体" w:cs="宋体"/>
                <w:color w:val="000000"/>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3pt;height:11.3pt;mso-wrap-distance-left:0.0pt;mso-wrap-distance-top:0.0pt;mso-wrap-distance-right:0.0pt;mso-wrap-distance-bottom:0.0pt;" filled="f" stroked="f">
                  <v:path textboxrect="0,0,0,0"/>
                  <v:imagedata r:id="rId19" o:title=""/>
                </v:shape>
                <o:OLEObject DrawAspect="Content" r:id="rId20" ObjectID="_1525042" ProgID="Equation.DSMT4" ShapeID="_x0000_i2" Type="Embed"/>
              </w:object>
            </w:r>
            <w:r>
              <w:rPr>
                <w:rFonts w:hint="eastAsia" w:ascii="宋体" w:hAnsi="宋体" w:cs="宋体"/>
                <w:color w:val="000000"/>
                <w:sz w:val="24"/>
              </w:rPr>
              <w:t xml:space="preserve">：±30%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6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宋体" w:hAnsi="宋体" w:cs="宋体"/>
                <w:color w:val="000000"/>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3.6pt;height:15.0pt;mso-wrap-distance-left:0.0pt;mso-wrap-distance-top:0.0pt;mso-wrap-distance-right:0.0pt;mso-wrap-distance-bottom:0.0pt;" filled="f" stroked="f">
                  <v:path textboxrect="0,0,0,0"/>
                  <v:imagedata r:id="rId21" o:title=""/>
                </v:shape>
                <o:OLEObject DrawAspect="Content" r:id="rId22" ObjectID="_1525043" ProgID="Equation.KSEE3" ShapeID="_x0000_i3" Type="Embed"/>
              </w:object>
            </w:r>
            <w:r>
              <w:rPr>
                <w:rFonts w:hint="eastAsia" w:ascii="宋体" w:hAnsi="宋体" w:cs="宋体"/>
                <w:color w:val="000000"/>
                <w:sz w:val="24"/>
              </w:rPr>
              <w:t xml:space="preserve">：±40%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1213"/>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gridSpan w:val="3"/>
            <w:tcW w:w="3900"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当自动监测结果和实验室分析结果均低于BⅡ时，认定比对实验结果合格。注：①为实验室分析结果；②B为水质类别限值；③河流总氮可参考湖库标准</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bottom w:val="single" w:color="000000" w:sz="4" w:space="0"/>
            </w:tcBorders>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trHeight w:val="902"/>
        </w:trPr>
        <w:tc>
          <w:tcPr>
            <w:tcW w:w="116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加标回收试验</w:t>
            </w:r>
            <w:r/>
          </w:p>
        </w:tc>
        <w:tc>
          <w:tcPr>
            <w:tcW w:w="1928"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加标回收率</w:t>
            </w:r>
            <w:r/>
          </w:p>
        </w:tc>
        <w:tc>
          <w:tcPr>
            <w:gridSpan w:val="2"/>
            <w:tcW w:w="197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80.0%～120.0%</w:t>
            </w:r>
            <w:r/>
          </w:p>
        </w:tc>
        <w:tc>
          <w:tcPr>
            <w:tcW w:w="120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数据异常排查时按需开展</w:t>
            </w:r>
            <w:r/>
          </w:p>
        </w:tc>
        <w:tc>
          <w:tcPr>
            <w:tcBorders>
              <w:top w:val="single" w:color="000000" w:sz="4" w:space="0"/>
            </w:tcBorders>
            <w:tcW w:w="2269"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浮船站除外</w:t>
            </w:r>
            <w:r/>
          </w:p>
        </w:tc>
      </w:tr>
      <w:tr>
        <w:trPr>
          <w:cantSplit/>
          <w:trHeight w:val="310"/>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盲样考核</w:t>
            </w:r>
            <w:r/>
          </w:p>
        </w:tc>
        <w:tc>
          <w:tcPr>
            <w:tcW w:w="192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氨氮</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±15%</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c>
          <w:tcPr>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606"/>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高锰酸盐指数</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±20%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总磷</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±15%</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10"/>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总氮</w:t>
            </w:r>
            <w:r/>
          </w:p>
        </w:tc>
        <w:tc>
          <w:tcPr>
            <w:tcW w:w="97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±20%</w:t>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Borders>
              <w:bottom w:val="single" w:color="000000" w:sz="4" w:space="0"/>
            </w:tcBorders>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r>
        <w:trPr>
          <w:cantSplit/>
          <w:trHeight w:val="356"/>
        </w:trPr>
        <w:tc>
          <w:tcPr>
            <w:tcW w:w="116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消解率</w:t>
            </w:r>
            <w:r/>
          </w:p>
          <w:p>
            <w:pPr>
              <w:jc w:val="center"/>
              <w:rPr>
                <w:rFonts w:ascii="仿宋" w:hAnsi="仿宋" w:eastAsia="仿宋" w:cs="仿宋"/>
                <w:color w:val="000000"/>
                <w:sz w:val="24"/>
              </w:rPr>
            </w:pPr>
            <w:r>
              <w:rPr>
                <w:rFonts w:hint="eastAsia" w:ascii="仿宋" w:hAnsi="仿宋" w:eastAsia="仿宋" w:cs="仿宋"/>
                <w:color w:val="000000"/>
                <w:sz w:val="24"/>
              </w:rPr>
              <w:t xml:space="preserve">测试</w:t>
            </w:r>
            <w:r/>
          </w:p>
        </w:tc>
        <w:tc>
          <w:tcPr>
            <w:tcW w:w="1928"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消解率</w:t>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总磷</w:t>
            </w:r>
            <w:r/>
          </w:p>
        </w:tc>
        <w:tc>
          <w:tcPr>
            <w:tcW w:w="97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≥95%</w:t>
            </w:r>
            <w:r/>
          </w:p>
        </w:tc>
        <w:tc>
          <w:tcPr>
            <w:tcW w:w="1207"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每季度</w:t>
            </w:r>
            <w:r/>
          </w:p>
        </w:tc>
        <w:tc>
          <w:tcPr>
            <w:tcBorders>
              <w:top w:val="single" w:color="000000" w:sz="4" w:space="0"/>
            </w:tcBorders>
            <w:tcW w:w="2269"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cantSplit/>
          <w:trHeight w:val="339"/>
        </w:trPr>
        <w:tc>
          <w:tcPr>
            <w:tcW w:w="116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928"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00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总氮</w:t>
            </w:r>
            <w:r/>
          </w:p>
        </w:tc>
        <w:tc>
          <w:tcPr>
            <w:tcW w:w="97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207"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269"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r>
    </w:tbl>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表6 叶绿素a、蓝绿藻密度质量控制措施实施频次和技术要求</w:t>
      </w:r>
      <w:r/>
    </w:p>
    <w:tbl>
      <w:tblPr>
        <w:tblStyle w:val="920"/>
        <w:tblW w:w="865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66"/>
        <w:gridCol w:w="1216"/>
        <w:gridCol w:w="2241"/>
        <w:gridCol w:w="1203"/>
        <w:gridCol w:w="2532"/>
      </w:tblGrid>
      <w:tr>
        <w:trPr>
          <w:trHeight w:val="655"/>
        </w:trPr>
        <w:tc>
          <w:tcPr>
            <w:tcW w:w="146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质控措施</w:t>
            </w:r>
            <w:r/>
          </w:p>
        </w:tc>
        <w:tc>
          <w:tcPr>
            <w:gridSpan w:val="2"/>
            <w:tcW w:w="3457"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技术要求</w:t>
            </w:r>
            <w:r/>
          </w:p>
        </w:tc>
        <w:tc>
          <w:tcPr>
            <w:tcW w:w="120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实施频次</w:t>
            </w:r>
            <w:r/>
          </w:p>
        </w:tc>
        <w:tc>
          <w:tcPr>
            <w:tcW w:w="253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备注</w:t>
            </w:r>
            <w:r/>
          </w:p>
        </w:tc>
      </w:tr>
      <w:tr>
        <w:trPr>
          <w:trHeight w:val="624"/>
        </w:trPr>
        <w:tc>
          <w:tcPr>
            <w:tcW w:w="1466"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多点线性核查</w:t>
            </w:r>
            <w:r/>
          </w:p>
        </w:tc>
        <w:tc>
          <w:tcPr>
            <w:tcW w:w="121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线性相关系数r</w:t>
            </w:r>
            <w:r/>
          </w:p>
        </w:tc>
        <w:tc>
          <w:tcPr>
            <w:tcW w:w="22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≥0.993</w:t>
            </w:r>
            <w:r/>
          </w:p>
        </w:tc>
        <w:tc>
          <w:tcPr>
            <w:tcW w:w="120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每季度</w:t>
            </w:r>
            <w:r/>
          </w:p>
        </w:tc>
        <w:tc>
          <w:tcPr>
            <w:tcW w:w="253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trHeight w:val="921"/>
        </w:trPr>
        <w:tc>
          <w:tcPr>
            <w:tcW w:w="1466"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21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示值误差</w:t>
            </w:r>
            <w:r/>
          </w:p>
        </w:tc>
        <w:tc>
          <w:tcPr>
            <w:tcW w:w="22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零点绝对误差应为≤3倍检出限，其他点相对误差≤±5%</w:t>
            </w:r>
            <w:r/>
          </w:p>
        </w:tc>
        <w:tc>
          <w:tcPr>
            <w:tcW w:w="120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253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w:t>
            </w:r>
            <w:r/>
          </w:p>
        </w:tc>
      </w:tr>
      <w:tr>
        <w:trPr>
          <w:trHeight w:val="690"/>
        </w:trPr>
        <w:tc>
          <w:tcPr>
            <w:shd w:val="clear" w:color="auto" w:fill="auto"/>
            <w:tcW w:w="146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实际水样比对</w:t>
            </w:r>
            <w:r/>
          </w:p>
        </w:tc>
        <w:tc>
          <w:tcPr>
            <w:shd w:val="clear" w:color="auto" w:fill="ffffff"/>
            <w:tcW w:w="1216"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shd w:val="clear" w:color="auto" w:fill="ffffff"/>
            <w:tcW w:w="22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±30%</w:t>
            </w:r>
            <w:r/>
          </w:p>
        </w:tc>
        <w:tc>
          <w:tcPr>
            <w:shd w:val="clear" w:color="auto" w:fill="ffffff"/>
            <w:tcW w:w="120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c>
          <w:tcPr>
            <w:shd w:val="clear" w:color="auto" w:fill="ffffff"/>
            <w:tcW w:w="2532"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采用经校准的便携式荧光法仪器比对</w:t>
            </w:r>
            <w:r/>
          </w:p>
        </w:tc>
      </w:tr>
    </w:tbl>
    <w:p>
      <w:pPr>
        <w:jc w:val="center"/>
        <w:spacing w:line="500" w:lineRule="exact"/>
        <w:rPr>
          <w:rFonts w:ascii="仿宋" w:hAnsi="仿宋" w:eastAsia="仿宋" w:cs="仿宋"/>
          <w:color w:val="000000"/>
          <w:sz w:val="24"/>
        </w:rPr>
      </w:pPr>
      <w:r>
        <w:rPr>
          <w:rFonts w:hint="eastAsia" w:ascii="仿宋" w:hAnsi="仿宋" w:eastAsia="仿宋" w:cs="仿宋"/>
          <w:color w:val="000000"/>
          <w:sz w:val="24"/>
        </w:rPr>
        <w:t xml:space="preserve">表7 挥发性有机物质量控制措施实施频次和技术要求</w:t>
      </w:r>
      <w:r/>
    </w:p>
    <w:tbl>
      <w:tblPr>
        <w:tblStyle w:val="920"/>
        <w:tblW w:w="86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23"/>
        <w:gridCol w:w="1053"/>
        <w:gridCol w:w="1561"/>
        <w:gridCol w:w="3441"/>
      </w:tblGrid>
      <w:tr>
        <w:trPr>
          <w:trHeight w:val="491"/>
        </w:trPr>
        <w:tc>
          <w:tcPr>
            <w:tcW w:w="262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质控措施</w:t>
            </w:r>
            <w:r/>
          </w:p>
        </w:tc>
        <w:tc>
          <w:tcPr>
            <w:gridSpan w:val="2"/>
            <w:tcW w:w="2614"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技术要求</w:t>
            </w:r>
            <w:r/>
          </w:p>
        </w:tc>
        <w:tc>
          <w:tcPr>
            <w:tcW w:w="34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质控实施频次</w:t>
            </w:r>
            <w:r/>
          </w:p>
        </w:tc>
      </w:tr>
      <w:tr>
        <w:trPr>
          <w:trHeight w:val="415"/>
        </w:trPr>
        <w:tc>
          <w:tcPr>
            <w:tcW w:w="262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标准溶液核查</w:t>
            </w:r>
            <w:r/>
          </w:p>
        </w:tc>
        <w:tc>
          <w:tcPr>
            <w:tcW w:w="1053"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相对误差</w:t>
            </w:r>
            <w:r/>
          </w:p>
        </w:tc>
        <w:tc>
          <w:tcPr>
            <w:tcW w:w="1561" w:type="dxa"/>
            <w:vAlign w:val="center"/>
            <w:vMerge w:val="restart"/>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≤±30%</w:t>
            </w:r>
            <w:r/>
          </w:p>
        </w:tc>
        <w:tc>
          <w:tcPr>
            <w:tcW w:w="34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每月</w:t>
            </w:r>
            <w:r/>
          </w:p>
        </w:tc>
      </w:tr>
      <w:tr>
        <w:trPr>
          <w:trHeight w:val="415"/>
        </w:trPr>
        <w:tc>
          <w:tcPr>
            <w:tcW w:w="262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实际水样比对</w:t>
            </w:r>
            <w:r/>
          </w:p>
        </w:tc>
        <w:tc>
          <w:tcPr>
            <w:tcW w:w="1053"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1561" w:type="dxa"/>
            <w:vAlign w:val="center"/>
            <w:vMerge w:val="continue"/>
            <w:textDirection w:val="lrTb"/>
            <w:noWrap/>
          </w:tcPr>
          <w:p>
            <w:pPr>
              <w:jc w:val="center"/>
              <w:rPr>
                <w:rFonts w:ascii="仿宋" w:hAnsi="仿宋" w:eastAsia="仿宋" w:cs="仿宋"/>
                <w:color w:val="000000"/>
                <w:sz w:val="24"/>
              </w:rPr>
            </w:pPr>
            <w:r>
              <w:rPr>
                <w:rFonts w:ascii="仿宋" w:hAnsi="仿宋" w:eastAsia="仿宋" w:cs="仿宋"/>
                <w:color w:val="000000"/>
                <w:sz w:val="24"/>
              </w:rPr>
            </w:r>
            <w:r/>
          </w:p>
        </w:tc>
        <w:tc>
          <w:tcPr>
            <w:tcW w:w="34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每季度</w:t>
            </w:r>
            <w:r/>
          </w:p>
        </w:tc>
      </w:tr>
      <w:tr>
        <w:trPr>
          <w:trHeight w:val="459"/>
        </w:trPr>
        <w:tc>
          <w:tcPr>
            <w:tcW w:w="2623"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加标回收试验</w:t>
            </w:r>
            <w:r/>
          </w:p>
        </w:tc>
        <w:tc>
          <w:tcPr>
            <w:gridSpan w:val="2"/>
            <w:tcW w:w="2614"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70%～130%</w:t>
            </w:r>
            <w:r/>
          </w:p>
        </w:tc>
        <w:tc>
          <w:tcPr>
            <w:tcW w:w="3441" w:type="dxa"/>
            <w:vAlign w:val="center"/>
            <w:textDirection w:val="lrTb"/>
            <w:noWrap/>
          </w:tcPr>
          <w:p>
            <w:pPr>
              <w:jc w:val="center"/>
              <w:rPr>
                <w:rFonts w:ascii="仿宋" w:hAnsi="仿宋" w:eastAsia="仿宋" w:cs="仿宋"/>
                <w:color w:val="000000"/>
                <w:sz w:val="24"/>
              </w:rPr>
            </w:pPr>
            <w:r>
              <w:rPr>
                <w:rFonts w:hint="eastAsia" w:ascii="仿宋" w:hAnsi="仿宋" w:eastAsia="仿宋" w:cs="仿宋"/>
                <w:color w:val="000000"/>
                <w:sz w:val="24"/>
              </w:rPr>
              <w:t xml:space="preserve">数据异常排查时按需开展</w:t>
            </w:r>
            <w:r/>
          </w:p>
        </w:tc>
      </w:tr>
    </w:tbl>
    <w:p>
      <w:pPr>
        <w:ind w:firstLine="840"/>
        <w:jc w:val="left"/>
        <w:spacing w:line="480" w:lineRule="exact"/>
        <w:rPr>
          <w:rFonts w:ascii="仿宋" w:hAnsi="仿宋" w:eastAsia="仿宋" w:cs="仿宋"/>
          <w:sz w:val="28"/>
          <w:szCs w:val="28"/>
        </w:rPr>
      </w:pPr>
      <w:r>
        <w:rPr>
          <w:rFonts w:hint="eastAsia" w:ascii="仿宋" w:hAnsi="仿宋" w:eastAsia="仿宋" w:cs="仿宋"/>
          <w:sz w:val="28"/>
          <w:szCs w:val="28"/>
        </w:rPr>
        <w:t xml:space="preserve">7.对响应供应商提供运维服务的要求</w:t>
      </w:r>
      <w:r/>
    </w:p>
    <w:p>
      <w:pPr>
        <w:ind w:firstLine="564"/>
        <w:jc w:val="left"/>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（1）响应供应商须提供运维服务相关资质证明材料，其中数据审核人员需通过综合分析、数据传输、质量管理方面的专业知识培训和考核。</w:t>
      </w:r>
      <w:r/>
    </w:p>
    <w:p>
      <w:pPr>
        <w:ind w:firstLine="564"/>
        <w:jc w:val="left"/>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（2）响应供应商必须根据本部分要求作出相应应答，明确维护方法、周期、内容及技</w:t>
      </w:r>
      <w:r>
        <w:rPr>
          <w:rFonts w:hint="eastAsia" w:ascii="仿宋" w:hAnsi="仿宋" w:eastAsia="仿宋" w:cs="仿宋"/>
          <w:sz w:val="28"/>
          <w:szCs w:val="28"/>
        </w:rPr>
        <w:t xml:space="preserve">术保障等。</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（3）建立内部质量管理体系，</w:t>
      </w:r>
      <w:r>
        <w:rPr>
          <w:rFonts w:hint="eastAsia" w:ascii="仿宋" w:hAnsi="仿宋" w:eastAsia="仿宋" w:cs="仿宋"/>
          <w:b/>
          <w:bCs/>
          <w:sz w:val="28"/>
          <w:szCs w:val="28"/>
        </w:rPr>
        <w:t xml:space="preserve">设立质控实验室</w:t>
      </w:r>
      <w:r>
        <w:rPr>
          <w:rFonts w:hint="eastAsia" w:ascii="仿宋" w:hAnsi="仿宋" w:eastAsia="仿宋" w:cs="仿宋"/>
          <w:sz w:val="28"/>
          <w:szCs w:val="28"/>
        </w:rPr>
        <w:t xml:space="preserve">，配备相应的质控仪器和数量充足的专业运行维护人员。</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（4）响应供应商须建立仪器设备防篡改制度、监控值守制度、监测数据异常处理机制、人员出入登记备案制度。</w:t>
      </w:r>
      <w:r/>
    </w:p>
    <w:p>
      <w:pPr>
        <w:ind w:left="118" w:right="219" w:firstLine="479"/>
        <w:spacing w:line="480" w:lineRule="exact"/>
        <w:rPr>
          <w:rFonts w:ascii="仿宋" w:hAnsi="仿宋" w:eastAsia="仿宋"/>
          <w:spacing w:val="1"/>
          <w:sz w:val="28"/>
          <w:szCs w:val="28"/>
        </w:rPr>
      </w:pPr>
      <w:r>
        <w:rPr>
          <w:rFonts w:hint="eastAsia" w:ascii="仿宋" w:hAnsi="仿宋" w:eastAsia="仿宋" w:cs="仿宋"/>
          <w:spacing w:val="1"/>
          <w:sz w:val="28"/>
          <w:szCs w:val="28"/>
        </w:rPr>
        <w:t xml:space="preserve">8.质控要求</w:t>
      </w:r>
      <w:r/>
    </w:p>
    <w:p>
      <w:pPr>
        <w:ind w:left="118" w:right="219" w:firstLine="479"/>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成交人应及时对校准、质控和水质异常等的数据做出标识，并于每日的 10:00 之前将完成前一日原始数据的标识工作。质控考核测试不合格时，成交人应立即查找原因，并在考核结束的 24 小时内完成补测。补测仍不合格仪器（或系统）视为故障，需在48 小时内更换备机。质控考核不合格的数据直至下次测试合格前均按无效数据剔除。成交人未按要求更换备机的，相关数据将全部视作无效数据，并同时扣除该参数当月运维款。</w:t>
      </w:r>
      <w:r/>
    </w:p>
    <w:p>
      <w:pPr>
        <w:ind w:firstLine="560"/>
        <w:spacing w:line="500" w:lineRule="exact"/>
        <w:rPr>
          <w:rFonts w:ascii="仿宋" w:hAnsi="仿宋" w:eastAsia="仿宋" w:cs="仿宋"/>
          <w:b/>
          <w:bCs/>
          <w:sz w:val="28"/>
          <w:szCs w:val="28"/>
        </w:rPr>
      </w:pPr>
      <w:r/>
      <w:bookmarkStart w:id="41" w:name="_Toc86147045"/>
      <w:r>
        <w:rPr>
          <w:rFonts w:hint="eastAsia" w:ascii="仿宋" w:hAnsi="仿宋" w:eastAsia="仿宋" w:cs="仿宋"/>
          <w:b/>
          <w:bCs/>
          <w:sz w:val="28"/>
          <w:szCs w:val="28"/>
        </w:rPr>
        <w:t xml:space="preserve">（六）其他相关要求</w:t>
      </w:r>
      <w:bookmarkEnd w:id="41"/>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1、成交供应商须协助采购方在必要时做好水站周边水系情况调查及污染溯源排查工作。</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2、成交供应商应参加采购方组织的运维工作会议。</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3、成交供应商应根据国家与我省有关要求做好废液的处理工作。</w:t>
      </w:r>
      <w:r/>
    </w:p>
    <w:p>
      <w:pPr>
        <w:ind w:firstLine="561"/>
        <w:spacing w:line="500" w:lineRule="exact"/>
        <w:rPr>
          <w:rFonts w:ascii="仿宋" w:hAnsi="仿宋" w:eastAsia="仿宋"/>
          <w:spacing w:val="1"/>
          <w:sz w:val="28"/>
          <w:szCs w:val="28"/>
        </w:rPr>
      </w:pPr>
      <w:r>
        <w:rPr>
          <w:rFonts w:hint="eastAsia" w:ascii="仿宋" w:hAnsi="仿宋" w:eastAsia="仿宋" w:cs="仿宋"/>
          <w:sz w:val="28"/>
          <w:szCs w:val="28"/>
        </w:rPr>
        <w:t xml:space="preserve">4、成交供应商须保证满足生态环境部门对水质自动站仪器设备故障的响应时间要求，</w:t>
      </w:r>
      <w:r>
        <w:rPr>
          <w:rFonts w:hint="eastAsia" w:ascii="仿宋" w:hAnsi="仿宋" w:eastAsia="仿宋" w:cs="仿宋"/>
          <w:spacing w:val="1"/>
          <w:sz w:val="28"/>
          <w:szCs w:val="28"/>
        </w:rPr>
        <w:t xml:space="preserve">当水质自动站系统仪器出现故障、停运时，成交人应保证在2小时内响应，2小时（夜间或节假日4小时）内到达现场并完成仪器设备故障排查，对于一般故障，如电磁阀控制失灵、气路堵塞、数据采集仪死机等，维修时间不应超过4小时；若数据采集仪发生严重故障，</w:t>
      </w:r>
      <w:r>
        <w:rPr>
          <w:rFonts w:hint="eastAsia" w:ascii="仿宋" w:hAnsi="仿宋" w:eastAsia="仿宋" w:cs="仿宋"/>
          <w:spacing w:val="1"/>
          <w:sz w:val="28"/>
          <w:szCs w:val="28"/>
        </w:rPr>
        <w:t xml:space="preserve">在12小时内修复或更换，并保证已采集的数据不丢失。环境自动监测设施发生故障不能正常使用的，运维机构应当在发生故障后12小时内向生态环境主管部门书面报告，并及时检修，保证在24小时内恢复正常运行。发生严重故障的自动监测设施经维修后，须对其按照国家有关技术规范要求进行校准和校验，确认其监测性能完全恢复后方可重新投入使用。如果在48小时内无法排除故障的，运维机构应安装备用仪器，备用仪器或主要关键部件（如光源、分析单元等）调换后应根据国家有关技术规范对所用在线监测设备重新调试，并经校验和比对监测合格后方可投入运行。</w:t>
      </w:r>
      <w:r/>
    </w:p>
    <w:p>
      <w:pPr>
        <w:ind w:firstLine="564"/>
        <w:jc w:val="left"/>
        <w:spacing w:line="500" w:lineRule="exact"/>
        <w:rPr>
          <w:sz w:val="24"/>
        </w:rPr>
      </w:pPr>
      <w:r>
        <w:rPr>
          <w:rFonts w:hint="eastAsia" w:ascii="仿宋" w:hAnsi="仿宋" w:eastAsia="仿宋" w:cs="仿宋"/>
          <w:spacing w:val="1"/>
          <w:sz w:val="28"/>
          <w:szCs w:val="28"/>
        </w:rPr>
        <w:t xml:space="preserve">5、因水电中断、采水故障或水位不足造成水站无法自动取样时需进行人工补测，应启动自有或委托的检测机构进行检测以确保数据的完整性，并将实验室分析结果录入数据平台；实验室检测数据不少于每周两组（两次间隔不低于两天），并及时以书面形式报告采购人，协商处理方案。</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7、仪器损坏不能修复时（包括使用超过8年导致，或因特别重大、重大水旱、气象、地震、地质等自然灾害、站房外部火灾、爆炸、恐怖袭击、武装冲突、蓄意破坏等不可抗力导致），运维单位须先行及时使用备机开展监测，同时报告采购单位。</w:t>
      </w:r>
      <w:r/>
    </w:p>
    <w:p>
      <w:pPr>
        <w:ind w:firstLine="560"/>
        <w:jc w:val="left"/>
        <w:spacing w:line="500" w:lineRule="exact"/>
        <w:rPr>
          <w:rFonts w:ascii="仿宋" w:hAnsi="仿宋" w:eastAsia="仿宋" w:cs="仿宋"/>
          <w:sz w:val="28"/>
          <w:szCs w:val="28"/>
        </w:rPr>
      </w:pPr>
      <w:r>
        <w:rPr>
          <w:rFonts w:hint="eastAsia" w:ascii="仿宋" w:hAnsi="仿宋" w:eastAsia="仿宋" w:cs="仿宋"/>
          <w:sz w:val="28"/>
          <w:szCs w:val="28"/>
        </w:rPr>
        <w:t xml:space="preserve">8、严禁擅自更改仪器参数设置。</w:t>
      </w:r>
      <w:r/>
    </w:p>
    <w:p>
      <w:pPr>
        <w:ind w:right="221" w:firstLine="564"/>
        <w:spacing w:line="500" w:lineRule="exact"/>
        <w:rPr>
          <w:rFonts w:ascii="仿宋" w:hAnsi="仿宋" w:eastAsia="仿宋"/>
          <w:spacing w:val="1"/>
          <w:sz w:val="28"/>
          <w:szCs w:val="28"/>
        </w:rPr>
      </w:pPr>
      <w:r>
        <w:rPr>
          <w:rFonts w:hint="eastAsia" w:ascii="仿宋" w:hAnsi="仿宋" w:eastAsia="仿宋" w:cs="仿宋"/>
          <w:spacing w:val="1"/>
          <w:sz w:val="28"/>
          <w:szCs w:val="28"/>
        </w:rPr>
        <w:t xml:space="preserve">9、协助南通市如皋生态环境监测站做好水质自动站固定资产的管理、备品配件的登记等工作。</w:t>
      </w:r>
      <w:r/>
    </w:p>
    <w:p>
      <w:pPr>
        <w:ind w:right="221" w:firstLine="564"/>
        <w:spacing w:line="500" w:lineRule="exact"/>
        <w:rPr>
          <w:rFonts w:ascii="仿宋" w:hAnsi="仿宋" w:eastAsia="仿宋"/>
          <w:spacing w:val="1"/>
          <w:sz w:val="28"/>
          <w:szCs w:val="28"/>
        </w:rPr>
      </w:pPr>
      <w:r>
        <w:rPr>
          <w:rFonts w:hint="eastAsia" w:ascii="仿宋" w:hAnsi="仿宋" w:eastAsia="仿宋" w:cs="仿宋"/>
          <w:spacing w:val="1"/>
          <w:sz w:val="28"/>
          <w:szCs w:val="28"/>
        </w:rPr>
        <w:t xml:space="preserve">10、积极参加省中心主办的技术培训班，加强业务学习，不断提高业务能力和水平；定期接受南通市如皋生态环境监测站的工作考核和质控考核。</w:t>
      </w:r>
      <w:r/>
    </w:p>
    <w:p>
      <w:pPr>
        <w:ind w:left="210" w:right="221" w:firstLine="566"/>
        <w:spacing w:line="480" w:lineRule="exact"/>
        <w:rPr>
          <w:rFonts w:ascii="仿宋" w:hAnsi="仿宋" w:eastAsia="仿宋" w:cs="仿宋"/>
          <w:b/>
          <w:bCs/>
          <w:spacing w:val="1"/>
          <w:sz w:val="28"/>
          <w:szCs w:val="28"/>
        </w:rPr>
      </w:pPr>
      <w:r>
        <w:rPr>
          <w:rFonts w:hint="eastAsia" w:ascii="仿宋" w:hAnsi="仿宋" w:eastAsia="仿宋" w:cs="仿宋"/>
          <w:b/>
          <w:bCs/>
          <w:spacing w:val="1"/>
          <w:sz w:val="28"/>
          <w:szCs w:val="28"/>
        </w:rPr>
        <w:t xml:space="preserve">以上所有要求均需服从国家、省、市等各级生态环境部门对水质自动监测系统运维的最新文件规定。</w:t>
      </w:r>
      <w:r/>
    </w:p>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（七）采购标的的其他技术、服务等要求：（除各分包的特别需求外，其他要求均适用所有分包）</w:t>
      </w:r>
      <w:r/>
    </w:p>
    <w:p>
      <w:pPr>
        <w:ind w:right="221" w:firstLine="564"/>
        <w:spacing w:line="500" w:lineRule="exact"/>
        <w:rPr>
          <w:rFonts w:ascii="仿宋" w:hAnsi="仿宋" w:eastAsia="仿宋" w:cs="仿宋"/>
          <w:spacing w:val="1"/>
          <w:sz w:val="28"/>
          <w:szCs w:val="28"/>
        </w:rPr>
      </w:pPr>
      <w:r>
        <w:rPr>
          <w:rFonts w:hint="eastAsia" w:ascii="仿宋" w:hAnsi="仿宋" w:eastAsia="仿宋" w:cs="仿宋"/>
          <w:spacing w:val="1"/>
          <w:sz w:val="28"/>
          <w:szCs w:val="28"/>
        </w:rPr>
        <w:t xml:space="preserve">1.分包1特别需求</w:t>
      </w:r>
      <w:r/>
    </w:p>
    <w:p>
      <w:pPr>
        <w:ind w:right="221" w:firstLine="564"/>
        <w:spacing w:line="500" w:lineRule="exact"/>
        <w:rPr>
          <w:rFonts w:ascii="仿宋" w:hAnsi="仿宋" w:eastAsia="仿宋" w:cs="仿宋"/>
          <w:spacing w:val="1"/>
          <w:sz w:val="28"/>
          <w:szCs w:val="28"/>
        </w:rPr>
      </w:pPr>
      <w:r>
        <w:rPr>
          <w:rFonts w:hint="eastAsia" w:ascii="仿宋" w:hAnsi="仿宋" w:eastAsia="仿宋" w:cs="仿宋"/>
          <w:spacing w:val="1"/>
          <w:sz w:val="28"/>
          <w:szCs w:val="28"/>
          <w:lang w:val="zh-CN"/>
        </w:rPr>
        <w:t xml:space="preserve">在服务期间，须无条件响应并协助采购人做好包括但不限于此次采购总服务的</w:t>
      </w:r>
      <w:r>
        <w:rPr>
          <w:rFonts w:hint="eastAsia" w:ascii="仿宋" w:hAnsi="仿宋" w:eastAsia="仿宋" w:cs="仿宋"/>
          <w:spacing w:val="1"/>
          <w:sz w:val="28"/>
          <w:szCs w:val="28"/>
        </w:rPr>
        <w:t xml:space="preserve">4</w:t>
      </w:r>
      <w:r>
        <w:rPr>
          <w:rFonts w:hint="eastAsia" w:ascii="仿宋" w:hAnsi="仿宋" w:eastAsia="仿宋" w:cs="仿宋"/>
          <w:spacing w:val="1"/>
          <w:sz w:val="28"/>
          <w:szCs w:val="28"/>
          <w:lang w:val="zh-CN"/>
        </w:rPr>
        <w:t xml:space="preserve">个站点及涉及河流的周边水系情况调查及污染溯源排查工作，在重点断面定期部署无人采样船、无人机光谱反演巡检系统，提供数据分析相关技术支持，完成分析报告编制工作（每年度提供至少</w:t>
      </w:r>
      <w:r>
        <w:rPr>
          <w:rFonts w:hint="eastAsia" w:ascii="仿宋" w:hAnsi="仿宋" w:eastAsia="仿宋" w:cs="仿宋"/>
          <w:spacing w:val="1"/>
          <w:sz w:val="28"/>
          <w:szCs w:val="28"/>
        </w:rPr>
        <w:t xml:space="preserve">1</w:t>
      </w:r>
      <w:r>
        <w:rPr>
          <w:rFonts w:hint="eastAsia" w:ascii="仿宋" w:hAnsi="仿宋" w:eastAsia="仿宋" w:cs="仿宋"/>
          <w:spacing w:val="1"/>
          <w:sz w:val="28"/>
          <w:szCs w:val="28"/>
          <w:lang w:val="zh-CN"/>
        </w:rPr>
        <w:t xml:space="preserve">份水质溯源成果报告）。</w:t>
      </w:r>
      <w:r/>
    </w:p>
    <w:p>
      <w:pPr>
        <w:ind w:firstLine="56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（八）服务流程</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1.供应商应系统建立自动站托管运行维护制度，建立文件化的日常运行体系，根据采购文件的要求明确维护方法、周期、内容及技术保障等。</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2.成交供应商须针对自动站系统和中心监控平台制定年度保养检修计划并按期进行。保养检修须包括系统的全面清洗和检修、仪器管路清洗、主要备件的更换、仪器的性 能测试检查、软件更新升级及安全保障等内容。成交供应商负责对自动站设备进行定期校准、核查、比对、性能测试，满足国家、省及采购单位的有关质控要求。</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3.按照国家、省及采购单位水质自动站运行管理办法，开展日常维护和比对工作。成交供应商应配合采购单位进行自动站质量保证和质量控制工作，并随时接受采购单位的工作考核及质量考核。</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4.成交供应商技术人员应遵守水质自动站站安全管理条例规定，确保站点及周围整洁有序。成交供应商技术人员的安全责任及交通食宿等开支由成交供应商承担。</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5.成交供应商保证在运营维护管理期内，日常工作日8小时不断人，节假日或非工作时间有值班人员，确保监测有效数据捕获率不小于90%，数据误差符合检测项目性能指标要求，有效运行率≥90%（除去停水停电，性能测试及其他不可抗拒因素引起的故障）。协助采购单位做好自动站站应急监测。</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6.双方建立定期会商报告制度，原则上每个星期成交供应商向采购单位汇报上周运行情况和本周工作计划。成交供应商认真、及时做好维护记录，汇总自动站每周运维情况，每月以书面形式报采购单位，书面报告为运行维护考核依据之一，具体包括：自动站现场维护记录、水样比对等记录（通过运维终端实时上报）；自动站运行月报；自动仪器设备故障及排除情况报告；自动站备品备件管理报表。</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7.成交供应商应根据采购单位的要求和行业技术的发展，提供系统监控软件、通讯软件、数据平台等并按照采购方要求进行维护和改进，配合采购单位进行运维软件的应用。</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8.运行维修工作界定：水质自动站因不可抗力（地震、雷击、洪水、台风等）以及人为破坏导致太阳能板、固定架、锚灯等辅助设备损坏，维修费由双方协商解决。</w:t>
      </w:r>
      <w:r/>
    </w:p>
    <w:p>
      <w:pPr>
        <w:ind w:left="210" w:right="221" w:firstLine="425"/>
        <w:spacing w:line="480" w:lineRule="exact"/>
        <w:rPr>
          <w:rFonts w:ascii="仿宋" w:hAnsi="仿宋" w:eastAsia="仿宋" w:cs="仿宋"/>
          <w:spacing w:val="1"/>
          <w:sz w:val="28"/>
          <w:szCs w:val="28"/>
        </w:rPr>
      </w:pPr>
      <w:r>
        <w:rPr>
          <w:rFonts w:hint="eastAsia" w:ascii="仿宋" w:hAnsi="仿宋" w:eastAsia="仿宋" w:cs="仿宋"/>
          <w:spacing w:val="1"/>
          <w:sz w:val="28"/>
          <w:szCs w:val="28"/>
        </w:rPr>
        <w:t xml:space="preserve">9.在运营维护及管理期间，成交人必须遵守国家的有关法律、法规及其他规定，本着为采购人方负责的精神，依照规范，科学管理，使各监测监控系统运行达到国家及行业颁布的技术标准和采购人方要求的考核指标要求；使水质自动监测系统运行真正发挥其效能和作用。</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四、服务标准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参考技术规范和标准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1.《地表水环境质量标准》（GB3838-2002）</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2.《国家地表水水质自动监测站运行维护管理实施细则（试行）》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3.《地表水水质自动监测站站房及采排水技术要求（试行）》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w:t>
      </w:r>
      <w:r>
        <w:rPr>
          <w:rFonts w:ascii="仿宋" w:hAnsi="仿宋" w:eastAsia="仿宋" w:cs="仿宋"/>
          <w:sz w:val="28"/>
          <w:szCs w:val="28"/>
        </w:rPr>
        <w:t xml:space="preserve">地表水水质自动监测站选址与基础 设施建设技术要求</w:t>
      </w:r>
      <w:r>
        <w:rPr>
          <w:rFonts w:hint="eastAsia" w:ascii="仿宋" w:hAnsi="仿宋" w:eastAsia="仿宋" w:cs="仿宋"/>
          <w:sz w:val="28"/>
          <w:szCs w:val="28"/>
        </w:rPr>
        <w:t xml:space="preserve">》HJ915.1-2024</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地表水水质自动监测站（常规五参数、COD</w:t>
      </w:r>
      <w:r>
        <w:rPr>
          <w:rFonts w:ascii="仿宋" w:hAnsi="仿宋" w:eastAsia="仿宋" w:cs="仿宋"/>
          <w:sz w:val="28"/>
          <w:szCs w:val="28"/>
          <w:vertAlign w:val="subscript"/>
        </w:rPr>
        <w:t xml:space="preserve">Mn</w:t>
      </w:r>
      <w:r>
        <w:rPr>
          <w:rFonts w:ascii="仿宋" w:hAnsi="仿宋" w:eastAsia="仿宋" w:cs="仿宋"/>
          <w:sz w:val="28"/>
          <w:szCs w:val="28"/>
        </w:rPr>
        <w:t xml:space="preserve">、NH</w:t>
      </w:r>
      <w:r>
        <w:rPr>
          <w:rFonts w:ascii="仿宋" w:hAnsi="仿宋" w:eastAsia="仿宋" w:cs="仿宋"/>
          <w:sz w:val="28"/>
          <w:szCs w:val="28"/>
          <w:vertAlign w:val="subscript"/>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N、TP、TN）安装验收技术规范</w:t>
      </w:r>
      <w:r>
        <w:rPr>
          <w:rFonts w:hint="eastAsia" w:ascii="仿宋" w:hAnsi="仿宋" w:eastAsia="仿宋" w:cs="仿宋"/>
          <w:sz w:val="28"/>
          <w:szCs w:val="28"/>
        </w:rPr>
        <w:t xml:space="preserve">》HJ915.2-2024</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w:t>
      </w:r>
      <w:r>
        <w:rPr>
          <w:rFonts w:ascii="仿宋" w:hAnsi="仿宋" w:eastAsia="仿宋" w:cs="仿宋"/>
          <w:sz w:val="28"/>
          <w:szCs w:val="28"/>
        </w:rPr>
        <w:t xml:space="preserve">地表水水质自动监测站（常规五参数</w:t>
      </w:r>
      <w:r>
        <w:rPr>
          <w:rFonts w:hint="eastAsia" w:ascii="仿宋" w:hAnsi="仿宋" w:eastAsia="仿宋" w:cs="仿宋"/>
          <w:sz w:val="28"/>
          <w:szCs w:val="28"/>
        </w:rPr>
        <w:t xml:space="preserve">、</w:t>
      </w:r>
      <w:r>
        <w:rPr>
          <w:rFonts w:ascii="仿宋" w:hAnsi="仿宋" w:eastAsia="仿宋" w:cs="仿宋"/>
          <w:sz w:val="28"/>
          <w:szCs w:val="28"/>
        </w:rPr>
        <w:t xml:space="preserve">COD</w:t>
      </w:r>
      <w:r>
        <w:rPr>
          <w:rFonts w:ascii="仿宋" w:hAnsi="仿宋" w:eastAsia="仿宋" w:cs="仿宋"/>
          <w:sz w:val="28"/>
          <w:szCs w:val="28"/>
          <w:vertAlign w:val="subscript"/>
        </w:rPr>
        <w:t xml:space="preserve">Mn</w:t>
      </w:r>
      <w:r>
        <w:rPr>
          <w:rFonts w:ascii="仿宋" w:hAnsi="仿宋" w:eastAsia="仿宋" w:cs="仿宋"/>
          <w:sz w:val="28"/>
          <w:szCs w:val="28"/>
        </w:rPr>
        <w:t xml:space="preserve">、NH</w:t>
      </w:r>
      <w:r>
        <w:rPr>
          <w:rFonts w:ascii="仿宋" w:hAnsi="仿宋" w:eastAsia="仿宋" w:cs="仿宋"/>
          <w:sz w:val="28"/>
          <w:szCs w:val="28"/>
          <w:vertAlign w:val="subscript"/>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N、TP、TN）运行维护技术规范 </w:t>
      </w:r>
      <w:r>
        <w:rPr>
          <w:rFonts w:hint="eastAsia" w:ascii="仿宋" w:hAnsi="仿宋" w:eastAsia="仿宋" w:cs="仿宋"/>
          <w:sz w:val="28"/>
          <w:szCs w:val="28"/>
        </w:rPr>
        <w:t xml:space="preserve">》HJ915.3-2024</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7.《地表水自动监测系统通信协议技术要求（试行）》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8.《国地表水自动监测仪器通信协议技术要求（试行）》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9.《江苏省地表水自动监测站运行管理办法（试行）》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10.《南通市环境质量自动监测站运行管理办法（试行）》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11.《南通市环境质量自动监测设施运维管理办法（试行）》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12.《江苏省地表水水质自动监测站建设技术要求---站房、采水及文化建设部分（试行）》（苏环办〔2019〕114号）</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13.《污染物自动监测监控系统 数据传输技术要求》（HJ 212-2025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14.《江苏省生态环境数据资源交换共享实施规范》（苏环办〔2019〕398号）</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15.《环境水质（地表水）自动监测站运行维护技术规范》DB32T 4536-2023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16.《pH水质自动分析仪技术要求》（HJ/T 96-2003）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17.《电导率水质自动分析仪技术要求》（HJ/T 97-2003）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18.《浊度水质自动分析仪技术要求》（HJ/T 98-2003）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19.《溶解氧（DO）水质自动分析仪技术要求》（HJ/T 99-2003）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20.《高锰酸盐指数水质自动分析仪技术要求》（HJ/T 100-2003）</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21.《氨氮水质在线自动监测仪技术要求及检测方法》（HJ 101-2019）</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22.《</w:t>
      </w:r>
      <w:r>
        <w:rPr>
          <w:rFonts w:ascii="仿宋" w:hAnsi="仿宋" w:eastAsia="仿宋" w:cs="仿宋"/>
          <w:sz w:val="28"/>
          <w:szCs w:val="28"/>
        </w:rPr>
        <w:t xml:space="preserve">水质总氮自动监测仪技术要求</w:t>
      </w:r>
      <w:r>
        <w:rPr>
          <w:rFonts w:hint="eastAsia" w:ascii="仿宋" w:hAnsi="仿宋" w:eastAsia="仿宋" w:cs="仿宋"/>
          <w:sz w:val="28"/>
          <w:szCs w:val="28"/>
        </w:rPr>
        <w:t xml:space="preserve">及检测方法》（HJ 102-2026）</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23.《</w:t>
      </w:r>
      <w:r>
        <w:rPr>
          <w:rFonts w:ascii="仿宋" w:hAnsi="仿宋" w:eastAsia="仿宋" w:cs="仿宋"/>
          <w:sz w:val="28"/>
          <w:szCs w:val="28"/>
        </w:rPr>
        <w:t xml:space="preserve">水质总磷自动监测仪技术要求</w:t>
      </w:r>
      <w:r>
        <w:rPr>
          <w:rFonts w:hint="eastAsia" w:ascii="仿宋" w:hAnsi="仿宋" w:eastAsia="仿宋" w:cs="仿宋"/>
          <w:sz w:val="28"/>
          <w:szCs w:val="28"/>
        </w:rPr>
        <w:t xml:space="preserve">及检测方法》</w:t>
      </w:r>
      <w:r>
        <w:rPr>
          <w:rFonts w:ascii="仿宋" w:hAnsi="仿宋" w:eastAsia="仿宋" w:cs="仿宋"/>
          <w:sz w:val="28"/>
          <w:szCs w:val="28"/>
        </w:rPr>
        <w:t xml:space="preserve">HJ </w:t>
      </w:r>
      <w:r>
        <w:rPr>
          <w:rFonts w:hint="eastAsia" w:ascii="仿宋" w:hAnsi="仿宋" w:eastAsia="仿宋" w:cs="仿宋"/>
          <w:sz w:val="28"/>
          <w:szCs w:val="28"/>
        </w:rPr>
        <w:t xml:space="preserve">103—2026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24.《</w:t>
      </w:r>
      <w:r>
        <w:rPr>
          <w:rFonts w:ascii="仿宋" w:hAnsi="仿宋" w:eastAsia="仿宋" w:cs="仿宋"/>
          <w:sz w:val="28"/>
          <w:szCs w:val="28"/>
        </w:rPr>
        <w:t xml:space="preserve">污水监测技术规范</w:t>
      </w:r>
      <w:r>
        <w:rPr>
          <w:rFonts w:hint="eastAsia" w:ascii="仿宋" w:hAnsi="仿宋" w:eastAsia="仿宋" w:cs="仿宋"/>
          <w:sz w:val="28"/>
          <w:szCs w:val="28"/>
        </w:rPr>
        <w:t xml:space="preserve">》（HJ 91.1-2019）</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25.《</w:t>
      </w:r>
      <w:r>
        <w:rPr>
          <w:rFonts w:ascii="仿宋" w:hAnsi="仿宋" w:eastAsia="仿宋" w:cs="仿宋"/>
          <w:sz w:val="28"/>
          <w:szCs w:val="28"/>
        </w:rPr>
        <w:t xml:space="preserve">地表水环境质量监测技术规范</w:t>
      </w:r>
      <w:r>
        <w:rPr>
          <w:rFonts w:hint="eastAsia" w:ascii="仿宋" w:hAnsi="仿宋" w:eastAsia="仿宋" w:cs="仿宋"/>
          <w:sz w:val="28"/>
          <w:szCs w:val="28"/>
        </w:rPr>
        <w:t xml:space="preserve">》（HJ 91.2-2022）</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26.《总有机碳（TOC）水质自动分析仪技术要求》（HJ/T 104-2003）</w:t>
      </w:r>
      <w:r/>
    </w:p>
    <w:p>
      <w:pPr>
        <w:ind w:firstLine="560"/>
        <w:jc w:val="left"/>
        <w:spacing w:line="500" w:lineRule="exact"/>
        <w:widowControl/>
        <w:rPr>
          <w:rFonts w:ascii="仿宋" w:hAnsi="仿宋" w:eastAsia="仿宋" w:cs="仿宋"/>
          <w:sz w:val="28"/>
          <w:szCs w:val="28"/>
        </w:rPr>
      </w:pPr>
      <w:r>
        <w:rPr>
          <w:rFonts w:hint="eastAsia" w:ascii="仿宋" w:hAnsi="仿宋" w:eastAsia="仿宋" w:cs="仿宋"/>
          <w:sz w:val="28"/>
          <w:szCs w:val="28"/>
        </w:rPr>
        <w:t xml:space="preserve">27.《</w:t>
      </w:r>
      <w:r>
        <w:rPr>
          <w:rFonts w:ascii="仿宋" w:hAnsi="仿宋" w:eastAsia="仿宋" w:cs="仿宋"/>
          <w:sz w:val="28"/>
          <w:szCs w:val="28"/>
        </w:rPr>
        <w:t xml:space="preserve">水质挥发性有机物的在线测定</w:t>
      </w:r>
      <w:r>
        <w:rPr>
          <w:rFonts w:hint="eastAsia" w:ascii="仿宋" w:hAnsi="仿宋" w:eastAsia="仿宋" w:cs="仿宋"/>
          <w:sz w:val="28"/>
          <w:szCs w:val="28"/>
        </w:rPr>
        <w:t xml:space="preserve">连续吹扫捕集</w:t>
      </w:r>
      <w:r>
        <w:rPr>
          <w:rFonts w:ascii="仿宋" w:hAnsi="仿宋" w:eastAsia="仿宋" w:cs="仿宋"/>
          <w:sz w:val="28"/>
          <w:szCs w:val="28"/>
        </w:rPr>
        <w:t xml:space="preserve">/</w:t>
      </w:r>
      <w:r>
        <w:rPr>
          <w:rFonts w:hint="eastAsia" w:ascii="仿宋" w:hAnsi="仿宋" w:eastAsia="仿宋" w:cs="仿宋"/>
          <w:sz w:val="28"/>
          <w:szCs w:val="28"/>
        </w:rPr>
        <w:t xml:space="preserve">气相色谱法》（</w:t>
      </w:r>
      <w:r>
        <w:rPr>
          <w:rFonts w:ascii="仿宋" w:hAnsi="仿宋" w:eastAsia="仿宋" w:cs="仿宋"/>
          <w:sz w:val="28"/>
          <w:szCs w:val="28"/>
        </w:rPr>
        <w:t xml:space="preserve">DB32/T 3945-2020</w:t>
      </w:r>
      <w:r>
        <w:rPr>
          <w:rFonts w:hint="eastAsia" w:ascii="仿宋" w:hAnsi="仿宋" w:eastAsia="仿宋" w:cs="仿宋"/>
          <w:sz w:val="28"/>
          <w:szCs w:val="28"/>
        </w:rPr>
        <w:t xml:space="preserve">）</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28.其他现行有效的技术规范及国家标准。</w:t>
      </w:r>
      <w:r/>
    </w:p>
    <w:p>
      <w:pPr>
        <w:ind w:firstLine="561"/>
        <w:spacing w:line="500" w:lineRule="exact"/>
        <w:rPr>
          <w:rFonts w:ascii="仿宋" w:hAnsi="仿宋" w:eastAsia="仿宋"/>
          <w:sz w:val="32"/>
          <w:szCs w:val="32"/>
        </w:rPr>
      </w:pPr>
      <w:r>
        <w:rPr>
          <w:rFonts w:hint="eastAsia" w:ascii="仿宋" w:hAnsi="仿宋" w:eastAsia="仿宋"/>
          <w:bCs/>
          <w:sz w:val="28"/>
          <w:szCs w:val="28"/>
        </w:rPr>
        <w:t xml:space="preserve">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五、服务期限和地点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服务期限：</w:t>
      </w:r>
      <w:r>
        <w:rPr>
          <w:rFonts w:hint="eastAsia" w:ascii="仿宋" w:hAnsi="仿宋" w:eastAsia="仿宋" w:cs="宋体"/>
          <w:color w:val="000000" w:themeColor="text1"/>
          <w:sz w:val="28"/>
          <w:szCs w:val="28"/>
          <w:highlight w:val="none"/>
          <w14:textFill>
            <w14:solidFill>
              <w14:schemeClr w14:val="tx1"/>
            </w14:solidFill>
          </w14:textFill>
        </w:rPr>
        <w:t xml:space="preserve">2026年11月21日-202</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宋体"/>
          <w:color w:val="000000" w:themeColor="text1"/>
          <w:sz w:val="28"/>
          <w:szCs w:val="28"/>
          <w:highlight w:val="none"/>
          <w14:textFill>
            <w14:solidFill>
              <w14:schemeClr w14:val="tx1"/>
            </w14:solidFill>
          </w14:textFill>
        </w:rPr>
        <w:t xml:space="preserve">年11月20日。合同期满后，经考核合格，在服务内容不变的前提下，可续签合同，最多续签不超过两次。</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总服务期不超过三年。</w:t>
      </w:r>
      <w:r>
        <w:rPr>
          <w:rFonts w:hint="eastAsia" w:ascii="仿宋" w:hAnsi="仿宋" w:eastAsia="仿宋" w:cs="宋体"/>
          <w:color w:val="000000" w:themeColor="text1"/>
          <w:sz w:val="28"/>
          <w:szCs w:val="28"/>
          <w:highlight w:val="none"/>
          <w14:textFill>
            <w14:solidFill>
              <w14:schemeClr w14:val="tx1"/>
            </w14:solidFill>
          </w14:textFill>
        </w:rPr>
        <w:t xml:space="preserve">具体以采购人通知为准。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地点：各分包所在水质自动站。</w:t>
      </w:r>
      <w:r/>
    </w:p>
    <w:p>
      <w:pPr>
        <w:numPr>
          <w:ilvl w:val="0"/>
          <w:numId w:val="3"/>
        </w:numPr>
        <w:ind w:firstLine="560"/>
        <w:spacing w:line="500" w:lineRule="exact"/>
        <w:rPr>
          <w:rFonts w:ascii="黑体" w:hAnsi="黑体" w:eastAsia="黑体"/>
          <w:sz w:val="28"/>
          <w:szCs w:val="28"/>
        </w:rPr>
      </w:pPr>
      <w:r>
        <w:rPr>
          <w:rFonts w:hint="eastAsia" w:ascii="黑体" w:hAnsi="黑体" w:eastAsia="黑体"/>
          <w:sz w:val="28"/>
          <w:szCs w:val="28"/>
        </w:rPr>
        <w:t xml:space="preserve">监督与考核方案</w:t>
      </w:r>
      <w:r/>
    </w:p>
    <w:p>
      <w:pPr>
        <w:ind w:firstLine="480"/>
        <w:spacing w:line="500" w:lineRule="exact"/>
        <w:widowControl/>
        <w:rPr>
          <w:rFonts w:ascii="仿宋" w:hAnsi="仿宋" w:eastAsia="仿宋" w:cs="仿宋"/>
          <w:sz w:val="28"/>
          <w:szCs w:val="28"/>
        </w:rPr>
      </w:pPr>
      <w:r/>
      <w:bookmarkStart w:id="42" w:name="_Toc28126"/>
      <w:r>
        <w:rPr>
          <w:rFonts w:hint="eastAsia" w:ascii="仿宋" w:hAnsi="仿宋" w:eastAsia="仿宋" w:cs="仿宋"/>
          <w:sz w:val="28"/>
          <w:szCs w:val="28"/>
        </w:rPr>
        <w:t xml:space="preserve">运维单位及人员必须接受采购人代表及其授权人员对运维工作的监督检查考核。</w:t>
      </w:r>
      <w:r/>
    </w:p>
    <w:p>
      <w:pPr>
        <w:ind w:firstLine="480"/>
        <w:spacing w:line="500" w:lineRule="exact"/>
        <w:widowControl/>
        <w:rPr>
          <w:rFonts w:ascii="仿宋" w:hAnsi="仿宋" w:eastAsia="仿宋" w:cs="仿宋"/>
          <w:sz w:val="28"/>
          <w:szCs w:val="28"/>
        </w:rPr>
      </w:pPr>
      <w:r>
        <w:rPr>
          <w:rFonts w:hint="eastAsia" w:ascii="仿宋" w:hAnsi="仿宋" w:eastAsia="仿宋" w:cs="仿宋"/>
          <w:b/>
          <w:bCs/>
          <w:sz w:val="28"/>
          <w:szCs w:val="28"/>
        </w:rPr>
        <w:t xml:space="preserve">（一）监督管理授权</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在实施服务过程中，如出现以下情形时采购方有权单方面终止合同并追究运维单位责任（如已支付预付款，运维单位须无条件返还），违反法律法规的将交由相关部门依法处理。</w:t>
      </w:r>
      <w:r/>
    </w:p>
    <w:p>
      <w:pPr>
        <w:ind w:firstLine="480"/>
        <w:spacing w:line="500" w:lineRule="exact"/>
        <w:widowControl/>
        <w:rPr>
          <w:rFonts w:ascii="仿宋" w:hAnsi="仿宋" w:eastAsia="仿宋" w:cs="仿宋"/>
          <w:sz w:val="28"/>
          <w:szCs w:val="28"/>
          <w:highlight w:val="cyan"/>
        </w:rPr>
      </w:pPr>
      <w:r>
        <w:rPr>
          <w:rFonts w:hint="eastAsia" w:ascii="仿宋" w:hAnsi="仿宋" w:eastAsia="仿宋" w:cs="仿宋"/>
          <w:sz w:val="28"/>
          <w:szCs w:val="28"/>
        </w:rPr>
        <w:t xml:space="preserve">1.本项目团队进场后，采购方对团队人员（含授权）情况及相关证书等进行核查时发现弄虚作假的；团队进场后不能按期履行投标承诺的；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2.未能承担监测数据的保密责任（成交后签订保密协议），利用本项目的数据、档案或有关资料对外开展技术交流、业务联系、数据交换等的；</w:t>
      </w:r>
      <w:r/>
    </w:p>
    <w:p>
      <w:pPr>
        <w:ind w:firstLine="480"/>
        <w:spacing w:line="500" w:lineRule="exact"/>
        <w:widowControl/>
        <w:rPr>
          <w:rFonts w:ascii="仿宋" w:hAnsi="仿宋" w:eastAsia="仿宋" w:cs="仿宋"/>
          <w:sz w:val="28"/>
          <w:szCs w:val="28"/>
        </w:rPr>
      </w:pPr>
      <w:r/>
      <w:bookmarkStart w:id="43" w:name="_Toc86147073"/>
      <w:r>
        <w:rPr>
          <w:rFonts w:hint="eastAsia" w:ascii="仿宋" w:hAnsi="仿宋" w:eastAsia="仿宋" w:cs="仿宋"/>
          <w:sz w:val="28"/>
          <w:szCs w:val="28"/>
        </w:rPr>
        <w:t xml:space="preserve">3.运维单位或人员队伍发生重大变更，无法按质开展运维工作，或者发生重大安全生产责任事故的；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4.运维单位及人员蓄意破坏水站固定资产，或私自外借、出租、抵押的；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5.运维单位及其人员实施或参与以下情形的：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（1）存在《环境监测数据弄虚作假行为判定及处理办法》中认定的篡改、伪造或者指使篡改、伪造监测数据行为的。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（2）存在关键参数虚假报备，或实际关键参数超出备案范围，对数据造成严重影响的。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（3）随意更改预处理装置，实际预处理方式及其启用/停用与报备方式不一致的。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（4）实施或参与干扰采水设施和自动监测设施、破坏水质自动监测系统的。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（5）其他造成水质自动监测数据严重失真的情形。</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1.6以上条款的内容如果需要修改或者有其他未涉及的事项，由双方协商解决。</w:t>
      </w:r>
      <w:r/>
    </w:p>
    <w:p>
      <w:pPr>
        <w:ind w:firstLine="480"/>
        <w:spacing w:line="500" w:lineRule="exact"/>
        <w:widowControl/>
        <w:rPr>
          <w:rFonts w:ascii="仿宋" w:hAnsi="仿宋" w:eastAsia="仿宋" w:cs="仿宋"/>
          <w:b/>
          <w:bCs/>
          <w:sz w:val="28"/>
          <w:szCs w:val="28"/>
        </w:rPr>
      </w:pPr>
      <w:r>
        <w:rPr>
          <w:rFonts w:hint="eastAsia" w:ascii="仿宋" w:hAnsi="仿宋" w:eastAsia="仿宋" w:cs="仿宋"/>
          <w:b/>
          <w:bCs/>
          <w:sz w:val="28"/>
          <w:szCs w:val="28"/>
        </w:rPr>
        <w:t xml:space="preserve">（二）考核办法</w:t>
      </w:r>
      <w:bookmarkEnd w:id="43"/>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采购人代表南通市如皋生态环境监测站每月对运维单位的运行情况进行考核汇总。采取单站月度考核的方式，考核内容以站点数据有效率为主，兼顾盲样考核、运行维护规范性、固定技术人员管理、固定资产及备品备件管理等。</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1.数据有效率（参与统计的项目覆盖站房内所有监测项目）</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（1）正常运行</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正常运行期间数据有效率=（应获取数据-无效数据）/应获取数据*100%</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（2）非正常运行</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水站运行过程中，因停电、停水（自来水）、高浊度或不可抗力因素（断流或水位过低、地震、封航、暴雨、台风等）等导致停站而数据缺失或数据无效时，运维单位应及时告知采购人并根据实际情况判断是否开展补充监测。</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1）具备补充监测条件的，根据相关要求，运维单位应对非正常运行水站开展补充监测。补测的数据应满足相关质控要求，并应在规定的时间内上传平台，否则按无效数据处理。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计算公式：</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非正常运行期间数据有效率=（实际补测数据-无效数据）/应补测数据*100%</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2）不具备补充监测条件的，运维单位应保证仪器设备及环境设施设备的安全，并关注现场环境变化，具备条件后应及时恢复运行。</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2.考核周期内运维费计算</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（1）参与考核的项目为站房内包含的所有监测项目。</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1）单站考核周期内监测数据有效率高于90%（含），不扣款。</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2）当单站考核周期内监测数据有效率在80%（含）～90%（不含），扣除该考核周期运维费的10%，并责令整改。</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3）当单站考核周期内监测数据有效率在70%（含）～80%（不含），扣除该考核周期运维费30%，并责令整改。</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4）上述1）～3）所列条款中，当单站考核周期内监测数据有效率不低于70%，但单参数考核周期内监测数据有效率低于70%的情形时，增扣该参数考核周期运维费50%，并责令整改。</w:t>
      </w:r>
      <w:r/>
    </w:p>
    <w:p>
      <w:pPr>
        <w:ind w:left="279" w:firstLine="358"/>
        <w:spacing w:line="500" w:lineRule="exact"/>
        <w:widowControl/>
      </w:pPr>
      <w:r>
        <w:rPr>
          <w:rFonts w:hint="eastAsia" w:ascii="仿宋" w:hAnsi="仿宋" w:eastAsia="仿宋" w:cs="仿宋"/>
          <w:sz w:val="28"/>
          <w:szCs w:val="28"/>
        </w:rPr>
        <w:t xml:space="preserve">5）当单站考核周期内监测数据有效率低于70%，扣除该考核周期全部运维费。</w:t>
      </w:r>
      <w:r/>
    </w:p>
    <w:p>
      <w:pPr>
        <w:ind w:left="279" w:firstLine="358"/>
        <w:spacing w:line="500" w:lineRule="exact"/>
        <w:widowControl/>
        <w:rPr>
          <w:rFonts w:ascii="仿宋" w:hAnsi="仿宋" w:eastAsia="仿宋" w:cs="仿宋"/>
          <w:sz w:val="28"/>
          <w:szCs w:val="28"/>
        </w:rPr>
      </w:pPr>
      <w:r>
        <w:rPr>
          <w:rFonts w:hint="eastAsia" w:ascii="仿宋" w:hAnsi="仿宋" w:eastAsia="仿宋" w:cs="仿宋"/>
          <w:sz w:val="28"/>
          <w:szCs w:val="28"/>
        </w:rPr>
        <w:t xml:space="preserve">3.水质预警</w:t>
      </w:r>
      <w:r/>
    </w:p>
    <w:p>
      <w:pPr>
        <w:contextualSpacing/>
        <w:ind w:firstLine="420"/>
        <w:spacing w:line="500" w:lineRule="exact"/>
        <w:tabs>
          <w:tab w:val="left" w:pos="2280" w:leader="none"/>
        </w:tabs>
        <w:rPr>
          <w:rFonts w:ascii="仿宋" w:hAnsi="仿宋" w:eastAsia="仿宋" w:cs="仿宋"/>
          <w:sz w:val="28"/>
          <w:szCs w:val="28"/>
        </w:rPr>
      </w:pPr>
      <w:r>
        <w:rPr>
          <w:rFonts w:hint="eastAsia" w:ascii="仿宋" w:hAnsi="仿宋" w:eastAsia="仿宋" w:cs="仿宋"/>
          <w:sz w:val="28"/>
          <w:szCs w:val="28"/>
        </w:rPr>
        <w:t xml:space="preserve">运维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4.盲样和实际水样比对考核</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运维单位应按照采购人相关要求配合开展盲样和实际水样比对考核工作。每出现1个盲样考核不合格的扣除运维费500元，如6个月内同一站点同一参数2次不合格的额外扣除运维费1000元；实际水样比对未通过的，要自行送有资质的实验室再次比对并进行原因分析。</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5.固定技术人员管理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在项目实施过程中，运维单位应安排符合采购人要求的固定技术人员，服务期内应在采购人指定地点配合开展相关工作，不得随意更换人员。采购人定期对人员进行考核，人员不胜任工作需求或出现工作失误或违反保密工作规定的采购人有权要求更换，并根据情况在0.05～0.2万元范围内酌情扣款。</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6.固定资产及备品备件管理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合同到期解除后或因监测事权上收及考核原因终止合同时，采购人将对自动站进行含仪器性能测试在类的综合评估，若达不到相关技术规范要求，将限期由运维单位进行修复或由新的托管方进行修复（特殊情况除外），并由新的托管方进行验收，所需费用由运维单位承担；如运维单位不配合采购人工作，拒绝对自动站仪器进行修复或支付费用的，采购人有权在运维费结算时根据情况在0.05～0.2万元范围内进行款项扣除。</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7.运行维护规范性</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经采购人认定，运维单位存在下列情形的，将根据相应规定进行扣款：</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（1）每月存在以下情形时，一经查实，扣款0.02万元/次/站。</w:t>
      </w:r>
      <w:r/>
    </w:p>
    <w:p>
      <w:pPr>
        <w:numPr>
          <w:ilvl w:val="0"/>
          <w:numId w:val="4"/>
        </w:num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应在每天（含节假日）10时前，在相关数据监控平台完成各站点前一日原始小时值数据审核及复核工作（当天因网络故障等原因未能完成数据审核报送的，应及时告知采购人）。</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2）供应商未按要求进行例行维护，定期完成试剂更换、仪器校准、核查等维护工作的（详见上表4、表5、表6中具体考核要求）</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3）发现非运维人员进入站房，未及时制止并上报采购人的。</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4）分析仪器监测结果出现异常，但未及时响应并未采取有效措施的。</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5）未按要求进行运维记录填写或填写不规范的。</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6）未定期进行站房、采水口及采水构筑物、采水管路、辅助设备设施等进行维护工作的。</w:t>
      </w:r>
      <w:r/>
    </w:p>
    <w:p>
      <w:pPr>
        <w:ind w:firstLine="560"/>
        <w:spacing w:line="500" w:lineRule="exact"/>
        <w:widowControl/>
        <w:rPr>
          <w:rFonts w:ascii="华文彩云" w:hAnsi="宋体" w:eastAsia="仿宋"/>
          <w:bCs/>
          <w:color w:val="000000"/>
          <w:sz w:val="28"/>
        </w:rPr>
      </w:pPr>
      <w:r>
        <w:rPr>
          <w:rFonts w:hint="eastAsia" w:ascii="仿宋" w:hAnsi="仿宋" w:eastAsia="仿宋" w:cs="仿宋"/>
          <w:bCs/>
          <w:color w:val="000000"/>
          <w:sz w:val="28"/>
          <w:szCs w:val="28"/>
        </w:rPr>
        <w:t xml:space="preserve">7）</w:t>
      </w:r>
      <w:r>
        <w:rPr>
          <w:rFonts w:hint="eastAsia" w:ascii="华文彩云" w:hAnsi="宋体" w:eastAsia="仿宋"/>
          <w:bCs/>
          <w:color w:val="000000"/>
          <w:sz w:val="28"/>
        </w:rPr>
        <w:t xml:space="preserve">未按要求及时间节点提供每月运维报告或相关台账资料的.</w:t>
      </w:r>
      <w:r/>
    </w:p>
    <w:p>
      <w:pPr>
        <w:ind w:firstLine="560"/>
        <w:spacing w:line="500" w:lineRule="exact"/>
        <w:widowControl/>
        <w:rPr>
          <w:rFonts w:ascii="仿宋" w:hAnsi="仿宋" w:eastAsia="仿宋" w:cs="仿宋"/>
          <w:sz w:val="28"/>
          <w:szCs w:val="28"/>
        </w:rPr>
      </w:pPr>
      <w:r>
        <w:rPr>
          <w:rFonts w:hint="eastAsia" w:ascii="仿宋" w:hAnsi="仿宋" w:eastAsia="仿宋" w:cs="仿宋"/>
          <w:sz w:val="28"/>
          <w:szCs w:val="28"/>
        </w:rPr>
        <w:t xml:space="preserve">8）存在其他不符合相关管理技术规范等要求的情形（可参照</w:t>
      </w:r>
      <w:r>
        <w:rPr>
          <w:rFonts w:hint="eastAsia" w:ascii="仿宋" w:hAnsi="仿宋" w:eastAsia="仿宋" w:cs="仿宋"/>
          <w:sz w:val="28"/>
          <w:szCs w:val="28"/>
          <w:lang w:val="zh-CN"/>
        </w:rPr>
        <w:t xml:space="preserve">《南通市环境质量自动监测设施运维管理办法（试行）》中相关要求</w:t>
      </w:r>
      <w:r>
        <w:rPr>
          <w:rFonts w:hint="eastAsia" w:ascii="仿宋" w:hAnsi="仿宋" w:eastAsia="仿宋" w:cs="仿宋"/>
          <w:sz w:val="28"/>
          <w:szCs w:val="28"/>
        </w:rPr>
        <w:t xml:space="preserve">）。 </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（2）发现监测点位出现未经批准的变更，未及时上报的，扣除运维费0.5万元。</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（3）响应供应商未及时发现应当发现的人为干扰情形、或故意隐瞒不报人为干扰情形等的，扣除运维费0.5万元。</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常规参数（水温、pH值、溶解氧、电导率、浊度、氨氮、高锰酸盐指数、总磷、总氮），设备故障，未在48h内修复或启用备机替换的，每出现1次超期未解决情况扣除运维费0.3万元/参数。VOC、挥发酚、生物毒性、TOC、叶绿素、蓝绿藻设备故障后及时给出维修方案，并对接厂家工程师进行维修，未及时解决导致设备长时间停运的（停运超过两周），按停运天数扣除相应运维费。</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（5）经采购人认定，运维单位使用虚假信息进行停运申请和操作的，扣除该站点当月全部运维费。</w:t>
      </w:r>
      <w:r/>
    </w:p>
    <w:p>
      <w:pPr>
        <w:ind w:firstLine="280"/>
        <w:spacing w:line="500" w:lineRule="exact"/>
        <w:widowControl/>
        <w:rPr>
          <w:rFonts w:ascii="仿宋" w:hAnsi="仿宋" w:eastAsia="仿宋" w:cs="仿宋"/>
          <w:sz w:val="28"/>
          <w:szCs w:val="28"/>
        </w:rPr>
      </w:pPr>
      <w:r>
        <w:rPr>
          <w:rFonts w:hint="eastAsia" w:ascii="仿宋" w:hAnsi="仿宋" w:eastAsia="仿宋" w:cs="仿宋"/>
          <w:sz w:val="28"/>
          <w:szCs w:val="28"/>
        </w:rPr>
        <w:t xml:space="preserve">（6）存在其他违反约定或相关规范及采购人要求的情形，采购人根据实际情况在0.05～0.2万元范围内酌情扣款。</w:t>
      </w:r>
      <w:r/>
    </w:p>
    <w:p>
      <w:pPr>
        <w:ind w:firstLine="480"/>
        <w:spacing w:line="500" w:lineRule="exact"/>
        <w:widowControl/>
      </w:pPr>
      <w:r/>
      <w:bookmarkStart w:id="44" w:name="_Toc86147074"/>
      <w:r>
        <w:rPr>
          <w:rFonts w:hint="eastAsia" w:ascii="仿宋" w:hAnsi="仿宋" w:eastAsia="仿宋" w:cs="仿宋"/>
          <w:sz w:val="28"/>
          <w:szCs w:val="28"/>
        </w:rPr>
        <w:t xml:space="preserve">8.水站停运期间，若未按照要求补测，每少测一个项目/站点扣除运维费0.02万元。如一个水站停运，该水站所有补测项目均按要求进行（人工在采水口取水，送至水站自动监测仪器进行分析）或送至实验室进行分析，且所有的补测项目均按照要求完成，则正常支付该水站运维护费用。补测的数据应满足相关质控要求，并应在规定的时间内上传相关平台，否则按无效数据处理。当水站不具备停运补测条件时，运维单位需每10天对水站的仪器设备进行一次开机维护，则支付该站房停运期间运维费用的30%</w:t>
      </w:r>
      <w:r>
        <w:rPr>
          <w:rFonts w:hint="eastAsia" w:ascii="仿宋" w:hAnsi="仿宋" w:eastAsia="仿宋" w:cs="仿宋"/>
          <w:sz w:val="28"/>
          <w:szCs w:val="28"/>
          <w:lang w:eastAsia="zh-CN"/>
        </w:rPr>
        <w:t xml:space="preserve">，在实施过程中</w:t>
      </w:r>
      <w:r>
        <w:rPr>
          <w:rFonts w:hint="eastAsia" w:ascii="仿宋" w:hAnsi="仿宋" w:eastAsia="仿宋" w:cs="仿宋"/>
          <w:sz w:val="28"/>
          <w:szCs w:val="28"/>
        </w:rPr>
        <w:t xml:space="preserve">提供相关证明材料，证明对水站进行了开机维护工作。</w:t>
      </w:r>
      <w:bookmarkEnd w:id="44"/>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3.其他规定</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（1）运维交接</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供应商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（2）弄虚作假</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供应商及其人员实施或参与以下情形的，按弄虚作假处理，一经查实，扣除该站当月运维费，同时采取约谈、通报批评、解除合同等处罚，违反法律法规的，将交由相关部门依法处理。</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1）存在《环境监测数据弄虚作假行为判定及处理办法》中认定的篡改、伪造或者指使篡改、伪造监测数据行为的。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2）存在关键参数虚假报备，或实际关键参数超出备案范围，对数据造成严重影响的。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3）随意更改预处理装置，实际预处理方式及其启用/停用与报备方式不一致的。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4）实施或参与干扰采水设施和自动监测设施、破坏水质自动监测系统的。</w:t>
      </w:r>
      <w:r/>
    </w:p>
    <w:p>
      <w:pPr>
        <w:ind w:firstLine="480"/>
        <w:spacing w:line="500" w:lineRule="exact"/>
        <w:widowControl/>
        <w:rPr>
          <w:rFonts w:ascii="仿宋" w:hAnsi="仿宋" w:eastAsia="仿宋" w:cs="仿宋"/>
          <w:sz w:val="28"/>
          <w:szCs w:val="28"/>
        </w:rPr>
      </w:pPr>
      <w:r>
        <w:rPr>
          <w:rFonts w:hint="eastAsia" w:ascii="仿宋" w:hAnsi="仿宋" w:eastAsia="仿宋" w:cs="仿宋"/>
          <w:sz w:val="28"/>
          <w:szCs w:val="28"/>
        </w:rPr>
        <w:t xml:space="preserve">5）其他造成水质自动监测数据严重失真的情形。</w:t>
      </w:r>
      <w:bookmarkEnd w:id="42"/>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七、付款方式</w:t>
      </w:r>
      <w:r/>
    </w:p>
    <w:p>
      <w:pPr>
        <w:pStyle w:val="926"/>
        <w:ind w:firstLine="560"/>
        <w:spacing w:line="500" w:lineRule="exact"/>
        <w:rPr>
          <w:rFonts w:hint="default" w:ascii="仿宋" w:hAnsi="仿宋" w:eastAsia="仿宋" w:cs="仿宋_GB2312"/>
          <w:bCs/>
          <w:color w:val="000000"/>
          <w:sz w:val="28"/>
          <w:szCs w:val="28"/>
        </w:rPr>
      </w:pPr>
      <w:r>
        <w:rPr>
          <w:rFonts w:ascii="仿宋" w:hAnsi="仿宋" w:eastAsia="仿宋" w:cs="仿宋_GB2312"/>
          <w:bCs/>
          <w:color w:val="000000"/>
          <w:sz w:val="28"/>
          <w:szCs w:val="28"/>
        </w:rPr>
        <w:t xml:space="preserve">每次支付前，成交人均应出具在税务部门开具的正式增值税发票，双方结算均通过银行基本账户进行。</w:t>
      </w:r>
      <w:r/>
    </w:p>
    <w:p>
      <w:pPr>
        <w:pStyle w:val="926"/>
        <w:ind w:firstLine="560"/>
        <w:spacing w:line="500" w:lineRule="exact"/>
        <w:rPr>
          <w:rFonts w:ascii="仿宋" w:hAnsi="仿宋" w:eastAsia="仿宋" w:cs="仿宋_GB2312"/>
          <w:bCs/>
          <w:color w:val="000000"/>
          <w:sz w:val="28"/>
          <w:szCs w:val="28"/>
        </w:rPr>
      </w:pPr>
      <w:r>
        <w:rPr>
          <w:rFonts w:hint="eastAsia" w:ascii="仿宋" w:hAnsi="仿宋" w:eastAsia="仿宋" w:cs="仿宋_GB2312"/>
          <w:bCs/>
          <w:color w:val="000000"/>
          <w:sz w:val="28"/>
          <w:szCs w:val="28"/>
        </w:rPr>
        <w:t xml:space="preserve">付款方式：合同签订后三个月内，支付成交总价款的30%，运维合同签订半年后支付成交总价款的40%，到期后根据日常考核情况支付剩余的运维资金。</w:t>
      </w:r>
      <w:r/>
    </w:p>
    <w:p>
      <w:pPr>
        <w:pStyle w:val="926"/>
        <w:ind w:firstLine="560"/>
        <w:spacing w:line="500" w:lineRule="exact"/>
        <w:rPr>
          <w:rFonts w:hint="default" w:ascii="仿宋" w:hAnsi="仿宋" w:eastAsia="仿宋" w:cs="仿宋_GB2312"/>
          <w:bCs/>
          <w:color w:val="000000"/>
          <w:sz w:val="28"/>
          <w:szCs w:val="28"/>
        </w:rPr>
      </w:pPr>
      <w:r>
        <w:rPr>
          <w:rFonts w:ascii="仿宋" w:hAnsi="仿宋" w:eastAsia="仿宋" w:cs="仿宋_GB2312"/>
          <w:bCs/>
          <w:color w:val="000000"/>
          <w:sz w:val="28"/>
          <w:szCs w:val="28"/>
          <w:lang w:val="zh-TW"/>
        </w:rPr>
        <w:t xml:space="preserve">注：上述付款时均需</w:t>
      </w:r>
      <w:r>
        <w:rPr>
          <w:rFonts w:ascii="仿宋" w:hAnsi="仿宋" w:eastAsia="仿宋" w:cs="仿宋_GB2312"/>
          <w:bCs/>
          <w:color w:val="000000"/>
          <w:sz w:val="28"/>
          <w:szCs w:val="28"/>
          <w:lang w:val="zh-TW" w:eastAsia="zh-TW"/>
        </w:rPr>
        <w:t xml:space="preserve">扣除</w:t>
      </w:r>
      <w:r>
        <w:rPr>
          <w:rFonts w:ascii="仿宋" w:hAnsi="仿宋" w:eastAsia="仿宋" w:cs="仿宋_GB2312"/>
          <w:bCs/>
          <w:color w:val="000000"/>
          <w:sz w:val="28"/>
          <w:szCs w:val="28"/>
          <w:lang w:val="zh-TW"/>
        </w:rPr>
        <w:t xml:space="preserve">日常运维考核扣减</w:t>
      </w:r>
      <w:r>
        <w:rPr>
          <w:rFonts w:ascii="仿宋" w:hAnsi="仿宋" w:eastAsia="仿宋" w:cs="仿宋_GB2312"/>
          <w:bCs/>
          <w:color w:val="000000"/>
          <w:sz w:val="28"/>
          <w:szCs w:val="28"/>
          <w:lang w:val="zh-TW" w:eastAsia="zh-TW"/>
        </w:rPr>
        <w:t xml:space="preserve">费用</w:t>
      </w:r>
      <w:r>
        <w:rPr>
          <w:rFonts w:ascii="仿宋" w:hAnsi="仿宋" w:eastAsia="仿宋" w:cs="仿宋_GB2312"/>
          <w:bCs/>
          <w:color w:val="000000"/>
          <w:sz w:val="28"/>
          <w:szCs w:val="28"/>
          <w:lang w:val="zh-TW"/>
        </w:rPr>
        <w:t xml:space="preserve">，按实际费用</w:t>
      </w:r>
      <w:r>
        <w:rPr>
          <w:rFonts w:ascii="仿宋" w:hAnsi="仿宋" w:eastAsia="仿宋" w:cs="仿宋_GB2312"/>
          <w:bCs/>
          <w:color w:val="000000"/>
          <w:sz w:val="28"/>
          <w:szCs w:val="28"/>
          <w:lang w:val="zh-TW" w:eastAsia="zh-TW"/>
        </w:rPr>
        <w:t xml:space="preserve">支付</w:t>
      </w:r>
      <w:r>
        <w:rPr>
          <w:rFonts w:ascii="仿宋" w:hAnsi="仿宋" w:eastAsia="仿宋" w:cs="仿宋_GB2312"/>
          <w:bCs/>
          <w:color w:val="000000"/>
          <w:sz w:val="28"/>
          <w:szCs w:val="28"/>
          <w:lang w:val="zh-TW"/>
        </w:rPr>
        <w:t xml:space="preserve">。</w:t>
      </w:r>
      <w:r/>
    </w:p>
    <w:p>
      <w:pPr>
        <w:pStyle w:val="926"/>
        <w:ind w:firstLine="560"/>
        <w:spacing w:line="500" w:lineRule="exact"/>
        <w:rPr>
          <w:rFonts w:hint="default" w:ascii="仿宋" w:hAnsi="仿宋" w:eastAsia="仿宋" w:cs="仿宋_GB2312"/>
          <w:b/>
          <w:color w:val="000000"/>
          <w:sz w:val="28"/>
          <w:szCs w:val="28"/>
        </w:rPr>
      </w:pPr>
      <w:r>
        <w:rPr>
          <w:rFonts w:ascii="仿宋" w:hAnsi="仿宋" w:eastAsia="仿宋" w:cs="仿宋_GB2312"/>
          <w:bCs/>
          <w:color w:val="000000"/>
          <w:sz w:val="28"/>
          <w:szCs w:val="28"/>
        </w:rPr>
        <w:t xml:space="preserve">说明：若在运维合同期间上级部门对其中全部或部分站点进行上收由国家、省、市直接接管，则本次</w:t>
      </w:r>
      <w:r>
        <w:rPr>
          <w:rFonts w:hint="eastAsia" w:ascii="仿宋" w:hAnsi="仿宋" w:eastAsia="仿宋" w:cs="仿宋_GB2312"/>
          <w:bCs/>
          <w:color w:val="000000"/>
          <w:sz w:val="28"/>
          <w:szCs w:val="28"/>
          <w:lang w:eastAsia="zh-CN"/>
        </w:rPr>
        <w:t xml:space="preserve">采购</w:t>
      </w:r>
      <w:r>
        <w:rPr>
          <w:rFonts w:ascii="仿宋" w:hAnsi="仿宋" w:eastAsia="仿宋" w:cs="仿宋_GB2312"/>
          <w:bCs/>
          <w:color w:val="000000"/>
          <w:sz w:val="28"/>
          <w:szCs w:val="28"/>
        </w:rPr>
        <w:t xml:space="preserve">中相对应的部分合同自动终止，运维费用按实际发生时间计算。若因不可控因素导致13个自动站运维服务超过原有运维周期，运维仍由原运维单位负责。</w:t>
      </w:r>
      <w:r>
        <w:rPr>
          <w:rFonts w:ascii="仿宋" w:hAnsi="仿宋" w:eastAsia="仿宋" w:cs="仿宋_GB2312"/>
          <w:b/>
          <w:color w:val="000000"/>
          <w:sz w:val="28"/>
          <w:szCs w:val="28"/>
        </w:rPr>
        <w:t xml:space="preserve">成交供应商需承诺，超原有运维周期所产生的运维费用以本次成交价格和实际发生时间计算，由成交供应商支付给原运维单位。</w:t>
      </w:r>
      <w:r/>
    </w:p>
    <w:p>
      <w:pPr>
        <w:ind w:firstLine="560"/>
        <w:spacing w:line="500" w:lineRule="exact"/>
        <w:rPr>
          <w:rFonts w:ascii="仿宋" w:hAnsi="仿宋" w:eastAsia="黑体"/>
          <w:sz w:val="28"/>
          <w:szCs w:val="28"/>
        </w:rPr>
        <w:outlineLvl w:val="1"/>
      </w:pPr>
      <w:r>
        <w:rPr>
          <w:rFonts w:hint="eastAsia" w:ascii="黑体" w:hAnsi="黑体" w:eastAsia="黑体"/>
          <w:sz w:val="28"/>
          <w:szCs w:val="28"/>
        </w:rPr>
        <w:t xml:space="preserve">八、报价要求</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一）报价要求：响应供应商报价时按照项目整体任务报总价，为完成本项目规定服务范围的全部工作需支付的一切费用，包括技术服务费、交通费、设备使用费、培训费、材料费、人员经费、招标代理费、税金、政策性文件规定及合同包含的所有风险、责任等各项应有费用。</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响应供应商应对采购文件内的全部内容进行报价，采购文件未列明，而供应商认为其他必需的费用也需列入报价。在合同实施时，采购方将不予支付成交供应商没有填列的项目费用，并认为此项目的费用已包括在报价中。</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（二）成交后本项目不允许分包和转包。</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（三）成交方应依照劳动合同相关规定，保障运维人员及驻站人员的合法权益，若因成交方违反相关规定影响水站运维及驻站的正常工作开展，采购人有权终止合同。</w:t>
      </w:r>
      <w:r/>
    </w:p>
    <w:p>
      <w:pPr>
        <w:rPr>
          <w:rFonts w:ascii="仿宋" w:hAnsi="仿宋" w:eastAsia="仿宋" w:cs="仿宋"/>
          <w:bCs/>
          <w:sz w:val="28"/>
          <w:szCs w:val="28"/>
        </w:rPr>
      </w:pPr>
      <w:r>
        <w:rPr>
          <w:rFonts w:ascii="方正小标宋简体" w:eastAsia="方正小标宋简体"/>
          <w:bCs/>
          <w:sz w:val="32"/>
          <w:szCs w:val="32"/>
        </w:rPr>
        <w:br w:type="page" w:clear="all"/>
      </w:r>
      <w:bookmarkStart w:id="45" w:name="_Toc10837"/>
      <w:r/>
      <w:bookmarkStart w:id="46" w:name="_Toc24359"/>
      <w:r/>
      <w:r/>
    </w:p>
    <w:p>
      <w:pPr>
        <w:pStyle w:val="954"/>
        <w:ind w:firstLine="0"/>
        <w:jc w:val="both"/>
        <w:spacing w:before="0" w:after="0" w:line="480" w:lineRule="exact"/>
        <w:rPr>
          <w:rFonts w:ascii="仿宋" w:hAnsi="仿宋" w:eastAsia="仿宋" w:cs="仿宋"/>
          <w:bCs/>
          <w:sz w:val="28"/>
          <w:szCs w:val="28"/>
        </w:rPr>
        <w:sectPr>
          <w:headerReference w:type="default" r:id="rId9"/>
          <w:footerReference w:type="default" r:id="rId11"/>
          <w:footerReference w:type="even" r:id="rId12"/>
          <w:footnotePr/>
          <w:endnotePr/>
          <w:type w:val="nextPage"/>
          <w:pgSz w:w="11906" w:h="16838" w:orient="portrait"/>
          <w:pgMar w:top="1440" w:right="1803" w:bottom="1440" w:left="1803" w:header="850" w:footer="850" w:gutter="0"/>
          <w:cols w:num="1" w:sep="0" w:space="0" w:equalWidth="1"/>
          <w:docGrid w:linePitch="360"/>
        </w:sectPr>
        <w:outlineLvl w:val="0"/>
      </w:pPr>
      <w:r>
        <w:rPr>
          <w:rFonts w:ascii="仿宋" w:hAnsi="仿宋" w:eastAsia="仿宋" w:cs="仿宋"/>
          <w:bCs/>
          <w:sz w:val="28"/>
          <w:szCs w:val="28"/>
        </w:rPr>
      </w:r>
      <w:bookmarkEnd w:id="45"/>
      <w:r/>
      <w:bookmarkEnd w:id="46"/>
      <w:r/>
      <w:r/>
    </w:p>
    <w:p>
      <w:pPr>
        <w:jc w:val="center"/>
        <w:rPr>
          <w:rFonts w:ascii="方正小标宋简体" w:eastAsia="方正小标宋简体"/>
          <w:bCs/>
          <w:sz w:val="32"/>
          <w:szCs w:val="32"/>
        </w:rPr>
      </w:pPr>
      <w:r>
        <w:rPr>
          <w:rFonts w:hint="eastAsia" w:ascii="方正小标宋简体" w:eastAsia="方正小标宋简体"/>
          <w:bCs/>
          <w:sz w:val="32"/>
          <w:szCs w:val="32"/>
        </w:rPr>
        <w:t xml:space="preserve">第四章 合同文本</w:t>
      </w:r>
      <w:r/>
    </w:p>
    <w:p>
      <w:pPr>
        <w:ind w:firstLine="640"/>
        <w:rPr>
          <w:rFonts w:hint="eastAsia" w:ascii="仿宋" w:hAnsi="仿宋" w:eastAsia="仿宋"/>
          <w:sz w:val="32"/>
          <w:szCs w:val="32"/>
          <w:lang w:eastAsia="zh-CN"/>
        </w:rPr>
      </w:pPr>
      <w:r>
        <w:rPr>
          <w:rFonts w:hint="eastAsia" w:ascii="仿宋" w:hAnsi="仿宋" w:eastAsia="仿宋"/>
          <w:sz w:val="32"/>
          <w:szCs w:val="32"/>
        </w:rPr>
        <w:t xml:space="preserve">项目名称：</w:t>
      </w:r>
      <w:r>
        <w:rPr>
          <w:rFonts w:hint="eastAsia" w:ascii="仿宋" w:hAnsi="仿宋" w:eastAsia="仿宋"/>
          <w:sz w:val="32"/>
          <w:szCs w:val="32"/>
          <w:lang w:eastAsia="zh-CN"/>
        </w:rPr>
        <w:t xml:space="preserve">全市13个水质自动站全托管运维技术服务采购项目</w:t>
      </w:r>
      <w:r/>
    </w:p>
    <w:p>
      <w:pPr>
        <w:ind w:firstLine="640"/>
        <w:rPr>
          <w:rFonts w:ascii="仿宋" w:hAnsi="仿宋" w:eastAsia="仿宋"/>
          <w:sz w:val="32"/>
          <w:szCs w:val="32"/>
        </w:rPr>
      </w:pPr>
      <w:r>
        <w:rPr>
          <w:rFonts w:hint="eastAsia" w:ascii="仿宋" w:hAnsi="仿宋" w:eastAsia="仿宋"/>
          <w:sz w:val="32"/>
          <w:szCs w:val="32"/>
        </w:rPr>
        <w:t xml:space="preserve">项目编号：JSZC-320682-JSDZ-C2026-0079</w:t>
      </w:r>
      <w:r/>
    </w:p>
    <w:p>
      <w:pPr>
        <w:ind w:firstLine="640"/>
        <w:rPr>
          <w:rFonts w:ascii="仿宋" w:hAnsi="仿宋" w:eastAsia="仿宋"/>
          <w:sz w:val="32"/>
          <w:szCs w:val="32"/>
          <w:u w:val="single"/>
        </w:rPr>
      </w:pPr>
      <w:r>
        <w:rPr>
          <w:rFonts w:hint="eastAsia" w:ascii="仿宋" w:hAnsi="仿宋" w:eastAsia="仿宋"/>
          <w:sz w:val="32"/>
          <w:szCs w:val="32"/>
        </w:rPr>
        <w:t xml:space="preserve">甲方：南通市如皋生态环境局</w:t>
      </w:r>
      <w:r/>
    </w:p>
    <w:p>
      <w:pPr>
        <w:ind w:firstLine="640"/>
        <w:rPr>
          <w:rFonts w:ascii="仿宋" w:hAnsi="仿宋" w:eastAsia="仿宋"/>
          <w:sz w:val="32"/>
          <w:szCs w:val="32"/>
        </w:rPr>
      </w:pPr>
      <w:r>
        <w:rPr>
          <w:rFonts w:hint="eastAsia" w:ascii="仿宋" w:hAnsi="仿宋" w:eastAsia="仿宋"/>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firstLine="480"/>
        <w:rPr>
          <w:rFonts w:ascii="仿宋" w:hAnsi="仿宋" w:eastAsia="仿宋" w:cs="仿宋"/>
          <w:sz w:val="24"/>
        </w:rPr>
      </w:pPr>
      <w:r>
        <w:rPr>
          <w:rFonts w:hint="eastAsia" w:ascii="仿宋" w:hAnsi="仿宋" w:eastAsia="仿宋" w:cs="仿宋"/>
          <w:sz w:val="24"/>
          <w:lang w:eastAsia="zh-CN"/>
        </w:rPr>
        <w:t xml:space="preserve">全市13个水质自动站全托管运维技术服务采购项目</w:t>
      </w:r>
      <w:r>
        <w:rPr>
          <w:rFonts w:hint="eastAsia" w:ascii="仿宋" w:hAnsi="仿宋" w:eastAsia="仿宋" w:cs="仿宋"/>
          <w:sz w:val="24"/>
        </w:rPr>
        <w:t xml:space="preserve">项目委托大洲设计咨询集团有限公司如皋分公司进行了政府采购。按照评委会评审推荐、甲方确定乙方为成交单位。现甲乙双方协商同意签订本合同。</w:t>
      </w:r>
      <w:r/>
    </w:p>
    <w:p>
      <w:pPr>
        <w:numPr>
          <w:ilvl w:val="0"/>
          <w:numId w:val="5"/>
        </w:numPr>
        <w:ind w:left="0" w:firstLine="482"/>
        <w:tabs>
          <w:tab w:val="left" w:pos="0" w:leader="none"/>
          <w:tab w:val="clear" w:pos="720" w:leader="none"/>
        </w:tabs>
        <w:rPr>
          <w:rFonts w:ascii="仿宋" w:hAnsi="仿宋" w:eastAsia="仿宋"/>
          <w:b/>
          <w:sz w:val="24"/>
        </w:rPr>
        <w:outlineLvl w:val="1"/>
      </w:pPr>
      <w:r/>
      <w:bookmarkStart w:id="47" w:name="_Toc16489"/>
      <w:r>
        <w:rPr>
          <w:rFonts w:hint="eastAsia" w:ascii="仿宋" w:hAnsi="仿宋" w:eastAsia="仿宋"/>
          <w:b/>
          <w:sz w:val="24"/>
        </w:rPr>
        <w:t xml:space="preserve">合同文件</w:t>
      </w:r>
      <w:bookmarkEnd w:id="47"/>
      <w:r/>
      <w:r/>
    </w:p>
    <w:p>
      <w:pPr>
        <w:ind w:firstLine="480"/>
        <w:rPr>
          <w:rFonts w:ascii="仿宋" w:hAnsi="仿宋" w:eastAsia="仿宋"/>
          <w:sz w:val="24"/>
        </w:rPr>
      </w:pPr>
      <w:r>
        <w:rPr>
          <w:rFonts w:ascii="仿宋" w:hAnsi="仿宋" w:eastAsia="仿宋"/>
          <w:sz w:val="24"/>
        </w:rPr>
        <w:t xml:space="preserve">下列与本次采购活动</w:t>
      </w:r>
      <w:r>
        <w:rPr>
          <w:rFonts w:hint="eastAsia" w:ascii="仿宋" w:hAnsi="仿宋" w:eastAsia="仿宋"/>
          <w:sz w:val="24"/>
        </w:rPr>
        <w:t xml:space="preserve">有关</w:t>
      </w:r>
      <w:r>
        <w:rPr>
          <w:rFonts w:ascii="仿宋" w:hAnsi="仿宋" w:eastAsia="仿宋"/>
          <w:sz w:val="24"/>
        </w:rPr>
        <w:t xml:space="preserve">的文件及附件是本合同不可分割的组成部分，与本合同具有同等法律效力，这些文件包括但不限于：</w:t>
      </w:r>
      <w:r/>
    </w:p>
    <w:p>
      <w:pPr>
        <w:ind w:firstLine="480"/>
        <w:rPr>
          <w:rFonts w:ascii="仿宋" w:hAnsi="仿宋" w:eastAsia="仿宋"/>
          <w:sz w:val="24"/>
        </w:rPr>
      </w:pPr>
      <w:r>
        <w:rPr>
          <w:rFonts w:hint="eastAsia" w:ascii="仿宋" w:hAnsi="仿宋" w:eastAsia="仿宋"/>
          <w:sz w:val="24"/>
        </w:rPr>
        <w:t xml:space="preserve">1.（JSZC-320682-JSDZ-C2026-0079号）采购文件；</w:t>
      </w:r>
      <w:r/>
    </w:p>
    <w:p>
      <w:pPr>
        <w:ind w:firstLine="480"/>
        <w:rPr>
          <w:rFonts w:ascii="仿宋" w:hAnsi="仿宋" w:eastAsia="仿宋"/>
          <w:sz w:val="24"/>
        </w:rPr>
      </w:pPr>
      <w:r>
        <w:rPr>
          <w:rFonts w:hint="eastAsia" w:ascii="仿宋" w:hAnsi="仿宋" w:eastAsia="仿宋"/>
          <w:sz w:val="24"/>
        </w:rPr>
        <w:t xml:space="preserve">2.竞争性磋商响应文件；</w:t>
      </w:r>
      <w:r/>
    </w:p>
    <w:p>
      <w:pPr>
        <w:ind w:firstLine="480"/>
        <w:rPr>
          <w:rFonts w:ascii="仿宋" w:hAnsi="仿宋" w:eastAsia="仿宋"/>
          <w:sz w:val="24"/>
        </w:rPr>
      </w:pPr>
      <w:r>
        <w:rPr>
          <w:rFonts w:hint="eastAsia" w:ascii="仿宋" w:hAnsi="仿宋" w:eastAsia="仿宋"/>
          <w:sz w:val="24"/>
        </w:rPr>
        <w:t xml:space="preserve">3.乙方在参加采购活动时的书面承诺；</w:t>
      </w:r>
      <w:r/>
    </w:p>
    <w:p>
      <w:pPr>
        <w:ind w:firstLine="480"/>
        <w:rPr>
          <w:rFonts w:ascii="仿宋" w:hAnsi="仿宋" w:eastAsia="仿宋"/>
          <w:sz w:val="24"/>
        </w:rPr>
      </w:pPr>
      <w:r>
        <w:rPr>
          <w:rFonts w:hint="eastAsia" w:ascii="仿宋" w:hAnsi="仿宋" w:eastAsia="仿宋"/>
          <w:sz w:val="24"/>
        </w:rPr>
        <w:t xml:space="preserve">4.（JSZC-320682-JSDZ-C2026-0079号）中标（成交）通知书；</w:t>
      </w:r>
      <w:r/>
    </w:p>
    <w:p>
      <w:pPr>
        <w:ind w:firstLine="480"/>
        <w:rPr>
          <w:rFonts w:ascii="仿宋" w:hAnsi="仿宋" w:eastAsia="仿宋"/>
          <w:sz w:val="24"/>
        </w:rPr>
      </w:pPr>
      <w:r>
        <w:rPr>
          <w:rFonts w:hint="eastAsia" w:ascii="仿宋" w:hAnsi="仿宋" w:eastAsia="仿宋"/>
          <w:sz w:val="24"/>
        </w:rPr>
        <w:t xml:space="preserve">5.合同补充条款或说明；</w:t>
      </w:r>
      <w:r/>
    </w:p>
    <w:p>
      <w:pPr>
        <w:ind w:firstLine="480"/>
        <w:rPr>
          <w:rFonts w:ascii="仿宋" w:hAnsi="仿宋" w:eastAsia="仿宋"/>
          <w:sz w:val="24"/>
        </w:rPr>
      </w:pPr>
      <w:r>
        <w:rPr>
          <w:rFonts w:hint="eastAsia" w:ascii="仿宋" w:hAnsi="仿宋" w:eastAsia="仿宋"/>
          <w:sz w:val="24"/>
        </w:rPr>
        <w:t xml:space="preserve">6.保密协议或条款；</w:t>
      </w:r>
      <w:r/>
    </w:p>
    <w:p>
      <w:pPr>
        <w:ind w:firstLine="480"/>
        <w:rPr>
          <w:rFonts w:ascii="仿宋" w:hAnsi="仿宋" w:eastAsia="仿宋"/>
          <w:sz w:val="24"/>
        </w:rPr>
      </w:pPr>
      <w:r>
        <w:rPr>
          <w:rFonts w:hint="eastAsia" w:ascii="仿宋" w:hAnsi="仿宋" w:eastAsia="仿宋"/>
          <w:sz w:val="24"/>
        </w:rPr>
        <w:t xml:space="preserve">7.相关附件、图纸及电子版资料。</w:t>
      </w:r>
      <w:r/>
    </w:p>
    <w:p>
      <w:pPr>
        <w:ind w:left="482"/>
        <w:rPr>
          <w:rFonts w:ascii="仿宋" w:hAnsi="仿宋" w:eastAsia="仿宋"/>
          <w:b/>
          <w:sz w:val="24"/>
        </w:rPr>
        <w:outlineLvl w:val="1"/>
      </w:pPr>
      <w:r/>
      <w:bookmarkStart w:id="48" w:name="_Toc14530"/>
      <w:r>
        <w:rPr>
          <w:rFonts w:hint="eastAsia" w:ascii="仿宋" w:hAnsi="仿宋" w:eastAsia="仿宋"/>
          <w:b/>
          <w:sz w:val="24"/>
        </w:rPr>
        <w:t xml:space="preserve">第二条  合同内容</w:t>
      </w:r>
      <w:bookmarkEnd w:id="48"/>
      <w:r/>
      <w:r/>
    </w:p>
    <w:p>
      <w:pPr>
        <w:ind w:firstLine="560"/>
        <w:rPr>
          <w:rFonts w:ascii="仿宋" w:hAnsi="仿宋" w:eastAsia="仿宋"/>
          <w:sz w:val="24"/>
        </w:rPr>
      </w:pPr>
      <w:r>
        <w:rPr>
          <w:rFonts w:hint="eastAsia" w:ascii="仿宋" w:hAnsi="仿宋" w:eastAsia="仿宋"/>
          <w:sz w:val="24"/>
        </w:rPr>
        <w:t xml:space="preserve">根据采购文件的要求负责水质自动监测系统的运行维护及管理工作。</w:t>
      </w:r>
      <w:r/>
    </w:p>
    <w:tbl>
      <w:tblPr>
        <w:tblStyle w:val="936"/>
        <w:tblW w:w="9219" w:type="dxa"/>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6"/>
        <w:gridCol w:w="5179"/>
        <w:gridCol w:w="2834"/>
      </w:tblGrid>
      <w:tr>
        <w:trPr>
          <w:trHeight w:val="336"/>
        </w:trPr>
        <w:tc>
          <w:tcPr>
            <w:shd w:val="clear" w:color="auto" w:fill="auto"/>
            <w:tcBorders>
              <w:top w:val="single" w:color="auto" w:sz="4" w:space="0"/>
              <w:left w:val="single" w:color="auto" w:sz="4" w:space="0"/>
              <w:bottom w:val="single" w:color="auto" w:sz="4" w:space="0"/>
              <w:right w:val="single" w:color="auto" w:sz="4" w:space="0"/>
            </w:tcBorders>
            <w:tcW w:w="1206" w:type="dxa"/>
            <w:textDirection w:val="lrTb"/>
            <w:noWrap/>
          </w:tcPr>
          <w:p>
            <w:pPr>
              <w:rPr>
                <w:rFonts w:ascii="仿宋" w:hAnsi="仿宋" w:eastAsia="仿宋" w:cs="仿宋"/>
                <w:sz w:val="24"/>
              </w:rPr>
            </w:pPr>
            <w:r>
              <w:rPr>
                <w:rFonts w:hint="eastAsia" w:ascii="仿宋" w:hAnsi="仿宋" w:eastAsia="仿宋" w:cs="仿宋"/>
                <w:sz w:val="24"/>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5179" w:type="dxa"/>
            <w:textDirection w:val="lrTb"/>
            <w:noWrap/>
          </w:tcPr>
          <w:p>
            <w:pPr>
              <w:rPr>
                <w:rFonts w:ascii="仿宋" w:hAnsi="仿宋" w:eastAsia="仿宋" w:cs="仿宋"/>
                <w:sz w:val="24"/>
              </w:rPr>
            </w:pPr>
            <w:r>
              <w:rPr>
                <w:rFonts w:hint="eastAsia" w:ascii="仿宋" w:hAnsi="仿宋" w:eastAsia="仿宋" w:cs="仿宋"/>
                <w:sz w:val="24"/>
              </w:rPr>
              <w:t xml:space="preserve">服务内容</w:t>
            </w:r>
            <w:r/>
          </w:p>
        </w:tc>
        <w:tc>
          <w:tcPr>
            <w:shd w:val="clear" w:color="auto" w:fill="auto"/>
            <w:tcBorders>
              <w:top w:val="single" w:color="auto" w:sz="4" w:space="0"/>
              <w:left w:val="single" w:color="auto" w:sz="4" w:space="0"/>
              <w:bottom w:val="single" w:color="auto" w:sz="4" w:space="0"/>
              <w:right w:val="single" w:color="auto" w:sz="4" w:space="0"/>
            </w:tcBorders>
            <w:tcW w:w="2834" w:type="dxa"/>
            <w:textDirection w:val="lrTb"/>
            <w:noWrap/>
          </w:tcPr>
          <w:p>
            <w:pPr>
              <w:rPr>
                <w:rFonts w:ascii="仿宋" w:hAnsi="仿宋" w:eastAsia="仿宋" w:cs="仿宋"/>
                <w:sz w:val="24"/>
              </w:rPr>
            </w:pPr>
            <w:r>
              <w:rPr>
                <w:rFonts w:hint="eastAsia" w:ascii="仿宋" w:hAnsi="仿宋" w:eastAsia="仿宋" w:cs="仿宋"/>
                <w:sz w:val="24"/>
              </w:rPr>
              <w:t xml:space="preserve">服务期限</w:t>
            </w:r>
            <w:r/>
          </w:p>
        </w:tc>
      </w:tr>
      <w:tr>
        <w:trPr>
          <w:trHeight w:val="969"/>
        </w:trPr>
        <w:tc>
          <w:tcPr>
            <w:shd w:val="clear" w:color="auto" w:fill="auto"/>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采购包一</w:t>
            </w:r>
            <w:r/>
          </w:p>
        </w:tc>
        <w:tc>
          <w:tcPr>
            <w:shd w:val="clear" w:color="auto" w:fill="auto"/>
            <w:tcBorders>
              <w:top w:val="single" w:color="auto" w:sz="4" w:space="0"/>
              <w:left w:val="single" w:color="auto" w:sz="4" w:space="0"/>
              <w:bottom w:val="single" w:color="auto" w:sz="4" w:space="0"/>
              <w:right w:val="single" w:color="auto" w:sz="4" w:space="0"/>
            </w:tcBorders>
            <w:tcW w:w="5179" w:type="dxa"/>
            <w:textDirection w:val="lrTb"/>
            <w:noWrap/>
          </w:tcPr>
          <w:p>
            <w:pPr>
              <w:rPr>
                <w:rFonts w:ascii="仿宋" w:hAnsi="仿宋" w:eastAsia="仿宋" w:cs="仿宋"/>
                <w:sz w:val="24"/>
              </w:rPr>
            </w:pPr>
            <w:r>
              <w:rPr>
                <w:rFonts w:hint="eastAsia" w:ascii="仿宋" w:hAnsi="仿宋" w:eastAsia="仿宋" w:cs="仿宋"/>
                <w:sz w:val="24"/>
              </w:rPr>
              <w:t xml:space="preserve">3个市考（环西大桥、四新桥、长庄大桥）和1个长江经济带省考勇敢大桥水质自动站运维服务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834" w:type="dxa"/>
            <w:vAlign w:val="center"/>
            <w:textDirection w:val="lrTb"/>
            <w:noWrap/>
          </w:tcPr>
          <w:p>
            <w:pPr>
              <w:rPr>
                <w:rFonts w:ascii="仿宋" w:hAnsi="仿宋" w:eastAsia="仿宋" w:cs="仿宋"/>
                <w:sz w:val="24"/>
              </w:rPr>
            </w:pPr>
            <w:r>
              <w:rPr>
                <w:rFonts w:hint="eastAsia" w:ascii="仿宋" w:hAnsi="仿宋" w:eastAsia="仿宋" w:cs="仿宋"/>
                <w:sz w:val="24"/>
              </w:rPr>
              <w:t xml:space="preserve">2026年11月21日～2027年11月20日</w:t>
            </w:r>
            <w:r/>
          </w:p>
        </w:tc>
      </w:tr>
      <w:tr>
        <w:trPr>
          <w:trHeight w:val="969"/>
        </w:trPr>
        <w:tc>
          <w:tcPr>
            <w:shd w:val="clear" w:color="auto" w:fill="auto"/>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采购包二</w:t>
            </w:r>
            <w:r/>
          </w:p>
        </w:tc>
        <w:tc>
          <w:tcPr>
            <w:shd w:val="clear" w:color="auto" w:fill="auto"/>
            <w:tcBorders>
              <w:top w:val="single" w:color="auto" w:sz="4" w:space="0"/>
              <w:left w:val="single" w:color="auto" w:sz="4" w:space="0"/>
              <w:bottom w:val="single" w:color="auto" w:sz="4" w:space="0"/>
              <w:right w:val="single" w:color="auto" w:sz="4" w:space="0"/>
            </w:tcBorders>
            <w:tcW w:w="5179" w:type="dxa"/>
            <w:textDirection w:val="lrTb"/>
            <w:noWrap/>
          </w:tcPr>
          <w:p>
            <w:pPr>
              <w:rPr>
                <w:rFonts w:ascii="仿宋" w:hAnsi="仿宋" w:eastAsia="仿宋" w:cs="仿宋"/>
                <w:sz w:val="24"/>
              </w:rPr>
            </w:pPr>
            <w:r>
              <w:rPr>
                <w:rFonts w:hint="eastAsia" w:ascii="仿宋" w:hAnsi="仿宋" w:eastAsia="仿宋" w:cs="仿宋"/>
                <w:sz w:val="24"/>
              </w:rPr>
              <w:t xml:space="preserve">3个水源地（鹏鹞水厂、备用水源地、上游预警站）和1个市考拉马河桥水质自动站运维服务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834" w:type="dxa"/>
            <w:vAlign w:val="center"/>
            <w:textDirection w:val="lrTb"/>
            <w:noWrap/>
          </w:tcPr>
          <w:p>
            <w:pPr>
              <w:rPr>
                <w:rFonts w:ascii="仿宋" w:hAnsi="仿宋" w:eastAsia="仿宋" w:cs="仿宋"/>
                <w:sz w:val="24"/>
              </w:rPr>
            </w:pPr>
            <w:r>
              <w:rPr>
                <w:rFonts w:hint="eastAsia" w:ascii="仿宋" w:hAnsi="仿宋" w:eastAsia="仿宋" w:cs="仿宋"/>
                <w:sz w:val="24"/>
              </w:rPr>
              <w:t xml:space="preserve">2026年11月21日～2027年11月20日</w:t>
            </w:r>
            <w:r/>
          </w:p>
        </w:tc>
      </w:tr>
      <w:tr>
        <w:trPr>
          <w:trHeight w:val="673"/>
        </w:trPr>
        <w:tc>
          <w:tcPr>
            <w:shd w:val="clear" w:color="auto" w:fill="auto"/>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采购包三</w:t>
            </w:r>
            <w:r/>
          </w:p>
        </w:tc>
        <w:tc>
          <w:tcPr>
            <w:shd w:val="clear" w:color="auto" w:fill="auto"/>
            <w:tcBorders>
              <w:top w:val="single" w:color="auto" w:sz="4" w:space="0"/>
              <w:left w:val="single" w:color="auto" w:sz="4" w:space="0"/>
              <w:bottom w:val="single" w:color="auto" w:sz="4" w:space="0"/>
              <w:right w:val="single" w:color="auto" w:sz="4" w:space="0"/>
            </w:tcBorders>
            <w:tcW w:w="5179" w:type="dxa"/>
            <w:textDirection w:val="lrTb"/>
            <w:noWrap/>
          </w:tcPr>
          <w:p>
            <w:pPr>
              <w:rPr>
                <w:rFonts w:ascii="仿宋" w:hAnsi="仿宋" w:eastAsia="仿宋" w:cs="仿宋"/>
                <w:sz w:val="24"/>
              </w:rPr>
            </w:pPr>
            <w:r>
              <w:rPr>
                <w:rFonts w:hint="eastAsia" w:ascii="仿宋" w:hAnsi="仿宋" w:eastAsia="仿宋" w:cs="仿宋"/>
                <w:sz w:val="24"/>
              </w:rPr>
              <w:t xml:space="preserve">5个入江支流（如皋港闸、戴案港、青年港、周圩港、久隆河）水质自动站运维服务</w:t>
            </w:r>
            <w:r/>
          </w:p>
        </w:tc>
        <w:tc>
          <w:tcPr>
            <w:shd w:val="clear" w:color="auto" w:fill="auto"/>
            <w:tcBorders>
              <w:top w:val="single" w:color="auto" w:sz="4" w:space="0"/>
              <w:left w:val="single" w:color="auto" w:sz="4" w:space="0"/>
              <w:bottom w:val="single" w:color="auto" w:sz="4" w:space="0"/>
              <w:right w:val="single" w:color="auto" w:sz="4" w:space="0"/>
            </w:tcBorders>
            <w:tcW w:w="2834" w:type="dxa"/>
            <w:vAlign w:val="center"/>
            <w:textDirection w:val="lrTb"/>
            <w:noWrap/>
          </w:tcPr>
          <w:p>
            <w:pPr>
              <w:rPr>
                <w:rFonts w:ascii="仿宋" w:hAnsi="仿宋" w:eastAsia="仿宋" w:cs="仿宋"/>
                <w:sz w:val="24"/>
              </w:rPr>
            </w:pPr>
            <w:r>
              <w:rPr>
                <w:rFonts w:hint="eastAsia" w:ascii="仿宋" w:hAnsi="仿宋" w:eastAsia="仿宋" w:cs="仿宋"/>
                <w:sz w:val="24"/>
              </w:rPr>
              <w:t xml:space="preserve">2026年11月21日～2027年11月20日</w:t>
            </w:r>
            <w:r/>
          </w:p>
        </w:tc>
      </w:tr>
    </w:tbl>
    <w:p>
      <w:pPr>
        <w:ind w:left="482"/>
        <w:rPr>
          <w:rFonts w:ascii="仿宋" w:hAnsi="仿宋" w:eastAsia="仿宋"/>
          <w:b/>
          <w:sz w:val="24"/>
        </w:rPr>
        <w:outlineLvl w:val="1"/>
      </w:pPr>
      <w:r>
        <w:rPr>
          <w:rFonts w:hint="eastAsia" w:ascii="仿宋" w:hAnsi="仿宋" w:eastAsia="仿宋"/>
          <w:b/>
          <w:sz w:val="24"/>
        </w:rPr>
        <w:t xml:space="preserve">第三条  服务要求</w:t>
      </w:r>
      <w:r/>
    </w:p>
    <w:p>
      <w:pPr>
        <w:ind w:firstLine="560"/>
        <w:rPr>
          <w:rFonts w:ascii="仿宋" w:hAnsi="仿宋" w:eastAsia="仿宋"/>
          <w:sz w:val="24"/>
        </w:rPr>
      </w:pPr>
      <w:r>
        <w:rPr>
          <w:rFonts w:hint="eastAsia" w:ascii="仿宋" w:hAnsi="仿宋" w:eastAsia="仿宋"/>
          <w:sz w:val="24"/>
        </w:rPr>
        <w:t xml:space="preserve">严格执行采购文件。</w:t>
      </w:r>
      <w:r/>
    </w:p>
    <w:p>
      <w:pPr>
        <w:ind w:left="482"/>
        <w:rPr>
          <w:rFonts w:ascii="仿宋" w:hAnsi="仿宋" w:eastAsia="仿宋"/>
          <w:b/>
          <w:sz w:val="24"/>
        </w:rPr>
        <w:outlineLvl w:val="1"/>
      </w:pPr>
      <w:r/>
      <w:bookmarkStart w:id="49" w:name="_Toc27013"/>
      <w:r>
        <w:rPr>
          <w:rFonts w:hint="eastAsia" w:ascii="仿宋" w:hAnsi="仿宋" w:eastAsia="仿宋"/>
          <w:b/>
          <w:sz w:val="24"/>
        </w:rPr>
        <w:t xml:space="preserve">第四条  合同总金额</w:t>
      </w:r>
      <w:bookmarkEnd w:id="49"/>
      <w:r/>
      <w:r/>
    </w:p>
    <w:p>
      <w:pPr>
        <w:ind w:firstLine="480"/>
        <w:rPr>
          <w:rFonts w:ascii="仿宋" w:hAnsi="仿宋" w:eastAsia="仿宋"/>
          <w:sz w:val="24"/>
        </w:rPr>
      </w:pPr>
      <w:r>
        <w:rPr>
          <w:rFonts w:hint="eastAsia" w:ascii="仿宋" w:hAnsi="仿宋" w:eastAsia="仿宋"/>
          <w:sz w:val="24"/>
        </w:rPr>
        <w:t xml:space="preserve">本合同服务总金额：￥元。</w:t>
      </w:r>
      <w:r/>
    </w:p>
    <w:p>
      <w:pPr>
        <w:ind w:firstLine="480"/>
        <w:rPr>
          <w:rFonts w:ascii="仿宋" w:hAnsi="仿宋" w:eastAsia="仿宋"/>
          <w:sz w:val="24"/>
        </w:rPr>
      </w:pPr>
      <w:r>
        <w:rPr>
          <w:rFonts w:hint="eastAsia" w:ascii="仿宋" w:hAnsi="仿宋" w:eastAsia="仿宋"/>
          <w:sz w:val="24"/>
        </w:rPr>
        <w:t xml:space="preserve">大写：元。</w:t>
      </w:r>
      <w:r/>
    </w:p>
    <w:p>
      <w:pPr>
        <w:ind w:firstLine="480"/>
        <w:rPr>
          <w:rFonts w:ascii="仿宋" w:hAnsi="仿宋" w:eastAsia="仿宋"/>
          <w:sz w:val="24"/>
        </w:rPr>
      </w:pPr>
      <w:r>
        <w:rPr>
          <w:rFonts w:hint="eastAsia" w:ascii="仿宋" w:hAnsi="仿宋" w:eastAsia="仿宋"/>
          <w:sz w:val="24"/>
        </w:rPr>
        <w:t xml:space="preserve">分项价款在《服务一览表》中有明确规定。</w:t>
      </w:r>
      <w:r/>
    </w:p>
    <w:p>
      <w:pPr>
        <w:ind w:firstLine="480"/>
        <w:rPr>
          <w:rFonts w:ascii="仿宋" w:hAnsi="仿宋" w:eastAsia="仿宋"/>
          <w:sz w:val="24"/>
        </w:rPr>
      </w:pPr>
      <w:r>
        <w:rPr>
          <w:rFonts w:hint="eastAsia" w:ascii="仿宋" w:hAnsi="仿宋" w:eastAsia="仿宋"/>
          <w:sz w:val="24"/>
        </w:rPr>
        <w:t xml:space="preserve">本合同总价款包括服务期间必须的日常易耗品、工具、调试费、培训费等相关费用。</w:t>
      </w:r>
      <w:r/>
    </w:p>
    <w:p>
      <w:pPr>
        <w:ind w:firstLine="480"/>
        <w:rPr>
          <w:rFonts w:ascii="仿宋" w:hAnsi="仿宋" w:eastAsia="仿宋"/>
          <w:sz w:val="24"/>
        </w:rPr>
      </w:pPr>
      <w:r>
        <w:rPr>
          <w:rFonts w:hint="eastAsia" w:ascii="仿宋" w:hAnsi="仿宋" w:eastAsia="仿宋"/>
          <w:sz w:val="24"/>
        </w:rPr>
        <w:t xml:space="preserve">本合同执行期内因工作量变化而引起的服务费用的变动，在双方事先协商一致的前提下签订补充合同，但因此而增加的服务费用不得超过原成交金额的10%。</w:t>
      </w:r>
      <w:r/>
    </w:p>
    <w:p>
      <w:pPr>
        <w:ind w:left="482"/>
        <w:rPr>
          <w:rFonts w:ascii="仿宋" w:hAnsi="仿宋" w:eastAsia="仿宋"/>
          <w:b/>
          <w:sz w:val="24"/>
        </w:rPr>
        <w:outlineLvl w:val="1"/>
      </w:pPr>
      <w:r/>
      <w:bookmarkStart w:id="50" w:name="_Toc26883"/>
      <w:r>
        <w:rPr>
          <w:rFonts w:hint="eastAsia" w:ascii="仿宋" w:hAnsi="仿宋" w:eastAsia="仿宋"/>
          <w:b/>
          <w:sz w:val="24"/>
        </w:rPr>
        <w:t xml:space="preserve">第五条  权利义务和质量保证</w:t>
      </w:r>
      <w:bookmarkEnd w:id="50"/>
      <w:r/>
      <w:r/>
    </w:p>
    <w:p>
      <w:pPr>
        <w:ind w:firstLine="480"/>
        <w:rPr>
          <w:rFonts w:ascii="仿宋" w:hAnsi="仿宋" w:eastAsia="仿宋"/>
          <w:sz w:val="24"/>
        </w:rPr>
      </w:pPr>
      <w:r>
        <w:rPr>
          <w:rFonts w:hint="eastAsia" w:ascii="仿宋" w:hAnsi="仿宋" w:eastAsia="仿宋"/>
          <w:sz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rPr>
          <w:rFonts w:ascii="仿宋" w:hAnsi="仿宋" w:eastAsia="仿宋"/>
          <w:sz w:val="24"/>
        </w:rPr>
      </w:pPr>
      <w:r>
        <w:rPr>
          <w:rFonts w:hint="eastAsia" w:ascii="仿宋" w:hAnsi="仿宋" w:eastAsia="仿宋"/>
          <w:sz w:val="24"/>
        </w:rPr>
        <w:t xml:space="preserve">2.乙方保证所提供的服务或其任何一部分均不会侵犯任何第三方的专利权、商标权或著作权。</w:t>
      </w:r>
      <w:r>
        <w:rPr>
          <w:rFonts w:ascii="仿宋" w:hAnsi="仿宋" w:eastAsia="仿宋"/>
          <w:sz w:val="24"/>
        </w:rPr>
        <w:t xml:space="preserve">一旦出现侵权，</w:t>
      </w:r>
      <w:r>
        <w:rPr>
          <w:rFonts w:hint="eastAsia" w:ascii="仿宋" w:hAnsi="仿宋" w:eastAsia="仿宋"/>
          <w:sz w:val="24"/>
        </w:rPr>
        <w:t xml:space="preserve">索赔或诉讼</w:t>
      </w:r>
      <w:r>
        <w:rPr>
          <w:rFonts w:ascii="仿宋" w:hAnsi="仿宋" w:eastAsia="仿宋"/>
          <w:sz w:val="24"/>
        </w:rPr>
        <w:t xml:space="preserve">，乙方应承担全部责任。</w:t>
      </w:r>
      <w:r>
        <w:rPr>
          <w:rFonts w:hint="eastAsia" w:ascii="仿宋" w:hAnsi="仿宋" w:eastAsia="仿宋"/>
          <w:sz w:val="24"/>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sz w:val="24"/>
        </w:rPr>
        <w:outlineLvl w:val="1"/>
      </w:pPr>
      <w:r/>
      <w:bookmarkStart w:id="51" w:name="_Toc22440"/>
      <w:r>
        <w:rPr>
          <w:rFonts w:hint="eastAsia" w:ascii="仿宋" w:hAnsi="仿宋" w:eastAsia="仿宋"/>
          <w:b/>
          <w:sz w:val="24"/>
        </w:rPr>
        <w:t xml:space="preserve">第六条  付款方式</w:t>
      </w:r>
      <w:bookmarkEnd w:id="51"/>
      <w:r/>
      <w:r/>
    </w:p>
    <w:p>
      <w:pPr>
        <w:ind w:firstLine="480"/>
        <w:jc w:val="left"/>
        <w:rPr>
          <w:rFonts w:ascii="仿宋" w:hAnsi="仿宋" w:eastAsia="仿宋"/>
          <w:sz w:val="24"/>
        </w:rPr>
        <w:outlineLvl w:val="1"/>
      </w:pPr>
      <w:r/>
      <w:bookmarkStart w:id="52" w:name="_Toc7439"/>
      <w:r>
        <w:rPr>
          <w:rFonts w:hint="eastAsia" w:ascii="仿宋" w:hAnsi="仿宋" w:eastAsia="仿宋"/>
          <w:sz w:val="24"/>
        </w:rPr>
        <w:t xml:space="preserve">每次支付前，成交人均应出具在税务部门开具的正式增值税发票，双方结算均通过银行基本账户进行。</w:t>
      </w:r>
      <w:r/>
    </w:p>
    <w:p>
      <w:pPr>
        <w:ind w:firstLine="480"/>
        <w:jc w:val="left"/>
        <w:rPr>
          <w:rFonts w:ascii="仿宋" w:hAnsi="仿宋" w:eastAsia="仿宋"/>
          <w:sz w:val="24"/>
        </w:rPr>
        <w:outlineLvl w:val="1"/>
      </w:pPr>
      <w:r>
        <w:rPr>
          <w:rFonts w:hint="eastAsia" w:ascii="仿宋" w:hAnsi="仿宋" w:eastAsia="仿宋"/>
          <w:sz w:val="24"/>
        </w:rPr>
        <w:t xml:space="preserve">付款方式：合同签订后支付预付款30%，履约满半年后支付合同金额的40%，待合同到期且验收合格后付清剩余尾款。</w:t>
      </w:r>
      <w:r/>
    </w:p>
    <w:p>
      <w:pPr>
        <w:ind w:firstLine="480"/>
        <w:jc w:val="left"/>
        <w:rPr>
          <w:rFonts w:ascii="仿宋" w:hAnsi="仿宋" w:eastAsia="仿宋"/>
          <w:sz w:val="24"/>
        </w:rPr>
        <w:outlineLvl w:val="1"/>
      </w:pPr>
      <w:r>
        <w:rPr>
          <w:rFonts w:hint="eastAsia" w:ascii="仿宋" w:hAnsi="仿宋" w:eastAsia="仿宋"/>
          <w:sz w:val="24"/>
        </w:rPr>
        <w:t xml:space="preserve">注：上述付款时均需扣除日常运维考核扣减费用，按实际费用支付。</w:t>
      </w:r>
      <w:r/>
    </w:p>
    <w:p>
      <w:pPr>
        <w:ind w:firstLine="480"/>
        <w:jc w:val="left"/>
        <w:rPr>
          <w:rFonts w:ascii="仿宋" w:hAnsi="仿宋" w:eastAsia="仿宋"/>
          <w:sz w:val="24"/>
        </w:rPr>
        <w:outlineLvl w:val="1"/>
      </w:pPr>
      <w:r>
        <w:rPr>
          <w:rFonts w:hint="eastAsia" w:ascii="仿宋" w:hAnsi="仿宋" w:eastAsia="仿宋"/>
          <w:sz w:val="24"/>
        </w:rPr>
        <w:t xml:space="preserve">说明：若在运维合同期间上级部门对其中全部或部分站点进行上收由国家、省、市直接接管，则本次招标中相对应的部分合同自动终止，运维费用按实际发生时间计算。若因不可控因素导致13个自动站运维服务超过原有运维周期，运维仍由原运维单位负责。成交供应商需承诺，超原有运维周期所产生的运维费用以本次成交价格和实际发生时间计算，由成交供应商支付给原运维单位。</w:t>
      </w:r>
      <w:r/>
    </w:p>
    <w:p>
      <w:pPr>
        <w:ind w:left="482"/>
        <w:rPr>
          <w:rFonts w:ascii="仿宋" w:hAnsi="仿宋" w:eastAsia="仿宋"/>
          <w:b/>
          <w:sz w:val="24"/>
        </w:rPr>
        <w:outlineLvl w:val="1"/>
      </w:pPr>
      <w:r>
        <w:rPr>
          <w:rFonts w:hint="eastAsia" w:ascii="仿宋" w:hAnsi="仿宋" w:eastAsia="仿宋"/>
          <w:b/>
          <w:sz w:val="24"/>
        </w:rPr>
        <w:t xml:space="preserve">第七条  </w:t>
      </w:r>
      <w:bookmarkEnd w:id="52"/>
      <w:r>
        <w:rPr>
          <w:rFonts w:hint="eastAsia" w:ascii="仿宋" w:hAnsi="仿宋" w:eastAsia="仿宋"/>
          <w:b/>
          <w:sz w:val="24"/>
        </w:rPr>
        <w:t xml:space="preserve">考核</w:t>
      </w:r>
      <w:r/>
    </w:p>
    <w:p>
      <w:pPr>
        <w:ind w:firstLine="480"/>
        <w:widowControl/>
        <w:rPr>
          <w:rFonts w:ascii="仿宋" w:hAnsi="仿宋" w:eastAsia="仿宋" w:cs="仿宋"/>
          <w:sz w:val="24"/>
        </w:rPr>
      </w:pPr>
      <w:r/>
      <w:bookmarkStart w:id="53" w:name="_Toc20171"/>
      <w:r>
        <w:rPr>
          <w:rFonts w:hint="eastAsia" w:ascii="仿宋" w:hAnsi="仿宋" w:eastAsia="仿宋" w:cs="仿宋"/>
          <w:sz w:val="24"/>
        </w:rPr>
        <w:t xml:space="preserve">乙方及人员必须接受甲方代表及其授权人员对运维工作的监督检查考核。</w:t>
      </w:r>
      <w:r/>
    </w:p>
    <w:p>
      <w:pPr>
        <w:ind w:firstLine="480"/>
        <w:widowControl/>
        <w:rPr>
          <w:rFonts w:ascii="仿宋" w:hAnsi="仿宋" w:eastAsia="仿宋" w:cs="仿宋"/>
          <w:sz w:val="24"/>
        </w:rPr>
      </w:pPr>
      <w:r>
        <w:rPr>
          <w:rFonts w:hint="eastAsia" w:ascii="仿宋" w:hAnsi="仿宋" w:eastAsia="仿宋" w:cs="仿宋"/>
          <w:b/>
          <w:bCs/>
          <w:sz w:val="24"/>
        </w:rPr>
        <w:t xml:space="preserve">（一）监督管理授权</w:t>
      </w:r>
      <w:r/>
    </w:p>
    <w:p>
      <w:pPr>
        <w:ind w:firstLine="480"/>
        <w:widowControl/>
        <w:rPr>
          <w:rFonts w:ascii="仿宋" w:hAnsi="仿宋" w:eastAsia="仿宋" w:cs="仿宋"/>
          <w:sz w:val="24"/>
        </w:rPr>
      </w:pPr>
      <w:r>
        <w:rPr>
          <w:rFonts w:hint="eastAsia" w:ascii="仿宋" w:hAnsi="仿宋" w:eastAsia="仿宋" w:cs="仿宋"/>
          <w:sz w:val="24"/>
        </w:rPr>
        <w:t xml:space="preserve">在实施服务过程中，如出现以下情形时甲方有权单方面终止合同并追究运维单位责任（如已支付预付款，运维单位须无条件返还），违反法律法规的将交由相关部门依法处理。</w:t>
      </w:r>
      <w:r/>
    </w:p>
    <w:p>
      <w:pPr>
        <w:ind w:firstLine="480"/>
        <w:widowControl/>
        <w:rPr>
          <w:rFonts w:ascii="仿宋" w:hAnsi="仿宋" w:eastAsia="仿宋" w:cs="仿宋"/>
          <w:sz w:val="24"/>
          <w:highlight w:val="cyan"/>
        </w:rPr>
      </w:pPr>
      <w:r>
        <w:rPr>
          <w:rFonts w:hint="eastAsia" w:ascii="仿宋" w:hAnsi="仿宋" w:eastAsia="仿宋" w:cs="仿宋"/>
          <w:sz w:val="24"/>
        </w:rPr>
        <w:t xml:space="preserve">1.本项目团队进场后，甲方对团队人员（含授权）情况及相关证书等进行核查时发现弄虚作假的；团队进场后不能按期履行投标承诺的；</w:t>
      </w:r>
      <w:r/>
    </w:p>
    <w:p>
      <w:pPr>
        <w:ind w:firstLine="480"/>
        <w:widowControl/>
        <w:rPr>
          <w:rFonts w:ascii="仿宋" w:hAnsi="仿宋" w:eastAsia="仿宋" w:cs="仿宋"/>
          <w:sz w:val="24"/>
        </w:rPr>
      </w:pPr>
      <w:r>
        <w:rPr>
          <w:rFonts w:hint="eastAsia" w:ascii="仿宋" w:hAnsi="仿宋" w:eastAsia="仿宋" w:cs="仿宋"/>
          <w:sz w:val="24"/>
        </w:rPr>
        <w:t xml:space="preserve">2.未能承担监测数据的保密责任（成交后签订保密协议），利用本项目的数据、档案或有关资料对外开展技术交流、业务联系、数据交换等的；</w:t>
      </w:r>
      <w:r/>
    </w:p>
    <w:p>
      <w:pPr>
        <w:ind w:firstLine="480"/>
        <w:widowControl/>
        <w:rPr>
          <w:rFonts w:ascii="仿宋" w:hAnsi="仿宋" w:eastAsia="仿宋" w:cs="仿宋"/>
          <w:sz w:val="24"/>
        </w:rPr>
      </w:pPr>
      <w:r>
        <w:rPr>
          <w:rFonts w:hint="eastAsia" w:ascii="仿宋" w:hAnsi="仿宋" w:eastAsia="仿宋" w:cs="仿宋"/>
          <w:sz w:val="24"/>
        </w:rPr>
        <w:t xml:space="preserve">3.乙方或人员队伍发生重大变更，无法按质开展运维工作，或者发生重大安全生产责任事故的；</w:t>
      </w:r>
      <w:r/>
    </w:p>
    <w:p>
      <w:pPr>
        <w:ind w:firstLine="480"/>
        <w:widowControl/>
        <w:rPr>
          <w:rFonts w:ascii="仿宋" w:hAnsi="仿宋" w:eastAsia="仿宋" w:cs="仿宋"/>
          <w:sz w:val="24"/>
        </w:rPr>
      </w:pPr>
      <w:r>
        <w:rPr>
          <w:rFonts w:hint="eastAsia" w:ascii="仿宋" w:hAnsi="仿宋" w:eastAsia="仿宋" w:cs="仿宋"/>
          <w:sz w:val="24"/>
        </w:rPr>
        <w:t xml:space="preserve">4.乙方及人员蓄意破坏水站固定资产，或私自外借、出租、抵押的；</w:t>
      </w:r>
      <w:r/>
    </w:p>
    <w:p>
      <w:pPr>
        <w:ind w:firstLine="480"/>
        <w:widowControl/>
        <w:rPr>
          <w:rFonts w:ascii="仿宋" w:hAnsi="仿宋" w:eastAsia="仿宋" w:cs="仿宋"/>
          <w:sz w:val="24"/>
        </w:rPr>
      </w:pPr>
      <w:r>
        <w:rPr>
          <w:rFonts w:hint="eastAsia" w:ascii="仿宋" w:hAnsi="仿宋" w:eastAsia="仿宋" w:cs="仿宋"/>
          <w:sz w:val="24"/>
        </w:rPr>
        <w:t xml:space="preserve">5.乙方及其人员实施或参与以下情形的：</w:t>
      </w:r>
      <w:r/>
    </w:p>
    <w:p>
      <w:pPr>
        <w:ind w:firstLine="480"/>
        <w:widowControl/>
        <w:rPr>
          <w:rFonts w:ascii="仿宋" w:hAnsi="仿宋" w:eastAsia="仿宋" w:cs="仿宋"/>
          <w:sz w:val="24"/>
        </w:rPr>
      </w:pPr>
      <w:r>
        <w:rPr>
          <w:rFonts w:hint="eastAsia" w:ascii="仿宋" w:hAnsi="仿宋" w:eastAsia="仿宋" w:cs="仿宋"/>
          <w:sz w:val="24"/>
        </w:rPr>
        <w:t xml:space="preserve">（1）存在《环境监测数据弄虚作假行为判定及处理办法》中认定的篡改、伪造或者指使篡改、伪造监测数据行为的。</w:t>
      </w:r>
      <w:r/>
    </w:p>
    <w:p>
      <w:pPr>
        <w:ind w:firstLine="480"/>
        <w:widowControl/>
        <w:rPr>
          <w:rFonts w:ascii="仿宋" w:hAnsi="仿宋" w:eastAsia="仿宋" w:cs="仿宋"/>
          <w:sz w:val="24"/>
        </w:rPr>
      </w:pPr>
      <w:r>
        <w:rPr>
          <w:rFonts w:hint="eastAsia" w:ascii="仿宋" w:hAnsi="仿宋" w:eastAsia="仿宋" w:cs="仿宋"/>
          <w:sz w:val="24"/>
        </w:rPr>
        <w:t xml:space="preserve">（2）存在关键参数虚假报备，或实际关键参数超出备案范围，对数据造成严重影响的。</w:t>
      </w:r>
      <w:r/>
    </w:p>
    <w:p>
      <w:pPr>
        <w:ind w:firstLine="480"/>
        <w:widowControl/>
        <w:rPr>
          <w:rFonts w:ascii="仿宋" w:hAnsi="仿宋" w:eastAsia="仿宋" w:cs="仿宋"/>
          <w:sz w:val="24"/>
        </w:rPr>
      </w:pPr>
      <w:r>
        <w:rPr>
          <w:rFonts w:hint="eastAsia" w:ascii="仿宋" w:hAnsi="仿宋" w:eastAsia="仿宋" w:cs="仿宋"/>
          <w:sz w:val="24"/>
        </w:rPr>
        <w:t xml:space="preserve">（3）随意更改预处理装置，实际预处理方式及其启用/停用与报备方式不一致的。</w:t>
      </w:r>
      <w:r/>
    </w:p>
    <w:p>
      <w:pPr>
        <w:ind w:firstLine="480"/>
        <w:widowControl/>
        <w:rPr>
          <w:rFonts w:ascii="仿宋" w:hAnsi="仿宋" w:eastAsia="仿宋" w:cs="仿宋"/>
          <w:sz w:val="24"/>
        </w:rPr>
      </w:pPr>
      <w:r>
        <w:rPr>
          <w:rFonts w:hint="eastAsia" w:ascii="仿宋" w:hAnsi="仿宋" w:eastAsia="仿宋" w:cs="仿宋"/>
          <w:sz w:val="24"/>
        </w:rPr>
        <w:t xml:space="preserve">（4）实施或参与干扰采水设施和自动监测设施、破坏水质自动监测系统的。</w:t>
      </w:r>
      <w:r/>
    </w:p>
    <w:p>
      <w:pPr>
        <w:ind w:firstLine="480"/>
        <w:widowControl/>
        <w:rPr>
          <w:rFonts w:ascii="仿宋" w:hAnsi="仿宋" w:eastAsia="仿宋" w:cs="仿宋"/>
          <w:sz w:val="24"/>
        </w:rPr>
      </w:pPr>
      <w:r>
        <w:rPr>
          <w:rFonts w:hint="eastAsia" w:ascii="仿宋" w:hAnsi="仿宋" w:eastAsia="仿宋" w:cs="仿宋"/>
          <w:sz w:val="24"/>
        </w:rPr>
        <w:t xml:space="preserve">（5）其他造成水质自动监测数据严重失真的情形。</w:t>
      </w:r>
      <w:r/>
    </w:p>
    <w:p>
      <w:pPr>
        <w:ind w:firstLine="480"/>
        <w:widowControl/>
        <w:rPr>
          <w:rFonts w:ascii="仿宋" w:hAnsi="仿宋" w:eastAsia="仿宋" w:cs="仿宋"/>
          <w:sz w:val="24"/>
        </w:rPr>
      </w:pPr>
      <w:r>
        <w:rPr>
          <w:rFonts w:hint="eastAsia" w:ascii="仿宋" w:hAnsi="仿宋" w:eastAsia="仿宋" w:cs="仿宋"/>
          <w:sz w:val="24"/>
        </w:rPr>
        <w:t xml:space="preserve">1.6以上条款的内容如果需要修改或者有其他未涉及的事项，由双方协商解决。</w:t>
      </w:r>
      <w:r/>
    </w:p>
    <w:p>
      <w:pPr>
        <w:ind w:firstLine="480"/>
        <w:widowControl/>
        <w:rPr>
          <w:rFonts w:ascii="仿宋" w:hAnsi="仿宋" w:eastAsia="仿宋" w:cs="仿宋"/>
          <w:b/>
          <w:bCs/>
          <w:sz w:val="24"/>
        </w:rPr>
      </w:pPr>
      <w:r>
        <w:rPr>
          <w:rFonts w:hint="eastAsia" w:ascii="仿宋" w:hAnsi="仿宋" w:eastAsia="仿宋" w:cs="仿宋"/>
          <w:b/>
          <w:bCs/>
          <w:sz w:val="24"/>
        </w:rPr>
        <w:t xml:space="preserve">（二）考核办法</w:t>
      </w:r>
      <w:r/>
    </w:p>
    <w:p>
      <w:pPr>
        <w:ind w:firstLine="480"/>
        <w:widowControl/>
        <w:rPr>
          <w:rFonts w:ascii="仿宋" w:hAnsi="仿宋" w:eastAsia="仿宋" w:cs="仿宋"/>
          <w:sz w:val="24"/>
        </w:rPr>
      </w:pPr>
      <w:r>
        <w:rPr>
          <w:rFonts w:hint="eastAsia" w:ascii="仿宋" w:hAnsi="仿宋" w:eastAsia="仿宋" w:cs="仿宋"/>
          <w:sz w:val="24"/>
        </w:rPr>
        <w:t xml:space="preserve">甲方代表南通市如皋生态环境监测站每月对运维单位的运行情况进行考核汇总。采取单站月度考核的方式，考核内容以站点数据有效率为主，兼顾盲样考核、运行维护规范性、固定技术人员管理、固定资产及备品备件管理等。</w:t>
      </w:r>
      <w:r/>
    </w:p>
    <w:p>
      <w:pPr>
        <w:ind w:firstLine="480"/>
        <w:widowControl/>
        <w:rPr>
          <w:rFonts w:ascii="仿宋" w:hAnsi="仿宋" w:eastAsia="仿宋" w:cs="仿宋"/>
          <w:sz w:val="24"/>
        </w:rPr>
      </w:pPr>
      <w:r>
        <w:rPr>
          <w:rFonts w:hint="eastAsia" w:ascii="仿宋" w:hAnsi="仿宋" w:eastAsia="仿宋" w:cs="仿宋"/>
          <w:sz w:val="24"/>
        </w:rPr>
        <w:t xml:space="preserve">1.数据有效率（参与统计的项目覆盖站房内所有监测项目）</w:t>
      </w:r>
      <w:r/>
    </w:p>
    <w:p>
      <w:pPr>
        <w:ind w:firstLine="480"/>
        <w:widowControl/>
        <w:rPr>
          <w:rFonts w:ascii="仿宋" w:hAnsi="仿宋" w:eastAsia="仿宋" w:cs="仿宋"/>
          <w:sz w:val="24"/>
        </w:rPr>
      </w:pPr>
      <w:r>
        <w:rPr>
          <w:rFonts w:hint="eastAsia" w:ascii="仿宋" w:hAnsi="仿宋" w:eastAsia="仿宋" w:cs="仿宋"/>
          <w:sz w:val="24"/>
        </w:rPr>
        <w:t xml:space="preserve">（1）正常运行</w:t>
      </w:r>
      <w:r/>
    </w:p>
    <w:p>
      <w:pPr>
        <w:ind w:firstLine="480"/>
        <w:widowControl/>
        <w:rPr>
          <w:rFonts w:ascii="仿宋" w:hAnsi="仿宋" w:eastAsia="仿宋" w:cs="仿宋"/>
          <w:sz w:val="24"/>
        </w:rPr>
      </w:pPr>
      <w:r>
        <w:rPr>
          <w:rFonts w:hint="eastAsia" w:ascii="仿宋" w:hAnsi="仿宋" w:eastAsia="仿宋" w:cs="仿宋"/>
          <w:sz w:val="24"/>
        </w:rPr>
        <w:t xml:space="preserve">正常运行期间数据有效率=（应获取数据-无效数据）/应获取数据*100%</w:t>
      </w:r>
      <w:r/>
    </w:p>
    <w:p>
      <w:pPr>
        <w:ind w:firstLine="480"/>
        <w:widowControl/>
        <w:rPr>
          <w:rFonts w:ascii="仿宋" w:hAnsi="仿宋" w:eastAsia="仿宋" w:cs="仿宋"/>
          <w:sz w:val="24"/>
        </w:rPr>
      </w:pPr>
      <w:r>
        <w:rPr>
          <w:rFonts w:hint="eastAsia" w:ascii="仿宋" w:hAnsi="仿宋" w:eastAsia="仿宋" w:cs="仿宋"/>
          <w:sz w:val="24"/>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ind w:firstLine="480"/>
        <w:widowControl/>
        <w:rPr>
          <w:rFonts w:ascii="仿宋" w:hAnsi="仿宋" w:eastAsia="仿宋" w:cs="仿宋"/>
          <w:sz w:val="24"/>
        </w:rPr>
      </w:pPr>
      <w:r>
        <w:rPr>
          <w:rFonts w:hint="eastAsia" w:ascii="仿宋" w:hAnsi="仿宋" w:eastAsia="仿宋" w:cs="仿宋"/>
          <w:sz w:val="24"/>
        </w:rPr>
        <w:t xml:space="preserve">（2）非正常运行</w:t>
      </w:r>
      <w:r/>
    </w:p>
    <w:p>
      <w:pPr>
        <w:ind w:firstLine="480"/>
        <w:widowControl/>
        <w:rPr>
          <w:rFonts w:ascii="仿宋" w:hAnsi="仿宋" w:eastAsia="仿宋" w:cs="仿宋"/>
          <w:sz w:val="24"/>
        </w:rPr>
      </w:pPr>
      <w:r>
        <w:rPr>
          <w:rFonts w:hint="eastAsia" w:ascii="仿宋" w:hAnsi="仿宋" w:eastAsia="仿宋" w:cs="仿宋"/>
          <w:sz w:val="24"/>
        </w:rPr>
        <w:t xml:space="preserve">水站运行过程中，因停电、停水（自来水）、高浊度或不可抗力因素（断流或水位过低、地震、封航、暴雨、台风等）等导致停站而数据缺失或数据无效时，乙方应及时告知甲方并根据实际情况判断是否开展补充监测。</w:t>
      </w:r>
      <w:r/>
    </w:p>
    <w:p>
      <w:pPr>
        <w:ind w:firstLine="480"/>
        <w:widowControl/>
        <w:rPr>
          <w:rFonts w:ascii="仿宋" w:hAnsi="仿宋" w:eastAsia="仿宋" w:cs="仿宋"/>
          <w:sz w:val="24"/>
        </w:rPr>
      </w:pPr>
      <w:r>
        <w:rPr>
          <w:rFonts w:hint="eastAsia" w:ascii="仿宋" w:hAnsi="仿宋" w:eastAsia="仿宋" w:cs="仿宋"/>
          <w:sz w:val="24"/>
        </w:rPr>
        <w:t xml:space="preserve">1）具备补充监测条件的，根据相关要求，乙方应对非正常运行水站开展补充监测。补测的数据应满足相关质控要求，并应在规定的时间内上传平台，否则按无效数据处理。</w:t>
      </w:r>
      <w:r/>
    </w:p>
    <w:p>
      <w:pPr>
        <w:ind w:firstLine="480"/>
        <w:widowControl/>
        <w:rPr>
          <w:rFonts w:ascii="仿宋" w:hAnsi="仿宋" w:eastAsia="仿宋" w:cs="仿宋"/>
          <w:sz w:val="24"/>
        </w:rPr>
      </w:pPr>
      <w:r>
        <w:rPr>
          <w:rFonts w:hint="eastAsia" w:ascii="仿宋" w:hAnsi="仿宋" w:eastAsia="仿宋" w:cs="仿宋"/>
          <w:sz w:val="24"/>
        </w:rPr>
        <w:t xml:space="preserve">计算公式：</w:t>
      </w:r>
      <w:r/>
    </w:p>
    <w:p>
      <w:pPr>
        <w:ind w:firstLine="480"/>
        <w:widowControl/>
        <w:rPr>
          <w:rFonts w:ascii="仿宋" w:hAnsi="仿宋" w:eastAsia="仿宋" w:cs="仿宋"/>
          <w:sz w:val="24"/>
        </w:rPr>
      </w:pPr>
      <w:r>
        <w:rPr>
          <w:rFonts w:hint="eastAsia" w:ascii="仿宋" w:hAnsi="仿宋" w:eastAsia="仿宋" w:cs="仿宋"/>
          <w:sz w:val="24"/>
        </w:rPr>
        <w:t xml:space="preserve">非正常运行期间数据有效率=（实际补测数据-无效数据）/应补测数据*100%</w:t>
      </w:r>
      <w:r/>
    </w:p>
    <w:p>
      <w:pPr>
        <w:ind w:firstLine="480"/>
        <w:widowControl/>
        <w:rPr>
          <w:rFonts w:ascii="仿宋" w:hAnsi="仿宋" w:eastAsia="仿宋" w:cs="仿宋"/>
          <w:sz w:val="24"/>
        </w:rPr>
      </w:pPr>
      <w:r>
        <w:rPr>
          <w:rFonts w:hint="eastAsia" w:ascii="仿宋" w:hAnsi="仿宋" w:eastAsia="仿宋" w:cs="仿宋"/>
          <w:sz w:val="24"/>
        </w:rPr>
        <w:t xml:space="preserve">2）不具备补充监测条件的，乙方应保证仪器设备及环境设施设备的安全，并关注现场环境变化，具备条件后应及时恢复运行。</w:t>
      </w:r>
      <w:r/>
    </w:p>
    <w:p>
      <w:pPr>
        <w:ind w:firstLine="480"/>
        <w:widowControl/>
        <w:rPr>
          <w:rFonts w:ascii="仿宋" w:hAnsi="仿宋" w:eastAsia="仿宋" w:cs="仿宋"/>
          <w:sz w:val="24"/>
        </w:rPr>
      </w:pPr>
      <w:r>
        <w:rPr>
          <w:rFonts w:hint="eastAsia" w:ascii="仿宋" w:hAnsi="仿宋" w:eastAsia="仿宋" w:cs="仿宋"/>
          <w:sz w:val="24"/>
        </w:rPr>
        <w:t xml:space="preserve">2.考核周期内运维费计算</w:t>
      </w:r>
      <w:r/>
    </w:p>
    <w:p>
      <w:pPr>
        <w:ind w:firstLine="480"/>
        <w:widowControl/>
        <w:rPr>
          <w:rFonts w:ascii="仿宋" w:hAnsi="仿宋" w:eastAsia="仿宋" w:cs="仿宋"/>
          <w:sz w:val="24"/>
        </w:rPr>
      </w:pPr>
      <w:r>
        <w:rPr>
          <w:rFonts w:hint="eastAsia" w:ascii="仿宋" w:hAnsi="仿宋" w:eastAsia="仿宋" w:cs="仿宋"/>
          <w:sz w:val="24"/>
        </w:rPr>
        <w:t xml:space="preserve">（1）参与考核的项目为站房内包含的所有监测项目。</w:t>
      </w:r>
      <w:r/>
    </w:p>
    <w:p>
      <w:pPr>
        <w:ind w:firstLine="480"/>
        <w:widowControl/>
        <w:rPr>
          <w:rFonts w:ascii="仿宋" w:hAnsi="仿宋" w:eastAsia="仿宋" w:cs="仿宋"/>
          <w:sz w:val="24"/>
        </w:rPr>
      </w:pPr>
      <w:r>
        <w:rPr>
          <w:rFonts w:hint="eastAsia" w:ascii="仿宋" w:hAnsi="仿宋" w:eastAsia="仿宋" w:cs="仿宋"/>
          <w:sz w:val="24"/>
        </w:rPr>
        <w:t xml:space="preserve">1）单站考核周期内监测数据有效率高于90%（含），不扣款。</w:t>
      </w:r>
      <w:r/>
    </w:p>
    <w:p>
      <w:pPr>
        <w:ind w:firstLine="480"/>
        <w:rPr>
          <w:rFonts w:ascii="仿宋" w:hAnsi="仿宋" w:eastAsia="仿宋" w:cs="仿宋"/>
          <w:sz w:val="24"/>
        </w:rPr>
      </w:pPr>
      <w:r>
        <w:rPr>
          <w:rFonts w:hint="eastAsia" w:ascii="仿宋" w:hAnsi="仿宋" w:eastAsia="仿宋" w:cs="仿宋"/>
          <w:sz w:val="24"/>
        </w:rPr>
        <w:t xml:space="preserve">2）当单站考核周期内监测数据有效率在80%（含）～90%（不含），扣除该考核周期运维费的10%，并责令整改。</w:t>
      </w:r>
      <w:r/>
    </w:p>
    <w:p>
      <w:pPr>
        <w:ind w:firstLine="480"/>
        <w:rPr>
          <w:rFonts w:ascii="仿宋" w:hAnsi="仿宋" w:eastAsia="仿宋" w:cs="仿宋"/>
          <w:sz w:val="24"/>
        </w:rPr>
      </w:pPr>
      <w:r>
        <w:rPr>
          <w:rFonts w:hint="eastAsia" w:ascii="仿宋" w:hAnsi="仿宋" w:eastAsia="仿宋" w:cs="仿宋"/>
          <w:sz w:val="24"/>
        </w:rPr>
        <w:t xml:space="preserve">3）当单站考核周期内监测数据有效率在70%（含）～80%（不含），扣除该考核周期运维费30%，并责令整改。</w:t>
      </w:r>
      <w:r/>
    </w:p>
    <w:p>
      <w:pPr>
        <w:ind w:firstLine="480"/>
        <w:widowControl/>
        <w:rPr>
          <w:rFonts w:ascii="仿宋" w:hAnsi="仿宋" w:eastAsia="仿宋" w:cs="仿宋"/>
          <w:sz w:val="24"/>
        </w:rPr>
      </w:pPr>
      <w:r>
        <w:rPr>
          <w:rFonts w:hint="eastAsia" w:ascii="仿宋" w:hAnsi="仿宋" w:eastAsia="仿宋" w:cs="仿宋"/>
          <w:sz w:val="24"/>
        </w:rPr>
        <w:t xml:space="preserve">4）上述1）～3）所列条款中，当单站考核周期内监测数据有效率不低于70%，但单参数考核周期内监测数据有效率低于70%的情形时，增扣该参数考核周期运维费50%，并责令整改。</w:t>
      </w:r>
      <w:r/>
    </w:p>
    <w:p>
      <w:pPr>
        <w:ind w:left="279" w:firstLine="307"/>
        <w:widowControl/>
        <w:rPr>
          <w:sz w:val="24"/>
        </w:rPr>
      </w:pPr>
      <w:r>
        <w:rPr>
          <w:rFonts w:hint="eastAsia" w:ascii="仿宋" w:hAnsi="仿宋" w:eastAsia="仿宋" w:cs="仿宋"/>
          <w:sz w:val="24"/>
        </w:rPr>
        <w:t xml:space="preserve">5）当单站考核周期内监测数据有效率低于70%，扣除该考核周期全部运维费。</w:t>
      </w:r>
      <w:r/>
    </w:p>
    <w:p>
      <w:pPr>
        <w:ind w:left="279" w:firstLine="307"/>
        <w:widowControl/>
        <w:rPr>
          <w:rFonts w:ascii="仿宋" w:hAnsi="仿宋" w:eastAsia="仿宋" w:cs="仿宋"/>
          <w:sz w:val="24"/>
        </w:rPr>
      </w:pPr>
      <w:r>
        <w:rPr>
          <w:rFonts w:hint="eastAsia" w:ascii="仿宋" w:hAnsi="仿宋" w:eastAsia="仿宋" w:cs="仿宋"/>
          <w:sz w:val="24"/>
        </w:rPr>
        <w:t xml:space="preserve">3.水质预警</w:t>
      </w:r>
      <w:r/>
    </w:p>
    <w:p>
      <w:pPr>
        <w:contextualSpacing/>
        <w:ind w:firstLine="420"/>
        <w:tabs>
          <w:tab w:val="left" w:pos="2280" w:leader="none"/>
        </w:tabs>
        <w:rPr>
          <w:rFonts w:ascii="仿宋" w:hAnsi="仿宋" w:eastAsia="仿宋" w:cs="仿宋"/>
          <w:sz w:val="24"/>
        </w:rPr>
      </w:pPr>
      <w:r>
        <w:rPr>
          <w:rFonts w:hint="eastAsia" w:ascii="仿宋" w:hAnsi="仿宋" w:eastAsia="仿宋" w:cs="仿宋"/>
          <w:sz w:val="24"/>
        </w:rPr>
        <w:t xml:space="preserve">乙方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ind w:firstLine="480"/>
        <w:widowControl/>
        <w:rPr>
          <w:rFonts w:ascii="仿宋" w:hAnsi="仿宋" w:eastAsia="仿宋" w:cs="仿宋"/>
          <w:sz w:val="24"/>
        </w:rPr>
      </w:pPr>
      <w:r>
        <w:rPr>
          <w:rFonts w:hint="eastAsia" w:ascii="仿宋" w:hAnsi="仿宋" w:eastAsia="仿宋" w:cs="仿宋"/>
          <w:sz w:val="24"/>
        </w:rPr>
        <w:t xml:space="preserve">4.盲样和实际水样比对考核</w:t>
      </w:r>
      <w:r/>
    </w:p>
    <w:p>
      <w:pPr>
        <w:ind w:firstLine="480"/>
        <w:widowControl/>
        <w:rPr>
          <w:rFonts w:ascii="仿宋" w:hAnsi="仿宋" w:eastAsia="仿宋" w:cs="仿宋"/>
          <w:sz w:val="24"/>
        </w:rPr>
      </w:pPr>
      <w:r>
        <w:rPr>
          <w:rFonts w:hint="eastAsia" w:ascii="仿宋" w:hAnsi="仿宋" w:eastAsia="仿宋" w:cs="仿宋"/>
          <w:sz w:val="24"/>
        </w:rPr>
        <w:t xml:space="preserve">乙方应按照甲方相关要求配合开展盲样和实际水样比对考核工作。每出现1个盲样考核不合格的扣除运维费500元，如6个月内同一站点同一参数2次不合格的额外扣除运维费1000元；实际水样比对未通过的，要自行送有资质的实验室再次比对并进行原因分析。</w:t>
      </w:r>
      <w:r/>
    </w:p>
    <w:p>
      <w:pPr>
        <w:ind w:firstLine="480"/>
        <w:widowControl/>
        <w:rPr>
          <w:rFonts w:ascii="仿宋" w:hAnsi="仿宋" w:eastAsia="仿宋" w:cs="仿宋"/>
          <w:sz w:val="24"/>
        </w:rPr>
      </w:pPr>
      <w:r>
        <w:rPr>
          <w:rFonts w:hint="eastAsia" w:ascii="仿宋" w:hAnsi="仿宋" w:eastAsia="仿宋" w:cs="仿宋"/>
          <w:sz w:val="24"/>
        </w:rPr>
        <w:t xml:space="preserve">5.固定技术人员管理</w:t>
      </w:r>
      <w:r/>
    </w:p>
    <w:p>
      <w:pPr>
        <w:ind w:firstLine="480"/>
        <w:widowControl/>
        <w:rPr>
          <w:rFonts w:ascii="仿宋" w:hAnsi="仿宋" w:eastAsia="仿宋" w:cs="仿宋"/>
          <w:sz w:val="24"/>
        </w:rPr>
      </w:pPr>
      <w:r>
        <w:rPr>
          <w:rFonts w:hint="eastAsia" w:ascii="仿宋" w:hAnsi="仿宋" w:eastAsia="仿宋" w:cs="仿宋"/>
          <w:sz w:val="24"/>
        </w:rPr>
        <w:t xml:space="preserve">在项目实施过程中，运维单位乙方应安排符合甲方要求的固定技术人员，服务期内应在甲方指定地点配合开展相关工作，不得随意更换人员。甲方定期对人员进行考核，人员不胜任工作需求或出现工作失误或违反保密工作规定的甲方有权要求更换，并根据情况在0.05～0.2万元范围内酌情扣款。</w:t>
      </w:r>
      <w:r/>
    </w:p>
    <w:p>
      <w:pPr>
        <w:ind w:firstLine="480"/>
        <w:widowControl/>
        <w:rPr>
          <w:rFonts w:ascii="仿宋" w:hAnsi="仿宋" w:eastAsia="仿宋" w:cs="仿宋"/>
          <w:sz w:val="24"/>
        </w:rPr>
      </w:pPr>
      <w:r>
        <w:rPr>
          <w:rFonts w:hint="eastAsia" w:ascii="仿宋" w:hAnsi="仿宋" w:eastAsia="仿宋" w:cs="仿宋"/>
          <w:sz w:val="24"/>
        </w:rPr>
        <w:t xml:space="preserve">6.固定资产及备品备件管理</w:t>
      </w:r>
      <w:r/>
    </w:p>
    <w:p>
      <w:pPr>
        <w:ind w:firstLine="480"/>
        <w:widowControl/>
        <w:rPr>
          <w:rFonts w:ascii="仿宋" w:hAnsi="仿宋" w:eastAsia="仿宋" w:cs="仿宋"/>
          <w:sz w:val="24"/>
        </w:rPr>
      </w:pPr>
      <w:r>
        <w:rPr>
          <w:rFonts w:hint="eastAsia" w:ascii="仿宋" w:hAnsi="仿宋" w:eastAsia="仿宋" w:cs="仿宋"/>
          <w:sz w:val="24"/>
        </w:rPr>
        <w:t xml:space="preserve">合同到期解除后或因监测事权上收及考核原因终止合同时，甲方将对自动站进行含仪器性能测试在类的综合评估，若达不到相关技术规范要求，将限期由运维单位进行修复或由新的托管方进行修复（特殊情况除外），并由新的托管方进行验收，所需费用由乙方承担；如乙方不配合甲方工作，拒绝对自动站仪器进行修复或支付费用的，甲方有权在运维费结算时根据情况在0.05～0.2万元范围内进行款项扣除。</w:t>
      </w:r>
      <w:r/>
    </w:p>
    <w:p>
      <w:pPr>
        <w:ind w:firstLine="480"/>
        <w:widowControl/>
        <w:rPr>
          <w:rFonts w:ascii="仿宋" w:hAnsi="仿宋" w:eastAsia="仿宋" w:cs="仿宋"/>
          <w:sz w:val="24"/>
        </w:rPr>
      </w:pPr>
      <w:r>
        <w:rPr>
          <w:rFonts w:hint="eastAsia" w:ascii="仿宋" w:hAnsi="仿宋" w:eastAsia="仿宋" w:cs="仿宋"/>
          <w:sz w:val="24"/>
        </w:rPr>
        <w:t xml:space="preserve">7.运行维护规范性</w:t>
      </w:r>
      <w:r/>
    </w:p>
    <w:p>
      <w:pPr>
        <w:ind w:firstLine="480"/>
        <w:widowControl/>
        <w:rPr>
          <w:rFonts w:ascii="仿宋" w:hAnsi="仿宋" w:eastAsia="仿宋" w:cs="仿宋"/>
          <w:sz w:val="24"/>
        </w:rPr>
      </w:pPr>
      <w:r>
        <w:rPr>
          <w:rFonts w:hint="eastAsia" w:ascii="仿宋" w:hAnsi="仿宋" w:eastAsia="仿宋" w:cs="仿宋"/>
          <w:sz w:val="24"/>
        </w:rPr>
        <w:t xml:space="preserve">经甲方认定，乙方存在下列情形的，将根据相应规定进行扣款：</w:t>
      </w:r>
      <w:r/>
    </w:p>
    <w:p>
      <w:pPr>
        <w:ind w:firstLine="480"/>
        <w:widowControl/>
        <w:rPr>
          <w:rFonts w:ascii="仿宋" w:hAnsi="仿宋" w:eastAsia="仿宋" w:cs="仿宋"/>
          <w:sz w:val="24"/>
        </w:rPr>
      </w:pPr>
      <w:r>
        <w:rPr>
          <w:rFonts w:hint="eastAsia" w:ascii="仿宋" w:hAnsi="仿宋" w:eastAsia="仿宋" w:cs="仿宋"/>
          <w:sz w:val="24"/>
        </w:rPr>
        <w:t xml:space="preserve">（1）每月存在以下情形时，一经查实，扣款0.02万元/次/站。</w:t>
      </w:r>
      <w:r/>
    </w:p>
    <w:p>
      <w:pPr>
        <w:numPr>
          <w:ilvl w:val="0"/>
          <w:numId w:val="4"/>
        </w:numPr>
        <w:ind w:firstLine="480"/>
        <w:widowControl/>
        <w:rPr>
          <w:rFonts w:ascii="仿宋" w:hAnsi="仿宋" w:eastAsia="仿宋" w:cs="仿宋"/>
          <w:sz w:val="24"/>
        </w:rPr>
      </w:pPr>
      <w:r>
        <w:rPr>
          <w:rFonts w:hint="eastAsia" w:ascii="仿宋" w:hAnsi="仿宋" w:eastAsia="仿宋" w:cs="仿宋"/>
          <w:sz w:val="24"/>
        </w:rPr>
        <w:t xml:space="preserve">甲方应在每天（含节假日）10时前，在相关数据监控平台完成各站点前一日原始小时值数据审核及复核工作（当天因网络故障等原因未能完成数据审核报送的，应及时告知甲方）。</w:t>
      </w:r>
      <w:r/>
    </w:p>
    <w:p>
      <w:pPr>
        <w:ind w:firstLine="480"/>
        <w:widowControl/>
        <w:rPr>
          <w:rFonts w:ascii="仿宋" w:hAnsi="仿宋" w:eastAsia="仿宋" w:cs="仿宋"/>
          <w:sz w:val="24"/>
        </w:rPr>
      </w:pPr>
      <w:r>
        <w:rPr>
          <w:rFonts w:hint="eastAsia" w:ascii="仿宋" w:hAnsi="仿宋" w:eastAsia="仿宋" w:cs="仿宋"/>
          <w:sz w:val="24"/>
        </w:rPr>
        <w:t xml:space="preserve">2）乙方未按要求进行例行维护，定期完成试剂更换、仪器校准、核查等维护工作的（详见上表4、表5、表6中具体考核要求）</w:t>
      </w:r>
      <w:r/>
    </w:p>
    <w:p>
      <w:pPr>
        <w:ind w:firstLine="480"/>
        <w:widowControl/>
        <w:rPr>
          <w:rFonts w:ascii="仿宋" w:hAnsi="仿宋" w:eastAsia="仿宋" w:cs="仿宋"/>
          <w:sz w:val="24"/>
        </w:rPr>
      </w:pPr>
      <w:r>
        <w:rPr>
          <w:rFonts w:hint="eastAsia" w:ascii="仿宋" w:hAnsi="仿宋" w:eastAsia="仿宋" w:cs="仿宋"/>
          <w:sz w:val="24"/>
        </w:rPr>
        <w:t xml:space="preserve">3）发现非运维人员进入站房，未及时制止并上报甲方的。</w:t>
      </w:r>
      <w:r/>
    </w:p>
    <w:p>
      <w:pPr>
        <w:ind w:firstLine="480"/>
        <w:widowControl/>
        <w:rPr>
          <w:rFonts w:ascii="仿宋" w:hAnsi="仿宋" w:eastAsia="仿宋" w:cs="仿宋"/>
          <w:sz w:val="24"/>
        </w:rPr>
      </w:pPr>
      <w:r>
        <w:rPr>
          <w:rFonts w:hint="eastAsia" w:ascii="仿宋" w:hAnsi="仿宋" w:eastAsia="仿宋" w:cs="仿宋"/>
          <w:sz w:val="24"/>
        </w:rPr>
        <w:t xml:space="preserve">4）分析仪器监测结果出现异常，但未及时响应并未采取有效措施的。</w:t>
      </w:r>
      <w:r/>
    </w:p>
    <w:p>
      <w:pPr>
        <w:ind w:firstLine="480"/>
        <w:widowControl/>
        <w:rPr>
          <w:rFonts w:ascii="仿宋" w:hAnsi="仿宋" w:eastAsia="仿宋" w:cs="仿宋"/>
          <w:sz w:val="24"/>
        </w:rPr>
      </w:pPr>
      <w:r>
        <w:rPr>
          <w:rFonts w:hint="eastAsia" w:ascii="仿宋" w:hAnsi="仿宋" w:eastAsia="仿宋" w:cs="仿宋"/>
          <w:sz w:val="24"/>
        </w:rPr>
        <w:t xml:space="preserve">5）未按要求进行运维记录填写或填写不规范的。</w:t>
      </w:r>
      <w:r/>
    </w:p>
    <w:p>
      <w:pPr>
        <w:ind w:firstLine="480"/>
        <w:widowControl/>
        <w:rPr>
          <w:rFonts w:ascii="仿宋" w:hAnsi="仿宋" w:eastAsia="仿宋" w:cs="仿宋"/>
          <w:sz w:val="24"/>
        </w:rPr>
      </w:pPr>
      <w:r>
        <w:rPr>
          <w:rFonts w:hint="eastAsia" w:ascii="仿宋" w:hAnsi="仿宋" w:eastAsia="仿宋" w:cs="仿宋"/>
          <w:sz w:val="24"/>
        </w:rPr>
        <w:t xml:space="preserve">6）未定期进行站房、采水口及采水构筑物、采水管路、辅助设备设施等进行维护工作的。</w:t>
      </w:r>
      <w:r/>
    </w:p>
    <w:p>
      <w:pPr>
        <w:ind w:firstLine="480"/>
        <w:widowControl/>
        <w:rPr>
          <w:rFonts w:ascii="华文彩云" w:hAnsi="宋体" w:eastAsia="仿宋"/>
          <w:bCs/>
          <w:color w:val="000000"/>
          <w:sz w:val="24"/>
        </w:rPr>
      </w:pPr>
      <w:r>
        <w:rPr>
          <w:rFonts w:hint="eastAsia" w:ascii="仿宋" w:hAnsi="仿宋" w:eastAsia="仿宋" w:cs="仿宋"/>
          <w:bCs/>
          <w:color w:val="000000"/>
          <w:sz w:val="24"/>
        </w:rPr>
        <w:t xml:space="preserve">7）</w:t>
      </w:r>
      <w:r>
        <w:rPr>
          <w:rFonts w:hint="eastAsia" w:ascii="华文彩云" w:hAnsi="宋体" w:eastAsia="仿宋"/>
          <w:bCs/>
          <w:color w:val="000000"/>
          <w:sz w:val="24"/>
        </w:rPr>
        <w:t xml:space="preserve">未按要求及时间节点提供每月运维报告或相关台账资料的.</w:t>
      </w:r>
      <w:r/>
    </w:p>
    <w:p>
      <w:pPr>
        <w:ind w:firstLine="480"/>
        <w:widowControl/>
        <w:rPr>
          <w:rFonts w:ascii="仿宋" w:hAnsi="仿宋" w:eastAsia="仿宋" w:cs="仿宋"/>
          <w:sz w:val="24"/>
        </w:rPr>
      </w:pPr>
      <w:r>
        <w:rPr>
          <w:rFonts w:hint="eastAsia" w:ascii="仿宋" w:hAnsi="仿宋" w:eastAsia="仿宋" w:cs="仿宋"/>
          <w:sz w:val="24"/>
        </w:rPr>
        <w:t xml:space="preserve">8）存在其他不符合相关管理技术规范等要求的情形（可参照</w:t>
      </w:r>
      <w:r>
        <w:rPr>
          <w:rFonts w:hint="eastAsia" w:ascii="仿宋" w:hAnsi="仿宋" w:eastAsia="仿宋" w:cs="仿宋"/>
          <w:sz w:val="24"/>
          <w:lang w:val="zh-CN"/>
        </w:rPr>
        <w:t xml:space="preserve">《南通市环境质量自动监测设施运维管理办法（试行）》中相关要求</w:t>
      </w:r>
      <w:r>
        <w:rPr>
          <w:rFonts w:hint="eastAsia" w:ascii="仿宋" w:hAnsi="仿宋" w:eastAsia="仿宋" w:cs="仿宋"/>
          <w:sz w:val="24"/>
        </w:rPr>
        <w:t xml:space="preserve">）。 </w:t>
      </w:r>
      <w:r/>
    </w:p>
    <w:p>
      <w:pPr>
        <w:ind w:firstLine="240"/>
        <w:widowControl/>
        <w:rPr>
          <w:rFonts w:ascii="仿宋" w:hAnsi="仿宋" w:eastAsia="仿宋" w:cs="仿宋"/>
          <w:sz w:val="24"/>
        </w:rPr>
      </w:pPr>
      <w:r>
        <w:rPr>
          <w:rFonts w:hint="eastAsia" w:ascii="仿宋" w:hAnsi="仿宋" w:eastAsia="仿宋" w:cs="仿宋"/>
          <w:sz w:val="24"/>
        </w:rPr>
        <w:t xml:space="preserve">（2）发现监测点位出现未经批准的变更，未及时上报的，扣除运维费0.5万元。</w:t>
      </w:r>
      <w:r/>
    </w:p>
    <w:p>
      <w:pPr>
        <w:ind w:firstLine="240"/>
        <w:widowControl/>
        <w:rPr>
          <w:rFonts w:ascii="仿宋" w:hAnsi="仿宋" w:eastAsia="仿宋" w:cs="仿宋"/>
          <w:sz w:val="24"/>
        </w:rPr>
      </w:pPr>
      <w:r>
        <w:rPr>
          <w:rFonts w:hint="eastAsia" w:ascii="仿宋" w:hAnsi="仿宋" w:eastAsia="仿宋" w:cs="仿宋"/>
          <w:sz w:val="24"/>
        </w:rPr>
        <w:t xml:space="preserve">（3）乙方未及时发现应当发现的人为干扰情形、或故意隐瞒不报人为干扰情形等的，扣除运维费0.5万元。</w:t>
      </w:r>
      <w:r/>
    </w:p>
    <w:p>
      <w:pPr>
        <w:ind w:firstLine="240"/>
        <w:widowControl/>
        <w:rPr>
          <w:rFonts w:ascii="仿宋" w:hAnsi="仿宋" w:eastAsia="仿宋" w:cs="仿宋"/>
          <w:sz w:val="24"/>
        </w:rPr>
      </w:pPr>
      <w:r>
        <w:rPr>
          <w:rFonts w:hint="eastAsia" w:ascii="仿宋" w:hAnsi="仿宋" w:eastAsia="仿宋" w:cs="仿宋"/>
          <w:sz w:val="24"/>
        </w:rPr>
        <w:t xml:space="preserve">（4）常规参数（水温、pH值、溶解氧、电导率、浊度、氨氮、高锰酸盐指数、总磷、总氮），设备故障，未在48h内修复或启用备机替换的，每出现1次超期未解决情况扣除运维费0.3万元/参数。VOC、挥发酚、生物毒性、TOC、叶绿素、蓝绿藻设备故障后及时给出维修方案，并对接厂家工程师进行维修，未及时解决导致设备长时间停运的（停运超过两周），按停运天数扣除相应运维费。</w:t>
      </w:r>
      <w:r/>
    </w:p>
    <w:p>
      <w:pPr>
        <w:ind w:firstLine="240"/>
        <w:widowControl/>
        <w:rPr>
          <w:rFonts w:ascii="仿宋" w:hAnsi="仿宋" w:eastAsia="仿宋" w:cs="仿宋"/>
          <w:sz w:val="24"/>
        </w:rPr>
      </w:pPr>
      <w:r>
        <w:rPr>
          <w:rFonts w:hint="eastAsia" w:ascii="仿宋" w:hAnsi="仿宋" w:eastAsia="仿宋" w:cs="仿宋"/>
          <w:sz w:val="24"/>
        </w:rPr>
        <w:t xml:space="preserve">（5）经甲方认定，乙方使用虚假信息进行停运申请和操作的，扣除该站点当月全部运维费。</w:t>
      </w:r>
      <w:r/>
    </w:p>
    <w:p>
      <w:pPr>
        <w:ind w:firstLine="240"/>
        <w:widowControl/>
        <w:rPr>
          <w:rFonts w:ascii="仿宋" w:hAnsi="仿宋" w:eastAsia="仿宋" w:cs="仿宋"/>
          <w:sz w:val="24"/>
        </w:rPr>
      </w:pPr>
      <w:r>
        <w:rPr>
          <w:rFonts w:hint="eastAsia" w:ascii="仿宋" w:hAnsi="仿宋" w:eastAsia="仿宋" w:cs="仿宋"/>
          <w:sz w:val="24"/>
        </w:rPr>
        <w:t xml:space="preserve">（6）存在其他违反约定或相关规范及甲方要求的情形，甲方根据实际情况在0.05～0.2万元范围内酌情扣款。</w:t>
      </w:r>
      <w:r/>
    </w:p>
    <w:p>
      <w:pPr>
        <w:ind w:firstLine="480"/>
        <w:widowControl/>
        <w:rPr>
          <w:sz w:val="24"/>
        </w:rPr>
      </w:pPr>
      <w:r>
        <w:rPr>
          <w:rFonts w:hint="eastAsia" w:ascii="仿宋" w:hAnsi="仿宋" w:eastAsia="仿宋" w:cs="仿宋"/>
          <w:sz w:val="24"/>
        </w:rPr>
        <w:t xml:space="preserve">8.水站停运期间，若未按照要求补测，每少测一个项目/站点扣除运维费0.02万元。如一个水站停运，该水站所有补测项目均按要求进行（人工在采水口取水，送至水站自动监测仪器进行分析）或送至实验室进行分析，且所有的补测项目均按照要求完成，则正常支付该水站运维护费用。补测的数据应满足相关质控要求，并应在规定的时间内上传相关平台，否则按无效数据处理。当水站不具备停运补测条件时，乙方需每10天对水站的仪器设备进行一次开机维护，则支付该站房停运期间运维费用的30%（提供相关证明材料，证明对水站进行了开机维护工作）。</w:t>
      </w:r>
      <w:r/>
    </w:p>
    <w:p>
      <w:pPr>
        <w:ind w:firstLine="480"/>
        <w:widowControl/>
        <w:rPr>
          <w:rFonts w:ascii="仿宋" w:hAnsi="仿宋" w:eastAsia="仿宋" w:cs="仿宋"/>
          <w:sz w:val="24"/>
        </w:rPr>
      </w:pPr>
      <w:r>
        <w:rPr>
          <w:rFonts w:hint="eastAsia" w:ascii="仿宋" w:hAnsi="仿宋" w:eastAsia="仿宋" w:cs="仿宋"/>
          <w:sz w:val="24"/>
        </w:rPr>
        <w:t xml:space="preserve">3.其他规定</w:t>
      </w:r>
      <w:r/>
    </w:p>
    <w:p>
      <w:pPr>
        <w:ind w:firstLine="480"/>
        <w:widowControl/>
        <w:rPr>
          <w:rFonts w:ascii="仿宋" w:hAnsi="仿宋" w:eastAsia="仿宋" w:cs="仿宋"/>
          <w:sz w:val="24"/>
        </w:rPr>
      </w:pPr>
      <w:r>
        <w:rPr>
          <w:rFonts w:hint="eastAsia" w:ascii="仿宋" w:hAnsi="仿宋" w:eastAsia="仿宋" w:cs="仿宋"/>
          <w:sz w:val="24"/>
        </w:rPr>
        <w:t xml:space="preserve">（1）运维交接</w:t>
      </w:r>
      <w:r/>
    </w:p>
    <w:p>
      <w:pPr>
        <w:ind w:firstLine="480"/>
        <w:widowControl/>
        <w:rPr>
          <w:rFonts w:ascii="仿宋" w:hAnsi="仿宋" w:eastAsia="仿宋" w:cs="仿宋"/>
          <w:sz w:val="24"/>
        </w:rPr>
      </w:pPr>
      <w:r>
        <w:rPr>
          <w:rFonts w:hint="eastAsia" w:ascii="仿宋" w:hAnsi="仿宋" w:eastAsia="仿宋" w:cs="仿宋"/>
          <w:sz w:val="24"/>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w:t>
      </w:r>
      <w:r/>
    </w:p>
    <w:p>
      <w:pPr>
        <w:ind w:firstLine="480"/>
        <w:widowControl/>
        <w:rPr>
          <w:rFonts w:ascii="仿宋" w:hAnsi="仿宋" w:eastAsia="仿宋" w:cs="仿宋"/>
          <w:sz w:val="24"/>
        </w:rPr>
      </w:pPr>
      <w:r>
        <w:rPr>
          <w:rFonts w:hint="eastAsia" w:ascii="仿宋" w:hAnsi="仿宋" w:eastAsia="仿宋" w:cs="仿宋"/>
          <w:sz w:val="24"/>
        </w:rPr>
        <w:t xml:space="preserve">（2）弄虚作假</w:t>
      </w:r>
      <w:r/>
    </w:p>
    <w:p>
      <w:pPr>
        <w:ind w:firstLine="480"/>
        <w:widowControl/>
        <w:rPr>
          <w:rFonts w:ascii="仿宋" w:hAnsi="仿宋" w:eastAsia="仿宋" w:cs="仿宋"/>
          <w:sz w:val="24"/>
        </w:rPr>
      </w:pPr>
      <w:r>
        <w:rPr>
          <w:rFonts w:hint="eastAsia" w:ascii="仿宋" w:hAnsi="仿宋" w:eastAsia="仿宋" w:cs="仿宋"/>
          <w:sz w:val="24"/>
        </w:rPr>
        <w:t xml:space="preserve">乙方及其人员实施或参与以下情形的，按弄虚作假处理，一经查实，扣除该站当月运维费，同时采取约谈、通报批评、解除合同等处罚，违反法律法规的，将交由相关部门依法处理。</w:t>
      </w:r>
      <w:r/>
    </w:p>
    <w:p>
      <w:pPr>
        <w:ind w:firstLine="480"/>
        <w:widowControl/>
        <w:rPr>
          <w:rFonts w:ascii="仿宋" w:hAnsi="仿宋" w:eastAsia="仿宋" w:cs="仿宋"/>
          <w:sz w:val="24"/>
        </w:rPr>
      </w:pPr>
      <w:r>
        <w:rPr>
          <w:rFonts w:hint="eastAsia" w:ascii="仿宋" w:hAnsi="仿宋" w:eastAsia="仿宋" w:cs="仿宋"/>
          <w:sz w:val="24"/>
        </w:rPr>
        <w:t xml:space="preserve">1）存在《环境监测数据弄虚作假行为判定及处理办法》中认定的篡改、伪造或者指使篡改、伪造监测数据行为的。</w:t>
      </w:r>
      <w:r/>
    </w:p>
    <w:p>
      <w:pPr>
        <w:ind w:firstLine="480"/>
        <w:widowControl/>
        <w:rPr>
          <w:rFonts w:ascii="仿宋" w:hAnsi="仿宋" w:eastAsia="仿宋" w:cs="仿宋"/>
          <w:sz w:val="24"/>
        </w:rPr>
      </w:pPr>
      <w:r>
        <w:rPr>
          <w:rFonts w:hint="eastAsia" w:ascii="仿宋" w:hAnsi="仿宋" w:eastAsia="仿宋" w:cs="仿宋"/>
          <w:sz w:val="24"/>
        </w:rPr>
        <w:t xml:space="preserve">2）存在关键参数虚假报备，或实际关键参数超出备案范围，对数据造成严重影响的。</w:t>
      </w:r>
      <w:r/>
    </w:p>
    <w:p>
      <w:pPr>
        <w:ind w:firstLine="480"/>
        <w:widowControl/>
        <w:rPr>
          <w:rFonts w:ascii="仿宋" w:hAnsi="仿宋" w:eastAsia="仿宋" w:cs="仿宋"/>
          <w:sz w:val="24"/>
        </w:rPr>
      </w:pPr>
      <w:r>
        <w:rPr>
          <w:rFonts w:hint="eastAsia" w:ascii="仿宋" w:hAnsi="仿宋" w:eastAsia="仿宋" w:cs="仿宋"/>
          <w:sz w:val="24"/>
        </w:rPr>
        <w:t xml:space="preserve">3）随意更改预处理装置，实际预处理方式及其启用/停用与报备方式不一致的。</w:t>
      </w:r>
      <w:r/>
    </w:p>
    <w:p>
      <w:pPr>
        <w:ind w:firstLine="480"/>
        <w:widowControl/>
        <w:rPr>
          <w:rFonts w:ascii="仿宋" w:hAnsi="仿宋" w:eastAsia="仿宋" w:cs="仿宋"/>
          <w:sz w:val="24"/>
        </w:rPr>
      </w:pPr>
      <w:r>
        <w:rPr>
          <w:rFonts w:hint="eastAsia" w:ascii="仿宋" w:hAnsi="仿宋" w:eastAsia="仿宋" w:cs="仿宋"/>
          <w:sz w:val="24"/>
        </w:rPr>
        <w:t xml:space="preserve">4）实施或参与干扰采水设施和自动监测设施、破坏水质自动监测系统的。</w:t>
      </w:r>
      <w:r/>
    </w:p>
    <w:p>
      <w:pPr>
        <w:ind w:firstLine="480"/>
        <w:widowControl/>
        <w:rPr>
          <w:rFonts w:ascii="仿宋" w:hAnsi="仿宋" w:eastAsia="仿宋" w:cs="仿宋"/>
          <w:sz w:val="24"/>
        </w:rPr>
      </w:pPr>
      <w:r>
        <w:rPr>
          <w:rFonts w:hint="eastAsia" w:ascii="仿宋" w:hAnsi="仿宋" w:eastAsia="仿宋" w:cs="仿宋"/>
          <w:sz w:val="24"/>
        </w:rPr>
        <w:t xml:space="preserve">5）其他造成水质自动监测数据严重失真的情形。</w:t>
      </w:r>
      <w:r/>
    </w:p>
    <w:p>
      <w:pPr>
        <w:ind w:left="482"/>
        <w:rPr>
          <w:rFonts w:ascii="仿宋" w:hAnsi="仿宋" w:eastAsia="仿宋"/>
          <w:b/>
          <w:sz w:val="24"/>
        </w:rPr>
        <w:outlineLvl w:val="1"/>
      </w:pPr>
      <w:r>
        <w:rPr>
          <w:rFonts w:hint="eastAsia" w:ascii="仿宋" w:hAnsi="仿宋" w:eastAsia="仿宋"/>
          <w:b/>
          <w:sz w:val="24"/>
        </w:rPr>
        <w:t xml:space="preserve">第八条  项目管理服务</w:t>
      </w:r>
      <w:bookmarkEnd w:id="53"/>
      <w:r/>
      <w:r/>
    </w:p>
    <w:p>
      <w:pPr>
        <w:ind w:firstLine="480"/>
        <w:rPr>
          <w:rFonts w:ascii="仿宋" w:hAnsi="仿宋" w:eastAsia="仿宋"/>
          <w:sz w:val="24"/>
        </w:rPr>
      </w:pPr>
      <w:r>
        <w:rPr>
          <w:rFonts w:hint="eastAsia" w:ascii="仿宋" w:hAnsi="仿宋" w:eastAsia="仿宋"/>
          <w:sz w:val="24"/>
        </w:rPr>
        <w:t xml:space="preserve">乙方要指定不少于一人全权全程负责本项目服务的落实，包括服务的咨询、执行和后续工作。</w:t>
      </w:r>
      <w:r/>
    </w:p>
    <w:p>
      <w:pPr>
        <w:ind w:firstLine="481"/>
        <w:rPr>
          <w:rFonts w:ascii="仿宋" w:hAnsi="仿宋" w:eastAsia="仿宋"/>
          <w:sz w:val="24"/>
        </w:rPr>
      </w:pPr>
      <w:r>
        <w:rPr>
          <w:rFonts w:ascii="仿宋" w:hAnsi="仿宋" w:eastAsia="仿宋"/>
          <w:sz w:val="24"/>
        </w:rPr>
        <w:t xml:space="preserve">项目负责人</w:t>
      </w:r>
      <w:r>
        <w:rPr>
          <w:rFonts w:hint="eastAsia" w:ascii="仿宋" w:hAnsi="仿宋" w:eastAsia="仿宋"/>
          <w:sz w:val="24"/>
        </w:rPr>
        <w:t xml:space="preserve">姓名</w:t>
      </w:r>
      <w:r>
        <w:rPr>
          <w:rFonts w:ascii="仿宋" w:hAnsi="仿宋" w:eastAsia="仿宋"/>
          <w:sz w:val="24"/>
        </w:rPr>
        <w:t xml:space="preserve">：； 联系电话：。</w:t>
      </w:r>
      <w:r/>
    </w:p>
    <w:p>
      <w:pPr>
        <w:ind w:left="482"/>
        <w:rPr>
          <w:rFonts w:ascii="仿宋_GB2312" w:hAnsi="宋体" w:eastAsia="仿宋_GB2312" w:cs="仿宋_GB2312"/>
          <w:b/>
          <w:sz w:val="24"/>
        </w:rPr>
        <w:outlineLvl w:val="1"/>
      </w:pPr>
      <w:r/>
      <w:bookmarkStart w:id="54" w:name="_Toc20978"/>
      <w:r>
        <w:rPr>
          <w:rFonts w:hint="eastAsia" w:ascii="仿宋" w:hAnsi="仿宋" w:eastAsia="仿宋"/>
          <w:b/>
          <w:sz w:val="24"/>
        </w:rPr>
        <w:t xml:space="preserve">第九条  </w:t>
      </w:r>
      <w:r>
        <w:rPr>
          <w:rFonts w:hint="eastAsia" w:ascii="仿宋_GB2312" w:hAnsi="宋体" w:eastAsia="仿宋_GB2312" w:cs="仿宋_GB2312"/>
          <w:b/>
          <w:sz w:val="24"/>
        </w:rPr>
        <w:t xml:space="preserve">分包</w:t>
      </w:r>
      <w:bookmarkEnd w:id="54"/>
      <w:r/>
      <w:r/>
    </w:p>
    <w:p>
      <w:pPr>
        <w:ind w:firstLine="480"/>
        <w:rPr>
          <w:rFonts w:ascii="仿宋" w:hAnsi="仿宋" w:eastAsia="仿宋" w:cs="仿宋"/>
          <w:sz w:val="24"/>
        </w:rPr>
      </w:pPr>
      <w:r>
        <w:rPr>
          <w:rFonts w:hint="eastAsia" w:ascii="仿宋" w:hAnsi="仿宋" w:eastAsia="仿宋" w:cs="仿宋"/>
          <w:sz w:val="24"/>
        </w:rPr>
        <w:t xml:space="preserve">除采购文件事先说明、且经甲方事先书面同意外，乙方不得分包、转包其应履行的合同义务。</w:t>
      </w:r>
      <w:r/>
    </w:p>
    <w:p>
      <w:pPr>
        <w:ind w:firstLine="482"/>
        <w:rPr>
          <w:rFonts w:ascii="仿宋" w:hAnsi="仿宋" w:eastAsia="仿宋"/>
          <w:b/>
          <w:sz w:val="24"/>
        </w:rPr>
        <w:outlineLvl w:val="1"/>
      </w:pPr>
      <w:r/>
      <w:bookmarkStart w:id="55" w:name="_Toc25820"/>
      <w:r>
        <w:rPr>
          <w:rFonts w:hint="eastAsia" w:ascii="仿宋" w:hAnsi="仿宋" w:eastAsia="仿宋"/>
          <w:b/>
          <w:sz w:val="24"/>
        </w:rPr>
        <w:t xml:space="preserve">第十条  合同的生效</w:t>
      </w:r>
      <w:bookmarkEnd w:id="55"/>
      <w:r/>
      <w:r/>
    </w:p>
    <w:p>
      <w:pPr>
        <w:ind w:firstLine="480"/>
        <w:rPr>
          <w:rFonts w:ascii="仿宋" w:hAnsi="仿宋" w:eastAsia="仿宋"/>
          <w:sz w:val="24"/>
        </w:rPr>
      </w:pPr>
      <w:r>
        <w:rPr>
          <w:rFonts w:hint="eastAsia" w:ascii="仿宋" w:hAnsi="仿宋" w:eastAsia="仿宋"/>
          <w:sz w:val="24"/>
        </w:rPr>
        <w:t xml:space="preserve">1.本合同经甲乙双方授权代表签字并加盖公章或合同专用章后生效。</w:t>
      </w:r>
      <w:r/>
    </w:p>
    <w:p>
      <w:pPr>
        <w:ind w:firstLine="480"/>
        <w:rPr>
          <w:rFonts w:ascii="仿宋" w:hAnsi="仿宋" w:eastAsia="仿宋"/>
          <w:sz w:val="24"/>
        </w:rPr>
      </w:pPr>
      <w:r>
        <w:rPr>
          <w:rFonts w:hint="eastAsia" w:ascii="仿宋" w:hAnsi="仿宋" w:eastAsia="仿宋"/>
          <w:sz w:val="24"/>
        </w:rPr>
        <w:t xml:space="preserve">2.生效后，除《政府采购法》第49条、第50条第二款规定的情形外，甲乙双方不得擅自变更、中止或终止合同。</w:t>
      </w:r>
      <w:r/>
    </w:p>
    <w:p>
      <w:pPr>
        <w:ind w:left="482"/>
        <w:rPr>
          <w:rFonts w:ascii="仿宋" w:hAnsi="仿宋" w:eastAsia="仿宋"/>
          <w:b/>
          <w:sz w:val="24"/>
        </w:rPr>
        <w:outlineLvl w:val="1"/>
      </w:pPr>
      <w:r/>
      <w:bookmarkStart w:id="56" w:name="_Toc26285"/>
      <w:r>
        <w:rPr>
          <w:rFonts w:hint="eastAsia" w:ascii="仿宋" w:hAnsi="仿宋" w:eastAsia="仿宋"/>
          <w:b/>
          <w:sz w:val="24"/>
        </w:rPr>
        <w:t xml:space="preserve">第十一条  违约责任</w:t>
      </w:r>
      <w:bookmarkEnd w:id="56"/>
      <w:r/>
      <w:r/>
    </w:p>
    <w:p>
      <w:pPr>
        <w:ind w:firstLine="480"/>
        <w:rPr>
          <w:rFonts w:ascii="仿宋" w:hAnsi="仿宋" w:eastAsia="仿宋"/>
          <w:sz w:val="24"/>
        </w:rPr>
      </w:pPr>
      <w:r/>
      <w:bookmarkStart w:id="57" w:name="_Toc17019"/>
      <w:r>
        <w:rPr>
          <w:rFonts w:hint="eastAsia" w:ascii="仿宋" w:hAnsi="仿宋" w:eastAsia="仿宋"/>
          <w:sz w:val="24"/>
        </w:rPr>
        <w:t xml:space="preserve">1. 任何一方违反或擅自变更本合作的约定，应当承担由此给对方造成的经济损失和相关责任。</w:t>
      </w:r>
      <w:r/>
    </w:p>
    <w:p>
      <w:pPr>
        <w:ind w:firstLine="480"/>
        <w:rPr>
          <w:rFonts w:ascii="仿宋" w:hAnsi="仿宋" w:eastAsia="仿宋"/>
          <w:sz w:val="24"/>
        </w:rPr>
      </w:pPr>
      <w:r>
        <w:rPr>
          <w:rFonts w:hint="eastAsia" w:ascii="仿宋" w:hAnsi="仿宋" w:eastAsia="仿宋"/>
          <w:sz w:val="24"/>
        </w:rPr>
        <w:t xml:space="preserve">2. 乙方无正当理由，未按时支付派出甲方合作服务人员的工资及办理各种社会保险等福利的，逾期15日以上的，甲乙双方可终止本合作的履行，由此造成的损失和一切法律责任，由乙方自行承担。</w:t>
      </w:r>
      <w:r/>
    </w:p>
    <w:p>
      <w:pPr>
        <w:ind w:firstLine="480"/>
        <w:rPr>
          <w:rFonts w:ascii="仿宋" w:hAnsi="仿宋" w:eastAsia="仿宋"/>
          <w:sz w:val="24"/>
        </w:rPr>
      </w:pPr>
      <w:r>
        <w:rPr>
          <w:rFonts w:hint="eastAsia" w:ascii="仿宋" w:hAnsi="仿宋" w:eastAsia="仿宋"/>
          <w:sz w:val="24"/>
        </w:rPr>
        <w:t xml:space="preserve">4. 甲方无正当理由，未按时支付甲方服务费用而导致乙方的服务人员工资及办理各种社会保险等福利的，逾期15日以上的，甲乙双方可终止本合作的履行，由此造成的损失和一切法律责任，由甲方自行承担。</w:t>
      </w:r>
      <w:r/>
    </w:p>
    <w:p>
      <w:pPr>
        <w:ind w:firstLine="480"/>
        <w:rPr>
          <w:rFonts w:ascii="仿宋" w:hAnsi="仿宋" w:eastAsia="仿宋"/>
          <w:sz w:val="24"/>
        </w:rPr>
      </w:pPr>
      <w:r>
        <w:rPr>
          <w:rFonts w:hint="eastAsia" w:ascii="仿宋" w:hAnsi="仿宋" w:eastAsia="仿宋"/>
          <w:sz w:val="24"/>
        </w:rPr>
        <w:t xml:space="preserve">5. 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ind w:left="482"/>
        <w:rPr>
          <w:rFonts w:ascii="仿宋" w:hAnsi="仿宋" w:eastAsia="仿宋"/>
          <w:b/>
          <w:sz w:val="24"/>
        </w:rPr>
        <w:outlineLvl w:val="1"/>
      </w:pPr>
      <w:r>
        <w:rPr>
          <w:rFonts w:hint="eastAsia" w:ascii="仿宋" w:hAnsi="仿宋" w:eastAsia="仿宋"/>
          <w:b/>
          <w:sz w:val="24"/>
        </w:rPr>
        <w:t xml:space="preserve">第十二条  不可抗力</w:t>
      </w:r>
      <w:bookmarkEnd w:id="57"/>
      <w:r/>
      <w:r/>
    </w:p>
    <w:p>
      <w:pPr>
        <w:ind w:firstLine="480"/>
        <w:rPr>
          <w:rFonts w:ascii="仿宋" w:hAnsi="仿宋" w:eastAsia="仿宋"/>
          <w:sz w:val="24"/>
        </w:rPr>
      </w:pPr>
      <w:r>
        <w:rPr>
          <w:rFonts w:hint="eastAsia" w:ascii="仿宋" w:hAnsi="仿宋" w:eastAsia="仿宋"/>
          <w:sz w:val="24"/>
        </w:rPr>
        <w:t xml:space="preserve">甲、乙方中任何一方，因不可抗力不能按时或完全履行合同的，应及时通知对方，并在30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sz w:val="24"/>
        </w:rPr>
        <w:outlineLvl w:val="1"/>
      </w:pPr>
      <w:r/>
      <w:bookmarkStart w:id="58" w:name="_Toc6270"/>
      <w:r>
        <w:rPr>
          <w:rFonts w:hint="eastAsia" w:ascii="仿宋" w:hAnsi="仿宋" w:eastAsia="仿宋"/>
          <w:b/>
          <w:sz w:val="24"/>
        </w:rPr>
        <w:t xml:space="preserve">第十三条  争议的解决方式</w:t>
      </w:r>
      <w:bookmarkEnd w:id="58"/>
      <w:r/>
      <w:r/>
    </w:p>
    <w:p>
      <w:pPr>
        <w:ind w:firstLine="480"/>
        <w:rPr>
          <w:rFonts w:ascii="仿宋" w:hAnsi="仿宋" w:eastAsia="仿宋" w:cs="仿宋"/>
          <w:sz w:val="24"/>
        </w:rPr>
      </w:pPr>
      <w:r/>
      <w:bookmarkStart w:id="59" w:name="_Toc29346"/>
      <w:r>
        <w:rPr>
          <w:rFonts w:hint="eastAsia" w:ascii="仿宋" w:hAnsi="仿宋" w:eastAsia="仿宋" w:cs="仿宋"/>
          <w:sz w:val="24"/>
        </w:rPr>
        <w:t xml:space="preserve">因执行本合同方期间发生的一切争议，双方应首先友好协商解决。经协商不能解决，可向合同签订所在地人民法院提起诉讼。根据《中华人民共和国民法典》规定，在诉讼期间，除必须在诉讼过程中进行解决的问题外，合作方案其余部分应继续履行，本合同签订的地点为：</w:t>
      </w:r>
      <w:r>
        <w:rPr>
          <w:rFonts w:hint="eastAsia" w:ascii="仿宋" w:hAnsi="仿宋" w:eastAsia="仿宋" w:cs="仿宋"/>
          <w:sz w:val="24"/>
          <w:u w:val="single"/>
        </w:rPr>
        <w:t xml:space="preserve">江苏省如皋市</w:t>
      </w:r>
      <w:r>
        <w:rPr>
          <w:rFonts w:hint="eastAsia" w:ascii="仿宋" w:hAnsi="仿宋" w:eastAsia="仿宋" w:cs="仿宋"/>
          <w:sz w:val="24"/>
        </w:rPr>
        <w:t xml:space="preserve">。</w:t>
      </w:r>
      <w:r/>
    </w:p>
    <w:p>
      <w:pPr>
        <w:ind w:left="482"/>
        <w:rPr>
          <w:rFonts w:ascii="仿宋" w:hAnsi="仿宋" w:eastAsia="仿宋"/>
          <w:b/>
          <w:sz w:val="24"/>
        </w:rPr>
        <w:outlineLvl w:val="1"/>
      </w:pPr>
      <w:r>
        <w:rPr>
          <w:rFonts w:hint="eastAsia" w:ascii="仿宋" w:hAnsi="仿宋" w:eastAsia="仿宋"/>
          <w:b/>
          <w:sz w:val="24"/>
        </w:rPr>
        <w:t xml:space="preserve">第十四条  其他</w:t>
      </w:r>
      <w:bookmarkEnd w:id="59"/>
      <w:r/>
      <w:r/>
    </w:p>
    <w:p>
      <w:pPr>
        <w:ind w:firstLine="480"/>
        <w:rPr>
          <w:rFonts w:ascii="仿宋" w:hAnsi="仿宋" w:eastAsia="仿宋" w:cs="仿宋"/>
          <w:sz w:val="24"/>
        </w:rPr>
      </w:pPr>
      <w:r>
        <w:rPr>
          <w:rFonts w:hint="eastAsia" w:ascii="仿宋" w:hAnsi="仿宋" w:eastAsia="仿宋" w:cs="仿宋"/>
          <w:sz w:val="24"/>
        </w:rPr>
        <w:t xml:space="preserve">1. 符合《政府采购法》第49条规定的，经双方协商，办理政府采购手续后，可签订补充合同，所签订的补充合同与本合同具有同等法律效力。</w:t>
      </w:r>
      <w:r/>
    </w:p>
    <w:p>
      <w:pPr>
        <w:ind w:firstLine="480"/>
        <w:rPr>
          <w:rFonts w:ascii="仿宋" w:hAnsi="仿宋" w:eastAsia="仿宋" w:cs="仿宋"/>
          <w:color w:val="000000"/>
          <w:sz w:val="24"/>
        </w:rPr>
      </w:pPr>
      <w:r>
        <w:rPr>
          <w:rFonts w:hint="eastAsia" w:ascii="仿宋" w:hAnsi="仿宋" w:eastAsia="仿宋" w:cs="仿宋"/>
          <w:color w:val="000000"/>
          <w:sz w:val="24"/>
        </w:rPr>
        <w:t xml:space="preserve">2. 合同期内如遇政府政策调整最低工资、社保公积金缴费标准及税费，新标准与旧标准之间所产生的费用，由甲方支付相应的差额费用。凭书面交接单确认，不再另外签订补充合同。</w:t>
      </w:r>
      <w:r/>
    </w:p>
    <w:p>
      <w:pPr>
        <w:ind w:firstLine="480"/>
        <w:rPr>
          <w:rFonts w:ascii="仿宋" w:hAnsi="仿宋" w:eastAsia="仿宋" w:cs="仿宋"/>
          <w:sz w:val="24"/>
        </w:rPr>
      </w:pPr>
      <w:r>
        <w:rPr>
          <w:rFonts w:hint="eastAsia" w:ascii="仿宋" w:hAnsi="仿宋" w:eastAsia="仿宋" w:cs="仿宋"/>
          <w:sz w:val="24"/>
        </w:rPr>
        <w:t xml:space="preserve">3. 本合同一式四份，甲、乙双方各执二份。</w:t>
      </w:r>
      <w:r/>
    </w:p>
    <w:p>
      <w:pPr>
        <w:ind w:firstLine="480"/>
        <w:rPr>
          <w:rFonts w:ascii="仿宋" w:hAnsi="仿宋" w:eastAsia="仿宋"/>
          <w:sz w:val="24"/>
        </w:rPr>
      </w:pPr>
      <w:r>
        <w:rPr>
          <w:rFonts w:ascii="仿宋" w:hAnsi="仿宋" w:eastAsia="仿宋"/>
          <w:sz w:val="24"/>
        </w:rPr>
      </w:r>
      <w:r/>
    </w:p>
    <w:tbl>
      <w:tblPr>
        <w:tblStyle w:val="92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_GB2312" w:hAnsi="宋体" w:eastAsia="仿宋_GB2312"/>
          <w:sz w:val="24"/>
        </w:rPr>
      </w:pPr>
      <w:r>
        <w:rPr>
          <w:rFonts w:ascii="仿宋_GB2312" w:hAnsi="宋体" w:eastAsia="仿宋_GB2312"/>
          <w:sz w:val="24"/>
        </w:rPr>
      </w:r>
      <w:r/>
    </w:p>
    <w:p>
      <w:pPr>
        <w:rPr>
          <w:rFonts w:ascii="仿宋" w:hAnsi="仿宋" w:eastAsia="仿宋"/>
          <w:sz w:val="24"/>
        </w:rPr>
      </w:pPr>
      <w:r>
        <w:rPr>
          <w:rFonts w:hint="eastAsia" w:ascii="仿宋" w:hAnsi="仿宋" w:eastAsia="仿宋"/>
          <w:sz w:val="24"/>
        </w:rPr>
        <w:t xml:space="preserve">附件</w:t>
      </w:r>
      <w:r/>
    </w:p>
    <w:p>
      <w:pPr>
        <w:jc w:val="center"/>
        <w:rPr>
          <w:rFonts w:ascii="仿宋" w:hAnsi="仿宋" w:eastAsia="仿宋"/>
          <w:sz w:val="24"/>
        </w:rPr>
      </w:pPr>
      <w:r>
        <w:rPr>
          <w:rFonts w:hint="eastAsia" w:ascii="仿宋" w:hAnsi="仿宋" w:eastAsia="仿宋"/>
          <w:sz w:val="24"/>
        </w:rPr>
        <w:t xml:space="preserve">服务明细项目一览表</w:t>
      </w:r>
      <w:r/>
    </w:p>
    <w:tbl>
      <w:tblPr>
        <w:tblStyle w:val="9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序号</w:t>
            </w:r>
            <w:r/>
          </w:p>
        </w:tc>
        <w:tc>
          <w:tcPr>
            <w:tcW w:w="1270"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服务名称</w:t>
            </w:r>
            <w:r/>
          </w:p>
        </w:tc>
        <w:tc>
          <w:tcPr>
            <w:tcW w:w="2574"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服务内容</w:t>
            </w:r>
            <w:r/>
          </w:p>
        </w:tc>
        <w:tc>
          <w:tcPr>
            <w:tcW w:w="494"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计量单位</w:t>
            </w:r>
            <w:r/>
          </w:p>
        </w:tc>
        <w:tc>
          <w:tcPr>
            <w:tcW w:w="494"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工作量</w:t>
            </w:r>
            <w:r/>
          </w:p>
        </w:tc>
        <w:tc>
          <w:tcPr>
            <w:tcW w:w="856"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单 价</w:t>
            </w:r>
            <w:r/>
          </w:p>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903"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总 价</w:t>
            </w:r>
            <w:r/>
          </w:p>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（元）</w:t>
            </w:r>
            <w:r/>
          </w:p>
        </w:tc>
        <w:tc>
          <w:tcPr>
            <w:tcW w:w="1232" w:type="dxa"/>
            <w:vAlign w:val="center"/>
            <w:textDirection w:val="lrTb"/>
            <w:noWrap w:val="false"/>
          </w:tcPr>
          <w:p>
            <w:pPr>
              <w:pStyle w:val="927"/>
              <w:jc w:val="center"/>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备注</w:t>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（视明细项目加行）</w:t>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jc w:val="center"/>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257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494"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856"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易耗品</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专用工具</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调试费</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培训费</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tcW w:w="699"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70"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gridSpan w:val="4"/>
            <w:tcW w:w="4418"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其他</w:t>
            </w:r>
            <w:r/>
          </w:p>
        </w:tc>
        <w:tc>
          <w:tcPr>
            <w:tcW w:w="903"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c>
          <w:tcPr>
            <w:tcW w:w="1232" w:type="dxa"/>
            <w:textDirection w:val="lrTb"/>
            <w:noWrap w:val="false"/>
          </w:tcPr>
          <w:p>
            <w:pPr>
              <w:pStyle w:val="927"/>
              <w:spacing w:after="0" w:line="240" w:lineRule="auto"/>
              <w:rPr>
                <w:rFonts w:ascii="仿宋" w:hAnsi="仿宋" w:eastAsia="仿宋"/>
                <w:color w:val="000000"/>
                <w:sz w:val="24"/>
                <w:szCs w:val="24"/>
              </w:rPr>
            </w:pPr>
            <w:r>
              <w:rPr>
                <w:rFonts w:ascii="仿宋" w:hAnsi="仿宋" w:eastAsia="仿宋"/>
                <w:color w:val="000000"/>
                <w:sz w:val="24"/>
                <w:szCs w:val="24"/>
              </w:rPr>
            </w:r>
            <w:r/>
          </w:p>
        </w:tc>
      </w:tr>
      <w:tr>
        <w:trPr>
          <w:cantSplit/>
          <w:jc w:val="center"/>
        </w:trPr>
        <w:tc>
          <w:tcPr>
            <w:gridSpan w:val="8"/>
            <w:tcW w:w="8522" w:type="dxa"/>
            <w:textDirection w:val="lrTb"/>
            <w:noWrap w:val="false"/>
          </w:tcPr>
          <w:p>
            <w:pPr>
              <w:pStyle w:val="927"/>
              <w:spacing w:after="0" w:line="240" w:lineRule="auto"/>
              <w:rPr>
                <w:rFonts w:ascii="仿宋" w:hAnsi="仿宋" w:eastAsia="仿宋"/>
                <w:color w:val="000000"/>
                <w:sz w:val="24"/>
                <w:szCs w:val="24"/>
              </w:rPr>
            </w:pPr>
            <w:r>
              <w:rPr>
                <w:rFonts w:hint="eastAsia" w:ascii="仿宋" w:hAnsi="仿宋" w:eastAsia="仿宋"/>
                <w:color w:val="000000"/>
                <w:sz w:val="24"/>
                <w:szCs w:val="24"/>
              </w:rPr>
              <w:t xml:space="preserve">大写：                                           合同价：      元</w:t>
            </w:r>
            <w:r/>
          </w:p>
        </w:tc>
      </w:tr>
    </w:tbl>
    <w:p>
      <w:pPr>
        <w:pStyle w:val="954"/>
        <w:ind w:firstLine="560"/>
        <w:spacing w:line="240" w:lineRule="auto"/>
        <w:rPr>
          <w:rFonts w:ascii="黑体" w:hAnsi="黑体" w:eastAsia="黑体"/>
          <w:sz w:val="28"/>
          <w:szCs w:val="28"/>
        </w:rPr>
      </w:pPr>
      <w:r>
        <w:rPr>
          <w:rFonts w:ascii="黑体" w:hAnsi="黑体" w:eastAsia="黑体"/>
          <w:sz w:val="28"/>
          <w:szCs w:val="28"/>
        </w:rPr>
      </w:r>
      <w:r/>
    </w:p>
    <w:p>
      <w:pPr>
        <w:ind w:firstLine="560"/>
        <w:jc w:val="center"/>
        <w:rPr>
          <w:b/>
        </w:rPr>
        <w:outlineLvl w:val="0"/>
      </w:pPr>
      <w:r>
        <w:rPr>
          <w:rFonts w:ascii="黑体" w:hAnsi="黑体" w:eastAsia="黑体"/>
          <w:sz w:val="28"/>
          <w:szCs w:val="28"/>
        </w:rPr>
        <w:br w:type="page" w:clear="all"/>
      </w:r>
      <w:r>
        <w:rPr>
          <w:rFonts w:hint="eastAsia" w:ascii="方正小标宋简体" w:eastAsia="方正小标宋简体"/>
          <w:bCs/>
          <w:sz w:val="32"/>
          <w:szCs w:val="32"/>
        </w:rPr>
        <w:t xml:space="preserve">第五章 评审标准和方法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numPr>
          <w:ilvl w:val="0"/>
          <w:numId w:val="6"/>
        </w:numPr>
        <w:ind w:firstLine="560"/>
        <w:rPr>
          <w:rFonts w:ascii="仿宋" w:hAnsi="仿宋" w:eastAsia="仿宋"/>
          <w:sz w:val="28"/>
          <w:szCs w:val="28"/>
        </w:rPr>
      </w:pPr>
      <w:r>
        <w:rPr>
          <w:rFonts w:hint="eastAsia" w:ascii="仿宋" w:hAnsi="仿宋" w:eastAsia="仿宋"/>
          <w:sz w:val="28"/>
          <w:szCs w:val="28"/>
        </w:rPr>
        <w:t xml:space="preserve">评分表</w:t>
      </w:r>
      <w:r/>
    </w:p>
    <w:p>
      <w:pPr>
        <w:rPr>
          <w:rFonts w:ascii="仿宋" w:hAnsi="仿宋" w:eastAsia="仿宋"/>
          <w:b/>
          <w:bCs/>
          <w:sz w:val="28"/>
          <w:szCs w:val="28"/>
        </w:rPr>
      </w:pPr>
      <w:r>
        <w:rPr>
          <w:rFonts w:hint="eastAsia" w:ascii="仿宋" w:hAnsi="仿宋" w:eastAsia="仿宋"/>
          <w:b/>
          <w:bCs/>
          <w:sz w:val="28"/>
          <w:szCs w:val="28"/>
        </w:rPr>
        <w:t xml:space="preserve">（1）采购包一、三</w:t>
      </w:r>
      <w:r/>
    </w:p>
    <w:tbl>
      <w:tblPr>
        <w:tblStyle w:val="920"/>
        <w:tblW w:w="473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183"/>
        <w:gridCol w:w="787"/>
        <w:gridCol w:w="5806"/>
        <w:gridCol w:w="600"/>
      </w:tblGrid>
      <w:tr>
        <w:trPr>
          <w:trHeight w:val="420"/>
        </w:trPr>
        <w:tc>
          <w:tcPr>
            <w:shd w:val="clear" w:color="auto" w:fill="auto"/>
            <w:tcBorders>
              <w:top w:val="single" w:color="auto" w:sz="12"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序号</w:t>
            </w:r>
            <w:r/>
          </w:p>
        </w:tc>
        <w:tc>
          <w:tcPr>
            <w:shd w:val="clear" w:color="auto" w:fill="auto"/>
            <w:tcBorders>
              <w:top w:val="single" w:color="auto" w:sz="12"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评审因素</w:t>
            </w:r>
            <w:r/>
          </w:p>
        </w:tc>
        <w:tc>
          <w:tcPr>
            <w:shd w:val="clear" w:color="auto" w:fill="auto"/>
            <w:tcBorders>
              <w:top w:val="single" w:color="auto" w:sz="12"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分值</w:t>
            </w:r>
            <w:r/>
          </w:p>
        </w:tc>
        <w:tc>
          <w:tcPr>
            <w:shd w:val="clear" w:color="auto" w:fill="auto"/>
            <w:tcBorders>
              <w:top w:val="single" w:color="auto" w:sz="12" w:space="0"/>
              <w:left w:val="single" w:color="auto" w:sz="6" w:space="0"/>
              <w:bottom w:val="single" w:color="auto" w:sz="6" w:space="0"/>
              <w:right w:val="single" w:color="auto" w:sz="6" w:space="0"/>
            </w:tcBorders>
            <w:tcW w:w="573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评审要求或标准</w:t>
            </w:r>
            <w:r/>
          </w:p>
        </w:tc>
        <w:tc>
          <w:tcPr>
            <w:shd w:val="clear" w:color="auto" w:fill="auto"/>
            <w:tcBorders>
              <w:top w:val="single" w:color="auto" w:sz="12" w:space="0"/>
              <w:left w:val="single" w:color="auto" w:sz="6" w:space="0"/>
              <w:bottom w:val="single" w:color="auto" w:sz="6" w:space="0"/>
              <w:right w:val="single" w:color="auto" w:sz="12" w:space="0"/>
            </w:tcBorders>
            <w:tcW w:w="59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得分</w:t>
            </w:r>
            <w:r/>
          </w:p>
        </w:tc>
      </w:tr>
      <w:tr>
        <w:trPr>
          <w:trHeight w:val="409"/>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价格</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采用低价优先法，即满足评标要求且价格最低价作为评标基准，其价格分为满分。其他响应供应商的价格分按照下列公式计算：</w:t>
            </w:r>
            <w:r>
              <w:rPr>
                <w:rFonts w:hint="eastAsia" w:ascii="仿宋" w:hAnsi="仿宋" w:eastAsia="仿宋" w:cs="仿宋"/>
                <w:sz w:val="28"/>
                <w:szCs w:val="28"/>
                <w:lang w:eastAsia="zh-CN"/>
              </w:rPr>
              <w:t xml:space="preserve">最后</w:t>
            </w:r>
            <w:r>
              <w:rPr>
                <w:rFonts w:hint="eastAsia" w:ascii="仿宋" w:hAnsi="仿宋" w:eastAsia="仿宋" w:cs="仿宋"/>
                <w:sz w:val="28"/>
                <w:szCs w:val="28"/>
              </w:rPr>
              <w:t xml:space="preserve">报价得分=（评标基准</w:t>
            </w:r>
            <w:r>
              <w:rPr>
                <w:rFonts w:hint="eastAsia" w:ascii="仿宋" w:hAnsi="仿宋" w:eastAsia="仿宋" w:cs="仿宋"/>
                <w:sz w:val="28"/>
                <w:szCs w:val="28"/>
                <w:lang w:eastAsia="zh-CN"/>
              </w:rPr>
              <w:t xml:space="preserve">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最后报价</w:t>
            </w:r>
            <w:r>
              <w:rPr>
                <w:rFonts w:hint="eastAsia" w:ascii="仿宋" w:hAnsi="仿宋" w:eastAsia="仿宋" w:cs="仿宋"/>
                <w:sz w:val="28"/>
                <w:szCs w:val="28"/>
              </w:rPr>
              <w:t xml:space="preserve">）×价格分值。</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企业体系认证</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widowControl/>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供应商具有ISO14001环境管理体系认证、ISO9001质量管理体系认证、ISO45001职业健康安全管理体系认证证书、ISO27001 信息安全管理体系认证证书，具备以上资质每项得1分。本项最高得4分。</w:t>
            </w:r>
            <w:r/>
          </w:p>
          <w:p>
            <w:pPr>
              <w:ind w:firstLine="562"/>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须提供相应认证证书复印件和全国认证认可信息公共服务平台查询截图加盖响应供应商公章，提供不全不得分。</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业绩</w:t>
            </w:r>
            <w:r/>
          </w:p>
          <w:p>
            <w:pPr>
              <w:jc w:val="center"/>
              <w:spacing w:line="440" w:lineRule="exact"/>
              <w:rPr>
                <w:rFonts w:ascii="仿宋" w:hAnsi="仿宋" w:eastAsia="仿宋" w:cs="仿宋"/>
                <w:sz w:val="28"/>
                <w:szCs w:val="28"/>
              </w:rPr>
            </w:pPr>
            <w:r>
              <w:rPr>
                <w:rFonts w:hint="eastAsia" w:ascii="仿宋" w:hAnsi="仿宋" w:eastAsia="仿宋" w:cs="仿宋"/>
                <w:color w:val="000000"/>
                <w:sz w:val="28"/>
                <w:szCs w:val="28"/>
              </w:rPr>
              <w:t xml:space="preserve">情况</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widowControl/>
              <w:rPr>
                <w:rFonts w:hint="eastAsia" w:ascii="仿宋" w:hAnsi="仿宋" w:eastAsia="仿宋" w:cs="仿宋"/>
                <w:sz w:val="28"/>
                <w:szCs w:val="28"/>
                <w:highlight w:val="none"/>
                <w:lang w:eastAsia="zh-CN"/>
              </w:rPr>
            </w:pPr>
            <w:r>
              <w:rPr>
                <w:rFonts w:hint="eastAsia" w:ascii="仿宋" w:hAnsi="仿宋" w:eastAsia="仿宋" w:cs="仿宋"/>
                <w:sz w:val="28"/>
                <w:szCs w:val="28"/>
              </w:rPr>
              <w:t xml:space="preserve">1.供应商自2024年1月1日起至今（以合同签署日期为准）有地表水水质自动监测站运维经验情况（所提供的水站运维业绩需包含至少p</w:t>
            </w:r>
            <w:r>
              <w:rPr>
                <w:rFonts w:hint="eastAsia" w:ascii="仿宋" w:hAnsi="仿宋" w:eastAsia="仿宋" w:cs="仿宋"/>
                <w:sz w:val="28"/>
                <w:szCs w:val="28"/>
                <w:highlight w:val="none"/>
              </w:rPr>
              <w:t xml:space="preserve">H、溶解氧、浊度、水温、电导率，高锰酸盐指数，氨氮，总磷，总氮九个内容）：承担过</w:t>
            </w:r>
            <w:r>
              <w:rPr>
                <w:rFonts w:hint="eastAsia" w:ascii="仿宋" w:hAnsi="仿宋" w:eastAsia="仿宋" w:cs="仿宋"/>
                <w:sz w:val="28"/>
                <w:szCs w:val="28"/>
                <w:highlight w:val="none"/>
                <w:lang w:eastAsia="zh-CN"/>
              </w:rPr>
              <w:t xml:space="preserve">国家地表水水质自动监测站的得</w:t>
            </w:r>
            <w:r>
              <w:rPr>
                <w:rFonts w:hint="eastAsia" w:ascii="仿宋" w:hAnsi="仿宋" w:eastAsia="仿宋" w:cs="仿宋"/>
                <w:sz w:val="28"/>
                <w:szCs w:val="28"/>
                <w:highlight w:val="none"/>
                <w:lang w:val="en-US" w:eastAsia="zh-CN"/>
              </w:rPr>
              <w:t xml:space="preserve">5分，最高得5分；</w:t>
            </w:r>
            <w:r>
              <w:rPr>
                <w:rFonts w:hint="eastAsia" w:ascii="仿宋" w:hAnsi="仿宋" w:eastAsia="仿宋" w:cs="仿宋"/>
                <w:sz w:val="28"/>
                <w:szCs w:val="28"/>
                <w:highlight w:val="none"/>
              </w:rPr>
              <w:t xml:space="preserve">承担过</w:t>
            </w:r>
            <w:r>
              <w:rPr>
                <w:rFonts w:hint="eastAsia" w:ascii="仿宋" w:hAnsi="仿宋" w:eastAsia="仿宋" w:cs="仿宋"/>
                <w:sz w:val="28"/>
                <w:szCs w:val="28"/>
                <w:highlight w:val="none"/>
                <w:lang w:eastAsia="zh-CN"/>
              </w:rPr>
              <w:t xml:space="preserve">省级地表水水质自动监测站的得</w:t>
            </w:r>
            <w:r>
              <w:rPr>
                <w:rFonts w:hint="eastAsia" w:ascii="仿宋" w:hAnsi="仿宋" w:eastAsia="仿宋" w:cs="仿宋"/>
                <w:sz w:val="28"/>
                <w:szCs w:val="28"/>
                <w:highlight w:val="none"/>
                <w:lang w:val="en-US" w:eastAsia="zh-CN"/>
              </w:rPr>
              <w:t xml:space="preserve">5分，最高得5分；</w:t>
            </w:r>
            <w:r>
              <w:rPr>
                <w:rFonts w:hint="eastAsia" w:ascii="仿宋" w:hAnsi="仿宋" w:eastAsia="仿宋" w:cs="仿宋"/>
                <w:sz w:val="28"/>
                <w:szCs w:val="28"/>
                <w:highlight w:val="none"/>
              </w:rPr>
              <w:t xml:space="preserve">承担过</w:t>
            </w:r>
            <w:r>
              <w:rPr>
                <w:rFonts w:hint="eastAsia" w:ascii="仿宋" w:hAnsi="仿宋" w:eastAsia="仿宋" w:cs="仿宋"/>
                <w:sz w:val="28"/>
                <w:szCs w:val="28"/>
                <w:highlight w:val="none"/>
                <w:lang w:eastAsia="zh-CN"/>
              </w:rPr>
              <w:t xml:space="preserve">市级地表水水质自动监测站</w:t>
            </w:r>
            <w:r>
              <w:rPr>
                <w:rFonts w:hint="eastAsia" w:ascii="仿宋" w:hAnsi="仿宋" w:eastAsia="仿宋" w:cs="仿宋"/>
                <w:sz w:val="28"/>
                <w:szCs w:val="28"/>
                <w:highlight w:val="none"/>
              </w:rPr>
              <w:t xml:space="preserve">的得</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最高得5分</w:t>
            </w:r>
            <w:r>
              <w:rPr>
                <w:rFonts w:hint="eastAsia" w:ascii="仿宋" w:hAnsi="仿宋" w:eastAsia="仿宋" w:cs="仿宋"/>
                <w:sz w:val="28"/>
                <w:szCs w:val="28"/>
                <w:highlight w:val="none"/>
                <w:lang w:eastAsia="zh-CN"/>
              </w:rPr>
              <w:t xml:space="preserve">。</w:t>
            </w:r>
            <w:r/>
          </w:p>
          <w:p>
            <w:pPr>
              <w:pStyle w:val="921"/>
              <w:ind w:left="0" w:firstLine="0"/>
              <w:rPr>
                <w:rFonts w:hint="default"/>
                <w:b/>
                <w:bCs/>
                <w:lang w:val="en-US"/>
              </w:rPr>
            </w:pPr>
            <w:r>
              <w:rPr>
                <w:rFonts w:hint="eastAsia" w:ascii="仿宋" w:hAnsi="仿宋" w:eastAsia="仿宋" w:cs="仿宋"/>
                <w:b/>
                <w:bCs/>
                <w:sz w:val="28"/>
                <w:szCs w:val="28"/>
                <w:highlight w:val="none"/>
                <w:lang w:eastAsia="zh-CN"/>
              </w:rPr>
              <w:t xml:space="preserve">本项最高得</w:t>
            </w:r>
            <w:r>
              <w:rPr>
                <w:rFonts w:hint="eastAsia" w:ascii="仿宋" w:hAnsi="仿宋" w:eastAsia="仿宋" w:cs="仿宋"/>
                <w:b/>
                <w:bCs/>
                <w:sz w:val="28"/>
                <w:szCs w:val="28"/>
                <w:highlight w:val="none"/>
                <w:lang w:val="en-US" w:eastAsia="zh-CN"/>
              </w:rPr>
              <w:t xml:space="preserve">15分。</w:t>
            </w:r>
            <w:r/>
          </w:p>
          <w:p>
            <w:pPr>
              <w:ind w:firstLine="562"/>
              <w:spacing w:line="440" w:lineRule="exact"/>
              <w:widowControl/>
              <w:rPr>
                <w:rFonts w:ascii="宋体" w:hAnsi="宋体" w:eastAsia="仿宋" w:cs="宋体"/>
                <w:color w:val="000000"/>
                <w:sz w:val="28"/>
                <w:szCs w:val="28"/>
              </w:rPr>
            </w:pPr>
            <w:r>
              <w:rPr>
                <w:rFonts w:hint="eastAsia" w:ascii="仿宋" w:hAnsi="仿宋" w:eastAsia="仿宋" w:cs="仿宋"/>
                <w:b/>
                <w:sz w:val="28"/>
                <w:szCs w:val="28"/>
              </w:rPr>
              <w:t xml:space="preserve">须提供终端业主采购合同、发票复印件（至少30%合同款）、并附水质自动站类型证明。不提供或提供不全不得分。</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运维及质控、应急、设备的保养与问题排查、交接方案</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供应商根据本项目的情况提供详细的运维实施方案，包括但不限于以下内容：</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1.日常管理制度、维护工作流程；</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2.管理体系文件、水站运维作业指导书；</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3.备品备件保障、试剂和标准样品管理；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4.日常质控方式、运维质量考核办法；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提供针对数据或水质异常和不可抗力导致不具备运维条件的应急预案，内容包括但不限于：</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1.异常数据识别办法、响应办法；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2.应急监测流程、人工采/送样流程；</w:t>
            </w:r>
            <w:r/>
          </w:p>
          <w:p>
            <w:pPr>
              <w:jc w:val="left"/>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3.污染事故应急监测方案、补充监测方案</w:t>
            </w:r>
            <w:r>
              <w:rPr>
                <w:rFonts w:hint="eastAsia" w:ascii="仿宋" w:hAnsi="仿宋" w:eastAsia="仿宋" w:cs="仿宋"/>
                <w:sz w:val="28"/>
                <w:szCs w:val="28"/>
                <w:lang w:val="en-US" w:eastAsia="zh-CN"/>
              </w:rPr>
              <w:t xml:space="preserve">;</w:t>
            </w:r>
            <w:r/>
          </w:p>
          <w:p>
            <w:pPr>
              <w:jc w:val="left"/>
              <w:spacing w:line="440" w:lineRule="exact"/>
              <w:rPr>
                <w:sz w:val="28"/>
                <w:szCs w:val="28"/>
              </w:rPr>
            </w:pPr>
            <w:r>
              <w:rPr>
                <w:rFonts w:hint="eastAsia" w:ascii="仿宋" w:hAnsi="仿宋" w:eastAsia="仿宋" w:cs="仿宋"/>
                <w:sz w:val="28"/>
                <w:szCs w:val="28"/>
              </w:rPr>
              <w:t xml:space="preserve">4.故障维修办法。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5.特殊时期（丰水期、枯水期）、自然灾害、水电检修、临时停电、节假日、被偷盗破坏等情况的有效预防和应急措施。</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供应商根据本项目的情况提供设备的保养与问题排查方案，需包含：</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1.设备运行中经常出现的异常情况排查、延长使用寿命的措施；</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2.磨损部件更换的周期，确保设备始终处于良好的技术状态。</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响应供应商根据项目需求提供运维交接实施方案，包括但不限于以下内容：</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1.责任分工；</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2.时间安排、人员安排；</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3.交接内容、交接流程等。</w:t>
            </w:r>
            <w:r/>
          </w:p>
          <w:p>
            <w:pPr>
              <w:ind w:firstLine="560"/>
              <w:spacing w:line="440" w:lineRule="exact"/>
              <w:rPr>
                <w:rFonts w:ascii="仿宋" w:hAnsi="仿宋" w:eastAsia="仿宋"/>
                <w:b/>
                <w:bCs/>
                <w:sz w:val="28"/>
                <w:szCs w:val="28"/>
              </w:rPr>
            </w:pPr>
            <w:r>
              <w:rPr>
                <w:rFonts w:hint="eastAsia" w:ascii="仿宋" w:hAnsi="仿宋" w:eastAsia="仿宋"/>
                <w:sz w:val="28"/>
                <w:szCs w:val="28"/>
              </w:rPr>
              <w:t xml:space="preserve">上述4方面内容中(共14小项）每缺少一项内容扣1分，每有一处需求分析内容存在缺陷或不足的扣0.5分，扣完为止。</w:t>
            </w:r>
            <w:r>
              <w:rPr>
                <w:rFonts w:hint="eastAsia" w:ascii="仿宋" w:hAnsi="仿宋" w:eastAsia="仿宋"/>
                <w:b/>
                <w:bCs/>
                <w:sz w:val="28"/>
                <w:szCs w:val="28"/>
              </w:rPr>
              <w:t xml:space="preserve">本项最高得14分。</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注：实施方案内容存在缺陷或不足是指以下任意一种情形：</w:t>
            </w:r>
            <w:r/>
          </w:p>
          <w:p>
            <w:pPr>
              <w:spacing w:line="440" w:lineRule="exact"/>
              <w:rPr>
                <w:rFonts w:ascii="仿宋" w:hAnsi="仿宋" w:eastAsia="仿宋" w:cs="仿宋"/>
                <w:sz w:val="28"/>
                <w:szCs w:val="28"/>
              </w:rPr>
            </w:pPr>
            <w:r>
              <w:rPr>
                <w:rFonts w:hint="eastAsia" w:ascii="仿宋" w:hAnsi="仿宋" w:eastAsia="仿宋"/>
                <w:b/>
                <w:bCs/>
                <w:sz w:val="28"/>
                <w:szCs w:val="28"/>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运维备机及质控设备配置</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widowControl/>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响应供应商根据项目需求提供仪器备机、监测设备及质控设备配置情况：</w:t>
            </w:r>
            <w:r/>
          </w:p>
          <w:p>
            <w:pPr>
              <w:jc w:val="left"/>
              <w:spacing w:line="440" w:lineRule="exact"/>
              <w:widowControl/>
              <w:rPr>
                <w:rFonts w:ascii="仿宋" w:hAnsi="仿宋" w:eastAsia="仿宋" w:cs="仿宋"/>
                <w:b/>
                <w:bCs/>
                <w:sz w:val="28"/>
                <w:szCs w:val="28"/>
              </w:rPr>
            </w:pPr>
            <w:r>
              <w:rPr>
                <w:rFonts w:hint="eastAsia" w:ascii="仿宋" w:hAnsi="仿宋" w:eastAsia="仿宋" w:cs="仿宋"/>
                <w:sz w:val="28"/>
                <w:szCs w:val="28"/>
              </w:rPr>
              <w:t xml:space="preserve">1.备机包含常规五参数（水温、pH值、溶解氧、电导率和浊度）、氨氮、高锰酸盐指数、总氮、总磷的得3分。其他均不得分。</w:t>
            </w:r>
            <w:r>
              <w:rPr>
                <w:rFonts w:hint="eastAsia" w:ascii="仿宋" w:hAnsi="仿宋" w:eastAsia="仿宋" w:cs="仿宋"/>
                <w:b/>
                <w:bCs/>
                <w:sz w:val="28"/>
                <w:szCs w:val="28"/>
              </w:rPr>
              <w:t xml:space="preserve">本项最高得3分。</w:t>
            </w:r>
            <w:r/>
          </w:p>
          <w:p>
            <w:pPr>
              <w:jc w:val="left"/>
              <w:spacing w:line="440" w:lineRule="exact"/>
              <w:widowControl/>
              <w:rPr>
                <w:rFonts w:ascii="仿宋" w:hAnsi="仿宋" w:eastAsia="仿宋" w:cs="仿宋"/>
                <w:b/>
                <w:bCs/>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质控设备包含常规五参数（水温、pH值、溶解氧、电导率和浊度）等便携式监测仪器得2分；其他均不得分。</w:t>
            </w:r>
            <w:r>
              <w:rPr>
                <w:rFonts w:hint="eastAsia" w:ascii="仿宋" w:hAnsi="仿宋" w:eastAsia="仿宋" w:cs="仿宋"/>
                <w:b/>
                <w:bCs/>
                <w:sz w:val="28"/>
                <w:szCs w:val="28"/>
              </w:rPr>
              <w:t xml:space="preserve">本项最高得2分。</w:t>
            </w:r>
            <w:r/>
          </w:p>
          <w:p>
            <w:pPr>
              <w:ind w:firstLine="562"/>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须提供详细的相关证明材料，包括但不限于采购合同或其他佐证具有使用权的证明材料、仪器序号，仪器名称、仪器型号、仪器编号、监测指标、监测方法原理及照片、有效的检定证书等证明材料。未按要求提供证明材料的，不予认可。</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1"/>
        </w:trPr>
        <w:tc>
          <w:tcPr>
            <w:shd w:val="clear" w:color="auto" w:fill="auto"/>
            <w:tcBorders>
              <w:top w:val="single" w:color="auto" w:sz="6" w:space="0"/>
              <w:left w:val="single" w:color="auto" w:sz="12" w:space="0"/>
              <w:right w:val="single" w:color="auto" w:sz="6" w:space="0"/>
            </w:tcBorders>
            <w:tcW w:w="684" w:type="dxa"/>
            <w:vAlign w:val="center"/>
            <w:vMerge w:val="restart"/>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single" w:color="auto" w:sz="6" w:space="0"/>
              <w:left w:val="single" w:color="auto" w:sz="6" w:space="0"/>
              <w:right w:val="single" w:color="auto" w:sz="6" w:space="0"/>
            </w:tcBorders>
            <w:tcW w:w="1169" w:type="dxa"/>
            <w:vAlign w:val="center"/>
            <w:vMerge w:val="restart"/>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人员与车辆配置</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12</w:t>
            </w:r>
            <w:r/>
          </w:p>
        </w:tc>
        <w:tc>
          <w:tcPr>
            <w:shd w:val="clear" w:color="auto" w:fill="auto"/>
            <w:tcBorders>
              <w:top w:val="single" w:color="auto" w:sz="6" w:space="0"/>
              <w:left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响应供应商根据项目需求提供相关人员配置情况：</w:t>
            </w:r>
            <w:r/>
          </w:p>
          <w:p>
            <w:pPr>
              <w:jc w:val="left"/>
              <w:spacing w:line="440" w:lineRule="exact"/>
              <w:rPr>
                <w:rFonts w:ascii="仿宋" w:hAnsi="仿宋" w:eastAsia="仿宋" w:cs="仿宋"/>
                <w:sz w:val="28"/>
                <w:szCs w:val="28"/>
                <w:highlight w:val="none"/>
              </w:rPr>
            </w:pPr>
            <w:r>
              <w:rPr>
                <w:rFonts w:hint="eastAsia" w:ascii="仿宋" w:hAnsi="仿宋" w:eastAsia="仿宋" w:cs="仿宋"/>
                <w:sz w:val="28"/>
                <w:szCs w:val="28"/>
              </w:rPr>
              <w:t xml:space="preserve">1.项目负责人具备高级工程师及以上技术职称，且同时</w:t>
            </w:r>
            <w:r>
              <w:rPr>
                <w:rFonts w:hint="eastAsia" w:ascii="仿宋" w:hAnsi="仿宋" w:eastAsia="仿宋" w:cs="仿宋"/>
                <w:sz w:val="28"/>
                <w:szCs w:val="28"/>
                <w:highlight w:val="none"/>
              </w:rPr>
              <w:t xml:space="preserve">具有省级（含省级）以上水质自动监测站项目管理经历不少于3年的，得4分；</w:t>
            </w:r>
            <w:r/>
          </w:p>
          <w:p>
            <w:pPr>
              <w:jc w:val="left"/>
              <w:spacing w:line="440" w:lineRule="exact"/>
              <w:rPr>
                <w:rFonts w:ascii="仿宋" w:hAnsi="仿宋" w:eastAsia="仿宋" w:cs="仿宋"/>
                <w:b/>
                <w:bCs/>
                <w:sz w:val="28"/>
                <w:szCs w:val="28"/>
                <w:highlight w:val="none"/>
              </w:rPr>
            </w:pPr>
            <w:r>
              <w:rPr>
                <w:rFonts w:hint="eastAsia" w:ascii="仿宋" w:hAnsi="仿宋" w:eastAsia="仿宋" w:cs="仿宋"/>
                <w:sz w:val="28"/>
                <w:szCs w:val="28"/>
                <w:highlight w:val="none"/>
              </w:rPr>
              <w:t xml:space="preserve">项目负责人符合项目要求的同时，具备高级工程师及以上技术职称，且同时具有省级（含省级）以上水质自动监测站项目管理经历不少于1年的，得2分；</w:t>
            </w:r>
            <w:r>
              <w:rPr>
                <w:rFonts w:hint="eastAsia" w:ascii="仿宋" w:hAnsi="仿宋" w:eastAsia="仿宋" w:cs="仿宋"/>
                <w:b/>
                <w:bCs/>
                <w:sz w:val="28"/>
                <w:szCs w:val="28"/>
                <w:highlight w:val="none"/>
              </w:rPr>
              <w:t xml:space="preserve">本项最高得4分。</w:t>
            </w:r>
            <w:r/>
          </w:p>
          <w:p>
            <w:pPr>
              <w:jc w:val="left"/>
              <w:spacing w:line="44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2.驻站人员符合项目要求的同时，具备工程师及以上技术职称，且同时具有市级（含市级）以上水质自动监测站运维工作经历不少于3年的，得4分；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驻站人员符合项目要求的同时，具备工程师及以上技术职称，且同时具有市级（含市级）以上水质自动监测站运维工作经历不少于1年的，得2分；</w:t>
            </w:r>
            <w:r>
              <w:rPr>
                <w:rFonts w:hint="eastAsia" w:ascii="仿宋" w:hAnsi="仿宋" w:eastAsia="仿宋" w:cs="仿宋"/>
                <w:b/>
                <w:bCs/>
                <w:sz w:val="28"/>
                <w:szCs w:val="28"/>
              </w:rPr>
              <w:t xml:space="preserve">本项最高得4分。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现场运行维护人员符合项目要求的同时，具备全日制本科及以上学历，且同时具有省级（含省级）以上水质自动监测站运行维护服务经历不少于3年的，得4分；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现场运行维护人员符合项目要求的同时，具备全日制本科及以上学历，且同时具有省级（含省级）以上水质自动监测站运行维护服务经历不少于2年的，得1分；</w:t>
            </w:r>
            <w:r>
              <w:rPr>
                <w:rFonts w:hint="eastAsia" w:ascii="仿宋" w:hAnsi="仿宋" w:eastAsia="仿宋" w:cs="仿宋"/>
                <w:b/>
                <w:bCs/>
                <w:sz w:val="28"/>
                <w:szCs w:val="28"/>
              </w:rPr>
              <w:t xml:space="preserve">本项最高得4分。</w:t>
            </w:r>
            <w:r/>
          </w:p>
          <w:p>
            <w:pPr>
              <w:ind w:firstLine="562"/>
              <w:spacing w:line="440" w:lineRule="exact"/>
              <w:rPr>
                <w:rFonts w:ascii="仿宋" w:hAnsi="仿宋" w:eastAsia="仿宋" w:cs="仿宋"/>
                <w:b/>
                <w:bCs/>
                <w:sz w:val="28"/>
                <w:szCs w:val="28"/>
              </w:rPr>
            </w:pPr>
            <w:r>
              <w:rPr>
                <w:rFonts w:hint="eastAsia" w:ascii="仿宋" w:hAnsi="仿宋" w:eastAsia="仿宋" w:cs="仿宋"/>
                <w:b/>
                <w:bCs/>
                <w:sz w:val="28"/>
                <w:szCs w:val="28"/>
              </w:rPr>
              <w:t xml:space="preserve">须提供详细的人员列表及技术能力证明材料。</w:t>
            </w:r>
            <w:r/>
          </w:p>
          <w:p>
            <w:pP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①提供相关人员的学历证书复印件、职称证书复印件、培训合格证复印件等证明材料。</w:t>
            </w:r>
            <w:r/>
          </w:p>
          <w:p>
            <w:pP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②提供相关经历表、运维合同、运维服务单位开具的工作证明并加盖公章等证明材料。</w:t>
            </w:r>
            <w:r/>
          </w:p>
          <w:p>
            <w:pPr>
              <w:spacing w:line="440" w:lineRule="exact"/>
              <w:rPr>
                <w:rFonts w:ascii="仿宋" w:hAnsi="仿宋" w:eastAsia="仿宋" w:cs="仿宋"/>
                <w:sz w:val="28"/>
                <w:szCs w:val="28"/>
              </w:rPr>
            </w:pPr>
            <w:r>
              <w:rPr>
                <w:rFonts w:hint="eastAsia" w:ascii="仿宋" w:hAnsi="仿宋" w:eastAsia="仿宋" w:cs="仿宋"/>
                <w:b/>
                <w:bCs/>
                <w:sz w:val="28"/>
                <w:szCs w:val="28"/>
              </w:rPr>
              <w:t xml:space="preserve">③提供现场运行维护人员专职为本项目服务的承诺书（格式自拟）。</w:t>
            </w:r>
            <w:r/>
          </w:p>
        </w:tc>
        <w:tc>
          <w:tcPr>
            <w:shd w:val="clear" w:color="auto" w:fill="auto"/>
            <w:tcBorders>
              <w:top w:val="single" w:color="auto" w:sz="6" w:space="0"/>
              <w:left w:val="single" w:color="auto" w:sz="6" w:space="0"/>
              <w:right w:val="single" w:color="auto" w:sz="12" w:space="0"/>
            </w:tcBorders>
            <w:tcW w:w="593" w:type="dxa"/>
            <w:vMerge w:val="restart"/>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2187"/>
        </w:trPr>
        <w:tc>
          <w:tcPr>
            <w:shd w:val="clear" w:color="auto" w:fill="auto"/>
            <w:tcBorders>
              <w:left w:val="single" w:color="auto" w:sz="12" w:space="0"/>
              <w:bottom w:val="single" w:color="auto" w:sz="6" w:space="0"/>
              <w:right w:val="single" w:color="auto" w:sz="6" w:space="0"/>
            </w:tcBorders>
            <w:tcW w:w="684" w:type="dxa"/>
            <w:vAlign w:val="center"/>
            <w:vMerge w:val="continue"/>
            <w:textDirection w:val="lrTb"/>
            <w:noWrap/>
          </w:tcPr>
          <w:p>
            <w:pPr>
              <w:jc w:val="center"/>
              <w:spacing w:line="440" w:lineRule="exact"/>
              <w:rPr>
                <w:sz w:val="28"/>
                <w:szCs w:val="28"/>
              </w:rPr>
            </w:pPr>
            <w:r>
              <w:rPr>
                <w:sz w:val="28"/>
                <w:szCs w:val="28"/>
              </w:rPr>
            </w:r>
            <w:r/>
          </w:p>
        </w:tc>
        <w:tc>
          <w:tcPr>
            <w:shd w:val="clear" w:color="auto" w:fill="auto"/>
            <w:tcBorders>
              <w:left w:val="single" w:color="auto" w:sz="6" w:space="0"/>
              <w:bottom w:val="single" w:color="auto" w:sz="6" w:space="0"/>
              <w:right w:val="single" w:color="auto" w:sz="6" w:space="0"/>
            </w:tcBorders>
            <w:tcW w:w="1169" w:type="dxa"/>
            <w:vAlign w:val="center"/>
            <w:vMerge w:val="continue"/>
            <w:textDirection w:val="lrTb"/>
            <w:noWrap/>
          </w:tcPr>
          <w:p>
            <w:pPr>
              <w:jc w:val="center"/>
              <w:spacing w:line="440" w:lineRule="exact"/>
              <w:rPr>
                <w:sz w:val="28"/>
                <w:szCs w:val="28"/>
              </w:rPr>
            </w:pPr>
            <w:r>
              <w:rPr>
                <w:sz w:val="28"/>
                <w:szCs w:val="28"/>
              </w:rPr>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b/>
                <w:bCs/>
                <w:color w:val="ff0000"/>
                <w:sz w:val="28"/>
                <w:szCs w:val="28"/>
                <w:highlight w:val="none"/>
              </w:rPr>
            </w:pPr>
            <w:r>
              <w:rPr>
                <w:rFonts w:hint="eastAsia" w:ascii="仿宋" w:hAnsi="仿宋" w:eastAsia="仿宋" w:cs="仿宋"/>
                <w:sz w:val="28"/>
                <w:szCs w:val="28"/>
              </w:rPr>
              <w:t xml:space="preserve">响应供应商根据项目需求提供车辆配置情况：</w:t>
            </w:r>
            <w:r>
              <w:rPr>
                <w:rFonts w:hint="eastAsia" w:ascii="仿宋" w:hAnsi="仿宋" w:eastAsia="仿宋" w:cs="仿宋"/>
                <w:b/>
                <w:bCs/>
                <w:sz w:val="28"/>
                <w:szCs w:val="28"/>
              </w:rPr>
              <w:br/>
            </w:r>
            <w:r>
              <w:rPr>
                <w:rFonts w:hint="eastAsia" w:ascii="仿宋" w:hAnsi="仿宋" w:eastAsia="仿宋" w:cs="仿宋"/>
                <w:sz w:val="28"/>
                <w:szCs w:val="28"/>
              </w:rPr>
              <w:t xml:space="preserve">1.响应供应商为所投分包提供运</w:t>
            </w:r>
            <w:r>
              <w:rPr>
                <w:rFonts w:hint="eastAsia" w:ascii="仿宋" w:hAnsi="仿宋" w:eastAsia="仿宋" w:cs="仿宋"/>
                <w:sz w:val="28"/>
                <w:szCs w:val="28"/>
                <w:highlight w:val="none"/>
              </w:rPr>
              <w:t xml:space="preserve">维车辆2辆</w:t>
            </w:r>
            <w:r>
              <w:rPr>
                <w:rFonts w:hint="eastAsia" w:ascii="仿宋" w:hAnsi="仿宋" w:eastAsia="仿宋" w:cs="仿宋"/>
                <w:sz w:val="28"/>
                <w:szCs w:val="28"/>
                <w:highlight w:val="none"/>
                <w:lang w:eastAsia="zh-CN"/>
              </w:rPr>
              <w:t xml:space="preserve">及以上</w:t>
            </w:r>
            <w:r>
              <w:rPr>
                <w:rFonts w:hint="eastAsia" w:ascii="仿宋" w:hAnsi="仿宋" w:eastAsia="仿宋" w:cs="仿宋"/>
                <w:sz w:val="28"/>
                <w:szCs w:val="28"/>
                <w:highlight w:val="none"/>
              </w:rPr>
              <w:t xml:space="preserve">的得6分。</w:t>
            </w:r>
            <w:r>
              <w:rPr>
                <w:rFonts w:hint="eastAsia" w:ascii="仿宋" w:hAnsi="仿宋" w:eastAsia="仿宋" w:cs="仿宋"/>
                <w:b/>
                <w:bCs/>
                <w:sz w:val="28"/>
                <w:szCs w:val="28"/>
                <w:highlight w:val="none"/>
              </w:rPr>
              <w:t xml:space="preserve">本项最高得6分。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须提供车辆照片及车辆行驶证，购车或长期租用合同复印件等证明材料（租赁时间必须包含本项目的运维时间）。未按要求提供证明材料或证明材料不足以证明的，不得分。</w:t>
            </w:r>
            <w:r/>
          </w:p>
        </w:tc>
        <w:tc>
          <w:tcPr>
            <w:shd w:val="clear" w:color="auto" w:fill="auto"/>
            <w:tcBorders>
              <w:left w:val="single" w:color="auto" w:sz="6" w:space="0"/>
              <w:bottom w:val="single" w:color="auto" w:sz="6" w:space="0"/>
              <w:right w:val="single" w:color="auto" w:sz="12" w:space="0"/>
            </w:tcBorders>
            <w:tcW w:w="593" w:type="dxa"/>
            <w:vMerge w:val="continue"/>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服务能力</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b/>
                <w:bCs/>
                <w:sz w:val="28"/>
                <w:szCs w:val="28"/>
              </w:rPr>
            </w:pPr>
            <w:r>
              <w:rPr>
                <w:rFonts w:hint="eastAsia" w:ascii="仿宋" w:hAnsi="仿宋" w:eastAsia="仿宋" w:cs="仿宋"/>
                <w:sz w:val="28"/>
                <w:szCs w:val="28"/>
              </w:rPr>
              <w:t xml:space="preserve">1.供应商自有CMA实验室（含控股子公司）的得7分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实验室认证范围须包含pH、溶解氧、电导率、浊度、水温、氨氮、高锰酸盐指数、总磷、总氮，</w:t>
            </w:r>
            <w:r>
              <w:rPr>
                <w:rFonts w:hint="eastAsia" w:ascii="仿宋" w:hAnsi="仿宋" w:eastAsia="仿宋" w:cs="仿宋"/>
                <w:b/>
                <w:bCs/>
                <w:sz w:val="28"/>
                <w:szCs w:val="28"/>
              </w:rPr>
              <w:t xml:space="preserve">缺项的不得分</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本项最高得7分。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以上须提供实验室资质证书及涵盖本项目指标的计量认证复印件（如为委托的须提供委托证明资料），否则不予计分。 </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84"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169"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其他特色服务</w:t>
            </w:r>
            <w:r/>
          </w:p>
        </w:tc>
        <w:tc>
          <w:tcPr>
            <w:shd w:val="clear" w:color="auto" w:fill="auto"/>
            <w:tcBorders>
              <w:top w:val="single" w:color="auto" w:sz="6" w:space="0"/>
              <w:left w:val="single" w:color="auto" w:sz="6" w:space="0"/>
              <w:bottom w:val="single" w:color="auto" w:sz="6"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573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能为所运维的所有站点提供日质控设备的（高锰酸盐指数、氨氮、总磷、总氮自动分析仪，日质控设备具备每日零点、跨度核查）得7分。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须提供日质控设备的品牌、型号及相关证明材料，提供承诺函（格式自拟），不提供不得分。</w:t>
            </w:r>
            <w:r/>
          </w:p>
        </w:tc>
        <w:tc>
          <w:tcPr>
            <w:shd w:val="clear" w:color="auto" w:fill="auto"/>
            <w:tcBorders>
              <w:top w:val="single" w:color="auto" w:sz="6" w:space="0"/>
              <w:left w:val="single" w:color="auto" w:sz="6" w:space="0"/>
              <w:bottom w:val="single" w:color="auto" w:sz="6"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gridSpan w:val="2"/>
            <w:shd w:val="clear" w:color="auto" w:fill="auto"/>
            <w:tcBorders>
              <w:top w:val="single" w:color="auto" w:sz="6" w:space="0"/>
              <w:left w:val="single" w:color="auto" w:sz="12" w:space="0"/>
              <w:bottom w:val="single" w:color="auto" w:sz="12" w:space="0"/>
              <w:right w:val="single" w:color="auto" w:sz="6" w:space="0"/>
            </w:tcBorders>
            <w:tcW w:w="185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合计</w:t>
            </w:r>
            <w:r/>
          </w:p>
        </w:tc>
        <w:tc>
          <w:tcPr>
            <w:shd w:val="clear" w:color="auto" w:fill="auto"/>
            <w:tcBorders>
              <w:top w:val="single" w:color="auto" w:sz="6" w:space="0"/>
              <w:left w:val="single" w:color="auto" w:sz="6" w:space="0"/>
              <w:bottom w:val="single" w:color="auto" w:sz="12" w:space="0"/>
              <w:right w:val="single" w:color="auto" w:sz="6" w:space="0"/>
            </w:tcBorders>
            <w:tcW w:w="778"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100</w:t>
            </w:r>
            <w:r/>
          </w:p>
        </w:tc>
        <w:tc>
          <w:tcPr>
            <w:shd w:val="clear" w:color="auto" w:fill="auto"/>
            <w:tcBorders>
              <w:top w:val="single" w:color="auto" w:sz="6" w:space="0"/>
              <w:left w:val="single" w:color="auto" w:sz="6" w:space="0"/>
              <w:bottom w:val="single" w:color="auto" w:sz="12" w:space="0"/>
              <w:right w:val="single" w:color="auto" w:sz="6" w:space="0"/>
            </w:tcBorders>
            <w:tcW w:w="5737" w:type="dxa"/>
            <w:vAlign w:val="center"/>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c>
          <w:tcPr>
            <w:shd w:val="clear" w:color="auto" w:fill="auto"/>
            <w:tcBorders>
              <w:top w:val="single" w:color="auto" w:sz="6" w:space="0"/>
              <w:left w:val="single" w:color="auto" w:sz="6" w:space="0"/>
              <w:bottom w:val="single" w:color="auto" w:sz="12" w:space="0"/>
              <w:right w:val="single" w:color="auto" w:sz="12" w:space="0"/>
            </w:tcBorders>
            <w:tcW w:w="593"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bl>
    <w:p>
      <w:pPr>
        <w:rPr>
          <w:rFonts w:ascii="方正小标宋简体" w:eastAsia="方正小标宋简体"/>
          <w:bCs/>
          <w:sz w:val="30"/>
          <w:szCs w:val="30"/>
        </w:rPr>
      </w:pPr>
      <w:r>
        <w:rPr>
          <w:rFonts w:hint="eastAsia" w:ascii="方正小标宋简体" w:eastAsia="方正小标宋简体"/>
          <w:bCs/>
          <w:sz w:val="30"/>
          <w:szCs w:val="30"/>
        </w:rPr>
        <w:br w:type="page" w:clear="all"/>
      </w:r>
      <w:r/>
    </w:p>
    <w:p>
      <w:pPr>
        <w:rPr>
          <w:rFonts w:ascii="仿宋" w:hAnsi="仿宋" w:eastAsia="仿宋"/>
          <w:sz w:val="30"/>
          <w:szCs w:val="30"/>
        </w:rPr>
        <w:outlineLvl w:val="1"/>
      </w:pPr>
      <w:r>
        <w:rPr>
          <w:rFonts w:hint="eastAsia" w:ascii="仿宋" w:hAnsi="仿宋" w:eastAsia="仿宋"/>
          <w:b/>
          <w:bCs/>
          <w:sz w:val="30"/>
          <w:szCs w:val="30"/>
        </w:rPr>
        <w:t xml:space="preserve">（2）采购包二</w:t>
      </w:r>
      <w:r/>
    </w:p>
    <w:tbl>
      <w:tblPr>
        <w:tblStyle w:val="920"/>
        <w:tblW w:w="473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183"/>
        <w:gridCol w:w="787"/>
        <w:gridCol w:w="5807"/>
        <w:gridCol w:w="600"/>
      </w:tblGrid>
      <w:tr>
        <w:trPr>
          <w:trHeight w:val="420"/>
        </w:trPr>
        <w:tc>
          <w:tcPr>
            <w:shd w:val="clear" w:color="auto" w:fill="auto"/>
            <w:tcBorders>
              <w:top w:val="single" w:color="auto" w:sz="12"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序号</w:t>
            </w:r>
            <w:r/>
          </w:p>
        </w:tc>
        <w:tc>
          <w:tcPr>
            <w:shd w:val="clear" w:color="auto" w:fill="auto"/>
            <w:tcBorders>
              <w:top w:val="single" w:color="auto" w:sz="12"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评审因素</w:t>
            </w:r>
            <w:r/>
          </w:p>
        </w:tc>
        <w:tc>
          <w:tcPr>
            <w:shd w:val="clear" w:color="auto" w:fill="auto"/>
            <w:tcBorders>
              <w:top w:val="single" w:color="auto" w:sz="12"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分值</w:t>
            </w:r>
            <w:r/>
          </w:p>
        </w:tc>
        <w:tc>
          <w:tcPr>
            <w:shd w:val="clear" w:color="auto" w:fill="auto"/>
            <w:tcBorders>
              <w:top w:val="single" w:color="auto" w:sz="12" w:space="0"/>
              <w:left w:val="single" w:color="auto" w:sz="6" w:space="0"/>
              <w:bottom w:val="single" w:color="auto" w:sz="6" w:space="0"/>
              <w:right w:val="single" w:color="auto" w:sz="6" w:space="0"/>
            </w:tcBorders>
            <w:tcW w:w="580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评审要求或标准</w:t>
            </w:r>
            <w:r/>
          </w:p>
        </w:tc>
        <w:tc>
          <w:tcPr>
            <w:shd w:val="clear" w:color="auto" w:fill="auto"/>
            <w:tcBorders>
              <w:top w:val="single" w:color="auto" w:sz="12" w:space="0"/>
              <w:left w:val="single" w:color="auto" w:sz="6" w:space="0"/>
              <w:bottom w:val="single" w:color="auto" w:sz="6" w:space="0"/>
              <w:right w:val="single" w:color="auto" w:sz="12" w:space="0"/>
            </w:tcBorders>
            <w:tcW w:w="600"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得分</w:t>
            </w:r>
            <w:r/>
          </w:p>
        </w:tc>
      </w:tr>
      <w:tr>
        <w:trPr>
          <w:trHeight w:val="409"/>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价格</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30</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采用低价优先法，即满足评标要求且价格最低价作为评标基准，其价格分为满分。其他响应供应商的价格分按照下列公式计算：</w:t>
            </w:r>
            <w:r>
              <w:rPr>
                <w:rFonts w:hint="eastAsia" w:ascii="仿宋" w:hAnsi="仿宋" w:eastAsia="仿宋" w:cs="仿宋"/>
                <w:sz w:val="28"/>
                <w:szCs w:val="28"/>
                <w:lang w:eastAsia="zh-CN"/>
              </w:rPr>
              <w:t xml:space="preserve">最后</w:t>
            </w:r>
            <w:r>
              <w:rPr>
                <w:rFonts w:hint="eastAsia" w:ascii="仿宋" w:hAnsi="仿宋" w:eastAsia="仿宋" w:cs="仿宋"/>
                <w:sz w:val="28"/>
                <w:szCs w:val="28"/>
              </w:rPr>
              <w:t xml:space="preserve">报价得分=（评标基准</w:t>
            </w:r>
            <w:r>
              <w:rPr>
                <w:rFonts w:hint="eastAsia" w:ascii="仿宋" w:hAnsi="仿宋" w:eastAsia="仿宋" w:cs="仿宋"/>
                <w:sz w:val="28"/>
                <w:szCs w:val="28"/>
                <w:lang w:eastAsia="zh-CN"/>
              </w:rPr>
              <w:t xml:space="preserve">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最后</w:t>
            </w:r>
            <w:r>
              <w:rPr>
                <w:rFonts w:hint="eastAsia" w:ascii="仿宋" w:hAnsi="仿宋" w:eastAsia="仿宋" w:cs="仿宋"/>
                <w:sz w:val="28"/>
                <w:szCs w:val="28"/>
              </w:rPr>
              <w:t xml:space="preserve">报价）×价格分值。</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企业体系认证</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widowControl/>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widowControl/>
              <w:rPr>
                <w:rFonts w:ascii="仿宋" w:hAnsi="仿宋" w:eastAsia="仿宋" w:cs="仿宋"/>
                <w:b/>
                <w:bCs/>
                <w:sz w:val="28"/>
                <w:szCs w:val="28"/>
              </w:rPr>
            </w:pPr>
            <w:r>
              <w:rPr>
                <w:rFonts w:hint="eastAsia" w:ascii="仿宋" w:hAnsi="仿宋" w:eastAsia="仿宋" w:cs="仿宋"/>
                <w:sz w:val="28"/>
                <w:szCs w:val="28"/>
              </w:rPr>
              <w:t xml:space="preserve">供应商具有ISO14001环境管理体系认证、ISO9001质量管理体系认证、ISO45001职业健康安全管理体系认证证书、ISO27001 信息安全管理体系认证证书，具备以上资质每项得1分。</w:t>
            </w:r>
            <w:r>
              <w:rPr>
                <w:rFonts w:hint="eastAsia" w:ascii="仿宋" w:hAnsi="仿宋" w:eastAsia="仿宋" w:cs="仿宋"/>
                <w:b/>
                <w:bCs/>
                <w:sz w:val="28"/>
                <w:szCs w:val="28"/>
              </w:rPr>
              <w:t xml:space="preserve">本项最高得4分。</w:t>
            </w:r>
            <w:r/>
          </w:p>
          <w:p>
            <w:pPr>
              <w:ind w:firstLine="562"/>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须提供相应认证证书复印件和全国认证认可信息公共服务平台查询截图加盖响应供应商公章加盖公章，提供不全不得分。</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业绩</w:t>
            </w:r>
            <w:r/>
          </w:p>
          <w:p>
            <w:pPr>
              <w:jc w:val="center"/>
              <w:spacing w:line="440" w:lineRule="exact"/>
              <w:rPr>
                <w:rFonts w:ascii="仿宋" w:hAnsi="仿宋" w:eastAsia="仿宋" w:cs="仿宋"/>
                <w:sz w:val="28"/>
                <w:szCs w:val="28"/>
              </w:rPr>
            </w:pPr>
            <w:r>
              <w:rPr>
                <w:rFonts w:hint="eastAsia" w:ascii="仿宋" w:hAnsi="仿宋" w:eastAsia="仿宋" w:cs="仿宋"/>
                <w:color w:val="000000"/>
                <w:sz w:val="28"/>
                <w:szCs w:val="28"/>
              </w:rPr>
              <w:t xml:space="preserve">情况</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15</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widowControl/>
              <w:rPr>
                <w:rFonts w:hint="eastAsia" w:ascii="仿宋" w:hAnsi="仿宋" w:eastAsia="仿宋" w:cs="仿宋"/>
                <w:sz w:val="28"/>
                <w:szCs w:val="28"/>
                <w:highlight w:val="none"/>
                <w:lang w:eastAsia="zh-CN"/>
              </w:rPr>
            </w:pPr>
            <w:r>
              <w:rPr>
                <w:rFonts w:hint="eastAsia" w:ascii="仿宋" w:hAnsi="仿宋" w:eastAsia="仿宋" w:cs="仿宋"/>
                <w:sz w:val="28"/>
                <w:szCs w:val="28"/>
              </w:rPr>
              <w:t xml:space="preserve">1.供应商自2024年1月1日起至今（以合同签署日期为准）有地表水水质自动监测站运维经验情况（所提供的水站运维业绩需包含至少pH、溶解氧、浊度、水温、电导率，高锰酸盐</w:t>
            </w:r>
            <w:r>
              <w:rPr>
                <w:rFonts w:hint="eastAsia" w:ascii="仿宋" w:hAnsi="仿宋" w:eastAsia="仿宋" w:cs="仿宋"/>
                <w:sz w:val="28"/>
                <w:szCs w:val="28"/>
                <w:highlight w:val="none"/>
              </w:rPr>
              <w:t xml:space="preserve">指数，氨氮，总磷，总氮九个内容）：承担过</w:t>
            </w:r>
            <w:r>
              <w:rPr>
                <w:rFonts w:hint="eastAsia" w:ascii="仿宋" w:hAnsi="仿宋" w:eastAsia="仿宋" w:cs="仿宋"/>
                <w:sz w:val="28"/>
                <w:szCs w:val="28"/>
                <w:highlight w:val="none"/>
                <w:lang w:eastAsia="zh-CN"/>
              </w:rPr>
              <w:t xml:space="preserve">国家地表水水质自动监测站的得</w:t>
            </w:r>
            <w:r>
              <w:rPr>
                <w:rFonts w:hint="eastAsia" w:ascii="仿宋" w:hAnsi="仿宋" w:eastAsia="仿宋" w:cs="仿宋"/>
                <w:sz w:val="28"/>
                <w:szCs w:val="28"/>
                <w:highlight w:val="none"/>
                <w:lang w:val="en-US" w:eastAsia="zh-CN"/>
              </w:rPr>
              <w:t xml:space="preserve">3分，最高得3分；</w:t>
            </w:r>
            <w:r>
              <w:rPr>
                <w:rFonts w:hint="eastAsia" w:ascii="仿宋" w:hAnsi="仿宋" w:eastAsia="仿宋" w:cs="仿宋"/>
                <w:sz w:val="28"/>
                <w:szCs w:val="28"/>
                <w:highlight w:val="none"/>
              </w:rPr>
              <w:t xml:space="preserve">承担过</w:t>
            </w:r>
            <w:r>
              <w:rPr>
                <w:rFonts w:hint="eastAsia" w:ascii="仿宋" w:hAnsi="仿宋" w:eastAsia="仿宋" w:cs="仿宋"/>
                <w:sz w:val="28"/>
                <w:szCs w:val="28"/>
                <w:highlight w:val="none"/>
                <w:lang w:eastAsia="zh-CN"/>
              </w:rPr>
              <w:t xml:space="preserve">省级地表水水质自动监测站的得</w:t>
            </w:r>
            <w:r>
              <w:rPr>
                <w:rFonts w:hint="eastAsia" w:ascii="仿宋" w:hAnsi="仿宋" w:eastAsia="仿宋" w:cs="仿宋"/>
                <w:sz w:val="28"/>
                <w:szCs w:val="28"/>
                <w:highlight w:val="none"/>
                <w:lang w:val="en-US" w:eastAsia="zh-CN"/>
              </w:rPr>
              <w:t xml:space="preserve">3分，最高得3分；</w:t>
            </w:r>
            <w:r>
              <w:rPr>
                <w:rFonts w:hint="eastAsia" w:ascii="仿宋" w:hAnsi="仿宋" w:eastAsia="仿宋" w:cs="仿宋"/>
                <w:sz w:val="28"/>
                <w:szCs w:val="28"/>
                <w:highlight w:val="none"/>
              </w:rPr>
              <w:t xml:space="preserve">承担过</w:t>
            </w:r>
            <w:r>
              <w:rPr>
                <w:rFonts w:hint="eastAsia" w:ascii="仿宋" w:hAnsi="仿宋" w:eastAsia="仿宋" w:cs="仿宋"/>
                <w:sz w:val="28"/>
                <w:szCs w:val="28"/>
                <w:highlight w:val="none"/>
                <w:lang w:eastAsia="zh-CN"/>
              </w:rPr>
              <w:t xml:space="preserve">市级地表水水质自动监测站</w:t>
            </w:r>
            <w:r>
              <w:rPr>
                <w:rFonts w:hint="eastAsia" w:ascii="仿宋" w:hAnsi="仿宋" w:eastAsia="仿宋" w:cs="仿宋"/>
                <w:sz w:val="28"/>
                <w:szCs w:val="28"/>
                <w:highlight w:val="none"/>
              </w:rPr>
              <w:t xml:space="preserve">的得3分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最高得3分</w:t>
            </w:r>
            <w:r>
              <w:rPr>
                <w:rFonts w:hint="eastAsia" w:ascii="仿宋" w:hAnsi="仿宋" w:eastAsia="仿宋" w:cs="仿宋"/>
                <w:sz w:val="28"/>
                <w:szCs w:val="28"/>
                <w:highlight w:val="none"/>
                <w:lang w:eastAsia="zh-CN"/>
              </w:rPr>
              <w:t xml:space="preserve">。</w:t>
            </w:r>
            <w:r/>
          </w:p>
          <w:p>
            <w:pPr>
              <w:jc w:val="left"/>
              <w:spacing w:line="440" w:lineRule="exact"/>
              <w:widowControl/>
              <w:rPr>
                <w:rFonts w:ascii="仿宋" w:hAnsi="仿宋" w:eastAsia="仿宋" w:cs="仿宋"/>
                <w:sz w:val="28"/>
                <w:szCs w:val="28"/>
                <w:highlight w:val="none"/>
              </w:rPr>
            </w:pPr>
            <w:r>
              <w:rPr>
                <w:rFonts w:hint="eastAsia" w:ascii="仿宋" w:hAnsi="仿宋" w:eastAsia="仿宋" w:cs="仿宋"/>
                <w:b/>
                <w:bCs/>
                <w:sz w:val="28"/>
                <w:szCs w:val="28"/>
                <w:highlight w:val="none"/>
              </w:rPr>
              <w:t xml:space="preserve">本项最高得9分</w:t>
            </w:r>
            <w:r>
              <w:rPr>
                <w:rFonts w:hint="eastAsia" w:ascii="仿宋" w:hAnsi="仿宋" w:eastAsia="仿宋" w:cs="仿宋"/>
                <w:sz w:val="28"/>
                <w:szCs w:val="28"/>
                <w:highlight w:val="none"/>
              </w:rPr>
              <w:t xml:space="preserve">；</w:t>
            </w:r>
            <w:r/>
          </w:p>
          <w:p>
            <w:pPr>
              <w:jc w:val="left"/>
              <w:spacing w:line="440" w:lineRule="exact"/>
              <w:widowControl/>
              <w:rPr>
                <w:rFonts w:hint="eastAsia" w:ascii="仿宋" w:hAnsi="仿宋" w:eastAsia="仿宋" w:cs="仿宋"/>
                <w:sz w:val="28"/>
                <w:szCs w:val="28"/>
              </w:rPr>
            </w:pPr>
            <w:r>
              <w:rPr>
                <w:rFonts w:hint="eastAsia" w:ascii="仿宋" w:hAnsi="仿宋" w:eastAsia="仿宋" w:cs="仿宋"/>
                <w:sz w:val="28"/>
                <w:szCs w:val="28"/>
                <w:highlight w:val="none"/>
              </w:rPr>
              <w:t xml:space="preserve">2.承担过水质自动站挥发酚、总有机碳、挥发性有机物、生物毒性、叶绿</w:t>
            </w:r>
            <w:r>
              <w:rPr>
                <w:rFonts w:hint="eastAsia" w:ascii="仿宋" w:hAnsi="仿宋" w:eastAsia="仿宋" w:cs="仿宋"/>
                <w:sz w:val="28"/>
                <w:szCs w:val="28"/>
              </w:rPr>
              <w:t xml:space="preserve">素、蓝绿藻指标运维的，有一项计1分。</w:t>
            </w:r>
            <w:r/>
          </w:p>
          <w:p>
            <w:pPr>
              <w:jc w:val="left"/>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本项最高得6分。</w:t>
            </w:r>
            <w:r/>
          </w:p>
          <w:p>
            <w:pPr>
              <w:ind w:firstLine="562"/>
              <w:spacing w:line="440" w:lineRule="exact"/>
              <w:widowControl/>
              <w:rPr>
                <w:rFonts w:ascii="宋体" w:hAnsi="宋体" w:eastAsia="仿宋" w:cs="宋体"/>
                <w:color w:val="000000"/>
                <w:sz w:val="28"/>
                <w:szCs w:val="28"/>
              </w:rPr>
            </w:pPr>
            <w:r>
              <w:rPr>
                <w:rFonts w:hint="eastAsia" w:ascii="仿宋" w:hAnsi="仿宋" w:eastAsia="仿宋" w:cs="仿宋"/>
                <w:b/>
                <w:sz w:val="28"/>
                <w:szCs w:val="28"/>
              </w:rPr>
              <w:t xml:space="preserve">以上业绩须提供终端业主采购合同、发票复印件（至少30%合同款）、并附水质自动站类型证明。不提供或提供不全不得分。</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3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运维及质控、应急、设备的保养与问题排查、交接方案</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供应商根据本项目的情况提供详细的运维实施方案，包括但不限于以下内容：</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1.日常管理制度、维护工作流程；</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2.管理体系文件、水站运维作业指导书；</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3.备品备件保障、试剂和标准样品管理；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4.日常质控方式、运维质量考核办法；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提供针对数据或水质异常和不可抗力导致不具备运维条件的应急预案，内容包括但不限于：</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1.异常数据识别办法、响应办法；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2.应急监测流程、人工采/送样流程；</w:t>
            </w:r>
            <w:r/>
          </w:p>
          <w:p>
            <w:pPr>
              <w:jc w:val="left"/>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3.污染事故应急监测方案、补充监测方案</w:t>
            </w:r>
            <w:r>
              <w:rPr>
                <w:rFonts w:hint="eastAsia" w:ascii="仿宋" w:hAnsi="仿宋" w:eastAsia="仿宋" w:cs="仿宋"/>
                <w:sz w:val="28"/>
                <w:szCs w:val="28"/>
                <w:lang w:val="en-US" w:eastAsia="zh-CN"/>
              </w:rPr>
              <w:t xml:space="preserve">;</w:t>
            </w:r>
            <w:r/>
          </w:p>
          <w:p>
            <w:pPr>
              <w:jc w:val="left"/>
              <w:spacing w:line="440" w:lineRule="exact"/>
              <w:rPr>
                <w:sz w:val="28"/>
                <w:szCs w:val="28"/>
              </w:rPr>
            </w:pPr>
            <w:r>
              <w:rPr>
                <w:rFonts w:hint="eastAsia" w:ascii="仿宋" w:hAnsi="仿宋" w:eastAsia="仿宋" w:cs="仿宋"/>
                <w:sz w:val="28"/>
                <w:szCs w:val="28"/>
              </w:rPr>
              <w:t xml:space="preserve">4.故障维修办法。</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5.特殊时期（丰水期、枯水期）、自然灾害、水电检修、临时停电、节假日、被偷盗破坏等情况的有效预防和应急措施。</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供应商根据本项目的情况提供设备的保养与问题排查方案，需包含：</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1.设备运行中经常出现的异常情况排查、延长使用寿命的措施；</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2.磨损部件更换的周期，确保设备始终处于良好的技术状态。</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响应供应商根据项目需求提供运维交接实施方案，包括但不限于以下内容：</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1.责任分工；</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2.时间安排、人员安排；</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3.交接内容、交接流程等。</w:t>
            </w:r>
            <w:r/>
          </w:p>
          <w:p>
            <w:pPr>
              <w:ind w:firstLine="560"/>
              <w:spacing w:line="440" w:lineRule="exact"/>
              <w:rPr>
                <w:rFonts w:ascii="仿宋" w:hAnsi="仿宋" w:eastAsia="仿宋"/>
                <w:b/>
                <w:bCs/>
                <w:sz w:val="28"/>
                <w:szCs w:val="28"/>
              </w:rPr>
            </w:pPr>
            <w:r>
              <w:rPr>
                <w:rFonts w:hint="eastAsia" w:ascii="仿宋" w:hAnsi="仿宋" w:eastAsia="仿宋"/>
                <w:sz w:val="28"/>
                <w:szCs w:val="28"/>
              </w:rPr>
              <w:t xml:space="preserve">上述4方面内容中(共14小项）每缺少一项内容扣1分，每有一处需求分析内容存在缺陷或不足的扣0.5分，扣完为止。</w:t>
            </w:r>
            <w:r>
              <w:rPr>
                <w:rFonts w:hint="eastAsia" w:ascii="仿宋" w:hAnsi="仿宋" w:eastAsia="仿宋"/>
                <w:b/>
                <w:bCs/>
                <w:sz w:val="28"/>
                <w:szCs w:val="28"/>
              </w:rPr>
              <w:t xml:space="preserve">本项最多高得14分。</w:t>
            </w:r>
            <w:r/>
          </w:p>
          <w:p>
            <w:pPr>
              <w:spacing w:line="440" w:lineRule="exact"/>
              <w:rPr>
                <w:rFonts w:ascii="仿宋" w:hAnsi="仿宋" w:eastAsia="仿宋"/>
                <w:b/>
                <w:bCs/>
                <w:sz w:val="28"/>
                <w:szCs w:val="28"/>
              </w:rPr>
            </w:pPr>
            <w:r>
              <w:rPr>
                <w:rFonts w:hint="eastAsia" w:ascii="仿宋" w:hAnsi="仿宋" w:eastAsia="仿宋"/>
                <w:b/>
                <w:bCs/>
                <w:sz w:val="28"/>
                <w:szCs w:val="28"/>
              </w:rPr>
              <w:t xml:space="preserve">注：实施方案内容存在缺陷或不足是指以下任意一种情形：</w:t>
            </w:r>
            <w:r/>
          </w:p>
          <w:p>
            <w:pPr>
              <w:spacing w:line="440" w:lineRule="exact"/>
              <w:rPr>
                <w:rFonts w:ascii="仿宋" w:hAnsi="仿宋" w:eastAsia="仿宋" w:cs="仿宋"/>
                <w:sz w:val="28"/>
                <w:szCs w:val="28"/>
              </w:rPr>
            </w:pPr>
            <w:r>
              <w:rPr>
                <w:rFonts w:hint="eastAsia" w:ascii="仿宋" w:hAnsi="仿宋" w:eastAsia="仿宋"/>
                <w:b/>
                <w:bCs/>
                <w:sz w:val="28"/>
                <w:szCs w:val="28"/>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运维备机及质控设备配置</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widowControl/>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响应供应商根据项目需求提供仪器备机、监测设备及质控设备配置情况：</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1.备机包含常规五参数（水温、pH值、溶解氧、电导率和浊度）、氨氮、高锰酸盐指数、总氮、总磷、叶绿素、蓝绿藻、生物毒性、挥发酚、挥发性有机物、总有机碳仪器的，得5分；</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备机仅为常规五参数（水温、pH值、溶解氧、电导率和浊度）、氨氮、高锰酸盐指数、总氮、总磷的得2分；其他均不得分。</w:t>
            </w:r>
            <w:r/>
          </w:p>
          <w:p>
            <w:pPr>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2.质控设备包含常规五参数（水温、pH值、溶解氧、电导率和浊度）等便携式监测仪器得1分；其他均不得分。</w:t>
            </w:r>
            <w:r/>
          </w:p>
          <w:p>
            <w:pPr>
              <w:ind w:firstLine="562"/>
              <w:spacing w:line="440" w:lineRule="exact"/>
              <w:widowControl/>
              <w:rPr>
                <w:rFonts w:ascii="仿宋" w:hAnsi="仿宋" w:eastAsia="仿宋" w:cs="仿宋"/>
                <w:sz w:val="28"/>
                <w:szCs w:val="28"/>
              </w:rPr>
            </w:pPr>
            <w:r>
              <w:rPr>
                <w:rFonts w:hint="eastAsia" w:ascii="仿宋" w:hAnsi="仿宋" w:eastAsia="仿宋" w:cs="仿宋"/>
                <w:b/>
                <w:bCs/>
                <w:sz w:val="28"/>
                <w:szCs w:val="28"/>
              </w:rPr>
              <w:t xml:space="preserve">须提供详细的相关证明材料，包括但不限于采购合同或其他佐证具有使用权的证明材料、仪器序号，仪器名称、仪器型号、仪器编号、监测指标、监测方法原理及照片、有效的检定证书等证明材料。</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90"/>
        </w:trPr>
        <w:tc>
          <w:tcPr>
            <w:shd w:val="clear" w:color="auto" w:fill="auto"/>
            <w:tcBorders>
              <w:top w:val="single" w:color="auto" w:sz="6" w:space="0"/>
              <w:left w:val="single" w:color="auto" w:sz="12" w:space="0"/>
              <w:right w:val="single" w:color="auto" w:sz="6" w:space="0"/>
            </w:tcBorders>
            <w:tcW w:w="692" w:type="dxa"/>
            <w:vAlign w:val="center"/>
            <w:vMerge w:val="restart"/>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single" w:color="auto" w:sz="6" w:space="0"/>
              <w:left w:val="single" w:color="auto" w:sz="6" w:space="0"/>
              <w:right w:val="single" w:color="auto" w:sz="6" w:space="0"/>
            </w:tcBorders>
            <w:tcW w:w="1183" w:type="dxa"/>
            <w:vAlign w:val="center"/>
            <w:vMerge w:val="restart"/>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人员与车辆配置</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12</w:t>
            </w:r>
            <w:r/>
          </w:p>
        </w:tc>
        <w:tc>
          <w:tcPr>
            <w:shd w:val="clear" w:color="auto" w:fill="auto"/>
            <w:tcBorders>
              <w:top w:val="single" w:color="auto" w:sz="6" w:space="0"/>
              <w:left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响应供应商根据项目需求提供相关人员配置情况：</w:t>
            </w:r>
            <w:r/>
          </w:p>
          <w:p>
            <w:pPr>
              <w:jc w:val="left"/>
              <w:spacing w:line="440" w:lineRule="exact"/>
              <w:rPr>
                <w:rFonts w:ascii="仿宋" w:hAnsi="仿宋" w:eastAsia="仿宋" w:cs="仿宋"/>
                <w:sz w:val="28"/>
                <w:szCs w:val="28"/>
                <w:highlight w:val="none"/>
              </w:rPr>
            </w:pPr>
            <w:r>
              <w:rPr>
                <w:rFonts w:hint="eastAsia" w:ascii="仿宋" w:hAnsi="仿宋" w:eastAsia="仿宋" w:cs="仿宋"/>
                <w:sz w:val="28"/>
                <w:szCs w:val="28"/>
              </w:rPr>
              <w:t xml:space="preserve">1.</w:t>
            </w:r>
            <w:r>
              <w:rPr>
                <w:rFonts w:hint="eastAsia" w:ascii="仿宋" w:hAnsi="仿宋" w:eastAsia="仿宋" w:cs="仿宋"/>
                <w:b/>
                <w:bCs/>
                <w:sz w:val="28"/>
                <w:szCs w:val="28"/>
              </w:rPr>
              <w:t xml:space="preserve">项目负</w:t>
            </w:r>
            <w:r>
              <w:rPr>
                <w:rFonts w:hint="eastAsia" w:ascii="仿宋" w:hAnsi="仿宋" w:eastAsia="仿宋" w:cs="仿宋"/>
                <w:b/>
                <w:bCs/>
                <w:sz w:val="28"/>
                <w:szCs w:val="28"/>
                <w:highlight w:val="none"/>
              </w:rPr>
              <w:t xml:space="preserve">责人</w:t>
            </w:r>
            <w:r>
              <w:rPr>
                <w:rFonts w:hint="eastAsia" w:ascii="仿宋" w:hAnsi="仿宋" w:eastAsia="仿宋" w:cs="仿宋"/>
                <w:sz w:val="28"/>
                <w:szCs w:val="28"/>
                <w:highlight w:val="none"/>
              </w:rPr>
              <w:t xml:space="preserve">具备高级工程师及以上技术职称，且同时具有省级（含省级）以上水质自动监测站项目管理经历不少于3年的，得4分；</w:t>
            </w:r>
            <w:r/>
          </w:p>
          <w:p>
            <w:pPr>
              <w:jc w:val="left"/>
              <w:spacing w:line="440" w:lineRule="exact"/>
              <w:rPr>
                <w:rFonts w:ascii="仿宋" w:hAnsi="仿宋" w:eastAsia="仿宋" w:cs="仿宋"/>
                <w:sz w:val="28"/>
                <w:szCs w:val="28"/>
              </w:rPr>
            </w:pPr>
            <w:r>
              <w:rPr>
                <w:rFonts w:hint="eastAsia" w:ascii="仿宋" w:hAnsi="仿宋" w:eastAsia="仿宋" w:cs="仿宋"/>
                <w:b/>
                <w:bCs/>
                <w:sz w:val="28"/>
                <w:szCs w:val="28"/>
                <w:highlight w:val="none"/>
              </w:rPr>
              <w:t xml:space="preserve">项目负责人</w:t>
            </w:r>
            <w:r>
              <w:rPr>
                <w:rFonts w:hint="eastAsia" w:ascii="仿宋" w:hAnsi="仿宋" w:eastAsia="仿宋" w:cs="仿宋"/>
                <w:sz w:val="28"/>
                <w:szCs w:val="28"/>
                <w:highlight w:val="none"/>
              </w:rPr>
              <w:t xml:space="preserve">具备高级工程师及以上技术职称，且同时具有省级（含省级）以上</w:t>
            </w:r>
            <w:r>
              <w:rPr>
                <w:rFonts w:hint="eastAsia" w:ascii="仿宋" w:hAnsi="仿宋" w:eastAsia="仿宋" w:cs="仿宋"/>
                <w:sz w:val="28"/>
                <w:szCs w:val="28"/>
              </w:rPr>
              <w:t xml:space="preserve">水质自动监测站项目管理经历不少于1年的，得2分；</w:t>
            </w:r>
            <w:r/>
          </w:p>
          <w:p>
            <w:pPr>
              <w:jc w:val="left"/>
              <w:spacing w:line="440" w:lineRule="exact"/>
              <w:rPr>
                <w:rFonts w:ascii="仿宋" w:hAnsi="仿宋" w:eastAsia="仿宋" w:cs="仿宋"/>
                <w:b/>
                <w:bCs/>
                <w:sz w:val="28"/>
                <w:szCs w:val="28"/>
              </w:rPr>
            </w:pPr>
            <w:r>
              <w:rPr>
                <w:rFonts w:hint="eastAsia" w:ascii="仿宋" w:hAnsi="仿宋" w:eastAsia="仿宋" w:cs="仿宋"/>
                <w:b/>
                <w:bCs/>
                <w:sz w:val="28"/>
                <w:szCs w:val="28"/>
              </w:rPr>
              <w:t xml:space="preserve">本项最高得4分。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
                <w:bCs/>
                <w:sz w:val="28"/>
                <w:szCs w:val="28"/>
              </w:rPr>
              <w:t xml:space="preserve">驻站人员</w:t>
            </w:r>
            <w:r>
              <w:rPr>
                <w:rFonts w:hint="eastAsia" w:ascii="仿宋" w:hAnsi="仿宋" w:eastAsia="仿宋" w:cs="仿宋"/>
                <w:sz w:val="28"/>
                <w:szCs w:val="28"/>
              </w:rPr>
              <w:t xml:space="preserve">符合项目要求的同时，具备工程师及以上技术职称，且同时具有市级（含市级）以上水质自动监测站运维工作经历不少于3年的，得4分；</w:t>
            </w:r>
            <w:r/>
          </w:p>
          <w:p>
            <w:pPr>
              <w:jc w:val="left"/>
              <w:spacing w:line="440" w:lineRule="exact"/>
              <w:rPr>
                <w:rFonts w:ascii="仿宋" w:hAnsi="仿宋" w:eastAsia="仿宋" w:cs="仿宋"/>
                <w:sz w:val="28"/>
                <w:szCs w:val="28"/>
              </w:rPr>
            </w:pPr>
            <w:r>
              <w:rPr>
                <w:rFonts w:hint="eastAsia" w:ascii="仿宋" w:hAnsi="仿宋" w:eastAsia="仿宋" w:cs="仿宋"/>
                <w:b/>
                <w:bCs/>
                <w:sz w:val="28"/>
                <w:szCs w:val="28"/>
              </w:rPr>
              <w:t xml:space="preserve">驻站人员</w:t>
            </w:r>
            <w:r>
              <w:rPr>
                <w:rFonts w:hint="eastAsia" w:ascii="仿宋" w:hAnsi="仿宋" w:eastAsia="仿宋" w:cs="仿宋"/>
                <w:sz w:val="28"/>
                <w:szCs w:val="28"/>
              </w:rPr>
              <w:t xml:space="preserve">符合项目要求的同时，具备工程师及以上技术职称，且同时具有市级（含市级）以上水质自动监测站运维工作经历不少于1年的，得2分；</w:t>
            </w:r>
            <w:r>
              <w:rPr>
                <w:rFonts w:hint="eastAsia" w:ascii="仿宋" w:hAnsi="仿宋" w:eastAsia="仿宋" w:cs="仿宋"/>
                <w:b/>
                <w:bCs/>
                <w:sz w:val="28"/>
                <w:szCs w:val="28"/>
              </w:rPr>
              <w:t xml:space="preserve">本项最高得4分。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b/>
                <w:bCs/>
                <w:sz w:val="28"/>
                <w:szCs w:val="28"/>
              </w:rPr>
              <w:t xml:space="preserve">现场运行维护人员</w:t>
            </w:r>
            <w:r>
              <w:rPr>
                <w:rFonts w:hint="eastAsia" w:ascii="仿宋" w:hAnsi="仿宋" w:eastAsia="仿宋" w:cs="仿宋"/>
                <w:sz w:val="28"/>
                <w:szCs w:val="28"/>
              </w:rPr>
              <w:t xml:space="preserve">符合项目要求的同时，具备全日制本科及以上学历，且同时具有省级（含省级）以上水质自动监测站运行维护服务经历不少于3年的，得4分；</w:t>
            </w:r>
            <w:r/>
          </w:p>
          <w:p>
            <w:pPr>
              <w:jc w:val="left"/>
              <w:spacing w:line="440" w:lineRule="exact"/>
              <w:rPr>
                <w:rFonts w:ascii="仿宋" w:hAnsi="仿宋" w:eastAsia="仿宋" w:cs="仿宋"/>
                <w:sz w:val="28"/>
                <w:szCs w:val="28"/>
              </w:rPr>
            </w:pPr>
            <w:r>
              <w:rPr>
                <w:rFonts w:hint="eastAsia" w:ascii="仿宋" w:hAnsi="仿宋" w:eastAsia="仿宋" w:cs="仿宋"/>
                <w:b/>
                <w:bCs/>
                <w:sz w:val="28"/>
                <w:szCs w:val="28"/>
              </w:rPr>
              <w:t xml:space="preserve">现场运行维护人员</w:t>
            </w:r>
            <w:r>
              <w:rPr>
                <w:rFonts w:hint="eastAsia" w:ascii="仿宋" w:hAnsi="仿宋" w:eastAsia="仿宋" w:cs="仿宋"/>
                <w:sz w:val="28"/>
                <w:szCs w:val="28"/>
              </w:rPr>
              <w:t xml:space="preserve">符合项目要求的同时，具备全日制本科及以上学历，且同时具有省级（含省级）以上水质自动监测站运行维护服务经历不少于1年的，得2分；</w:t>
            </w:r>
            <w:r>
              <w:rPr>
                <w:rFonts w:hint="eastAsia" w:ascii="仿宋" w:hAnsi="仿宋" w:eastAsia="仿宋" w:cs="仿宋"/>
                <w:b/>
                <w:bCs/>
                <w:sz w:val="28"/>
                <w:szCs w:val="28"/>
              </w:rPr>
              <w:t xml:space="preserve">本项最高得4分。</w:t>
            </w:r>
            <w:r/>
          </w:p>
          <w:p>
            <w:pPr>
              <w:ind w:firstLine="562"/>
              <w:spacing w:line="440" w:lineRule="exact"/>
              <w:rPr>
                <w:rFonts w:ascii="仿宋" w:hAnsi="仿宋" w:eastAsia="仿宋" w:cs="仿宋"/>
                <w:b/>
                <w:bCs/>
                <w:sz w:val="28"/>
                <w:szCs w:val="28"/>
              </w:rPr>
            </w:pPr>
            <w:r>
              <w:rPr>
                <w:rFonts w:hint="eastAsia" w:ascii="仿宋" w:hAnsi="仿宋" w:eastAsia="仿宋" w:cs="仿宋"/>
                <w:b/>
                <w:bCs/>
                <w:sz w:val="28"/>
                <w:szCs w:val="28"/>
              </w:rPr>
              <w:t xml:space="preserve">须提供详细的人员列表及技术能力证明材料。</w:t>
            </w:r>
            <w:r/>
          </w:p>
          <w:p>
            <w:pP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①提供相关人员的学历证书复印件、职称证书复印件、培训合格证复印件等证明材料。</w:t>
            </w:r>
            <w:r/>
          </w:p>
          <w:p>
            <w:pPr>
              <w:spacing w:line="440" w:lineRule="exact"/>
              <w:rPr>
                <w:rFonts w:ascii="仿宋" w:hAnsi="仿宋" w:eastAsia="仿宋" w:cs="仿宋"/>
                <w:b/>
                <w:bCs/>
                <w:sz w:val="28"/>
                <w:szCs w:val="28"/>
              </w:rPr>
            </w:pPr>
            <w:r>
              <w:rPr>
                <w:rFonts w:hint="eastAsia" w:ascii="仿宋" w:hAnsi="仿宋" w:eastAsia="仿宋" w:cs="仿宋"/>
                <w:b/>
                <w:bCs/>
                <w:sz w:val="28"/>
                <w:szCs w:val="28"/>
              </w:rPr>
              <w:t xml:space="preserve">②提供相关经历表、运维合同、运维服务单位开具的工作证明并加盖公章等证明材料。</w:t>
            </w:r>
            <w:r/>
          </w:p>
          <w:p>
            <w:pPr>
              <w:spacing w:line="440" w:lineRule="exact"/>
              <w:rPr>
                <w:rFonts w:ascii="仿宋" w:hAnsi="仿宋" w:eastAsia="仿宋" w:cs="仿宋"/>
                <w:sz w:val="28"/>
                <w:szCs w:val="28"/>
              </w:rPr>
            </w:pPr>
            <w:r>
              <w:rPr>
                <w:rFonts w:hint="eastAsia" w:ascii="仿宋" w:hAnsi="仿宋" w:eastAsia="仿宋" w:cs="仿宋"/>
                <w:b/>
                <w:bCs/>
                <w:sz w:val="28"/>
                <w:szCs w:val="28"/>
              </w:rPr>
              <w:t xml:space="preserve">③提供现场运行维护人员专职为本项目服务的承诺书（格式自拟）。</w:t>
            </w:r>
            <w:r/>
          </w:p>
        </w:tc>
        <w:tc>
          <w:tcPr>
            <w:shd w:val="clear" w:color="auto" w:fill="auto"/>
            <w:tcBorders>
              <w:top w:val="single" w:color="auto" w:sz="6" w:space="0"/>
              <w:left w:val="single" w:color="auto" w:sz="6" w:space="0"/>
              <w:right w:val="single" w:color="auto" w:sz="12" w:space="0"/>
            </w:tcBorders>
            <w:tcW w:w="600" w:type="dxa"/>
            <w:vMerge w:val="restart"/>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90"/>
        </w:trPr>
        <w:tc>
          <w:tcPr>
            <w:shd w:val="clear" w:color="auto" w:fill="auto"/>
            <w:tcBorders>
              <w:left w:val="single" w:color="auto" w:sz="12" w:space="0"/>
              <w:bottom w:val="single" w:color="auto" w:sz="6" w:space="0"/>
              <w:right w:val="single" w:color="auto" w:sz="6" w:space="0"/>
            </w:tcBorders>
            <w:tcW w:w="692" w:type="dxa"/>
            <w:vAlign w:val="center"/>
            <w:vMerge w:val="continue"/>
            <w:textDirection w:val="lrTb"/>
            <w:noWrap/>
          </w:tcPr>
          <w:p>
            <w:pPr>
              <w:jc w:val="center"/>
              <w:spacing w:line="440" w:lineRule="exact"/>
              <w:rPr>
                <w:sz w:val="28"/>
                <w:szCs w:val="28"/>
              </w:rPr>
            </w:pPr>
            <w:r>
              <w:rPr>
                <w:sz w:val="28"/>
                <w:szCs w:val="28"/>
              </w:rPr>
            </w:r>
            <w:r/>
          </w:p>
        </w:tc>
        <w:tc>
          <w:tcPr>
            <w:shd w:val="clear" w:color="auto" w:fill="auto"/>
            <w:tcBorders>
              <w:left w:val="single" w:color="auto" w:sz="6" w:space="0"/>
              <w:bottom w:val="single" w:color="auto" w:sz="6" w:space="0"/>
              <w:right w:val="single" w:color="auto" w:sz="6" w:space="0"/>
            </w:tcBorders>
            <w:tcW w:w="1183" w:type="dxa"/>
            <w:vAlign w:val="center"/>
            <w:vMerge w:val="continue"/>
            <w:textDirection w:val="lrTb"/>
            <w:noWrap/>
          </w:tcPr>
          <w:p>
            <w:pPr>
              <w:jc w:val="center"/>
              <w:spacing w:line="440" w:lineRule="exact"/>
              <w:rPr>
                <w:sz w:val="28"/>
                <w:szCs w:val="28"/>
              </w:rPr>
            </w:pPr>
            <w:r>
              <w:rPr>
                <w:sz w:val="28"/>
                <w:szCs w:val="28"/>
              </w:rPr>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left w:val="single" w:color="auto" w:sz="6" w:space="0"/>
              <w:bottom w:val="single" w:color="auto" w:sz="6" w:space="0"/>
              <w:right w:val="single" w:color="auto" w:sz="6" w:space="0"/>
            </w:tcBorders>
            <w:tcW w:w="5807" w:type="dxa"/>
            <w:vAlign w:val="center"/>
            <w:textDirection w:val="lrTb"/>
            <w:noWrap/>
          </w:tcPr>
          <w:p>
            <w:pPr>
              <w:ind w:left="560" w:hanging="560"/>
              <w:jc w:val="left"/>
              <w:spacing w:line="440" w:lineRule="exact"/>
              <w:rPr>
                <w:rFonts w:ascii="仿宋" w:hAnsi="仿宋" w:eastAsia="仿宋" w:cs="仿宋"/>
                <w:sz w:val="28"/>
                <w:szCs w:val="28"/>
              </w:rPr>
            </w:pPr>
            <w:r>
              <w:rPr>
                <w:rFonts w:hint="eastAsia" w:ascii="仿宋" w:hAnsi="仿宋" w:eastAsia="仿宋" w:cs="仿宋"/>
                <w:sz w:val="28"/>
                <w:szCs w:val="28"/>
              </w:rPr>
              <w:t xml:space="preserve">响应供应商根据项目需求提供车辆配置情况：</w:t>
            </w:r>
            <w:r/>
          </w:p>
          <w:p>
            <w:pPr>
              <w:jc w:val="left"/>
              <w:spacing w:line="440" w:lineRule="exact"/>
              <w:rPr>
                <w:rFonts w:ascii="仿宋" w:hAnsi="仿宋" w:eastAsia="仿宋" w:cs="仿宋"/>
                <w:b/>
                <w:bCs/>
                <w:sz w:val="28"/>
                <w:szCs w:val="28"/>
              </w:rPr>
            </w:pPr>
            <w:r>
              <w:rPr>
                <w:rFonts w:hint="eastAsia" w:ascii="仿宋" w:hAnsi="仿宋" w:eastAsia="仿宋" w:cs="仿宋"/>
                <w:sz w:val="28"/>
                <w:szCs w:val="28"/>
              </w:rPr>
              <w:t xml:space="preserve">响应供应商为所投分包提供运维车辆2辆</w:t>
            </w:r>
            <w:r>
              <w:rPr>
                <w:rFonts w:hint="eastAsia" w:ascii="仿宋" w:hAnsi="仿宋" w:eastAsia="仿宋" w:cs="仿宋"/>
                <w:sz w:val="28"/>
                <w:szCs w:val="28"/>
                <w:lang w:eastAsia="zh-CN"/>
              </w:rPr>
              <w:t xml:space="preserve">及以上</w:t>
            </w:r>
            <w:r>
              <w:rPr>
                <w:rFonts w:hint="eastAsia" w:ascii="仿宋" w:hAnsi="仿宋" w:eastAsia="仿宋" w:cs="仿宋"/>
                <w:sz w:val="28"/>
                <w:szCs w:val="28"/>
              </w:rPr>
              <w:t xml:space="preserve">的得6分。</w:t>
            </w:r>
            <w:r>
              <w:rPr>
                <w:rFonts w:hint="eastAsia" w:ascii="仿宋" w:hAnsi="仿宋" w:eastAsia="仿宋" w:cs="仿宋"/>
                <w:b/>
                <w:bCs/>
                <w:sz w:val="28"/>
                <w:szCs w:val="28"/>
              </w:rPr>
              <w:t xml:space="preserve">本项最高得6分。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须提供车辆照片及车辆行驶证，购车或长期租用合同复印件等证明材料（租赁时间必须包含本项目的运维时间）。未按要求提供证明材料或证明材料不足以证明的，不得分。</w:t>
            </w:r>
            <w:r/>
          </w:p>
        </w:tc>
        <w:tc>
          <w:tcPr>
            <w:shd w:val="clear" w:color="auto" w:fill="auto"/>
            <w:tcBorders>
              <w:left w:val="single" w:color="auto" w:sz="6" w:space="0"/>
              <w:bottom w:val="single" w:color="auto" w:sz="6" w:space="0"/>
              <w:right w:val="single" w:color="auto" w:sz="12" w:space="0"/>
            </w:tcBorders>
            <w:tcW w:w="600" w:type="dxa"/>
            <w:vMerge w:val="continue"/>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服务能力</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b/>
                <w:bCs/>
                <w:sz w:val="28"/>
                <w:szCs w:val="28"/>
              </w:rPr>
            </w:pPr>
            <w:r>
              <w:rPr>
                <w:rFonts w:hint="eastAsia" w:ascii="仿宋" w:hAnsi="仿宋" w:eastAsia="仿宋" w:cs="仿宋"/>
                <w:sz w:val="28"/>
                <w:szCs w:val="28"/>
              </w:rPr>
              <w:t xml:space="preserve">1.供应商自有CMA实验室（含控股子公司）的得7分。实验室认证范围须包含pH、溶解氧、电导率、浊度、水温、氨氮、高锰酸盐指数、总磷、总氮，</w:t>
            </w:r>
            <w:r>
              <w:rPr>
                <w:rFonts w:hint="eastAsia" w:ascii="仿宋" w:hAnsi="仿宋" w:eastAsia="仿宋" w:cs="仿宋"/>
                <w:b/>
                <w:bCs/>
                <w:sz w:val="28"/>
                <w:szCs w:val="28"/>
              </w:rPr>
              <w:t xml:space="preserve">缺项的不得分</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本项最高7分。</w:t>
            </w:r>
            <w:r/>
          </w:p>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bidi="ar"/>
              </w:rPr>
              <w:t xml:space="preserve">供应商自有CMA实验室（含控股子公司）的</w:t>
            </w:r>
            <w:r>
              <w:rPr>
                <w:rFonts w:hint="eastAsia" w:ascii="仿宋" w:hAnsi="仿宋" w:eastAsia="仿宋" w:cs="仿宋"/>
                <w:sz w:val="28"/>
                <w:szCs w:val="28"/>
              </w:rPr>
              <w:t xml:space="preserve">认证范围包含挥发酚、总有机碳、挥发性有机物（二氯甲烷、反式-1,2-二氯乙烯、顺式-1,2-二氯乙烯、三氯甲烷、1,2-二氯乙烷、苯、甲苯、乙苯、对，间二甲苯、邻二甲苯、苯乙烯、异丙苯、二氯丙烷、三氯乙烯、四氯乙烯、氯苯、1,4-二氯苯、1,2-二氯苯）、生物毒性、叶绿素、蓝绿藻四项的，有一项得1分，</w:t>
            </w:r>
            <w:r>
              <w:rPr>
                <w:rFonts w:hint="eastAsia" w:ascii="仿宋" w:hAnsi="仿宋" w:eastAsia="仿宋" w:cs="仿宋"/>
                <w:b/>
                <w:bCs/>
                <w:sz w:val="28"/>
                <w:szCs w:val="28"/>
              </w:rPr>
              <w:t xml:space="preserve">本项最高4分。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以上1-2须提供实验室资质证书及涵盖本项目指标的计量认证复印件（如为委托的须提供委托证明资料），否则不予计分。 </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183"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其他特色服务</w:t>
            </w:r>
            <w:r/>
          </w:p>
        </w:tc>
        <w:tc>
          <w:tcPr>
            <w:shd w:val="clear" w:color="auto" w:fill="auto"/>
            <w:tcBorders>
              <w:top w:val="single" w:color="auto" w:sz="6" w:space="0"/>
              <w:left w:val="single" w:color="auto" w:sz="6" w:space="0"/>
              <w:bottom w:val="single" w:color="auto" w:sz="6"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5807" w:type="dxa"/>
            <w:vAlign w:val="center"/>
            <w:textDirection w:val="lrTb"/>
            <w:noWrap/>
          </w:tcPr>
          <w:p>
            <w:pPr>
              <w:jc w:val="left"/>
              <w:spacing w:line="440" w:lineRule="exact"/>
              <w:rPr>
                <w:rFonts w:ascii="仿宋" w:hAnsi="仿宋" w:eastAsia="仿宋" w:cs="仿宋"/>
                <w:sz w:val="28"/>
                <w:szCs w:val="28"/>
              </w:rPr>
            </w:pPr>
            <w:r>
              <w:rPr>
                <w:rFonts w:hint="eastAsia" w:ascii="仿宋" w:hAnsi="仿宋" w:eastAsia="仿宋" w:cs="仿宋"/>
                <w:sz w:val="28"/>
                <w:szCs w:val="28"/>
              </w:rPr>
              <w:t xml:space="preserve">能为所运维的站点（鹏鹞水源地、拉马河桥）提供日质控设备的（高锰酸盐指数、氨氮、总磷、总氮自动分析仪，日质控设备具备每日零点、跨度核查）得2分。</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须提供日质控设备的品牌、型号及相关证明材料，提供承诺函（格式自拟），不提供不得分。</w:t>
            </w:r>
            <w:r/>
          </w:p>
        </w:tc>
        <w:tc>
          <w:tcPr>
            <w:shd w:val="clear" w:color="auto" w:fill="auto"/>
            <w:tcBorders>
              <w:top w:val="single" w:color="auto" w:sz="6" w:space="0"/>
              <w:left w:val="single" w:color="auto" w:sz="6" w:space="0"/>
              <w:bottom w:val="single" w:color="auto" w:sz="6" w:space="0"/>
              <w:right w:val="single" w:color="auto" w:sz="12" w:space="0"/>
            </w:tcBorders>
            <w:tcW w:w="600" w:type="dxa"/>
            <w:textDirection w:val="lrTb"/>
            <w:noWrap/>
          </w:tcPr>
          <w:p>
            <w:pPr>
              <w:jc w:val="center"/>
              <w:spacing w:line="440" w:lineRule="exact"/>
              <w:rPr>
                <w:rFonts w:ascii="仿宋" w:hAnsi="仿宋" w:eastAsia="仿宋" w:cs="仿宋"/>
                <w:sz w:val="28"/>
                <w:szCs w:val="28"/>
                <w:highlight w:val="yellow"/>
              </w:rPr>
            </w:pPr>
            <w:r>
              <w:rPr>
                <w:rFonts w:ascii="仿宋" w:hAnsi="仿宋" w:eastAsia="仿宋" w:cs="仿宋"/>
                <w:sz w:val="28"/>
                <w:szCs w:val="28"/>
                <w:highlight w:val="yellow"/>
              </w:rPr>
            </w:r>
            <w:r/>
          </w:p>
        </w:tc>
      </w:tr>
      <w:tr>
        <w:trPr>
          <w:trHeight w:val="420"/>
        </w:trPr>
        <w:tc>
          <w:tcPr>
            <w:gridSpan w:val="2"/>
            <w:shd w:val="clear" w:color="auto" w:fill="auto"/>
            <w:tcBorders>
              <w:top w:val="single" w:color="auto" w:sz="6" w:space="0"/>
              <w:left w:val="single" w:color="auto" w:sz="12" w:space="0"/>
              <w:bottom w:val="single" w:color="auto" w:sz="12" w:space="0"/>
              <w:right w:val="single" w:color="auto" w:sz="6" w:space="0"/>
            </w:tcBorders>
            <w:tcW w:w="1875"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合计</w:t>
            </w:r>
            <w:r/>
          </w:p>
        </w:tc>
        <w:tc>
          <w:tcPr>
            <w:shd w:val="clear" w:color="auto" w:fill="auto"/>
            <w:tcBorders>
              <w:top w:val="single" w:color="auto" w:sz="6" w:space="0"/>
              <w:left w:val="single" w:color="auto" w:sz="6" w:space="0"/>
              <w:bottom w:val="single" w:color="auto" w:sz="12" w:space="0"/>
              <w:right w:val="single" w:color="auto" w:sz="6" w:space="0"/>
            </w:tcBorders>
            <w:tcW w:w="787" w:type="dxa"/>
            <w:vAlign w:val="center"/>
            <w:textDirection w:val="lrTb"/>
            <w:noWrap/>
          </w:tcPr>
          <w:p>
            <w:pPr>
              <w:jc w:val="center"/>
              <w:spacing w:line="440" w:lineRule="exact"/>
              <w:rPr>
                <w:rFonts w:ascii="仿宋" w:hAnsi="仿宋" w:eastAsia="仿宋" w:cs="仿宋"/>
                <w:sz w:val="28"/>
                <w:szCs w:val="28"/>
              </w:rPr>
            </w:pPr>
            <w:r>
              <w:rPr>
                <w:rFonts w:hint="eastAsia" w:ascii="仿宋" w:hAnsi="仿宋" w:eastAsia="仿宋" w:cs="仿宋"/>
                <w:sz w:val="28"/>
                <w:szCs w:val="28"/>
              </w:rPr>
              <w:t xml:space="preserve">100</w:t>
            </w:r>
            <w:r/>
          </w:p>
        </w:tc>
        <w:tc>
          <w:tcPr>
            <w:shd w:val="clear" w:color="auto" w:fill="auto"/>
            <w:tcBorders>
              <w:top w:val="single" w:color="auto" w:sz="6" w:space="0"/>
              <w:left w:val="single" w:color="auto" w:sz="6" w:space="0"/>
              <w:bottom w:val="single" w:color="auto" w:sz="12" w:space="0"/>
              <w:right w:val="single" w:color="auto" w:sz="6" w:space="0"/>
            </w:tcBorders>
            <w:tcW w:w="5807" w:type="dxa"/>
            <w:vAlign w:val="center"/>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c>
          <w:tcPr>
            <w:shd w:val="clear" w:color="auto" w:fill="auto"/>
            <w:tcBorders>
              <w:top w:val="single" w:color="auto" w:sz="6" w:space="0"/>
              <w:left w:val="single" w:color="auto" w:sz="6" w:space="0"/>
              <w:bottom w:val="single" w:color="auto" w:sz="12" w:space="0"/>
              <w:right w:val="single" w:color="auto" w:sz="12" w:space="0"/>
            </w:tcBorders>
            <w:tcW w:w="600" w:type="dxa"/>
            <w:textDirection w:val="lrTb"/>
            <w:noWrap/>
          </w:tcPr>
          <w:p>
            <w:pPr>
              <w:jc w:val="center"/>
              <w:spacing w:line="440" w:lineRule="exact"/>
              <w:rPr>
                <w:rFonts w:ascii="仿宋" w:hAnsi="仿宋" w:eastAsia="仿宋" w:cs="仿宋"/>
                <w:sz w:val="28"/>
                <w:szCs w:val="28"/>
              </w:rPr>
            </w:pPr>
            <w:r>
              <w:rPr>
                <w:rFonts w:ascii="仿宋" w:hAnsi="仿宋" w:eastAsia="仿宋" w:cs="仿宋"/>
                <w:sz w:val="28"/>
                <w:szCs w:val="28"/>
              </w:rPr>
            </w:r>
            <w:r/>
          </w:p>
        </w:tc>
      </w:tr>
    </w:tbl>
    <w:p>
      <w:pPr>
        <w:rPr>
          <w:rFonts w:ascii="仿宋" w:hAnsi="仿宋" w:eastAsia="仿宋"/>
          <w:b/>
          <w:bCs/>
          <w:sz w:val="30"/>
          <w:szCs w:val="30"/>
        </w:rPr>
        <w:outlineLvl w:val="1"/>
      </w:pPr>
      <w:r>
        <w:rPr>
          <w:rFonts w:ascii="仿宋" w:hAnsi="仿宋" w:eastAsia="仿宋"/>
          <w:b/>
          <w:bCs/>
          <w:sz w:val="30"/>
          <w:szCs w:val="30"/>
        </w:rPr>
      </w:r>
      <w:r/>
    </w:p>
    <w:p>
      <w:pPr>
        <w:pStyle w:val="95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rPr>
          <w:rFonts w:ascii="方正小标宋简体" w:eastAsia="方正小标宋简体"/>
          <w:bCs/>
          <w:sz w:val="32"/>
          <w:szCs w:val="32"/>
        </w:rPr>
      </w:pPr>
      <w:r>
        <w:rPr>
          <w:rFonts w:hint="eastAsia" w:ascii="方正小标宋简体" w:eastAsia="方正小标宋简体"/>
          <w:bCs/>
          <w:sz w:val="32"/>
          <w:szCs w:val="32"/>
        </w:rPr>
        <w:br w:type="page" w:clear="all"/>
      </w:r>
      <w:r/>
    </w:p>
    <w:p>
      <w:pPr>
        <w:pStyle w:val="954"/>
        <w:ind w:firstLine="0"/>
        <w:jc w:val="center"/>
        <w:spacing w:line="240" w:lineRule="auto"/>
        <w:rPr>
          <w:rFonts w:ascii="方正小标宋简体" w:eastAsia="方正小标宋简体"/>
          <w:bCs/>
          <w:sz w:val="32"/>
          <w:szCs w:val="32"/>
        </w:rPr>
      </w:pPr>
      <w:r>
        <w:rPr>
          <w:rFonts w:hint="eastAsia" w:ascii="方正小标宋简体" w:eastAsia="方正小标宋简体"/>
          <w:bCs/>
          <w:sz w:val="32"/>
          <w:szCs w:val="32"/>
        </w:rPr>
        <w:t xml:space="preserve">第六章 竞争性磋商响应文件组成</w:t>
      </w:r>
      <w:r/>
    </w:p>
    <w:p>
      <w:pPr>
        <w:pStyle w:val="95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927"/>
        <w:spacing w:line="240" w:lineRule="auto"/>
        <w:rPr>
          <w:rFonts w:ascii="文鼎CS楷体" w:eastAsia="文鼎CS楷体"/>
          <w:b/>
          <w:bCs/>
          <w:sz w:val="32"/>
          <w:szCs w:val="32"/>
        </w:rPr>
      </w:pPr>
      <w:r>
        <w:rPr>
          <w:rFonts w:ascii="文鼎CS楷体" w:eastAsia="文鼎CS楷体"/>
          <w:b/>
          <w:bCs/>
          <w:sz w:val="32"/>
          <w:szCs w:val="32"/>
        </w:rPr>
      </w:r>
      <w:r/>
    </w:p>
    <w:p>
      <w:pPr>
        <w:pStyle w:val="927"/>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宋体" w:hAnsi="宋体"/>
          <w:b/>
          <w:color w:val="000000"/>
          <w:sz w:val="24"/>
        </w:rPr>
      </w:pPr>
      <w:r>
        <w:rPr>
          <w:rFonts w:ascii="宋体" w:hAnsi="宋体"/>
          <w:b/>
          <w:color w:val="000000"/>
          <w:sz w:val="24"/>
        </w:rPr>
      </w:r>
      <w:r/>
    </w:p>
    <w:p>
      <w:pPr>
        <w:ind w:firstLine="954"/>
        <w:rPr>
          <w:rFonts w:ascii="宋体" w:hAnsi="宋体"/>
          <w:b/>
          <w:color w:val="000000"/>
          <w:sz w:val="24"/>
        </w:rPr>
      </w:pPr>
      <w:r>
        <w:rPr>
          <w:rFonts w:ascii="宋体" w:hAnsi="宋体"/>
          <w:b/>
          <w:color w:val="000000"/>
          <w:sz w:val="24"/>
        </w:rPr>
      </w:r>
      <w:r/>
    </w:p>
    <w:p>
      <w:pPr>
        <w:rPr>
          <w:rFonts w:ascii="黑体" w:hAnsi="黑体" w:eastAsia="黑体"/>
          <w:sz w:val="28"/>
          <w:szCs w:val="28"/>
        </w:rPr>
      </w:pPr>
      <w:r>
        <w:rPr>
          <w:rFonts w:hint="eastAsia" w:ascii="黑体" w:hAnsi="黑体" w:eastAsia="黑体"/>
          <w:sz w:val="28"/>
          <w:szCs w:val="28"/>
        </w:rPr>
        <w:br w:type="page" w:clear="all"/>
      </w:r>
      <w:r/>
    </w:p>
    <w:p>
      <w:pPr>
        <w:ind w:firstLine="560"/>
        <w:rPr>
          <w:rFonts w:ascii="仿宋" w:hAnsi="仿宋" w:eastAsia="仿宋"/>
          <w:sz w:val="28"/>
          <w:szCs w:val="28"/>
        </w:rPr>
      </w:pPr>
      <w:r>
        <w:rPr>
          <w:rFonts w:hint="eastAsia" w:ascii="黑体" w:hAnsi="黑体" w:eastAsia="黑体"/>
          <w:sz w:val="28"/>
          <w:szCs w:val="28"/>
        </w:rPr>
        <w:t xml:space="preserve">一、资格证明文件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rPr>
          <w:rFonts w:ascii="仿宋" w:hAnsi="仿宋" w:eastAsia="仿宋"/>
          <w:sz w:val="28"/>
          <w:szCs w:val="28"/>
        </w:rPr>
      </w:pPr>
      <w:r>
        <w:rPr>
          <w:rFonts w:hint="eastAsia" w:ascii="仿宋" w:hAnsi="仿宋" w:eastAsia="仿宋"/>
          <w:sz w:val="28"/>
          <w:szCs w:val="28"/>
        </w:rPr>
        <w:br w:type="page" w:clear="all"/>
      </w:r>
      <w:r/>
    </w:p>
    <w:p>
      <w:pPr>
        <w:numPr>
          <w:ilvl w:val="0"/>
          <w:numId w:val="7"/>
        </w:numPr>
        <w:ind w:firstLine="560"/>
        <w:jc w:val="left"/>
        <w:spacing w:before="50"/>
        <w:rPr>
          <w:rFonts w:ascii="仿宋" w:hAnsi="仿宋" w:eastAsia="仿宋"/>
          <w:sz w:val="28"/>
          <w:szCs w:val="28"/>
        </w:rPr>
      </w:pPr>
      <w:r>
        <w:rPr>
          <w:rFonts w:hint="eastAsia" w:ascii="仿宋" w:hAnsi="仿宋" w:eastAsia="仿宋"/>
          <w:sz w:val="28"/>
          <w:szCs w:val="28"/>
        </w:rPr>
        <w:t xml:space="preserve">法定代表人身份证明及身份证复印件</w:t>
      </w:r>
      <w:r/>
    </w:p>
    <w:p>
      <w:pPr>
        <w:jc w:val="center"/>
        <w:spacing w:before="50"/>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供应商名称： </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单位性质： </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地址：</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成立时间：年月日 </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经营期限：</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姓名：性别： </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年龄：职务：</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系（供应商名称）的法定代表人。 特此证明。 </w:t>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rPr>
          <w:rFonts w:ascii="仿宋" w:hAnsi="仿宋" w:eastAsia="仿宋"/>
          <w:sz w:val="28"/>
          <w:szCs w:val="28"/>
        </w:rPr>
      </w:pPr>
      <w:r>
        <w:rPr>
          <w:rFonts w:hint="eastAsia" w:ascii="仿宋" w:hAnsi="仿宋" w:eastAsia="仿宋"/>
          <w:sz w:val="28"/>
          <w:szCs w:val="28"/>
        </w:rPr>
        <w:t xml:space="preserve"> 供应商名称（公章）：              </w:t>
      </w:r>
      <w:r/>
    </w:p>
    <w:p>
      <w:pPr>
        <w:ind w:firstLine="4760"/>
        <w:jc w:val="left"/>
        <w:widowControl/>
        <w:rPr>
          <w:rFonts w:ascii="仿宋" w:hAnsi="仿宋" w:eastAsia="仿宋"/>
          <w:sz w:val="28"/>
          <w:szCs w:val="28"/>
        </w:rPr>
      </w:pPr>
      <w:r>
        <w:rPr>
          <w:rFonts w:hint="eastAsia" w:ascii="仿宋" w:hAnsi="仿宋" w:eastAsia="仿宋"/>
          <w:sz w:val="28"/>
          <w:szCs w:val="28"/>
        </w:rPr>
        <w:t xml:space="preserve">日期：   年   月   日</w:t>
      </w:r>
      <w:r/>
    </w:p>
    <w:p>
      <w:pPr>
        <w:rPr>
          <w:rFonts w:ascii="仿宋" w:hAnsi="仿宋" w:eastAsia="仿宋"/>
          <w:sz w:val="28"/>
          <w:szCs w:val="28"/>
        </w:rPr>
      </w:pPr>
      <w:r>
        <w:rPr>
          <w:rFonts w:hint="eastAsia"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__（供应商名称）授权________________（代理人的姓名）为我方就项目名称：____________项目编号:____________采购活动的合法代理人，以本公司名义全权处理一切与该项目采购有关的事务。</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95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6"/>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956"/>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95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95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95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956"/>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956"/>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956"/>
        <w:ind w:firstLine="480"/>
        <w:spacing w:line="500" w:lineRule="exact"/>
        <w:rPr>
          <w:rFonts w:ascii="仿宋" w:hAnsi="仿宋" w:eastAsia="仿宋"/>
          <w:color w:val="auto"/>
          <w:sz w:val="28"/>
          <w:szCs w:val="28"/>
        </w:rPr>
      </w:pPr>
      <w:r/>
      <w:bookmarkStart w:id="60" w:name="_Hlt26671380"/>
      <w:r/>
      <w:bookmarkEnd w:id="60"/>
      <w:r/>
      <w:bookmarkStart w:id="61" w:name="_格式3__银行出具的资信证明"/>
      <w:r/>
      <w:bookmarkEnd w:id="61"/>
      <w:r/>
      <w:bookmarkStart w:id="62" w:name="_Hlt26955070"/>
      <w:r/>
      <w:bookmarkEnd w:id="62"/>
      <w:r/>
      <w:r/>
    </w:p>
    <w:p>
      <w:pPr>
        <w:pStyle w:val="924"/>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924"/>
        <w:ind w:firstLine="1400"/>
        <w:spacing w:line="500" w:lineRule="exact"/>
        <w:rPr>
          <w:rFonts w:ascii="仿宋" w:hAnsi="仿宋" w:eastAsia="仿宋"/>
          <w:sz w:val="28"/>
          <w:szCs w:val="28"/>
        </w:rPr>
      </w:pPr>
      <w:r>
        <w:rPr>
          <w:rFonts w:ascii="仿宋" w:hAnsi="仿宋" w:eastAsia="仿宋"/>
          <w:sz w:val="28"/>
          <w:szCs w:val="28"/>
        </w:rPr>
      </w:r>
      <w:r/>
    </w:p>
    <w:p>
      <w:pPr>
        <w:pStyle w:val="924"/>
        <w:ind w:firstLine="560"/>
        <w:spacing w:line="500" w:lineRule="exact"/>
        <w:rPr>
          <w:rFonts w:ascii="仿宋" w:hAnsi="仿宋" w:eastAsia="仿宋"/>
          <w:sz w:val="28"/>
          <w:szCs w:val="28"/>
        </w:rPr>
      </w:pPr>
      <w:r>
        <w:rPr>
          <w:rFonts w:ascii="仿宋" w:hAnsi="仿宋" w:eastAsia="仿宋"/>
          <w:sz w:val="28"/>
          <w:szCs w:val="28"/>
        </w:rPr>
      </w:r>
      <w:r/>
    </w:p>
    <w:p>
      <w:pPr>
        <w:pStyle w:val="924"/>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924"/>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致：南通市如皋生态环境局</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lang w:eastAsia="zh-CN"/>
        </w:rPr>
        <w:t xml:space="preserve">全市13个水质自动站全托管运维技术服务采购项目</w:t>
      </w:r>
      <w:r>
        <w:rPr>
          <w:rFonts w:hint="eastAsia" w:ascii="仿宋" w:hAnsi="仿宋" w:eastAsia="仿宋"/>
          <w:color w:val="auto"/>
          <w:sz w:val="28"/>
          <w:szCs w:val="28"/>
        </w:rPr>
        <w:t xml:space="preserve">（项目编号：JSZC-320682-JSDZ-C2026-0079）竞争性磋商文件，正式授权下述签字人_________ (姓名和职务)代表我方______________（供应商的名称），全权处理本次项目磋商采购的有关事宜。</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95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956"/>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sz w:val="28"/>
          <w:szCs w:val="28"/>
        </w:rPr>
      </w:pPr>
      <w:r>
        <w:rPr>
          <w:rFonts w:ascii="仿宋" w:hAnsi="仿宋" w:eastAsia="仿宋"/>
          <w:bCs/>
          <w:sz w:val="28"/>
          <w:szCs w:val="28"/>
        </w:rPr>
        <w:br w:type="page" w:clear="all"/>
      </w:r>
      <w:r/>
    </w:p>
    <w:p>
      <w:pPr>
        <w:numPr>
          <w:ilvl w:val="0"/>
          <w:numId w:val="8"/>
        </w:numPr>
        <w:ind w:firstLine="480"/>
        <w:jc w:val="left"/>
        <w:spacing w:before="50"/>
        <w:rPr>
          <w:rFonts w:ascii="仿宋" w:hAnsi="仿宋" w:eastAsia="仿宋"/>
          <w:sz w:val="28"/>
          <w:szCs w:val="28"/>
        </w:rPr>
      </w:pPr>
      <w:r>
        <w:rPr>
          <w:rFonts w:hint="eastAsia" w:ascii="仿宋" w:hAnsi="仿宋" w:eastAsia="仿宋"/>
          <w:sz w:val="28"/>
          <w:szCs w:val="28"/>
        </w:rPr>
        <w:t xml:space="preserve">其他资格证明材料</w:t>
      </w:r>
      <w:r/>
    </w:p>
    <w:p>
      <w:pPr>
        <w:ind w:firstLine="560"/>
        <w:spacing w:line="500" w:lineRule="exact"/>
        <w:rPr>
          <w:rFonts w:ascii="仿宋" w:hAnsi="仿宋" w:eastAsia="仿宋"/>
          <w:iCs/>
          <w:sz w:val="28"/>
          <w:szCs w:val="28"/>
        </w:rPr>
      </w:pPr>
      <w:r>
        <w:rPr>
          <w:rFonts w:hint="eastAsia" w:ascii="仿宋" w:hAnsi="仿宋" w:eastAsia="仿宋"/>
          <w:sz w:val="28"/>
          <w:szCs w:val="28"/>
          <w:lang w:val="en-US" w:eastAsia="zh-CN"/>
        </w:rPr>
        <w:t xml:space="preserve">1.</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sz w:val="28"/>
          <w:szCs w:val="28"/>
        </w:rPr>
        <w:t xml:space="preserve">其</w:t>
      </w:r>
      <w:r>
        <w:rPr>
          <w:rFonts w:ascii="仿宋" w:hAnsi="仿宋" w:eastAsia="仿宋"/>
          <w:sz w:val="28"/>
          <w:szCs w:val="28"/>
        </w:rPr>
        <w:t xml:space="preserve">他未列明行业</w:t>
      </w:r>
      <w:r>
        <w:rPr>
          <w:rFonts w:hint="eastAsia" w:ascii="仿宋" w:hAnsi="仿宋" w:eastAsia="仿宋"/>
          <w:i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iCs/>
          <w:sz w:val="28"/>
          <w:szCs w:val="28"/>
          <w:lang w:val="en-US" w:eastAsia="zh-CN"/>
        </w:rPr>
        <w:t xml:space="preserve">2.</w:t>
      </w:r>
      <w:r>
        <w:rPr>
          <w:rFonts w:hint="eastAsia" w:ascii="仿宋" w:hAnsi="仿宋" w:eastAsia="仿宋"/>
          <w:iCs/>
          <w:sz w:val="28"/>
          <w:szCs w:val="28"/>
        </w:rPr>
        <w:t xml:space="preserve">响应供应商须已按照《生态环境监测条例》规定，完成生态环境监测技术服务机构备案（备案信息已归集至江苏省生态环境监测技术服务机构管理系统），须提供备案截图或备案证明材料。不提供视为无效响应。</w:t>
      </w:r>
      <w:r/>
    </w:p>
    <w:p>
      <w:pPr>
        <w:pStyle w:val="934"/>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lang w:val="en-US" w:eastAsia="zh-CN"/>
        </w:rPr>
        <w:t xml:space="preserve">3.</w:t>
      </w:r>
      <w:r>
        <w:rPr>
          <w:rFonts w:hint="eastAsia" w:ascii="仿宋" w:hAnsi="仿宋" w:eastAsia="仿宋"/>
          <w:sz w:val="28"/>
          <w:szCs w:val="28"/>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jc w:val="left"/>
        <w:spacing w:before="50"/>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rPr>
          <w:rFonts w:ascii="仿宋" w:hAnsi="仿宋" w:eastAsia="仿宋"/>
          <w:bCs/>
          <w:sz w:val="28"/>
          <w:szCs w:val="28"/>
        </w:rPr>
      </w:pPr>
      <w:r>
        <w:rPr>
          <w:rFonts w:ascii="黑体" w:hAnsi="黑体" w:eastAsia="黑体"/>
          <w:sz w:val="28"/>
          <w:szCs w:val="28"/>
        </w:rPr>
        <w:br w:type="page" w:clear="all"/>
      </w:r>
      <w:r>
        <w:rPr>
          <w:rFonts w:hint="eastAsia" w:ascii="仿宋" w:hAnsi="仿宋" w:eastAsia="仿宋"/>
          <w:bCs/>
          <w:sz w:val="28"/>
          <w:szCs w:val="28"/>
        </w:rPr>
        <w:t xml:space="preserve">（十一）中小企业声明函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南通市如皋生态环境局</w:t>
      </w:r>
      <w:r>
        <w:rPr>
          <w:rFonts w:hint="eastAsia" w:ascii="仿宋" w:hAnsi="仿宋" w:eastAsia="仿宋"/>
          <w:sz w:val="32"/>
          <w:szCs w:val="32"/>
        </w:rPr>
        <w:t xml:space="preserve">的</w:t>
      </w:r>
      <w:r>
        <w:rPr>
          <w:rFonts w:hint="eastAsia" w:ascii="仿宋" w:hAnsi="仿宋" w:eastAsia="仿宋"/>
          <w:i/>
          <w:sz w:val="32"/>
          <w:szCs w:val="32"/>
          <w:u w:val="single"/>
          <w:lang w:eastAsia="zh-CN"/>
        </w:rPr>
        <w:t xml:space="preserve">全市13个水质自动站全托管运维技术服务采购项目</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i/>
          <w:sz w:val="32"/>
          <w:szCs w:val="32"/>
          <w:u w:val="single"/>
          <w:lang w:eastAsia="zh-CN"/>
        </w:rPr>
        <w:t xml:space="preserve">全市13个水质自动站全托管运维技术服务采购项目</w:t>
      </w:r>
      <w:r>
        <w:rPr>
          <w:rFonts w:hint="eastAsia" w:ascii="仿宋" w:hAnsi="仿宋" w:eastAsia="仿宋"/>
          <w:sz w:val="32"/>
          <w:szCs w:val="32"/>
        </w:rPr>
        <w:t xml:space="preserve">，属于</w:t>
      </w:r>
      <w:r>
        <w:rPr>
          <w:rFonts w:hint="eastAsia" w:ascii="仿宋" w:hAnsi="仿宋" w:eastAsia="仿宋"/>
          <w:i/>
          <w:sz w:val="32"/>
          <w:szCs w:val="32"/>
          <w:u w:val="single"/>
        </w:rPr>
        <w:t xml:space="preserve">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（十二）</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jc w:val="left"/>
        <w:widowControl/>
        <w:rPr>
          <w:rFonts w:ascii="仿宋" w:hAnsi="仿宋" w:eastAsia="仿宋"/>
          <w:szCs w:val="21"/>
        </w:rPr>
      </w:pPr>
      <w:r>
        <w:rPr>
          <w:rFonts w:ascii="仿宋" w:hAnsi="仿宋" w:eastAsia="仿宋"/>
          <w:szCs w:val="21"/>
        </w:rPr>
      </w:r>
      <w:r/>
    </w:p>
    <w:p>
      <w:pPr>
        <w:rPr>
          <w:rFonts w:ascii="黑体" w:hAnsi="黑体" w:eastAsia="黑体"/>
          <w:sz w:val="28"/>
          <w:szCs w:val="28"/>
        </w:rPr>
      </w:pPr>
      <w:r>
        <w:rPr>
          <w:rFonts w:hint="eastAsia"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二、商务技术文件</w:t>
      </w:r>
      <w:r/>
    </w:p>
    <w:p>
      <w:pPr>
        <w:ind w:firstLine="560"/>
        <w:rPr>
          <w:rFonts w:ascii="仿宋" w:hAnsi="仿宋" w:eastAsia="仿宋"/>
          <w:sz w:val="28"/>
          <w:szCs w:val="28"/>
        </w:rPr>
      </w:pPr>
      <w:r>
        <w:rPr>
          <w:rFonts w:hint="eastAsia" w:ascii="仿宋" w:hAnsi="仿宋" w:eastAsia="仿宋"/>
          <w:sz w:val="28"/>
          <w:szCs w:val="28"/>
        </w:rPr>
        <w:t xml:space="preserve">（一）符合服务要求的相关证明材料</w:t>
      </w:r>
      <w:r/>
    </w:p>
    <w:p>
      <w:pPr>
        <w:ind w:firstLine="560"/>
        <w:spacing w:line="520" w:lineRule="exact"/>
        <w:rPr>
          <w:rFonts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应配备1名经验丰富的运维人员，运维人员合同运维周期内所运维水站数量不得多于6个水站（总数量是指不论运维地区，总共不能超过6个）。</w:t>
      </w:r>
      <w:r>
        <w:rPr>
          <w:rFonts w:hint="eastAsia" w:ascii="仿宋" w:hAnsi="仿宋" w:eastAsia="仿宋" w:cs="仿宋"/>
          <w:b/>
          <w:bCs/>
          <w:sz w:val="28"/>
          <w:szCs w:val="28"/>
        </w:rPr>
        <w:t xml:space="preserve">提供承诺函（格式自拟）。</w:t>
      </w:r>
      <w:r>
        <w:rPr>
          <w:rFonts w:hint="eastAsia" w:ascii="仿宋" w:hAnsi="仿宋" w:eastAsia="仿宋" w:cs="仿宋"/>
          <w:sz w:val="28"/>
          <w:szCs w:val="28"/>
        </w:rPr>
        <w:t xml:space="preserve">为本项目配置的运维人员应通过省级及以上水质自动站持证上岗考核或培训。</w:t>
      </w:r>
      <w:r>
        <w:rPr>
          <w:rFonts w:hint="eastAsia" w:ascii="仿宋" w:hAnsi="仿宋" w:eastAsia="仿宋" w:cs="仿宋"/>
          <w:b/>
          <w:bCs/>
          <w:sz w:val="28"/>
          <w:szCs w:val="28"/>
        </w:rPr>
        <w:t xml:space="preserve">须提供聘用合同及2026年01月～2026年08月中任意一个月职工社会保险缴纳证明、培训合格证明、职称证书证明或其他类似证明材料。</w:t>
      </w:r>
      <w:r/>
    </w:p>
    <w:p>
      <w:pPr>
        <w:ind w:firstLine="560"/>
        <w:jc w:val="left"/>
        <w:spacing w:line="520" w:lineRule="exact"/>
        <w:rPr>
          <w:rFonts w:ascii="仿宋" w:hAnsi="仿宋" w:eastAsia="仿宋" w:cs="仿宋"/>
          <w:b/>
          <w:bCs/>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成交后供应商须提供驻场服务，成交供应商</w:t>
      </w:r>
      <w:r>
        <w:rPr>
          <w:rFonts w:hint="eastAsia" w:ascii="仿宋" w:hAnsi="仿宋" w:eastAsia="仿宋" w:cs="仿宋"/>
          <w:sz w:val="28"/>
          <w:szCs w:val="28"/>
        </w:rPr>
        <w:t xml:space="preserve">需在</w:t>
      </w:r>
      <w:r>
        <w:rPr>
          <w:rFonts w:hint="eastAsia" w:ascii="仿宋" w:hAnsi="仿宋" w:eastAsia="仿宋" w:cs="仿宋"/>
          <w:sz w:val="28"/>
          <w:szCs w:val="28"/>
        </w:rPr>
        <w:t xml:space="preserve">成交</w:t>
      </w:r>
      <w:r>
        <w:rPr>
          <w:rFonts w:hint="eastAsia" w:ascii="仿宋" w:hAnsi="仿宋" w:eastAsia="仿宋" w:cs="仿宋"/>
          <w:sz w:val="28"/>
          <w:szCs w:val="28"/>
        </w:rPr>
        <w:t xml:space="preserve">后一个月（30日历日）内安排一名相关专业大学专科及以上学历技术人员到我单位驻站工作，驻站人员需有不少于1年的地表水水质自动站数据审核工作经验</w:t>
      </w:r>
      <w:r>
        <w:rPr>
          <w:rFonts w:hint="eastAsia" w:ascii="仿宋" w:hAnsi="仿宋" w:eastAsia="仿宋" w:cs="仿宋"/>
          <w:b/>
          <w:bCs/>
          <w:sz w:val="28"/>
          <w:szCs w:val="28"/>
        </w:rPr>
        <w:t xml:space="preserve">（提供相关工作经验证明）</w:t>
      </w:r>
      <w:r>
        <w:rPr>
          <w:rFonts w:hint="eastAsia" w:ascii="仿宋" w:hAnsi="仿宋" w:eastAsia="仿宋" w:cs="仿宋"/>
          <w:sz w:val="28"/>
          <w:szCs w:val="28"/>
        </w:rPr>
        <w:t xml:space="preserve">或有不少于1年的水站运维经验</w:t>
      </w:r>
      <w:r>
        <w:rPr>
          <w:rFonts w:hint="eastAsia" w:ascii="仿宋" w:hAnsi="仿宋" w:eastAsia="仿宋" w:cs="仿宋"/>
          <w:b/>
          <w:bCs/>
          <w:sz w:val="28"/>
          <w:szCs w:val="28"/>
        </w:rPr>
        <w:t xml:space="preserve">（提供有效的水站上岗证证书）</w:t>
      </w:r>
      <w:r>
        <w:rPr>
          <w:rFonts w:hint="eastAsia" w:ascii="仿宋" w:hAnsi="仿宋" w:eastAsia="仿宋" w:cs="仿宋"/>
          <w:sz w:val="28"/>
          <w:szCs w:val="28"/>
        </w:rPr>
        <w:t xml:space="preserve">或不少于1年的水质实验分析经验</w:t>
      </w:r>
      <w:r>
        <w:rPr>
          <w:rFonts w:hint="eastAsia" w:ascii="仿宋" w:hAnsi="仿宋" w:eastAsia="仿宋" w:cs="仿宋"/>
          <w:b/>
          <w:bCs/>
          <w:sz w:val="28"/>
          <w:szCs w:val="28"/>
        </w:rPr>
        <w:t xml:space="preserve">（提供工作经历承诺函）</w:t>
      </w:r>
      <w:r>
        <w:rPr>
          <w:rFonts w:hint="eastAsia" w:ascii="仿宋" w:hAnsi="仿宋" w:eastAsia="仿宋" w:cs="仿宋"/>
          <w:sz w:val="28"/>
          <w:szCs w:val="28"/>
        </w:rPr>
        <w:t xml:space="preserve">。主要工作为各级水质自动站数据审核、报告编制、水站数据跟踪统计和我单位安排的相关工作，若出现不适岗情况时成交供应商应及时更换驻站技术人员，</w:t>
      </w:r>
      <w:r>
        <w:rPr>
          <w:rFonts w:hint="eastAsia" w:ascii="仿宋" w:hAnsi="仿宋" w:eastAsia="仿宋" w:cs="仿宋"/>
          <w:sz w:val="28"/>
          <w:szCs w:val="28"/>
        </w:rPr>
        <w:t xml:space="preserve">成交供应商</w:t>
      </w:r>
      <w:r>
        <w:rPr>
          <w:rFonts w:hint="eastAsia" w:ascii="仿宋" w:hAnsi="仿宋" w:eastAsia="仿宋" w:cs="仿宋"/>
          <w:sz w:val="28"/>
          <w:szCs w:val="28"/>
        </w:rPr>
        <w:t xml:space="preserve">需履行对驻站人员的监督职责</w:t>
      </w:r>
      <w:r>
        <w:rPr>
          <w:rFonts w:hint="eastAsia" w:ascii="仿宋" w:hAnsi="仿宋" w:eastAsia="仿宋" w:cs="仿宋"/>
          <w:b/>
          <w:bCs/>
          <w:sz w:val="28"/>
          <w:szCs w:val="28"/>
        </w:rPr>
        <w:t xml:space="preserve">（提供适岗承诺函）</w:t>
      </w:r>
      <w:r>
        <w:rPr>
          <w:rFonts w:hint="eastAsia" w:ascii="仿宋" w:hAnsi="仿宋" w:eastAsia="仿宋" w:cs="仿宋"/>
          <w:sz w:val="28"/>
          <w:szCs w:val="28"/>
        </w:rPr>
        <w:t xml:space="preserve">。</w:t>
      </w:r>
      <w:r/>
    </w:p>
    <w:p>
      <w:pPr>
        <w:ind w:firstLine="560"/>
        <w:jc w:val="left"/>
        <w:spacing w:line="520" w:lineRule="exact"/>
        <w:rPr>
          <w:rFonts w:ascii="仿宋" w:hAnsi="仿宋" w:eastAsia="仿宋" w:cs="仿宋"/>
          <w:b/>
          <w:bCs/>
          <w:sz w:val="28"/>
          <w:szCs w:val="28"/>
        </w:rPr>
      </w:pPr>
      <w:r>
        <w:rPr>
          <w:rFonts w:hint="eastAsia" w:ascii="仿宋" w:hAnsi="仿宋" w:eastAsia="仿宋" w:cs="仿宋"/>
          <w:sz w:val="28"/>
          <w:szCs w:val="28"/>
        </w:rPr>
        <w:t xml:space="preserve">3.运维单位须在成交后一个月（30日历日）内，配置1辆专门车辆，并向我单位提交已有、采购的证明材料（车辆接受租赁，如为租赁合同，则租赁合同周期需至少覆盖服务周期）。</w:t>
      </w:r>
      <w:r>
        <w:rPr>
          <w:rFonts w:hint="eastAsia" w:ascii="仿宋" w:hAnsi="仿宋" w:eastAsia="仿宋" w:cs="仿宋"/>
          <w:b/>
          <w:bCs/>
          <w:sz w:val="28"/>
          <w:szCs w:val="28"/>
        </w:rPr>
        <w:t xml:space="preserve">提供承诺函（格式自拟）。</w:t>
      </w:r>
      <w:r/>
    </w:p>
    <w:p>
      <w:pPr>
        <w:ind w:firstLine="560"/>
        <w:spacing w:line="520" w:lineRule="exact"/>
        <w:tabs>
          <w:tab w:val="left" w:pos="2020" w:leader="none"/>
          <w:tab w:val="center" w:pos="4535" w:leader="none"/>
        </w:tabs>
        <w:rPr>
          <w:rFonts w:ascii="仿宋" w:hAnsi="仿宋" w:eastAsia="仿宋" w:cs="仿宋"/>
          <w:b/>
          <w:bCs/>
          <w:sz w:val="28"/>
          <w:szCs w:val="28"/>
        </w:rPr>
        <w:outlineLvl w:val="0"/>
      </w:pPr>
      <w:r>
        <w:rPr>
          <w:rFonts w:hint="eastAsia" w:ascii="仿宋" w:hAnsi="仿宋" w:eastAsia="仿宋" w:cs="仿宋"/>
          <w:sz w:val="28"/>
          <w:szCs w:val="28"/>
        </w:rPr>
        <w:t xml:space="preserve">4.运维单位需要配备1套通过计量检定/校准的便携式五参数（水温、pH值值、溶解氧、电导率和浊度）监测设备，溶解氧便携监测设备应满足原位监测要求，并在需要时用于水质自动监测站的质控及比对考核。</w:t>
      </w:r>
      <w:r>
        <w:rPr>
          <w:rFonts w:hint="eastAsia" w:ascii="仿宋" w:hAnsi="仿宋" w:eastAsia="仿宋" w:cs="仿宋"/>
          <w:b/>
          <w:bCs/>
          <w:sz w:val="28"/>
          <w:szCs w:val="28"/>
        </w:rPr>
        <w:t xml:space="preserve">（已经购买的须提供购置发票或采购合同证明，以及与设备型号一致的检定/校准证书；未购买的须与生产厂家签订了供货协议或意向性供货协议，并提供协议证明，以及检定/校准承诺函）。</w:t>
      </w:r>
      <w:r/>
    </w:p>
    <w:p>
      <w:pPr>
        <w:ind w:firstLine="560"/>
        <w:jc w:val="left"/>
        <w:spacing w:line="520" w:lineRule="exact"/>
        <w:rPr>
          <w:rFonts w:ascii="仿宋" w:hAnsi="仿宋" w:eastAsia="仿宋" w:cs="仿宋"/>
          <w:b/>
          <w:bCs/>
          <w:sz w:val="28"/>
          <w:szCs w:val="28"/>
        </w:rPr>
      </w:pPr>
      <w:r>
        <w:rPr>
          <w:rFonts w:hint="eastAsia" w:ascii="仿宋" w:hAnsi="仿宋" w:eastAsia="仿宋" w:cs="仿宋"/>
          <w:sz w:val="28"/>
          <w:szCs w:val="28"/>
        </w:rPr>
        <w:t xml:space="preserve">5.运维单位须配备1套九参数分析仪（水温、pH值、溶解氧、电导率、浊度、高锰酸盐指数、氨氮、总磷、总氮）备机。备机均应通过环境保护部环境监测仪器质量监督检验中心的适用性检测。</w:t>
      </w:r>
      <w:r>
        <w:rPr>
          <w:rFonts w:hint="eastAsia" w:ascii="仿宋" w:hAnsi="仿宋" w:eastAsia="仿宋" w:cs="仿宋"/>
          <w:b/>
          <w:bCs/>
          <w:sz w:val="28"/>
          <w:szCs w:val="28"/>
        </w:rPr>
        <w:t xml:space="preserve">提供具有环境保护部环境监测仪器质量监督检验中心出具的在有效期内的检测合格报告。</w:t>
      </w:r>
      <w:r>
        <w:rPr>
          <w:rFonts w:hint="eastAsia" w:ascii="仿宋" w:hAnsi="仿宋" w:eastAsia="仿宋" w:cs="仿宋"/>
          <w:sz w:val="28"/>
          <w:szCs w:val="28"/>
        </w:rPr>
        <w:t xml:space="preserve">测量数据等参数按水站数据传输协议上传我单位指定的平台。</w:t>
      </w:r>
      <w:r>
        <w:rPr>
          <w:rFonts w:hint="eastAsia" w:ascii="仿宋" w:hAnsi="仿宋" w:eastAsia="仿宋" w:cs="仿宋"/>
          <w:b/>
          <w:bCs/>
          <w:sz w:val="28"/>
          <w:szCs w:val="28"/>
        </w:rPr>
        <w:t xml:space="preserve">未购买备机的须与生产厂家签订供货协议或意向性供货协议（提供协议证明）。</w:t>
      </w:r>
      <w:r/>
    </w:p>
    <w:p>
      <w:pPr>
        <w:ind w:firstLine="560"/>
        <w:spacing w:line="520" w:lineRule="exact"/>
        <w:rPr>
          <w:rFonts w:ascii="仿宋" w:hAnsi="仿宋" w:eastAsia="仿宋" w:cs="仿宋"/>
          <w:b/>
          <w:bCs/>
          <w:sz w:val="28"/>
          <w:szCs w:val="28"/>
        </w:rPr>
      </w:pPr>
      <w:r>
        <w:rPr>
          <w:rFonts w:hint="eastAsia" w:ascii="仿宋" w:hAnsi="仿宋" w:eastAsia="仿宋" w:cs="仿宋"/>
          <w:sz w:val="28"/>
          <w:szCs w:val="28"/>
        </w:rPr>
        <w:t xml:space="preserve">6.运维单位须承诺成交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rPr>
          <w:rFonts w:hint="eastAsia" w:ascii="仿宋" w:hAnsi="仿宋" w:eastAsia="仿宋" w:cs="仿宋"/>
          <w:b/>
          <w:bCs/>
          <w:sz w:val="28"/>
          <w:szCs w:val="28"/>
        </w:rPr>
        <w:t xml:space="preserve">提供承诺函。（格式自拟）</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7.若因不可控因素导致13个自动站运维服务超过原有运维周期，运维仍由原运维单位负责。成交供应商需承诺，超原有运维周期所产生的运维费用以本次成交价格和实际发生时间计算，由成交供应商支付给原运维单位。提供承诺函。（格式自拟）</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br w:type="page" w:clear="all"/>
      </w:r>
      <w:r/>
    </w:p>
    <w:p>
      <w:pPr>
        <w:ind w:firstLine="560"/>
        <w:rPr>
          <w:rFonts w:ascii="仿宋" w:hAnsi="仿宋" w:eastAsia="仿宋"/>
          <w:sz w:val="28"/>
          <w:szCs w:val="28"/>
        </w:rPr>
      </w:pPr>
      <w:r>
        <w:rPr>
          <w:rFonts w:hint="eastAsia" w:ascii="仿宋" w:hAnsi="仿宋" w:eastAsia="仿宋"/>
          <w:sz w:val="28"/>
          <w:szCs w:val="28"/>
        </w:rPr>
        <w:t xml:space="preserve">（二）评分索引表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p>
      <w:pPr>
        <w:ind w:firstLine="641"/>
        <w:jc w:val="center"/>
        <w:rPr>
          <w:rFonts w:ascii="仿宋" w:hAnsi="仿宋" w:eastAsia="仿宋"/>
          <w:sz w:val="28"/>
          <w:szCs w:val="28"/>
        </w:rPr>
      </w:pPr>
      <w:r>
        <w:rPr>
          <w:rFonts w:ascii="仿宋" w:hAnsi="仿宋" w:eastAsia="仿宋"/>
          <w:sz w:val="28"/>
          <w:szCs w:val="28"/>
        </w:rPr>
      </w:r>
      <w:r/>
    </w:p>
    <w:tbl>
      <w:tblPr>
        <w:tblStyle w:val="920"/>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31"/>
        <w:gridCol w:w="1552"/>
        <w:gridCol w:w="640"/>
        <w:gridCol w:w="4140"/>
        <w:gridCol w:w="1708"/>
        <w:gridCol w:w="899"/>
      </w:tblGrid>
      <w:tr>
        <w:trPr>
          <w:trHeight w:val="420"/>
        </w:trPr>
        <w:tc>
          <w:tcPr>
            <w:tcW w:w="63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5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6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41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W w:w="170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W w:w="89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640"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4140" w:type="dxa"/>
            <w:vAlign w:val="center"/>
            <w:textDirection w:val="lrTb"/>
            <w:noWrap w:val="false"/>
          </w:tcPr>
          <w:p>
            <w:pPr>
              <w:jc w:val="left"/>
              <w:rPr>
                <w:rFonts w:ascii="仿宋" w:hAnsi="仿宋" w:eastAsia="仿宋"/>
                <w:sz w:val="24"/>
              </w:rPr>
            </w:pPr>
            <w:r>
              <w:rPr>
                <w:rFonts w:ascii="仿宋" w:hAnsi="仿宋" w:eastAsia="仿宋"/>
                <w:sz w:val="24"/>
              </w:rPr>
            </w:r>
            <w:r/>
          </w:p>
        </w:tc>
        <w:tc>
          <w:tcPr>
            <w:tcW w:w="1708" w:type="dxa"/>
            <w:textDirection w:val="lrTb"/>
            <w:noWrap w:val="false"/>
          </w:tcPr>
          <w:p>
            <w:pPr>
              <w:jc w:val="center"/>
              <w:rPr>
                <w:rFonts w:ascii="仿宋" w:hAnsi="仿宋" w:eastAsia="仿宋"/>
                <w:sz w:val="24"/>
              </w:rPr>
            </w:pPr>
            <w:r>
              <w:rPr>
                <w:rFonts w:ascii="仿宋" w:hAnsi="仿宋" w:eastAsia="仿宋"/>
                <w:sz w:val="24"/>
              </w:rPr>
            </w:r>
            <w:r/>
          </w:p>
        </w:tc>
        <w:tc>
          <w:tcPr>
            <w:tcW w:w="899"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640"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4140" w:type="dxa"/>
            <w:vAlign w:val="center"/>
            <w:textDirection w:val="lrTb"/>
            <w:noWrap w:val="false"/>
          </w:tcPr>
          <w:p>
            <w:pPr>
              <w:jc w:val="left"/>
              <w:rPr>
                <w:rFonts w:ascii="仿宋" w:hAnsi="仿宋" w:eastAsia="仿宋"/>
                <w:color w:val="000000"/>
                <w:sz w:val="24"/>
              </w:rPr>
            </w:pPr>
            <w:r>
              <w:rPr>
                <w:rFonts w:ascii="仿宋" w:hAnsi="仿宋" w:eastAsia="仿宋"/>
                <w:color w:val="000000"/>
                <w:sz w:val="24"/>
              </w:rPr>
            </w:r>
            <w:r/>
          </w:p>
        </w:tc>
        <w:tc>
          <w:tcPr>
            <w:tcW w:w="170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89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640"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4140" w:type="dxa"/>
            <w:vAlign w:val="center"/>
            <w:textDirection w:val="lrTb"/>
            <w:noWrap w:val="false"/>
          </w:tcPr>
          <w:p>
            <w:pPr>
              <w:jc w:val="left"/>
              <w:widowControl/>
              <w:rPr>
                <w:rFonts w:ascii="仿宋" w:hAnsi="仿宋" w:eastAsia="仿宋"/>
                <w:color w:val="000000"/>
                <w:sz w:val="24"/>
              </w:rPr>
            </w:pPr>
            <w:r>
              <w:rPr>
                <w:rFonts w:ascii="仿宋" w:hAnsi="仿宋" w:eastAsia="仿宋"/>
                <w:color w:val="000000"/>
                <w:sz w:val="24"/>
              </w:rPr>
            </w:r>
            <w:r/>
          </w:p>
        </w:tc>
        <w:tc>
          <w:tcPr>
            <w:tcW w:w="170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89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shd w:val="clear" w:color="auto" w:fill="auto"/>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shd w:val="clear" w:color="auto" w:fill="auto"/>
            <w:tcW w:w="1552"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640"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4140" w:type="dxa"/>
            <w:vAlign w:val="center"/>
            <w:textDirection w:val="lrTb"/>
            <w:noWrap w:val="false"/>
          </w:tcPr>
          <w:p>
            <w:pPr>
              <w:jc w:val="left"/>
              <w:rPr>
                <w:rFonts w:ascii="仿宋" w:hAnsi="仿宋" w:eastAsia="仿宋"/>
                <w:color w:val="000000"/>
                <w:sz w:val="24"/>
              </w:rPr>
            </w:pPr>
            <w:r>
              <w:rPr>
                <w:rFonts w:ascii="仿宋" w:hAnsi="仿宋" w:eastAsia="仿宋"/>
                <w:color w:val="000000"/>
                <w:sz w:val="24"/>
              </w:rPr>
            </w:r>
            <w:r/>
          </w:p>
        </w:tc>
        <w:tc>
          <w:tcPr>
            <w:tcW w:w="170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89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31"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55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640"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4140" w:type="dxa"/>
            <w:vAlign w:val="center"/>
            <w:textDirection w:val="lrTb"/>
            <w:noWrap w:val="false"/>
          </w:tcPr>
          <w:p>
            <w:pPr>
              <w:jc w:val="left"/>
              <w:rPr>
                <w:rFonts w:ascii="仿宋" w:hAnsi="仿宋" w:eastAsia="仿宋"/>
                <w:color w:val="000000"/>
                <w:sz w:val="24"/>
              </w:rPr>
            </w:pPr>
            <w:r>
              <w:rPr>
                <w:rFonts w:ascii="仿宋" w:hAnsi="仿宋" w:eastAsia="仿宋"/>
                <w:color w:val="000000"/>
                <w:sz w:val="24"/>
              </w:rPr>
            </w:r>
            <w:r/>
          </w:p>
        </w:tc>
        <w:tc>
          <w:tcPr>
            <w:tcW w:w="1708"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899"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（三）商务部分正负偏离表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p>
      <w:pPr>
        <w:jc w:val="center"/>
        <w:rPr>
          <w:rFonts w:ascii="仿宋" w:hAnsi="仿宋" w:eastAsia="仿宋"/>
          <w:sz w:val="28"/>
          <w:szCs w:val="28"/>
        </w:rPr>
      </w:pPr>
      <w:r>
        <w:rPr>
          <w:rFonts w:ascii="仿宋" w:hAnsi="仿宋" w:eastAsia="仿宋"/>
          <w:sz w:val="28"/>
          <w:szCs w:val="28"/>
        </w:rPr>
      </w:r>
      <w:r/>
    </w:p>
    <w:tbl>
      <w:tblPr>
        <w:tblStyle w:val="9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8"/>
        <w:gridCol w:w="1347"/>
        <w:gridCol w:w="3338"/>
        <w:gridCol w:w="1751"/>
        <w:gridCol w:w="1433"/>
        <w:gridCol w:w="1013"/>
      </w:tblGrid>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333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服务期限</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rPr>
            </w:pPr>
            <w:r>
              <w:rPr>
                <w:rFonts w:hint="eastAsia" w:ascii="仿宋" w:hAnsi="仿宋" w:eastAsia="仿宋"/>
                <w:sz w:val="24"/>
              </w:rPr>
              <w:t xml:space="preserve">2026年11月21日-2027年11月20日。合同期满后，经考核合格，在服务内容不变的前提下，可续签合同，最多续签不超过两次。总服务期不超过三年。具体以采购人通知为准。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ascii="仿宋" w:hAnsi="仿宋" w:eastAsia="仿宋"/>
                <w:sz w:val="24"/>
              </w:rPr>
            </w:pPr>
            <w:r>
              <w:rPr>
                <w:rFonts w:hint="eastAsia" w:ascii="仿宋" w:hAnsi="仿宋" w:eastAsia="仿宋"/>
                <w:sz w:val="24"/>
              </w:rPr>
              <w:t xml:space="preserve">各分包所在水质自动站。</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hint="eastAsia" w:ascii="仿宋" w:hAnsi="仿宋" w:eastAsia="仿宋"/>
                <w:sz w:val="24"/>
              </w:rPr>
            </w:pPr>
            <w:r>
              <w:rPr>
                <w:rFonts w:hint="eastAsia" w:ascii="仿宋" w:hAnsi="仿宋" w:eastAsia="仿宋"/>
                <w:sz w:val="24"/>
              </w:rPr>
              <w:t xml:space="preserve">每次支付前，成交人均应出具在税务部门开具的正式增值税发票，双方结算均通过银行基本账户进行。</w:t>
            </w:r>
            <w:r/>
          </w:p>
          <w:p>
            <w:pPr>
              <w:rPr>
                <w:rFonts w:hint="eastAsia" w:ascii="仿宋" w:hAnsi="仿宋" w:eastAsia="仿宋"/>
                <w:sz w:val="24"/>
              </w:rPr>
            </w:pPr>
            <w:r>
              <w:rPr>
                <w:rFonts w:hint="eastAsia" w:ascii="仿宋" w:hAnsi="仿宋" w:eastAsia="仿宋"/>
                <w:sz w:val="24"/>
              </w:rPr>
              <w:t xml:space="preserve">付款方式：合同签订后三个月内，支付成交总价款的30%，运维合同签订半年后支付成交总价款的40%，到期后根据日常考核情况支付剩余的运维资金。每次支付前，成交人均应出具在税务部门开具的正式增值税发票。</w:t>
            </w:r>
            <w:r/>
          </w:p>
          <w:p>
            <w:pPr>
              <w:rPr>
                <w:rFonts w:hint="eastAsia" w:ascii="仿宋" w:hAnsi="仿宋" w:eastAsia="仿宋"/>
                <w:sz w:val="24"/>
              </w:rPr>
            </w:pPr>
            <w:r>
              <w:rPr>
                <w:rFonts w:hint="eastAsia" w:ascii="仿宋" w:hAnsi="仿宋" w:eastAsia="仿宋"/>
                <w:sz w:val="24"/>
              </w:rPr>
              <w:t xml:space="preserve">注：上述付款时均需扣除日常运维考核扣减费用，按实际费用支付。</w:t>
            </w:r>
            <w:r/>
          </w:p>
          <w:p>
            <w:pPr>
              <w:rPr>
                <w:rFonts w:ascii="仿宋" w:hAnsi="仿宋" w:eastAsia="仿宋"/>
                <w:sz w:val="24"/>
              </w:rPr>
            </w:pPr>
            <w:r>
              <w:rPr>
                <w:rFonts w:hint="eastAsia" w:ascii="仿宋" w:hAnsi="仿宋" w:eastAsia="仿宋"/>
                <w:sz w:val="24"/>
              </w:rPr>
              <w:t xml:space="preserve">说明：若在运维合同期间上级部门对其中全部或部分站点进行上收由国家、省、市直接接管，则本次</w:t>
            </w:r>
            <w:r>
              <w:rPr>
                <w:rFonts w:hint="eastAsia" w:ascii="仿宋" w:hAnsi="仿宋" w:eastAsia="仿宋"/>
                <w:sz w:val="24"/>
                <w:lang w:eastAsia="zh-CN"/>
              </w:rPr>
              <w:t xml:space="preserve">采购</w:t>
            </w:r>
            <w:r>
              <w:rPr>
                <w:rFonts w:hint="eastAsia" w:ascii="仿宋" w:hAnsi="仿宋" w:eastAsia="仿宋"/>
                <w:sz w:val="24"/>
              </w:rPr>
              <w:t xml:space="preserve">中相对应的部分合同自动终止，运维费用按实际发生时间计算。若因不可控因素导致13个自动站运维服务超过原有运维周期，运维仍由原运维单位负责。成交供应商需承诺，超原有运维周期所产生的运维费用以本次成交价格和实际发生时间计算，由成交供应商支付给原运维单位。</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right w:val="single" w:color="auto" w:sz="4" w:space="0"/>
            </w:tcBorders>
            <w:tcW w:w="68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right w:val="single" w:color="auto" w:sz="4" w:space="0"/>
            </w:tcBorders>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3338" w:type="dxa"/>
            <w:textDirection w:val="lrTb"/>
            <w:noWrap w:val="false"/>
          </w:tcPr>
          <w:p>
            <w:pPr>
              <w:rPr>
                <w:rFonts w:hint="eastAsia" w:ascii="仿宋" w:hAnsi="仿宋" w:eastAsia="仿宋"/>
                <w:sz w:val="24"/>
              </w:rPr>
            </w:pPr>
            <w:r>
              <w:rPr>
                <w:rFonts w:hint="eastAsia" w:ascii="仿宋" w:hAnsi="仿宋" w:eastAsia="仿宋"/>
                <w:sz w:val="24"/>
              </w:rPr>
              <w:t xml:space="preserve">（一）报价要求：响应供应商报价时按照项目整体任务报总价，为完成本项目规定服务范围的全部工作需支付的一切费用，包括技术服务费、交通费、设备使用费、培训费、材料费、人员经费、招标代理费、税金、政策性文件规定及合同包含的所有风险、责任等各项应有费用。</w:t>
            </w:r>
            <w:r/>
          </w:p>
          <w:p>
            <w:pPr>
              <w:rPr>
                <w:rFonts w:hint="eastAsia" w:ascii="仿宋" w:hAnsi="仿宋" w:eastAsia="仿宋"/>
                <w:sz w:val="24"/>
              </w:rPr>
            </w:pPr>
            <w:r>
              <w:rPr>
                <w:rFonts w:hint="eastAsia" w:ascii="仿宋" w:hAnsi="仿宋" w:eastAsia="仿宋"/>
                <w:sz w:val="24"/>
              </w:rPr>
              <w:t xml:space="preserve">响应供应商应对采购文件内的全部内容进行报价，采购文件未列明，而供应商认为其他必需的费用也需列入报价。在合同实施时，采购方将不予支付成交供应商没有填列的项目费用，并认为此项目的费用已包括在报价中。</w:t>
            </w:r>
            <w:r/>
          </w:p>
          <w:p>
            <w:pPr>
              <w:rPr>
                <w:rFonts w:hint="eastAsia" w:ascii="仿宋" w:hAnsi="仿宋" w:eastAsia="仿宋"/>
                <w:sz w:val="24"/>
              </w:rPr>
            </w:pPr>
            <w:r>
              <w:rPr>
                <w:rFonts w:hint="eastAsia" w:ascii="仿宋" w:hAnsi="仿宋" w:eastAsia="仿宋"/>
                <w:sz w:val="24"/>
              </w:rPr>
              <w:t xml:space="preserve">（二）成交后本项目不允许分包和转包。</w:t>
            </w:r>
            <w:r/>
          </w:p>
          <w:p>
            <w:pPr>
              <w:rPr>
                <w:rFonts w:ascii="仿宋" w:hAnsi="仿宋" w:eastAsia="仿宋"/>
                <w:sz w:val="24"/>
              </w:rPr>
            </w:pPr>
            <w:r>
              <w:rPr>
                <w:rFonts w:hint="eastAsia" w:ascii="仿宋" w:hAnsi="仿宋" w:eastAsia="仿宋"/>
                <w:sz w:val="24"/>
              </w:rPr>
              <w:t xml:space="preserve">（三）成交方应依照劳动合同相关规定，保障运维人员及驻站人员的合法权益，若因成交方违反相关规定影响水站运维及驻站的正常工作开展，采购人有权终止合同。</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3"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rPr>
          <w:rFonts w:ascii="仿宋" w:hAnsi="仿宋" w:eastAsia="仿宋"/>
          <w:sz w:val="28"/>
          <w:szCs w:val="28"/>
        </w:rPr>
      </w:pPr>
      <w:r>
        <w:rPr>
          <w:rFonts w:ascii="仿宋" w:hAnsi="仿宋" w:eastAsia="仿宋"/>
          <w:sz w:val="28"/>
          <w:szCs w:val="28"/>
        </w:rPr>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三、报价文件</w:t>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竞争性磋商响应报价表（采购包一）</w:t>
      </w:r>
      <w:r/>
    </w:p>
    <w:tbl>
      <w:tblPr>
        <w:tblStyle w:val="92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jc w:val="center"/>
        <w:rPr>
          <w:rFonts w:ascii="方正小标宋简体" w:hAnsi="宋体" w:eastAsia="方正小标宋简体"/>
          <w:sz w:val="32"/>
          <w:szCs w:val="32"/>
        </w:rPr>
      </w:pPr>
      <w:r>
        <w:rPr>
          <w:rFonts w:ascii="方正小标宋简体" w:hAnsi="宋体" w:eastAsia="方正小标宋简体"/>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竞争性磋商响应报价表（采购包二）</w:t>
      </w:r>
      <w:r/>
    </w:p>
    <w:tbl>
      <w:tblPr>
        <w:tblStyle w:val="92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jc w:val="center"/>
        <w:rPr>
          <w:rFonts w:ascii="方正小标宋简体" w:hAnsi="宋体" w:eastAsia="方正小标宋简体"/>
          <w:sz w:val="32"/>
          <w:szCs w:val="32"/>
        </w:rPr>
      </w:pPr>
      <w:r>
        <w:rPr>
          <w:rFonts w:ascii="方正小标宋简体" w:hAnsi="宋体" w:eastAsia="方正小标宋简体"/>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竞争性磋商响应报价表（采购包三）</w:t>
      </w:r>
      <w:r/>
    </w:p>
    <w:tbl>
      <w:tblPr>
        <w:tblStyle w:val="92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jc w:val="left"/>
        <w:widowControl/>
        <w:rPr>
          <w:rFonts w:ascii="仿宋" w:hAnsi="仿宋" w:eastAsia="仿宋"/>
          <w:szCs w:val="21"/>
        </w:rPr>
      </w:pPr>
      <w:r>
        <w:rPr>
          <w:rFonts w:ascii="仿宋" w:hAnsi="仿宋" w:eastAsia="仿宋"/>
          <w:szCs w:val="21"/>
        </w:rPr>
      </w:r>
      <w:r/>
    </w:p>
    <w:sectPr>
      <w:headerReference w:type="default" r:id="rId10"/>
      <w:footerReference w:type="default" r:id="rId13"/>
      <w:footerReference w:type="even" r:id="rId14"/>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彩云">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52</w:t>
    </w:r>
    <w:r>
      <w:fldChar w:fldCharType="end"/>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8"/>
      </w:rPr>
      <w:framePr w:wrap="around" w:vAnchor="text" w:hAnchor="margin" w:xAlign="center" w:y="1"/>
    </w:pPr>
    <w:r>
      <w:fldChar w:fldCharType="begin"/>
    </w:r>
    <w:r>
      <w:rPr>
        <w:rStyle w:val="938"/>
      </w:rPr>
      <w:instrText xml:space="preserve">PAGE  </w:instrText>
    </w:r>
    <w:r>
      <w:fldChar w:fldCharType="end"/>
    </w:r>
    <w:r/>
  </w:p>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63</w:t>
    </w:r>
    <w:r>
      <w:fldChar w:fldCharType="end"/>
    </w:r>
    <w:r/>
  </w:p>
  <w:p>
    <w:pPr>
      <w:pStyle w:val="9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38"/>
      </w:rPr>
      <w:framePr w:wrap="around" w:vAnchor="text" w:hAnchor="margin" w:xAlign="center" w:y="1"/>
    </w:pPr>
    <w:r>
      <w:fldChar w:fldCharType="begin"/>
    </w:r>
    <w:r>
      <w:rPr>
        <w:rStyle w:val="938"/>
      </w:rPr>
      <w:instrText xml:space="preserve">PAGE  </w:instrTex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rFonts w:hint="eastAsia"/>
      </w:rPr>
      <w:t xml:space="preserve">如</w:t>
    </w:r>
    <w:r>
      <w:t xml:space="preserve">皋市政府采购</w:t>
    </w:r>
    <w:r>
      <w:rPr>
        <w:rFonts w:hint="eastAsia"/>
      </w:rPr>
      <w:t xml:space="preserve">竞争性磋商</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2"/>
  </w:num>
  <w:num w:numId="5">
    <w:abstractNumId w:val="6"/>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9"/>
    <w:link w:val="915"/>
    <w:uiPriority w:val="9"/>
    <w:rPr>
      <w:rFonts w:ascii="Arial" w:hAnsi="Arial" w:eastAsia="Arial" w:cs="Arial"/>
      <w:sz w:val="40"/>
      <w:szCs w:val="40"/>
    </w:rPr>
  </w:style>
  <w:style w:type="character" w:styleId="745">
    <w:name w:val="Heading 2 Char"/>
    <w:basedOn w:val="919"/>
    <w:link w:val="916"/>
    <w:uiPriority w:val="9"/>
    <w:rPr>
      <w:rFonts w:ascii="Arial" w:hAnsi="Arial" w:eastAsia="Arial" w:cs="Arial"/>
      <w:sz w:val="34"/>
    </w:rPr>
  </w:style>
  <w:style w:type="character" w:styleId="746">
    <w:name w:val="Heading 3 Char"/>
    <w:basedOn w:val="919"/>
    <w:link w:val="917"/>
    <w:uiPriority w:val="9"/>
    <w:rPr>
      <w:rFonts w:ascii="Arial" w:hAnsi="Arial" w:eastAsia="Arial" w:cs="Arial"/>
      <w:sz w:val="30"/>
      <w:szCs w:val="30"/>
    </w:rPr>
  </w:style>
  <w:style w:type="character" w:styleId="747">
    <w:name w:val="Heading 4 Char"/>
    <w:basedOn w:val="919"/>
    <w:link w:val="918"/>
    <w:uiPriority w:val="9"/>
    <w:rPr>
      <w:rFonts w:ascii="Arial" w:hAnsi="Arial" w:eastAsia="Arial" w:cs="Arial"/>
      <w:b/>
      <w:bCs/>
      <w:sz w:val="26"/>
      <w:szCs w:val="26"/>
    </w:rPr>
  </w:style>
  <w:style w:type="paragraph" w:styleId="748">
    <w:name w:val="Heading 5"/>
    <w:basedOn w:val="914"/>
    <w:next w:val="914"/>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basedOn w:val="919"/>
    <w:link w:val="748"/>
    <w:uiPriority w:val="9"/>
    <w:rPr>
      <w:rFonts w:ascii="Arial" w:hAnsi="Arial" w:eastAsia="Arial" w:cs="Arial"/>
      <w:b/>
      <w:bCs/>
      <w:sz w:val="24"/>
      <w:szCs w:val="24"/>
    </w:rPr>
  </w:style>
  <w:style w:type="paragraph" w:styleId="750">
    <w:name w:val="Heading 6"/>
    <w:basedOn w:val="914"/>
    <w:next w:val="914"/>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basedOn w:val="919"/>
    <w:link w:val="750"/>
    <w:uiPriority w:val="9"/>
    <w:rPr>
      <w:rFonts w:ascii="Arial" w:hAnsi="Arial" w:eastAsia="Arial" w:cs="Arial"/>
      <w:b/>
      <w:bCs/>
      <w:sz w:val="22"/>
      <w:szCs w:val="22"/>
    </w:rPr>
  </w:style>
  <w:style w:type="paragraph" w:styleId="752">
    <w:name w:val="Heading 7"/>
    <w:basedOn w:val="914"/>
    <w:next w:val="914"/>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basedOn w:val="919"/>
    <w:link w:val="752"/>
    <w:uiPriority w:val="9"/>
    <w:rPr>
      <w:rFonts w:ascii="Arial" w:hAnsi="Arial" w:eastAsia="Arial" w:cs="Arial"/>
      <w:b/>
      <w:bCs/>
      <w:i/>
      <w:iCs/>
      <w:sz w:val="22"/>
      <w:szCs w:val="22"/>
    </w:rPr>
  </w:style>
  <w:style w:type="paragraph" w:styleId="754">
    <w:name w:val="Heading 8"/>
    <w:basedOn w:val="914"/>
    <w:next w:val="914"/>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19"/>
    <w:link w:val="754"/>
    <w:uiPriority w:val="9"/>
    <w:rPr>
      <w:rFonts w:ascii="Arial" w:hAnsi="Arial" w:eastAsia="Arial" w:cs="Arial"/>
      <w:i/>
      <w:iCs/>
      <w:sz w:val="22"/>
      <w:szCs w:val="22"/>
    </w:rPr>
  </w:style>
  <w:style w:type="paragraph" w:styleId="756">
    <w:name w:val="Heading 9"/>
    <w:basedOn w:val="914"/>
    <w:next w:val="914"/>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basedOn w:val="919"/>
    <w:link w:val="756"/>
    <w:uiPriority w:val="9"/>
    <w:rPr>
      <w:rFonts w:ascii="Arial" w:hAnsi="Arial" w:eastAsia="Arial" w:cs="Arial"/>
      <w:i/>
      <w:iCs/>
      <w:sz w:val="21"/>
      <w:szCs w:val="21"/>
    </w:rPr>
  </w:style>
  <w:style w:type="paragraph" w:styleId="758">
    <w:name w:val="List Paragraph"/>
    <w:basedOn w:val="914"/>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4"/>
    <w:next w:val="914"/>
    <w:link w:val="761"/>
    <w:uiPriority w:val="10"/>
    <w:qFormat/>
    <w:pPr>
      <w:contextualSpacing/>
      <w:spacing w:before="300" w:after="200"/>
    </w:pPr>
    <w:rPr>
      <w:sz w:val="48"/>
      <w:szCs w:val="48"/>
    </w:rPr>
  </w:style>
  <w:style w:type="character" w:styleId="761">
    <w:name w:val="Title Char"/>
    <w:basedOn w:val="919"/>
    <w:link w:val="760"/>
    <w:uiPriority w:val="10"/>
    <w:rPr>
      <w:sz w:val="48"/>
      <w:szCs w:val="48"/>
    </w:rPr>
  </w:style>
  <w:style w:type="paragraph" w:styleId="762">
    <w:name w:val="Subtitle"/>
    <w:basedOn w:val="914"/>
    <w:next w:val="914"/>
    <w:link w:val="763"/>
    <w:uiPriority w:val="11"/>
    <w:qFormat/>
    <w:pPr>
      <w:spacing w:before="200" w:after="200"/>
    </w:pPr>
    <w:rPr>
      <w:sz w:val="24"/>
      <w:szCs w:val="24"/>
    </w:rPr>
  </w:style>
  <w:style w:type="character" w:styleId="763">
    <w:name w:val="Subtitle Char"/>
    <w:basedOn w:val="919"/>
    <w:link w:val="762"/>
    <w:uiPriority w:val="11"/>
    <w:rPr>
      <w:sz w:val="24"/>
      <w:szCs w:val="24"/>
    </w:rPr>
  </w:style>
  <w:style w:type="paragraph" w:styleId="764">
    <w:name w:val="Quote"/>
    <w:basedOn w:val="914"/>
    <w:next w:val="914"/>
    <w:link w:val="765"/>
    <w:uiPriority w:val="29"/>
    <w:qFormat/>
    <w:pPr>
      <w:ind w:left="720" w:right="720"/>
    </w:pPr>
    <w:rPr>
      <w:i/>
    </w:rPr>
  </w:style>
  <w:style w:type="character" w:styleId="765">
    <w:name w:val="Quote Char"/>
    <w:link w:val="764"/>
    <w:uiPriority w:val="29"/>
    <w:rPr>
      <w:i/>
    </w:rPr>
  </w:style>
  <w:style w:type="paragraph" w:styleId="766">
    <w:name w:val="Intense Quote"/>
    <w:basedOn w:val="914"/>
    <w:next w:val="914"/>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9"/>
    <w:link w:val="931"/>
    <w:uiPriority w:val="99"/>
  </w:style>
  <w:style w:type="character" w:styleId="769">
    <w:name w:val="Footer Char"/>
    <w:basedOn w:val="919"/>
    <w:link w:val="930"/>
    <w:uiPriority w:val="99"/>
  </w:style>
  <w:style w:type="paragraph" w:styleId="770">
    <w:name w:val="Caption"/>
    <w:basedOn w:val="914"/>
    <w:next w:val="914"/>
    <w:uiPriority w:val="35"/>
    <w:semiHidden/>
    <w:unhideWhenUsed/>
    <w:qFormat/>
    <w:pPr>
      <w:spacing w:line="276" w:lineRule="auto"/>
    </w:pPr>
    <w:rPr>
      <w:b/>
      <w:bCs/>
      <w:color w:val="4f81bd" w:themeColor="accent1"/>
      <w:sz w:val="18"/>
      <w:szCs w:val="18"/>
    </w:rPr>
  </w:style>
  <w:style w:type="character" w:styleId="771">
    <w:name w:val="Caption Char"/>
    <w:basedOn w:val="770"/>
    <w:link w:val="930"/>
    <w:uiPriority w:val="99"/>
  </w:style>
  <w:style w:type="table" w:styleId="772">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7">
    <w:name w:val="footnote text"/>
    <w:basedOn w:val="914"/>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19"/>
    <w:uiPriority w:val="99"/>
    <w:unhideWhenUsed/>
    <w:rPr>
      <w:vertAlign w:val="superscript"/>
    </w:rPr>
  </w:style>
  <w:style w:type="paragraph" w:styleId="900">
    <w:name w:val="endnote text"/>
    <w:basedOn w:val="914"/>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9"/>
    <w:uiPriority w:val="99"/>
    <w:semiHidden/>
    <w:unhideWhenUsed/>
    <w:rPr>
      <w:vertAlign w:val="superscript"/>
    </w:rPr>
  </w:style>
  <w:style w:type="paragraph" w:styleId="903">
    <w:name w:val="toc 1"/>
    <w:basedOn w:val="914"/>
    <w:next w:val="914"/>
    <w:uiPriority w:val="39"/>
    <w:unhideWhenUsed/>
    <w:pPr>
      <w:ind w:left="0" w:right="0" w:firstLine="0"/>
      <w:spacing w:after="57"/>
    </w:pPr>
  </w:style>
  <w:style w:type="paragraph" w:styleId="904">
    <w:name w:val="toc 2"/>
    <w:basedOn w:val="914"/>
    <w:next w:val="914"/>
    <w:uiPriority w:val="39"/>
    <w:unhideWhenUsed/>
    <w:pPr>
      <w:ind w:left="283" w:right="0" w:firstLine="0"/>
      <w:spacing w:after="57"/>
    </w:pPr>
  </w:style>
  <w:style w:type="paragraph" w:styleId="905">
    <w:name w:val="toc 3"/>
    <w:basedOn w:val="914"/>
    <w:next w:val="914"/>
    <w:uiPriority w:val="39"/>
    <w:unhideWhenUsed/>
    <w:pPr>
      <w:ind w:left="567" w:right="0" w:firstLine="0"/>
      <w:spacing w:after="57"/>
    </w:pPr>
  </w:style>
  <w:style w:type="paragraph" w:styleId="906">
    <w:name w:val="toc 4"/>
    <w:basedOn w:val="914"/>
    <w:next w:val="914"/>
    <w:uiPriority w:val="39"/>
    <w:unhideWhenUsed/>
    <w:pPr>
      <w:ind w:left="850" w:right="0" w:firstLine="0"/>
      <w:spacing w:after="57"/>
    </w:pPr>
  </w:style>
  <w:style w:type="paragraph" w:styleId="907">
    <w:name w:val="toc 5"/>
    <w:basedOn w:val="914"/>
    <w:next w:val="914"/>
    <w:uiPriority w:val="39"/>
    <w:unhideWhenUsed/>
    <w:pPr>
      <w:ind w:left="1134" w:right="0" w:firstLine="0"/>
      <w:spacing w:after="57"/>
    </w:pPr>
  </w:style>
  <w:style w:type="paragraph" w:styleId="908">
    <w:name w:val="toc 6"/>
    <w:basedOn w:val="914"/>
    <w:next w:val="914"/>
    <w:uiPriority w:val="39"/>
    <w:unhideWhenUsed/>
    <w:pPr>
      <w:ind w:left="1417" w:right="0" w:firstLine="0"/>
      <w:spacing w:after="57"/>
    </w:pPr>
  </w:style>
  <w:style w:type="paragraph" w:styleId="909">
    <w:name w:val="toc 7"/>
    <w:basedOn w:val="914"/>
    <w:next w:val="914"/>
    <w:uiPriority w:val="39"/>
    <w:unhideWhenUsed/>
    <w:pPr>
      <w:ind w:left="1701"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next w:val="921"/>
    <w:uiPriority w:val="0"/>
    <w:qFormat/>
    <w:pPr>
      <w:jc w:val="both"/>
      <w:widowControl w:val="off"/>
    </w:pPr>
    <w:rPr>
      <w:rFonts w:ascii="Times New Roman" w:hAnsi="Times New Roman" w:eastAsia="宋体" w:cs="Times New Roman"/>
      <w:sz w:val="21"/>
      <w:szCs w:val="24"/>
      <w:lang w:val="en-US" w:eastAsia="zh-CN" w:bidi="ar-SA"/>
    </w:rPr>
  </w:style>
  <w:style w:type="paragraph" w:styleId="915">
    <w:name w:val="Heading 1"/>
    <w:basedOn w:val="914"/>
    <w:next w:val="914"/>
    <w:uiPriority w:val="0"/>
    <w:qFormat/>
    <w:pPr>
      <w:keepLines/>
      <w:keepNext/>
      <w:spacing w:before="340" w:after="330" w:line="578" w:lineRule="auto"/>
      <w:outlineLvl w:val="0"/>
    </w:pPr>
    <w:rPr>
      <w:b/>
      <w:bCs/>
      <w:sz w:val="44"/>
      <w:szCs w:val="44"/>
    </w:rPr>
  </w:style>
  <w:style w:type="paragraph" w:styleId="916">
    <w:name w:val="Heading 2"/>
    <w:basedOn w:val="914"/>
    <w:next w:val="914"/>
    <w:link w:val="960"/>
    <w:uiPriority w:val="0"/>
    <w:qFormat/>
    <w:pPr>
      <w:keepLines/>
      <w:keepNext/>
      <w:spacing w:before="260" w:after="260" w:line="416" w:lineRule="auto"/>
      <w:outlineLvl w:val="1"/>
    </w:pPr>
    <w:rPr>
      <w:rFonts w:ascii="Arial" w:hAnsi="Arial" w:eastAsia="黑体"/>
      <w:b/>
      <w:bCs/>
      <w:sz w:val="32"/>
      <w:szCs w:val="32"/>
    </w:rPr>
  </w:style>
  <w:style w:type="paragraph" w:styleId="917">
    <w:name w:val="Heading 3"/>
    <w:basedOn w:val="914"/>
    <w:next w:val="924"/>
    <w:link w:val="945"/>
    <w:uiPriority w:val="0"/>
    <w:qFormat/>
    <w:pPr>
      <w:keepLines/>
      <w:keepNext/>
      <w:spacing w:before="260" w:after="260" w:line="416" w:lineRule="auto"/>
      <w:outlineLvl w:val="2"/>
    </w:pPr>
    <w:rPr>
      <w:b/>
      <w:sz w:val="32"/>
      <w:szCs w:val="20"/>
    </w:rPr>
  </w:style>
  <w:style w:type="paragraph" w:styleId="918">
    <w:name w:val="Heading 4"/>
    <w:basedOn w:val="914"/>
    <w:next w:val="914"/>
    <w:link w:val="946"/>
    <w:uiPriority w:val="0"/>
    <w:qFormat/>
    <w:pPr>
      <w:keepLines/>
      <w:keepNext/>
      <w:spacing w:before="280" w:after="290" w:line="376" w:lineRule="auto"/>
      <w:outlineLvl w:val="3"/>
    </w:pPr>
    <w:rPr>
      <w:rFonts w:ascii="Arial" w:hAnsi="Arial" w:eastAsia="黑体"/>
      <w:b/>
      <w:bCs/>
      <w:sz w:val="28"/>
      <w:szCs w:val="28"/>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customStyle="1">
    <w:name w:val="正文首行缩进 21"/>
    <w:basedOn w:val="922"/>
    <w:uiPriority w:val="0"/>
    <w:qFormat/>
    <w:pPr>
      <w:ind w:firstLine="200"/>
    </w:pPr>
    <w:rPr>
      <w:rFonts w:ascii="Arial" w:hAnsi="Arial"/>
      <w:color w:val="000000"/>
      <w:szCs w:val="21"/>
    </w:rPr>
  </w:style>
  <w:style w:type="paragraph" w:styleId="922">
    <w:name w:val="Body Text Indent"/>
    <w:basedOn w:val="914"/>
    <w:next w:val="923"/>
    <w:uiPriority w:val="0"/>
    <w:qFormat/>
    <w:pPr>
      <w:ind w:left="420"/>
      <w:spacing w:after="120"/>
    </w:pPr>
  </w:style>
  <w:style w:type="paragraph" w:styleId="923">
    <w:name w:val="envelope return"/>
    <w:basedOn w:val="914"/>
    <w:uiPriority w:val="99"/>
    <w:unhideWhenUsed/>
    <w:qFormat/>
    <w:rPr>
      <w:rFonts w:ascii="Arial" w:hAnsi="Arial"/>
    </w:rPr>
  </w:style>
  <w:style w:type="paragraph" w:styleId="924">
    <w:name w:val="Normal Indent"/>
    <w:basedOn w:val="914"/>
    <w:link w:val="951"/>
    <w:uiPriority w:val="0"/>
    <w:qFormat/>
    <w:pPr>
      <w:ind w:firstLine="420"/>
    </w:pPr>
  </w:style>
  <w:style w:type="paragraph" w:styleId="925">
    <w:name w:val="Document Map"/>
    <w:basedOn w:val="914"/>
    <w:uiPriority w:val="0"/>
    <w:semiHidden/>
    <w:qFormat/>
    <w:pPr>
      <w:shd w:val="clear" w:color="auto" w:fill="000080"/>
    </w:pPr>
  </w:style>
  <w:style w:type="paragraph" w:styleId="926">
    <w:name w:val="Body Text"/>
    <w:basedOn w:val="914"/>
    <w:next w:val="914"/>
    <w:uiPriority w:val="0"/>
    <w:qFormat/>
    <w:pPr>
      <w:ind w:firstLine="420"/>
      <w:spacing w:line="360" w:lineRule="auto"/>
    </w:pPr>
    <w:rPr>
      <w:rFonts w:hint="eastAsia" w:ascii="宋体" w:hAnsi="宋体"/>
      <w:sz w:val="24"/>
    </w:rPr>
  </w:style>
  <w:style w:type="paragraph" w:styleId="927">
    <w:name w:val="Plain Text"/>
    <w:basedOn w:val="914"/>
    <w:link w:val="950"/>
    <w:uiPriority w:val="0"/>
    <w:qFormat/>
    <w:pPr>
      <w:jc w:val="left"/>
      <w:spacing w:after="200" w:line="252" w:lineRule="auto"/>
      <w:widowControl/>
    </w:pPr>
    <w:rPr>
      <w:rFonts w:ascii="宋体" w:hAnsi="Courier New"/>
      <w:szCs w:val="20"/>
    </w:rPr>
  </w:style>
  <w:style w:type="paragraph" w:styleId="928">
    <w:name w:val="Date"/>
    <w:basedOn w:val="914"/>
    <w:next w:val="914"/>
    <w:link w:val="941"/>
    <w:uiPriority w:val="0"/>
    <w:qFormat/>
    <w:rPr>
      <w:sz w:val="24"/>
      <w:szCs w:val="20"/>
    </w:rPr>
  </w:style>
  <w:style w:type="paragraph" w:styleId="929">
    <w:name w:val="Balloon Text"/>
    <w:basedOn w:val="914"/>
    <w:link w:val="943"/>
    <w:uiPriority w:val="0"/>
    <w:qFormat/>
    <w:rPr>
      <w:sz w:val="18"/>
      <w:szCs w:val="18"/>
    </w:rPr>
  </w:style>
  <w:style w:type="paragraph" w:styleId="930">
    <w:name w:val="Footer"/>
    <w:basedOn w:val="914"/>
    <w:uiPriority w:val="0"/>
    <w:qFormat/>
    <w:pPr>
      <w:jc w:val="left"/>
      <w:tabs>
        <w:tab w:val="center" w:pos="4153" w:leader="none"/>
        <w:tab w:val="right" w:pos="8306" w:leader="none"/>
      </w:tabs>
    </w:pPr>
    <w:rPr>
      <w:sz w:val="18"/>
      <w:szCs w:val="18"/>
    </w:rPr>
  </w:style>
  <w:style w:type="paragraph" w:styleId="931">
    <w:name w:val="Header"/>
    <w:basedOn w:val="914"/>
    <w:link w:val="952"/>
    <w:uiPriority w:val="99"/>
    <w:qFormat/>
    <w:pPr>
      <w:jc w:val="center"/>
      <w:tabs>
        <w:tab w:val="center" w:pos="4153" w:leader="none"/>
        <w:tab w:val="right" w:pos="8306" w:leader="none"/>
      </w:tabs>
      <w:pBdr>
        <w:bottom w:val="single" w:color="auto" w:sz="6" w:space="1"/>
      </w:pBdr>
    </w:pPr>
    <w:rPr>
      <w:sz w:val="18"/>
      <w:szCs w:val="18"/>
    </w:rPr>
  </w:style>
  <w:style w:type="paragraph" w:styleId="932">
    <w:name w:val="List"/>
    <w:basedOn w:val="914"/>
    <w:uiPriority w:val="0"/>
    <w:qFormat/>
    <w:pPr>
      <w:contextualSpacing/>
      <w:ind w:left="200" w:hanging="200"/>
      <w:jc w:val="left"/>
    </w:pPr>
    <w:rPr>
      <w:rFonts w:ascii="Arial" w:hAnsi="Arial"/>
      <w:color w:val="000000"/>
      <w:szCs w:val="21"/>
    </w:rPr>
  </w:style>
  <w:style w:type="paragraph" w:styleId="933">
    <w:name w:val="Body Text Indent 3"/>
    <w:basedOn w:val="914"/>
    <w:link w:val="942"/>
    <w:uiPriority w:val="0"/>
    <w:qFormat/>
    <w:pPr>
      <w:ind w:left="420"/>
      <w:spacing w:after="120"/>
    </w:pPr>
    <w:rPr>
      <w:sz w:val="16"/>
      <w:szCs w:val="16"/>
    </w:rPr>
  </w:style>
  <w:style w:type="paragraph" w:styleId="934">
    <w:name w:val="Normal (Web)"/>
    <w:basedOn w:val="914"/>
    <w:uiPriority w:val="99"/>
    <w:unhideWhenUsed/>
    <w:qFormat/>
    <w:pPr>
      <w:jc w:val="left"/>
      <w:spacing w:before="100" w:beforeAutospacing="1" w:after="100" w:afterAutospacing="1"/>
      <w:widowControl/>
    </w:pPr>
    <w:rPr>
      <w:rFonts w:ascii="宋体" w:hAnsi="宋体" w:cs="宋体"/>
      <w:sz w:val="24"/>
    </w:rPr>
  </w:style>
  <w:style w:type="paragraph" w:styleId="935">
    <w:name w:val="Body Text First Indent"/>
    <w:basedOn w:val="914"/>
    <w:next w:val="932"/>
    <w:uiPriority w:val="0"/>
    <w:qFormat/>
    <w:pPr>
      <w:ind w:firstLine="420"/>
      <w:jc w:val="left"/>
      <w:widowControl/>
    </w:pPr>
    <w:rPr>
      <w:rFonts w:ascii="Calibri" w:hAnsi="Calibri"/>
      <w:color w:val="000000"/>
      <w:sz w:val="28"/>
      <w:szCs w:val="28"/>
    </w:rPr>
  </w:style>
  <w:style w:type="table" w:styleId="936">
    <w:name w:val="Table Grid"/>
    <w:basedOn w:val="9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basedOn w:val="919"/>
    <w:uiPriority w:val="22"/>
    <w:qFormat/>
    <w:rPr>
      <w:b/>
      <w:bCs/>
    </w:rPr>
  </w:style>
  <w:style w:type="character" w:styleId="938">
    <w:name w:val="page number"/>
    <w:basedOn w:val="919"/>
    <w:uiPriority w:val="0"/>
    <w:qFormat/>
  </w:style>
  <w:style w:type="character" w:styleId="939">
    <w:name w:val="Emphasis"/>
    <w:basedOn w:val="919"/>
    <w:uiPriority w:val="20"/>
    <w:qFormat/>
    <w:rPr>
      <w:i/>
      <w:iCs/>
    </w:rPr>
  </w:style>
  <w:style w:type="character" w:styleId="940">
    <w:name w:val="Hyperlink"/>
    <w:basedOn w:val="919"/>
    <w:uiPriority w:val="0"/>
    <w:qFormat/>
    <w:rPr>
      <w:color w:val="0000ff"/>
      <w:u w:val="single"/>
    </w:rPr>
  </w:style>
  <w:style w:type="character" w:styleId="941" w:customStyle="1">
    <w:name w:val="日期 Char"/>
    <w:basedOn w:val="919"/>
    <w:link w:val="928"/>
    <w:uiPriority w:val="0"/>
    <w:qFormat/>
    <w:rPr>
      <w:sz w:val="24"/>
    </w:rPr>
  </w:style>
  <w:style w:type="character" w:styleId="942" w:customStyle="1">
    <w:name w:val="正文文本缩进 3 Char"/>
    <w:basedOn w:val="919"/>
    <w:link w:val="933"/>
    <w:uiPriority w:val="0"/>
    <w:qFormat/>
    <w:rPr>
      <w:sz w:val="16"/>
      <w:szCs w:val="16"/>
    </w:rPr>
  </w:style>
  <w:style w:type="character" w:styleId="943" w:customStyle="1">
    <w:name w:val="批注框文本 Char"/>
    <w:basedOn w:val="919"/>
    <w:link w:val="929"/>
    <w:uiPriority w:val="0"/>
    <w:qFormat/>
    <w:rPr>
      <w:sz w:val="18"/>
      <w:szCs w:val="18"/>
    </w:rPr>
  </w:style>
  <w:style w:type="character" w:styleId="944" w:customStyle="1">
    <w:name w:val="纯文本 Char"/>
    <w:uiPriority w:val="99"/>
    <w:qFormat/>
    <w:rPr>
      <w:rFonts w:ascii="宋体" w:hAnsi="Courier New"/>
      <w:sz w:val="21"/>
    </w:rPr>
  </w:style>
  <w:style w:type="character" w:styleId="945" w:customStyle="1">
    <w:name w:val="标题 3 Char"/>
    <w:basedOn w:val="919"/>
    <w:link w:val="917"/>
    <w:uiPriority w:val="0"/>
    <w:qFormat/>
    <w:rPr>
      <w:b/>
      <w:sz w:val="32"/>
    </w:rPr>
  </w:style>
  <w:style w:type="character" w:styleId="946" w:customStyle="1">
    <w:name w:val="标题 4 Char"/>
    <w:basedOn w:val="919"/>
    <w:link w:val="918"/>
    <w:uiPriority w:val="0"/>
    <w:qFormat/>
    <w:rPr>
      <w:rFonts w:ascii="Arial" w:hAnsi="Arial" w:eastAsia="黑体"/>
      <w:b/>
      <w:bCs/>
      <w:sz w:val="28"/>
      <w:szCs w:val="28"/>
    </w:rPr>
  </w:style>
  <w:style w:type="character" w:styleId="947" w:customStyle="1">
    <w:name w:val="正文缩进2格 Char"/>
    <w:link w:val="948"/>
    <w:uiPriority w:val="0"/>
    <w:qFormat/>
    <w:rPr>
      <w:rFonts w:ascii="仿宋_GB2312" w:hAnsi="宋体" w:eastAsia="仿宋_GB2312"/>
      <w:sz w:val="31"/>
      <w:szCs w:val="28"/>
      <w:lang w:bidi="ar-SA"/>
    </w:rPr>
  </w:style>
  <w:style w:type="paragraph" w:styleId="948" w:customStyle="1">
    <w:name w:val="正文缩进2格"/>
    <w:basedOn w:val="914"/>
    <w:link w:val="947"/>
    <w:uiPriority w:val="0"/>
    <w:qFormat/>
    <w:pPr>
      <w:ind w:firstLine="639"/>
      <w:spacing w:line="600" w:lineRule="exact"/>
    </w:pPr>
    <w:rPr>
      <w:rFonts w:ascii="仿宋_GB2312" w:hAnsi="宋体" w:eastAsia="仿宋_GB2312"/>
      <w:sz w:val="31"/>
      <w:szCs w:val="28"/>
    </w:rPr>
  </w:style>
  <w:style w:type="character" w:styleId="949" w:customStyle="1">
    <w:name w:val="纯文本 Char2"/>
    <w:basedOn w:val="919"/>
    <w:uiPriority w:val="0"/>
    <w:qFormat/>
    <w:rPr>
      <w:rFonts w:ascii="宋体" w:hAnsi="Courier New" w:eastAsia="宋体"/>
      <w:sz w:val="24"/>
      <w:lang w:val="en-US" w:eastAsia="zh-CN" w:bidi="ar-SA"/>
    </w:rPr>
  </w:style>
  <w:style w:type="character" w:styleId="950" w:customStyle="1">
    <w:name w:val="纯文本 Char1"/>
    <w:basedOn w:val="919"/>
    <w:link w:val="927"/>
    <w:uiPriority w:val="0"/>
    <w:qFormat/>
    <w:rPr>
      <w:rFonts w:ascii="宋体" w:hAnsi="Courier New" w:cs="Courier New"/>
      <w:sz w:val="21"/>
      <w:szCs w:val="21"/>
    </w:rPr>
  </w:style>
  <w:style w:type="character" w:styleId="951" w:customStyle="1">
    <w:name w:val="正文缩进 Char"/>
    <w:link w:val="924"/>
    <w:uiPriority w:val="0"/>
    <w:qFormat/>
    <w:rPr>
      <w:rFonts w:eastAsia="宋体"/>
      <w:sz w:val="21"/>
      <w:szCs w:val="24"/>
      <w:lang w:val="en-US" w:eastAsia="zh-CN" w:bidi="ar-SA"/>
    </w:rPr>
  </w:style>
  <w:style w:type="character" w:styleId="952" w:customStyle="1">
    <w:name w:val="页眉 Char"/>
    <w:link w:val="931"/>
    <w:uiPriority w:val="99"/>
    <w:qFormat/>
    <w:rPr>
      <w:sz w:val="18"/>
      <w:szCs w:val="18"/>
    </w:rPr>
  </w:style>
  <w:style w:type="paragraph" w:styleId="953" w:customStyle="1">
    <w:name w:val="Char"/>
    <w:basedOn w:val="925"/>
    <w:uiPriority w:val="0"/>
    <w:qFormat/>
    <w:rPr>
      <w:rFonts w:ascii="Tahoma" w:hAnsi="Tahoma"/>
      <w:sz w:val="24"/>
    </w:rPr>
  </w:style>
  <w:style w:type="paragraph" w:styleId="954" w:customStyle="1">
    <w:name w:val="普通正文"/>
    <w:basedOn w:val="914"/>
    <w:uiPriority w:val="0"/>
    <w:qFormat/>
    <w:pPr>
      <w:ind w:firstLine="480"/>
      <w:jc w:val="left"/>
      <w:spacing w:before="120" w:after="120" w:line="360" w:lineRule="auto"/>
    </w:pPr>
    <w:rPr>
      <w:rFonts w:ascii="Arial" w:hAnsi="Arial"/>
      <w:sz w:val="24"/>
    </w:rPr>
  </w:style>
  <w:style w:type="paragraph" w:styleId="955" w:customStyle="1">
    <w:name w:val="msonormalcxspmiddle"/>
    <w:basedOn w:val="914"/>
    <w:uiPriority w:val="0"/>
    <w:qFormat/>
    <w:pPr>
      <w:jc w:val="left"/>
      <w:spacing w:before="100" w:beforeAutospacing="1" w:after="100" w:afterAutospacing="1"/>
      <w:widowControl/>
    </w:pPr>
    <w:rPr>
      <w:rFonts w:ascii="宋体" w:hAnsi="宋体" w:cs="宋体"/>
      <w:sz w:val="24"/>
    </w:rPr>
  </w:style>
  <w:style w:type="paragraph" w:styleId="956" w:customStyle="1">
    <w:name w:val="Char1"/>
    <w:basedOn w:val="914"/>
    <w:uiPriority w:val="0"/>
    <w:qFormat/>
    <w:pPr>
      <w:tabs>
        <w:tab w:val="left" w:pos="360" w:leader="none"/>
      </w:tabs>
    </w:pPr>
    <w:rPr>
      <w:color w:val="000000"/>
      <w:sz w:val="24"/>
    </w:rPr>
  </w:style>
  <w:style w:type="paragraph" w:styleId="957" w:customStyle="1">
    <w:name w:val="Char Char Char Char"/>
    <w:basedOn w:val="925"/>
    <w:uiPriority w:val="0"/>
    <w:qFormat/>
    <w:pPr>
      <w:spacing w:line="360" w:lineRule="auto"/>
    </w:pPr>
    <w:rPr>
      <w:szCs w:val="20"/>
    </w:rPr>
  </w:style>
  <w:style w:type="character" w:styleId="958" w:customStyle="1">
    <w:name w:val="p0 Char"/>
    <w:link w:val="959"/>
    <w:uiPriority w:val="0"/>
    <w:qFormat/>
    <w:rPr>
      <w:sz w:val="21"/>
      <w:szCs w:val="21"/>
    </w:rPr>
  </w:style>
  <w:style w:type="paragraph" w:styleId="959" w:customStyle="1">
    <w:name w:val="p0"/>
    <w:basedOn w:val="914"/>
    <w:link w:val="958"/>
    <w:uiPriority w:val="0"/>
    <w:qFormat/>
    <w:pPr>
      <w:widowControl/>
    </w:pPr>
    <w:rPr>
      <w:szCs w:val="21"/>
    </w:rPr>
  </w:style>
  <w:style w:type="character" w:styleId="960" w:customStyle="1">
    <w:name w:val="标题 2 Char"/>
    <w:link w:val="916"/>
    <w:uiPriority w:val="0"/>
    <w:qFormat/>
    <w:rPr>
      <w:rFonts w:ascii="Arial" w:hAnsi="Arial" w:eastAsia="黑体"/>
      <w:b/>
      <w:bCs/>
      <w:sz w:val="32"/>
      <w:szCs w:val="32"/>
    </w:rPr>
  </w:style>
  <w:style w:type="paragraph" w:styleId="961" w:customStyle="1">
    <w:name w:val="Table Text"/>
    <w:basedOn w:val="914"/>
    <w:uiPriority w:val="0"/>
    <w:qFormat/>
    <w:pPr>
      <w:jc w:val="left"/>
    </w:pPr>
    <w:rPr>
      <w:rFonts w:hint="eastAsia" w:ascii="仿宋" w:hAnsi="仿宋" w:eastAsia="仿宋"/>
      <w:color w:val="000000"/>
      <w:sz w:val="19"/>
      <w:szCs w:val="19"/>
    </w:rPr>
  </w:style>
  <w:style w:type="table" w:styleId="962" w:customStyle="1">
    <w:name w:val="Table Normal"/>
    <w:basedOn w:val="920"/>
    <w:uiPriority w:val="0"/>
    <w:qFormat/>
    <w:tblPr>
      <w:tblCellMar>
        <w:left w:w="0" w:type="dxa"/>
        <w:top w:w="0" w:type="dxa"/>
        <w:right w:w="0" w:type="dxa"/>
        <w:bottom w:w="0" w:type="dxa"/>
      </w:tblCellMar>
    </w:tbl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 Id="rId17" Type="http://schemas.openxmlformats.org/officeDocument/2006/relationships/oleObject" Target="embeddings/oleObject1.bin"/><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oleObject" Target="embeddings/oleObject2.bin"/><Relationship Id="rId21" Type="http://schemas.openxmlformats.org/officeDocument/2006/relationships/image" Target="media/image4.wmf"/><Relationship Id="rId22" Type="http://schemas.openxmlformats.org/officeDocument/2006/relationships/oleObject" Target="embeddings/oleObject3.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530a19eb-4abe-42ae-875a-19ea5c7a2456</errorID>
      <errorWord>;</errorWord>
      <group>L1_Format</group>
      <groupName>格式问题</groupName>
      <ability>L2_HalfPunc</ability>
      <abilityName>全半角检查</abilityName>
      <candidateList>
        <item>；</item>
      </candidateList>
      <explain>文本全半角错误。</explain>
      <paraID>7C98C84A</paraID>
      <start>16</start>
      <end>17</end>
      <status>unmodified</status>
      <modifiedWord/>
      <trackRevisions>false</trackRevisions>
    </reviewItem>
    <reviewItem>
      <errorID>b71d5c8e-d703-4aae-99eb-ce2080f883d1</errorID>
      <errorWord>;</errorWord>
      <group>L1_Format</group>
      <groupName>格式问题</groupName>
      <ability>L2_HalfPunc</ability>
      <abilityName>全半角检查</abilityName>
      <candidateList>
        <item>；</item>
      </candidateList>
      <explain>文本全半角错误。</explain>
      <paraID>40B5ED52</paraID>
      <start>22</start>
      <end>23</end>
      <status>unmodified</status>
      <modifiedWord/>
      <trackRevisions>false</trackRevisions>
    </reviewItem>
    <reviewItem>
      <errorID>07288aa3-c6f9-4189-9c73-8c15f9e4e9b4</errorID>
      <errorWord>;</errorWord>
      <group>L1_Format</group>
      <groupName>格式问题</groupName>
      <ability>L2_HalfPunc</ability>
      <abilityName>全半角检查</abilityName>
      <candidateList>
        <item>；</item>
      </candidateList>
      <explain>文本全半角错误。</explain>
      <paraID>274F5B15</paraID>
      <start>22</start>
      <end>23</end>
      <status>unmodified</status>
      <modifiedWord/>
      <trackRevisions>false</trackRevisions>
    </reviewItem>
    <reviewItem>
      <errorID>9396f968-cbd5-449d-906d-302376544ead</errorID>
      <errorWord>;</errorWord>
      <group>L1_Format</group>
      <groupName>格式问题</groupName>
      <ability>L2_HalfPunc</ability>
      <abilityName>全半角检查</abilityName>
      <candidateList>
        <item>；</item>
      </candidateList>
      <explain>文本全半角错误。</explain>
      <paraID>40CEBBDF</paraID>
      <start>22</start>
      <end>23</end>
      <status>unmodified</status>
      <modifiedWord/>
      <trackRevisions>false</trackRevisions>
    </reviewItem>
    <reviewItem>
      <errorID>67f06c33-0afa-4def-83a3-68b6c444cbeb</errorID>
      <errorWord>;</errorWord>
      <group>L1_Format</group>
      <groupName>格式问题</groupName>
      <ability>L2_HalfPunc</ability>
      <abilityName>全半角检查</abilityName>
      <candidateList>
        <item>；</item>
      </candidateList>
      <explain>文本全半角错误。</explain>
      <paraID>7CE200E6</paraID>
      <start>30</start>
      <end>31</end>
      <status>unmodified</status>
      <modifiedWord/>
      <trackRevisions>false</trackRevisions>
    </reviewItem>
    <reviewItem>
      <errorID>09846f16-690d-4de2-b255-eba4d642ad4f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18E78BD6</paraID>
      <start>13</start>
      <end>16</end>
      <status>unmodified</status>
      <modifiedWord/>
      <trackRevisions>false</trackRevisions>
    </reviewItem>
    <reviewItem>
      <errorID>416f572a-720c-4c6f-9ff2-108a2d405845</errorID>
      <errorWord>国家发改委</errorWord>
      <group>L1_Knowledge</group>
      <groupName>知识性问题</groupName>
      <ability>L2_Knowledge</ability>
      <abilityName>其他知识</abilityName>
      <candidateList>
        <item>国家发展改革委</item>
      </candidateList>
      <explain/>
      <paraID>759666BE</paraID>
      <start>13</start>
      <end>18</end>
      <status>unmodified</status>
      <modifiedWord/>
      <trackRevisions>false</trackRevisions>
    </reviewItem>
    <reviewItem>
      <errorID>74adf0d5-426b-4443-8143-98f48518af82</errorID>
      <errorWord>,</errorWord>
      <group>L1_Format</group>
      <groupName>格式问题</groupName>
      <ability>L2_HalfPunc</ability>
      <abilityName>全半角检查</abilityName>
      <candidateList>
        <item>，</item>
      </candidateList>
      <explain>文本全半角错误。</explain>
      <paraID>759666BE</paraID>
      <start>71</start>
      <end>72</end>
      <status>unmodified</status>
      <modifiedWord/>
      <trackRevisions>false</trackRevisions>
    </reviewItem>
    <reviewItem>
      <errorID>689e88f6-a397-4376-90aa-5745a37ebfd5</errorID>
      <errorWord>,</errorWord>
      <group>L1_Format</group>
      <groupName>格式问题</groupName>
      <ability>L2_HalfPunc</ability>
      <abilityName>全半角检查</abilityName>
      <candidateList>
        <item>，</item>
      </candidateList>
      <explain>文本全半角错误。</explain>
      <paraID>3C9678EE</paraID>
      <start>75</start>
      <end>76</end>
      <status>unmodified</status>
      <modifiedWord/>
      <trackRevisions>false</trackRevisions>
    </reviewItem>
    <reviewItem>
      <errorID>8c09829c-c16d-4b31-9e90-2f1747bc5a99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5B1C63E5</paraID>
      <start>33</start>
      <end>36</end>
      <status>unmodified</status>
      <modifiedWord/>
      <trackRevisions>false</trackRevisions>
    </reviewItem>
    <reviewItem>
      <errorID>a8661f93-0df0-4cc3-85cd-919390d986e2</errorID>
      <errorWord>:</errorWord>
      <group>L1_Format</group>
      <groupName>格式问题</groupName>
      <ability>L2_HalfPunc</ability>
      <abilityName>全半角检查</abilityName>
      <candidateList>
        <item>：</item>
      </candidateList>
      <explain>文本全半角错误。</explain>
      <paraID>491F1122</paraID>
      <start>2</start>
      <end>3</end>
      <status>unmodified</status>
      <modifiedWord/>
      <trackRevisions>false</trackRevisions>
    </reviewItem>
    <reviewItem>
      <errorID>a5e66a5c-9b0c-4a9c-bdd9-94326e6759c4</errorID>
      <errorWord>、以及</errorWord>
      <group>L1_Punc</group>
      <groupName>标点问题</groupName>
      <ability>L2_Punc</ability>
      <abilityName>标点符号检查</abilityName>
      <candidateList>
        <item>，以及</item>
      </candidateList>
      <explain>连接词前后不宜使用顿号，建议使用逗号。</explain>
      <paraID>3F7F22B5</paraID>
      <start>79</start>
      <end>82</end>
      <status>unmodified</status>
      <modifiedWord/>
      <trackRevisions>false</trackRevisions>
    </reviewItem>
    <reviewItem>
      <errorID>9d5b4eb9-2149-48fb-bd21-3473cba12f04</errorID>
      <errorWord>“.</errorWord>
      <group>L1_Punc</group>
      <groupName>标点问题</groupName>
      <ability>L2_Punc</ability>
      <abilityName>标点符号检查</abilityName>
      <candidateList>
        <item>“</item>
      </candidateList>
      <explain/>
      <paraID>43ABC36C</paraID>
      <start>175</start>
      <end>177</end>
      <status>unmodified</status>
      <modifiedWord/>
      <trackRevisions>false</trackRevisions>
    </reviewItem>
    <reviewItem>
      <errorID>1832c41c-a610-42b8-a3e4-d4c431e467d2</errorID>
      <errorWord>结果</errorWord>
      <group>L1_Word</group>
      <groupName>字词问题</groupName>
      <ability>L2_Typo</ability>
      <abilityName>字词错误</abilityName>
      <candidateList>
        <item>后果</item>
      </candidateList>
      <explain/>
      <paraID>1DC909AD</paraID>
      <start>31</start>
      <end>33</end>
      <status>unmodified</status>
      <modifiedWord/>
      <trackRevisions>false</trackRevisions>
    </reviewItem>
    <reviewItem>
      <errorID>25caf594-1048-491d-b7de-753b269da756</errorID>
      <errorWord>小组在</errorWord>
      <group>L1_Word</group>
      <groupName>字词问题</groupName>
      <ability>L2_Typo</ability>
      <abilityName>字词错误</abilityName>
      <candidateList>
        <item>小组</item>
      </candidateList>
      <explain/>
      <paraID>537F127D</paraID>
      <start>33</start>
      <end>36</end>
      <status>unmodified</status>
      <modifiedWord/>
      <trackRevisions>false</trackRevisions>
    </reviewItem>
    <reviewItem>
      <errorID>fed0b07b-2287-4991-86b2-78f9f0274b95</errorID>
      <errorWord>查</errorWord>
      <group>L1_Word</group>
      <groupName>字词问题</groupName>
      <ability>L2_Typo</ability>
      <abilityName>字词错误</abilityName>
      <candidateList>
        <item>查中</item>
      </candidateList>
      <explain/>
      <paraID>537F127D</paraID>
      <start>37</start>
      <end>38</end>
      <status>unmodified</status>
      <modifiedWord/>
      <trackRevisions>false</trackRevisions>
    </reviewItem>
    <reviewItem>
      <errorID>ee09f196-4e8c-4077-9354-59bd342bf1e4</errorID>
      <errorWord>做出</errorWord>
      <group>L1_Word</group>
      <groupName>字词问题</groupName>
      <ability>L2_Typo</ability>
      <abilityName>字词错误</abilityName>
      <candidateList>
        <item>作出</item>
      </candidateList>
      <explain/>
      <paraID>7DD5C370</paraID>
      <start>27</start>
      <end>29</end>
      <status>unmodified</status>
      <modifiedWord/>
      <trackRevisions>false</trackRevisions>
    </reviewItem>
    <reviewItem>
      <errorID>b614e416-7446-48af-b041-9d1af7e2df7b</errorID>
      <errorWord>保持通讯畅通</errorWord>
      <group>L1_Word</group>
      <groupName>字词问题</groupName>
      <ability>L2_Typo</ability>
      <abilityName>字词错误</abilityName>
      <candidateList>
        <item>保持通信畅通</item>
      </candidateList>
      <explain/>
      <paraID>68A46284</paraID>
      <start>15</start>
      <end>21</end>
      <status>unmodified</status>
      <modifiedWord/>
      <trackRevisions>false</trackRevisions>
    </reviewItem>
    <reviewItem>
      <errorID>0865cf5e-e0b7-4b17-8842-7e2b54323fa9</errorID>
      <errorWord>&lt;</errorWord>
      <group>L1_Format</group>
      <groupName>格式问题</groupName>
      <ability>L2_HalfPunc</ability>
      <abilityName>全半角检查</abilityName>
      <candidateList>
        <item>〈</item>
      </candidateList>
      <explain>文本全半角错误。</explain>
      <paraID>6102A70F</paraID>
      <start>42</start>
      <end>43</end>
      <status>unmodified</status>
      <modifiedWord/>
      <trackRevisions>false</trackRevisions>
    </reviewItem>
    <reviewItem>
      <errorID>b60586c6-9be0-4848-a006-802a9ed7f18c</errorID>
      <errorWord>&lt;</errorWord>
      <group>L1_Format</group>
      <groupName>格式问题</groupName>
      <ability>L2_HalfPunc</ability>
      <abilityName>全半角检查</abilityName>
      <candidateList>
        <item>〈</item>
      </candidateList>
      <explain>文本全半角错误。</explain>
      <paraID>516C323E</paraID>
      <start>41</start>
      <end>42</end>
      <status>unmodified</status>
      <modifiedWord/>
      <trackRevisions>false</trackRevisions>
    </reviewItem>
    <reviewItem>
      <errorID>6a77e834-67be-4aa5-94f3-e1b1be7461ad</errorID>
      <errorWord>&lt;</errorWord>
      <group>L1_Format</group>
      <groupName>格式问题</groupName>
      <ability>L2_HalfPunc</ability>
      <abilityName>全半角检查</abilityName>
      <candidateList>
        <item>〈</item>
      </candidateList>
      <explain>文本全半角错误。</explain>
      <paraID>6E736585</paraID>
      <start>30</start>
      <end>31</end>
      <status>unmodified</status>
      <modifiedWord/>
      <trackRevisions>false</trackRevisions>
    </reviewItem>
    <reviewItem>
      <errorID>5f66d3ee-a9d2-4747-8dfe-919a1f3e0e8a</errorID>
      <errorWord>，</errorWord>
      <group>L1_Word</group>
      <groupName>字词问题</groupName>
      <ability>L2_Typo</ability>
      <abilityName>字词错误</abilityName>
      <candidateList>
        <item>，并</item>
      </candidateList>
      <explain/>
      <paraID>2E6427B5</paraID>
      <start>59</start>
      <end>60</end>
      <status>unmodified</status>
      <modifiedWord/>
      <trackRevisions>false</trackRevisions>
    </reviewItem>
    <reviewItem>
      <errorID>59184627-1644-4f64-8fc9-365dccb34e80</errorID>
      <errorWord>、或者</errorWord>
      <group>L1_Word</group>
      <groupName>字词问题</groupName>
      <ability>L2_Typo</ability>
      <abilityName>字词错误</abilityName>
      <candidateList>
        <item>，或者</item>
      </candidateList>
      <explain/>
      <paraID>6F78F8F3</paraID>
      <start>45</start>
      <end>48</end>
      <status>unmodified</status>
      <modifiedWord/>
      <trackRevisions>false</trackRevisions>
    </reviewItem>
    <reviewItem>
      <errorID>587a244a-71f2-4495-b46f-b2f50f7002e7</errorID>
      <errorWord>须</errorWord>
      <group>L1_Word</group>
      <groupName>字词问题</groupName>
      <ability>L2_Typo</ability>
      <abilityName>字词错误</abilityName>
      <candidateList>
        <item>需</item>
      </candidateList>
      <explain>存在发音相同字词的误用。</explain>
      <paraID>1DA7A1A1</paraID>
      <start>38</start>
      <end>39</end>
      <status>unmodified</status>
      <modifiedWord/>
      <trackRevisions>false</trackRevisions>
    </reviewItem>
    <reviewItem>
      <errorID>d16c6578-c1a1-4ff5-a5db-a809f136b1c0</errorID>
      <errorWord>（</errorWord>
      <group>L1_Punc</group>
      <groupName>标点问题</groupName>
      <ability>L2_Punc</ability>
      <abilityName>标点符号检查</abilityName>
      <candidateList/>
      <explain>同一形式括号套用。</explain>
      <paraID>16299EBC</paraID>
      <start>54</start>
      <end>55</end>
      <status>unmodified</status>
      <modifiedWord/>
      <trackRevisions>false</trackRevisions>
    </reviewItem>
    <reviewItem>
      <errorID>85e0de0f-c3cb-480d-9721-9407a75b6fd8</errorID>
      <errorWord>）</errorWord>
      <group>L1_Punc</group>
      <groupName>标点问题</groupName>
      <ability>L2_Punc</ability>
      <abilityName>标点符号检查</abilityName>
      <candidateList/>
      <explain>同一形式括号套用。</explain>
      <paraID>16299EBC</paraID>
      <start>59</start>
      <end>60</end>
      <status>unmodified</status>
      <modifiedWord/>
      <trackRevisions>false</trackRevisions>
    </reviewItem>
    <reviewItem>
      <errorID>716b29cf-56c6-497d-84c7-8320a1172c55</errorID>
      <errorWord>(</errorWord>
      <group>L1_Format</group>
      <groupName>格式问题</groupName>
      <ability>L2_HalfPunc</ability>
      <abilityName>全半角检查</abilityName>
      <candidateList>
        <item>（</item>
      </candidateList>
      <explain>文本全半角错误。</explain>
      <paraID>27C81F83</paraID>
      <start>93</start>
      <end>94</end>
      <status>unmodified</status>
      <modifiedWord/>
      <trackRevisions>false</trackRevisions>
    </reviewItem>
    <reviewItem>
      <errorID>59119534-dcf5-4397-a872-28042f42a97e</errorID>
      <errorWord>)</errorWord>
      <group>L1_Format</group>
      <groupName>格式问题</groupName>
      <ability>L2_HalfPunc</ability>
      <abilityName>全半角检查</abilityName>
      <candidateList>
        <item>）</item>
      </candidateList>
      <explain>文本全半角错误。</explain>
      <paraID>27C81F83</paraID>
      <start>98</start>
      <end>99</end>
      <status>unmodified</status>
      <modifiedWord/>
      <trackRevisions>false</trackRevisions>
    </reviewItem>
    <reviewItem>
      <errorID>bf81c6c6-2ae5-4cd9-a705-f4f037c60995</errorID>
      <errorWord>(</errorWord>
      <group>L1_Format</group>
      <groupName>格式问题</groupName>
      <ability>L2_HalfPunc</ability>
      <abilityName>全半角检查</abilityName>
      <candidateList>
        <item>（</item>
      </candidateList>
      <explain>文本全半角错误。</explain>
      <paraID>28881D63</paraID>
      <start>40</start>
      <end>41</end>
      <status>unmodified</status>
      <modifiedWord/>
      <trackRevisions>false</trackRevisions>
    </reviewItem>
    <reviewItem>
      <errorID>83422992-b0dd-49e6-8a3a-563030014f46</errorID>
      <errorWord>)</errorWord>
      <group>L1_Format</group>
      <groupName>格式问题</groupName>
      <ability>L2_HalfPunc</ability>
      <abilityName>全半角检查</abilityName>
      <candidateList>
        <item>）</item>
      </candidateList>
      <explain>文本全半角错误。</explain>
      <paraID>28881D63</paraID>
      <start>50</start>
      <end>51</end>
      <status>unmodified</status>
      <modifiedWord/>
      <trackRevisions>false</trackRevisions>
    </reviewItem>
    <reviewItem>
      <errorID>0e733455-5ded-4f88-8a9e-69f12fb27624</errorID>
      <errorWord>法律、法规</errorWord>
      <group>L1_Word</group>
      <groupName>字词问题</groupName>
      <ability>L2_Typo</ability>
      <abilityName>字词错误</abilityName>
      <candidateList>
        <item>法律法规</item>
      </candidateList>
      <explain/>
      <paraID> C370339</paraID>
      <start>9</start>
      <end>14</end>
      <status>unmodified</status>
      <modifiedWord/>
      <trackRevisions>false</trackRevisions>
    </reviewItem>
    <reviewItem>
      <errorID>e4d534d3-de4d-461a-b9b4-157a02de1751</errorID>
      <errorWord>国家发改委</errorWord>
      <group>L1_Knowledge</group>
      <groupName>知识性问题</groupName>
      <ability>L2_Knowledge</ability>
      <abilityName>其他知识</abilityName>
      <candidateList>
        <item>国家发展改革委</item>
      </candidateList>
      <explain/>
      <paraID> 9D34377</paraID>
      <start>18</start>
      <end>23</end>
      <status>unmodified</status>
      <modifiedWord/>
      <trackRevisions>false</trackRevisions>
    </reviewItem>
    <reviewItem>
      <errorID>7cfcdfa1-a630-46b6-b369-fe7cd6635a7b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9D34377</paraID>
      <start>41</start>
      <end>44</end>
      <status>unmodified</status>
      <modifiedWord/>
      <trackRevisions>false</trackRevisions>
    </reviewItem>
    <reviewItem>
      <errorID>b4376158-94f0-4006-8a8b-eafe2d3d811d</errorID>
      <errorWord>,</errorWord>
      <group>L1_Format</group>
      <groupName>格式问题</groupName>
      <ability>L2_HalfPunc</ability>
      <abilityName>全半角检查</abilityName>
      <candidateList>
        <item>，</item>
      </candidateList>
      <explain>文本全半角错误。</explain>
      <paraID>2D9BC211</paraID>
      <start>21</start>
      <end>22</end>
      <status>unmodified</status>
      <modifiedWord/>
      <trackRevisions>false</trackRevisions>
    </reviewItem>
    <reviewItem>
      <errorID>a65d9337-bd1b-43bd-a15b-61995d947eff</errorID>
      <errorWord>法律、法规</errorWord>
      <group>L1_Word</group>
      <groupName>字词问题</groupName>
      <ability>L2_Typo</ability>
      <abilityName>字词错误</abilityName>
      <candidateList>
        <item>法律法规</item>
      </candidateList>
      <explain/>
      <paraID>4A0F9C41</paraID>
      <start>8</start>
      <end>13</end>
      <status>unmodified</status>
      <modifiedWord/>
      <trackRevisions>false</trackRevisions>
    </reviewItem>
    <reviewItem>
      <errorID>51785798-f461-45ed-af0b-649749d8fd7d</errorID>
      <errorWord>(</errorWord>
      <group>L1_Format</group>
      <groupName>格式问题</groupName>
      <ability>L2_HalfPunc</ability>
      <abilityName>全半角检查</abilityName>
      <candidateList>
        <item>（</item>
      </candidateList>
      <explain>文本全半角错误。</explain>
      <paraID>1B36B2CC</paraID>
      <start>2</start>
      <end>3</end>
      <status>unmodified</status>
      <modifiedWord/>
      <trackRevisions>false</trackRevisions>
    </reviewItem>
    <reviewItem>
      <errorID>cb2b45bb-166b-4ea2-8bea-6e89edc99e03</errorID>
      <errorWord>)</errorWord>
      <group>L1_Format</group>
      <groupName>格式问题</groupName>
      <ability>L2_HalfPunc</ability>
      <abilityName>全半角检查</abilityName>
      <candidateList>
        <item>）</item>
      </candidateList>
      <explain>文本全半角错误。</explain>
      <paraID>1B36B2CC</paraID>
      <start>5</start>
      <end>6</end>
      <status>unmodified</status>
      <modifiedWord/>
      <trackRevisions>false</trackRevisions>
    </reviewItem>
    <reviewItem>
      <errorID>92202fd5-11f4-4426-8980-12ba2e7ecbbe</errorID>
      <errorWord>,</errorWord>
      <group>L1_Format</group>
      <groupName>格式问题</groupName>
      <ability>L2_HalfPunc</ability>
      <abilityName>全半角检查</abilityName>
      <candidateList>
        <item>，</item>
      </candidateList>
      <explain>文本全半角错误。</explain>
      <paraID>4A5F0CAD</paraID>
      <start>11</start>
      <end>12</end>
      <status>unmodified</status>
      <modifiedWord/>
      <trackRevisions>false</trackRevisions>
    </reviewItem>
    <reviewItem>
      <errorID>767e44bc-bbec-456a-9b02-1d4de538344e</errorID>
      <errorWord>,</errorWord>
      <group>L1_Format</group>
      <groupName>格式问题</groupName>
      <ability>L2_HalfPunc</ability>
      <abilityName>全半角检查</abilityName>
      <candidateList>
        <item>，</item>
      </candidateList>
      <explain>文本全半角错误。</explain>
      <paraID>3E04387B</paraID>
      <start>11</start>
      <end>12</end>
      <status>unmodified</status>
      <modifiedWord/>
      <trackRevisions>false</trackRevisions>
    </reviewItem>
    <reviewItem>
      <errorID>7e5d730f-9b85-42ab-a4ab-2fd1733c5347</errorID>
      <errorWord>:</errorWord>
      <group>L1_Format</group>
      <groupName>格式问题</groupName>
      <ability>L2_HalfPunc</ability>
      <abilityName>全半角检查</abilityName>
      <candidateList>
        <item>：</item>
      </candidateList>
      <explain>文本全半角错误。</explain>
      <paraID> F58FBC8</paraID>
      <start>6</start>
      <end>7</end>
      <status>unmodified</status>
      <modifiedWord/>
      <trackRevisions>false</trackRevisions>
    </reviewItem>
    <reviewItem>
      <errorID>4fb43407-7497-4399-bc74-1f8e3143e2cd</errorID>
      <errorWord>:</errorWord>
      <group>L1_Format</group>
      <groupName>格式问题</groupName>
      <ability>L2_HalfPunc</ability>
      <abilityName>全半角检查</abilityName>
      <candidateList>
        <item>：</item>
      </candidateList>
      <explain>文本全半角错误。</explain>
      <paraID>44756944</paraID>
      <start>6</start>
      <end>7</end>
      <status>unmodified</status>
      <modifiedWord/>
      <trackRevisions>false</trackRevisions>
    </reviewItem>
    <reviewItem>
      <errorID>7294caad-a8f0-4c5d-938f-f27fd97d1c9e</errorID>
      <errorWord>,</errorWord>
      <group>L1_Format</group>
      <groupName>格式问题</groupName>
      <ability>L2_HalfPunc</ability>
      <abilityName>全半角检查</abilityName>
      <candidateList>
        <item>，</item>
      </candidateList>
      <explain>文本全半角错误。</explain>
      <paraID>294AEB3C</paraID>
      <start>7</start>
      <end>8</end>
      <status>unmodified</status>
      <modifiedWord/>
      <trackRevisions>false</trackRevisions>
    </reviewItem>
    <reviewItem>
      <errorID>eba741f4-5b9b-472b-b3dc-7e8fe7e10e4f</errorID>
      <errorWord>,</errorWord>
      <group>L1_Format</group>
      <groupName>格式问题</groupName>
      <ability>L2_HalfPunc</ability>
      <abilityName>全半角检查</abilityName>
      <candidateList>
        <item>，</item>
      </candidateList>
      <explain>文本全半角错误。</explain>
      <paraID>1C1BD504</paraID>
      <start>12</start>
      <end>13</end>
      <status>unmodified</status>
      <modifiedWord/>
      <trackRevisions>false</trackRevisions>
    </reviewItem>
    <reviewItem>
      <errorID>bc01feac-e82b-4c2a-aa81-f2bd6a34a1d9</errorID>
      <errorWord>(</errorWord>
      <group>L1_Format</group>
      <groupName>格式问题</groupName>
      <ability>L2_HalfPunc</ability>
      <abilityName>全半角检查</abilityName>
      <candidateList>
        <item>（</item>
      </candidateList>
      <explain>文本全半角错误。</explain>
      <paraID>3D6FC34D</paraID>
      <start>2</start>
      <end>3</end>
      <status>unmodified</status>
      <modifiedWord/>
      <trackRevisions>false</trackRevisions>
    </reviewItem>
    <reviewItem>
      <errorID>3b03cd0e-e708-4ba5-a97e-61777ba3df78</errorID>
      <errorWord>)</errorWord>
      <group>L1_Format</group>
      <groupName>格式问题</groupName>
      <ability>L2_HalfPunc</ability>
      <abilityName>全半角检查</abilityName>
      <candidateList>
        <item>）</item>
      </candidateList>
      <explain>文本全半角错误。</explain>
      <paraID>3D6FC34D</paraID>
      <start>5</start>
      <end>6</end>
      <status>unmodified</status>
      <modifiedWord/>
      <trackRevisions>false</trackRevisions>
    </reviewItem>
    <reviewItem>
      <errorID>e8c39ac3-d625-4f5e-8476-f9a13b916ace</errorID>
      <errorWord>-</errorWord>
      <group>L1_Format</group>
      <groupName>格式问题</groupName>
      <ability>L2_HalfPunc</ability>
      <abilityName>全半角检查</abilityName>
      <candidateList>
        <item>－</item>
      </candidateList>
      <explain>文本全半角错误。</explain>
      <paraID>579540A6</paraID>
      <start>67</start>
      <end>68</end>
      <status>unmodified</status>
      <modifiedWord/>
      <trackRevisions>false</trackRevisions>
    </reviewItem>
    <reviewItem>
      <errorID>2261824c-fc3f-42bf-ba77-2635fd8e0630</errorID>
      <errorWord>-</errorWord>
      <group>L1_Format</group>
      <groupName>格式问题</groupName>
      <ability>L2_HalfPunc</ability>
      <abilityName>全半角检查</abilityName>
      <candidateList>
        <item>－</item>
      </candidateList>
      <explain>文本全半角错误。</explain>
      <paraID>579540A6</paraID>
      <start>75</start>
      <end>76</end>
      <status>unmodified</status>
      <modifiedWord/>
      <trackRevisions>false</trackRevisions>
    </reviewItem>
    <reviewItem>
      <errorID>217839f5-a485-42be-9bb2-4d9bd74fa65d</errorID>
      <errorWord>（</errorWord>
      <group>L1_Punc</group>
      <groupName>标点问题</groupName>
      <ability>L2_Punc</ability>
      <abilityName>标点符号检查</abilityName>
      <candidateList/>
      <explain>同一形式括号套用。</explain>
      <paraID>31A4F51E</paraID>
      <start>82</start>
      <end>83</end>
      <status>unmodified</status>
      <modifiedWord/>
      <trackRevisions>false</trackRevisions>
    </reviewItem>
    <reviewItem>
      <errorID>f4ba9d57-a19b-42a4-985f-19cbcd605e7d</errorID>
      <errorWord>）</errorWord>
      <group>L1_Punc</group>
      <groupName>标点问题</groupName>
      <ability>L2_Punc</ability>
      <abilityName>标点符号检查</abilityName>
      <candidateList/>
      <explain>同一形式括号套用。</explain>
      <paraID>31A4F51E</paraID>
      <start>84</start>
      <end>85</end>
      <status>unmodified</status>
      <modifiedWord/>
      <trackRevisions>false</trackRevisions>
    </reviewItem>
    <reviewItem>
      <errorID>7f4daee7-70b1-42f2-8c13-522f8b4543cf</errorID>
      <errorWord>~</errorWord>
      <group>L1_Format</group>
      <groupName>格式问题</groupName>
      <ability>L2_HalfPunc</ability>
      <abilityName>全半角检查</abilityName>
      <candidateList>
        <item>～</item>
      </candidateList>
      <explain>文本全半角错误。</explain>
      <paraID>31A4F51E</paraID>
      <start>102</start>
      <end>103</end>
      <status>unmodified</status>
      <modifiedWord/>
      <trackRevisions>false</trackRevisions>
    </reviewItem>
    <reviewItem>
      <errorID>c219509f-8ae8-4f67-9df2-9d3461978bf5</errorID>
      <errorWord>（</errorWord>
      <group>L1_Punc</group>
      <groupName>标点问题</groupName>
      <ability>L2_Punc</ability>
      <abilityName>标点符号检查</abilityName>
      <candidateList/>
      <explain>同一形式括号套用。</explain>
      <paraID>31A4F51E</paraID>
      <start>109</start>
      <end>110</end>
      <status>unmodified</status>
      <modifiedWord/>
      <trackRevisions>false</trackRevisions>
    </reviewItem>
    <reviewItem>
      <errorID>44ef9c6c-b9ff-4469-a7d7-ded400cb1b1e</errorID>
      <errorWord>）</errorWord>
      <group>L1_Punc</group>
      <groupName>标点问题</groupName>
      <ability>L2_Punc</ability>
      <abilityName>标点符号检查</abilityName>
      <candidateList/>
      <explain>同一形式括号套用。</explain>
      <paraID>31A4F51E</paraID>
      <start>111</start>
      <end>112</end>
      <status>unmodified</status>
      <modifiedWord/>
      <trackRevisions>false</trackRevisions>
    </reviewItem>
    <reviewItem>
      <errorID>27817814-915d-464b-ac09-e83c936d6ebd</errorID>
      <errorWord>~</errorWord>
      <group>L1_Format</group>
      <groupName>格式问题</groupName>
      <ability>L2_HalfPunc</ability>
      <abilityName>全半角检查</abilityName>
      <candidateList>
        <item>～</item>
      </candidateList>
      <explain>文本全半角错误。</explain>
      <paraID>31A4F51E</paraID>
      <start>128</start>
      <end>129</end>
      <status>unmodified</status>
      <modifiedWord/>
      <trackRevisions>false</trackRevisions>
    </reviewItem>
    <reviewItem>
      <errorID>1d37d79b-1057-4d0c-87a5-8772f19560e1</errorID>
      <errorWord>（</errorWord>
      <group>L1_Punc</group>
      <groupName>标点问题</groupName>
      <ability>L2_Punc</ability>
      <abilityName>标点符号检查</abilityName>
      <candidateList/>
      <explain>同一形式括号套用。</explain>
      <paraID>31A4F51E</paraID>
      <start>136</start>
      <end>137</end>
      <status>unmodified</status>
      <modifiedWord/>
      <trackRevisions>false</trackRevisions>
    </reviewItem>
    <reviewItem>
      <errorID>84d4a9d7-6b66-4bf1-b81c-bc67c32abac7</errorID>
      <errorWord>）</errorWord>
      <group>L1_Punc</group>
      <groupName>标点问题</groupName>
      <ability>L2_Punc</ability>
      <abilityName>标点符号检查</abilityName>
      <candidateList/>
      <explain>同一形式括号套用。</explain>
      <paraID>31A4F51E</paraID>
      <start>138</start>
      <end>139</end>
      <status>unmodified</status>
      <modifiedWord/>
      <trackRevisions>false</trackRevisions>
    </reviewItem>
    <reviewItem>
      <errorID>33a5030a-017b-4d85-bed7-3a14222b7a3a</errorID>
      <errorWord>,</errorWord>
      <group>L1_Format</group>
      <groupName>格式问题</groupName>
      <ability>L2_HalfPunc</ability>
      <abilityName>全半角检查</abilityName>
      <candidateList>
        <item>，</item>
      </candidateList>
      <explain>文本全半角错误。</explain>
      <paraID>31A4F51E</paraID>
      <start>141</start>
      <end>142</end>
      <status>unmodified</status>
      <modifiedWord/>
      <trackRevisions>false</trackRevisions>
    </reviewItem>
    <reviewItem>
      <errorID>dbd8d0e3-4299-45b1-8d16-8073c206bf3b</errorID>
      <errorWord>~</errorWord>
      <group>L1_Format</group>
      <groupName>格式问题</groupName>
      <ability>L2_HalfPunc</ability>
      <abilityName>全半角检查</abilityName>
      <candidateList>
        <item>～</item>
      </candidateList>
      <explain>文本全半角错误。</explain>
      <paraID>31A4F51E</paraID>
      <start>156</start>
      <end>157</end>
      <status>unmodified</status>
      <modifiedWord/>
      <trackRevisions>false</trackRevisions>
    </reviewItem>
    <reviewItem>
      <errorID>52ae540b-c2c2-4fcf-bd19-95411d0dd88c</errorID>
      <errorWord>（</errorWord>
      <group>L1_Punc</group>
      <groupName>标点问题</groupName>
      <ability>L2_Punc</ability>
      <abilityName>标点符号检查</abilityName>
      <candidateList/>
      <explain>同一形式括号套用。</explain>
      <paraID>31A4F51E</paraID>
      <start>164</start>
      <end>165</end>
      <status>unmodified</status>
      <modifiedWord/>
      <trackRevisions>false</trackRevisions>
    </reviewItem>
    <reviewItem>
      <errorID>ace81034-0204-4cef-b562-2e941192b38e</errorID>
      <errorWord>）</errorWord>
      <group>L1_Punc</group>
      <groupName>标点问题</groupName>
      <ability>L2_Punc</ability>
      <abilityName>标点符号检查</abilityName>
      <candidateList/>
      <explain>同一形式括号套用。</explain>
      <paraID>31A4F51E</paraID>
      <start>166</start>
      <end>167</end>
      <status>unmodified</status>
      <modifiedWord/>
      <trackRevisions>false</trackRevisions>
    </reviewItem>
    <reviewItem>
      <errorID>f2f9bcfd-6a8b-4ba7-bc4d-a2d809033af8</errorID>
      <errorWord>,</errorWord>
      <group>L1_Format</group>
      <groupName>格式问题</groupName>
      <ability>L2_HalfPunc</ability>
      <abilityName>全半角检查</abilityName>
      <candidateList>
        <item>，</item>
      </candidateList>
      <explain>文本全半角错误。</explain>
      <paraID>31A4F51E</paraID>
      <start>169</start>
      <end>170</end>
      <status>unmodified</status>
      <modifiedWord/>
      <trackRevisions>false</trackRevisions>
    </reviewItem>
    <reviewItem>
      <errorID>5226969f-8a2b-424d-9217-e03b4c2daba9</errorID>
      <errorWord>~</errorWord>
      <group>L1_Format</group>
      <groupName>格式问题</groupName>
      <ability>L2_HalfPunc</ability>
      <abilityName>全半角检查</abilityName>
      <candidateList>
        <item>～</item>
      </candidateList>
      <explain>文本全半角错误。</explain>
      <paraID>31A4F51E</paraID>
      <start>184</start>
      <end>185</end>
      <status>unmodified</status>
      <modifiedWord/>
      <trackRevisions>false</trackRevisions>
    </reviewItem>
    <reviewItem>
      <errorID>4f8620b6-64d6-4179-b1d1-f2ee92585075</errorID>
      <errorWord>（</errorWord>
      <group>L1_Punc</group>
      <groupName>标点问题</groupName>
      <ability>L2_Punc</ability>
      <abilityName>标点符号检查</abilityName>
      <candidateList/>
      <explain>同一形式括号套用。</explain>
      <paraID>31A4F51E</paraID>
      <start>188</start>
      <end>189</end>
      <status>unmodified</status>
      <modifiedWord/>
      <trackRevisions>false</trackRevisions>
    </reviewItem>
    <reviewItem>
      <errorID>98f784d6-b208-4b43-8d7f-ba7cbe2f8580</errorID>
      <errorWord>）</errorWord>
      <group>L1_Punc</group>
      <groupName>标点问题</groupName>
      <ability>L2_Punc</ability>
      <abilityName>标点符号检查</abilityName>
      <candidateList/>
      <explain>同一形式括号套用。</explain>
      <paraID>31A4F51E</paraID>
      <start>190</start>
      <end>191</end>
      <status>unmodified</status>
      <modifiedWord/>
      <trackRevisions>false</trackRevisions>
    </reviewItem>
    <reviewItem>
      <errorID>978e493e-a1cc-4714-8dbb-286d8faab7b2</errorID>
      <errorWord>,</errorWord>
      <group>L1_Format</group>
      <groupName>格式问题</groupName>
      <ability>L2_HalfPunc</ability>
      <abilityName>全半角检查</abilityName>
      <candidateList>
        <item>，</item>
      </candidateList>
      <explain>文本全半角错误。</explain>
      <paraID>31A4F51E</paraID>
      <start>193</start>
      <end>194</end>
      <status>unmodified</status>
      <modifiedWord/>
      <trackRevisions>false</trackRevisions>
    </reviewItem>
    <reviewItem>
      <errorID>04f967cb-1dca-47c0-809d-1962cff0b3fa</errorID>
      <errorWord>~</errorWord>
      <group>L1_Format</group>
      <groupName>格式问题</groupName>
      <ability>L2_HalfPunc</ability>
      <abilityName>全半角检查</abilityName>
      <candidateList>
        <item>～</item>
      </candidateList>
      <explain>文本全半角错误。</explain>
      <paraID>31A4F51E</paraID>
      <start>206</start>
      <end>207</end>
      <status>unmodified</status>
      <modifiedWord/>
      <trackRevisions>false</trackRevisions>
    </reviewItem>
    <reviewItem>
      <errorID>27c3158c-b614-4ed0-bd42-dd47fa6dfd30</errorID>
      <errorWord>（</errorWord>
      <group>L1_Punc</group>
      <groupName>标点问题</groupName>
      <ability>L2_Punc</ability>
      <abilityName>标点符号检查</abilityName>
      <candidateList/>
      <explain>同一形式括号套用。</explain>
      <paraID>31A4F51E</paraID>
      <start>211</start>
      <end>212</end>
      <status>unmodified</status>
      <modifiedWord/>
      <trackRevisions>false</trackRevisions>
    </reviewItem>
    <reviewItem>
      <errorID>547eb8c5-e9ef-4772-9245-b47c4d79a1e8</errorID>
      <errorWord>）</errorWord>
      <group>L1_Punc</group>
      <groupName>标点问题</groupName>
      <ability>L2_Punc</ability>
      <abilityName>标点符号检查</abilityName>
      <candidateList/>
      <explain>同一形式括号套用。</explain>
      <paraID>31A4F51E</paraID>
      <start>213</start>
      <end>214</end>
      <status>unmodified</status>
      <modifiedWord/>
      <trackRevisions>false</trackRevisions>
    </reviewItem>
    <reviewItem>
      <errorID>843e3c0e-296e-4842-9acd-182ef67407c9</errorID>
      <errorWord>,</errorWord>
      <group>L1_Format</group>
      <groupName>格式问题</groupName>
      <ability>L2_HalfPunc</ability>
      <abilityName>全半角检查</abilityName>
      <candidateList>
        <item>，</item>
      </candidateList>
      <explain>文本全半角错误。</explain>
      <paraID>31A4F51E</paraID>
      <start>216</start>
      <end>217</end>
      <status>unmodified</status>
      <modifiedWord/>
      <trackRevisions>false</trackRevisions>
    </reviewItem>
    <reviewItem>
      <errorID>22e013a8-d4aa-4124-bd1c-6c7e716a4639</errorID>
      <errorWord>~</errorWord>
      <group>L1_Format</group>
      <groupName>格式问题</groupName>
      <ability>L2_HalfPunc</ability>
      <abilityName>全半角检查</abilityName>
      <candidateList>
        <item>～</item>
      </candidateList>
      <explain>文本全半角错误。</explain>
      <paraID>31A4F51E</paraID>
      <start>230</start>
      <end>231</end>
      <status>unmodified</status>
      <modifiedWord/>
      <trackRevisions>false</trackRevisions>
    </reviewItem>
    <reviewItem>
      <errorID>3271f555-6a29-4ae7-a459-a8a2a4cedbf3</errorID>
      <errorWord>（</errorWord>
      <group>L1_Punc</group>
      <groupName>标点问题</groupName>
      <ability>L2_Punc</ability>
      <abilityName>标点符号检查</abilityName>
      <candidateList/>
      <explain>同一形式括号套用。</explain>
      <paraID>31A4F51E</paraID>
      <start>235</start>
      <end>236</end>
      <status>unmodified</status>
      <modifiedWord/>
      <trackRevisions>false</trackRevisions>
    </reviewItem>
    <reviewItem>
      <errorID>212f5f6f-b240-427a-a27e-fc90c3423d1e</errorID>
      <errorWord>）</errorWord>
      <group>L1_Punc</group>
      <groupName>标点问题</groupName>
      <ability>L2_Punc</ability>
      <abilityName>标点符号检查</abilityName>
      <candidateList/>
      <explain>同一形式括号套用。</explain>
      <paraID>31A4F51E</paraID>
      <start>237</start>
      <end>238</end>
      <status>unmodified</status>
      <modifiedWord/>
      <trackRevisions>false</trackRevisions>
    </reviewItem>
    <reviewItem>
      <errorID>f3613de3-b22d-4a32-8ab9-4e9132932e89</errorID>
      <errorWord>,</errorWord>
      <group>L1_Format</group>
      <groupName>格式问题</groupName>
      <ability>L2_HalfPunc</ability>
      <abilityName>全半角检查</abilityName>
      <candidateList>
        <item>，</item>
      </candidateList>
      <explain>文本全半角错误。</explain>
      <paraID>31A4F51E</paraID>
      <start>240</start>
      <end>241</end>
      <status>unmodified</status>
      <modifiedWord/>
      <trackRevisions>false</trackRevisions>
    </reviewItem>
    <reviewItem>
      <errorID>3f9eb426-3cc0-4b12-9d08-8224b2fa245a</errorID>
      <errorWord>仟</errorWord>
      <group>L1_Word</group>
      <groupName>字词问题</groupName>
      <ability>L2_Typo</ability>
      <abilityName>字词错误</abilityName>
      <candidateList>
        <item>仟元</item>
      </candidateList>
      <explain/>
      <paraID>31A4F51E</paraID>
      <start>280</start>
      <end>281</end>
      <status>unmodified</status>
      <modifiedWord/>
      <trackRevisions>false</trackRevisions>
    </reviewItem>
    <reviewItem>
      <errorID>dc3f694b-14a2-427c-b24e-1765b93e8795</errorID>
      <errorWord>:</errorWord>
      <group>L1_Format</group>
      <groupName>格式问题</groupName>
      <ability>L2_HalfPunc</ability>
      <abilityName>全半角检查</abilityName>
      <candidateList>
        <item>：</item>
      </candidateList>
      <explain>文本全半角错误。</explain>
      <paraID>6CC172CC</paraID>
      <start>37</start>
      <end>38</end>
      <status>unmodified</status>
      <modifiedWord/>
      <trackRevisions>false</trackRevisions>
    </reviewItem>
    <reviewItem>
      <errorID>256a6737-0171-42b6-b44d-3e2ce1d37134</errorID>
      <errorWord>;</errorWord>
      <group>L1_Format</group>
      <groupName>格式问题</groupName>
      <ability>L2_HalfPunc</ability>
      <abilityName>全半角检查</abilityName>
      <candidateList>
        <item>；</item>
      </candidateList>
      <explain>文本全半角错误。</explain>
      <paraID>6CC172CC</paraID>
      <start>84</start>
      <end>85</end>
      <status>unmodified</status>
      <modifiedWord/>
      <trackRevisions>false</trackRevisions>
    </reviewItem>
    <reviewItem>
      <errorID>d4497b5a-7a0a-4ad8-b2fe-c420fa38071a</errorID>
      <errorWord>应有</errorWord>
      <group>L1_Word</group>
      <groupName>字词问题</groupName>
      <ability>L2_Typo</ability>
      <abilityName>字词错误</abilityName>
      <candidateList>
        <item>应</item>
      </candidateList>
      <explain/>
      <paraID>4A3153BB</paraID>
      <start>28</start>
      <end>30</end>
      <status>unmodified</status>
      <modifiedWord/>
      <trackRevisions>false</trackRevisions>
    </reviewItem>
    <reviewItem>
      <errorID>9f2a97c2-3b6a-4916-b51d-f51456ca2773</errorID>
      <errorWord>须</errorWord>
      <group>L1_Word</group>
      <groupName>字词问题</groupName>
      <ability>L2_Typo</ability>
      <abilityName>字词错误</abilityName>
      <candidateList>
        <item>需</item>
      </candidateList>
      <explain>存在发音相同字词的误用。</explain>
      <paraID>300A8AE6</paraID>
      <start>74</start>
      <end>75</end>
      <status>unmodified</status>
      <modifiedWord/>
      <trackRevisions>false</trackRevisions>
    </reviewItem>
    <reviewItem>
      <errorID>1c339a22-f68b-469b-86de-44c3e6bcbb89</errorID>
      <errorWord>法律、法规</errorWord>
      <group>L1_Word</group>
      <groupName>字词问题</groupName>
      <ability>L2_Typo</ability>
      <abilityName>字词错误</abilityName>
      <candidateList>
        <item>法律法规</item>
      </candidateList>
      <explain/>
      <paraID>300A8AE6</paraID>
      <start>108</start>
      <end>113</end>
      <status>unmodified</status>
      <modifiedWord/>
      <trackRevisions>false</trackRevisions>
    </reviewItem>
    <reviewItem>
      <errorID>d7cff850-e978-426a-a527-cc79663a3815</errorID>
      <errorWord>至少参加1次以上</errorWord>
      <group>L1_Grammar</group>
      <groupName>语法问题</groupName>
      <ability>L2_Grammar</ability>
      <abilityName>语法错误</abilityName>
      <candidateList>
        <item>至少参加1次</item>
      </candidateList>
      <explain/>
      <paraID>300A8AE6</paraID>
      <start>160</start>
      <end>168</end>
      <status>unmodified</status>
      <modifiedWord/>
      <trackRevisions>false</trackRevisions>
    </reviewItem>
    <reviewItem>
      <errorID>b4b64a11-6c31-48a3-baf8-37c30a4ab09c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5C4836C9</paraID>
      <start>0</start>
      <end>2</end>
      <status>unmodified</status>
      <modifiedWord/>
      <trackRevisions>false</trackRevisions>
    </reviewItem>
    <reviewItem>
      <errorID>51969504-ff89-47dd-b7fc-f7546db51950</errorID>
      <errorWord>;</errorWord>
      <group>L1_Format</group>
      <groupName>格式问题</groupName>
      <ability>L2_HalfPunc</ability>
      <abilityName>全半角检查</abilityName>
      <candidateList>
        <item>；</item>
      </candidateList>
      <explain>文本全半角错误。</explain>
      <paraID>5C4836C9</paraID>
      <start>139</start>
      <end>140</end>
      <status>unmodified</status>
      <modifiedWord/>
      <trackRevisions>false</trackRevisions>
    </reviewItem>
    <reviewItem>
      <errorID>45ee4346-c5d7-4579-89ea-755649434f82</errorID>
      <errorWord>；</errorWord>
      <group>L1_Punc</group>
      <groupName>标点问题</groupName>
      <ability>L2_Punc</ability>
      <abilityName>标点符号检查</abilityName>
      <candidateList/>
      <explain/>
      <paraID>36003600</paraID>
      <start>0</start>
      <end>1</end>
      <status>unmodified</status>
      <modifiedWord/>
      <trackRevisions>false</trackRevisions>
    </reviewItem>
    <reviewItem>
      <errorID>0623aa41-2d05-4302-8c43-11bb1c1754ad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50EA5FF4</paraID>
      <start>0</start>
      <end>3</end>
      <status>unmodified</status>
      <modifiedWord/>
      <trackRevisions>false</trackRevisions>
    </reviewItem>
    <reviewItem>
      <errorID>adacc074-7b47-4c93-ad63-4c0e2fc96259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7123BEAE</paraID>
      <start>0</start>
      <end>3</end>
      <status>unmodified</status>
      <modifiedWord/>
      <trackRevisions>false</trackRevisions>
    </reviewItem>
    <reviewItem>
      <errorID>47da9319-a71f-4ef7-82fb-61cfa6780cfb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219A9300</paraID>
      <start>0</start>
      <end>3</end>
      <status>unmodified</status>
      <modifiedWord/>
      <trackRevisions>false</trackRevisions>
    </reviewItem>
    <reviewItem>
      <errorID>18dc19a9-9acc-4e8f-9f0b-6d4faa5861d2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74AD920E</paraID>
      <start>0</start>
      <end>3</end>
      <status>unmodified</status>
      <modifiedWord/>
      <trackRevisions>false</trackRevisions>
    </reviewItem>
    <reviewItem>
      <errorID>3830cafa-c98e-4633-b10a-3a4002db7bd6</errorID>
      <errorWord>期</errorWord>
      <group>L1_Word</group>
      <groupName>字词问题</groupName>
      <ability>L2_Typo</ability>
      <abilityName>字词错误</abilityName>
      <candidateList>
        <item>期为</item>
      </candidateList>
      <explain/>
      <paraID>1E173D99</paraID>
      <start>12</start>
      <end>13</end>
      <status>unmodified</status>
      <modifiedWord/>
      <trackRevisions>false</trackRevisions>
    </reviewItem>
    <reviewItem>
      <errorID>f6e8a7af-41af-4c8f-a63a-42d6a584d700</errorID>
      <errorWord>(</errorWord>
      <group>L1_Format</group>
      <groupName>格式问题</groupName>
      <ability>L2_HalfPunc</ability>
      <abilityName>全半角检查</abilityName>
      <candidateList>
        <item>（</item>
      </candidateList>
      <explain>文本全半角错误。</explain>
      <paraID>47675F8B</paraID>
      <start>85</start>
      <end>86</end>
      <status>unmodified</status>
      <modifiedWord/>
      <trackRevisions>false</trackRevisions>
    </reviewItem>
    <reviewItem>
      <errorID>2fe442c3-5844-4f14-8f58-d2edcc1373e7</errorID>
      <errorWord>)</errorWord>
      <group>L1_Format</group>
      <groupName>格式问题</groupName>
      <ability>L2_HalfPunc</ability>
      <abilityName>全半角检查</abilityName>
      <candidateList>
        <item>）</item>
      </candidateList>
      <explain>文本全半角错误。</explain>
      <paraID>47675F8B</paraID>
      <start>111</start>
      <end>112</end>
      <status>unmodified</status>
      <modifiedWord/>
      <trackRevisions>false</trackRevisions>
    </reviewItem>
    <reviewItem>
      <errorID>774c566e-5dd6-47d0-9841-c3159082218c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452BBA41</paraID>
      <start>12</start>
      <end>15</end>
      <status>unmodified</status>
      <modifiedWord/>
      <trackRevisions>false</trackRevisions>
    </reviewItem>
    <reviewItem>
      <errorID>ed702f2c-7b79-4bcf-9ff8-c244b4ddf592</errorID>
      <errorWord>应有</errorWord>
      <group>L1_Word</group>
      <groupName>字词问题</groupName>
      <ability>L2_Typo</ability>
      <abilityName>字词错误</abilityName>
      <candidateList>
        <item>应</item>
      </candidateList>
      <explain/>
      <paraID>51E6BA38</paraID>
      <start>26</start>
      <end>28</end>
      <status>unmodified</status>
      <modifiedWord/>
      <trackRevisions>false</trackRevisions>
    </reviewItem>
    <reviewItem>
      <errorID>c1746858-af58-4fec-8058-14b3a80018a9</errorID>
      <errorWord>须</errorWord>
      <group>L1_Word</group>
      <groupName>字词问题</groupName>
      <ability>L2_Typo</ability>
      <abilityName>字词错误</abilityName>
      <candidateList>
        <item>需</item>
      </candidateList>
      <explain>存在发音相同字词的误用。</explain>
      <paraID>49551932</paraID>
      <start>74</start>
      <end>75</end>
      <status>unmodified</status>
      <modifiedWord/>
      <trackRevisions>false</trackRevisions>
    </reviewItem>
    <reviewItem>
      <errorID>4e75522d-3eca-4de6-8550-09f1356cd2d0</errorID>
      <errorWord>法律、法规</errorWord>
      <group>L1_Word</group>
      <groupName>字词问题</groupName>
      <ability>L2_Typo</ability>
      <abilityName>字词错误</abilityName>
      <candidateList>
        <item>法律法规</item>
      </candidateList>
      <explain/>
      <paraID>49551932</paraID>
      <start>108</start>
      <end>113</end>
      <status>unmodified</status>
      <modifiedWord/>
      <trackRevisions>false</trackRevisions>
    </reviewItem>
    <reviewItem>
      <errorID>30597e29-6c59-461f-8be5-7934fe8fd060</errorID>
      <errorWord>至少参加1次以上</errorWord>
      <group>L1_Grammar</group>
      <groupName>语法问题</groupName>
      <ability>L2_Grammar</ability>
      <abilityName>语法错误</abilityName>
      <candidateList>
        <item>至少参加1次</item>
      </candidateList>
      <explain/>
      <paraID>49551932</paraID>
      <start>160</start>
      <end>168</end>
      <status>unmodified</status>
      <modifiedWord/>
      <trackRevisions>false</trackRevisions>
    </reviewItem>
    <reviewItem>
      <errorID>3d7e4127-75da-4680-a1bb-53d5143018df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7A5460A</paraID>
      <start>0</start>
      <end>2</end>
      <status>unmodified</status>
      <modifiedWord/>
      <trackRevisions>false</trackRevisions>
    </reviewItem>
    <reviewItem>
      <errorID>192b58c7-6615-4fc1-a06e-4bbef44788e0</errorID>
      <errorWord>;</errorWord>
      <group>L1_Format</group>
      <groupName>格式问题</groupName>
      <ability>L2_HalfPunc</ability>
      <abilityName>全半角检查</abilityName>
      <candidateList>
        <item>；</item>
      </candidateList>
      <explain>文本全半角错误。</explain>
      <paraID> 7A5460A</paraID>
      <start>139</start>
      <end>140</end>
      <status>unmodified</status>
      <modifiedWord/>
      <trackRevisions>false</trackRevisions>
    </reviewItem>
    <reviewItem>
      <errorID>3fc7f61b-ee7f-42ec-ac71-c9322c650c2c</errorID>
      <errorWord>；</errorWord>
      <group>L1_Punc</group>
      <groupName>标点问题</groupName>
      <ability>L2_Punc</ability>
      <abilityName>标点符号检查</abilityName>
      <candidateList/>
      <explain/>
      <paraID>242FA95C</paraID>
      <start>0</start>
      <end>1</end>
      <status>unmodified</status>
      <modifiedWord/>
      <trackRevisions>false</trackRevisions>
    </reviewItem>
    <reviewItem>
      <errorID>67cf03c0-61b3-449b-a31d-3b375729d3ee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77FF6B92</paraID>
      <start>0</start>
      <end>3</end>
      <status>unmodified</status>
      <modifiedWord/>
      <trackRevisions>false</trackRevisions>
    </reviewItem>
    <reviewItem>
      <errorID>a88a5175-5114-4e4b-814d-fce56cb8d28f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22237399</paraID>
      <start>0</start>
      <end>3</end>
      <status>unmodified</status>
      <modifiedWord/>
      <trackRevisions>false</trackRevisions>
    </reviewItem>
    <reviewItem>
      <errorID>591272a5-08a2-41d9-a73a-eeb8f497dd1f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50984A2E</paraID>
      <start>0</start>
      <end>3</end>
      <status>unmodified</status>
      <modifiedWord/>
      <trackRevisions>false</trackRevisions>
    </reviewItem>
    <reviewItem>
      <errorID>ae85f1b5-c137-41d7-b8e2-1a075bdba23e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62EE5E32</paraID>
      <start>0</start>
      <end>3</end>
      <status>unmodified</status>
      <modifiedWord/>
      <trackRevisions>false</trackRevisions>
    </reviewItem>
    <reviewItem>
      <errorID>7819d034-ea1a-416d-bc4f-0fcf43eb7ad7</errorID>
      <errorWord>(</errorWord>
      <group>L1_Format</group>
      <groupName>格式问题</groupName>
      <ability>L2_HalfPunc</ability>
      <abilityName>全半角检查</abilityName>
      <candidateList>
        <item>（</item>
      </candidateList>
      <explain>文本全半角错误。</explain>
      <paraID>1F97D11E</paraID>
      <start>85</start>
      <end>86</end>
      <status>unmodified</status>
      <modifiedWord/>
      <trackRevisions>false</trackRevisions>
    </reviewItem>
    <reviewItem>
      <errorID>efd7af2a-b8a3-4868-851c-647020db1aff</errorID>
      <errorWord>)</errorWord>
      <group>L1_Format</group>
      <groupName>格式问题</groupName>
      <ability>L2_HalfPunc</ability>
      <abilityName>全半角检查</abilityName>
      <candidateList>
        <item>）</item>
      </candidateList>
      <explain>文本全半角错误。</explain>
      <paraID>1F97D11E</paraID>
      <start>111</start>
      <end>112</end>
      <status>unmodified</status>
      <modifiedWord/>
      <trackRevisions>false</trackRevisions>
    </reviewItem>
    <reviewItem>
      <errorID>e64b28a9-a34f-482f-a4bd-09d36b6599b1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51D245E</paraID>
      <start>9</start>
      <end>11</end>
      <status>unmodified</status>
      <modifiedWord/>
      <trackRevisions>false</trackRevisions>
    </reviewItem>
    <reviewItem>
      <errorID>d68f8660-84da-44bf-965b-72c2a1c60de4</errorID>
      <errorWord>《政府采购法》</errorWord>
      <group>L1_Word</group>
      <groupName>字词问题</groupName>
      <ability>L2_Typo</ability>
      <abilityName>字词错误</abilityName>
      <candidateList>
        <item>《中华人民共和国政府采购法》</item>
      </candidateList>
      <explain/>
      <paraID>33923CA3</paraID>
      <start>7</start>
      <end>14</end>
      <status>unmodified</status>
      <modifiedWord/>
      <trackRevisions>false</trackRevisions>
    </reviewItem>
    <reviewItem>
      <errorID>abb54a4c-c13c-4453-87af-e1397a7b285e</errorID>
      <errorWord>第49条</errorWord>
      <group>L1_Knowledge</group>
      <groupName>知识性问题</groupName>
      <ability>L2_Knowledge</ability>
      <abilityName>其他知识</abilityName>
      <candidateList>
        <item>第四十九条</item>
      </candidateList>
      <explain/>
      <paraID>33923CA3</paraID>
      <start>14</start>
      <end>18</end>
      <status>unmodified</status>
      <modifiedWord/>
      <trackRevisions>false</trackRevisions>
    </reviewItem>
    <reviewItem>
      <errorID>63125e86-0494-45cc-8df2-60cf5aa9e305</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4D9F3F64</paraID>
      <start>2</start>
      <end>4</end>
      <status>unmodified</status>
      <modifiedWord/>
      <trackRevisions>false</trackRevisions>
    </reviewItem>
    <reviewItem>
      <errorID>33ec325a-dfb4-41a6-a3a3-67f6362ca700</errorID>
      <errorWord>《民法典》</errorWord>
      <group>L1_Word</group>
      <groupName>字词问题</groupName>
      <ability>L2_Typo</ability>
      <abilityName>字词错误</abilityName>
      <candidateList>
        <item>《中华人民共和国民法典》</item>
      </candidateList>
      <explain/>
      <paraID>4D9F3F64</paraID>
      <start>10</start>
      <end>15</end>
      <status>unmodified</status>
      <modifiedWord/>
      <trackRevisions>false</trackRevisions>
    </reviewItem>
    <reviewItem>
      <errorID>62b1edf1-c383-4959-9dab-e90b89cc5ee3</errorID>
      <errorWord>《政府采购法》</errorWord>
      <group>L1_Word</group>
      <groupName>字词问题</groupName>
      <ability>L2_Typo</ability>
      <abilityName>字词错误</abilityName>
      <candidateList>
        <item>《中华人民共和国政府采购法》</item>
      </candidateList>
      <explain/>
      <paraID>4D9F3F64</paraID>
      <start>16</start>
      <end>23</end>
      <status>unmodified</status>
      <modifiedWord/>
      <trackRevisions>false</trackRevisions>
    </reviewItem>
    <reviewItem>
      <errorID>14130c59-19fd-4551-bfb9-0266266fefcb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7566EB88</paraID>
      <start>5</start>
      <end>7</end>
      <status>unmodified</status>
      <modifiedWord/>
      <trackRevisions>false</trackRevisions>
    </reviewItem>
    <reviewItem>
      <errorID>a58c03b5-f0e5-4c47-90ad-a39f20891792</errorID>
      <errorWord>《政府采购法》</errorWord>
      <group>L1_Word</group>
      <groupName>字词问题</groupName>
      <ability>L2_Typo</ability>
      <abilityName>字词错误</abilityName>
      <candidateList>
        <item>《中华人民共和国政府采购法》</item>
      </candidateList>
      <explain/>
      <paraID>32B1A4CE</paraID>
      <start>2</start>
      <end>9</end>
      <status>unmodified</status>
      <modifiedWord/>
      <trackRevisions>false</trackRevisions>
    </reviewItem>
    <reviewItem>
      <errorID>2281566b-8500-40c5-bc9e-dd04fa31c264</errorID>
      <errorWord>第49条</errorWord>
      <group>L1_Knowledge</group>
      <groupName>知识性问题</groupName>
      <ability>L2_Knowledge</ability>
      <abilityName>其他知识</abilityName>
      <candidateList>
        <item>第四十九条</item>
      </candidateList>
      <explain/>
      <paraID>32B1A4CE</paraID>
      <start>9</start>
      <end>13</end>
      <status>unmodified</status>
      <modifiedWord/>
      <trackRevisions>false</trackRevisions>
    </reviewItem>
    <reviewItem>
      <errorID>d56876fd-1cac-4ca2-9bcc-205e752af302</errorID>
      <errorWord>(</errorWord>
      <group>L1_Format</group>
      <groupName>格式问题</groupName>
      <ability>L2_HalfPunc</ability>
      <abilityName>全半角检查</abilityName>
      <candidateList>
        <item>（</item>
      </candidateList>
      <explain>文本全半角错误。</explain>
      <paraID>35B1ED21</paraID>
      <start>60</start>
      <end>61</end>
      <status>unmodified</status>
      <modifiedWord/>
      <trackRevisions>false</trackRevisions>
    </reviewItem>
    <reviewItem>
      <errorID>4f432bae-38fe-4d77-ba3b-ce7bffaf34a1</errorID>
      <errorWord>)</errorWord>
      <group>L1_Format</group>
      <groupName>格式问题</groupName>
      <ability>L2_HalfPunc</ability>
      <abilityName>全半角检查</abilityName>
      <candidateList>
        <item>）</item>
      </candidateList>
      <explain>文本全半角错误。</explain>
      <paraID>35B1ED21</paraID>
      <start>70</start>
      <end>71</end>
      <status>unmodified</status>
      <modifiedWord/>
      <trackRevisions>false</trackRevisions>
    </reviewItem>
    <reviewItem>
      <errorID>7d61f3dd-4a32-44f8-b7ad-209cdcd8475c</errorID>
      <errorWord>(</errorWord>
      <group>L1_Format</group>
      <groupName>格式问题</groupName>
      <ability>L2_HalfPunc</ability>
      <abilityName>全半角检查</abilityName>
      <candidateList>
        <item>（</item>
      </candidateList>
      <explain>文本全半角错误。</explain>
      <paraID>35B1ED21</paraID>
      <start>90</start>
      <end>91</end>
      <status>unmodified</status>
      <modifiedWord/>
      <trackRevisions>false</trackRevisions>
    </reviewItem>
    <reviewItem>
      <errorID>0022ceeb-913c-4987-aaab-2a8018f98d77</errorID>
      <errorWord>)</errorWord>
      <group>L1_Format</group>
      <groupName>格式问题</groupName>
      <ability>L2_HalfPunc</ability>
      <abilityName>全半角检查</abilityName>
      <candidateList>
        <item>）</item>
      </candidateList>
      <explain>文本全半角错误。</explain>
      <paraID>35B1ED21</paraID>
      <start>97</start>
      <end>98</end>
      <status>unmodified</status>
      <modifiedWord/>
      <trackRevisions>false</trackRevisions>
    </reviewItem>
    <reviewItem>
      <errorID>77d4822f-0f4d-4540-8e11-4939ed8fd9a0</errorID>
      <errorWord>(</errorWord>
      <group>L1_Format</group>
      <groupName>格式问题</groupName>
      <ability>L2_HalfPunc</ability>
      <abilityName>全半角检查</abilityName>
      <candidateList>
        <item>（</item>
      </candidateList>
      <explain>文本全半角错误。</explain>
      <paraID>49E509ED</paraID>
      <start>7</start>
      <end>8</end>
      <status>unmodified</status>
      <modifiedWord/>
      <trackRevisions>false</trackRevisions>
    </reviewItem>
    <reviewItem>
      <errorID>9c81fcf5-f438-461a-983e-8f79f4e2f6fe</errorID>
      <errorWord>)</errorWord>
      <group>L1_Format</group>
      <groupName>格式问题</groupName>
      <ability>L2_HalfPunc</ability>
      <abilityName>全半角检查</abilityName>
      <candidateList>
        <item>）</item>
      </candidateList>
      <explain>文本全半角错误。</explain>
      <paraID>49E509ED</paraID>
      <start>18</start>
      <end>19</end>
      <status>unmodified</status>
      <modifiedWord/>
      <trackRevisions>false</trackRevisions>
    </reviewItem>
    <reviewItem>
      <errorID>c44db1fe-92b5-40a4-9890-9b63b807dc25</errorID>
      <errorWord>(</errorWord>
      <group>L1_Format</group>
      <groupName>格式问题</groupName>
      <ability>L2_HalfPunc</ability>
      <abilityName>全半角检查</abilityName>
      <candidateList>
        <item>（</item>
      </candidateList>
      <explain>文本全半角错误。</explain>
      <paraID>5F2B0C2D</paraID>
      <start>7</start>
      <end>8</end>
      <status>unmodified</status>
      <modifiedWord/>
      <trackRevisions>false</trackRevisions>
    </reviewItem>
    <reviewItem>
      <errorID>cf0085d0-ad6b-4c5e-ad9b-f0d6e1ca76ba</errorID>
      <errorWord>)</errorWord>
      <group>L1_Format</group>
      <groupName>格式问题</groupName>
      <ability>L2_HalfPunc</ability>
      <abilityName>全半角检查</abilityName>
      <candidateList>
        <item>）</item>
      </candidateList>
      <explain>文本全半角错误。</explain>
      <paraID>5F2B0C2D</paraID>
      <start>18</start>
      <end>19</end>
      <status>unmodified</status>
      <modifiedWord/>
      <trackRevisions>false</trackRevisions>
    </reviewItem>
    <reviewItem>
      <errorID>76fadfd2-0fb5-4e42-8903-86df3d6e8851</errorID>
      <errorWord>生搬硬造</errorWord>
      <group>L1_Word</group>
      <groupName>字词问题</groupName>
      <ability>L2_Typo</ability>
      <abilityName>字词错误</abilityName>
      <candidateList>
        <item>生搬硬套</item>
      </candidateList>
      <explain>不顾实际情况机械地搬用别人的方法、经验等。</explain>
      <paraID>41DA1EA4</paraID>
      <start>27</start>
      <end>31</end>
      <status>unmodified</status>
      <modifiedWord/>
      <trackRevisions>false</trackRevisions>
    </reviewItem>
    <reviewItem>
      <errorID>01b8f9b5-3ad2-465b-b838-058ad215b58a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5FFE42B8</paraID>
      <start>149</start>
      <end>150</end>
      <status>unmodified</status>
      <modifiedWord/>
      <trackRevisions>false</trackRevisions>
    </reviewItem>
    <reviewItem>
      <errorID>340a9b2e-3b64-4913-8913-5929b80d4acd</errorID>
      <errorWord>-</errorWord>
      <group>L1_Format</group>
      <groupName>格式问题</groupName>
      <ability>L2_HalfPunc</ability>
      <abilityName>全半角检查</abilityName>
      <candidateList>
        <item>－</item>
      </candidateList>
      <explain>文本全半角错误。</explain>
      <paraID>48CCBDCB</paraID>
      <start>10</start>
      <end>11</end>
      <status>unmodified</status>
      <modifiedWord/>
      <trackRevisions>false</trackRevisions>
    </reviewItem>
    <reviewItem>
      <errorID>0c7c3da2-26dd-43c1-a9ff-e2be2b0d5f46</errorID>
      <errorWord>-</errorWord>
      <group>L1_Format</group>
      <groupName>格式问题</groupName>
      <ability>L2_HalfPunc</ability>
      <abilityName>全半角检查</abilityName>
      <candidateList>
        <item>－</item>
      </candidateList>
      <explain>文本全半角错误。</explain>
      <paraID>48CCBDCB</paraID>
      <start>12</start>
      <end>13</end>
      <status>unmodified</status>
      <modifiedWord/>
      <trackRevisions>false</trackRevisions>
    </reviewItem>
    <reviewItem>
      <errorID>e368a2f2-d50b-4f84-9ddf-c1dc2707dcee</errorID>
      <errorWord>;</errorWord>
      <group>L1_Format</group>
      <groupName>格式问题</groupName>
      <ability>L2_HalfPunc</ability>
      <abilityName>全半角检查</abilityName>
      <candidateList>
        <item>；</item>
      </candidateList>
      <explain>文本全半角错误。</explain>
      <paraID>32004758</paraID>
      <start>21</start>
      <end>22</end>
      <status>unmodified</status>
      <modifiedWord/>
      <trackRevisions>false</trackRevisions>
    </reviewItem>
    <reviewItem>
      <errorID>1be980e3-291b-4b50-956e-92e466b358e1</errorID>
      <errorWord>;</errorWord>
      <group>L1_Format</group>
      <groupName>格式问题</groupName>
      <ability>L2_HalfPunc</ability>
      <abilityName>全半角检查</abilityName>
      <candidateList>
        <item>；</item>
      </candidateList>
      <explain>文本全半角错误。</explain>
      <paraID>1EB72E02</paraID>
      <start>22</start>
      <end>23</end>
      <status>unmodified</status>
      <modifiedWord/>
      <trackRevisions>false</trackRevisions>
    </reviewItem>
    <reviewItem>
      <errorID>703277f6-ce42-44c6-88e7-4da39067161e</errorID>
      <errorWord>帐号密码</errorWord>
      <group>L1_Word</group>
      <groupName>字词问题</groupName>
      <ability>L2_Alias</ability>
      <abilityName>也作/曾用词</abilityName>
      <candidateList>
        <item>账号密码</item>
      </candidateList>
      <explain>词汇[帐号密码]为不规范表述或旧称，其规范书面表述为[账号密码]。</explain>
      <paraID>1A89758D</paraID>
      <start>46</start>
      <end>50</end>
      <status>unmodified</status>
      <modifiedWord/>
      <trackRevisions>false</trackRevisions>
    </reviewItem>
    <reviewItem>
      <errorID>acbb609a-5e46-4b53-a23a-d918b4baf66d</errorID>
      <errorWord>:</errorWord>
      <group>L1_Format</group>
      <groupName>格式问题</groupName>
      <ability>L2_HalfPunc</ability>
      <abilityName>全半角检查</abilityName>
      <candidateList>
        <item>：</item>
      </candidateList>
      <explain>文本全半角错误。</explain>
      <paraID> D7EC532</paraID>
      <start>83</start>
      <end>84</end>
      <status>unmodified</status>
      <modifiedWord/>
      <trackRevisions>false</trackRevisions>
    </reviewItem>
    <reviewItem>
      <errorID>6b09700a-fb5e-429a-a83d-107cfa392a84</errorID>
      <errorWord>(</errorWord>
      <group>L1_Format</group>
      <groupName>格式问题</groupName>
      <ability>L2_HalfPunc</ability>
      <abilityName>全半角检查</abilityName>
      <candidateList>
        <item>（</item>
      </candidateList>
      <explain>文本全半角错误。</explain>
      <paraID>73B645F8</paraID>
      <start>48</start>
      <end>49</end>
      <status>unmodified</status>
      <modifiedWord/>
      <trackRevisions>false</trackRevisions>
    </reviewItem>
    <reviewItem>
      <errorID>044bfa78-9595-4362-8ab1-2c10459a7543</errorID>
      <errorWord>)</errorWord>
      <group>L1_Format</group>
      <groupName>格式问题</groupName>
      <ability>L2_HalfPunc</ability>
      <abilityName>全半角检查</abilityName>
      <candidateList>
        <item>）</item>
      </candidateList>
      <explain>文本全半角错误。</explain>
      <paraID>73B645F8</paraID>
      <start>54</start>
      <end>55</end>
      <status>unmodified</status>
      <modifiedWord/>
      <trackRevisions>false</trackRevisions>
    </reviewItem>
    <reviewItem>
      <errorID>25e3ba1b-eeac-4a0b-80f6-9d4350228a45</errorID>
      <errorWord>间</errorWord>
      <group>L1_Word</group>
      <groupName>字词问题</groupName>
      <ability>L2_Typo</ability>
      <abilityName>字词错误</abilityName>
      <candidateList>
        <item>间内</item>
      </candidateList>
      <explain/>
      <paraID>15D2CCCD</paraID>
      <start>43</start>
      <end>44</end>
      <status>unmodified</status>
      <modifiedWord/>
      <trackRevisions>false</trackRevisions>
    </reviewItem>
    <reviewItem>
      <errorID>3ccb0441-3a7e-4543-b097-95feff6e9287</errorID>
      <errorWord>须</errorWord>
      <group>L1_Word</group>
      <groupName>字词问题</groupName>
      <ability>L2_Typo</ability>
      <abilityName>字词错误</abilityName>
      <candidateList>
        <item>需</item>
      </candidateList>
      <explain>存在发音相同字词的误用。</explain>
      <paraID>34AB7CE9</paraID>
      <start>66</start>
      <end>67</end>
      <status>unmodified</status>
      <modifiedWord/>
      <trackRevisions>false</trackRevisions>
    </reviewItem>
    <reviewItem>
      <errorID>ce6bd614-5994-4896-b061-2886aa155d7d</errorID>
      <errorWord>(</errorWord>
      <group>L1_Format</group>
      <groupName>格式问题</groupName>
      <ability>L2_HalfPunc</ability>
      <abilityName>全半角检查</abilityName>
      <candidateList>
        <item>（</item>
      </candidateList>
      <explain>文本全半角错误。</explain>
      <paraID>73763528</paraID>
      <start>85</start>
      <end>86</end>
      <status>unmodified</status>
      <modifiedWord/>
      <trackRevisions>false</trackRevisions>
    </reviewItem>
    <reviewItem>
      <errorID>88b5b903-5014-4e49-aa12-3afed530cc59</errorID>
      <errorWord>)</errorWord>
      <group>L1_Format</group>
      <groupName>格式问题</groupName>
      <ability>L2_HalfPunc</ability>
      <abilityName>全半角检查</abilityName>
      <candidateList>
        <item>）</item>
      </candidateList>
      <explain>文本全半角错误。</explain>
      <paraID>73763528</paraID>
      <start>111</start>
      <end>112</end>
      <status>unmodified</status>
      <modifiedWord/>
      <trackRevisions>false</trackRevisions>
    </reviewItem>
    <reviewItem>
      <errorID>9e85e0ff-0e2d-4eb9-946d-eacc5683b6a8</errorID>
      <errorWord>〔2017〕 141号</errorWord>
      <group>L1_Knowledge</group>
      <groupName>知识性问题</groupName>
      <ability>L2_Knowledge</ability>
      <abilityName>其他知识</abilityName>
      <candidateList>
        <item>〔2017〕141号</item>
      </candidateList>
      <explain>发文字号格式错误。</explain>
      <paraID>3E896332</paraID>
      <start>49</start>
      <end>60</end>
      <status>unmodified</status>
      <modifiedWord/>
      <trackRevisions>false</trackRevisions>
    </reviewItem>
    <reviewItem>
      <errorID>2f2bbc0e-834f-4310-93da-a8c0206eaef2</errorID>
      <errorWord>：）</errorWord>
      <group>L1_Punc</group>
      <groupName>标点问题</groupName>
      <ability>L2_Punc</ability>
      <abilityName>标点符号检查</abilityName>
      <candidateList>
        <item>）</item>
      </candidateList>
      <explain/>
      <paraID>3E7635F2</paraID>
      <start>41</start>
      <end>43</end>
      <status>unmodified</status>
      <modifiedWord/>
      <trackRevisions>false</trackRevisions>
    </reviewItem>
    <reviewItem>
      <errorID>07addae9-984a-4eaf-9d67-4e844349c3c0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65988F99</paraID>
      <start>19</start>
      <end>22</end>
      <status>unmodified</status>
      <modifiedWord/>
      <trackRevisions>false</trackRevisions>
    </reviewItem>
    <reviewItem>
      <errorID>2e2d06a7-dc30-4fca-9930-a6bd35c50112</errorID>
      <errorWord>:</errorWord>
      <group>L1_Format</group>
      <groupName>格式问题</groupName>
      <ability>L2_HalfPunc</ability>
      <abilityName>全半角检查</abilityName>
      <candidateList>
        <item>：</item>
      </candidateList>
      <explain>文本全半角错误。</explain>
      <paraID>4AC59AC3</paraID>
      <start>73</start>
      <end>74</end>
      <status>unmodified</status>
      <modifiedWord/>
      <trackRevisions>false</trackRevisions>
    </reviewItem>
    <reviewItem>
      <errorID>c6d62a06-746c-4895-8644-128ac7e7d948</errorID>
      <errorWord>(</errorWord>
      <group>L1_Format</group>
      <groupName>格式问题</groupName>
      <ability>L2_HalfPunc</ability>
      <abilityName>全半角检查</abilityName>
      <candidateList>
        <item>（</item>
      </candidateList>
      <explain>文本全半角错误。</explain>
      <paraID>431146F5</paraID>
      <start>15</start>
      <end>16</end>
      <status>unmodified</status>
      <modifiedWord/>
      <trackRevisions>false</trackRevisions>
    </reviewItem>
    <reviewItem>
      <errorID>4bc0a111-9c2c-47e3-9f84-5dc8cda6bf14</errorID>
      <errorWord>)</errorWord>
      <group>L1_Format</group>
      <groupName>格式问题</groupName>
      <ability>L2_HalfPunc</ability>
      <abilityName>全半角检查</abilityName>
      <candidateList>
        <item>）</item>
      </candidateList>
      <explain>文本全半角错误。</explain>
      <paraID>431146F5</paraID>
      <start>21</start>
      <end>22</end>
      <status>unmodified</status>
      <modifiedWord/>
      <trackRevisions>false</trackRevisions>
    </reviewItem>
    <reviewItem>
      <errorID>b873d53b-0e4c-42f0-a550-4c3334ab4fb9</errorID>
      <errorWord>(</errorWord>
      <group>L1_Format</group>
      <groupName>格式问题</groupName>
      <ability>L2_HalfPunc</ability>
      <abilityName>全半角检查</abilityName>
      <candidateList>
        <item>（</item>
      </candidateList>
      <explain>文本全半角错误。</explain>
      <paraID>403EBFBE</paraID>
      <start>17</start>
      <end>18</end>
      <status>unmodified</status>
      <modifiedWord/>
      <trackRevisions>false</trackRevisions>
    </reviewItem>
    <reviewItem>
      <errorID>01dc0ac7-1096-4da2-b05c-e69727849a38</errorID>
      <errorWord>)</errorWord>
      <group>L1_Format</group>
      <groupName>格式问题</groupName>
      <ability>L2_HalfPunc</ability>
      <abilityName>全半角检查</abilityName>
      <candidateList>
        <item>）</item>
      </candidateList>
      <explain>文本全半角错误。</explain>
      <paraID>403EBFBE</paraID>
      <start>22</start>
      <end>23</end>
      <status>unmodified</status>
      <modifiedWord/>
      <trackRevisions>false</trackRevisions>
    </reviewItem>
    <reviewItem>
      <errorID>156c76ee-898f-4e00-b191-7965b42527a1</errorID>
      <errorWord>(</errorWord>
      <group>L1_Format</group>
      <groupName>格式问题</groupName>
      <ability>L2_HalfPunc</ability>
      <abilityName>全半角检查</abilityName>
      <candidateList>
        <item>（</item>
      </candidateList>
      <explain>文本全半角错误。</explain>
      <paraID>5D69F73C</paraID>
      <start>45</start>
      <end>46</end>
      <status>unmodified</status>
      <modifiedWord/>
      <trackRevisions>false</trackRevisions>
    </reviewItem>
    <reviewItem>
      <errorID>01c5f853-7cbc-4a9e-baa5-459f2c38d655</errorID>
      <errorWord>)</errorWord>
      <group>L1_Format</group>
      <groupName>格式问题</groupName>
      <ability>L2_HalfPunc</ability>
      <abilityName>全半角检查</abilityName>
      <candidateList>
        <item>）</item>
      </candidateList>
      <explain>文本全半角错误。</explain>
      <paraID>5D69F73C</paraID>
      <start>50</start>
      <end>51</end>
      <status>unmodified</status>
      <modifiedWord/>
      <trackRevisions>false</trackRevisions>
    </reviewItem>
    <reviewItem>
      <errorID>3952f96e-a70e-44b7-a88b-aea1cd0a661c</errorID>
      <errorWord>(</errorWord>
      <group>L1_Format</group>
      <groupName>格式问题</groupName>
      <ability>L2_HalfPunc</ability>
      <abilityName>全半角检查</abilityName>
      <candidateList>
        <item>（</item>
      </candidateList>
      <explain>文本全半角错误。</explain>
      <paraID>5D69F73C</paraID>
      <start>54</start>
      <end>55</end>
      <status>unmodified</status>
      <modifiedWord/>
      <trackRevisions>false</trackRevisions>
    </reviewItem>
    <reviewItem>
      <errorID>d7a7721c-bfaf-4dae-b973-3c1f111d9fae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5D69F73C</paraID>
      <start>56</start>
      <end>57</end>
      <status>unmodified</status>
      <modifiedWord/>
      <trackRevisions>false</trackRevisions>
    </reviewItem>
    <reviewItem>
      <errorID>f3e3b9a7-b1a1-4adb-9d4e-1cc2232e1607</errorID>
      <errorWord>)</errorWord>
      <group>L1_Format</group>
      <groupName>格式问题</groupName>
      <ability>L2_HalfPunc</ability>
      <abilityName>全半角检查</abilityName>
      <candidateList>
        <item>）</item>
      </candidateList>
      <explain>文本全半角错误。</explain>
      <paraID>5D69F73C</paraID>
      <start>59</start>
      <end>60</end>
      <status>unmodified</status>
      <modifiedWord/>
      <trackRevisions>false</trackRevisions>
    </reviewItem>
    <reviewItem>
      <errorID>d36cdf77-c8c6-44f6-84b9-10074b09b95e</errorID>
      <errorWord>(</errorWord>
      <group>L1_Format</group>
      <groupName>格式问题</groupName>
      <ability>L2_HalfPunc</ability>
      <abilityName>全半角检查</abilityName>
      <candidateList>
        <item>（</item>
      </candidateList>
      <explain>文本全半角错误。</explain>
      <paraID>5D69F73C</paraID>
      <start>64</start>
      <end>65</end>
      <status>unmodified</status>
      <modifiedWord/>
      <trackRevisions>false</trackRevisions>
    </reviewItem>
    <reviewItem>
      <errorID>1ff3f702-23ac-4ccc-abe6-b193e714cfde</errorID>
      <errorWord>)</errorWord>
      <group>L1_Format</group>
      <groupName>格式问题</groupName>
      <ability>L2_HalfPunc</ability>
      <abilityName>全半角检查</abilityName>
      <candidateList>
        <item>）</item>
      </candidateList>
      <explain>文本全半角错误。</explain>
      <paraID>5D69F73C</paraID>
      <start>69</start>
      <end>70</end>
      <status>unmodified</status>
      <modifiedWord/>
      <trackRevisions>false</trackRevisions>
    </reviewItem>
    <reviewItem>
      <errorID>94a7b6c7-4449-433c-b578-9043f07952f5</errorID>
      <errorWord>(</errorWord>
      <group>L1_Format</group>
      <groupName>格式问题</groupName>
      <ability>L2_HalfPunc</ability>
      <abilityName>全半角检查</abilityName>
      <candidateList>
        <item>（</item>
      </candidateList>
      <explain>文本全半角错误。</explain>
      <paraID>37B24672</paraID>
      <start>6</start>
      <end>7</end>
      <status>unmodified</status>
      <modifiedWord/>
      <trackRevisions>false</trackRevisions>
    </reviewItem>
    <reviewItem>
      <errorID>c0c4bae2-d94e-4ca5-876b-9c0d8d4e8a84</errorID>
      <errorWord>)</errorWord>
      <group>L1_Format</group>
      <groupName>格式问题</groupName>
      <ability>L2_HalfPunc</ability>
      <abilityName>全半角检查</abilityName>
      <candidateList>
        <item>）</item>
      </candidateList>
      <explain>文本全半角错误。</explain>
      <paraID>37B24672</paraID>
      <start>9</start>
      <end>10</end>
      <status>unmodified</status>
      <modifiedWord/>
      <trackRevisions>false</trackRevisions>
    </reviewItem>
    <reviewItem>
      <errorID>305745a2-e939-4fb6-bf42-09042b50916a</errorID>
      <errorWord>*</errorWord>
      <group>L1_Punc</group>
      <groupName>标点问题</groupName>
      <ability>L2_Punc</ability>
      <abilityName>标点符号检查</abilityName>
      <candidateList/>
      <explain/>
      <paraID>70627895</paraID>
      <start>0</start>
      <end>1</end>
      <status>unmodified</status>
      <modifiedWord/>
      <trackRevisions>false</trackRevisions>
    </reviewItem>
    <reviewItem>
      <errorID>e2f06b9e-8671-4f12-b088-027c2cc249f3</errorID>
      <errorWord>*</errorWord>
      <group>L1_Punc</group>
      <groupName>标点问题</groupName>
      <ability>L2_Punc</ability>
      <abilityName>标点符号检查</abilityName>
      <candidateList/>
      <explain/>
      <paraID>7BBE7BAB</paraID>
      <start>0</start>
      <end>1</end>
      <status>unmodified</status>
      <modifiedWord/>
      <trackRevisions>false</trackRevisions>
    </reviewItem>
    <reviewItem>
      <errorID>e8a641ef-86fd-403d-b1cb-9ec13e86f64d</errorID>
      <errorWord>*</errorWord>
      <group>L1_Punc</group>
      <groupName>标点问题</groupName>
      <ability>L2_Punc</ability>
      <abilityName>标点符号检查</abilityName>
      <candidateList/>
      <explain/>
      <paraID>3B6A6F2A</paraID>
      <start>0</start>
      <end>1</end>
      <status>unmodified</status>
      <modifiedWord/>
      <trackRevisions>false</trackRevisions>
    </reviewItem>
    <reviewItem>
      <errorID>41c4a121-eb4c-441b-850d-1fa800581cf2</errorID>
      <errorWord>禁正</errorWord>
      <group>L1_Word</group>
      <groupName>字词问题</groupName>
      <ability>L2_Typo</ability>
      <abilityName>字词错误</abilityName>
      <candidateList>
        <item>禁止</item>
      </candidateList>
      <explain/>
      <paraID>3B6A6F2A</paraID>
      <start>1</start>
      <end>3</end>
      <status>unmodified</status>
      <modifiedWord/>
      <trackRevisions>false</trackRevisions>
    </reviewItem>
    <reviewItem>
      <errorID>33f4bdb1-d026-4ccb-bf5d-e9f60ca18f6c</errorID>
      <errorWord>(</errorWord>
      <group>L1_Format</group>
      <groupName>格式问题</groupName>
      <ability>L2_HalfPunc</ability>
      <abilityName>全半角检查</abilityName>
      <candidateList>
        <item>（</item>
      </candidateList>
      <explain>文本全半角错误。</explain>
      <paraID>4DF913C6</paraID>
      <start>2</start>
      <end>3</end>
      <status>unmodified</status>
      <modifiedWord/>
      <trackRevisions>false</trackRevisions>
    </reviewItem>
    <reviewItem>
      <errorID>57a17d3b-eeb5-4cfd-86c7-72e01ff5474b</errorID>
      <errorWord>)</errorWord>
      <group>L1_Format</group>
      <groupName>格式问题</groupName>
      <ability>L2_HalfPunc</ability>
      <abilityName>全半角检查</abilityName>
      <candidateList>
        <item>）</item>
      </candidateList>
      <explain>文本全半角错误。</explain>
      <paraID>4DF913C6</paraID>
      <start>7</start>
      <end>8</end>
      <status>unmodified</status>
      <modifiedWord/>
      <trackRevisions>false</trackRevisions>
    </reviewItem>
    <reviewItem>
      <errorID>9baf1c21-3bad-4d19-9635-93e6ebaa222c</errorID>
      <errorWord>(</errorWord>
      <group>L1_Format</group>
      <groupName>格式问题</groupName>
      <ability>L2_HalfPunc</ability>
      <abilityName>全半角检查</abilityName>
      <candidateList>
        <item>（</item>
      </candidateList>
      <explain>文本全半角错误。</explain>
      <paraID>656041E1</paraID>
      <start>6</start>
      <end>7</end>
      <status>unmodified</status>
      <modifiedWord/>
      <trackRevisions>false</trackRevisions>
    </reviewItem>
    <reviewItem>
      <errorID>422beb74-3297-4178-875b-3967ca7fe7d2</errorID>
      <errorWord>)</errorWord>
      <group>L1_Format</group>
      <groupName>格式问题</groupName>
      <ability>L2_HalfPunc</ability>
      <abilityName>全半角检查</abilityName>
      <candidateList>
        <item>）</item>
      </candidateList>
      <explain>文本全半角错误。</explain>
      <paraID>656041E1</paraID>
      <start>9</start>
      <end>10</end>
      <status>unmodified</status>
      <modifiedWord/>
      <trackRevisions>false</trackRevisions>
    </reviewItem>
    <reviewItem>
      <errorID>2ee7df61-4862-4290-8ec3-21d91e4f2253</errorID>
      <errorWord>*</errorWord>
      <group>L1_Punc</group>
      <groupName>标点问题</groupName>
      <ability>L2_Punc</ability>
      <abilityName>标点符号检查</abilityName>
      <candidateList/>
      <explain/>
      <paraID>20FCAA15</paraID>
      <start>0</start>
      <end>1</end>
      <status>unmodified</status>
      <modifiedWord/>
      <trackRevisions>false</trackRevisions>
    </reviewItem>
    <reviewItem>
      <errorID>ced9c0be-f2e7-4e95-bd34-73845b389184</errorID>
      <errorWord>*</errorWord>
      <group>L1_Punc</group>
      <groupName>标点问题</groupName>
      <ability>L2_Punc</ability>
      <abilityName>标点符号检查</abilityName>
      <candidateList/>
      <explain/>
      <paraID>5EC9249E</paraID>
      <start>0</start>
      <end>1</end>
      <status>unmodified</status>
      <modifiedWord/>
      <trackRevisions>false</trackRevisions>
    </reviewItem>
    <reviewItem>
      <errorID>a86a317d-3e14-4f18-bfda-2a29662a8ba5</errorID>
      <errorWord>(</errorWord>
      <group>L1_Format</group>
      <groupName>格式问题</groupName>
      <ability>L2_HalfPunc</ability>
      <abilityName>全半角检查</abilityName>
      <candidateList>
        <item>（</item>
      </candidateList>
      <explain>文本全半角错误。</explain>
      <paraID>4D1D4FBB</paraID>
      <start>2</start>
      <end>3</end>
      <status>unmodified</status>
      <modifiedWord/>
      <trackRevisions>false</trackRevisions>
    </reviewItem>
    <reviewItem>
      <errorID>3387c5e9-203d-441a-9edf-e3d06b763e5e</errorID>
      <errorWord>)</errorWord>
      <group>L1_Format</group>
      <groupName>格式问题</groupName>
      <ability>L2_HalfPunc</ability>
      <abilityName>全半角检查</abilityName>
      <candidateList>
        <item>）</item>
      </candidateList>
      <explain>文本全半角错误。</explain>
      <paraID>4D1D4FBB</paraID>
      <start>7</start>
      <end>8</end>
      <status>unmodified</status>
      <modifiedWord/>
      <trackRevisions>false</trackRevisions>
    </reviewItem>
    <reviewItem>
      <errorID>d423b895-8559-43f8-9839-92521b0d2f08</errorID>
      <errorWord>(</errorWord>
      <group>L1_Format</group>
      <groupName>格式问题</groupName>
      <ability>L2_HalfPunc</ability>
      <abilityName>全半角检查</abilityName>
      <candidateList>
        <item>（</item>
      </candidateList>
      <explain>文本全半角错误。</explain>
      <paraID>525BEDAA</paraID>
      <start>6</start>
      <end>7</end>
      <status>unmodified</status>
      <modifiedWord/>
      <trackRevisions>false</trackRevisions>
    </reviewItem>
    <reviewItem>
      <errorID>94208df8-5aaf-4482-b9da-f6e2f7226d16</errorID>
      <errorWord>)</errorWord>
      <group>L1_Format</group>
      <groupName>格式问题</groupName>
      <ability>L2_HalfPunc</ability>
      <abilityName>全半角检查</abilityName>
      <candidateList>
        <item>）</item>
      </candidateList>
      <explain>文本全半角错误。</explain>
      <paraID>525BEDAA</paraID>
      <start>9</start>
      <end>10</end>
      <status>unmodified</status>
      <modifiedWord/>
      <trackRevisions>false</trackRevisions>
    </reviewItem>
    <reviewItem>
      <errorID>21c786fe-6cc5-4e9f-beb2-ba07a2a9a650</errorID>
      <errorWord>*</errorWord>
      <group>L1_Punc</group>
      <groupName>标点问题</groupName>
      <ability>L2_Punc</ability>
      <abilityName>标点符号检查</abilityName>
      <candidateList/>
      <explain/>
      <paraID> A9C1043</paraID>
      <start>0</start>
      <end>1</end>
      <status>unmodified</status>
      <modifiedWord/>
      <trackRevisions>false</trackRevisions>
    </reviewItem>
    <reviewItem>
      <errorID>38ca5f0a-2752-4bd9-b0b8-a3b6ee8326f5</errorID>
      <errorWord>*</errorWord>
      <group>L1_Punc</group>
      <groupName>标点问题</groupName>
      <ability>L2_Punc</ability>
      <abilityName>标点符号检查</abilityName>
      <candidateList/>
      <explain/>
      <paraID>75DA8B0E</paraID>
      <start>0</start>
      <end>1</end>
      <status>unmodified</status>
      <modifiedWord/>
      <trackRevisions>false</trackRevisions>
    </reviewItem>
    <reviewItem>
      <errorID>2c384c8d-0847-4f2c-9d30-93bf9d1a0e2d</errorID>
      <errorWord>*</errorWord>
      <group>L1_Punc</group>
      <groupName>标点问题</groupName>
      <ability>L2_Punc</ability>
      <abilityName>标点符号检查</abilityName>
      <candidateList/>
      <explain/>
      <paraID>3F79909B</paraID>
      <start>0</start>
      <end>1</end>
      <status>unmodified</status>
      <modifiedWord/>
      <trackRevisions>false</trackRevisions>
    </reviewItem>
    <reviewItem>
      <errorID>50a6d996-717e-4bef-b3f5-c42130be5e68</errorID>
      <errorWord>(</errorWord>
      <group>L1_Format</group>
      <groupName>格式问题</groupName>
      <ability>L2_HalfPunc</ability>
      <abilityName>全半角检查</abilityName>
      <candidateList>
        <item>（</item>
      </candidateList>
      <explain>文本全半角错误。</explain>
      <paraID>14888505</paraID>
      <start>2</start>
      <end>3</end>
      <status>unmodified</status>
      <modifiedWord/>
      <trackRevisions>false</trackRevisions>
    </reviewItem>
    <reviewItem>
      <errorID>4c1d9d0b-620f-442f-b00d-cec753373005</errorID>
      <errorWord>)</errorWord>
      <group>L1_Format</group>
      <groupName>格式问题</groupName>
      <ability>L2_HalfPunc</ability>
      <abilityName>全半角检查</abilityName>
      <candidateList>
        <item>）</item>
      </candidateList>
      <explain>文本全半角错误。</explain>
      <paraID>14888505</paraID>
      <start>7</start>
      <end>8</end>
      <status>unmodified</status>
      <modifiedWord/>
      <trackRevisions>false</trackRevisions>
    </reviewItem>
    <reviewItem>
      <errorID>d007314b-f893-4dff-977b-a8d12bd7d0f4</errorID>
      <errorWord>(</errorWord>
      <group>L1_Format</group>
      <groupName>格式问题</groupName>
      <ability>L2_HalfPunc</ability>
      <abilityName>全半角检查</abilityName>
      <candidateList>
        <item>（</item>
      </candidateList>
      <explain>文本全半角错误。</explain>
      <paraID>4EA903EE</paraID>
      <start>6</start>
      <end>7</end>
      <status>unmodified</status>
      <modifiedWord/>
      <trackRevisions>false</trackRevisions>
    </reviewItem>
    <reviewItem>
      <errorID>4802f46a-84c3-4bd5-b361-79d870f4a92a</errorID>
      <errorWord>)</errorWord>
      <group>L1_Format</group>
      <groupName>格式问题</groupName>
      <ability>L2_HalfPunc</ability>
      <abilityName>全半角检查</abilityName>
      <candidateList>
        <item>）</item>
      </candidateList>
      <explain>文本全半角错误。</explain>
      <paraID>4EA903EE</paraID>
      <start>9</start>
      <end>10</end>
      <status>unmodified</status>
      <modifiedWord/>
      <trackRevisions>false</trackRevisions>
    </reviewItem>
    <reviewItem>
      <errorID>bea0dbf0-23c6-45be-9639-5906bb0dcefb</errorID>
      <errorWord>*</errorWord>
      <group>L1_Punc</group>
      <groupName>标点问题</groupName>
      <ability>L2_Punc</ability>
      <abilityName>标点符号检查</abilityName>
      <candidateList/>
      <explain/>
      <paraID>7E941F02</paraID>
      <start>0</start>
      <end>1</end>
      <status>unmodified</status>
      <modifiedWord/>
      <trackRevisions>false</trackRevisions>
    </reviewItem>
    <reviewItem>
      <errorID>06ec5c48-a6bd-449f-bbf2-98a0b7332d6a</errorID>
      <errorWord>*</errorWord>
      <group>L1_Punc</group>
      <groupName>标点问题</groupName>
      <ability>L2_Punc</ability>
      <abilityName>标点符号检查</abilityName>
      <candidateList/>
      <explain/>
      <paraID>422F5ED6</paraID>
      <start>0</start>
      <end>1</end>
      <status>unmodified</status>
      <modifiedWord/>
      <trackRevisions>false</trackRevisions>
    </reviewItem>
    <reviewItem>
      <errorID>aae13c59-3269-4e48-98f5-12c714e49e10</errorID>
      <errorWord>(</errorWord>
      <group>L1_Format</group>
      <groupName>格式问题</groupName>
      <ability>L2_HalfPunc</ability>
      <abilityName>全半角检查</abilityName>
      <candidateList>
        <item>（</item>
      </candidateList>
      <explain>文本全半角错误。</explain>
      <paraID>36B85F10</paraID>
      <start>2</start>
      <end>3</end>
      <status>unmodified</status>
      <modifiedWord/>
      <trackRevisions>false</trackRevisions>
    </reviewItem>
    <reviewItem>
      <errorID>b087c29c-bb2f-42b2-b218-9535cc5f3eaa</errorID>
      <errorWord>)</errorWord>
      <group>L1_Format</group>
      <groupName>格式问题</groupName>
      <ability>L2_HalfPunc</ability>
      <abilityName>全半角检查</abilityName>
      <candidateList>
        <item>）</item>
      </candidateList>
      <explain>文本全半角错误。</explain>
      <paraID>36B85F10</paraID>
      <start>7</start>
      <end>8</end>
      <status>unmodified</status>
      <modifiedWord/>
      <trackRevisions>false</trackRevisions>
    </reviewItem>
    <reviewItem>
      <errorID>db873de7-c0b3-4e57-986f-76947a745fcb</errorID>
      <errorWord>(</errorWord>
      <group>L1_Format</group>
      <groupName>格式问题</groupName>
      <ability>L2_HalfPunc</ability>
      <abilityName>全半角检查</abilityName>
      <candidateList>
        <item>（</item>
      </candidateList>
      <explain>文本全半角错误。</explain>
      <paraID>530F7F96</paraID>
      <start>2</start>
      <end>3</end>
      <status>unmodified</status>
      <modifiedWord/>
      <trackRevisions>false</trackRevisions>
    </reviewItem>
    <reviewItem>
      <errorID>367124d7-ea05-4051-a43d-169086bb9b1c</errorID>
      <errorWord>)</errorWord>
      <group>L1_Format</group>
      <groupName>格式问题</groupName>
      <ability>L2_HalfPunc</ability>
      <abilityName>全半角检查</abilityName>
      <candidateList>
        <item>）</item>
      </candidateList>
      <explain>文本全半角错误。</explain>
      <paraID>530F7F96</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4B2A91CA-4993-4BA3-AF9F-960283D95EB1}"/>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6</cp:revision>
  <dcterms:created xsi:type="dcterms:W3CDTF">2026-09-09T09:30:00Z</dcterms:created>
  <dcterms:modified xsi:type="dcterms:W3CDTF">2026-09-30T01:02:30Z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B6C7F4CF7D424881AFA9B5CF1F9661C0_13</vt:lpwstr>
  </property>
  <property fmtid="{D5CDD505-2E9C-101B-9397-08002B2CF9AE}" pid="4" name="KSOTemplateDocerSaveRecord">
    <vt:lpwstr>eyJoZGlkIjoiNDkyYWVjZjRiMDg2YWU2ZTMzMzY3MGMwOWIwOGZlZjYiLCJ1c2VySWQiOiI3MDk5NjYxMDgifQ==</vt:lpwstr>
  </property>
</Properties>
</file>