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ascii="Arial" w:hAnsi="Arial" w:eastAsia="黑体"/>
          <w:b/>
          <w:bCs/>
          <w:color w:val="000000"/>
          <w:sz w:val="84"/>
          <w:szCs w:val="24"/>
        </w:rPr>
      </w:r>
      <w:r/>
    </w:p>
    <w:p>
      <w:pPr>
        <w:pStyle w:val="1011"/>
        <w:rPr>
          <w:rFonts w:hint="eastAsia"/>
          <w:color w:val="000000"/>
        </w:rPr>
      </w:pPr>
      <w:r>
        <w:rPr>
          <w:rFonts w:hint="eastAsia"/>
          <w:color w:val="000000"/>
        </w:rPr>
      </w:r>
      <w:r/>
    </w:p>
    <w:p>
      <w:pPr>
        <w:pStyle w:val="1028"/>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932"/>
        <w:ind w:firstLine="1506"/>
        <w:rPr>
          <w:b/>
          <w:color w:val="000000"/>
          <w:sz w:val="30"/>
          <w:szCs w:val="30"/>
          <w:u w:val="single"/>
        </w:rPr>
      </w:pPr>
      <w:r>
        <w:rPr>
          <w:rFonts w:hint="eastAsia"/>
          <w:b/>
          <w:color w:val="000000"/>
          <w:sz w:val="30"/>
          <w:szCs w:val="30"/>
        </w:rPr>
        <w:t xml:space="preserve">项目名称：南京鼓楼医院智能体驱动的区域高危孕产妇全周期管理系统</w:t>
      </w:r>
      <w:r>
        <w:rPr>
          <w:rFonts w:hint="eastAsia"/>
          <w:b/>
          <w:color w:val="000000"/>
          <w:sz w:val="32"/>
          <w:szCs w:val="32"/>
        </w:rPr>
        <w:t xml:space="preserve"> </w:t>
      </w:r>
      <w:r>
        <w:rPr>
          <w:b/>
          <w:color w:val="000000"/>
          <w:sz w:val="30"/>
          <w:szCs w:val="30"/>
          <w:u w:val="single"/>
        </w:rPr>
      </w:r>
      <w:r/>
    </w:p>
    <w:p>
      <w:pPr>
        <w:pStyle w:val="932"/>
        <w:ind w:firstLine="1506"/>
        <w:rPr>
          <w:rFonts w:hint="eastAsia"/>
          <w:b/>
          <w:color w:val="000000"/>
          <w:sz w:val="30"/>
          <w:szCs w:val="30"/>
        </w:rPr>
      </w:pPr>
      <w:r>
        <w:rPr>
          <w:rFonts w:hint="eastAsia"/>
          <w:b/>
          <w:color w:val="000000"/>
          <w:sz w:val="30"/>
          <w:szCs w:val="30"/>
        </w:rPr>
        <w:t xml:space="preserve">项目编号：</w:t>
      </w:r>
      <w:r>
        <w:rPr>
          <w:rFonts w:hint="eastAsia"/>
          <w:b/>
          <w:color w:val="000000"/>
          <w:sz w:val="32"/>
          <w:szCs w:val="32"/>
        </w:rPr>
        <w:t xml:space="preserve">JSZC-320100-JZCG-G2026-0320 </w:t>
      </w:r>
      <w:r>
        <w:rPr>
          <w:rFonts w:hint="eastAsia"/>
          <w:b/>
          <w:color w:val="000000"/>
          <w:sz w:val="30"/>
          <w:szCs w:val="30"/>
        </w:rPr>
        <w:t xml:space="preserve"> </w:t>
      </w:r>
      <w:r>
        <w:rPr>
          <w:rFonts w:hint="eastAsia"/>
          <w:b/>
          <w:color w:val="000000"/>
          <w:sz w:val="30"/>
          <w:szCs w:val="30"/>
        </w:rPr>
        <w:t xml:space="preserve"> </w:t>
      </w:r>
      <w:r>
        <w:rPr>
          <w:rFonts w:hint="eastAsia"/>
          <w:b/>
          <w:color w:val="000000"/>
          <w:sz w:val="30"/>
          <w:szCs w:val="30"/>
        </w:rPr>
        <w:t xml:space="preserve">            </w:t>
      </w:r>
      <w:r>
        <w:rPr>
          <w:rFonts w:hint="eastAsia"/>
          <w:b/>
          <w:color w:val="000000"/>
          <w:sz w:val="30"/>
          <w:szCs w:val="30"/>
        </w:rPr>
      </w:r>
      <w:r/>
    </w:p>
    <w:p>
      <w:pPr>
        <w:pStyle w:val="932"/>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8"/>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932"/>
        <w:jc w:val="center"/>
        <w:rPr>
          <w:rFonts w:hint="eastAsia"/>
          <w:b/>
          <w:color w:val="000000"/>
          <w:sz w:val="32"/>
          <w:szCs w:val="32"/>
        </w:rPr>
      </w:pPr>
      <w:r>
        <w:rPr>
          <w:rFonts w:hint="eastAsia"/>
          <w:b/>
          <w:color w:val="000000"/>
          <w:sz w:val="32"/>
          <w:szCs w:val="32"/>
        </w:rPr>
        <w:t xml:space="preserve">2026年9月</w:t>
      </w:r>
      <w:r>
        <w:rPr>
          <w:rFonts w:hint="eastAsia"/>
          <w:b/>
          <w:color w:val="000000"/>
          <w:sz w:val="32"/>
          <w:szCs w:val="32"/>
        </w:rPr>
      </w:r>
      <w:r/>
    </w:p>
    <w:p>
      <w:pPr>
        <w:pStyle w:val="93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3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3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1011"/>
        <w:rPr>
          <w:rFonts w:hint="eastAsia"/>
          <w:color w:val="000000"/>
        </w:rPr>
      </w:pPr>
      <w:r>
        <w:rPr>
          <w:rFonts w:hint="eastAsia"/>
          <w:color w:val="000000"/>
        </w:rPr>
      </w:r>
      <w:r/>
    </w:p>
    <w:p>
      <w:pPr>
        <w:pStyle w:val="932"/>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br w:type="page" w:clear="all"/>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932"/>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932"/>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w:t>
      </w:r>
      <w:r>
        <w:rPr>
          <w:rFonts w:hint="eastAsia" w:ascii="黑体" w:hAnsi="宋体" w:eastAsia="黑体"/>
          <w:color w:val="000000"/>
          <w:sz w:val="36"/>
          <w:lang w:val="en-US" w:eastAsia="zh-CN"/>
        </w:rPr>
        <w:t xml:space="preserve">3</w:t>
      </w:r>
      <w:r>
        <w:rPr>
          <w:rFonts w:hint="eastAsia" w:ascii="黑体" w:hAnsi="宋体" w:eastAsia="黑体"/>
          <w:color w:val="000000"/>
          <w:sz w:val="36"/>
        </w:rPr>
      </w:r>
      <w:r/>
    </w:p>
    <w:p>
      <w:pPr>
        <w:pStyle w:val="932"/>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w:t>
      </w:r>
      <w:r>
        <w:rPr>
          <w:rFonts w:hint="eastAsia" w:ascii="黑体" w:hAnsi="宋体" w:eastAsia="黑体"/>
          <w:color w:val="000000"/>
          <w:sz w:val="36"/>
          <w:lang w:val="en-US" w:eastAsia="zh-CN"/>
        </w:rPr>
        <w:t xml:space="preserve">5</w:t>
      </w:r>
      <w:r>
        <w:rPr>
          <w:rFonts w:hint="eastAsia" w:ascii="黑体" w:hAnsi="宋体" w:eastAsia="黑体"/>
          <w:color w:val="000000"/>
          <w:sz w:val="36"/>
        </w:rPr>
      </w:r>
      <w:r/>
    </w:p>
    <w:p>
      <w:pPr>
        <w:pStyle w:val="932"/>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15</w:t>
      </w:r>
      <w:r>
        <w:rPr>
          <w:rFonts w:hint="eastAsia" w:ascii="黑体" w:hAnsi="宋体" w:eastAsia="黑体"/>
          <w:color w:val="000000"/>
          <w:sz w:val="36"/>
        </w:rPr>
      </w:r>
      <w:r/>
    </w:p>
    <w:p>
      <w:pPr>
        <w:pStyle w:val="932"/>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18</w:t>
      </w:r>
      <w:r>
        <w:rPr>
          <w:rFonts w:hint="eastAsia" w:ascii="黑体" w:hAnsi="宋体" w:eastAsia="黑体"/>
          <w:color w:val="000000"/>
          <w:sz w:val="36"/>
        </w:rPr>
      </w:r>
      <w:r/>
    </w:p>
    <w:p>
      <w:pPr>
        <w:pStyle w:val="932"/>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29</w:t>
      </w:r>
      <w:r>
        <w:rPr>
          <w:rFonts w:hint="eastAsia" w:ascii="黑体" w:hAnsi="宋体" w:eastAsia="黑体"/>
          <w:color w:val="000000"/>
          <w:sz w:val="36"/>
        </w:rPr>
      </w:r>
      <w:r/>
    </w:p>
    <w:p>
      <w:pPr>
        <w:pStyle w:val="932"/>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32</w:t>
      </w:r>
      <w:r>
        <w:rPr>
          <w:rFonts w:hint="eastAsia" w:ascii="黑体" w:hAnsi="宋体" w:eastAsia="黑体"/>
          <w:color w:val="000000"/>
          <w:sz w:val="36"/>
        </w:rPr>
      </w:r>
      <w:r/>
    </w:p>
    <w:p>
      <w:pPr>
        <w:pStyle w:val="932"/>
        <w:rPr>
          <w:rFonts w:hint="eastAsia"/>
          <w:color w:val="000000"/>
        </w:rPr>
      </w:pPr>
      <w:r>
        <w:rPr>
          <w:rFonts w:hint="eastAsia"/>
          <w:color w:val="000000"/>
        </w:rPr>
      </w:r>
      <w:r/>
    </w:p>
    <w:p>
      <w:pPr>
        <w:pStyle w:val="932"/>
        <w:rPr>
          <w:rFonts w:hint="eastAsia"/>
          <w:color w:val="000000"/>
        </w:rPr>
      </w:pPr>
      <w:r>
        <w:rPr>
          <w:rFonts w:hint="eastAsia"/>
          <w:color w:val="000000"/>
        </w:rPr>
      </w:r>
      <w:r/>
    </w:p>
    <w:p>
      <w:pPr>
        <w:pStyle w:val="932"/>
        <w:rPr>
          <w:rFonts w:hint="eastAsia"/>
          <w:color w:val="000000"/>
        </w:rPr>
      </w:pPr>
      <w:r>
        <w:rPr>
          <w:rFonts w:hint="eastAsia"/>
          <w:color w:val="000000"/>
        </w:rPr>
      </w:r>
      <w:r/>
    </w:p>
    <w:p>
      <w:pPr>
        <w:pStyle w:val="932"/>
        <w:jc w:val="center"/>
        <w:rPr>
          <w:rFonts w:hint="eastAsia" w:ascii="方正小标宋简体" w:hAnsi="方正小标宋简体" w:eastAsia="方正小标宋简体" w:cs="方正小标宋简体"/>
          <w:color w:val="000000"/>
          <w:sz w:val="36"/>
          <w:szCs w:val="36"/>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93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6" w:name="_Toc28359002"/>
      <w:r/>
      <w:bookmarkStart w:id="7" w:name="_Toc35393790"/>
      <w:r/>
      <w:bookmarkStart w:id="8" w:name="_Toc28359079"/>
      <w:r/>
      <w:bookmarkStart w:id="9" w:name="_Toc38985263"/>
      <w:r/>
      <w:bookmarkStart w:id="10" w:name="_Toc35393621"/>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32"/>
        <w:ind w:firstLine="480"/>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color w:val="000000"/>
          <w:sz w:val="24"/>
          <w:szCs w:val="24"/>
        </w:rPr>
        <w:t xml:space="preserve">JSZC-320100-JZCG-G2026-0320</w:t>
      </w:r>
      <w:r>
        <w:rPr>
          <w:rFonts w:ascii="宋体" w:hAnsi="宋体"/>
          <w:color w:val="000000"/>
          <w:sz w:val="24"/>
          <w:szCs w:val="24"/>
        </w:rPr>
      </w:r>
      <w:r/>
    </w:p>
    <w:p>
      <w:pPr>
        <w:pStyle w:val="932"/>
        <w:ind w:firstLine="480"/>
        <w:rPr>
          <w:rFonts w:hint="eastAsia"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南京鼓楼医院智能体驱动的区域高危孕产妇全周期管理系统</w:t>
      </w:r>
      <w:r>
        <w:rPr>
          <w:rFonts w:hint="eastAsia" w:ascii="宋体" w:hAnsi="宋体"/>
          <w:color w:val="000000"/>
          <w:sz w:val="24"/>
          <w:szCs w:val="24"/>
        </w:rPr>
      </w:r>
      <w:r/>
    </w:p>
    <w:p>
      <w:pPr>
        <w:pStyle w:val="932"/>
        <w:ind w:firstLine="480"/>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rPr>
        <w:t xml:space="preserve">100万元</w:t>
      </w:r>
      <w:r>
        <w:rPr>
          <w:rFonts w:ascii="宋体" w:hAnsi="宋体"/>
          <w:color w:val="000000"/>
          <w:sz w:val="24"/>
          <w:szCs w:val="24"/>
        </w:rPr>
      </w:r>
      <w:r/>
    </w:p>
    <w:p>
      <w:pPr>
        <w:pStyle w:val="932"/>
        <w:ind w:firstLine="480"/>
        <w:rPr>
          <w:rFonts w:hint="eastAsia" w:ascii="宋体" w:hAnsi="宋体"/>
          <w:color w:val="000000"/>
          <w:sz w:val="24"/>
          <w:szCs w:val="24"/>
        </w:rPr>
      </w:pPr>
      <w:r>
        <w:rPr>
          <w:rFonts w:hint="eastAsia" w:ascii="宋体" w:hAnsi="宋体"/>
          <w:color w:val="000000"/>
          <w:sz w:val="24"/>
          <w:szCs w:val="24"/>
        </w:rPr>
        <w:t xml:space="preserve">4.最高限价：</w:t>
      </w:r>
      <w:r>
        <w:rPr>
          <w:rFonts w:hint="eastAsia" w:ascii="宋体" w:hAnsi="宋体"/>
          <w:color w:val="000000"/>
          <w:sz w:val="24"/>
          <w:szCs w:val="24"/>
        </w:rPr>
        <w:t xml:space="preserve">95万元</w:t>
      </w:r>
      <w:r>
        <w:rPr>
          <w:rFonts w:hint="eastAsia" w:ascii="宋体" w:hAnsi="宋体"/>
          <w:color w:val="000000"/>
          <w:sz w:val="24"/>
          <w:szCs w:val="24"/>
        </w:rPr>
      </w:r>
      <w:r/>
    </w:p>
    <w:p>
      <w:pPr>
        <w:pStyle w:val="932"/>
        <w:ind w:firstLine="480"/>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本项目打造由智能体驱动的区域级高危孕产妇全周期管理平台，全面打通社区、基层医疗机构与专科医院的数据链路，真正实现高危孕产妇早发现、早定位、早转诊；同时依托移动端线上服务覆盖孕产全周期，切实减少孕产妇往返奔波，让孕妇享受更加优质的医疗服务。</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932"/>
        <w:ind w:firstLine="480"/>
        <w:rPr>
          <w:rFonts w:hint="eastAsia" w:ascii="宋体" w:hAnsi="宋体" w:cs="宋体"/>
          <w:color w:val="000000"/>
          <w:sz w:val="24"/>
          <w:szCs w:val="24"/>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天（系统开发及验收时间为合同签订后</w:t>
      </w: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天内</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32"/>
        <w:ind w:firstLine="480"/>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w:t>
      </w:r>
      <w:r>
        <w:rPr>
          <w:rFonts w:hint="eastAsia" w:ascii="宋体" w:hAnsi="宋体" w:cs="宋体"/>
          <w:color w:val="000000"/>
          <w:sz w:val="24"/>
          <w:szCs w:val="24"/>
        </w:rPr>
        <w:t xml:space="preserve">不接受</w:t>
      </w:r>
      <w:r>
        <w:rPr>
          <w:rFonts w:hint="eastAsia" w:ascii="宋体" w:hAnsi="宋体" w:cs="宋体"/>
          <w:color w:val="000000"/>
          <w:sz w:val="24"/>
          <w:szCs w:val="24"/>
        </w:rPr>
        <w:t xml:space="preserve">联合体投标。</w:t>
      </w:r>
      <w:r>
        <w:rPr>
          <w:rFonts w:hint="eastAsia" w:ascii="宋体" w:hAnsi="宋体" w:cs="宋体"/>
          <w:color w:val="000000"/>
          <w:sz w:val="24"/>
          <w:szCs w:val="24"/>
        </w:rPr>
      </w:r>
      <w:r/>
    </w:p>
    <w:p>
      <w:pPr>
        <w:pStyle w:val="932"/>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8.本项目</w:t>
      </w:r>
      <w:r>
        <w:rPr>
          <w:rFonts w:hint="eastAsia" w:ascii="宋体" w:hAnsi="宋体" w:cs="宋体"/>
          <w:color w:val="000000"/>
          <w:sz w:val="24"/>
          <w:szCs w:val="24"/>
        </w:rPr>
        <w:t xml:space="preserve">不接受</w:t>
      </w:r>
      <w:r>
        <w:rPr>
          <w:rFonts w:hint="eastAsia" w:ascii="宋体" w:hAnsi="宋体" w:cs="宋体"/>
          <w:color w:val="000000"/>
          <w:sz w:val="24"/>
          <w:szCs w:val="24"/>
        </w:rPr>
        <w:t xml:space="preserve">进口产品投标。</w:t>
      </w:r>
      <w:r>
        <w:rPr>
          <w:rFonts w:hint="eastAsia" w:ascii="宋体" w:hAnsi="宋体" w:cs="宋体"/>
          <w:color w:val="000000"/>
          <w:sz w:val="24"/>
          <w:szCs w:val="24"/>
        </w:rPr>
      </w:r>
      <w:r/>
    </w:p>
    <w:p>
      <w:pPr>
        <w:pStyle w:val="932"/>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9.本项目不允许分包。</w:t>
      </w:r>
      <w:r>
        <w:rPr>
          <w:rFonts w:hint="eastAsia" w:ascii="宋体" w:hAnsi="宋体" w:cs="宋体"/>
          <w:color w:val="000000"/>
          <w:sz w:val="24"/>
          <w:szCs w:val="24"/>
        </w:rPr>
      </w:r>
      <w:r/>
    </w:p>
    <w:p>
      <w:pPr>
        <w:pStyle w:val="93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2" w:name="_Toc28359080"/>
      <w:r/>
      <w:bookmarkStart w:id="13" w:name="_Toc28359003"/>
      <w:r/>
      <w:bookmarkStart w:id="14" w:name="_Toc35393791"/>
      <w:r/>
      <w:bookmarkStart w:id="15" w:name="_Toc35393622"/>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932"/>
        <w:ind w:firstLine="480"/>
        <w:spacing w:line="252" w:lineRule="auto"/>
        <w:rPr>
          <w:rFonts w:hint="eastAsia" w:ascii="宋体" w:hAnsi="宋体"/>
          <w:color w:val="000000"/>
          <w:sz w:val="24"/>
          <w:szCs w:val="24"/>
        </w:rPr>
      </w:pPr>
      <w:r/>
      <w:bookmarkStart w:id="17" w:name="_Toc28359004"/>
      <w:r/>
      <w:bookmarkStart w:id="18" w:name="_Toc28359081"/>
      <w:r/>
      <w:bookmarkStart w:id="19" w:name="_Toc38985265"/>
      <w:r/>
      <w:bookmarkStart w:id="20" w:name="_Toc35393623"/>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32"/>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w:t>
      </w:r>
      <w:r>
        <w:rPr>
          <w:rFonts w:hint="eastAsia" w:ascii="宋体" w:hAnsi="宋体"/>
          <w:color w:val="000000"/>
          <w:sz w:val="24"/>
          <w:szCs w:val="24"/>
        </w:rPr>
        <w:t xml:space="preserve">提供《</w:t>
      </w:r>
      <w:r>
        <w:rPr>
          <w:rFonts w:hint="eastAsia" w:ascii="宋体" w:hAnsi="宋体"/>
          <w:color w:val="000000"/>
          <w:sz w:val="24"/>
          <w:szCs w:val="24"/>
          <w:lang w:val="zh-CN"/>
        </w:rPr>
        <w:t xml:space="preserve">信用承诺函》（格式见第六章）。</w:t>
      </w:r>
      <w:r>
        <w:rPr>
          <w:rFonts w:hint="eastAsia" w:ascii="宋体" w:hAnsi="宋体"/>
          <w:color w:val="000000"/>
          <w:sz w:val="24"/>
          <w:szCs w:val="24"/>
          <w:lang w:val="zh-CN"/>
        </w:rPr>
      </w:r>
      <w:r/>
    </w:p>
    <w:p>
      <w:pPr>
        <w:pStyle w:val="932"/>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color w:val="000000"/>
          <w:sz w:val="24"/>
          <w:szCs w:val="24"/>
        </w:rPr>
      </w:r>
      <w:r/>
    </w:p>
    <w:p>
      <w:pPr>
        <w:pStyle w:val="932"/>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（二）</w:t>
      </w:r>
      <w:r>
        <w:rPr>
          <w:rFonts w:hint="eastAsia" w:ascii="宋体" w:hAnsi="宋体"/>
          <w:color w:val="000000"/>
          <w:sz w:val="24"/>
          <w:szCs w:val="24"/>
          <w:lang w:val="zh-CN"/>
        </w:rPr>
        <w:t xml:space="preserve">落实政府采购政策需满足的资格要求：</w:t>
      </w:r>
      <w:r>
        <w:rPr>
          <w:rFonts w:hint="eastAsia" w:ascii="宋体" w:hAnsi="宋体"/>
          <w:color w:val="000000"/>
          <w:sz w:val="24"/>
          <w:szCs w:val="24"/>
          <w:lang w:val="zh-CN"/>
        </w:rPr>
        <w:t xml:space="preserve">无。</w:t>
      </w:r>
      <w:r>
        <w:rPr>
          <w:rFonts w:hint="eastAsia" w:ascii="宋体" w:hAnsi="宋体"/>
          <w:color w:val="000000"/>
          <w:sz w:val="24"/>
          <w:szCs w:val="24"/>
          <w:lang w:val="zh-CN"/>
        </w:rPr>
      </w:r>
      <w:r/>
    </w:p>
    <w:p>
      <w:pPr>
        <w:pStyle w:val="932"/>
        <w:ind w:firstLine="480"/>
        <w:rPr>
          <w:rFonts w:hint="eastAsia" w:ascii="宋体" w:hAnsi="宋体"/>
          <w:color w:val="000000"/>
          <w:sz w:val="24"/>
          <w:szCs w:val="24"/>
        </w:rPr>
      </w:pPr>
      <w:r>
        <w:rPr>
          <w:rFonts w:hint="eastAsia" w:ascii="宋体" w:hAnsi="宋体"/>
          <w:color w:val="000000"/>
          <w:sz w:val="24"/>
          <w:szCs w:val="24"/>
        </w:rPr>
        <w:t xml:space="preserve">（三）本项目的特定资格要求：</w:t>
      </w:r>
      <w:r>
        <w:rPr>
          <w:rFonts w:hint="eastAsia" w:ascii="宋体" w:hAnsi="宋体"/>
          <w:color w:val="000000"/>
          <w:sz w:val="24"/>
          <w:szCs w:val="24"/>
          <w:lang w:val="zh-CN"/>
        </w:rPr>
        <w:t xml:space="preserve">无。</w:t>
      </w:r>
      <w:r>
        <w:rPr>
          <w:rFonts w:hint="eastAsia" w:ascii="宋体" w:hAnsi="宋体"/>
          <w:color w:val="000000"/>
          <w:sz w:val="24"/>
          <w:szCs w:val="24"/>
        </w:rPr>
      </w:r>
      <w:r/>
    </w:p>
    <w:p>
      <w:pPr>
        <w:pStyle w:val="93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932"/>
        <w:ind w:firstLine="480"/>
        <w:rPr>
          <w:rFonts w:ascii="宋体" w:hAnsi="宋体" w:cs="宋体"/>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932"/>
        <w:ind w:firstLine="480"/>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93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932"/>
        <w:ind w:firstLine="480"/>
        <w:rPr>
          <w:rFonts w:hint="eastAsia" w:ascii="宋体" w:hAnsi="宋体"/>
          <w:bCs/>
          <w:color w:val="000000"/>
          <w:sz w:val="24"/>
          <w:szCs w:val="24"/>
          <w:u w:val="single"/>
        </w:rPr>
      </w:pPr>
      <w:r/>
      <w:bookmarkStart w:id="27" w:name="_Toc35393625"/>
      <w:r/>
      <w:bookmarkStart w:id="28" w:name="_Toc28359084"/>
      <w:r/>
      <w:bookmarkStart w:id="29" w:name="_Toc38985267"/>
      <w:r/>
      <w:bookmarkStart w:id="30" w:name="_Toc28359007"/>
      <w:r/>
      <w:bookmarkStart w:id="31" w:name="_Toc35393794"/>
      <w:r>
        <w:rPr>
          <w:rFonts w:hint="eastAsia" w:ascii="宋体" w:hAnsi="宋体" w:cs="宋体"/>
          <w:color w:val="000000"/>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26</w:t>
      </w:r>
      <w:r>
        <w:rPr>
          <w:rFonts w:hint="eastAsia" w:ascii="宋体" w:hAnsi="宋体"/>
          <w:bCs/>
          <w:color w:val="000000"/>
          <w:sz w:val="24"/>
          <w:szCs w:val="24"/>
        </w:rPr>
        <w:t xml:space="preserve">年</w:t>
      </w:r>
      <w:r>
        <w:rPr>
          <w:rFonts w:hint="eastAsia" w:ascii="宋体" w:hAnsi="宋体" w:cs="宋体"/>
          <w:color w:val="000000"/>
          <w:sz w:val="24"/>
          <w:szCs w:val="24"/>
        </w:rPr>
        <w:t xml:space="preserve">10</w:t>
      </w:r>
      <w:r>
        <w:rPr>
          <w:rFonts w:hint="eastAsia" w:ascii="宋体" w:hAnsi="宋体"/>
          <w:bCs/>
          <w:color w:val="000000"/>
          <w:sz w:val="24"/>
          <w:szCs w:val="24"/>
        </w:rPr>
        <w:t xml:space="preserve">月16</w:t>
      </w:r>
      <w:r>
        <w:rPr>
          <w:rFonts w:hint="eastAsia" w:ascii="宋体" w:hAnsi="宋体"/>
          <w:bCs/>
          <w:color w:val="000000"/>
          <w:sz w:val="24"/>
          <w:szCs w:val="24"/>
        </w:rPr>
        <w:t xml:space="preserve">日</w:t>
      </w:r>
      <w:r>
        <w:rPr>
          <w:rFonts w:hint="eastAsia" w:ascii="宋体" w:hAnsi="宋体" w:cs="宋体"/>
          <w:color w:val="000000"/>
          <w:sz w:val="24"/>
          <w:szCs w:val="24"/>
        </w:rPr>
        <w:t xml:space="preserve">09</w:t>
      </w:r>
      <w:r>
        <w:rPr>
          <w:rFonts w:hint="eastAsia"/>
          <w:bCs/>
          <w:color w:val="000000"/>
          <w:sz w:val="24"/>
          <w:szCs w:val="24"/>
        </w:rPr>
        <w:t xml:space="preserve">时</w:t>
      </w:r>
      <w:r>
        <w:rPr>
          <w:rFonts w:hint="eastAsia" w:ascii="宋体" w:hAnsi="宋体" w:cs="宋体"/>
          <w:color w:val="000000"/>
          <w:sz w:val="24"/>
          <w:szCs w:val="24"/>
        </w:rPr>
        <w:t xml:space="preserve">30</w:t>
      </w:r>
      <w:r>
        <w:rPr>
          <w:rFonts w:hint="eastAsia" w:ascii="宋体" w:hAnsi="宋体"/>
          <w:bCs/>
          <w:color w:val="000000"/>
          <w:sz w:val="24"/>
          <w:szCs w:val="24"/>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u w:val="single"/>
        </w:rPr>
      </w:r>
      <w:r/>
    </w:p>
    <w:p>
      <w:pPr>
        <w:pStyle w:val="932"/>
        <w:ind w:firstLine="480"/>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93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932"/>
        <w:ind w:firstLine="480"/>
        <w:rPr>
          <w:rFonts w:hint="eastAsia" w:ascii="宋体" w:hAnsi="宋体" w:cs="宋体"/>
          <w:color w:val="000000"/>
          <w:sz w:val="24"/>
          <w:szCs w:val="24"/>
        </w:rPr>
      </w:pPr>
      <w:r/>
      <w:bookmarkStart w:id="32" w:name="_Toc35393626"/>
      <w:r/>
      <w:bookmarkStart w:id="33" w:name="_Toc38985268"/>
      <w:r/>
      <w:bookmarkStart w:id="34" w:name="_Toc35393795"/>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93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932"/>
        <w:ind w:firstLine="480"/>
        <w:spacing w:line="252" w:lineRule="auto"/>
        <w:tabs>
          <w:tab w:val="left" w:pos="900" w:leader="none"/>
        </w:tabs>
        <w:rPr>
          <w:rFonts w:hint="eastAsia" w:ascii="宋体" w:hAnsi="宋体"/>
          <w:bCs/>
          <w:color w:val="000000"/>
          <w:sz w:val="24"/>
          <w:szCs w:val="24"/>
        </w:rPr>
      </w:pPr>
      <w:r/>
      <w:bookmarkStart w:id="35" w:name="_Toc35393796"/>
      <w:r/>
      <w:bookmarkStart w:id="36" w:name="_Toc35393627"/>
      <w:r/>
      <w:bookmarkStart w:id="37" w:name="_Toc28359085"/>
      <w:r/>
      <w:bookmarkStart w:id="38" w:name="_Toc38985269"/>
      <w:r/>
      <w:bookmarkStart w:id="39" w:name="_Toc28359008"/>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932"/>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，如对采购需求有疑问，请咨询采购人。 </w:t>
      </w:r>
      <w:r>
        <w:rPr>
          <w:rFonts w:hint="eastAsia" w:ascii="宋体" w:hAnsi="宋体" w:cs="宋体"/>
          <w:color w:val="000000"/>
          <w:sz w:val="24"/>
          <w:szCs w:val="24"/>
        </w:rPr>
      </w:r>
      <w:r/>
    </w:p>
    <w:p>
      <w:pPr>
        <w:pStyle w:val="932"/>
        <w:ind w:firstLine="480"/>
        <w:spacing w:line="252" w:lineRule="auto"/>
        <w:rPr>
          <w:color w:val="000000"/>
        </w:rPr>
      </w:pPr>
      <w:r>
        <w:rPr>
          <w:rFonts w:hint="eastAsia" w:ascii="宋体" w:hAnsi="宋体" w:cs="宋体"/>
          <w:color w:val="000000"/>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rPr>
          <w:color w:val="000000"/>
        </w:rPr>
      </w:r>
      <w:r/>
    </w:p>
    <w:p>
      <w:pPr>
        <w:pStyle w:val="932"/>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932"/>
        <w:ind w:firstLine="480"/>
        <w:tabs>
          <w:tab w:val="left" w:pos="900" w:leader="none"/>
        </w:tabs>
        <w:rPr>
          <w:rFonts w:hint="eastAsia" w:ascii="宋体" w:hAnsi="宋体"/>
          <w:color w:val="000000"/>
          <w:sz w:val="24"/>
        </w:rPr>
      </w:pPr>
      <w:r>
        <w:rPr>
          <w:rFonts w:hint="eastAsia" w:ascii="宋体" w:hAnsi="宋体"/>
          <w:color w:val="000000"/>
          <w:sz w:val="24"/>
        </w:rPr>
        <w:t xml:space="preserve">5.</w:t>
      </w:r>
      <w:r>
        <w:rPr>
          <w:rFonts w:hint="eastAsia" w:ascii="宋体" w:hAnsi="宋体"/>
          <w:b/>
          <w:bCs/>
          <w:color w:val="000000"/>
          <w:sz w:val="24"/>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rPr>
          <w:rFonts w:hint="eastAsia" w:ascii="宋体" w:hAnsi="宋体"/>
          <w:color w:val="000000"/>
          <w:sz w:val="24"/>
        </w:rPr>
      </w:r>
      <w:r/>
    </w:p>
    <w:p>
      <w:pPr>
        <w:pStyle w:val="932"/>
        <w:ind w:firstLine="480"/>
        <w:rPr>
          <w:rFonts w:ascii="宋体" w:hAnsi="宋体"/>
          <w:color w:val="000000"/>
          <w:sz w:val="24"/>
        </w:rPr>
      </w:pPr>
      <w:r>
        <w:rPr>
          <w:rFonts w:hint="eastAsia" w:ascii="宋体" w:hAnsi="宋体"/>
          <w:color w:val="000000"/>
          <w:sz w:val="24"/>
        </w:rPr>
        <w:t xml:space="preserve">采购人《质疑函》收件人：张老师，收件地址：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玄武区双龙巷5号4楼4</w:t>
      </w:r>
      <w:r>
        <w:rPr>
          <w:rFonts w:ascii="宋体" w:hAnsi="宋体"/>
          <w:color w:val="000000"/>
          <w:sz w:val="24"/>
          <w:szCs w:val="24"/>
        </w:rPr>
        <w:t xml:space="preserve">10</w:t>
      </w:r>
      <w:r>
        <w:rPr>
          <w:rFonts w:hint="eastAsia" w:ascii="宋体" w:hAnsi="宋体" w:cs="宋体"/>
          <w:color w:val="000000"/>
          <w:sz w:val="24"/>
          <w:szCs w:val="24"/>
        </w:rPr>
        <w:t xml:space="preserve">，</w:t>
      </w:r>
      <w:r>
        <w:rPr>
          <w:rFonts w:hint="eastAsia" w:ascii="宋体" w:hAnsi="宋体"/>
          <w:color w:val="000000"/>
          <w:sz w:val="24"/>
        </w:rPr>
        <w:t xml:space="preserve">联系电话：</w:t>
      </w:r>
      <w:r>
        <w:rPr>
          <w:rFonts w:ascii="宋体" w:hAnsi="宋体"/>
          <w:color w:val="000000"/>
          <w:sz w:val="24"/>
        </w:rPr>
        <w:t xml:space="preserve">025-83105006</w:t>
      </w:r>
      <w:r>
        <w:rPr>
          <w:rFonts w:hint="eastAsia" w:ascii="宋体" w:hAnsi="宋体"/>
          <w:color w:val="000000"/>
          <w:sz w:val="24"/>
        </w:rPr>
        <w:t xml:space="preserve">。</w:t>
      </w:r>
      <w:r>
        <w:rPr>
          <w:rFonts w:ascii="宋体" w:hAnsi="宋体"/>
          <w:color w:val="000000"/>
          <w:sz w:val="24"/>
        </w:rPr>
      </w:r>
      <w:r/>
    </w:p>
    <w:p>
      <w:pPr>
        <w:pStyle w:val="932"/>
        <w:ind w:firstLine="480"/>
        <w:tabs>
          <w:tab w:val="left" w:pos="900" w:leader="none"/>
        </w:tabs>
        <w:rPr>
          <w:rFonts w:hint="eastAsia" w:ascii="宋体" w:hAnsi="宋体"/>
          <w:color w:val="000000"/>
          <w:sz w:val="24"/>
        </w:rPr>
      </w:pPr>
      <w:r>
        <w:rPr>
          <w:rFonts w:hint="eastAsia" w:ascii="宋体" w:hAnsi="宋体"/>
          <w:color w:val="000000"/>
          <w:sz w:val="24"/>
        </w:rPr>
        <w:t xml:space="preserve">交易中心《质疑函》收件人：南京市公共资源交易中心政府集中采购处，收件地址：南京市建邺区江东中路265号南京市公共资源交易中心北门，联系电话：025-68505926。</w:t>
      </w:r>
      <w:r>
        <w:rPr>
          <w:rFonts w:hint="eastAsia" w:ascii="宋体" w:hAnsi="宋体"/>
          <w:color w:val="000000"/>
          <w:sz w:val="24"/>
        </w:rPr>
      </w:r>
      <w:r/>
    </w:p>
    <w:p>
      <w:pPr>
        <w:pStyle w:val="935"/>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932"/>
        <w:ind w:firstLine="480"/>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932"/>
        <w:ind w:firstLine="480"/>
        <w:rPr>
          <w:rFonts w:hint="eastAsia"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rPr>
        <w:t xml:space="preserve">南京鼓楼医院          </w:t>
      </w:r>
      <w:r>
        <w:rPr>
          <w:rFonts w:hint="eastAsia" w:ascii="宋体" w:hAnsi="宋体"/>
          <w:color w:val="000000"/>
          <w:sz w:val="24"/>
          <w:szCs w:val="24"/>
        </w:rPr>
      </w:r>
      <w:r/>
    </w:p>
    <w:p>
      <w:pPr>
        <w:pStyle w:val="932"/>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鼓楼区中山路3</w:t>
      </w:r>
      <w:r>
        <w:rPr>
          <w:rFonts w:ascii="宋体" w:hAnsi="宋体"/>
          <w:color w:val="000000"/>
          <w:sz w:val="24"/>
          <w:szCs w:val="24"/>
        </w:rPr>
        <w:t xml:space="preserve">21号</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32"/>
        <w:ind w:firstLine="480"/>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rPr>
        <w:t xml:space="preserve">张老师 </w:t>
      </w:r>
      <w:r>
        <w:rPr>
          <w:rFonts w:hint="eastAsia" w:ascii="宋体" w:hAnsi="宋体"/>
          <w:color w:val="000000"/>
          <w:sz w:val="24"/>
          <w:szCs w:val="24"/>
        </w:rPr>
      </w:r>
      <w:r/>
    </w:p>
    <w:p>
      <w:pPr>
        <w:pStyle w:val="932"/>
        <w:ind w:firstLine="480"/>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rPr>
        <w:t xml:space="preserve">025-</w:t>
      </w:r>
      <w:r>
        <w:rPr>
          <w:rFonts w:ascii="宋体" w:hAnsi="宋体"/>
          <w:color w:val="000000"/>
          <w:sz w:val="24"/>
          <w:szCs w:val="24"/>
        </w:rPr>
        <w:t xml:space="preserve">83105006</w:t>
      </w:r>
      <w:r>
        <w:rPr>
          <w:rFonts w:hint="eastAsia" w:ascii="宋体" w:hAnsi="宋体"/>
          <w:color w:val="000000"/>
          <w:sz w:val="24"/>
          <w:szCs w:val="24"/>
        </w:rPr>
        <w:t xml:space="preserve">  </w:t>
      </w:r>
      <w:bookmarkStart w:id="40" w:name="_Toc28359086"/>
      <w:r/>
      <w:bookmarkStart w:id="41" w:name="_Toc28359009"/>
      <w:r>
        <w:rPr>
          <w:rFonts w:hint="eastAsia" w:ascii="宋体" w:hAnsi="宋体"/>
          <w:color w:val="000000"/>
          <w:sz w:val="24"/>
          <w:szCs w:val="24"/>
        </w:rPr>
      </w:r>
      <w:r/>
    </w:p>
    <w:p>
      <w:pPr>
        <w:pStyle w:val="932"/>
        <w:ind w:firstLine="480"/>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932"/>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建邺</w:t>
      </w:r>
      <w:r>
        <w:rPr>
          <w:rFonts w:hint="eastAsia" w:ascii="宋体" w:hAnsi="宋体" w:cs="宋体"/>
          <w:color w:val="000000"/>
          <w:sz w:val="24"/>
          <w:szCs w:val="24"/>
        </w:rPr>
        <w:t xml:space="preserve">区江东中路265号</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32"/>
        <w:ind w:firstLine="480"/>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rPr>
        <w:t xml:space="preserve">孙先生 </w:t>
      </w:r>
      <w:r>
        <w:rPr>
          <w:rFonts w:hint="eastAsia" w:ascii="宋体" w:hAnsi="宋体"/>
          <w:color w:val="000000"/>
          <w:sz w:val="24"/>
          <w:szCs w:val="24"/>
        </w:rPr>
      </w:r>
      <w:r/>
    </w:p>
    <w:p>
      <w:pPr>
        <w:pStyle w:val="932"/>
        <w:ind w:firstLine="480"/>
        <w:rPr>
          <w:color w:val="000000"/>
        </w:rPr>
      </w:pPr>
      <w:r>
        <w:rPr>
          <w:rFonts w:hint="eastAsia" w:ascii="宋体" w:hAnsi="宋体"/>
          <w:color w:val="000000"/>
          <w:sz w:val="24"/>
          <w:szCs w:val="24"/>
        </w:rPr>
        <w:t xml:space="preserve">联系电话：</w:t>
      </w:r>
      <w:r>
        <w:rPr>
          <w:rFonts w:hint="eastAsia" w:ascii="宋体" w:hAnsi="宋体"/>
          <w:color w:val="000000"/>
          <w:sz w:val="24"/>
          <w:szCs w:val="24"/>
        </w:rPr>
        <w:t xml:space="preserve">025-68505990</w:t>
      </w:r>
      <w:r>
        <w:rPr>
          <w:color w:val="000000"/>
        </w:rPr>
      </w:r>
      <w:r/>
    </w:p>
    <w:p>
      <w:pPr>
        <w:pStyle w:val="101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1"/>
      <w:r/>
      <w:bookmarkEnd w:id="2"/>
      <w:r/>
      <w:bookmarkEnd w:id="3"/>
      <w:r/>
      <w:bookmarkEnd w:id="4"/>
      <w:r/>
      <w:bookmarkEnd w:id="5"/>
      <w:r/>
      <w:bookmarkStart w:id="42" w:name="_Hlt16619350"/>
      <w:r/>
      <w:bookmarkStart w:id="43" w:name="_Toc20823346"/>
      <w:r/>
      <w:bookmarkStart w:id="44" w:name="_Toc16938590"/>
      <w:r/>
      <w:bookmarkStart w:id="45" w:name="_Toc120614244"/>
      <w:r/>
      <w:bookmarkStart w:id="46" w:name="_Toc479757211"/>
      <w:r/>
      <w:bookmarkStart w:id="47" w:name="_Toc462564139"/>
      <w:r>
        <w:rPr>
          <w:rFonts w:ascii="黑体" w:eastAsia="黑体"/>
          <w:bCs/>
          <w:color w:val="000000"/>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投标人须知</w:t>
      </w:r>
      <w:r>
        <w:rPr>
          <w:rFonts w:hint="eastAsia" w:ascii="方正小标宋简体" w:hAnsi="方正小标宋简体" w:eastAsia="方正小标宋简体" w:cs="方正小标宋简体"/>
          <w:color w:val="000000"/>
          <w:sz w:val="36"/>
          <w:szCs w:val="36"/>
          <w:lang w:val="en-US"/>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1.招标方式</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2.合格的投标人</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rPr>
      </w:pPr>
      <w:r>
        <w:rPr>
          <w:rFonts w:hint="eastAsia" w:ascii="宋体" w:hAnsi="宋体"/>
          <w:color w:val="000000"/>
          <w:sz w:val="24"/>
        </w:rPr>
        <w:t xml:space="preserve">2.1 满足招标公告对投标人资格要求。</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2.2 满足招标文件规定的实质性要求。</w:t>
      </w:r>
      <w:r>
        <w:rPr>
          <w:rFonts w:hint="eastAsia" w:ascii="宋体" w:hAnsi="宋体"/>
          <w:color w:val="000000"/>
          <w:sz w:val="24"/>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3.适用法律</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4.投标费用</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投标人应自行承担所有与参加投标有关的费用，交易中心在任何情况下均无义务和责任承担这些费用。</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二、招标文件</w:t>
      </w:r>
      <w:r>
        <w:rPr>
          <w:rFonts w:hint="eastAsia"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6.招标文件构成</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7.招标文件的澄清或修改</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rPr>
      </w:pPr>
      <w:r>
        <w:rPr>
          <w:rFonts w:hint="eastAsia" w:ascii="宋体" w:hAnsi="宋体"/>
          <w:color w:val="000000"/>
          <w:sz w:val="24"/>
        </w:rPr>
        <w:t xml:space="preserve">7.1 在投标截止时间前，交易中心可以对已发出的招标文件进行必要的澄清或者修改，并在原</w:t>
      </w:r>
      <w:r>
        <w:rPr>
          <w:rFonts w:ascii="宋体" w:hAnsi="宋体"/>
          <w:color w:val="000000"/>
          <w:sz w:val="24"/>
        </w:rPr>
        <w:t xml:space="preserve">公告</w:t>
      </w:r>
      <w:r>
        <w:rPr>
          <w:rFonts w:hint="eastAsia" w:ascii="宋体" w:hAnsi="宋体"/>
          <w:color w:val="000000"/>
          <w:sz w:val="24"/>
        </w:rPr>
        <w:t xml:space="preserve">发布媒体发布更正公告，澄清或者修改的内容将作为招标文件的组成部分，并对投标人具有约束力。</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7.3 交易中心有权按照法定要求推迟投标截止日期和开标日期，并在原公告发布媒体发布更正公告。</w:t>
      </w:r>
      <w:r>
        <w:rPr>
          <w:rFonts w:hint="eastAsia" w:ascii="宋体" w:hAnsi="宋体"/>
          <w:color w:val="000000"/>
          <w:sz w:val="24"/>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r>
        <w:rPr>
          <w:rFonts w:hint="eastAsia"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8.投标文件的语言及度量衡单位</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rPr>
      </w:pPr>
      <w:r>
        <w:rPr>
          <w:rFonts w:hint="eastAsia" w:ascii="宋体" w:hAnsi="宋体"/>
          <w:color w:val="000000"/>
          <w:sz w:val="24"/>
        </w:rPr>
        <w:t xml:space="preserve">8.1 投标人提交的投标文件以及投标人与交易中心就有关投标的所有来往通知、函件和文件均应使用简体中文。</w:t>
      </w:r>
      <w:r>
        <w:rPr>
          <w:rFonts w:hint="eastAsia" w:ascii="宋体" w:hAnsi="宋体"/>
          <w:color w:val="000000"/>
          <w:sz w:val="24"/>
        </w:rPr>
      </w:r>
      <w:r/>
    </w:p>
    <w:p>
      <w:pPr>
        <w:pStyle w:val="932"/>
        <w:ind w:firstLine="420"/>
        <w:rPr>
          <w:rFonts w:hint="eastAsia" w:ascii="宋体" w:hAnsi="宋体"/>
          <w:color w:val="000000"/>
          <w:sz w:val="24"/>
          <w:szCs w:val="22"/>
        </w:rPr>
      </w:pPr>
      <w:r>
        <w:rPr>
          <w:rFonts w:hint="eastAsia" w:ascii="宋体" w:hAnsi="宋体"/>
          <w:color w:val="000000"/>
          <w:sz w:val="24"/>
          <w:szCs w:val="22"/>
        </w:rPr>
        <w:t xml:space="preserve">8.2 除技术性能另有规定外，投标文件所使用的度量衡单位，均须采用国家法定计量单位。</w:t>
      </w:r>
      <w:r>
        <w:rPr>
          <w:rFonts w:hint="eastAsia" w:ascii="宋体" w:hAnsi="宋体"/>
          <w:color w:val="000000"/>
          <w:sz w:val="24"/>
          <w:szCs w:val="22"/>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9.投标文件构成</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rPr>
      </w:pPr>
      <w:r>
        <w:rPr>
          <w:rFonts w:hint="eastAsia" w:ascii="宋体" w:hAnsi="宋体"/>
          <w:color w:val="000000"/>
          <w:sz w:val="24"/>
        </w:rPr>
        <w:t xml:space="preserve">9.1 投标文件应包括资格证明文件、符合性证明文件、开标一览表、投标分项报价表、响应及偏离表、投标函、法定代表人授权委托书。</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9.2 </w:t>
      </w:r>
      <w:r>
        <w:rPr>
          <w:rFonts w:hint="eastAsia" w:ascii="宋体" w:hAnsi="宋体"/>
          <w:b/>
          <w:bCs/>
          <w:color w:val="000000"/>
          <w:sz w:val="24"/>
        </w:rPr>
        <w:t xml:space="preserve">如标书制作工具与“江苏政府采购网”发布的招标文件内容不一致，以“江苏政府采购网”发布的招标文件内容为准。</w:t>
      </w:r>
      <w:r>
        <w:rPr>
          <w:rFonts w:hint="eastAsia" w:ascii="宋体" w:hAnsi="宋体"/>
          <w:color w:val="000000"/>
          <w:sz w:val="24"/>
        </w:rPr>
      </w:r>
      <w:r/>
    </w:p>
    <w:p>
      <w:pPr>
        <w:pStyle w:val="932"/>
        <w:ind w:firstLine="492"/>
        <w:rPr>
          <w:rFonts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10.投标报价</w:t>
      </w:r>
      <w:r>
        <w:rPr>
          <w:rFonts w:ascii="方正楷体_GBK" w:hAnsi="方正楷体_GBK" w:eastAsia="方正楷体_GBK" w:cs="方正楷体_GBK"/>
          <w:b/>
          <w:bCs/>
          <w:color w:val="000000"/>
          <w:sz w:val="28"/>
          <w:szCs w:val="28"/>
        </w:rPr>
      </w:r>
      <w:r/>
    </w:p>
    <w:p>
      <w:pPr>
        <w:pStyle w:val="932"/>
        <w:ind w:firstLine="420"/>
        <w:rPr>
          <w:rFonts w:hint="eastAsia" w:ascii="宋体" w:hAnsi="宋体"/>
          <w:color w:val="000000"/>
          <w:sz w:val="24"/>
        </w:rPr>
      </w:pPr>
      <w:r>
        <w:rPr>
          <w:rFonts w:hint="eastAsia" w:ascii="宋体" w:hAnsi="宋体"/>
          <w:color w:val="000000"/>
          <w:sz w:val="24"/>
        </w:rPr>
        <w:t xml:space="preserve">10.1 投标文件中的单价和总价无特殊规定的采用人民币报价，以元为单位标注。招标文件另有规定的按规定执行。</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10.2 </w:t>
      </w:r>
      <w:r>
        <w:rPr>
          <w:rFonts w:hint="eastAsia" w:ascii="宋体" w:hAnsi="宋体"/>
          <w:b/>
          <w:bCs/>
          <w:color w:val="000000"/>
          <w:sz w:val="24"/>
          <w:lang w:val="zh-CN"/>
        </w:rPr>
        <w:t xml:space="preserve">投标人应按照招标文件规定完整、</w:t>
      </w:r>
      <w:r>
        <w:rPr>
          <w:rFonts w:hint="eastAsia" w:ascii="宋体" w:hAnsi="宋体"/>
          <w:b/>
          <w:bCs/>
          <w:color w:val="000000"/>
          <w:sz w:val="24"/>
        </w:rPr>
        <w:t xml:space="preserve">准</w:t>
      </w:r>
      <w:r>
        <w:rPr>
          <w:rFonts w:hint="eastAsia" w:ascii="宋体" w:hAnsi="宋体"/>
          <w:b/>
          <w:bCs/>
          <w:color w:val="000000"/>
          <w:sz w:val="24"/>
          <w:lang w:val="zh-CN"/>
        </w:rPr>
        <w:t xml:space="preserve">确填报开标一览表</w:t>
      </w:r>
      <w:r>
        <w:rPr>
          <w:rFonts w:hint="eastAsia" w:ascii="宋体" w:hAnsi="宋体"/>
          <w:b/>
          <w:bCs/>
          <w:color w:val="000000"/>
          <w:sz w:val="24"/>
        </w:rPr>
        <w:t xml:space="preserve">和投标分项报价表，否则作为无效投标。</w:t>
      </w:r>
      <w:r>
        <w:rPr>
          <w:rFonts w:hint="eastAsia" w:ascii="宋体" w:hAnsi="宋体"/>
          <w:color w:val="000000"/>
          <w:sz w:val="24"/>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11.响应及偏离表</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1</w:t>
      </w:r>
      <w:r>
        <w:rPr>
          <w:rFonts w:hint="eastAsia" w:ascii="宋体" w:hAnsi="宋体"/>
          <w:color w:val="000000"/>
          <w:sz w:val="24"/>
          <w:lang w:val="zh-CN"/>
        </w:rPr>
        <w:t xml:space="preserve">.2 投标人可以在投标文件中提供认为需要的其他技术文件或说明。</w:t>
      </w:r>
      <w:r>
        <w:rPr>
          <w:rFonts w:hint="eastAsia" w:ascii="宋体" w:hAnsi="宋体"/>
          <w:color w:val="000000"/>
          <w:sz w:val="24"/>
          <w:lang w:val="zh-CN"/>
        </w:rPr>
      </w:r>
      <w:r/>
    </w:p>
    <w:p>
      <w:pPr>
        <w:pStyle w:val="936"/>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12.投标函和授权委托书</w:t>
      </w:r>
      <w:r>
        <w:rPr>
          <w:rFonts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2</w:t>
      </w:r>
      <w:r>
        <w:rPr>
          <w:rFonts w:hint="eastAsia" w:ascii="宋体" w:hAnsi="宋体"/>
          <w:color w:val="000000"/>
          <w:sz w:val="24"/>
          <w:lang w:val="zh-CN"/>
        </w:rPr>
        <w:t xml:space="preserve">.1 </w:t>
      </w:r>
      <w:r>
        <w:rPr>
          <w:rFonts w:hint="eastAsia" w:ascii="宋体" w:hAnsi="宋体"/>
          <w:b/>
          <w:bCs/>
          <w:color w:val="000000"/>
          <w:sz w:val="24"/>
          <w:lang w:val="zh-CN"/>
        </w:rPr>
        <w:t xml:space="preserve">投标人应按照招标文件规定完整、正确填报投标函</w:t>
      </w:r>
      <w:r>
        <w:rPr>
          <w:rFonts w:hint="eastAsia" w:ascii="宋体" w:hAnsi="宋体"/>
          <w:b/>
          <w:bCs/>
          <w:color w:val="000000"/>
          <w:sz w:val="24"/>
        </w:rPr>
        <w:t xml:space="preserve">和</w:t>
      </w:r>
      <w:r>
        <w:rPr>
          <w:rFonts w:hint="eastAsia" w:ascii="宋体" w:hAnsi="宋体"/>
          <w:b/>
          <w:bCs/>
          <w:color w:val="000000"/>
          <w:sz w:val="24"/>
        </w:rPr>
        <w:t xml:space="preserve">法定代表人授权委托书，</w:t>
      </w:r>
      <w:r>
        <w:rPr>
          <w:rFonts w:hint="eastAsia" w:ascii="宋体" w:hAnsi="宋体"/>
          <w:b/>
          <w:bCs/>
          <w:color w:val="000000"/>
          <w:sz w:val="24"/>
        </w:rPr>
        <w:t xml:space="preserve">否则作为无效投标</w:t>
      </w:r>
      <w:r>
        <w:rPr>
          <w:rFonts w:hint="eastAsia" w:ascii="宋体" w:hAnsi="宋体"/>
          <w:b/>
          <w:bCs/>
          <w:color w:val="000000"/>
          <w:sz w:val="24"/>
          <w:lang w:val="zh-CN"/>
        </w:rPr>
        <w:t xml:space="preserve">。</w:t>
      </w:r>
      <w:r>
        <w:rPr>
          <w:rFonts w:hint="eastAsia" w:ascii="宋体" w:hAnsi="宋体"/>
          <w:color w:val="000000"/>
          <w:sz w:val="24"/>
          <w:lang w:val="zh-CN"/>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13.投标有效期</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.1 投标有效期为招标公告规定的开标之日起六十天。投标有效期比规定短的将被视为未实质性响应招标文件，</w:t>
      </w:r>
      <w:r>
        <w:rPr>
          <w:rFonts w:hint="eastAsia" w:ascii="宋体" w:hAnsi="宋体"/>
          <w:color w:val="000000"/>
          <w:sz w:val="24"/>
        </w:rPr>
        <w:t xml:space="preserve">其投标将</w:t>
      </w:r>
      <w:r>
        <w:rPr>
          <w:rFonts w:hint="eastAsia" w:ascii="宋体" w:hAnsi="宋体"/>
          <w:color w:val="000000"/>
          <w:sz w:val="24"/>
          <w:lang w:val="zh-CN"/>
        </w:rPr>
        <w:t xml:space="preserve">被拒绝。</w:t>
      </w:r>
      <w:r>
        <w:rPr>
          <w:rFonts w:hint="eastAsia" w:ascii="宋体" w:hAnsi="宋体"/>
          <w:color w:val="000000"/>
          <w:sz w:val="24"/>
          <w:lang w:val="zh-CN"/>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14.投标有效期的延长</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4</w:t>
      </w:r>
      <w:r>
        <w:rPr>
          <w:rFonts w:hint="eastAsia" w:ascii="宋体" w:hAnsi="宋体"/>
          <w:color w:val="000000"/>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rPr>
          <w:rFonts w:hint="eastAsia" w:ascii="宋体" w:hAnsi="宋体"/>
          <w:color w:val="000000"/>
          <w:sz w:val="24"/>
          <w:lang w:val="zh-CN"/>
        </w:rPr>
      </w:r>
      <w:r/>
    </w:p>
    <w:p>
      <w:pPr>
        <w:pStyle w:val="935"/>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四、投标文件的递交、撤回和修改</w:t>
      </w:r>
      <w:r>
        <w:rPr>
          <w:rFonts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15.投标文件的递交</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.1 投标人应在招标公告规定的投标截止时间前制作并上传电子投标文件。投标截止时间后上传的投标文件将被拒绝。</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2</w:t>
      </w:r>
      <w:r>
        <w:rPr>
          <w:rFonts w:hint="eastAsia" w:ascii="宋体" w:hAnsi="宋体"/>
          <w:color w:val="000000"/>
          <w:sz w:val="24"/>
          <w:lang w:val="zh-CN"/>
        </w:rPr>
        <w:t xml:space="preserve">.1条规定</w:t>
      </w:r>
      <w:r>
        <w:rPr>
          <w:rFonts w:hint="eastAsia" w:ascii="宋体" w:hAnsi="宋体"/>
          <w:color w:val="000000"/>
          <w:sz w:val="24"/>
        </w:rPr>
        <w:t xml:space="preserve">作</w:t>
      </w:r>
      <w:r>
        <w:rPr>
          <w:rFonts w:hint="eastAsia" w:ascii="宋体" w:hAnsi="宋体"/>
          <w:color w:val="000000"/>
          <w:sz w:val="24"/>
          <w:lang w:val="zh-CN"/>
        </w:rPr>
        <w:t xml:space="preserve">无效投标处理。</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16.投标文件的撤回和修改</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.1.</w:t>
      </w:r>
      <w:r>
        <w:rPr>
          <w:rFonts w:hint="eastAsia" w:ascii="宋体" w:hAnsi="宋体"/>
          <w:color w:val="000000"/>
          <w:sz w:val="24"/>
        </w:rPr>
        <w:t xml:space="preserve">3</w:t>
      </w:r>
      <w:r>
        <w:rPr>
          <w:rFonts w:hint="eastAsia" w:ascii="宋体" w:hAnsi="宋体"/>
          <w:color w:val="000000"/>
          <w:sz w:val="24"/>
          <w:lang w:val="zh-CN"/>
        </w:rPr>
        <w:t xml:space="preserve"> 在投标截止时间至招标文件中规定的投标有效期满之间的这段时间内，投标人不得撤回其投标。</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16</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r>
        <w:rPr>
          <w:rFonts w:hint="eastAsia"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17.开标</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w:t>
      </w:r>
      <w:r>
        <w:rPr>
          <w:rFonts w:hint="eastAsia" w:ascii="宋体" w:hAnsi="宋体"/>
          <w:color w:val="000000"/>
          <w:sz w:val="24"/>
        </w:rPr>
        <w:t xml:space="preserve">通过苏采云系统进行</w:t>
      </w:r>
      <w:r>
        <w:rPr>
          <w:rFonts w:hint="eastAsia" w:ascii="宋体" w:hAnsi="宋体"/>
          <w:color w:val="000000"/>
          <w:sz w:val="24"/>
          <w:lang w:val="zh-CN"/>
        </w:rPr>
        <w:t xml:space="preserve">投标文件解密、开标结果确认等工作。</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17</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w:t>
      </w:r>
      <w:r>
        <w:rPr>
          <w:rFonts w:hint="eastAsia" w:ascii="宋体" w:hAnsi="宋体"/>
          <w:color w:val="000000"/>
          <w:sz w:val="24"/>
        </w:rPr>
        <w:t xml:space="preserve">在</w:t>
      </w:r>
      <w:r>
        <w:rPr>
          <w:rFonts w:hint="eastAsia" w:ascii="宋体" w:hAnsi="宋体"/>
          <w:color w:val="000000"/>
          <w:sz w:val="24"/>
          <w:lang w:val="zh-CN"/>
        </w:rPr>
        <w:t xml:space="preserve">苏采云系统提出，苏采云系统中《开标记录表》公布后5分钟内未提出的，视同认可开标结果。</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17.4 如出现投标截止时间递交投标文件的</w:t>
      </w:r>
      <w:r>
        <w:rPr>
          <w:rFonts w:hint="eastAsia" w:ascii="宋体" w:hAnsi="宋体"/>
          <w:color w:val="000000"/>
          <w:sz w:val="24"/>
        </w:rPr>
        <w:t xml:space="preserve">投标人</w:t>
      </w:r>
      <w:r>
        <w:rPr>
          <w:rFonts w:hint="eastAsia" w:ascii="宋体" w:hAnsi="宋体"/>
          <w:color w:val="000000"/>
          <w:sz w:val="24"/>
          <w:lang w:val="zh-CN"/>
        </w:rPr>
        <w:t xml:space="preserve">不足三家的情况，按政府采购相关规定执行。</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18.评标</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18.1 评标由依法组建的评标委员会（以下简称“评委会”）进行。</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18</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19.评标过程的保密与公正</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20.投标文件的澄清</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w:t>
      </w:r>
      <w:r>
        <w:rPr>
          <w:rFonts w:hint="eastAsia" w:ascii="宋体" w:hAnsi="宋体"/>
          <w:color w:val="000000"/>
          <w:sz w:val="24"/>
        </w:rPr>
        <w:t xml:space="preserve">投标人</w:t>
      </w:r>
      <w:r>
        <w:rPr>
          <w:rFonts w:hint="eastAsia" w:ascii="宋体" w:hAnsi="宋体"/>
          <w:color w:val="000000"/>
          <w:sz w:val="24"/>
          <w:lang w:val="zh-CN"/>
        </w:rPr>
        <w:t xml:space="preserve">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21.投标文件的审查</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投标文件审查分为资格审查和符合性审查。</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采购人进行资格审查时，将在“信用中国”网站查询投标人的信用记录，以确定投标人是否具备投标资格，查询结果留存并归档。</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color w:val="000000"/>
          <w:sz w:val="24"/>
          <w:lang w:val="zh-CN"/>
        </w:rPr>
        <w:t xml:space="preserve">，以确定</w:t>
      </w:r>
      <w:r>
        <w:rPr>
          <w:rFonts w:hint="eastAsia" w:ascii="宋体" w:hAnsi="宋体"/>
          <w:color w:val="000000"/>
          <w:sz w:val="24"/>
        </w:rPr>
        <w:t xml:space="preserve">其</w:t>
      </w:r>
      <w:r>
        <w:rPr>
          <w:rFonts w:hint="eastAsia" w:ascii="宋体" w:hAnsi="宋体"/>
          <w:color w:val="000000"/>
          <w:sz w:val="24"/>
          <w:lang w:val="zh-CN"/>
        </w:rPr>
        <w:t xml:space="preserve">是否</w:t>
      </w:r>
      <w:r>
        <w:rPr>
          <w:rFonts w:hint="eastAsia" w:ascii="宋体" w:hAnsi="宋体"/>
          <w:color w:val="000000"/>
          <w:sz w:val="24"/>
        </w:rPr>
        <w:t xml:space="preserve">满足</w:t>
      </w:r>
      <w:r>
        <w:rPr>
          <w:rFonts w:hint="eastAsia" w:ascii="宋体" w:hAnsi="宋体"/>
          <w:color w:val="000000"/>
          <w:sz w:val="24"/>
          <w:lang w:val="zh-CN"/>
        </w:rPr>
        <w:t xml:space="preserve">招标文件的实质性要求。</w:t>
      </w:r>
      <w:r>
        <w:rPr>
          <w:rFonts w:hint="eastAsia" w:ascii="宋体" w:hAnsi="宋体"/>
          <w:b/>
          <w:bCs/>
          <w:iCs/>
          <w:color w:val="000000"/>
          <w:sz w:val="24"/>
          <w:szCs w:val="22"/>
          <w:lang w:val="zh-CN"/>
        </w:rPr>
        <w:t xml:space="preserve">本文件中打“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.1.3 未通过资格审查或符合性审查的投标人，</w:t>
      </w:r>
      <w:r>
        <w:rPr>
          <w:rFonts w:hint="eastAsia" w:ascii="宋体" w:hAnsi="宋体"/>
          <w:color w:val="000000"/>
          <w:sz w:val="24"/>
        </w:rPr>
        <w:t xml:space="preserve">评委会</w:t>
      </w:r>
      <w:r>
        <w:rPr>
          <w:rFonts w:hint="eastAsia" w:ascii="宋体" w:hAnsi="宋体"/>
          <w:color w:val="000000"/>
          <w:sz w:val="24"/>
          <w:lang w:val="zh-CN"/>
        </w:rPr>
        <w:t xml:space="preserve">将通过苏采云系统告知其具体原因，评标结束后不再接受有关询问。</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同时出现两种以上</w:t>
      </w:r>
      <w:r>
        <w:rPr>
          <w:rFonts w:hint="eastAsia" w:ascii="宋体" w:hAnsi="宋体"/>
          <w:color w:val="000000"/>
          <w:sz w:val="24"/>
        </w:rPr>
        <w:t xml:space="preserve">不一致</w:t>
      </w:r>
      <w:r>
        <w:rPr>
          <w:rFonts w:hint="eastAsia" w:ascii="宋体" w:hAnsi="宋体"/>
          <w:color w:val="000000"/>
          <w:sz w:val="24"/>
          <w:lang w:val="zh-CN"/>
        </w:rPr>
        <w:t xml:space="preserve">的，按照前款规定的顺序修正。</w:t>
      </w:r>
      <w:r>
        <w:rPr>
          <w:rFonts w:hint="eastAsia" w:ascii="宋体" w:hAnsi="宋体"/>
          <w:color w:val="000000"/>
          <w:sz w:val="24"/>
          <w:lang w:val="zh-CN"/>
        </w:rPr>
      </w:r>
      <w:r/>
    </w:p>
    <w:p>
      <w:pPr>
        <w:pStyle w:val="932"/>
        <w:ind w:firstLine="422"/>
        <w:rPr>
          <w:rFonts w:hint="eastAsia" w:ascii="宋体" w:hAnsi="宋体"/>
          <w:b/>
          <w:bCs/>
          <w:color w:val="000000"/>
          <w:sz w:val="24"/>
          <w:lang w:val="zh-CN"/>
        </w:rPr>
      </w:pPr>
      <w:r>
        <w:rPr>
          <w:rFonts w:hint="eastAsia" w:ascii="宋体" w:hAnsi="宋体"/>
          <w:b/>
          <w:bCs/>
          <w:color w:val="000000"/>
          <w:sz w:val="24"/>
          <w:lang w:val="zh-CN"/>
        </w:rPr>
        <w:t xml:space="preserve">评委会按上述</w:t>
      </w:r>
      <w:r>
        <w:rPr>
          <w:rFonts w:hint="eastAsia" w:ascii="宋体" w:hAnsi="宋体"/>
          <w:b/>
          <w:bCs/>
          <w:color w:val="000000"/>
          <w:sz w:val="24"/>
        </w:rPr>
        <w:t xml:space="preserve">规定修正</w:t>
      </w:r>
      <w:r>
        <w:rPr>
          <w:rFonts w:hint="eastAsia" w:ascii="宋体" w:hAnsi="宋体"/>
          <w:b/>
          <w:bCs/>
          <w:color w:val="000000"/>
          <w:sz w:val="24"/>
          <w:lang w:val="zh-CN"/>
        </w:rPr>
        <w:t xml:space="preserve">投标文件报价</w:t>
      </w:r>
      <w:r>
        <w:rPr>
          <w:rFonts w:hint="eastAsia" w:ascii="宋体" w:hAnsi="宋体"/>
          <w:b/>
          <w:bCs/>
          <w:color w:val="000000"/>
          <w:sz w:val="24"/>
        </w:rPr>
        <w:t xml:space="preserve">的</w:t>
      </w:r>
      <w:r>
        <w:rPr>
          <w:rFonts w:hint="eastAsia" w:ascii="宋体" w:hAnsi="宋体"/>
          <w:b/>
          <w:bCs/>
          <w:color w:val="000000"/>
          <w:sz w:val="24"/>
          <w:lang w:val="zh-CN"/>
        </w:rPr>
        <w:t xml:space="preserve">，</w:t>
      </w:r>
      <w:r>
        <w:rPr>
          <w:rFonts w:hint="eastAsia" w:ascii="宋体" w:hAnsi="宋体"/>
          <w:b/>
          <w:bCs/>
          <w:color w:val="000000"/>
          <w:sz w:val="24"/>
        </w:rPr>
        <w:t xml:space="preserve">应</w:t>
      </w:r>
      <w:r>
        <w:rPr>
          <w:rFonts w:hint="eastAsia" w:ascii="宋体" w:hAnsi="宋体"/>
          <w:b/>
          <w:bCs/>
          <w:color w:val="000000"/>
          <w:sz w:val="24"/>
          <w:lang w:val="zh-CN"/>
        </w:rPr>
        <w:t xml:space="preserve">通过苏采云系统</w:t>
      </w:r>
      <w:r>
        <w:rPr>
          <w:rFonts w:hint="eastAsia" w:ascii="宋体" w:hAnsi="宋体"/>
          <w:b/>
          <w:bCs/>
          <w:color w:val="000000"/>
          <w:sz w:val="24"/>
        </w:rPr>
        <w:t xml:space="preserve">要求</w:t>
      </w:r>
      <w:r>
        <w:rPr>
          <w:rFonts w:hint="eastAsia" w:ascii="宋体" w:hAnsi="宋体"/>
          <w:b/>
          <w:bCs/>
          <w:color w:val="000000"/>
          <w:sz w:val="24"/>
          <w:lang w:val="zh-CN"/>
        </w:rPr>
        <w:t xml:space="preserve">投标人</w:t>
      </w:r>
      <w:r>
        <w:rPr>
          <w:rFonts w:hint="eastAsia" w:ascii="宋体" w:hAnsi="宋体"/>
          <w:b/>
          <w:bCs/>
          <w:color w:val="000000"/>
          <w:sz w:val="24"/>
        </w:rPr>
        <w:t xml:space="preserve">确认</w:t>
      </w:r>
      <w:r>
        <w:rPr>
          <w:rFonts w:hint="eastAsia" w:ascii="宋体" w:hAnsi="宋体"/>
          <w:b/>
          <w:bCs/>
          <w:color w:val="000000"/>
          <w:sz w:val="24"/>
          <w:lang w:val="zh-CN"/>
        </w:rPr>
        <w:t xml:space="preserve">，</w:t>
      </w:r>
      <w:r>
        <w:rPr>
          <w:rFonts w:hint="eastAsia" w:ascii="宋体" w:hAnsi="宋体"/>
          <w:b/>
          <w:bCs/>
          <w:color w:val="000000"/>
          <w:sz w:val="24"/>
        </w:rPr>
        <w:t xml:space="preserve">修正后的报价按照本章第20条规定经投标人确认后产生约束力，投标人不确认的，其投标无效。</w:t>
      </w:r>
      <w:r>
        <w:rPr>
          <w:rFonts w:hint="eastAsia" w:ascii="宋体" w:hAnsi="宋体"/>
          <w:b/>
          <w:bCs/>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5 </w:t>
      </w:r>
      <w:r>
        <w:rPr>
          <w:rFonts w:hint="eastAsia" w:ascii="宋体" w:hAnsi="宋体"/>
          <w:color w:val="000000"/>
          <w:sz w:val="24"/>
          <w:lang w:val="zh-CN"/>
        </w:rPr>
        <w:t xml:space="preserve">投标人在开、评标全过程中应保持通讯畅通，及时登录苏采云系统查阅、答复相关信息。</w:t>
      </w:r>
      <w:r>
        <w:rPr>
          <w:rFonts w:hint="eastAsia" w:ascii="宋体" w:hAnsi="宋体"/>
          <w:color w:val="000000"/>
          <w:sz w:val="24"/>
          <w:lang w:val="zh-CN"/>
        </w:rPr>
      </w:r>
      <w:r/>
    </w:p>
    <w:p>
      <w:pPr>
        <w:pStyle w:val="932"/>
        <w:ind w:firstLine="420"/>
        <w:rPr>
          <w:rFonts w:hint="eastAsia" w:ascii="宋体" w:hAnsi="宋体"/>
          <w:color w:val="000000"/>
          <w:sz w:val="24"/>
          <w:szCs w:val="22"/>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6 </w:t>
      </w:r>
      <w:r>
        <w:rPr>
          <w:rFonts w:hint="eastAsia" w:ascii="宋体" w:hAnsi="宋体"/>
          <w:color w:val="000000"/>
          <w:sz w:val="24"/>
          <w:szCs w:val="22"/>
          <w:lang w:val="zh-CN"/>
        </w:rPr>
        <w:t xml:space="preserve">异常低价审查</w:t>
      </w:r>
      <w:r>
        <w:rPr>
          <w:rFonts w:hint="eastAsia" w:ascii="宋体" w:hAnsi="宋体"/>
          <w:color w:val="000000"/>
          <w:sz w:val="24"/>
          <w:szCs w:val="22"/>
          <w:lang w:val="zh-CN"/>
        </w:rPr>
      </w:r>
      <w:r/>
    </w:p>
    <w:p>
      <w:pPr>
        <w:pStyle w:val="932"/>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1</w:t>
      </w:r>
      <w:r>
        <w:rPr>
          <w:rFonts w:hint="eastAsia" w:ascii="宋体" w:hAnsi="宋体"/>
          <w:color w:val="000000"/>
          <w:sz w:val="24"/>
          <w:szCs w:val="22"/>
          <w:lang w:val="zh-CN"/>
        </w:rPr>
        <w:t xml:space="preserve">.</w:t>
      </w:r>
      <w:r>
        <w:rPr>
          <w:rFonts w:hint="eastAsia" w:ascii="宋体" w:hAnsi="宋体"/>
          <w:color w:val="000000"/>
          <w:sz w:val="24"/>
          <w:szCs w:val="22"/>
        </w:rPr>
        <w:t xml:space="preserve">6</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应当启动异常低价审查程序：</w:t>
      </w:r>
      <w:r>
        <w:rPr>
          <w:rFonts w:hint="eastAsia" w:ascii="宋体" w:hAnsi="宋体"/>
          <w:color w:val="000000"/>
          <w:sz w:val="24"/>
          <w:szCs w:val="22"/>
          <w:lang w:val="zh-CN"/>
        </w:rPr>
      </w:r>
      <w:r/>
    </w:p>
    <w:p>
      <w:pPr>
        <w:pStyle w:val="932"/>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（1）投标报价低于全部通过符合性审查投标人投标报价平均值</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的，即投标报价&lt;全部通过符合性审查投标人投标报价平均值×</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932"/>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（2）投标报价低于通过符合性审查的次低报价投标人投标报价</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的，即投标报价&lt;通过符合性审查的次低报价投标人投标报价×</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932"/>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lang w:val="zh-CN"/>
        </w:rPr>
        <w:t xml:space="preserve">45%</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lang w:val="zh-CN"/>
        </w:rPr>
        <w:t xml:space="preserve">45%</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932"/>
        <w:ind w:firstLine="420"/>
        <w:rPr>
          <w:rFonts w:hint="eastAsia" w:ascii="宋体" w:hAnsi="宋体"/>
          <w:color w:val="000000"/>
          <w:sz w:val="24"/>
          <w:szCs w:val="24"/>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基于专业判断，认为投标报价过低，有可能影响产品质量或者不能诚信履约的其他情形。</w:t>
      </w:r>
      <w:r>
        <w:rPr>
          <w:rFonts w:hint="eastAsia" w:ascii="宋体" w:hAnsi="宋体"/>
          <w:color w:val="000000"/>
          <w:sz w:val="24"/>
          <w:szCs w:val="24"/>
        </w:rPr>
      </w:r>
      <w:r/>
    </w:p>
    <w:p>
      <w:pPr>
        <w:pStyle w:val="932"/>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1</w:t>
      </w:r>
      <w:r>
        <w:rPr>
          <w:rFonts w:hint="eastAsia" w:ascii="宋体" w:hAnsi="宋体"/>
          <w:color w:val="000000"/>
          <w:sz w:val="24"/>
          <w:szCs w:val="22"/>
          <w:lang w:val="zh-CN"/>
        </w:rPr>
        <w:t xml:space="preserve">.</w:t>
      </w:r>
      <w:r>
        <w:rPr>
          <w:rFonts w:hint="eastAsia" w:ascii="宋体" w:hAnsi="宋体"/>
          <w:color w:val="000000"/>
          <w:sz w:val="24"/>
          <w:szCs w:val="22"/>
        </w:rPr>
        <w:t xml:space="preserve">6</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color w:val="000000"/>
          <w:sz w:val="24"/>
          <w:szCs w:val="22"/>
          <w:lang w:val="zh-CN"/>
        </w:rPr>
      </w:r>
      <w:r/>
    </w:p>
    <w:p>
      <w:pPr>
        <w:pStyle w:val="932"/>
        <w:ind w:firstLine="420"/>
        <w:rPr>
          <w:rFonts w:hint="eastAsia" w:ascii="宋体" w:hAnsi="宋体"/>
          <w:color w:val="000000"/>
          <w:sz w:val="24"/>
          <w:szCs w:val="22"/>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rPr>
          <w:rFonts w:hint="eastAsia" w:ascii="宋体" w:hAnsi="宋体"/>
          <w:color w:val="000000"/>
          <w:sz w:val="24"/>
          <w:szCs w:val="22"/>
          <w:lang w:val="zh-CN"/>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22.无效投标和废标</w:t>
      </w:r>
      <w:r>
        <w:rPr>
          <w:rFonts w:hint="eastAsia" w:ascii="方正楷体_GBK" w:hAnsi="方正楷体_GBK" w:eastAsia="方正楷体_GBK" w:cs="方正楷体_GBK"/>
          <w:color w:val="000000"/>
        </w:rPr>
      </w:r>
      <w:r/>
    </w:p>
    <w:p>
      <w:pPr>
        <w:pStyle w:val="932"/>
        <w:ind w:firstLine="422"/>
        <w:rPr>
          <w:rFonts w:hint="eastAsia" w:ascii="宋体" w:hAnsi="宋体"/>
          <w:b/>
          <w:bCs/>
          <w:color w:val="000000"/>
          <w:sz w:val="24"/>
          <w:lang w:val="zh-CN"/>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.1</w:t>
      </w:r>
      <w:r>
        <w:rPr>
          <w:rFonts w:hint="eastAsia" w:ascii="宋体" w:hAnsi="宋体"/>
          <w:b/>
          <w:bCs/>
          <w:color w:val="000000"/>
          <w:sz w:val="24"/>
        </w:rPr>
        <w:t xml:space="preserve"> </w:t>
      </w:r>
      <w:r>
        <w:rPr>
          <w:rFonts w:hint="eastAsia" w:ascii="宋体" w:hAnsi="宋体"/>
          <w:b/>
          <w:bCs/>
          <w:color w:val="000000"/>
          <w:sz w:val="24"/>
          <w:lang w:val="zh-CN"/>
        </w:rPr>
        <w:t xml:space="preserve">无效投标情形</w:t>
      </w:r>
      <w:r>
        <w:rPr>
          <w:rFonts w:hint="eastAsia" w:ascii="宋体" w:hAnsi="宋体"/>
          <w:b/>
          <w:bCs/>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未</w:t>
      </w:r>
      <w:r>
        <w:rPr>
          <w:rFonts w:hint="eastAsia" w:ascii="宋体" w:hAnsi="宋体"/>
          <w:color w:val="000000"/>
          <w:sz w:val="24"/>
        </w:rPr>
        <w:t xml:space="preserve">在</w:t>
      </w:r>
      <w:r>
        <w:rPr>
          <w:rFonts w:hint="eastAsia" w:ascii="宋体" w:hAnsi="宋体"/>
          <w:color w:val="000000"/>
          <w:sz w:val="24"/>
          <w:lang w:val="zh-CN"/>
        </w:rPr>
        <w:t xml:space="preserve">招标文件</w:t>
      </w:r>
      <w:r>
        <w:rPr>
          <w:rFonts w:hint="eastAsia" w:ascii="宋体" w:hAnsi="宋体"/>
          <w:color w:val="000000"/>
          <w:sz w:val="24"/>
        </w:rPr>
        <w:t xml:space="preserve">规定时间内</w:t>
      </w:r>
      <w:r>
        <w:rPr>
          <w:rFonts w:hint="eastAsia" w:ascii="宋体" w:hAnsi="宋体"/>
          <w:color w:val="000000"/>
          <w:sz w:val="24"/>
          <w:lang w:val="zh-CN"/>
        </w:rPr>
        <w:t xml:space="preserve">上传电子投标文件。</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未在苏采云系统规定时间内成功解密电子投标文件。</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rPr>
        <w:t xml:space="preserve">招标文件另有约定的除外</w:t>
      </w:r>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w:t>
      </w:r>
      <w:r>
        <w:rPr>
          <w:rFonts w:hint="eastAsia" w:ascii="宋体" w:hAnsi="宋体"/>
          <w:color w:val="000000"/>
          <w:sz w:val="24"/>
        </w:rPr>
        <w:t xml:space="preserve">的</w:t>
      </w:r>
      <w:r>
        <w:rPr>
          <w:rFonts w:hint="eastAsia" w:ascii="宋体" w:hAnsi="宋体"/>
          <w:color w:val="000000"/>
          <w:sz w:val="24"/>
          <w:lang w:val="zh-CN"/>
        </w:rPr>
        <w:t xml:space="preserve">资格要求。</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7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8 </w:t>
      </w:r>
      <w:r>
        <w:rPr>
          <w:rFonts w:hint="eastAsia" w:ascii="宋体" w:hAnsi="宋体"/>
          <w:color w:val="000000"/>
          <w:sz w:val="24"/>
          <w:lang w:val="zh-CN"/>
        </w:rPr>
        <w:t xml:space="preserve">评委会</w:t>
      </w:r>
      <w:r>
        <w:rPr>
          <w:rFonts w:hint="eastAsia" w:ascii="宋体" w:hAnsi="宋体"/>
          <w:color w:val="000000"/>
          <w:sz w:val="24"/>
        </w:rPr>
        <w:t xml:space="preserve">按照本招标文件规定对投标人进行异常低价审查后，认为投标人不能证明其报价合理性的。</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9 </w:t>
      </w:r>
      <w:r>
        <w:rPr>
          <w:rFonts w:hint="eastAsia" w:ascii="宋体" w:hAnsi="宋体"/>
          <w:color w:val="000000"/>
          <w:sz w:val="24"/>
          <w:lang w:val="zh-CN"/>
        </w:rPr>
        <w:t xml:space="preserve">投标文件未按照招标文件要求加盖电子公章。</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22.1.10 投标人串通投标。</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.1.1</w:t>
      </w:r>
      <w:r>
        <w:rPr>
          <w:rFonts w:hint="eastAsia" w:ascii="宋体" w:hAnsi="宋体"/>
          <w:color w:val="000000"/>
          <w:sz w:val="24"/>
        </w:rPr>
        <w:t xml:space="preserve">1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932"/>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b/>
          <w:bCs/>
          <w:color w:val="000000"/>
          <w:sz w:val="24"/>
          <w:lang w:val="zh-CN"/>
        </w:rPr>
        <w:t xml:space="preserve">有下列情形之一的视为投标人串通投标：</w:t>
      </w:r>
      <w:r>
        <w:rPr>
          <w:rFonts w:hint="eastAsia" w:ascii="宋体" w:hAnsi="宋体"/>
          <w:b/>
          <w:bCs/>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.5 不同投标人的投标文件相互混装。</w:t>
      </w:r>
      <w:r>
        <w:rPr>
          <w:rFonts w:hint="eastAsia" w:ascii="宋体" w:hAnsi="宋体"/>
          <w:color w:val="000000"/>
          <w:sz w:val="24"/>
          <w:lang w:val="zh-CN"/>
        </w:rPr>
      </w:r>
      <w:r/>
    </w:p>
    <w:p>
      <w:pPr>
        <w:pStyle w:val="932"/>
        <w:ind w:firstLine="420"/>
        <w:rPr>
          <w:rFonts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.6 不同投标人的MAC地址</w:t>
      </w:r>
      <w:r>
        <w:rPr>
          <w:rFonts w:hint="eastAsia" w:ascii="宋体" w:hAnsi="宋体"/>
          <w:color w:val="000000"/>
          <w:sz w:val="24"/>
        </w:rPr>
        <w:t xml:space="preserve">或</w:t>
      </w:r>
      <w:r>
        <w:rPr>
          <w:rFonts w:hint="eastAsia" w:ascii="宋体" w:hAnsi="宋体"/>
          <w:color w:val="000000"/>
          <w:sz w:val="24"/>
          <w:lang w:val="zh-CN"/>
        </w:rPr>
        <w:t xml:space="preserve">标书制作工具客户端标识码一致。</w:t>
      </w:r>
      <w:r>
        <w:rPr>
          <w:rFonts w:ascii="宋体" w:hAnsi="宋体"/>
          <w:color w:val="000000"/>
          <w:sz w:val="24"/>
          <w:lang w:val="zh-CN"/>
        </w:rPr>
      </w:r>
      <w:r/>
    </w:p>
    <w:p>
      <w:pPr>
        <w:pStyle w:val="932"/>
        <w:ind w:firstLine="422"/>
        <w:rPr>
          <w:rFonts w:hint="eastAsia" w:ascii="宋体" w:hAnsi="宋体"/>
          <w:b/>
          <w:bCs/>
          <w:color w:val="000000"/>
          <w:sz w:val="24"/>
          <w:lang w:val="zh-CN"/>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w:t>
      </w:r>
      <w:r>
        <w:rPr>
          <w:rFonts w:hint="eastAsia" w:ascii="宋体" w:hAnsi="宋体"/>
          <w:b/>
          <w:bCs/>
          <w:color w:val="000000"/>
          <w:sz w:val="24"/>
        </w:rPr>
        <w:t xml:space="preserve">3 </w:t>
      </w:r>
      <w:r>
        <w:rPr>
          <w:rFonts w:hint="eastAsia" w:ascii="宋体" w:hAnsi="宋体"/>
          <w:b/>
          <w:bCs/>
          <w:color w:val="000000"/>
          <w:sz w:val="24"/>
          <w:lang w:val="zh-CN"/>
        </w:rPr>
        <w:t xml:space="preserve">废标情形</w:t>
      </w:r>
      <w:r>
        <w:rPr>
          <w:rFonts w:hint="eastAsia" w:ascii="宋体" w:hAnsi="宋体"/>
          <w:b/>
          <w:bCs/>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符合</w:t>
      </w:r>
      <w:r>
        <w:rPr>
          <w:rFonts w:hint="eastAsia" w:ascii="宋体" w:hAnsi="宋体"/>
          <w:color w:val="000000"/>
          <w:sz w:val="24"/>
        </w:rPr>
        <w:t xml:space="preserve">专业</w:t>
      </w:r>
      <w:r>
        <w:rPr>
          <w:rFonts w:hint="eastAsia" w:ascii="宋体" w:hAnsi="宋体"/>
          <w:color w:val="000000"/>
          <w:sz w:val="24"/>
          <w:lang w:val="zh-CN"/>
        </w:rPr>
        <w:t xml:space="preserve">条件的投标人或者对招标文件作实质响应的投标人不足三家。</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.3</w:t>
      </w:r>
      <w:r>
        <w:rPr>
          <w:rFonts w:hint="eastAsia" w:ascii="宋体" w:hAnsi="宋体"/>
          <w:color w:val="000000"/>
          <w:sz w:val="24"/>
        </w:rPr>
        <w:t xml:space="preserve"> 投标人的报价均超过了采购预算或最高限价</w:t>
      </w:r>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六、定标</w:t>
      </w:r>
      <w:r>
        <w:rPr>
          <w:rFonts w:hint="eastAsia"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23.确定中标单位</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932"/>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.4.1 提供虚假材料谋取中标。</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.4.2 向评审专家、采购人或交易中心工作人员行贿或者提供其他不正当利益。</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.4.3 与其他投标人、评审专家、采购人或交易中心工作人员恶意串通。</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.4.4 属于本文件规定的无效投标情形，但在评标过程中未被评委会发现。</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.4.5 采取不正当手段诋毁、排挤其他投标人。</w:t>
      </w:r>
      <w:r>
        <w:rPr>
          <w:rFonts w:hint="eastAsia" w:ascii="宋体" w:hAnsi="宋体"/>
          <w:color w:val="000000"/>
          <w:sz w:val="24"/>
          <w:lang w:val="zh-CN"/>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24.中标通知书</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25.签订合同</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5.1</w:t>
      </w:r>
      <w:r>
        <w:rPr>
          <w:rFonts w:hint="eastAsia" w:ascii="宋体" w:hAnsi="宋体"/>
          <w:color w:val="000000"/>
          <w:sz w:val="24"/>
          <w:lang w:val="zh-CN"/>
        </w:rPr>
        <w:t xml:space="preserve"> </w:t>
      </w:r>
      <w:r>
        <w:rPr>
          <w:rFonts w:hint="eastAsia" w:ascii="宋体" w:hAnsi="宋体"/>
          <w:color w:val="000000"/>
          <w:sz w:val="24"/>
        </w:rPr>
        <w:t xml:space="preserve">中标人应当</w:t>
      </w:r>
      <w:r>
        <w:rPr>
          <w:rFonts w:hint="eastAsia" w:ascii="宋体" w:hAnsi="宋体"/>
          <w:color w:val="000000"/>
          <w:sz w:val="24"/>
          <w:lang w:val="zh-CN"/>
        </w:rPr>
        <w:t xml:space="preserve">在《</w:t>
      </w:r>
      <w:r>
        <w:rPr>
          <w:rFonts w:hint="eastAsia" w:ascii="宋体" w:hAnsi="宋体"/>
          <w:color w:val="000000"/>
          <w:sz w:val="24"/>
        </w:rPr>
        <w:t xml:space="preserve">中标通知书</w:t>
      </w:r>
      <w:r>
        <w:rPr>
          <w:rFonts w:hint="eastAsia" w:ascii="宋体" w:hAnsi="宋体"/>
          <w:color w:val="000000"/>
          <w:sz w:val="24"/>
          <w:lang w:val="zh-CN"/>
        </w:rPr>
        <w:t xml:space="preserve">》</w:t>
      </w:r>
      <w:r>
        <w:rPr>
          <w:rFonts w:hint="eastAsia" w:ascii="宋体" w:hAnsi="宋体"/>
          <w:color w:val="000000"/>
          <w:sz w:val="24"/>
        </w:rPr>
        <w:t xml:space="preserve">发出之日起三十日内，按照招标文件确定的事项与采购人签订政府采购合同。</w:t>
      </w:r>
      <w:r>
        <w:rPr>
          <w:rFonts w:hint="eastAsia" w:ascii="宋体" w:hAnsi="宋体"/>
          <w:color w:val="000000"/>
          <w:sz w:val="24"/>
          <w:lang w:val="zh-CN"/>
        </w:rPr>
        <w:t xml:space="preserve">采购人于合同签订后2个工作日内通过苏采云系统进行公示。</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5.2 招标文件、中标人的投标文件及招标过程中有关澄清、承诺文件均作为合同附件。</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25.4中标人不得将合同标的进行转包，否则采购人有权取消其中标资格或终止合同。转包造成采购人损失的，中标人应承担相应赔偿责任。</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5.5 中标人因自身原因拒绝与采购人签订合同的，不得参加采购人</w:t>
      </w:r>
      <w:r>
        <w:rPr>
          <w:rFonts w:hint="eastAsia" w:ascii="宋体" w:hAnsi="宋体"/>
          <w:color w:val="000000"/>
          <w:sz w:val="24"/>
          <w:lang w:val="zh-CN"/>
        </w:rPr>
        <w:t xml:space="preserve">重新组织的</w:t>
      </w:r>
      <w:r>
        <w:rPr>
          <w:rFonts w:hint="eastAsia" w:ascii="宋体" w:hAnsi="宋体"/>
          <w:color w:val="000000"/>
          <w:sz w:val="24"/>
        </w:rPr>
        <w:t xml:space="preserve">采购活动</w:t>
      </w:r>
      <w:r>
        <w:rPr>
          <w:rFonts w:hint="eastAsia" w:ascii="宋体" w:hAnsi="宋体"/>
          <w:color w:val="000000"/>
          <w:sz w:val="24"/>
          <w:lang w:val="zh-CN"/>
        </w:rPr>
        <w:t xml:space="preserve">，且将可能被拒绝参加该采购人</w:t>
      </w:r>
      <w:r>
        <w:rPr>
          <w:rFonts w:hint="eastAsia" w:ascii="宋体" w:hAnsi="宋体"/>
          <w:color w:val="000000"/>
          <w:sz w:val="24"/>
        </w:rPr>
        <w:t xml:space="preserve">一年内</w:t>
      </w:r>
      <w:r>
        <w:rPr>
          <w:rFonts w:hint="eastAsia" w:ascii="宋体" w:hAnsi="宋体"/>
          <w:color w:val="000000"/>
          <w:sz w:val="24"/>
          <w:lang w:val="zh-CN"/>
        </w:rPr>
        <w:t xml:space="preserve">的其他</w:t>
      </w:r>
      <w:r>
        <w:rPr>
          <w:rFonts w:hint="eastAsia" w:ascii="宋体" w:hAnsi="宋体"/>
          <w:color w:val="000000"/>
          <w:sz w:val="24"/>
        </w:rPr>
        <w:t xml:space="preserve">政府采购活动。</w:t>
      </w:r>
      <w:r>
        <w:rPr>
          <w:rFonts w:hint="eastAsia" w:ascii="宋体" w:hAnsi="宋体"/>
          <w:color w:val="000000"/>
          <w:sz w:val="24"/>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26.标的物的追加</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rPr>
      </w:pPr>
      <w:r>
        <w:rPr>
          <w:rFonts w:hint="eastAsia" w:ascii="宋体" w:hAnsi="宋体"/>
          <w:color w:val="000000"/>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color w:val="000000"/>
          <w:sz w:val="24"/>
        </w:rPr>
      </w:r>
      <w:r/>
    </w:p>
    <w:p>
      <w:pPr>
        <w:pStyle w:val="93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27.政府采购履约资金扶持政策</w:t>
      </w:r>
      <w:r>
        <w:rPr>
          <w:rFonts w:hint="eastAsia"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.1 中标</w:t>
      </w:r>
      <w:r>
        <w:rPr>
          <w:rFonts w:hint="eastAsia" w:ascii="宋体" w:hAnsi="宋体"/>
          <w:color w:val="000000"/>
          <w:sz w:val="24"/>
        </w:rPr>
        <w:t xml:space="preserve">人</w:t>
      </w:r>
      <w:r>
        <w:rPr>
          <w:rFonts w:hint="eastAsia" w:ascii="宋体" w:hAnsi="宋体"/>
          <w:color w:val="000000"/>
          <w:sz w:val="24"/>
          <w:lang w:val="zh-CN"/>
        </w:rPr>
        <w:t xml:space="preserve">可通过南京市公共资源交易平台网站“小企业融资平台”，选择相应的金融机构办理融资贷款。</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27</w:t>
      </w:r>
      <w:r>
        <w:rPr>
          <w:rFonts w:hint="eastAsia" w:ascii="宋体" w:hAnsi="宋体"/>
          <w:color w:val="000000"/>
          <w:sz w:val="24"/>
          <w:lang w:val="zh-CN"/>
        </w:rPr>
        <w:t xml:space="preserve">.2 依据《关于在全省政府采购领域推行电子履约保函（保险）的通知》（苏财购〔2023〕150号），需要缴纳履约保证金的，中标</w:t>
      </w:r>
      <w:r>
        <w:rPr>
          <w:rFonts w:hint="eastAsia" w:ascii="宋体" w:hAnsi="宋体"/>
          <w:color w:val="000000"/>
          <w:sz w:val="24"/>
        </w:rPr>
        <w:t xml:space="preserve">人</w:t>
      </w:r>
      <w:r>
        <w:rPr>
          <w:rFonts w:hint="eastAsia" w:ascii="宋体" w:hAnsi="宋体"/>
          <w:color w:val="000000"/>
          <w:sz w:val="24"/>
          <w:lang w:val="zh-CN"/>
        </w:rPr>
        <w:t xml:space="preserve">可通过江苏政府采购网“政府采购电子履约保函（保险）综合服务平台”线上办理履约保函（保险）。</w:t>
      </w:r>
      <w:r>
        <w:rPr>
          <w:rFonts w:hint="eastAsia" w:ascii="宋体" w:hAnsi="宋体"/>
          <w:color w:val="000000"/>
          <w:sz w:val="24"/>
          <w:lang w:val="zh-CN"/>
        </w:rPr>
      </w:r>
      <w:r/>
    </w:p>
    <w:p>
      <w:pPr>
        <w:pStyle w:val="93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932"/>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投标人认为招标文件、采购过程和采购结果使自己的权益受到损害的，可以在知道或应知其权益受到损害之日起七个工作日内，</w:t>
      </w:r>
      <w:r>
        <w:rPr>
          <w:rFonts w:hint="eastAsia" w:ascii="宋体" w:hAnsi="宋体"/>
          <w:color w:val="000000"/>
          <w:sz w:val="24"/>
        </w:rPr>
        <w:t xml:space="preserve">按照第31条</w:t>
      </w:r>
      <w:r>
        <w:rPr>
          <w:rFonts w:hint="eastAsia" w:ascii="宋体" w:hAnsi="宋体"/>
          <w:color w:val="000000"/>
          <w:sz w:val="24"/>
          <w:lang w:val="zh-CN"/>
        </w:rPr>
        <w:t xml:space="preserve">、</w:t>
      </w:r>
      <w:r>
        <w:rPr>
          <w:rFonts w:hint="eastAsia" w:ascii="宋体" w:hAnsi="宋体"/>
          <w:color w:val="000000"/>
          <w:sz w:val="24"/>
        </w:rPr>
        <w:t xml:space="preserve">第32</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 对招标文件提出质疑的，为收到招标文件之日或者招标文件公告期限届满之日。</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.2 对采购过程提出质疑的，为各采购程序环节结束之日。</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.3 对中标或者成交结果提出质疑的，为中标或者成交结果公告期限届满之日。</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30.</w:t>
      </w:r>
      <w:r>
        <w:rPr>
          <w:rFonts w:hint="eastAsia" w:ascii="宋体" w:hAnsi="宋体"/>
          <w:color w:val="000000"/>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由授权代表负责质疑事宜的，《质疑函》附件中应提交由质疑投标人法定代表人或主要负责人签署的《授权委托书》。</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投标人如组成联合体参加采购活动，《质疑函范本》中要求加盖公章之处，联合体各方均须按要求加盖公章。</w:t>
      </w:r>
      <w:r>
        <w:rPr>
          <w:rFonts w:hint="eastAsia" w:ascii="宋体" w:hAnsi="宋体"/>
          <w:color w:val="000000"/>
          <w:sz w:val="24"/>
          <w:lang w:val="zh-CN"/>
        </w:rPr>
      </w:r>
      <w:r/>
    </w:p>
    <w:p>
      <w:pPr>
        <w:pStyle w:val="932"/>
        <w:ind w:firstLine="420"/>
        <w:rPr>
          <w:rFonts w:hint="eastAsia" w:ascii="宋体" w:hAnsi="宋体"/>
          <w:b/>
          <w:bCs/>
          <w:color w:val="000000"/>
          <w:sz w:val="24"/>
          <w:szCs w:val="22"/>
        </w:rPr>
      </w:pPr>
      <w:r>
        <w:rPr>
          <w:rFonts w:hint="eastAsia" w:ascii="宋体" w:hAnsi="宋体"/>
          <w:color w:val="000000"/>
          <w:sz w:val="24"/>
        </w:rPr>
        <w:t xml:space="preserve">32.</w:t>
      </w:r>
      <w:r>
        <w:rPr>
          <w:rFonts w:hint="eastAsia" w:ascii="宋体" w:hAnsi="宋体"/>
          <w:b/>
          <w:bCs/>
          <w:color w:val="000000"/>
          <w:sz w:val="24"/>
        </w:rPr>
        <w:t xml:space="preserve">投标人根据质疑事项向相应的质疑答复主体提出质疑，具体详见招标文件第一章。</w:t>
      </w:r>
      <w:r>
        <w:rPr>
          <w:rFonts w:hint="eastAsia" w:ascii="宋体" w:hAnsi="宋体"/>
          <w:b/>
          <w:bCs/>
          <w:color w:val="000000"/>
          <w:sz w:val="24"/>
          <w:szCs w:val="22"/>
        </w:rPr>
        <w:t xml:space="preserve">由采购人负责答复的质疑，采购人将《质疑函》《质疑答复函》抄送交易中心。</w:t>
      </w:r>
      <w:r>
        <w:rPr>
          <w:rFonts w:hint="eastAsia" w:ascii="宋体" w:hAnsi="宋体"/>
          <w:b/>
          <w:bCs/>
          <w:color w:val="000000"/>
          <w:sz w:val="24"/>
          <w:szCs w:val="22"/>
        </w:rPr>
      </w:r>
      <w:r/>
    </w:p>
    <w:p>
      <w:pPr>
        <w:pStyle w:val="932"/>
        <w:ind w:firstLine="422"/>
        <w:rPr>
          <w:rFonts w:hint="eastAsia" w:ascii="宋体" w:hAnsi="宋体"/>
          <w:b/>
          <w:bCs/>
          <w:color w:val="000000"/>
          <w:sz w:val="24"/>
        </w:rPr>
      </w:pPr>
      <w:r>
        <w:rPr>
          <w:rFonts w:hint="eastAsia" w:ascii="宋体" w:hAnsi="宋体"/>
          <w:b/>
          <w:bCs/>
          <w:color w:val="000000"/>
          <w:sz w:val="24"/>
        </w:rPr>
        <w:t xml:space="preserve">投标人对采购人、交易中心的质疑答复不满意，或者采购人、交易中心未在规定时间内作出质疑答复的，可以在答复期满后15个工作日内向</w:t>
      </w:r>
      <w:r>
        <w:rPr>
          <w:rFonts w:hint="eastAsia" w:ascii="宋体" w:hAnsi="宋体"/>
          <w:b/>
          <w:bCs/>
          <w:color w:val="000000"/>
          <w:sz w:val="24"/>
        </w:rPr>
        <w:t xml:space="preserve">南京市财政局</w:t>
      </w:r>
      <w:r>
        <w:rPr>
          <w:rFonts w:hint="eastAsia" w:ascii="宋体" w:hAnsi="宋体"/>
          <w:b/>
          <w:bCs/>
          <w:color w:val="000000"/>
          <w:sz w:val="24"/>
        </w:rPr>
        <w:t xml:space="preserve">提起投诉。</w:t>
      </w:r>
      <w:r>
        <w:rPr>
          <w:rFonts w:hint="eastAsia" w:ascii="宋体" w:hAnsi="宋体"/>
          <w:b/>
          <w:bCs/>
          <w:color w:val="000000"/>
          <w:sz w:val="24"/>
        </w:rPr>
      </w:r>
      <w:r/>
    </w:p>
    <w:p>
      <w:pPr>
        <w:pStyle w:val="932"/>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.1 超出政府采购法定期限的质疑。</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.2 </w:t>
      </w:r>
      <w:r>
        <w:rPr>
          <w:rFonts w:hint="eastAsia" w:ascii="宋体" w:hAnsi="宋体"/>
          <w:color w:val="000000"/>
          <w:sz w:val="24"/>
        </w:rPr>
        <w:t xml:space="preserve">属于第30条规定的对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color w:val="000000"/>
          <w:sz w:val="24"/>
          <w:lang w:val="zh-CN"/>
        </w:rPr>
      </w:r>
      <w:r/>
    </w:p>
    <w:p>
      <w:pPr>
        <w:pStyle w:val="935"/>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936"/>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5</w:t>
      </w:r>
      <w:r>
        <w:rPr>
          <w:rFonts w:hint="eastAsia" w:ascii="方正楷体_GBK" w:hAnsi="方正楷体_GBK" w:eastAsia="方正楷体_GBK" w:cs="方正楷体_GBK"/>
          <w:color w:val="000000"/>
          <w:lang w:val="zh-CN"/>
        </w:rPr>
        <w:t xml:space="preserve">.促进中小企业发展</w:t>
      </w:r>
      <w:r>
        <w:rPr>
          <w:rFonts w:hint="eastAsia" w:ascii="方正楷体_GBK" w:hAnsi="方正楷体_GBK" w:eastAsia="方正楷体_GBK" w:cs="方正楷体_GBK"/>
          <w:color w:val="000000"/>
          <w:lang w:val="zh-CN"/>
        </w:rPr>
      </w:r>
      <w:r/>
    </w:p>
    <w:p>
      <w:pPr>
        <w:pStyle w:val="932"/>
        <w:ind w:firstLine="420"/>
        <w:rPr>
          <w:rFonts w:hint="eastAsia" w:ascii="宋体" w:hAnsi="宋体"/>
          <w:color w:val="000000"/>
          <w:sz w:val="24"/>
        </w:rPr>
      </w:pPr>
      <w:r>
        <w:rPr>
          <w:rFonts w:hint="eastAsia" w:ascii="宋体" w:hAnsi="宋体"/>
          <w:color w:val="000000"/>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rPr>
      </w:r>
      <w:r/>
    </w:p>
    <w:p>
      <w:pPr>
        <w:pStyle w:val="932"/>
        <w:ind w:firstLine="420"/>
        <w:rPr>
          <w:rFonts w:ascii="宋体" w:hAnsi="宋体"/>
          <w:b/>
          <w:bCs/>
          <w:color w:val="000000"/>
          <w:sz w:val="24"/>
        </w:rPr>
      </w:pPr>
      <w:r>
        <w:rPr>
          <w:rFonts w:hint="eastAsia" w:ascii="宋体" w:hAnsi="宋体"/>
          <w:color w:val="000000"/>
          <w:sz w:val="24"/>
        </w:rPr>
        <w:t xml:space="preserve">35.2 中小企业参加政府采购活动，应当</w:t>
      </w:r>
      <w:r>
        <w:rPr>
          <w:rFonts w:ascii="宋体" w:hAnsi="宋体"/>
          <w:color w:val="000000"/>
          <w:sz w:val="24"/>
        </w:rPr>
        <w:t xml:space="preserve">出具</w:t>
      </w:r>
      <w:r>
        <w:rPr>
          <w:rFonts w:hint="eastAsia" w:ascii="宋体" w:hAnsi="宋体"/>
          <w:color w:val="000000"/>
          <w:sz w:val="24"/>
        </w:rPr>
        <w:t xml:space="preserve">《中小企业声明函》，否则不享受相关中小企业支持政策。</w:t>
      </w:r>
      <w:r>
        <w:rPr>
          <w:rFonts w:hint="eastAsia" w:ascii="宋体" w:hAnsi="宋体"/>
          <w:b/>
          <w:bCs/>
          <w:color w:val="000000"/>
          <w:sz w:val="24"/>
        </w:rPr>
        <w:t xml:space="preserve">中标人享受中小企业扶持政策的，其《中小企业声明函》将随中标结果公开。</w:t>
      </w:r>
      <w:r>
        <w:rPr>
          <w:rFonts w:ascii="宋体" w:hAnsi="宋体"/>
          <w:b/>
          <w:bCs/>
          <w:color w:val="000000"/>
          <w:sz w:val="24"/>
        </w:rPr>
      </w:r>
      <w:r/>
    </w:p>
    <w:p>
      <w:pPr>
        <w:pStyle w:val="932"/>
        <w:ind w:firstLine="420"/>
        <w:rPr>
          <w:rFonts w:hint="eastAsia" w:ascii="宋体" w:hAnsi="宋体" w:cs="宋体"/>
          <w:b/>
          <w:bCs/>
          <w:color w:val="000000"/>
          <w:sz w:val="24"/>
          <w:szCs w:val="24"/>
        </w:rPr>
      </w:pPr>
      <w:r>
        <w:rPr>
          <w:rFonts w:hint="eastAsia" w:ascii="宋体" w:hAnsi="宋体"/>
          <w:color w:val="000000"/>
          <w:sz w:val="24"/>
        </w:rPr>
        <w:t xml:space="preserve">35.3 </w:t>
      </w:r>
      <w:r>
        <w:rPr>
          <w:rFonts w:hint="eastAsia" w:ascii="宋体" w:hAnsi="宋体" w:cs="宋体"/>
          <w:b/>
          <w:bCs/>
          <w:color w:val="000000"/>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color w:val="000000"/>
          <w:sz w:val="24"/>
          <w:szCs w:val="24"/>
        </w:rPr>
      </w:r>
      <w:r/>
    </w:p>
    <w:p>
      <w:pPr>
        <w:pStyle w:val="932"/>
        <w:ind w:firstLine="420"/>
        <w:rPr>
          <w:rFonts w:hint="eastAsia" w:ascii="宋体" w:hAnsi="宋体"/>
          <w:color w:val="000000"/>
          <w:sz w:val="24"/>
        </w:rPr>
      </w:pPr>
      <w:r>
        <w:rPr>
          <w:rFonts w:hint="eastAsia" w:ascii="宋体" w:hAnsi="宋体"/>
          <w:color w:val="000000"/>
          <w:sz w:val="24"/>
          <w:szCs w:val="22"/>
        </w:rPr>
        <w:t xml:space="preserve">35.4</w:t>
      </w:r>
      <w:r>
        <w:rPr>
          <w:rFonts w:hint="eastAsia" w:ascii="宋体" w:hAnsi="宋体"/>
          <w:b/>
          <w:bCs/>
          <w:color w:val="000000"/>
          <w:sz w:val="24"/>
          <w:szCs w:val="22"/>
        </w:rPr>
        <w:t xml:space="preserve"> </w:t>
      </w:r>
      <w:r>
        <w:rPr>
          <w:rFonts w:hint="eastAsia" w:ascii="宋体" w:hAnsi="宋体"/>
          <w:b/>
          <w:bCs/>
          <w:color w:val="000000"/>
          <w:sz w:val="24"/>
          <w:szCs w:val="22"/>
          <w:lang w:val="zh-CN"/>
        </w:rPr>
        <w:t xml:space="preserve">评委会评审中发现</w:t>
      </w:r>
      <w:r>
        <w:rPr>
          <w:rFonts w:hint="eastAsia" w:ascii="宋体" w:hAnsi="宋体"/>
          <w:b/>
          <w:bCs/>
          <w:color w:val="000000"/>
          <w:sz w:val="24"/>
          <w:szCs w:val="22"/>
        </w:rPr>
        <w:t xml:space="preserve">投标人</w:t>
      </w:r>
      <w:r>
        <w:rPr>
          <w:rFonts w:hint="eastAsia" w:ascii="宋体" w:hAnsi="宋体"/>
          <w:b/>
          <w:bCs/>
          <w:color w:val="000000"/>
          <w:sz w:val="24"/>
          <w:szCs w:val="22"/>
          <w:lang w:val="zh-CN"/>
        </w:rPr>
        <w:t xml:space="preserve">提供的</w:t>
      </w:r>
      <w:r>
        <w:rPr>
          <w:rFonts w:hint="eastAsia" w:ascii="宋体" w:hAnsi="宋体"/>
          <w:b/>
          <w:bCs/>
          <w:color w:val="000000"/>
          <w:sz w:val="24"/>
          <w:lang w:val="zh-CN"/>
        </w:rPr>
        <w:t xml:space="preserve">《中小企业声明函》</w:t>
      </w:r>
      <w:r>
        <w:rPr>
          <w:rFonts w:hint="eastAsia" w:ascii="宋体" w:hAnsi="宋体"/>
          <w:b/>
          <w:bCs/>
          <w:color w:val="000000"/>
          <w:sz w:val="24"/>
          <w:szCs w:val="22"/>
          <w:lang w:val="zh-CN"/>
        </w:rPr>
        <w:t xml:space="preserve">内容含义不明确、同类事项表述不一致或者有明显文字错误等情况的，应当以书面形式要求</w:t>
      </w:r>
      <w:r>
        <w:rPr>
          <w:rFonts w:hint="eastAsia" w:ascii="宋体" w:hAnsi="宋体"/>
          <w:b/>
          <w:bCs/>
          <w:color w:val="000000"/>
          <w:sz w:val="24"/>
          <w:szCs w:val="22"/>
        </w:rPr>
        <w:t xml:space="preserve">投标人</w:t>
      </w:r>
      <w:r>
        <w:rPr>
          <w:rFonts w:hint="eastAsia" w:ascii="宋体" w:hAnsi="宋体"/>
          <w:b/>
          <w:bCs/>
          <w:color w:val="000000"/>
          <w:sz w:val="24"/>
          <w:szCs w:val="22"/>
          <w:lang w:val="zh-CN"/>
        </w:rPr>
        <w:t xml:space="preserve">作出必要的澄清、说明或者补正。</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35.5 以联合体形式参加政府采购活动，联合体各方均为中小企业的，联合体视同中小企业。其中，联合体各方均为小微企业的，联合体视同小微企业。</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color w:val="000000"/>
          <w:sz w:val="24"/>
        </w:rPr>
      </w:r>
      <w:r/>
    </w:p>
    <w:p>
      <w:pPr>
        <w:pStyle w:val="932"/>
        <w:ind w:firstLine="420"/>
        <w:rPr>
          <w:rFonts w:hint="eastAsia" w:ascii="宋体" w:hAnsi="宋体"/>
          <w:color w:val="000000"/>
          <w:sz w:val="24"/>
          <w:lang w:val="zh-CN"/>
        </w:rPr>
      </w:pPr>
      <w:r>
        <w:rPr>
          <w:rFonts w:hint="eastAsia" w:ascii="宋体" w:hAnsi="宋体"/>
          <w:color w:val="000000"/>
          <w:sz w:val="24"/>
        </w:rPr>
        <w:t xml:space="preserve">35.7 残疾人福利性单位视同小型、微型企业。按照《关于促进残疾人就业政府采购政策的通知》（财库〔2017〕141号）规定，残疾人福利性单位需提供《残疾人福利性单位声明函》。</w:t>
      </w:r>
      <w:r>
        <w:rPr>
          <w:rFonts w:hint="eastAsia" w:ascii="宋体" w:hAnsi="宋体"/>
          <w:color w:val="000000"/>
          <w:sz w:val="24"/>
          <w:lang w:val="zh-CN"/>
        </w:rPr>
      </w:r>
      <w:r/>
    </w:p>
    <w:p>
      <w:pPr>
        <w:pStyle w:val="936"/>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6</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节能产品和环境标志产品</w:t>
      </w:r>
      <w:r>
        <w:rPr>
          <w:rFonts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36.2 采购产品</w:t>
      </w:r>
      <w:r>
        <w:rPr>
          <w:rFonts w:hint="eastAsia" w:ascii="宋体" w:hAnsi="宋体"/>
          <w:color w:val="000000"/>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36.3 采购产品</w:t>
      </w:r>
      <w:r>
        <w:rPr>
          <w:rFonts w:hint="eastAsia" w:ascii="宋体" w:hAnsi="宋体"/>
          <w:color w:val="000000"/>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rPr>
        <w:t xml:space="preserve">第五章</w:t>
      </w:r>
      <w:r>
        <w:rPr>
          <w:rFonts w:hint="eastAsia" w:ascii="宋体" w:hAnsi="宋体"/>
          <w:color w:val="000000"/>
          <w:sz w:val="24"/>
          <w:lang w:val="zh-CN"/>
        </w:rPr>
        <w:t xml:space="preserve">）。</w:t>
      </w:r>
      <w:r>
        <w:rPr>
          <w:rFonts w:hint="eastAsia" w:ascii="宋体" w:hAnsi="宋体"/>
          <w:color w:val="000000"/>
          <w:sz w:val="24"/>
          <w:lang w:val="zh-CN"/>
        </w:rPr>
      </w:r>
      <w:r/>
    </w:p>
    <w:p>
      <w:pPr>
        <w:pStyle w:val="936"/>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37</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rPr>
          <w:rFonts w:ascii="方正楷体_GBK" w:hAnsi="方正楷体_GBK" w:eastAsia="方正楷体_GBK" w:cs="方正楷体_GBK"/>
          <w:color w:val="000000"/>
        </w:rPr>
      </w:r>
      <w:r/>
    </w:p>
    <w:p>
      <w:pPr>
        <w:pStyle w:val="932"/>
        <w:ind w:firstLine="420"/>
        <w:rPr>
          <w:rFonts w:hint="eastAsia" w:ascii="宋体" w:hAnsi="宋体"/>
          <w:color w:val="000000"/>
          <w:sz w:val="24"/>
        </w:rPr>
      </w:pPr>
      <w:r>
        <w:rPr>
          <w:rFonts w:hint="eastAsia" w:ascii="宋体" w:hAnsi="宋体"/>
          <w:color w:val="000000"/>
          <w:sz w:val="24"/>
        </w:rPr>
        <w:t xml:space="preserve">37.1 采购产品</w:t>
      </w:r>
      <w:r>
        <w:rPr>
          <w:rFonts w:hint="eastAsia" w:ascii="宋体"/>
          <w:bCs/>
          <w:color w:val="000000"/>
          <w:sz w:val="24"/>
          <w:szCs w:val="24"/>
        </w:rPr>
        <w:t xml:space="preserve">中涉及商品包装、快递包装要求的，应按照</w:t>
      </w:r>
      <w:r>
        <w:rPr>
          <w:rFonts w:hint="eastAsia" w:ascii="宋体" w:hAnsi="宋体"/>
          <w:color w:val="000000"/>
          <w:sz w:val="24"/>
          <w:szCs w:val="22"/>
        </w:rPr>
        <w:t xml:space="preserve">《关于印发&lt;商品包装政府采购需求标准（试行）&gt;、&lt;快递包装政府采购需求标准（试行）&gt;的通知》（财办库〔2020〕123号）、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文件执行。招标文件对</w:t>
      </w:r>
      <w:r>
        <w:rPr>
          <w:rFonts w:hint="eastAsia" w:ascii="宋体"/>
          <w:bCs/>
          <w:color w:val="000000"/>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37.2 采购产品中涉及数据中心相关设备、运维服务的，应按照《关于印发&lt;绿色数据中心政府采购需求标准（试行）&gt;的通知》（财办库〔2023〕7号）、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宋体" w:hAnsi="宋体"/>
          <w:color w:val="000000"/>
          <w:sz w:val="24"/>
        </w:rPr>
      </w:r>
      <w:r/>
    </w:p>
    <w:p>
      <w:pPr>
        <w:pStyle w:val="932"/>
        <w:ind w:firstLine="420"/>
        <w:rPr>
          <w:rFonts w:hint="eastAsia" w:ascii="宋体" w:hAnsi="宋体"/>
          <w:color w:val="000000"/>
          <w:sz w:val="24"/>
        </w:rPr>
      </w:pPr>
      <w:r>
        <w:rPr>
          <w:rFonts w:hint="eastAsia" w:ascii="宋体" w:hAnsi="宋体"/>
          <w:color w:val="000000"/>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hint="eastAsia" w:ascii="宋体" w:hAnsi="宋体"/>
          <w:color w:val="000000"/>
          <w:sz w:val="24"/>
        </w:rPr>
      </w:r>
      <w:r/>
    </w:p>
    <w:p>
      <w:pPr>
        <w:pStyle w:val="936"/>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38</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rPr>
          <w:rFonts w:ascii="方正楷体_GBK" w:hAnsi="方正楷体_GBK" w:eastAsia="方正楷体_GBK" w:cs="方正楷体_GBK"/>
          <w:color w:val="000000"/>
        </w:rPr>
      </w:r>
      <w:r/>
    </w:p>
    <w:p>
      <w:pPr>
        <w:pStyle w:val="932"/>
        <w:ind w:firstLine="420"/>
        <w:widowControl/>
        <w:rPr>
          <w:rFonts w:hint="eastAsia" w:ascii="宋体" w:hAnsi="宋体"/>
          <w:color w:val="000000"/>
          <w:sz w:val="24"/>
        </w:rPr>
      </w:pPr>
      <w:r>
        <w:rPr>
          <w:rFonts w:hint="eastAsia" w:ascii="宋体" w:hAnsi="宋体"/>
          <w:color w:val="000000"/>
          <w:sz w:val="24"/>
        </w:rPr>
        <w:t xml:space="preserve">38.1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936"/>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39.</w:t>
      </w:r>
      <w:r>
        <w:rPr>
          <w:rFonts w:hint="eastAsia" w:ascii="方正楷体_GBK" w:hAnsi="方正楷体_GBK" w:eastAsia="方正楷体_GBK" w:cs="方正楷体_GBK"/>
          <w:color w:val="000000"/>
          <w:lang w:val="zh-CN"/>
        </w:rPr>
        <w:t xml:space="preserve">网络产品、市场准入类产品采购</w:t>
      </w:r>
      <w:r>
        <w:rPr>
          <w:rFonts w:ascii="方正楷体_GBK" w:hAnsi="方正楷体_GBK" w:eastAsia="方正楷体_GBK" w:cs="方正楷体_GBK"/>
          <w:color w:val="000000"/>
        </w:rPr>
      </w:r>
      <w:r/>
    </w:p>
    <w:p>
      <w:pPr>
        <w:pStyle w:val="932"/>
        <w:ind w:firstLine="420"/>
        <w:rPr>
          <w:rFonts w:hint="eastAsia" w:ascii="宋体" w:hAnsi="宋体"/>
          <w:color w:val="000000"/>
          <w:sz w:val="24"/>
          <w:lang w:val="zh-CN"/>
        </w:rPr>
      </w:pPr>
      <w:r>
        <w:rPr>
          <w:rFonts w:hint="eastAsia" w:ascii="宋体" w:hAnsi="宋体"/>
          <w:color w:val="000000"/>
          <w:sz w:val="24"/>
        </w:rPr>
        <w:t xml:space="preserve">39.1 </w:t>
      </w:r>
      <w:r>
        <w:rPr>
          <w:rFonts w:hint="eastAsia" w:ascii="宋体" w:hAnsi="宋体"/>
          <w:color w:val="000000"/>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39.2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lang w:val="zh-CN"/>
        </w:rPr>
      </w:r>
      <w:r/>
    </w:p>
    <w:p>
      <w:pPr>
        <w:pStyle w:val="936"/>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w:t>
      </w:r>
      <w:r>
        <w:rPr>
          <w:rFonts w:hint="eastAsia" w:ascii="方正楷体_GBK" w:hAnsi="方正楷体_GBK" w:eastAsia="方正楷体_GBK" w:cs="方正楷体_GBK"/>
          <w:color w:val="000000"/>
        </w:rPr>
        <w:t xml:space="preserve">0</w:t>
      </w:r>
      <w:r>
        <w:rPr>
          <w:rFonts w:hint="eastAsia" w:ascii="方正楷体_GBK" w:hAnsi="方正楷体_GBK" w:eastAsia="方正楷体_GBK" w:cs="方正楷体_GBK"/>
          <w:color w:val="000000"/>
          <w:lang w:val="zh-CN"/>
        </w:rPr>
        <w:t xml:space="preserve">.实施本国产品标准及相关政策</w:t>
      </w:r>
      <w:r>
        <w:rPr>
          <w:rFonts w:hint="eastAsia" w:ascii="方正楷体_GBK" w:hAnsi="方正楷体_GBK" w:eastAsia="方正楷体_GBK" w:cs="方正楷体_GBK"/>
          <w:color w:val="000000"/>
          <w:lang w:val="zh-CN"/>
        </w:rPr>
      </w:r>
      <w:r/>
    </w:p>
    <w:p>
      <w:pPr>
        <w:pStyle w:val="932"/>
        <w:ind w:firstLine="420"/>
        <w:rPr>
          <w:rFonts w:hint="eastAsia" w:ascii="宋体" w:hAnsi="宋体"/>
          <w:color w:val="000000"/>
          <w:sz w:val="24"/>
          <w:lang w:val="zh-CN"/>
        </w:rPr>
      </w:pPr>
      <w:r>
        <w:rPr>
          <w:rFonts w:hint="eastAsia" w:ascii="宋体" w:hAnsi="宋体"/>
          <w:color w:val="000000"/>
          <w:sz w:val="24"/>
        </w:rPr>
        <w:t xml:space="preserve">40.</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rPr>
          <w:rFonts w:hint="eastAsia" w:ascii="宋体" w:hAnsi="宋体"/>
          <w:color w:val="000000"/>
          <w:sz w:val="24"/>
          <w:lang w:val="zh-CN"/>
        </w:rPr>
      </w:r>
      <w:r/>
    </w:p>
    <w:p>
      <w:pPr>
        <w:pStyle w:val="932"/>
        <w:ind w:firstLine="420"/>
        <w:rPr>
          <w:rFonts w:hint="eastAsia" w:ascii="宋体" w:hAnsi="宋体"/>
          <w:color w:val="000000"/>
          <w:sz w:val="24"/>
          <w:szCs w:val="22"/>
          <w:lang w:val="zh-CN"/>
        </w:rPr>
      </w:pPr>
      <w:r>
        <w:rPr>
          <w:rFonts w:hint="eastAsia" w:ascii="宋体" w:hAnsi="宋体"/>
          <w:color w:val="000000"/>
          <w:sz w:val="24"/>
          <w:lang w:val="zh-CN"/>
        </w:rPr>
        <w:t xml:space="preserve">4</w:t>
      </w:r>
      <w:r>
        <w:rPr>
          <w:rFonts w:hint="eastAsia" w:ascii="宋体" w:hAnsi="宋体"/>
          <w:color w:val="000000"/>
          <w:sz w:val="24"/>
        </w:rPr>
        <w:t xml:space="preserve">0</w:t>
      </w:r>
      <w:r>
        <w:rPr>
          <w:rFonts w:hint="eastAsia" w:ascii="宋体" w:hAnsi="宋体"/>
          <w:color w:val="000000"/>
          <w:sz w:val="24"/>
          <w:lang w:val="zh-CN"/>
        </w:rPr>
        <w:t xml:space="preserve">.2</w:t>
      </w:r>
      <w:r>
        <w:rPr>
          <w:rFonts w:hint="eastAsia" w:ascii="宋体" w:hAnsi="宋体"/>
          <w:color w:val="000000"/>
          <w:sz w:val="24"/>
          <w:szCs w:val="22"/>
          <w:lang w:val="zh-CN"/>
        </w:rPr>
        <w:t xml:space="preserve">本国产品应当符合以下条件：</w:t>
      </w:r>
      <w:r>
        <w:rPr>
          <w:rFonts w:hint="eastAsia" w:ascii="宋体" w:hAnsi="宋体"/>
          <w:color w:val="000000"/>
          <w:sz w:val="24"/>
          <w:szCs w:val="22"/>
          <w:lang w:val="zh-CN"/>
        </w:rPr>
      </w:r>
      <w:r/>
    </w:p>
    <w:p>
      <w:pPr>
        <w:pStyle w:val="932"/>
        <w:ind w:firstLine="420"/>
        <w:rPr>
          <w:rFonts w:hint="eastAsia" w:ascii="宋体" w:hAnsi="宋体"/>
          <w:color w:val="000000"/>
          <w:sz w:val="24"/>
          <w:szCs w:val="22"/>
          <w:lang w:val="zh-CN"/>
        </w:rPr>
      </w:pPr>
      <w:r>
        <w:rPr>
          <w:rFonts w:hint="eastAsia" w:ascii="宋体" w:hAnsi="宋体"/>
          <w:color w:val="000000"/>
          <w:sz w:val="24"/>
          <w:szCs w:val="22"/>
          <w:lang w:val="zh-CN"/>
        </w:rPr>
        <w:t xml:space="preserve">（1）在中国境内生产</w:t>
      </w:r>
      <w:r>
        <w:rPr>
          <w:rFonts w:hint="eastAsia" w:ascii="宋体" w:hAnsi="宋体"/>
          <w:color w:val="000000"/>
          <w:sz w:val="24"/>
          <w:szCs w:val="22"/>
          <w:lang w:val="zh-CN"/>
        </w:rPr>
      </w:r>
      <w:r/>
    </w:p>
    <w:p>
      <w:pPr>
        <w:pStyle w:val="932"/>
        <w:ind w:firstLine="420"/>
        <w:rPr>
          <w:rFonts w:hint="eastAsia" w:ascii="宋体" w:hAnsi="宋体"/>
          <w:color w:val="000000"/>
          <w:sz w:val="24"/>
          <w:szCs w:val="22"/>
          <w:lang w:val="zh-CN"/>
        </w:rPr>
      </w:pPr>
      <w:r>
        <w:rPr>
          <w:rFonts w:hint="eastAsia" w:ascii="宋体" w:hAnsi="宋体"/>
          <w:color w:val="000000"/>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lang w:val="zh-CN"/>
        </w:rPr>
      </w:r>
      <w:r/>
    </w:p>
    <w:p>
      <w:pPr>
        <w:pStyle w:val="932"/>
        <w:ind w:firstLine="420"/>
        <w:rPr>
          <w:rFonts w:hint="eastAsia" w:ascii="宋体" w:hAnsi="宋体"/>
          <w:color w:val="000000"/>
          <w:sz w:val="24"/>
          <w:lang w:val="zh-CN"/>
        </w:rPr>
      </w:pPr>
      <w:r>
        <w:rPr>
          <w:rFonts w:hint="eastAsia" w:ascii="宋体" w:hAnsi="宋体"/>
          <w:color w:val="000000"/>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rPr>
          <w:rFonts w:hint="eastAsia" w:ascii="宋体" w:hAnsi="宋体"/>
          <w:color w:val="000000"/>
          <w:sz w:val="24"/>
          <w:lang w:val="zh-CN"/>
        </w:rPr>
      </w:r>
      <w:r/>
    </w:p>
    <w:p>
      <w:pPr>
        <w:pStyle w:val="932"/>
        <w:ind w:firstLine="420"/>
        <w:rPr>
          <w:rFonts w:hint="eastAsia" w:ascii="宋体" w:hAnsi="宋体"/>
          <w:color w:val="000000"/>
          <w:sz w:val="24"/>
          <w:szCs w:val="22"/>
          <w:lang w:val="zh-CN"/>
        </w:rPr>
      </w:pPr>
      <w:r>
        <w:rPr>
          <w:rFonts w:hint="eastAsia" w:ascii="宋体" w:hAnsi="宋体"/>
          <w:color w:val="000000"/>
          <w:sz w:val="24"/>
          <w:lang w:val="zh-CN"/>
        </w:rPr>
        <w:t xml:space="preserve">比例计算公式</w:t>
      </w:r>
      <w:r>
        <w:rPr>
          <w:rFonts w:hint="eastAsia" w:ascii="宋体" w:hAnsi="宋体"/>
          <w:color w:val="000000"/>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lang w:val="zh-CN"/>
        </w:rPr>
      </w:r>
      <w:r/>
    </w:p>
    <w:p>
      <w:pPr>
        <w:pStyle w:val="932"/>
        <w:ind w:firstLine="420"/>
        <w:rPr>
          <w:rFonts w:hint="eastAsia" w:ascii="宋体" w:hAnsi="宋体"/>
          <w:color w:val="000000"/>
          <w:sz w:val="24"/>
          <w:szCs w:val="22"/>
          <w:lang w:val="zh-CN"/>
        </w:rPr>
      </w:pPr>
      <w:r>
        <w:rPr>
          <w:rFonts w:hint="eastAsia" w:ascii="宋体" w:hAnsi="宋体"/>
          <w:color w:val="000000"/>
          <w:sz w:val="24"/>
          <w:szCs w:val="22"/>
          <w:lang w:val="zh-CN"/>
        </w:rPr>
        <w:t xml:space="preserve">（3）特定产品的关键组件、关键工序符合相关要求</w:t>
      </w:r>
      <w:r>
        <w:rPr>
          <w:rFonts w:hint="eastAsia" w:ascii="宋体" w:hAnsi="宋体"/>
          <w:color w:val="000000"/>
          <w:sz w:val="24"/>
          <w:szCs w:val="22"/>
          <w:lang w:val="zh-CN"/>
        </w:rPr>
      </w:r>
      <w:r/>
    </w:p>
    <w:p>
      <w:pPr>
        <w:pStyle w:val="932"/>
        <w:ind w:firstLine="420"/>
        <w:rPr>
          <w:rFonts w:hint="eastAsia" w:ascii="宋体" w:hAnsi="宋体"/>
          <w:color w:val="000000"/>
          <w:sz w:val="24"/>
          <w:szCs w:val="22"/>
          <w:lang w:val="zh-CN"/>
        </w:rPr>
      </w:pPr>
      <w:r>
        <w:rPr>
          <w:rFonts w:hint="eastAsia" w:ascii="宋体" w:hAnsi="宋体"/>
          <w:color w:val="000000"/>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rPr>
        <w:t xml:space="preserve">0</w:t>
      </w:r>
      <w:r>
        <w:rPr>
          <w:rFonts w:hint="eastAsia" w:ascii="宋体" w:hAnsi="宋体"/>
          <w:color w:val="000000"/>
          <w:sz w:val="24"/>
          <w:lang w:val="zh-CN"/>
        </w:rPr>
        <w:t xml:space="preserve">.3本国产品标准的适用范围</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lang w:val="zh-CN"/>
        </w:rPr>
      </w:r>
      <w:r/>
    </w:p>
    <w:p>
      <w:pPr>
        <w:pStyle w:val="932"/>
        <w:ind w:firstLine="420"/>
        <w:rPr>
          <w:rFonts w:ascii="宋体" w:hAnsi="宋体"/>
          <w:color w:val="000000"/>
          <w:sz w:val="24"/>
        </w:rPr>
      </w:pPr>
      <w:r>
        <w:rPr>
          <w:rFonts w:hint="eastAsia" w:ascii="宋体" w:hAnsi="宋体"/>
          <w:color w:val="000000"/>
          <w:sz w:val="24"/>
        </w:rPr>
        <w:t xml:space="preserve">40.4对本国产品的支持政策</w:t>
      </w:r>
      <w:r>
        <w:rPr>
          <w:rFonts w:ascii="宋体" w:hAnsi="宋体"/>
          <w:color w:val="000000"/>
          <w:sz w:val="24"/>
        </w:rPr>
      </w:r>
      <w:r/>
    </w:p>
    <w:p>
      <w:pPr>
        <w:pStyle w:val="932"/>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rPr>
          <w:rFonts w:ascii="宋体" w:hAnsi="宋体"/>
          <w:b/>
          <w:bCs/>
          <w:color w:val="000000"/>
          <w:sz w:val="24"/>
        </w:rPr>
      </w:r>
      <w:r/>
    </w:p>
    <w:p>
      <w:pPr>
        <w:pStyle w:val="932"/>
        <w:ind w:firstLine="420"/>
        <w:rPr>
          <w:rFonts w:ascii="宋体" w:hAnsi="宋体"/>
          <w:color w:val="000000"/>
          <w:sz w:val="24"/>
        </w:rPr>
      </w:pPr>
      <w:r>
        <w:rPr>
          <w:rFonts w:hint="eastAsia" w:ascii="宋体" w:hAnsi="宋体"/>
          <w:color w:val="000000"/>
          <w:sz w:val="24"/>
        </w:rPr>
        <w:t xml:space="preserve">40.5政策执行要求</w:t>
      </w:r>
      <w:r>
        <w:rPr>
          <w:rFonts w:ascii="宋体" w:hAnsi="宋体"/>
          <w:color w:val="000000"/>
          <w:sz w:val="24"/>
        </w:rPr>
      </w:r>
      <w:r/>
    </w:p>
    <w:p>
      <w:pPr>
        <w:pStyle w:val="932"/>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shd w:val="clear" w:color="auto" w:fill="ffffff"/>
        </w:rPr>
      </w:r>
      <w:r/>
    </w:p>
    <w:p>
      <w:pPr>
        <w:pStyle w:val="932"/>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hint="eastAsia" w:ascii="宋体" w:hAnsi="宋体"/>
          <w:b/>
          <w:bCs/>
          <w:color w:val="000000"/>
          <w:sz w:val="24"/>
        </w:rPr>
      </w:r>
      <w:r/>
    </w:p>
    <w:p>
      <w:pPr>
        <w:pStyle w:val="932"/>
        <w:ind w:firstLine="420"/>
        <w:rPr>
          <w:color w:val="000000"/>
        </w:rPr>
      </w:pPr>
      <w:r>
        <w:rPr>
          <w:rFonts w:hint="eastAsia" w:ascii="宋体" w:hAnsi="宋体"/>
          <w:color w:val="000000"/>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16938558"/>
      <w:r/>
      <w:bookmarkStart w:id="50" w:name="_Toc20823314"/>
      <w:r/>
      <w:bookmarkStart w:id="51" w:name="_Toc479757207"/>
      <w:r/>
      <w:bookmarkStart w:id="52" w:name="_Toc120614221"/>
      <w:r/>
      <w:bookmarkStart w:id="53" w:name="_Toc513029242"/>
      <w:r>
        <w:rPr>
          <w:color w:val="000000"/>
        </w:rPr>
      </w:r>
      <w:r/>
    </w:p>
    <w:p>
      <w:pPr>
        <w:pStyle w:val="937"/>
        <w:ind w:firstLine="422"/>
        <w:rPr>
          <w:rFonts w:hint="eastAsia" w:ascii="方正楷体_GBK" w:hAnsi="方正楷体_GBK" w:eastAsia="方正楷体_GBK" w:cs="方正楷体_GBK"/>
          <w:b/>
          <w:bCs/>
          <w:color w:val="000000"/>
          <w:lang w:val="zh-CN"/>
        </w:rPr>
      </w:pPr>
      <w:r>
        <w:rPr>
          <w:rFonts w:hint="eastAsia" w:ascii="方正楷体_GBK" w:hAnsi="方正楷体_GBK" w:eastAsia="方正楷体_GBK" w:cs="方正楷体_GBK"/>
          <w:b/>
          <w:bCs/>
          <w:color w:val="000000"/>
          <w:lang w:val="zh-CN"/>
        </w:rPr>
        <w:t xml:space="preserve">4</w:t>
      </w:r>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zh-CN"/>
        </w:rPr>
        <w:t xml:space="preserve">.数据交易说明</w:t>
      </w:r>
      <w:r>
        <w:rPr>
          <w:rFonts w:hint="eastAsia" w:ascii="方正楷体_GBK" w:hAnsi="方正楷体_GBK" w:eastAsia="方正楷体_GBK" w:cs="方正楷体_GBK"/>
          <w:b/>
          <w:bCs/>
          <w:color w:val="000000"/>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 数据交易标的包括数据产品、数据服务、数据工具。</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数据产品是指用于交易的数据和数据衍生产品，包括但不限于数据集、数据分析报告、数据可视化产品、数据指数、API数据、加密数据等。</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color w:val="000000"/>
          <w:sz w:val="24"/>
          <w:lang w:val="zh-CN"/>
        </w:rPr>
      </w:r>
      <w:r/>
    </w:p>
    <w:p>
      <w:pPr>
        <w:pStyle w:val="932"/>
        <w:ind w:firstLine="420"/>
        <w:rPr>
          <w:rFonts w:hint="eastAsia" w:ascii="宋体" w:hAnsi="宋体"/>
          <w:color w:val="000000"/>
          <w:sz w:val="24"/>
          <w:lang w:val="zh-CN"/>
        </w:rPr>
      </w:pPr>
      <w:r>
        <w:rPr>
          <w:rFonts w:hint="eastAsia" w:ascii="宋体" w:hAnsi="宋体"/>
          <w:color w:val="000000"/>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color w:val="000000"/>
          <w:sz w:val="24"/>
          <w:lang w:val="zh-CN"/>
        </w:rPr>
      </w:r>
      <w:r/>
    </w:p>
    <w:p>
      <w:pPr>
        <w:pStyle w:val="101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932"/>
        <w:jc w:val="center"/>
        <w:spacing w:before="145" w:after="145"/>
        <w:rPr>
          <w:rFonts w:hint="eastAsia" w:ascii="宋体" w:hAnsi="宋体"/>
          <w:bCs/>
          <w:color w:val="000000"/>
          <w:sz w:val="24"/>
        </w:rPr>
      </w:pPr>
      <w:r/>
      <w:bookmarkStart w:id="54" w:name="_Toc513029243"/>
      <w:r/>
      <w:bookmarkStart w:id="55" w:name="_Toc20823315"/>
      <w:r/>
      <w:bookmarkStart w:id="56" w:name="_Toc1693855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1011"/>
        <w:ind w:left="0"/>
        <w:rPr>
          <w:rFonts w:hint="eastAsia"/>
          <w:color w:val="000000"/>
        </w:rPr>
      </w:pPr>
      <w:r>
        <w:rPr>
          <w:rFonts w:hint="eastAsia"/>
          <w:color w:val="000000"/>
        </w:rPr>
      </w:r>
      <w:r/>
    </w:p>
    <w:p>
      <w:pPr>
        <w:pStyle w:val="932"/>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932"/>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932"/>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32"/>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932"/>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932"/>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932"/>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32"/>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color w:val="000000"/>
          <w:sz w:val="24"/>
          <w:szCs w:val="24"/>
        </w:rPr>
        <w:t xml:space="preserve">甲方指定地点。</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w:t>
      </w:r>
      <w:r>
        <w:rPr>
          <w:rFonts w:hint="eastAsia" w:ascii="宋体" w:hAnsi="宋体" w:cs="Courier New"/>
          <w:color w:val="000000"/>
          <w:sz w:val="24"/>
          <w:szCs w:val="24"/>
        </w:rPr>
        <w:t xml:space="preserve">按招标文件及投标文件执行。</w:t>
      </w:r>
      <w:r>
        <w:rPr>
          <w:rFonts w:hint="eastAsia" w:ascii="宋体" w:hAnsi="宋体" w:cs="Courier New"/>
          <w:color w:val="000000"/>
          <w:sz w:val="24"/>
          <w:szCs w:val="24"/>
        </w:rPr>
      </w:r>
      <w:r/>
    </w:p>
    <w:p>
      <w:pPr>
        <w:pStyle w:val="932"/>
        <w:rPr>
          <w:color w:val="000000"/>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73"/>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本合同金额为：人民币____________________元，（大写：_____________________）。</w:t>
      </w:r>
      <w:r>
        <w:rPr>
          <w:rFonts w:hAnsi="宋体"/>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6.1</w:t>
      </w:r>
      <w:r>
        <w:rPr>
          <w:rFonts w:hint="eastAsia" w:ascii="宋体" w:hAnsi="宋体" w:cs="Courier New"/>
          <w:color w:val="000000"/>
          <w:sz w:val="24"/>
          <w:szCs w:val="24"/>
        </w:rPr>
        <w:t xml:space="preserve"> 签订合同时，乙方按照合同金额</w:t>
      </w:r>
      <w:r>
        <w:rPr>
          <w:rFonts w:hint="eastAsia" w:ascii="宋体" w:hAnsi="宋体" w:cs="Courier New"/>
          <w:color w:val="000000"/>
          <w:sz w:val="24"/>
          <w:szCs w:val="24"/>
          <w:u w:val="single"/>
        </w:rPr>
        <w:t xml:space="preserve"> 10 </w:t>
      </w:r>
      <w:r>
        <w:rPr>
          <w:rFonts w:hint="eastAsia" w:ascii="宋体" w:hAnsi="宋体" w:cs="Courier New"/>
          <w:color w:val="000000"/>
          <w:sz w:val="24"/>
          <w:szCs w:val="24"/>
        </w:rPr>
        <w:t xml:space="preserve">%缴纳履约保证金。合同履行结束后，甲方按以下约定退还：</w:t>
      </w:r>
      <w:r>
        <w:rPr>
          <w:rFonts w:hint="eastAsia" w:ascii="宋体" w:hAnsi="宋体" w:cs="Courier New"/>
          <w:color w:val="000000"/>
          <w:sz w:val="24"/>
          <w:szCs w:val="24"/>
        </w:rPr>
      </w:r>
      <w:r/>
    </w:p>
    <w:p>
      <w:pPr>
        <w:pStyle w:val="932"/>
        <w:rPr>
          <w:rFonts w:ascii="宋体" w:hAnsi="宋体" w:cs="Courier New"/>
          <w:color w:val="000000"/>
          <w:sz w:val="24"/>
          <w:szCs w:val="24"/>
        </w:rPr>
      </w:pPr>
      <w:r>
        <w:rPr>
          <w:rFonts w:hint="eastAsia" w:ascii="宋体" w:hAnsi="宋体" w:cs="Courier New"/>
          <w:color w:val="000000"/>
          <w:sz w:val="24"/>
          <w:szCs w:val="24"/>
        </w:rPr>
        <w:t xml:space="preserve">6.1.1</w:t>
      </w:r>
      <w:r>
        <w:rPr>
          <w:rFonts w:hint="eastAsia" w:ascii="宋体" w:hAnsi="宋体" w:cs="Courier New"/>
          <w:color w:val="000000"/>
          <w:sz w:val="24"/>
          <w:szCs w:val="24"/>
        </w:rPr>
        <w:t xml:space="preserve"> 退还时间及条件：验收合格且合同履行期结束后5个工作日内。</w:t>
      </w:r>
      <w:r>
        <w:rPr>
          <w:rFonts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6.1.2</w:t>
      </w:r>
      <w:r>
        <w:rPr>
          <w:rFonts w:hint="eastAsia" w:ascii="宋体" w:hAnsi="宋体" w:cs="Courier New"/>
          <w:color w:val="000000"/>
          <w:sz w:val="24"/>
          <w:szCs w:val="24"/>
        </w:rPr>
        <w:t xml:space="preserve"> 退还方式：扣除违约费用后一次性无息退还。</w:t>
      </w:r>
      <w:r>
        <w:rPr>
          <w:rFonts w:hint="eastAsia" w:ascii="宋体" w:hAnsi="宋体" w:cs="Courier New"/>
          <w:color w:val="000000"/>
          <w:sz w:val="24"/>
          <w:szCs w:val="24"/>
        </w:rPr>
      </w:r>
      <w:r/>
    </w:p>
    <w:p>
      <w:pPr>
        <w:pStyle w:val="932"/>
        <w:rPr>
          <w:rFonts w:ascii="宋体" w:hAnsi="宋体" w:cs="Courier New"/>
          <w:color w:val="000000"/>
          <w:sz w:val="24"/>
          <w:szCs w:val="24"/>
        </w:rPr>
      </w:pPr>
      <w:r>
        <w:rPr>
          <w:rFonts w:hint="eastAsia" w:ascii="宋体" w:hAnsi="宋体" w:cs="Courier New"/>
          <w:color w:val="000000"/>
          <w:sz w:val="24"/>
          <w:szCs w:val="24"/>
        </w:rPr>
        <w:t xml:space="preserve">6.1.3</w:t>
      </w:r>
      <w:r>
        <w:rPr>
          <w:rFonts w:hint="eastAsia" w:ascii="宋体" w:hAnsi="宋体" w:cs="Courier New"/>
          <w:color w:val="000000"/>
          <w:sz w:val="24"/>
          <w:szCs w:val="24"/>
        </w:rPr>
        <w:t xml:space="preserve"> 不予退还的情形：合同约定的交付期内未履约完成、验收不合格、整改不到位等情形。</w:t>
      </w:r>
      <w:r>
        <w:rPr>
          <w:rFonts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6.1.4</w:t>
      </w:r>
      <w:r>
        <w:rPr>
          <w:rFonts w:hint="eastAsia" w:ascii="宋体" w:hAnsi="宋体" w:cs="Courier New"/>
          <w:color w:val="000000"/>
          <w:sz w:val="24"/>
          <w:szCs w:val="24"/>
        </w:rPr>
        <w:t xml:space="preserve">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rPr>
      </w:r>
      <w:r/>
    </w:p>
    <w:p>
      <w:pPr>
        <w:pStyle w:val="932"/>
        <w:spacing w:line="264" w:lineRule="auto"/>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93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73"/>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8.1.1</w:t>
      </w:r>
      <w:r>
        <w:rPr>
          <w:rFonts w:hint="eastAsia" w:ascii="宋体" w:hAnsi="宋体" w:cs="Courier New"/>
          <w:color w:val="000000"/>
          <w:sz w:val="24"/>
          <w:szCs w:val="24"/>
        </w:rPr>
        <w:t xml:space="preserve"> 合同签订且服务团队人员到位后，甲方支付合同总价款的60%作为预付款。</w:t>
      </w:r>
      <w:r>
        <w:rPr>
          <w:rFonts w:hint="eastAsia" w:ascii="宋体" w:hAnsi="宋体" w:cs="Courier New"/>
          <w:color w:val="000000"/>
          <w:sz w:val="24"/>
          <w:szCs w:val="24"/>
        </w:rPr>
      </w:r>
      <w:r/>
    </w:p>
    <w:p>
      <w:pPr>
        <w:pStyle w:val="973"/>
        <w:spacing w:line="264" w:lineRule="auto"/>
        <w:rPr>
          <w:rFonts w:hint="eastAsia" w:hAnsi="宋体"/>
          <w:color w:val="000000"/>
          <w:sz w:val="24"/>
          <w:szCs w:val="24"/>
        </w:rPr>
      </w:pPr>
      <w:r>
        <w:rPr>
          <w:rFonts w:hint="eastAsia" w:hAnsi="宋体"/>
          <w:color w:val="000000"/>
          <w:sz w:val="24"/>
          <w:szCs w:val="24"/>
        </w:rPr>
        <w:t xml:space="preserve">8.1.2</w:t>
      </w:r>
      <w:r>
        <w:rPr>
          <w:rFonts w:hint="eastAsia" w:hAnsi="宋体"/>
          <w:color w:val="000000"/>
          <w:sz w:val="24"/>
          <w:szCs w:val="24"/>
        </w:rPr>
        <w:t xml:space="preserve"> 系统开发完成并验收合格后，甲方支付合同总价款的40%。</w:t>
      </w:r>
      <w:r>
        <w:rPr>
          <w:rFonts w:hint="eastAsia" w:hAnsi="宋体"/>
          <w:color w:val="000000"/>
          <w:sz w:val="24"/>
          <w:szCs w:val="24"/>
        </w:rPr>
      </w:r>
      <w:r/>
    </w:p>
    <w:p>
      <w:pPr>
        <w:pStyle w:val="973"/>
        <w:spacing w:line="264" w:lineRule="auto"/>
        <w:rPr>
          <w:rFonts w:hint="eastAsia"/>
          <w:color w:val="000000"/>
        </w:rPr>
      </w:pPr>
      <w:r>
        <w:rPr>
          <w:rFonts w:hint="eastAsia" w:hAnsi="宋体"/>
          <w:color w:val="000000"/>
          <w:sz w:val="24"/>
          <w:szCs w:val="24"/>
        </w:rPr>
        <w:t xml:space="preserve">8.1.3 满足合同约定支付条件的，甲方收到乙方发票后10个工作日内，将资金支付到合同约定的乙方账户。 </w:t>
      </w:r>
      <w:r>
        <w:rPr>
          <w:rFonts w:hint="eastAsia"/>
          <w:color w:val="000000"/>
        </w:rPr>
      </w:r>
      <w:r/>
    </w:p>
    <w:p>
      <w:pPr>
        <w:pStyle w:val="973"/>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如有必要，甲方可邀请参加本项目投标的其他投标人或第三方专业机构及专家参与验收，相关意见将作为验收结论的参考。</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932"/>
        <w:spacing w:line="264" w:lineRule="auto"/>
        <w:rPr>
          <w:rFonts w:ascii="宋体" w:hAnsi="宋体" w:cs="Courier New"/>
          <w:color w:val="000000"/>
          <w:sz w:val="24"/>
          <w:szCs w:val="24"/>
        </w:rPr>
      </w:pPr>
      <w:r>
        <w:rPr>
          <w:rFonts w:hint="eastAsia" w:ascii="宋体" w:hAnsi="宋体" w:cs="Courier New"/>
          <w:color w:val="000000"/>
          <w:sz w:val="24"/>
          <w:szCs w:val="24"/>
          <w:lang w:val="zh-CN"/>
        </w:rPr>
        <w:t xml:space="preserve">10.7 网络安全、</w:t>
      </w:r>
      <w:r>
        <w:rPr>
          <w:rFonts w:hint="eastAsia" w:ascii="宋体" w:hAnsi="宋体" w:cs="Courier New"/>
          <w:color w:val="000000"/>
          <w:sz w:val="24"/>
          <w:szCs w:val="24"/>
        </w:rPr>
        <w:t xml:space="preserve">市场准入</w:t>
      </w:r>
      <w:r>
        <w:rPr>
          <w:rFonts w:hint="eastAsia" w:ascii="宋体" w:hAnsi="宋体" w:cs="Courier New"/>
          <w:color w:val="000000"/>
          <w:sz w:val="24"/>
          <w:szCs w:val="24"/>
          <w:lang w:val="zh-CN"/>
        </w:rPr>
        <w:t xml:space="preserve">要求（</w:t>
      </w:r>
      <w:r>
        <w:rPr>
          <w:rFonts w:hint="eastAsia" w:ascii="宋体" w:hAnsi="宋体" w:cs="Courier New"/>
          <w:color w:val="000000"/>
          <w:sz w:val="24"/>
          <w:szCs w:val="24"/>
        </w:rPr>
        <w:t xml:space="preserve">如有</w:t>
      </w:r>
      <w:r>
        <w:rPr>
          <w:rFonts w:hint="eastAsia" w:ascii="宋体" w:hAnsi="宋体" w:cs="Courier New"/>
          <w:color w:val="000000"/>
          <w:sz w:val="24"/>
          <w:szCs w:val="24"/>
          <w:lang w:val="zh-CN"/>
        </w:rPr>
        <w:t xml:space="preserve">）：</w:t>
      </w:r>
      <w:r>
        <w:rPr>
          <w:rFonts w:ascii="宋体" w:hAnsi="宋体" w:cs="Courier New"/>
          <w:color w:val="000000"/>
          <w:sz w:val="24"/>
          <w:szCs w:val="24"/>
        </w:rPr>
      </w:r>
      <w:r/>
    </w:p>
    <w:p>
      <w:pPr>
        <w:pStyle w:val="932"/>
        <w:rPr>
          <w:rFonts w:hint="eastAsia" w:ascii="宋体" w:hAnsi="宋体" w:cs="Courier New"/>
          <w:color w:val="000000"/>
          <w:sz w:val="24"/>
          <w:szCs w:val="24"/>
          <w:lang w:val="zh-CN"/>
        </w:rPr>
      </w:pPr>
      <w:r>
        <w:rPr>
          <w:rFonts w:hint="eastAsia" w:ascii="宋体" w:hAnsi="宋体" w:cs="Courier New"/>
          <w:color w:val="000000"/>
          <w:sz w:val="24"/>
          <w:szCs w:val="24"/>
          <w:lang w:val="zh-CN"/>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十一、违约责任</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0.01%</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color w:val="000000"/>
          <w:sz w:val="24"/>
          <w:szCs w:val="24"/>
        </w:rPr>
        <w:t xml:space="preserve">甲方无故逾期验收和办理支付手续的，应按逾期付款总额每日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u w:val="single"/>
        </w:rPr>
        <w:t xml:space="preserve">0.01%</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0.1 </w:t>
      </w:r>
      <w:r>
        <w:rPr>
          <w:rFonts w:ascii="宋体" w:hAnsi="宋体" w:cs="宋体"/>
          <w:color w:val="000000"/>
          <w:sz w:val="24"/>
          <w:szCs w:val="24"/>
          <w:u w:val="single"/>
        </w:rPr>
        <w:t xml:space="preserve">%</w:t>
      </w:r>
      <w:r>
        <w:rPr>
          <w:rFonts w:ascii="宋体" w:hAnsi="宋体" w:cs="宋体"/>
          <w:color w:val="000000"/>
          <w:sz w:val="24"/>
          <w:szCs w:val="24"/>
        </w:rPr>
        <w:t xml:space="preserve">。</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0.1 % </w:t>
      </w:r>
      <w:r>
        <w:rPr>
          <w:rFonts w:hint="eastAsia" w:ascii="宋体" w:hAnsi="宋体" w:cs="Courier New"/>
          <w:color w:val="000000"/>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color w:val="000000"/>
          <w:sz w:val="24"/>
          <w:szCs w:val="24"/>
        </w:rPr>
        <w:t xml:space="preserve">，应向甲方支付合同总额</w:t>
      </w:r>
      <w:r>
        <w:rPr>
          <w:rFonts w:hint="eastAsia" w:ascii="宋体" w:hAnsi="宋体" w:cs="Courier New"/>
          <w:color w:val="000000"/>
          <w:sz w:val="24"/>
          <w:szCs w:val="24"/>
          <w:u w:val="single"/>
        </w:rPr>
        <w:t xml:space="preserve"> 1%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932"/>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932"/>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rPr>
          <w:rFonts w:hint="eastAsia" w:ascii="方正黑体_GBK" w:hAnsi="方正黑体_GBK" w:eastAsia="方正黑体_GBK" w:cs="方正黑体_GBK"/>
          <w:bCs/>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932"/>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73"/>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73"/>
        <w:ind w:firstLine="240"/>
        <w:spacing w:before="120" w:after="120"/>
        <w:rPr>
          <w:rFonts w:hint="eastAsia" w:hAnsi="宋体"/>
          <w:color w:val="000000"/>
          <w:sz w:val="24"/>
          <w:szCs w:val="24"/>
        </w:rPr>
      </w:pPr>
      <w:r/>
      <w:bookmarkEnd w:id="54"/>
      <w:r/>
      <w:bookmarkEnd w:id="55"/>
      <w:r/>
      <w:bookmarkEnd w:id="56"/>
      <w:r>
        <w:rPr>
          <w:rFonts w:hint="eastAsia" w:hAnsi="宋体"/>
          <w:color w:val="000000"/>
          <w:sz w:val="24"/>
          <w:szCs w:val="24"/>
        </w:rPr>
        <w:t xml:space="preserve">甲方：（公章）                       乙方：（公章） </w:t>
      </w:r>
      <w:r>
        <w:rPr>
          <w:rFonts w:hint="eastAsia" w:hAnsi="宋体"/>
          <w:color w:val="000000"/>
          <w:sz w:val="24"/>
          <w:szCs w:val="24"/>
        </w:rPr>
      </w:r>
      <w:r/>
    </w:p>
    <w:p>
      <w:pPr>
        <w:pStyle w:val="973"/>
        <w:spacing w:before="120" w:after="120"/>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973"/>
        <w:spacing w:before="120" w:after="120"/>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973"/>
        <w:ind w:firstLine="240"/>
        <w:spacing w:before="120" w:after="120"/>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973"/>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73"/>
        <w:ind w:firstLine="5280"/>
        <w:spacing w:before="120" w:after="120"/>
        <w:rPr>
          <w:rFonts w:hint="eastAsia" w:hAnsi="宋体"/>
          <w:color w:val="000000"/>
          <w:sz w:val="24"/>
          <w:szCs w:val="24"/>
        </w:rPr>
      </w:pPr>
      <w:r>
        <w:rPr>
          <w:rFonts w:hint="eastAsia" w:hAnsi="宋体"/>
          <w:color w:val="000000"/>
          <w:sz w:val="24"/>
          <w:szCs w:val="24"/>
        </w:rPr>
        <w:t xml:space="preserve">签订日期：</w:t>
      </w:r>
      <w:r>
        <w:rPr>
          <w:rFonts w:hint="eastAsia" w:hAnsi="宋体"/>
          <w:color w:val="000000"/>
          <w:sz w:val="24"/>
          <w:szCs w:val="24"/>
        </w:rPr>
      </w:r>
      <w:r/>
    </w:p>
    <w:p>
      <w:pPr>
        <w:pStyle w:val="973"/>
        <w:ind w:firstLine="4800"/>
        <w:spacing w:before="120" w:after="120"/>
        <w:rPr>
          <w:rFonts w:hint="eastAsia" w:hAnsi="宋体"/>
          <w:color w:val="000000"/>
          <w:sz w:val="24"/>
          <w:szCs w:val="24"/>
        </w:rPr>
      </w:pPr>
      <w:r>
        <w:rPr>
          <w:rFonts w:hint="eastAsia" w:hAnsi="宋体"/>
          <w:color w:val="000000"/>
          <w:sz w:val="24"/>
          <w:szCs w:val="24"/>
        </w:rPr>
      </w:r>
      <w:r/>
    </w:p>
    <w:p>
      <w:pPr>
        <w:pStyle w:val="932"/>
        <w:jc w:val="center"/>
        <w:spacing w:before="145" w:after="145"/>
        <w:rPr>
          <w:rFonts w:hint="eastAsia" w:ascii="宋体" w:hAnsi="宋体"/>
          <w:b/>
          <w:color w:val="000000"/>
          <w:sz w:val="30"/>
        </w:rPr>
      </w:pPr>
      <w:r>
        <w:rPr>
          <w:rFonts w:hint="eastAsia" w:ascii="宋体" w:hAnsi="宋体"/>
          <w:b/>
          <w:color w:val="000000"/>
          <w:sz w:val="30"/>
        </w:rPr>
      </w:r>
      <w:r/>
    </w:p>
    <w:p>
      <w:pPr>
        <w:pStyle w:val="932"/>
        <w:jc w:val="center"/>
        <w:spacing w:before="145" w:after="145"/>
        <w:rPr>
          <w:rFonts w:hint="eastAsia" w:ascii="宋体" w:hAnsi="宋体"/>
          <w:b/>
          <w:color w:val="000000"/>
          <w:sz w:val="30"/>
        </w:rPr>
        <w:outlineLvl w:val="1"/>
      </w:pPr>
      <w:r>
        <w:rPr>
          <w:rFonts w:hint="eastAsia" w:ascii="宋体" w:hAnsi="宋体"/>
          <w:b/>
          <w:color w:val="000000"/>
          <w:sz w:val="30"/>
        </w:rPr>
        <w:t xml:space="preserve">《*******合同》补充协议（合同附件）</w:t>
      </w:r>
      <w:r>
        <w:rPr>
          <w:rFonts w:hint="eastAsia" w:ascii="宋体" w:hAnsi="宋体"/>
          <w:b/>
          <w:color w:val="000000"/>
          <w:sz w:val="30"/>
        </w:rPr>
      </w:r>
      <w:r/>
    </w:p>
    <w:p>
      <w:pPr>
        <w:pStyle w:val="973"/>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105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第四章  采购需求</w:t>
      </w:r>
      <w:r>
        <w:rPr>
          <w:rFonts w:hint="eastAsia" w:ascii="方正小标宋简体" w:hAnsi="方正小标宋简体" w:eastAsia="方正小标宋简体" w:cs="方正小标宋简体"/>
          <w:color w:val="000000"/>
          <w:sz w:val="36"/>
          <w:szCs w:val="36"/>
        </w:rPr>
      </w:r>
      <w:r/>
    </w:p>
    <w:p>
      <w:pPr>
        <w:pStyle w:val="93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93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932"/>
        <w:ind w:firstLine="480"/>
        <w:spacing w:line="264" w:lineRule="auto"/>
        <w:rPr>
          <w:rFonts w:ascii="宋体" w:hAnsi="宋体"/>
          <w:color w:val="000000"/>
          <w:sz w:val="24"/>
          <w:szCs w:val="24"/>
        </w:rPr>
      </w:pPr>
      <w:r>
        <w:rPr>
          <w:rFonts w:hint="eastAsia" w:ascii="宋体" w:hAnsi="宋体"/>
          <w:color w:val="000000"/>
          <w:sz w:val="24"/>
          <w:szCs w:val="24"/>
        </w:rPr>
        <w:t xml:space="preserve">当前我国孕产妇死亡率已实现大幅下降，但高危孕产妇占比仍持续走高，同时还存在区域医疗资源分配不均、基层筛查识别能力薄弱、孕产妇就医依从性不足等诸多现实难题。本项目打造由智能体驱动的区域级高危孕产妇全周期管理平台，全面打通社区、基层医疗机构与专科医院的数据链路，真正实现高危孕产妇早发现、早定位、早转诊；同时依托移动端线上服务覆盖孕产全周期，切实减少孕产妇往返奔波，让孕妇享受更加优质的医疗服务。</w:t>
      </w:r>
      <w:r>
        <w:rPr>
          <w:rFonts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本项目由医院提供算力。</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（二）建设目标</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（1）建设区域孕产妇重点人群管理池，实现高危孕产妇等重点对象动态入池、分层分类和持续追踪。</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（2）建设妇幼专题数据底座，归集院内诊疗、基层建档筛查、妇幼移动专区行为、随访平台回传等数据，形成可扩展的妇幼数据资产。</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（3）建设孕产妇画像、标签、队列和风险分层规则，为随访平台、移动专区、转诊协同和运行看板提供标准化特征服务。</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（4）建立区域内医疗机构间高危孕产妇智能转诊通道，实现转诊流程规范化、智能化、可视化，支撑基层筛查、专科评估、高危上转、专科处置、回转接续和质量评价的全流程闭环管理。</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（5）打造以孕产妇为中心的移动端应用，提供全周期、个性化、便捷化的线上服务体验。</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（6）实现区域医疗资源智能调度与协同，提升高危孕产妇管理效率和救治水平。</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（7）建立统一的数据标准和共享机制，预留与医院统一随访平台、互联网医院、区域平台和AI能力接口，避免重复建设和系统割裂，推动区域内妇幼健康服务一体化发展。</w:t>
      </w:r>
      <w:r>
        <w:rPr>
          <w:rFonts w:hint="eastAsia" w:ascii="宋体" w:hAnsi="宋体"/>
          <w:color w:val="000000"/>
          <w:sz w:val="24"/>
          <w:szCs w:val="24"/>
        </w:rPr>
      </w:r>
      <w:r/>
    </w:p>
    <w:p>
      <w:pPr>
        <w:pStyle w:val="93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（三）项目建设遵循标准</w:t>
      </w:r>
      <w:r>
        <w:rPr>
          <w:rFonts w:hint="eastAsia" w:ascii="黑体" w:hAnsi="黑体" w:eastAsia="黑体" w:cs="黑体"/>
          <w:color w:val="000000"/>
          <w:sz w:val="24"/>
          <w:szCs w:val="24"/>
        </w:rPr>
      </w:r>
      <w:r/>
    </w:p>
    <w:p>
      <w:pPr>
        <w:pStyle w:val="932"/>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rPr>
          <w:rFonts w:hint="eastAsia" w:ascii="宋体" w:hAnsi="宋体" w:cs="宋体"/>
          <w:bCs/>
          <w:color w:val="000000"/>
          <w:sz w:val="24"/>
          <w:szCs w:val="24"/>
        </w:rPr>
      </w:r>
      <w:r/>
    </w:p>
    <w:p>
      <w:pPr>
        <w:pStyle w:val="932"/>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hint="eastAsia" w:ascii="黑体" w:hAnsi="黑体" w:eastAsia="黑体" w:cs="黑体"/>
          <w:color w:val="000000"/>
          <w:sz w:val="24"/>
          <w:szCs w:val="24"/>
        </w:rPr>
      </w:r>
      <w:r/>
    </w:p>
    <w:tbl>
      <w:tblPr>
        <w:tblW w:w="5005" w:type="pct"/>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77"/>
        <w:gridCol w:w="2495"/>
        <w:gridCol w:w="791"/>
        <w:gridCol w:w="751"/>
        <w:gridCol w:w="1111"/>
        <w:gridCol w:w="1397"/>
        <w:gridCol w:w="1156"/>
        <w:gridCol w:w="1194"/>
      </w:tblGrid>
      <w:tr>
        <w:trPr>
          <w:trHeight w:val="470"/>
        </w:trPr>
        <w:tc>
          <w:tcPr>
            <w:tcW w:w="448" w:type="dxa"/>
            <w:vAlign w:val="center"/>
            <w:textDirection w:val="lrTb"/>
            <w:noWrap w:val="false"/>
          </w:tcPr>
          <w:p>
            <w:pPr>
              <w:pStyle w:val="932"/>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1275" w:type="dxa"/>
            <w:vAlign w:val="center"/>
            <w:textDirection w:val="lrTb"/>
            <w:noWrap w:val="false"/>
          </w:tcPr>
          <w:p>
            <w:pPr>
              <w:pStyle w:val="932"/>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分项名称</w:t>
            </w:r>
            <w:r>
              <w:rPr>
                <w:rFonts w:hint="eastAsia" w:ascii="宋体" w:hAnsi="宋体"/>
                <w:bCs/>
                <w:color w:val="000000"/>
                <w:sz w:val="24"/>
                <w:szCs w:val="24"/>
              </w:rPr>
            </w:r>
            <w:r/>
          </w:p>
        </w:tc>
        <w:tc>
          <w:tcPr>
            <w:tcW w:w="404" w:type="dxa"/>
            <w:vAlign w:val="center"/>
            <w:textDirection w:val="lrTb"/>
            <w:noWrap w:val="false"/>
          </w:tcPr>
          <w:p>
            <w:pPr>
              <w:pStyle w:val="932"/>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数量</w:t>
            </w:r>
            <w:r>
              <w:rPr>
                <w:rFonts w:hint="eastAsia" w:ascii="宋体" w:hAnsi="宋体"/>
                <w:bCs/>
                <w:color w:val="000000"/>
                <w:sz w:val="24"/>
                <w:szCs w:val="24"/>
              </w:rPr>
            </w:r>
            <w:r/>
          </w:p>
        </w:tc>
        <w:tc>
          <w:tcPr>
            <w:tcW w:w="384" w:type="dxa"/>
            <w:vAlign w:val="center"/>
            <w:textDirection w:val="lrTb"/>
            <w:noWrap w:val="false"/>
          </w:tcPr>
          <w:p>
            <w:pPr>
              <w:pStyle w:val="932"/>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单位</w:t>
            </w:r>
            <w:r>
              <w:rPr>
                <w:rFonts w:hint="eastAsia" w:ascii="宋体" w:hAnsi="宋体"/>
                <w:bCs/>
                <w:color w:val="000000"/>
                <w:sz w:val="24"/>
                <w:szCs w:val="24"/>
              </w:rPr>
            </w:r>
            <w:r/>
          </w:p>
        </w:tc>
        <w:tc>
          <w:tcPr>
            <w:tcW w:w="568" w:type="dxa"/>
            <w:vAlign w:val="center"/>
            <w:textDirection w:val="lrTb"/>
            <w:noWrap w:val="false"/>
          </w:tcPr>
          <w:p>
            <w:pPr>
              <w:pStyle w:val="932"/>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产品类型</w:t>
            </w:r>
            <w:r>
              <w:rPr>
                <w:rFonts w:hint="eastAsia" w:ascii="宋体" w:hAnsi="宋体"/>
                <w:bCs/>
                <w:color w:val="000000"/>
                <w:sz w:val="24"/>
                <w:szCs w:val="24"/>
              </w:rPr>
            </w:r>
            <w:r/>
          </w:p>
        </w:tc>
        <w:tc>
          <w:tcPr>
            <w:tcW w:w="714" w:type="dxa"/>
            <w:vAlign w:val="center"/>
            <w:textDirection w:val="lrTb"/>
            <w:noWrap w:val="false"/>
          </w:tcPr>
          <w:p>
            <w:pPr>
              <w:pStyle w:val="932"/>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所属行业</w:t>
            </w:r>
            <w:r>
              <w:rPr>
                <w:rFonts w:hint="eastAsia" w:ascii="宋体" w:hAnsi="宋体"/>
                <w:bCs/>
                <w:color w:val="000000"/>
                <w:sz w:val="24"/>
                <w:szCs w:val="24"/>
              </w:rPr>
            </w:r>
            <w:r/>
          </w:p>
        </w:tc>
        <w:tc>
          <w:tcPr>
            <w:tcW w:w="591" w:type="dxa"/>
            <w:vAlign w:val="center"/>
            <w:textDirection w:val="lrTb"/>
            <w:noWrap w:val="false"/>
          </w:tcPr>
          <w:p>
            <w:pPr>
              <w:pStyle w:val="932"/>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属性</w:t>
            </w:r>
            <w:r>
              <w:rPr>
                <w:rFonts w:hint="eastAsia" w:ascii="宋体" w:hAnsi="宋体"/>
                <w:bCs/>
                <w:color w:val="000000"/>
                <w:sz w:val="24"/>
                <w:szCs w:val="24"/>
              </w:rPr>
            </w:r>
            <w:r/>
          </w:p>
        </w:tc>
        <w:tc>
          <w:tcPr>
            <w:tcW w:w="610" w:type="dxa"/>
            <w:vAlign w:val="center"/>
            <w:textDirection w:val="lrTb"/>
            <w:noWrap w:val="false"/>
          </w:tcPr>
          <w:p>
            <w:pPr>
              <w:pStyle w:val="93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数据交易类型</w:t>
            </w:r>
            <w:r>
              <w:rPr>
                <w:rFonts w:hint="eastAsia" w:ascii="宋体" w:hAnsi="宋体" w:cs="宋体"/>
                <w:bCs/>
                <w:color w:val="000000"/>
                <w:sz w:val="24"/>
                <w:szCs w:val="24"/>
              </w:rPr>
            </w:r>
            <w:r/>
          </w:p>
        </w:tc>
      </w:tr>
      <w:tr>
        <w:trPr>
          <w:trHeight w:val="597"/>
        </w:trPr>
        <w:tc>
          <w:tcPr>
            <w:tcW w:w="448" w:type="dxa"/>
            <w:vAlign w:val="center"/>
            <w:textDirection w:val="lrTb"/>
            <w:noWrap w:val="false"/>
          </w:tcPr>
          <w:p>
            <w:pPr>
              <w:pStyle w:val="932"/>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1275" w:type="dxa"/>
            <w:vAlign w:val="center"/>
            <w:textDirection w:val="lrTb"/>
            <w:noWrap w:val="false"/>
          </w:tcPr>
          <w:p>
            <w:pPr>
              <w:pStyle w:val="932"/>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南京鼓楼医院智能体驱动的区域高危孕产妇全周期管理系统</w:t>
            </w:r>
            <w:r>
              <w:rPr>
                <w:rFonts w:hint="eastAsia" w:ascii="宋体" w:hAnsi="宋体"/>
                <w:bCs/>
                <w:color w:val="000000"/>
                <w:sz w:val="24"/>
                <w:szCs w:val="24"/>
              </w:rPr>
            </w:r>
            <w:r/>
          </w:p>
        </w:tc>
        <w:tc>
          <w:tcPr>
            <w:tcW w:w="404" w:type="dxa"/>
            <w:vAlign w:val="center"/>
            <w:textDirection w:val="lrTb"/>
            <w:noWrap w:val="false"/>
          </w:tcPr>
          <w:p>
            <w:pPr>
              <w:pStyle w:val="932"/>
              <w:jc w:val="center"/>
              <w:spacing w:line="264" w:lineRule="auto"/>
              <w:rPr>
                <w:rFonts w:hint="eastAsia" w:ascii="宋体" w:hAnsi="宋体"/>
                <w:bCs/>
                <w:color w:val="000000"/>
                <w:sz w:val="24"/>
                <w:szCs w:val="24"/>
              </w:rPr>
            </w:pPr>
            <w:r>
              <w:rPr>
                <w:rFonts w:ascii="宋体" w:hAnsi="宋体" w:cs="宋体"/>
                <w:bCs/>
                <w:color w:val="000000"/>
                <w:sz w:val="24"/>
                <w:szCs w:val="24"/>
              </w:rPr>
              <w:t xml:space="preserve">1</w:t>
            </w:r>
            <w:r>
              <w:rPr>
                <w:rFonts w:hint="eastAsia" w:ascii="宋体" w:hAnsi="宋体"/>
                <w:bCs/>
                <w:color w:val="000000"/>
                <w:sz w:val="24"/>
                <w:szCs w:val="24"/>
              </w:rPr>
            </w:r>
            <w:r/>
          </w:p>
        </w:tc>
        <w:tc>
          <w:tcPr>
            <w:tcW w:w="384" w:type="dxa"/>
            <w:vAlign w:val="center"/>
            <w:textDirection w:val="lrTb"/>
            <w:noWrap w:val="false"/>
          </w:tcPr>
          <w:p>
            <w:pPr>
              <w:pStyle w:val="93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项</w:t>
            </w:r>
            <w:r>
              <w:rPr>
                <w:rFonts w:hint="eastAsia" w:ascii="宋体" w:hAnsi="宋体" w:cs="宋体"/>
                <w:bCs/>
                <w:color w:val="000000"/>
                <w:sz w:val="24"/>
                <w:szCs w:val="24"/>
              </w:rPr>
            </w:r>
            <w:r/>
          </w:p>
        </w:tc>
        <w:tc>
          <w:tcPr>
            <w:tcW w:w="568" w:type="dxa"/>
            <w:vAlign w:val="center"/>
            <w:textDirection w:val="lrTb"/>
            <w:noWrap w:val="false"/>
          </w:tcPr>
          <w:p>
            <w:pPr>
              <w:pStyle w:val="932"/>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主要产品</w:t>
            </w:r>
            <w:r>
              <w:rPr>
                <w:rFonts w:hint="eastAsia" w:ascii="宋体" w:hAnsi="宋体"/>
                <w:bCs/>
                <w:color w:val="000000"/>
                <w:sz w:val="24"/>
                <w:szCs w:val="24"/>
              </w:rPr>
            </w:r>
            <w:r/>
          </w:p>
        </w:tc>
        <w:tc>
          <w:tcPr>
            <w:tcW w:w="714" w:type="dxa"/>
            <w:vAlign w:val="center"/>
            <w:textDirection w:val="lrTb"/>
            <w:noWrap w:val="false"/>
          </w:tcPr>
          <w:p>
            <w:pPr>
              <w:pStyle w:val="93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91" w:type="dxa"/>
            <w:vAlign w:val="center"/>
            <w:textDirection w:val="lrTb"/>
            <w:noWrap w:val="false"/>
          </w:tcPr>
          <w:p>
            <w:pPr>
              <w:pStyle w:val="93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610" w:type="dxa"/>
            <w:vAlign w:val="center"/>
            <w:textDirection w:val="lrTb"/>
            <w:noWrap w:val="false"/>
          </w:tcPr>
          <w:p>
            <w:pPr>
              <w:pStyle w:val="932"/>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数据服务</w:t>
            </w:r>
            <w:r>
              <w:rPr>
                <w:rFonts w:hint="eastAsia" w:ascii="宋体" w:hAnsi="宋体" w:cs="宋体"/>
                <w:bCs/>
                <w:color w:val="000000"/>
                <w:sz w:val="24"/>
                <w:szCs w:val="24"/>
              </w:rPr>
            </w:r>
            <w:r/>
          </w:p>
        </w:tc>
      </w:tr>
    </w:tbl>
    <w:p>
      <w:pPr>
        <w:pStyle w:val="932"/>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tbl>
      <w:tblPr>
        <w:tblW w:w="10102" w:type="dxa"/>
        <w:jc w:val="righ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541"/>
        <w:gridCol w:w="168"/>
        <w:gridCol w:w="992"/>
        <w:gridCol w:w="7550"/>
      </w:tblGrid>
      <w:tr>
        <w:trPr>
          <w:trHeight w:val="266"/>
        </w:trPr>
        <w:tc>
          <w:tcPr>
            <w:tcW w:w="851" w:type="dxa"/>
            <w:vAlign w:val="center"/>
            <w:textDirection w:val="lrTb"/>
            <w:noWrap/>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系统</w:t>
            </w:r>
            <w:r>
              <w:rPr>
                <w:rFonts w:ascii="宋体" w:hAnsi="宋体" w:cs="宋体"/>
                <w:color w:val="000000"/>
                <w:spacing w:val="-8"/>
                <w:sz w:val="20"/>
                <w:szCs w:val="20"/>
              </w:rPr>
            </w:r>
            <w:r/>
          </w:p>
        </w:tc>
        <w:tc>
          <w:tcPr>
            <w:gridSpan w:val="2"/>
            <w:tcW w:w="709" w:type="dxa"/>
            <w:vAlign w:val="center"/>
            <w:textDirection w:val="lrTb"/>
            <w:noWrap/>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模块</w:t>
            </w:r>
            <w:r>
              <w:rPr>
                <w:rFonts w:hint="eastAsia" w:ascii="宋体" w:hAnsi="宋体" w:cs="宋体"/>
                <w:color w:val="000000"/>
                <w:spacing w:val="-8"/>
                <w:sz w:val="20"/>
                <w:szCs w:val="20"/>
              </w:rPr>
            </w:r>
            <w:r/>
          </w:p>
        </w:tc>
        <w:tc>
          <w:tcPr>
            <w:tcW w:w="992" w:type="dxa"/>
            <w:vAlign w:val="center"/>
            <w:textDirection w:val="lrTb"/>
            <w:noWrap/>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功能</w:t>
            </w:r>
            <w:r>
              <w:rPr>
                <w:rFonts w:hint="eastAsia" w:ascii="宋体" w:hAnsi="宋体" w:cs="宋体"/>
                <w:color w:val="000000"/>
                <w:spacing w:val="-8"/>
                <w:sz w:val="20"/>
                <w:szCs w:val="20"/>
              </w:rPr>
            </w:r>
            <w:r/>
          </w:p>
        </w:tc>
        <w:tc>
          <w:tcPr>
            <w:tcW w:w="7550" w:type="dxa"/>
            <w:vAlign w:val="center"/>
            <w:textDirection w:val="lrTb"/>
            <w:noWrap/>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技术要求</w:t>
            </w:r>
            <w:r>
              <w:rPr>
                <w:rFonts w:hint="eastAsia" w:ascii="宋体" w:hAnsi="宋体" w:cs="宋体"/>
                <w:color w:val="000000"/>
                <w:spacing w:val="-8"/>
                <w:sz w:val="20"/>
                <w:szCs w:val="20"/>
              </w:rPr>
            </w:r>
            <w:r/>
          </w:p>
        </w:tc>
      </w:tr>
      <w:tr>
        <w:trPr>
          <w:trHeight w:val="276"/>
        </w:trPr>
        <w:tc>
          <w:tcPr>
            <w:tcW w:w="851"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智能体能力平台</w:t>
            </w:r>
            <w:r>
              <w:rPr>
                <w:rFonts w:hint="eastAsia" w:ascii="宋体" w:hAnsi="宋体" w:cs="宋体"/>
                <w:color w:val="000000"/>
                <w:spacing w:val="-8"/>
                <w:sz w:val="20"/>
                <w:szCs w:val="20"/>
              </w:rPr>
            </w:r>
            <w:r/>
          </w:p>
        </w:tc>
        <w:tc>
          <w:tcPr>
            <w:gridSpan w:val="2"/>
            <w:tcW w:w="709"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高危初筛引擎</w:t>
            </w:r>
            <w:r>
              <w:rPr>
                <w:rFonts w:hint="eastAsia"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多源数据融合初筛</w:t>
            </w:r>
            <w:r>
              <w:rPr>
                <w:rFonts w:hint="eastAsia"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1. </w:t>
            </w:r>
            <w:r>
              <w:rPr>
                <w:rFonts w:hint="eastAsia" w:ascii="宋体" w:hAnsi="宋体" w:cs="宋体"/>
                <w:color w:val="000000"/>
                <w:spacing w:val="-8"/>
                <w:sz w:val="20"/>
                <w:szCs w:val="20"/>
              </w:rPr>
              <w:t xml:space="preserve">融合整个区域的孕妇档案数据，包括但不限于孕妇基本信息（年龄、孕产史、病史等）、产检数据（身高、体重、血压、脉搏、宫高、腹围、胎心、胎先露、胎方位、胎心监护等）、检验检查数据（血常规、尿常规、生化、血糖、</w:t>
            </w:r>
            <w:r>
              <w:rPr>
                <w:rFonts w:ascii="Cambria" w:hAnsi="Cambria" w:cs="宋体"/>
                <w:color w:val="000000"/>
                <w:spacing w:val="-8"/>
                <w:sz w:val="20"/>
                <w:szCs w:val="20"/>
              </w:rPr>
              <w:t xml:space="preserve">B</w:t>
            </w:r>
            <w:r>
              <w:rPr>
                <w:rFonts w:hint="eastAsia" w:ascii="宋体" w:hAnsi="宋体" w:cs="宋体"/>
                <w:color w:val="000000"/>
                <w:spacing w:val="-8"/>
                <w:sz w:val="20"/>
                <w:szCs w:val="20"/>
              </w:rPr>
              <w:t xml:space="preserve">超等）进行综合分析</w:t>
            </w:r>
            <w:r>
              <w:rPr>
                <w:rFonts w:hint="eastAsia" w:ascii="宋体" w:hAnsi="宋体" w:cs="宋体"/>
                <w:color w:val="000000"/>
                <w:spacing w:val="-8"/>
                <w:sz w:val="20"/>
                <w:szCs w:val="20"/>
              </w:rPr>
              <w:br w:type="textWrapping" w:clear="all"/>
            </w:r>
            <w:r>
              <w:rPr>
                <w:rFonts w:ascii="Cambria" w:hAnsi="Cambria" w:cs="宋体"/>
                <w:color w:val="000000"/>
                <w:spacing w:val="-8"/>
                <w:sz w:val="20"/>
                <w:szCs w:val="20"/>
              </w:rPr>
              <w:t xml:space="preserve">2. </w:t>
            </w:r>
            <w:r>
              <w:rPr>
                <w:rFonts w:hint="eastAsia" w:ascii="宋体" w:hAnsi="宋体" w:cs="宋体"/>
                <w:color w:val="000000"/>
                <w:spacing w:val="-8"/>
                <w:sz w:val="20"/>
                <w:szCs w:val="20"/>
              </w:rPr>
              <w:t xml:space="preserve">支持结构化数据和非结构化数据（病历文本、检查报告）的联合分析</w:t>
            </w:r>
            <w:r>
              <w:rPr>
                <w:rFonts w:hint="eastAsia" w:ascii="宋体" w:hAnsi="宋体" w:cs="宋体"/>
                <w:color w:val="000000"/>
                <w:spacing w:val="-8"/>
                <w:sz w:val="20"/>
                <w:szCs w:val="20"/>
              </w:rPr>
              <w:br w:type="textWrapping" w:clear="all"/>
            </w:r>
            <w:r>
              <w:rPr>
                <w:rFonts w:ascii="Cambria" w:hAnsi="Cambria" w:cs="宋体"/>
                <w:color w:val="000000"/>
                <w:spacing w:val="-8"/>
                <w:sz w:val="20"/>
                <w:szCs w:val="20"/>
              </w:rPr>
              <w:t xml:space="preserve">3. </w:t>
            </w:r>
            <w:r>
              <w:rPr>
                <w:rFonts w:hint="eastAsia" w:ascii="宋体" w:hAnsi="宋体" w:cs="宋体"/>
                <w:color w:val="000000"/>
                <w:spacing w:val="-8"/>
                <w:sz w:val="20"/>
                <w:szCs w:val="20"/>
              </w:rPr>
              <w:t xml:space="preserve">支持在每个关键节点，如建档时、每次产检后、检验报告出具后自动触发</w:t>
            </w:r>
            <w:r>
              <w:rPr>
                <w:rFonts w:hint="eastAsia" w:ascii="宋体" w:hAnsi="宋体" w:cs="宋体"/>
                <w:color w:val="000000"/>
                <w:spacing w:val="-8"/>
                <w:sz w:val="20"/>
                <w:szCs w:val="20"/>
              </w:rPr>
              <w:br w:type="textWrapping" w:clear="all"/>
            </w:r>
            <w:r>
              <w:rPr>
                <w:rFonts w:ascii="Cambria" w:hAnsi="Cambria" w:cs="宋体"/>
                <w:color w:val="000000"/>
                <w:spacing w:val="-8"/>
                <w:sz w:val="20"/>
                <w:szCs w:val="20"/>
              </w:rPr>
              <w:t xml:space="preserve">4. </w:t>
            </w:r>
            <w:r>
              <w:rPr>
                <w:rFonts w:hint="eastAsia" w:ascii="宋体" w:hAnsi="宋体" w:cs="宋体"/>
                <w:color w:val="000000"/>
                <w:spacing w:val="-8"/>
                <w:sz w:val="20"/>
                <w:szCs w:val="20"/>
              </w:rPr>
              <w:t xml:space="preserve">支持数据质量自动校验，对缺失、异常数据自动标记和补录提醒</w:t>
            </w:r>
            <w:r>
              <w:rPr>
                <w:rFonts w:hint="eastAsia" w:ascii="Cambria" w:hAnsi="Cambria" w:cs="宋体"/>
                <w:color w:val="000000"/>
                <w:spacing w:val="-8"/>
                <w:sz w:val="20"/>
                <w:szCs w:val="20"/>
              </w:rPr>
            </w:r>
            <w:r/>
          </w:p>
        </w:tc>
      </w:tr>
      <w:tr>
        <w:trPr>
          <w:trHeight w:val="1838"/>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高危因素识别</w:t>
            </w:r>
            <w:r>
              <w:rPr>
                <w:rFonts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1. </w:t>
            </w:r>
            <w:r>
              <w:rPr>
                <w:rFonts w:hint="eastAsia" w:ascii="宋体" w:hAnsi="宋体" w:cs="宋体"/>
                <w:color w:val="000000"/>
                <w:spacing w:val="-8"/>
                <w:sz w:val="20"/>
                <w:szCs w:val="20"/>
              </w:rPr>
              <w:t xml:space="preserve">支持动态规则扩展，管理员可通过可视化界面新增</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修改规则，无需编码</w:t>
            </w:r>
            <w:r>
              <w:rPr>
                <w:rFonts w:hint="eastAsia" w:ascii="宋体" w:hAnsi="宋体" w:cs="宋体"/>
                <w:color w:val="000000"/>
                <w:spacing w:val="-8"/>
                <w:sz w:val="20"/>
                <w:szCs w:val="20"/>
              </w:rPr>
              <w:br w:type="textWrapping" w:clear="all"/>
            </w:r>
            <w:r>
              <w:rPr>
                <w:rFonts w:ascii="Cambria" w:hAnsi="Cambria" w:cs="宋体"/>
                <w:color w:val="000000"/>
                <w:spacing w:val="-8"/>
                <w:sz w:val="20"/>
                <w:szCs w:val="20"/>
              </w:rPr>
              <w:t xml:space="preserve">2. </w:t>
            </w:r>
            <w:r>
              <w:rPr>
                <w:rFonts w:hint="eastAsia" w:ascii="宋体" w:hAnsi="宋体" w:cs="宋体"/>
                <w:color w:val="000000"/>
                <w:spacing w:val="-8"/>
                <w:sz w:val="20"/>
                <w:szCs w:val="20"/>
              </w:rPr>
              <w:t xml:space="preserve">规则执行支持实时触发和批量回溯两种模式</w:t>
            </w:r>
            <w:r>
              <w:rPr>
                <w:rFonts w:hint="eastAsia" w:ascii="宋体" w:hAnsi="宋体" w:cs="宋体"/>
                <w:color w:val="000000"/>
                <w:spacing w:val="-8"/>
                <w:sz w:val="20"/>
                <w:szCs w:val="20"/>
              </w:rPr>
              <w:br w:type="textWrapping" w:clear="all"/>
            </w:r>
            <w:r>
              <w:rPr>
                <w:rFonts w:ascii="Cambria" w:hAnsi="Cambria" w:cs="宋体"/>
                <w:color w:val="000000"/>
                <w:spacing w:val="-8"/>
                <w:sz w:val="20"/>
                <w:szCs w:val="20"/>
              </w:rPr>
              <w:t xml:space="preserve">3. </w:t>
            </w:r>
            <w:r>
              <w:rPr>
                <w:rFonts w:hint="eastAsia" w:ascii="宋体" w:hAnsi="宋体" w:cs="宋体"/>
                <w:color w:val="000000"/>
                <w:spacing w:val="-8"/>
                <w:sz w:val="20"/>
                <w:szCs w:val="20"/>
              </w:rPr>
              <w:t xml:space="preserve">高危因素自动关联，支持因素组合风险评估</w:t>
            </w:r>
            <w:r>
              <w:rPr>
                <w:rFonts w:hint="eastAsia" w:ascii="宋体" w:hAnsi="宋体" w:cs="宋体"/>
                <w:color w:val="000000"/>
                <w:spacing w:val="-8"/>
                <w:sz w:val="20"/>
                <w:szCs w:val="20"/>
              </w:rPr>
              <w:br w:type="textWrapping" w:clear="all"/>
            </w:r>
            <w:r>
              <w:rPr>
                <w:rFonts w:ascii="Cambria" w:hAnsi="Cambria" w:cs="宋体"/>
                <w:color w:val="000000"/>
                <w:spacing w:val="-8"/>
                <w:sz w:val="20"/>
                <w:szCs w:val="20"/>
              </w:rPr>
              <w:t xml:space="preserve">4. </w:t>
            </w:r>
            <w:r>
              <w:rPr>
                <w:rFonts w:hint="eastAsia" w:ascii="宋体" w:hAnsi="宋体" w:cs="宋体"/>
                <w:color w:val="000000"/>
                <w:spacing w:val="-8"/>
                <w:sz w:val="20"/>
                <w:szCs w:val="20"/>
              </w:rPr>
              <w:t xml:space="preserve">高危因素变更历史可追溯，支持版本管理和回滚</w:t>
            </w:r>
            <w:r>
              <w:rPr>
                <w:rFonts w:hint="eastAsia" w:ascii="宋体" w:hAnsi="宋体" w:cs="宋体"/>
                <w:color w:val="000000"/>
                <w:spacing w:val="-8"/>
                <w:sz w:val="20"/>
                <w:szCs w:val="20"/>
              </w:rPr>
              <w:br w:type="textWrapping" w:clear="all"/>
            </w:r>
            <w:r>
              <w:rPr>
                <w:rFonts w:ascii="Cambria" w:hAnsi="Cambria" w:cs="宋体"/>
                <w:color w:val="000000"/>
                <w:spacing w:val="-8"/>
                <w:sz w:val="20"/>
                <w:szCs w:val="20"/>
              </w:rPr>
              <w:t xml:space="preserve">5. </w:t>
            </w:r>
            <w:r>
              <w:rPr>
                <w:rFonts w:hint="eastAsia" w:ascii="宋体" w:hAnsi="宋体" w:cs="宋体"/>
                <w:color w:val="000000"/>
                <w:spacing w:val="-8"/>
                <w:sz w:val="20"/>
                <w:szCs w:val="20"/>
              </w:rPr>
              <w:t xml:space="preserve">支持规则推理与图谱推理协同，可根据孕周、疾病、检查异常和因素组合识别潜在风险链路，输出推理路径和命中依据</w:t>
            </w:r>
            <w:r>
              <w:rPr>
                <w:rFonts w:hint="eastAsia" w:ascii="Cambria" w:hAnsi="Cambria" w:cs="宋体"/>
                <w:color w:val="000000"/>
                <w:spacing w:val="-8"/>
                <w:sz w:val="20"/>
                <w:szCs w:val="20"/>
              </w:rPr>
            </w:r>
            <w:r/>
          </w:p>
        </w:tc>
      </w:tr>
      <w:tr>
        <w:trPr>
          <w:trHeight w:val="1838"/>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风险分层评估</w:t>
            </w:r>
            <w:r>
              <w:rPr>
                <w:rFonts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1. </w:t>
            </w:r>
            <w:r>
              <w:rPr>
                <w:rFonts w:hint="eastAsia" w:ascii="宋体" w:hAnsi="宋体" w:cs="宋体"/>
                <w:color w:val="000000"/>
                <w:spacing w:val="-8"/>
                <w:sz w:val="20"/>
                <w:szCs w:val="20"/>
              </w:rPr>
              <w:t xml:space="preserve">按照国家规范自动分级：绿色（低风险）、黄色（一般风险）、橙色（较高风险）、红色（高风险）、紫色（传染病）</w:t>
            </w:r>
            <w:r>
              <w:rPr>
                <w:rFonts w:ascii="Cambria" w:hAnsi="Cambria" w:cs="宋体"/>
                <w:color w:val="000000"/>
                <w:spacing w:val="-8"/>
                <w:sz w:val="20"/>
                <w:szCs w:val="20"/>
              </w:rPr>
              <w:t xml:space="preserve">2.  </w:t>
            </w:r>
            <w:r>
              <w:rPr>
                <w:rFonts w:hint="eastAsia" w:ascii="宋体" w:hAnsi="宋体" w:cs="宋体"/>
                <w:color w:val="000000"/>
                <w:spacing w:val="-8"/>
                <w:sz w:val="20"/>
                <w:szCs w:val="20"/>
              </w:rPr>
              <w:t xml:space="preserve">风险分层结果附带可解释说明，列出所有命中因素及依据，支持风险趋势分析</w:t>
            </w:r>
            <w:r>
              <w:rPr>
                <w:rFonts w:hint="eastAsia" w:ascii="宋体" w:hAnsi="宋体" w:cs="宋体"/>
                <w:color w:val="000000"/>
                <w:spacing w:val="-8"/>
                <w:sz w:val="20"/>
                <w:szCs w:val="20"/>
              </w:rPr>
              <w:br w:type="textWrapping" w:clear="all"/>
            </w:r>
            <w:r>
              <w:rPr>
                <w:rFonts w:hint="eastAsia" w:ascii="Cambria" w:hAnsi="Cambria" w:cs="宋体"/>
                <w:color w:val="000000"/>
                <w:spacing w:val="-8"/>
                <w:sz w:val="20"/>
                <w:szCs w:val="20"/>
              </w:rPr>
              <w:t xml:space="preserve">2</w:t>
            </w:r>
            <w:r>
              <w:rPr>
                <w:rFonts w:ascii="Cambria" w:hAnsi="Cambria" w:cs="宋体"/>
                <w:color w:val="000000"/>
                <w:spacing w:val="-8"/>
                <w:sz w:val="20"/>
                <w:szCs w:val="20"/>
              </w:rPr>
              <w:t xml:space="preserve">. </w:t>
            </w:r>
            <w:r>
              <w:rPr>
                <w:rFonts w:hint="eastAsia" w:ascii="宋体" w:hAnsi="宋体" w:cs="宋体"/>
                <w:color w:val="000000"/>
                <w:spacing w:val="-8"/>
                <w:sz w:val="20"/>
                <w:szCs w:val="20"/>
              </w:rPr>
              <w:t xml:space="preserve">风险等级变更自动触发通知到医生端，审核后通知到移动端</w:t>
            </w:r>
            <w:r>
              <w:rPr>
                <w:rFonts w:hint="eastAsia" w:ascii="宋体" w:hAnsi="宋体" w:cs="宋体"/>
                <w:color w:val="000000"/>
                <w:spacing w:val="-8"/>
                <w:sz w:val="20"/>
                <w:szCs w:val="20"/>
              </w:rPr>
              <w:br w:type="textWrapping" w:clear="all"/>
            </w:r>
            <w:r>
              <w:rPr>
                <w:rFonts w:hint="eastAsia"/>
                <w:color w:val="000000"/>
              </w:rPr>
              <w:t xml:space="preserve">▲</w:t>
            </w:r>
            <w:r>
              <w:rPr>
                <w:rFonts w:hint="eastAsia" w:ascii="Cambria" w:hAnsi="Cambria" w:cs="宋体"/>
                <w:color w:val="000000"/>
                <w:spacing w:val="-8"/>
                <w:sz w:val="20"/>
                <w:szCs w:val="20"/>
              </w:rPr>
              <w:t xml:space="preserve">3</w:t>
            </w:r>
            <w:r>
              <w:rPr>
                <w:rFonts w:ascii="Cambria" w:hAnsi="Cambria" w:cs="宋体"/>
                <w:color w:val="000000"/>
                <w:spacing w:val="-8"/>
                <w:sz w:val="20"/>
                <w:szCs w:val="20"/>
              </w:rPr>
              <w:t xml:space="preserve">. </w:t>
            </w:r>
            <w:r>
              <w:rPr>
                <w:rFonts w:hint="eastAsia" w:ascii="宋体" w:hAnsi="宋体" w:cs="宋体"/>
                <w:color w:val="000000"/>
                <w:spacing w:val="-8"/>
                <w:sz w:val="20"/>
                <w:szCs w:val="20"/>
              </w:rPr>
              <w:t xml:space="preserve">支持风险动态评估，根据最新数据自动更新风险等级</w:t>
            </w:r>
            <w:r>
              <w:rPr>
                <w:rFonts w:hint="eastAsia" w:ascii="宋体" w:hAnsi="宋体" w:cs="宋体"/>
                <w:color w:val="000000"/>
                <w:spacing w:val="-8"/>
                <w:sz w:val="20"/>
                <w:szCs w:val="20"/>
              </w:rPr>
              <w:br w:type="textWrapping" w:clear="all"/>
            </w:r>
            <w:r>
              <w:rPr>
                <w:rFonts w:hint="eastAsia" w:ascii="Cambria" w:hAnsi="Cambria" w:cs="宋体"/>
                <w:color w:val="000000"/>
                <w:spacing w:val="-8"/>
                <w:sz w:val="20"/>
                <w:szCs w:val="20"/>
              </w:rPr>
              <w:t xml:space="preserve">4</w:t>
            </w:r>
            <w:r>
              <w:rPr>
                <w:rFonts w:ascii="Cambria" w:hAnsi="Cambria" w:cs="宋体"/>
                <w:color w:val="000000"/>
                <w:spacing w:val="-8"/>
                <w:sz w:val="20"/>
                <w:szCs w:val="20"/>
              </w:rPr>
              <w:t xml:space="preserve">. </w:t>
            </w:r>
            <w:r>
              <w:rPr>
                <w:rFonts w:hint="eastAsia" w:ascii="宋体" w:hAnsi="宋体" w:cs="宋体"/>
                <w:color w:val="000000"/>
                <w:spacing w:val="-8"/>
                <w:sz w:val="20"/>
                <w:szCs w:val="20"/>
              </w:rPr>
              <w:t xml:space="preserve">采用</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指南规则</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统计模型</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机器学习模型</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融合评估方式，规则结果用于强约束，模型结果用于风险概率和趋势预测</w:t>
            </w:r>
            <w:r>
              <w:rPr>
                <w:rFonts w:hint="eastAsia" w:ascii="宋体" w:hAnsi="宋体" w:cs="宋体"/>
                <w:color w:val="000000"/>
                <w:spacing w:val="-8"/>
                <w:sz w:val="20"/>
                <w:szCs w:val="20"/>
              </w:rPr>
              <w:br w:type="textWrapping" w:clear="all"/>
            </w:r>
            <w:r>
              <w:rPr>
                <w:rFonts w:hint="eastAsia" w:ascii="Cambria" w:hAnsi="Cambria" w:cs="宋体"/>
                <w:color w:val="000000"/>
                <w:spacing w:val="-8"/>
                <w:sz w:val="20"/>
                <w:szCs w:val="20"/>
              </w:rPr>
              <w:t xml:space="preserve">5</w:t>
            </w:r>
            <w:r>
              <w:rPr>
                <w:rFonts w:ascii="Cambria" w:hAnsi="Cambria" w:cs="宋体"/>
                <w:color w:val="000000"/>
                <w:spacing w:val="-8"/>
                <w:sz w:val="20"/>
                <w:szCs w:val="20"/>
              </w:rPr>
              <w:t xml:space="preserve">. </w:t>
            </w:r>
            <w:r>
              <w:rPr>
                <w:rFonts w:hint="eastAsia" w:ascii="宋体" w:hAnsi="宋体" w:cs="宋体"/>
                <w:color w:val="000000"/>
                <w:spacing w:val="-8"/>
                <w:sz w:val="20"/>
                <w:szCs w:val="20"/>
              </w:rPr>
              <w:t xml:space="preserve">模型结果仅作为辅助依据，风险升级、转诊和干预等关键环节支持医生审核、人工修正及修正原因记录</w:t>
            </w:r>
            <w:r>
              <w:rPr>
                <w:rFonts w:hint="eastAsia" w:ascii="Cambria" w:hAnsi="Cambria" w:cs="宋体"/>
                <w:color w:val="000000"/>
                <w:spacing w:val="-8"/>
                <w:sz w:val="20"/>
                <w:szCs w:val="20"/>
              </w:rPr>
            </w:r>
            <w:r/>
          </w:p>
        </w:tc>
      </w:tr>
      <w:tr>
        <w:trPr>
          <w:trHeight w:val="1245"/>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转诊推荐引擎</w:t>
            </w:r>
            <w:r>
              <w:rPr>
                <w:rFonts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hint="eastAsia"/>
                <w:color w:val="000000"/>
              </w:rPr>
              <w:t xml:space="preserve">▲</w:t>
            </w:r>
            <w:r>
              <w:rPr>
                <w:rFonts w:ascii="Cambria" w:hAnsi="Cambria" w:cs="宋体"/>
                <w:color w:val="000000"/>
                <w:spacing w:val="-8"/>
                <w:sz w:val="20"/>
                <w:szCs w:val="20"/>
              </w:rPr>
              <w:t xml:space="preserve">1. </w:t>
            </w:r>
            <w:r>
              <w:rPr>
                <w:rFonts w:hint="eastAsia" w:ascii="宋体" w:hAnsi="宋体" w:cs="宋体"/>
                <w:color w:val="000000"/>
                <w:spacing w:val="-8"/>
                <w:sz w:val="20"/>
                <w:szCs w:val="20"/>
              </w:rPr>
              <w:t xml:space="preserve">基于风险等级、地理位置、医院专科能力、床位情况，专家资源等智能推荐最佳转诊医院</w:t>
            </w:r>
            <w:r>
              <w:rPr>
                <w:rFonts w:hint="eastAsia" w:ascii="宋体" w:hAnsi="宋体" w:cs="宋体"/>
                <w:color w:val="000000"/>
                <w:spacing w:val="-8"/>
                <w:sz w:val="20"/>
                <w:szCs w:val="20"/>
              </w:rPr>
              <w:br w:type="textWrapping" w:clear="all"/>
            </w:r>
            <w:r>
              <w:rPr>
                <w:rFonts w:ascii="Cambria" w:hAnsi="Cambria" w:cs="宋体"/>
                <w:color w:val="000000"/>
                <w:spacing w:val="-8"/>
                <w:sz w:val="20"/>
                <w:szCs w:val="20"/>
              </w:rPr>
              <w:t xml:space="preserve">2. </w:t>
            </w:r>
            <w:r>
              <w:rPr>
                <w:rFonts w:hint="eastAsia" w:ascii="宋体" w:hAnsi="宋体" w:cs="宋体"/>
                <w:color w:val="000000"/>
                <w:spacing w:val="-8"/>
                <w:sz w:val="20"/>
                <w:szCs w:val="20"/>
              </w:rPr>
              <w:t xml:space="preserve">转诊推荐考虑因素：医院等级、专科特长、距离、当前接诊负荷、专家排班、预计等待时间等</w:t>
            </w:r>
            <w:r>
              <w:rPr>
                <w:rFonts w:hint="eastAsia" w:ascii="宋体" w:hAnsi="宋体" w:cs="宋体"/>
                <w:color w:val="000000"/>
                <w:spacing w:val="-8"/>
                <w:sz w:val="20"/>
                <w:szCs w:val="20"/>
              </w:rPr>
              <w:br w:type="textWrapping" w:clear="all"/>
            </w:r>
            <w:r>
              <w:rPr>
                <w:rFonts w:ascii="Cambria" w:hAnsi="Cambria" w:cs="宋体"/>
                <w:color w:val="000000"/>
                <w:spacing w:val="-8"/>
                <w:sz w:val="20"/>
                <w:szCs w:val="20"/>
              </w:rPr>
              <w:t xml:space="preserve">3. </w:t>
            </w:r>
            <w:r>
              <w:rPr>
                <w:rFonts w:hint="eastAsia" w:ascii="宋体" w:hAnsi="宋体" w:cs="宋体"/>
                <w:color w:val="000000"/>
                <w:spacing w:val="-8"/>
                <w:sz w:val="20"/>
                <w:szCs w:val="20"/>
              </w:rPr>
              <w:t xml:space="preserve">支持转诊优先级排序：红色风险优先、橙色次之，支持人工调整</w:t>
            </w:r>
            <w:r>
              <w:rPr>
                <w:rFonts w:hint="eastAsia" w:ascii="宋体" w:hAnsi="宋体" w:cs="宋体"/>
                <w:color w:val="000000"/>
                <w:spacing w:val="-8"/>
                <w:sz w:val="20"/>
                <w:szCs w:val="20"/>
              </w:rPr>
              <w:br w:type="textWrapping" w:clear="all"/>
            </w:r>
            <w:r>
              <w:rPr>
                <w:rFonts w:ascii="Cambria" w:hAnsi="Cambria" w:cs="宋体"/>
                <w:color w:val="000000"/>
                <w:spacing w:val="-8"/>
                <w:sz w:val="20"/>
                <w:szCs w:val="20"/>
              </w:rPr>
              <w:t xml:space="preserve">4. </w:t>
            </w:r>
            <w:r>
              <w:rPr>
                <w:rFonts w:hint="eastAsia" w:ascii="宋体" w:hAnsi="宋体" w:cs="宋体"/>
                <w:color w:val="000000"/>
                <w:spacing w:val="-8"/>
                <w:sz w:val="20"/>
                <w:szCs w:val="20"/>
              </w:rPr>
              <w:t xml:space="preserve">转诊推荐结果附带推荐理由和预计等待时间，支持多方案对比</w:t>
            </w:r>
            <w:r>
              <w:rPr>
                <w:rFonts w:hint="eastAsia" w:ascii="Cambria" w:hAnsi="Cambria" w:cs="宋体"/>
                <w:color w:val="000000"/>
                <w:spacing w:val="-8"/>
                <w:sz w:val="20"/>
                <w:szCs w:val="20"/>
              </w:rPr>
            </w:r>
            <w:r/>
          </w:p>
        </w:tc>
      </w:tr>
      <w:tr>
        <w:trPr>
          <w:trHeight w:val="3246"/>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智能营养推荐引擎</w:t>
            </w:r>
            <w:r>
              <w:rPr>
                <w:rFonts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1.</w:t>
            </w:r>
            <w:r>
              <w:rPr>
                <w:rFonts w:hint="eastAsia" w:ascii="宋体" w:hAnsi="宋体" w:cs="宋体"/>
                <w:color w:val="000000"/>
                <w:spacing w:val="-8"/>
                <w:sz w:val="20"/>
                <w:szCs w:val="20"/>
              </w:rPr>
              <w:t xml:space="preserve">建设孕产妇个性化营养模型，模型输入至少包括孕前</w:t>
            </w:r>
            <w:r>
              <w:rPr>
                <w:rFonts w:ascii="Cambria" w:hAnsi="Cambria" w:cs="宋体"/>
                <w:color w:val="000000"/>
                <w:spacing w:val="-8"/>
                <w:sz w:val="20"/>
                <w:szCs w:val="20"/>
              </w:rPr>
              <w:t xml:space="preserve">BMI</w:t>
            </w:r>
            <w:r>
              <w:rPr>
                <w:rFonts w:hint="eastAsia" w:ascii="宋体" w:hAnsi="宋体" w:cs="宋体"/>
                <w:color w:val="000000"/>
                <w:spacing w:val="-8"/>
                <w:sz w:val="20"/>
                <w:szCs w:val="20"/>
              </w:rPr>
              <w:t xml:space="preserve">、当前孕周、年龄、身高、体重及增长趋势、活动水平、单胎</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多胎、血糖、血压、血红蛋白、肝肾功能、过敏史、饮食禁忌和饮食偏好等核心特征，充分体现模型的个性化建模能力与多维度营养评估水平。</w:t>
            </w:r>
            <w:r>
              <w:rPr>
                <w:rFonts w:hint="eastAsia" w:ascii="宋体" w:hAnsi="宋体" w:cs="宋体"/>
                <w:color w:val="000000"/>
                <w:spacing w:val="-8"/>
                <w:sz w:val="20"/>
                <w:szCs w:val="20"/>
              </w:rPr>
              <w:br w:type="textWrapping" w:clear="all"/>
            </w:r>
            <w:r>
              <w:rPr>
                <w:rFonts w:ascii="Cambria" w:hAnsi="Cambria" w:cs="宋体"/>
                <w:color w:val="000000"/>
                <w:spacing w:val="-8"/>
                <w:sz w:val="20"/>
                <w:szCs w:val="20"/>
              </w:rPr>
              <w:t xml:space="preserve">2.</w:t>
            </w:r>
            <w:r>
              <w:rPr>
                <w:rFonts w:hint="eastAsia" w:ascii="宋体" w:hAnsi="宋体" w:cs="宋体"/>
                <w:color w:val="000000"/>
                <w:spacing w:val="-8"/>
                <w:sz w:val="20"/>
                <w:szCs w:val="20"/>
              </w:rPr>
              <w:t xml:space="preserve">营养模型采用</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指南规则引擎</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营养计算模型</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食物推荐模型</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约束求解器</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的融合架构，充分展示多引擎协同的建模优势；规则引擎负责疾病、过敏和孕期禁忌等硬约束的严格筛查，计算模型负责总能量及蛋白质、脂肪、碳水化合物和微量营养素的精准测算，推荐模型负责餐次、食材、份量、食谱及等量替换方案的智能生成，约束求解器负责在满足所有限制条件下实现营养目标的优化配置，全方位彰显模型在营养干预中的系统化、层次化和智能化能力。</w:t>
            </w:r>
            <w:r>
              <w:rPr>
                <w:rFonts w:hint="eastAsia" w:ascii="宋体" w:hAnsi="宋体" w:cs="宋体"/>
                <w:color w:val="000000"/>
                <w:spacing w:val="-8"/>
                <w:sz w:val="20"/>
                <w:szCs w:val="20"/>
              </w:rPr>
              <w:br w:type="textWrapping" w:clear="all"/>
            </w:r>
            <w:r>
              <w:rPr>
                <w:rFonts w:hint="eastAsia"/>
                <w:color w:val="000000"/>
              </w:rPr>
              <w:t xml:space="preserve">▲</w:t>
            </w:r>
            <w:r>
              <w:rPr>
                <w:rFonts w:ascii="Cambria" w:hAnsi="Cambria" w:cs="宋体"/>
                <w:color w:val="000000"/>
                <w:spacing w:val="-8"/>
                <w:sz w:val="20"/>
                <w:szCs w:val="20"/>
              </w:rPr>
              <w:t xml:space="preserve">3.</w:t>
            </w:r>
            <w:r>
              <w:rPr>
                <w:rFonts w:hint="eastAsia" w:ascii="宋体" w:hAnsi="宋体" w:cs="宋体"/>
                <w:color w:val="000000"/>
                <w:spacing w:val="-8"/>
                <w:sz w:val="20"/>
                <w:szCs w:val="20"/>
              </w:rPr>
              <w:t xml:space="preserve">建设孕产妇营养知识库和食物营养知识图谱，关联食物、标准份量、营养成分、升糖指数</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升糖负荷、烹饪方式、过敏原、适用人群、疾病限制和权威指南来源，支持菜品拆解、营养素汇总、食材替换和推荐依据追溯，充分体现模型在营养数据组织、知识推理和解释性方面的核心能力。</w:t>
            </w:r>
            <w:r>
              <w:rPr>
                <w:rFonts w:hint="eastAsia" w:ascii="宋体" w:hAnsi="宋体" w:cs="宋体"/>
                <w:color w:val="000000"/>
                <w:spacing w:val="-8"/>
                <w:sz w:val="20"/>
                <w:szCs w:val="20"/>
              </w:rPr>
              <w:br w:type="textWrapping" w:clear="all"/>
            </w:r>
            <w:r>
              <w:rPr>
                <w:rFonts w:ascii="Cambria" w:hAnsi="Cambria" w:cs="宋体"/>
                <w:color w:val="000000"/>
                <w:spacing w:val="-8"/>
                <w:sz w:val="20"/>
                <w:szCs w:val="20"/>
              </w:rPr>
              <w:t xml:space="preserve">4.</w:t>
            </w:r>
            <w:r>
              <w:rPr>
                <w:rFonts w:hint="eastAsia" w:ascii="宋体" w:hAnsi="宋体" w:cs="宋体"/>
                <w:color w:val="000000"/>
                <w:spacing w:val="-8"/>
                <w:sz w:val="20"/>
                <w:szCs w:val="20"/>
              </w:rPr>
              <w:t xml:space="preserve">营养模型支持根据连续体重增长、血糖监测、膳食记录、运动记录和方案执行反馈进行动态校正，展现模型的在线学习与自适应调节能力；模型调整仅作用于健康管理建议，不得自动修改医生处方或替代临床营养师诊疗意见，明确界定模型辅助决策的定位。</w:t>
            </w:r>
            <w:r>
              <w:rPr>
                <w:rFonts w:hint="eastAsia" w:ascii="宋体" w:hAnsi="宋体" w:cs="宋体"/>
                <w:color w:val="000000"/>
                <w:spacing w:val="-8"/>
                <w:sz w:val="20"/>
                <w:szCs w:val="20"/>
              </w:rPr>
              <w:br w:type="textWrapping" w:clear="all"/>
            </w:r>
            <w:r>
              <w:rPr>
                <w:rFonts w:ascii="Cambria" w:hAnsi="Cambria" w:cs="宋体"/>
                <w:color w:val="000000"/>
                <w:spacing w:val="-8"/>
                <w:sz w:val="20"/>
                <w:szCs w:val="20"/>
              </w:rPr>
              <w:t xml:space="preserve">5.</w:t>
            </w:r>
            <w:r>
              <w:rPr>
                <w:rFonts w:hint="eastAsia" w:ascii="宋体" w:hAnsi="宋体" w:cs="宋体"/>
                <w:color w:val="000000"/>
                <w:spacing w:val="-8"/>
                <w:sz w:val="20"/>
                <w:szCs w:val="20"/>
              </w:rPr>
              <w:t xml:space="preserve">模型输出应包含每日总能量、三大营养素目标及占比、钙</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铁</w:t>
            </w:r>
            <w:r>
              <w:rPr>
                <w:rFonts w:ascii="Cambria" w:hAnsi="Cambria" w:cs="宋体"/>
                <w:color w:val="000000"/>
                <w:spacing w:val="-8"/>
                <w:sz w:val="20"/>
                <w:szCs w:val="20"/>
              </w:rPr>
              <w:t xml:space="preserve">/</w:t>
            </w:r>
            <w:r>
              <w:rPr>
                <w:rFonts w:hint="eastAsia" w:ascii="宋体" w:hAnsi="宋体" w:cs="宋体"/>
                <w:color w:val="000000"/>
                <w:spacing w:val="-8"/>
                <w:sz w:val="20"/>
                <w:szCs w:val="20"/>
              </w:rPr>
              <w:t xml:space="preserve">叶酸等重点营养素目标、餐次分配、推荐食谱、替换清单、禁忌提示、适用条件、计算依据和模型版本，支持医生或营养师审核、人工修订及一键回退，充分体现模型结果的完整性、可解释性、可审核性和临床可操作性。</w:t>
            </w:r>
            <w:r>
              <w:rPr>
                <w:rFonts w:hint="eastAsia" w:ascii="Cambria" w:hAnsi="Cambria" w:cs="宋体"/>
                <w:color w:val="000000"/>
                <w:spacing w:val="-8"/>
                <w:sz w:val="20"/>
                <w:szCs w:val="20"/>
              </w:rPr>
            </w:r>
            <w:r/>
          </w:p>
        </w:tc>
      </w:tr>
      <w:tr>
        <w:trPr>
          <w:trHeight w:val="23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restart"/>
            <w:textDirection w:val="lrTb"/>
            <w:noWrap w:val="false"/>
          </w:tcPr>
          <w:p>
            <w:pPr>
              <w:pStyle w:val="932"/>
              <w:jc w:val="center"/>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智能问答引擎</w:t>
            </w: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多轮对话能力</w:t>
            </w:r>
            <w:r>
              <w:rPr>
                <w:rFonts w:hint="eastAsia"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1.支持自然语言多轮对话，意图识别准确率不低于 95%，孕周、风险等级、药品名称、检查指标等关键实体抽取 F1 值不低于 95%。</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支持追问、澄清、确认等对话策略，对话连贯性良好</w:t>
            </w:r>
            <w:r>
              <w:rPr>
                <w:rFonts w:hint="eastAsia" w:ascii="宋体" w:hAnsi="宋体" w:cs="宋体"/>
                <w:color w:val="000000"/>
                <w:spacing w:val="-8"/>
                <w:sz w:val="20"/>
                <w:szCs w:val="20"/>
              </w:rPr>
              <w:br w:type="textWrapping" w:clear="all"/>
            </w:r>
            <w:r>
              <w:rPr>
                <w:rFonts w:hint="eastAsia"/>
                <w:color w:val="000000"/>
              </w:rPr>
              <w:t xml:space="preserve">▲</w:t>
            </w:r>
            <w:r>
              <w:rPr>
                <w:rFonts w:hint="eastAsia" w:ascii="宋体" w:hAnsi="宋体" w:cs="宋体"/>
                <w:color w:val="000000"/>
                <w:spacing w:val="-8"/>
                <w:sz w:val="20"/>
                <w:szCs w:val="20"/>
              </w:rPr>
              <w:t xml:space="preserve">3. 对话过程中可调用知识库、档案数据、检查报告进行个性化回答</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对话历史持久化存储，支持跨会话上下文恢复，支持对话摘要生成</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支持语音识别和语音合成，实现语音对话功能</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6. 配置意图识别与模型路由能力，根据咨询类型、风险等级、数据权限和响应时效自动选择知识检索、规则引擎、模型</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7. 建立会话记忆机制，区分短期上下文、长期档案记忆和结构化患者画像，支持记忆摘要、敏感信息过滤和过期清理</w:t>
            </w:r>
            <w:r>
              <w:rPr>
                <w:rFonts w:hint="eastAsia" w:ascii="宋体" w:hAnsi="宋体" w:cs="宋体"/>
                <w:color w:val="000000"/>
                <w:spacing w:val="-8"/>
                <w:sz w:val="20"/>
                <w:szCs w:val="20"/>
              </w:rPr>
            </w:r>
            <w:r/>
          </w:p>
        </w:tc>
      </w:tr>
      <w:tr>
        <w:trPr>
          <w:trHeight w:val="18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个性化答疑</w:t>
            </w:r>
            <w:r>
              <w:rPr>
                <w:rFonts w:hint="eastAsia"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color w:val="000000"/>
              </w:rPr>
              <w:t xml:space="preserve">▲</w:t>
            </w:r>
            <w:r>
              <w:rPr>
                <w:rFonts w:hint="eastAsia" w:ascii="宋体" w:hAnsi="宋体" w:cs="宋体"/>
                <w:color w:val="000000"/>
                <w:spacing w:val="-8"/>
                <w:sz w:val="20"/>
                <w:szCs w:val="20"/>
              </w:rPr>
              <w:t xml:space="preserve">1. 结合孕产妇个人档案（孕周、风险等级、病史、过敏史）提供个性化回答</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支持用药安全查询：输入药品名称，返回孕期安全性评级和建议</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支持检查报告解读：上传报告图片或文字，智能体解读关键指标和异常值</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支持症状咨询：描述症状，智能体初步评估并给出建议（必要时建议就医）</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支持多模态输入：文字、语音、图片、视频</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6. 基于孕产妇结构化画像生成检索条件和回答约束，确保同一问题可结合孕周、既往史、检查结果和风险等级形成差异化回答</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7. 对个性化建议中的关键医学结论进行知识库证据对齐，无法获得可靠证据或数据不足时应明确提示信息不足并引导人工咨询</w:t>
            </w:r>
            <w:r>
              <w:rPr>
                <w:rFonts w:hint="eastAsia" w:ascii="宋体" w:hAnsi="宋体" w:cs="宋体"/>
                <w:color w:val="000000"/>
                <w:spacing w:val="-8"/>
                <w:sz w:val="20"/>
                <w:szCs w:val="20"/>
              </w:rPr>
            </w:r>
            <w:r/>
          </w:p>
        </w:tc>
      </w:tr>
      <w:tr>
        <w:trPr>
          <w:trHeight w:val="18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安全边界控制</w:t>
            </w:r>
            <w:r>
              <w:rPr>
                <w:rFonts w:hint="eastAsia"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 明确智能体能力边界，超出范围时引导至人工医生咨询</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医疗建议类回答需标注仅供参考，具体请遵医嘱，并提供人工咨询入口</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危急症状（如剧烈腹痛、阴道大量出血、胎动消失）自动触发紧急就医提醒和急救指导</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所有回答经医学规则引擎二次校验，确保不含误导信息</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对话内容实时安全审计，防止医疗纠纷</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6. 建立大模型安全护栏，覆盖提示词注入识别、越权工具调用拦截、隐私信息泄露检测、敏感内容过滤和输出格式校验</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7. 建立幻觉控制机制，对医学事实、药品信息、检查阈值和就医建议进行规则校验及知识证据一致性校验</w:t>
            </w:r>
            <w:r>
              <w:rPr>
                <w:rFonts w:hint="eastAsia" w:ascii="宋体" w:hAnsi="宋体" w:cs="宋体"/>
                <w:color w:val="000000"/>
                <w:spacing w:val="-8"/>
                <w:sz w:val="20"/>
                <w:szCs w:val="20"/>
              </w:rPr>
            </w:r>
            <w:r/>
          </w:p>
        </w:tc>
      </w:tr>
      <w:tr>
        <w:trPr>
          <w:trHeight w:val="1334"/>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辅助决策引擎</w:t>
            </w:r>
            <w:r>
              <w:rPr>
                <w:rFonts w:hint="eastAsia"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医生辅助决策</w:t>
            </w:r>
            <w:r>
              <w:rPr>
                <w:rFonts w:hint="eastAsia"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 接诊时自动推送孕产妇全周期摘要（高危因素、历次产检关键数据、当前风险等级）</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基于当前病情智能推荐诊疗方案（参考指南、相似病例、专家共识）</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辅助生成电子转诊摘要、会诊申请、随访计划</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决策建议附带证据等级和指南来源支持决策依据追溯</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支持医生反馈和修正，持续优化决策模型</w:t>
            </w:r>
            <w:r>
              <w:rPr>
                <w:rFonts w:hint="eastAsia"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预警决策支持</w:t>
            </w:r>
            <w:r>
              <w:rPr>
                <w:rFonts w:hint="eastAsia"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 实时监测区域高危孕产妇动态，异常指标自动预警</w:t>
            </w:r>
            <w:r>
              <w:rPr>
                <w:rFonts w:hint="eastAsia" w:ascii="宋体" w:hAnsi="宋体" w:cs="宋体"/>
                <w:color w:val="000000"/>
                <w:spacing w:val="-8"/>
                <w:sz w:val="20"/>
                <w:szCs w:val="20"/>
              </w:rPr>
              <w:br w:type="textWrapping" w:clear="all"/>
            </w:r>
            <w:r>
              <w:rPr>
                <w:rFonts w:hint="eastAsia"/>
                <w:color w:val="000000"/>
              </w:rPr>
              <w:t xml:space="preserve">▲</w:t>
            </w:r>
            <w:r>
              <w:rPr>
                <w:rFonts w:hint="eastAsia" w:ascii="宋体" w:hAnsi="宋体" w:cs="宋体"/>
                <w:color w:val="000000"/>
                <w:spacing w:val="-8"/>
                <w:sz w:val="20"/>
                <w:szCs w:val="20"/>
              </w:rPr>
              <w:t xml:space="preserve">2. 预警分级：黄色（提醒）、橙色（警告）、红色（危急）</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红色预警自动推送至责任医生和管理者，审核确认后可通知患者</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预警处理闭环：接收→确认→处理→反馈→归档</w:t>
            </w:r>
            <w:r>
              <w:rPr>
                <w:rFonts w:hint="eastAsia" w:ascii="宋体" w:hAnsi="宋体" w:cs="宋体"/>
                <w:color w:val="000000"/>
                <w:spacing w:val="-8"/>
                <w:sz w:val="20"/>
                <w:szCs w:val="20"/>
              </w:rPr>
            </w:r>
            <w:r/>
          </w:p>
        </w:tc>
      </w:tr>
      <w:tr>
        <w:trPr>
          <w:trHeight w:val="1067"/>
        </w:trPr>
        <w:tc>
          <w:tcPr>
            <w:tcW w:w="851"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移动端应用</w:t>
            </w:r>
            <w:r>
              <w:rPr>
                <w:rFonts w:hint="eastAsia" w:ascii="宋体" w:hAnsi="宋体" w:cs="宋体"/>
                <w:color w:val="000000"/>
                <w:spacing w:val="-8"/>
                <w:sz w:val="20"/>
                <w:szCs w:val="20"/>
              </w:rPr>
            </w:r>
            <w:r/>
          </w:p>
        </w:tc>
        <w:tc>
          <w:tcPr>
            <w:gridSpan w:val="2"/>
            <w:tcW w:w="709"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全周期健康档案</w:t>
            </w:r>
            <w:r>
              <w:rPr>
                <w:rFonts w:hint="eastAsia"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备孕档案</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记录备孕基本信息：年龄、身高、体重、BMI、既往病史、家族遗传史、月经史、生育史</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记录孕前检查结果：血常规、尿常规、肝肾功能、甲状腺功能、传染病筛查、优生五项、染色体检查等</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记录孕前叶酸服用情况、疫苗接种情况、生活方式（吸烟、饮酒、运动）</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智能体根据档案评估孕前风险，给出备孕建议和健康指导</w:t>
            </w:r>
            <w:r>
              <w:rPr>
                <w:rFonts w:ascii="宋体" w:hAnsi="宋体" w:cs="宋体"/>
                <w:color w:val="000000"/>
                <w:spacing w:val="-8"/>
                <w:sz w:val="20"/>
                <w:szCs w:val="20"/>
              </w:rPr>
            </w:r>
            <w:r/>
          </w:p>
        </w:tc>
      </w:tr>
      <w:tr>
        <w:trPr>
          <w:trHeight w:val="1601"/>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孕期档案</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自动归集各机构产检数据，形成连续孕期档案时间轴，支持跨机构数据整合</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档案时间轴展示：孕周、产检日期、检查项目、关键指标、风险等级变化</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关键指标趋势图：体重、血压、血糖、宫高、腹围、胎心率等曲线展示，支持导出</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检查报告在线查看：支持B超、血检、尿检、心电图等报告单文档和结构化数据</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支持报告单拍照上传，OCR识别关键指标</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6. 档案数据支持分享给家属（授权查看）</w:t>
            </w:r>
            <w:r>
              <w:rPr>
                <w:rFonts w:ascii="宋体" w:hAnsi="宋体" w:cs="宋体"/>
                <w:color w:val="000000"/>
                <w:spacing w:val="-8"/>
                <w:sz w:val="20"/>
                <w:szCs w:val="20"/>
              </w:rPr>
            </w:r>
            <w:r/>
          </w:p>
        </w:tc>
      </w:tr>
      <w:tr>
        <w:trPr>
          <w:trHeight w:val="1334"/>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分娩档案</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记录分娩信息：分娩方式、分娩时间、产程时长、出血量、新生儿情况</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分娩过程关键节点时间轴展示：临产时间、入院时间、分娩时间、</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分娩记录单在线查看和下载</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新生儿出生信息：体重、身长、Apgar评分、出生缺陷筛查结果</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支持分娩计划制定和记录</w:t>
            </w:r>
            <w:r>
              <w:rPr>
                <w:rFonts w:ascii="宋体" w:hAnsi="宋体" w:cs="宋体"/>
                <w:color w:val="000000"/>
                <w:spacing w:val="-8"/>
                <w:sz w:val="20"/>
                <w:szCs w:val="20"/>
              </w:rPr>
            </w:r>
            <w:r/>
          </w:p>
        </w:tc>
      </w:tr>
      <w:tr>
        <w:trPr>
          <w:trHeight w:val="1334"/>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产后档案</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记录产后访视信息：访视时间、访视内容、恢复情况、母乳喂养情况</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产后42天复查结果：产妇复查、新生儿复查、盆底功能评估</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产后康复记录：盆底康复、形体康复、心理评估、哺乳指导</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母乳喂养记录：喂养方式、喂养频次、遇到的问题、解决方案</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支持产后随访计划自动生成和执行</w:t>
            </w:r>
            <w:r>
              <w:rPr>
                <w:rFonts w:ascii="宋体" w:hAnsi="宋体" w:cs="宋体"/>
                <w:color w:val="000000"/>
                <w:spacing w:val="-8"/>
                <w:sz w:val="20"/>
                <w:szCs w:val="20"/>
              </w:rPr>
            </w:r>
            <w:r/>
          </w:p>
        </w:tc>
      </w:tr>
      <w:tr>
        <w:trPr>
          <w:trHeight w:val="800"/>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档案数据授权</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1授权粒度控制：可按时间段、按数据类型进行细粒度授权；授权记录可追溯，患者可随时查看谁访问过自己的数据；支持一键导出个人全周期健康档案（PDF格式），符合国家健康档案标准</w:t>
            </w:r>
            <w:r>
              <w:rPr>
                <w:rFonts w:ascii="宋体" w:hAnsi="宋体" w:cs="宋体"/>
                <w:color w:val="000000"/>
                <w:spacing w:val="-8"/>
                <w:sz w:val="20"/>
                <w:szCs w:val="20"/>
              </w:rPr>
            </w:r>
            <w:r/>
          </w:p>
        </w:tc>
      </w:tr>
      <w:tr>
        <w:trPr>
          <w:trHeight w:val="1334"/>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智能体线上服务</w:t>
            </w:r>
            <w:r>
              <w:rPr>
                <w:rFonts w:hint="eastAsia"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智能问答</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7×24小时在线智能问答，支持文字、语音、图片三种输入方式；问答范围：孕期知识、产检解读、症状咨询、用药安全、营养运动、心理支持、分娩准备；结合个人档案提供个性化回答；复杂问题支持转人工医生咨询（工作时间）；问答历史保存，支持关键词搜索历史记录；</w:t>
            </w:r>
            <w:r>
              <w:rPr>
                <w:rFonts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报告解读</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支持上传检查报告图片，OCR识别+智能体解读</w:t>
            </w:r>
            <w:r>
              <w:rPr>
                <w:rFonts w:hint="eastAsia" w:ascii="宋体" w:hAnsi="宋体" w:cs="宋体"/>
                <w:color w:val="000000"/>
                <w:spacing w:val="-8"/>
                <w:sz w:val="20"/>
                <w:szCs w:val="20"/>
              </w:rPr>
              <w:br w:type="textWrapping" w:clear="all"/>
            </w:r>
            <w:r>
              <w:rPr>
                <w:rFonts w:hint="eastAsia"/>
                <w:color w:val="000000"/>
              </w:rPr>
              <w:t xml:space="preserve">★</w:t>
            </w:r>
            <w:r>
              <w:rPr>
                <w:rFonts w:hint="eastAsia" w:ascii="宋体" w:hAnsi="宋体" w:cs="宋体"/>
                <w:color w:val="000000"/>
                <w:spacing w:val="-8"/>
                <w:sz w:val="20"/>
                <w:szCs w:val="20"/>
              </w:rPr>
              <w:t xml:space="preserve">2. 自动标红异常指标，解释临床意义，给出后续建议：是否需要复查、是否需要就医</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支持历史报告对比，展示指标变化趋势</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报告解读结果可一键分享给主治医生，支持医生评论和补充</w:t>
            </w:r>
            <w:r>
              <w:rPr>
                <w:rFonts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症状自评</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提供常见孕期症状自评工具：恶心呕吐、水肿、胎动异常、阴道流血、腹痛等；智能体根据症状描述进行初步评估，给出处理建议和就诊建议；危急症状（如剧烈腹痛、大量出血、胎动消失等）自动触发紧急就医提醒和急救指导；症状记录保存，形成症状日记，供医生参考</w:t>
            </w:r>
            <w:r>
              <w:rPr>
                <w:rFonts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用药查询</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药品名称搜索，支持孕期及哺乳期安全用药查询</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提供用药使用注意事项、禁忌症等说明</w:t>
            </w:r>
            <w:r>
              <w:rPr>
                <w:rFonts w:hint="eastAsia" w:ascii="宋体" w:hAnsi="宋体" w:cs="宋体"/>
                <w:color w:val="000000"/>
                <w:spacing w:val="-8"/>
                <w:sz w:val="20"/>
                <w:szCs w:val="20"/>
              </w:rPr>
              <w:br w:type="textWrapping" w:clear="all"/>
            </w:r>
            <w:r>
              <w:rPr>
                <w:rFonts w:hint="eastAsia"/>
                <w:color w:val="000000"/>
              </w:rPr>
              <w:t xml:space="preserve">▲</w:t>
            </w:r>
            <w:r>
              <w:rPr>
                <w:rFonts w:hint="eastAsia" w:ascii="宋体" w:hAnsi="宋体" w:cs="宋体"/>
                <w:color w:val="000000"/>
                <w:spacing w:val="-8"/>
                <w:sz w:val="20"/>
                <w:szCs w:val="20"/>
              </w:rPr>
              <w:t xml:space="preserve">3. 个人用药记录管理：记录当前服用药品、设置用药提醒、记录用药反应</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支持药品图片识别，自动识别药品名称和用法</w:t>
            </w:r>
            <w:r>
              <w:rPr>
                <w:rFonts w:ascii="宋体" w:hAnsi="宋体" w:cs="宋体"/>
                <w:color w:val="000000"/>
                <w:spacing w:val="-8"/>
                <w:sz w:val="20"/>
                <w:szCs w:val="20"/>
              </w:rPr>
            </w:r>
            <w:r/>
          </w:p>
        </w:tc>
      </w:tr>
      <w:tr>
        <w:trPr>
          <w:trHeight w:val="1334"/>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营养与运动指导</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color w:val="000000"/>
              </w:rPr>
              <w:t xml:space="preserve">★</w:t>
            </w:r>
            <w:r>
              <w:rPr>
                <w:rFonts w:hint="eastAsia" w:ascii="宋体" w:hAnsi="宋体" w:cs="宋体"/>
                <w:color w:val="000000"/>
                <w:spacing w:val="-8"/>
                <w:sz w:val="20"/>
                <w:szCs w:val="20"/>
              </w:rPr>
              <w:t xml:space="preserve">1. 根据孕周、BMI、血糖情况生成个性化营养方案</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每日营养摄入推荐：热量、蛋白质、钙、铁、叶酸等，支持食谱推荐</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推荐适宜运动类型、时长、强度，附带运动视频教程</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体重增长追踪：记录体重，对比标准增长曲线，异常自动预警</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妊娠期相关疾病专属饮食方案，如妊娠期糖尿病、妊娠期高血压等</w:t>
            </w:r>
            <w:r>
              <w:rPr>
                <w:rFonts w:ascii="宋体" w:hAnsi="宋体" w:cs="宋体"/>
                <w:color w:val="000000"/>
                <w:spacing w:val="-8"/>
                <w:sz w:val="20"/>
                <w:szCs w:val="20"/>
              </w:rPr>
            </w:r>
            <w:r/>
          </w:p>
        </w:tc>
      </w:tr>
      <w:tr>
        <w:trPr>
          <w:trHeight w:val="1334"/>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心理支持</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孕期/产后心理自评量表：焦虑筛查（GAD-7）、抑郁筛查（EPDS）、产后抑郁量表</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智能体提供心理疏导和放松训练指导</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中重度心理问题自动推荐专业心理咨询和转诊</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支持心理日记记录和分析，生成心理评估报告</w:t>
            </w:r>
            <w:r>
              <w:rPr>
                <w:rFonts w:hint="eastAsia" w:ascii="宋体" w:hAnsi="宋体" w:cs="宋体"/>
                <w:color w:val="000000"/>
                <w:spacing w:val="-8"/>
                <w:sz w:val="20"/>
                <w:szCs w:val="20"/>
              </w:rPr>
              <w:br w:type="textWrapping" w:clear="all"/>
            </w:r>
            <w:r>
              <w:rPr>
                <w:rFonts w:hint="eastAsia"/>
                <w:color w:val="000000"/>
              </w:rPr>
              <w:t xml:space="preserve">▲</w:t>
            </w:r>
            <w:r>
              <w:rPr>
                <w:rFonts w:hint="eastAsia" w:ascii="宋体" w:hAnsi="宋体" w:cs="宋体"/>
                <w:color w:val="000000"/>
                <w:spacing w:val="-8"/>
                <w:sz w:val="20"/>
                <w:szCs w:val="20"/>
              </w:rPr>
              <w:t xml:space="preserve">5. 心理评估结果与医生端同步，支持医生干预，并同步推送给家属，由家属反馈日常状态和改善情况。</w:t>
            </w:r>
            <w:r>
              <w:rPr>
                <w:rFonts w:ascii="宋体" w:hAnsi="宋体" w:cs="宋体"/>
                <w:color w:val="000000"/>
                <w:spacing w:val="-8"/>
                <w:sz w:val="20"/>
                <w:szCs w:val="20"/>
              </w:rPr>
            </w:r>
            <w:r/>
          </w:p>
        </w:tc>
      </w:tr>
      <w:tr>
        <w:trPr>
          <w:trHeight w:val="1334"/>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智能提醒服务</w:t>
            </w:r>
            <w:r>
              <w:rPr>
                <w:rFonts w:hint="eastAsia"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产检提醒</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自动计算下次产检时间，提前3天/1天/当天多级推送</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提醒内容：产检项目、注意事项、需携带资料、医院地址导航等</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支持一键预约/改期/取消，状态实时同步</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错过产检自动升级提醒，并通知责任医生</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支持产检计划自动生成和调整</w:t>
            </w:r>
            <w:r>
              <w:rPr>
                <w:rFonts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检查提醒</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待做检查项目提醒：NT、唐筛、OGTT、系统超声、胎心监护等</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检查前注意事项提醒（空腹、憋尿、停药等）</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检查后报告出具提醒和查看入口</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异常结果自动推送医生解读通知</w:t>
            </w:r>
            <w:r>
              <w:rPr>
                <w:rFonts w:ascii="宋体" w:hAnsi="宋体" w:cs="宋体"/>
                <w:color w:val="000000"/>
                <w:spacing w:val="-8"/>
                <w:sz w:val="20"/>
                <w:szCs w:val="20"/>
              </w:rPr>
            </w:r>
            <w:r/>
          </w:p>
        </w:tc>
      </w:tr>
      <w:tr>
        <w:trPr>
          <w:trHeight w:val="1334"/>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用药提醒</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根据医生处方自动生成用药计划（药品、剂量、频次、时间）</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到用药时间自动推送提醒，支持扫码确认服药，确认率统计</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支持用药记录追踪：实际服药时间、漏服记录、不良反应</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漏服提醒：超过规定时间未确认，二次提醒并通知家属</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用药依从性分析，生成用药报告</w:t>
            </w:r>
            <w:r>
              <w:rPr>
                <w:rFonts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生活方式提醒</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根据孕周和风险因素推送个性化生活方式建议</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营养提醒：每日营养摄入建议、体重增长目标、饮食建议</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运动提醒：适宜运动类型、时长、强度、运动计划跟踪</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胎动提醒：孕晚期每日胎动计数提醒和记录，异常自动预警</w:t>
            </w:r>
            <w:r>
              <w:rPr>
                <w:rFonts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随访提醒</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产后随访计划自动生成，到期前提醒，支持个性化调整</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新生儿随访提醒：疾病筛查、预防接种、体检、发育评估</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高危孕产妇增加随访频次，专项提醒，随访完成率统计</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随访完成确认和下次随访预约提醒，支持电话随访记录</w:t>
            </w:r>
            <w:r>
              <w:rPr>
                <w:rFonts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知识推送</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根据孕周自动推送阶段性保健知识（每周/每月）</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根据风险因素推送针对性知识（如妊娠糖尿病饮食）</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推送形式：图文、短视频、动画</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推送内容可定制，支持用户偏好设置</w:t>
            </w:r>
            <w:r>
              <w:rPr>
                <w:rFonts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转诊与就医服务</w:t>
            </w:r>
            <w:r>
              <w:rPr>
                <w:rFonts w:hint="eastAsia"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转诊通知</w:t>
            </w:r>
            <w:r>
              <w:rPr>
                <w:rFonts w:hint="eastAsia" w:ascii="Cambria" w:hAnsi="Cambria" w:cs="宋体"/>
                <w:color w:val="000000"/>
                <w:spacing w:val="-8"/>
                <w:sz w:val="20"/>
                <w:szCs w:val="20"/>
              </w:rPr>
            </w:r>
            <w:r/>
          </w:p>
        </w:tc>
        <w:tc>
          <w:tcPr>
            <w:tcW w:w="7550" w:type="dxa"/>
            <w:vAlign w:val="center"/>
            <w:textDirection w:val="lrTb"/>
            <w:noWrap w:val="false"/>
          </w:tcPr>
          <w:p>
            <w:pPr>
              <w:pStyle w:val="932"/>
              <w:numPr>
                <w:ilvl w:val="0"/>
                <w:numId w:val="5"/>
              </w:numPr>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基层/社区发起转诊后，移动端实时接收转诊通知</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通知内容：转诊原因、推荐医院、推荐科室、预计就诊时间</w:t>
            </w:r>
            <w:r>
              <w:rPr>
                <w:rFonts w:hint="eastAsia" w:ascii="宋体" w:hAnsi="宋体" w:cs="宋体"/>
                <w:color w:val="000000"/>
                <w:spacing w:val="-8"/>
                <w:sz w:val="20"/>
                <w:szCs w:val="20"/>
              </w:rPr>
            </w:r>
            <w:r/>
          </w:p>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3. 支持查看电子转诊单详情，支持转诊单下载和打印</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支持确认转诊或申请更换医院，支持多医院对比选择</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转诊确认后自动通知转出机构和接诊机构</w:t>
            </w:r>
            <w:r>
              <w:rPr>
                <w:rFonts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预约挂号</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对接预约挂号平台，支持在线预约专科医生、专家门诊</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智能推荐：根据病情推荐合适的医生和就诊时间，支持医生画像</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支持预约提醒、签到导航、候诊查询</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支持在线取消和改期</w:t>
            </w:r>
            <w:r>
              <w:rPr>
                <w:rFonts w:ascii="宋体" w:hAnsi="宋体" w:cs="宋体"/>
                <w:color w:val="000000"/>
                <w:spacing w:val="-8"/>
                <w:sz w:val="20"/>
                <w:szCs w:val="20"/>
              </w:rPr>
            </w:r>
            <w:r/>
          </w:p>
        </w:tc>
      </w:tr>
      <w:tr>
        <w:trPr>
          <w:trHeight w:val="800"/>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费用查询</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对接医院HIS系统，支持检查/检验/药品费用实时查询</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支持医保结算信息查询、自费项目查询、费用明细展示</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支持费用预估，支持费用对比分析</w:t>
            </w:r>
            <w:r>
              <w:rPr>
                <w:rFonts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社交与互动</w:t>
            </w:r>
            <w:r>
              <w:rPr>
                <w:rFonts w:hint="eastAsia"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家属绑定</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支持绑定配偶/父母等家属账号，授权查看档案和接收提醒</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家属可代为记录症状、上传报告</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危急情况同时通知患者和家属，并由家属或患者本人提交处置反馈。</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支持解除绑定和权限调整</w:t>
            </w:r>
            <w:r>
              <w:rPr>
                <w:rFonts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满意度评价</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每次就诊/随访后推送满意度评价、评价率统计</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评价维度：医生服务、就诊环境、等待时间、整体体验、转诊体验</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评价结果同步至管理端，用于医疗服务质量改进</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支持匿名评价和实名评价</w:t>
            </w:r>
            <w:r>
              <w:rPr>
                <w:rFonts w:ascii="宋体" w:hAnsi="宋体" w:cs="宋体"/>
                <w:color w:val="000000"/>
                <w:spacing w:val="-8"/>
                <w:sz w:val="20"/>
                <w:szCs w:val="20"/>
              </w:rPr>
            </w:r>
            <w:r/>
          </w:p>
        </w:tc>
      </w:tr>
      <w:tr>
        <w:trPr>
          <w:trHeight w:val="1067"/>
        </w:trPr>
        <w:tc>
          <w:tcPr>
            <w:tcW w:w="851"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医生端应用</w:t>
            </w:r>
            <w:r>
              <w:rPr>
                <w:rFonts w:hint="eastAsia" w:ascii="宋体" w:hAnsi="宋体" w:cs="宋体"/>
                <w:color w:val="000000"/>
                <w:spacing w:val="-8"/>
                <w:sz w:val="20"/>
                <w:szCs w:val="20"/>
              </w:rPr>
            </w:r>
            <w:r/>
          </w:p>
        </w:tc>
        <w:tc>
          <w:tcPr>
            <w:gridSpan w:val="2"/>
            <w:tcW w:w="709"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转诊接诊工作台</w:t>
            </w:r>
            <w:r>
              <w:rPr>
                <w:rFonts w:hint="eastAsia"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待接诊列表</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展示所有待接诊的转诊患者，按紧急程度和等待时间智能排序</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列表展示：姓名、孕周、风险等级、转诊原因、转出机构、等待时长、预计就诊时间</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支持筛选：按风险等级、按孕周、按机构、按时间、按转诊类型</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红色风险患者置顶并特殊标识，支持批量处理</w:t>
            </w:r>
            <w:r>
              <w:rPr>
                <w:rFonts w:ascii="宋体" w:hAnsi="宋体" w:cs="宋体"/>
                <w:color w:val="000000"/>
                <w:spacing w:val="-8"/>
                <w:sz w:val="20"/>
                <w:szCs w:val="20"/>
              </w:rPr>
            </w:r>
            <w:r/>
          </w:p>
        </w:tc>
      </w:tr>
      <w:tr>
        <w:trPr>
          <w:trHeight w:val="60"/>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转诊摘要查看</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查看基层端发送的电子转诊摘要，包含：基本信息、高危因素、历次关键产检数据、当前风险等级、转诊原因、患者诉求</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摘要自动生成，关键信息高亮展示</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支持查看原始档案和完整产检记录，支持跨机构档案整合</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支持查看基层医生备注和患者诉求，支持补充信息</w:t>
            </w:r>
            <w:r>
              <w:rPr>
                <w:rFonts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接诊处理</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一键接诊确认，自动通知基层端和移动端</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支持拒绝接诊并填写原因，退回基层端，支持原因分类</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支持预约接诊时间，推送至移动端，支持时间冲突检测</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接诊后自动建立/更新高危专案，支持专案动态管理</w:t>
            </w:r>
            <w:r>
              <w:rPr>
                <w:rFonts w:ascii="宋体" w:hAnsi="宋体" w:cs="宋体"/>
                <w:color w:val="000000"/>
                <w:spacing w:val="-8"/>
                <w:sz w:val="20"/>
                <w:szCs w:val="20"/>
              </w:rPr>
            </w:r>
            <w:r/>
          </w:p>
        </w:tc>
      </w:tr>
      <w:tr>
        <w:trPr>
          <w:trHeight w:val="800"/>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转诊闭环追踪</w:t>
            </w:r>
            <w:r>
              <w:rPr>
                <w:rFonts w:hint="eastAsia" w:ascii="Cambria" w:hAnsi="Cambria" w:cs="宋体"/>
                <w:color w:val="000000"/>
                <w:spacing w:val="-8"/>
                <w:sz w:val="20"/>
                <w:szCs w:val="20"/>
              </w:rPr>
            </w:r>
            <w:r/>
          </w:p>
        </w:tc>
        <w:tc>
          <w:tcPr>
            <w:tcW w:w="7550" w:type="dxa"/>
            <w:vAlign w:val="center"/>
            <w:textDirection w:val="lrTb"/>
            <w:noWrap w:val="false"/>
          </w:tcPr>
          <w:p>
            <w:pPr>
              <w:pStyle w:val="932"/>
              <w:numPr>
                <w:ilvl w:val="0"/>
                <w:numId w:val="6"/>
              </w:numPr>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转诊全流程状态追踪：发起→发送→接收→接诊→反馈→结案</w:t>
            </w:r>
            <w:r>
              <w:rPr>
                <w:rFonts w:hint="eastAsia" w:ascii="宋体" w:hAnsi="宋体" w:cs="宋体"/>
                <w:color w:val="000000"/>
                <w:spacing w:val="-8"/>
                <w:sz w:val="20"/>
                <w:szCs w:val="20"/>
              </w:rPr>
            </w:r>
            <w:r/>
          </w:p>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2. 每个节点时间戳记录，超时自动告警</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转诊统计：接诊数、转诊及时率、转诊到位率、转诊满意度</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支持转诊质量分析和改进</w:t>
            </w:r>
            <w:r>
              <w:rPr>
                <w:rFonts w:ascii="宋体" w:hAnsi="宋体" w:cs="宋体"/>
                <w:color w:val="000000"/>
                <w:spacing w:val="-8"/>
                <w:sz w:val="20"/>
                <w:szCs w:val="20"/>
              </w:rPr>
            </w:r>
            <w:r/>
          </w:p>
        </w:tc>
      </w:tr>
      <w:tr>
        <w:trPr>
          <w:trHeight w:val="10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高危孕产妇管理</w:t>
            </w:r>
            <w:r>
              <w:rPr>
                <w:rFonts w:hint="eastAsia"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高危专案看板</w:t>
            </w:r>
            <w:r>
              <w:rPr>
                <w:rFonts w:hint="eastAsia"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 展示所有在管高危孕产妇，按风险等级分色展示，支持多维度筛选</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看板信息：姓名、孕周、风险等级、高危因素、下次随访时间、负责医生、随访状态</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支持看板视图切换：卡片视图、列表视图、地图视图（按居住地分布）</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超期未随访自动标红告警</w:t>
            </w:r>
            <w:r>
              <w:rPr>
                <w:rFonts w:hint="eastAsia" w:ascii="宋体" w:hAnsi="宋体" w:cs="宋体"/>
                <w:color w:val="000000"/>
                <w:spacing w:val="-8"/>
                <w:sz w:val="20"/>
                <w:szCs w:val="20"/>
              </w:rPr>
            </w:r>
            <w:r/>
          </w:p>
        </w:tc>
      </w:tr>
      <w:tr>
        <w:trPr>
          <w:trHeight w:val="18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标签管理</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color w:val="000000"/>
              </w:rPr>
              <w:t xml:space="preserve">▲</w:t>
            </w:r>
            <w:r>
              <w:rPr>
                <w:rFonts w:hint="eastAsia" w:ascii="宋体" w:hAnsi="宋体" w:cs="宋体"/>
                <w:color w:val="000000"/>
                <w:spacing w:val="-8"/>
                <w:sz w:val="20"/>
                <w:szCs w:val="20"/>
              </w:rPr>
              <w:t xml:space="preserve">1. 支持为在管高危孕产妇建立专属电子标签档案，支持自定义标签、系统内置标签双向匹配归类，标签体系贴合妇幼高危孕产妇管理场景，包含基础属性、风险特征、随访状态、转诊情况、特殊病症等分类标签。</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内置标准化标签库，涵盖高龄妊娠、妊娠期高血压、妊娠期糖尿病、瘢痕子宫、前置胎盘、心理高危、合并基础疾病等官方高危场景标签，支持管理人员自定义新增、编辑、停用标签，适配辖区个性化管理需求。</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支持通过标签进行多维度筛选、检索、统计高危孕产妇人群，可快速筛选出对应特征的高危群体，为专项管控、精准随访、重点干预提供数据支撑。</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标签与高危档案、随访记录、风险评估数据联动，标签变更自动同步至孕产妇专案档案，实现一人一档、标签精准匹配、动态更新。</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5.支持为同一标签孕产妇自定义专项诊疗流程，涵盖产检周期安排、周期内检查检验项目配置、宣教内容推送、随访、预警提醒等。</w:t>
            </w:r>
            <w:r>
              <w:rPr>
                <w:rFonts w:ascii="宋体" w:hAnsi="宋体" w:cs="宋体"/>
                <w:color w:val="000000"/>
                <w:spacing w:val="-8"/>
                <w:sz w:val="20"/>
                <w:szCs w:val="20"/>
              </w:rPr>
            </w:r>
            <w:r/>
          </w:p>
        </w:tc>
      </w:tr>
      <w:tr>
        <w:trPr>
          <w:trHeight w:val="1867"/>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评估问卷管理</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支持孕产妇各类高危评估问卷的全流程配置与管理，涵盖妊娠风险筛查、心理健康评估、高危因素复评、产后风险评估等各类妇幼标准化评估问卷</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支持问卷自定义搭建，可自主新增、编辑、删除问卷模板，支持设置单选、多选、填空、分值打分、等级判定等多种题型，可自定义问卷评分规则、风险判定阈值、结果分级标准。</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支持问卷批量下发、单人定向下发，可设置问卷填写时限、自动提醒未填写人员，支持孕产妇线上自主填写、医护人员代为录入填写两种模式。</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系统自动根据问卷填写结果进行分值核算、风险等级判定，自动匹配对应高危标签及高危因素，同步更新孕产妇风险档案。</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支持问卷版本管理，可留存历史问卷模板及历次填写记录，支持版本回溯，适配政策更新后的问卷迭代需求。</w:t>
            </w:r>
            <w:r>
              <w:rPr>
                <w:rFonts w:hint="eastAsia" w:ascii="宋体" w:hAnsi="宋体" w:cs="宋体"/>
                <w:color w:val="000000"/>
                <w:spacing w:val="-8"/>
                <w:sz w:val="20"/>
                <w:szCs w:val="20"/>
              </w:rPr>
              <w:br w:type="textWrapping" w:clear="all"/>
            </w:r>
            <w:r>
              <w:rPr>
                <w:rFonts w:hint="eastAsia"/>
                <w:color w:val="000000"/>
              </w:rPr>
              <w:t xml:space="preserve">★</w:t>
            </w:r>
            <w:r>
              <w:rPr>
                <w:rFonts w:hint="eastAsia" w:ascii="宋体" w:hAnsi="宋体" w:cs="宋体"/>
                <w:color w:val="000000"/>
                <w:spacing w:val="-8"/>
                <w:sz w:val="20"/>
                <w:szCs w:val="20"/>
              </w:rPr>
              <w:t xml:space="preserve">6. 问卷数据与智能风险评估、高危随访计划联动，异常评估结果自动触发风险预警，自动推送干预及随访提醒。</w:t>
            </w:r>
            <w:r>
              <w:rPr>
                <w:rFonts w:ascii="宋体" w:hAnsi="宋体" w:cs="宋体"/>
                <w:color w:val="000000"/>
                <w:spacing w:val="-8"/>
                <w:sz w:val="20"/>
                <w:szCs w:val="20"/>
              </w:rPr>
            </w:r>
            <w:r/>
          </w:p>
        </w:tc>
      </w:tr>
      <w:tr>
        <w:trPr>
          <w:trHeight w:val="1334"/>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智能风险评估</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智能体自动分析患者全周期数据，生成风险评估报告</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报告内容需包括但不限于风险等级、主要高危因素、风险趋势图、管理建议等</w:t>
            </w:r>
            <w:r>
              <w:rPr>
                <w:rFonts w:hint="eastAsia" w:ascii="宋体" w:hAnsi="宋体" w:cs="宋体"/>
                <w:color w:val="000000"/>
                <w:spacing w:val="-8"/>
                <w:sz w:val="20"/>
                <w:szCs w:val="20"/>
              </w:rPr>
              <w:br w:type="textWrapping" w:clear="all"/>
            </w:r>
            <w:r>
              <w:rPr>
                <w:rFonts w:hint="eastAsia"/>
                <w:color w:val="000000"/>
              </w:rPr>
              <w:t xml:space="preserve">▲</w:t>
            </w:r>
            <w:r>
              <w:rPr>
                <w:rFonts w:hint="eastAsia" w:ascii="宋体" w:hAnsi="宋体" w:cs="宋体"/>
                <w:color w:val="000000"/>
                <w:spacing w:val="-8"/>
                <w:sz w:val="20"/>
                <w:szCs w:val="20"/>
              </w:rPr>
              <w:t xml:space="preserve">3. 风险发生变更时自动推送相关通知</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支持风险报告导出和打印，符合国家高危孕产妇管理规范</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支持医生人工修正和补充</w:t>
            </w:r>
            <w:r>
              <w:rPr>
                <w:rFonts w:ascii="宋体" w:hAnsi="宋体" w:cs="宋体"/>
                <w:color w:val="000000"/>
                <w:spacing w:val="-8"/>
                <w:sz w:val="20"/>
                <w:szCs w:val="20"/>
              </w:rPr>
            </w:r>
            <w:r/>
          </w:p>
        </w:tc>
      </w:tr>
      <w:tr>
        <w:trPr>
          <w:trHeight w:val="1334"/>
        </w:trPr>
        <w:tc>
          <w:tcPr>
            <w:tcW w:w="851"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709"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tcW w:w="992"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高危因素管理</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内置高危因素定义，支持扩展，覆盖国家指南全部高危因素</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高危因素自动识别和手动标注相结合</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高危因素变更历史可追溯，支持版本管理和回滚</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高危因素与随访计划、转诊建议自动关联</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支持高危因素组合分析和风险预测</w:t>
            </w:r>
            <w:r>
              <w:rPr>
                <w:rFonts w:ascii="宋体" w:hAnsi="宋体" w:cs="宋体"/>
                <w:color w:val="000000"/>
                <w:spacing w:val="-8"/>
                <w:sz w:val="20"/>
                <w:szCs w:val="20"/>
              </w:rPr>
            </w:r>
            <w:r/>
          </w:p>
        </w:tc>
      </w:tr>
      <w:tr>
        <w:trPr>
          <w:trHeight w:val="1334"/>
        </w:trPr>
        <w:tc>
          <w:tcPr>
            <w:gridSpan w:val="2"/>
            <w:tcW w:w="1392"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基层端应用</w:t>
            </w:r>
            <w:r>
              <w:rPr>
                <w:rFonts w:hint="eastAsia"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初筛</w:t>
            </w:r>
            <w:r>
              <w:rPr>
                <w:rFonts w:hint="eastAsia"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 可直接嵌入社区卫生服务中心或下级医疗机构的信息系统中，获取孕产妇基础信息和孕产史</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基层录入产检相关结果后自动触发智能体高危初筛</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初筛结果实时展示，高危自动标记</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支持初筛结果复核和修正，支持人工干预</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初筛结果自动同步至移动端</w:t>
            </w:r>
            <w:r>
              <w:rPr>
                <w:rFonts w:hint="eastAsia" w:ascii="宋体" w:hAnsi="宋体" w:cs="宋体"/>
                <w:color w:val="000000"/>
                <w:spacing w:val="-8"/>
                <w:sz w:val="20"/>
                <w:szCs w:val="20"/>
              </w:rPr>
            </w:r>
            <w:r/>
          </w:p>
        </w:tc>
      </w:tr>
      <w:tr>
        <w:trPr>
          <w:trHeight w:val="1067"/>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转诊发起</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智能推荐转诊医院</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电子转诊单生成：自动填充患者档案和转诊原因</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转诊单发送后实时追踪状态</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接诊反馈查看和患者随访衔接，支持转诊闭环管理</w:t>
            </w:r>
            <w:r>
              <w:rPr>
                <w:rFonts w:ascii="宋体" w:hAnsi="宋体" w:cs="宋体"/>
                <w:color w:val="000000"/>
                <w:spacing w:val="-8"/>
                <w:sz w:val="20"/>
                <w:szCs w:val="20"/>
              </w:rPr>
            </w:r>
            <w:r/>
          </w:p>
        </w:tc>
      </w:tr>
      <w:tr>
        <w:trPr>
          <w:trHeight w:val="1601"/>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随访</w:t>
            </w:r>
            <w:r>
              <w:rPr>
                <w:rFonts w:hint="eastAsia" w:ascii="宋体" w:hAnsi="宋体" w:cs="宋体"/>
                <w:color w:val="000000"/>
                <w:spacing w:val="-8"/>
                <w:sz w:val="20"/>
                <w:szCs w:val="20"/>
              </w:rPr>
              <w:t xml:space="preserve">计划与执行</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接收上级分配的随访任务</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支持随访计划自动生成和手动调整</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随访任务状态实时更新，支持任务进度跟踪</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支持随访任务批量处理</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随访异常上报和升级</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6. 随访完成率统计</w:t>
            </w:r>
            <w:r>
              <w:rPr>
                <w:rFonts w:ascii="宋体" w:hAnsi="宋体" w:cs="宋体"/>
                <w:color w:val="000000"/>
                <w:spacing w:val="-8"/>
                <w:sz w:val="20"/>
                <w:szCs w:val="20"/>
              </w:rPr>
            </w:r>
            <w:r/>
          </w:p>
        </w:tc>
      </w:tr>
      <w:tr>
        <w:trPr>
          <w:trHeight w:val="1067"/>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健康教育</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健康教育资料库，支持分类检索和搜索</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面向孕产妇的健康教育记录，支持教育效果评估</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健康教育效果评估：知识掌握率、行为改变率</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支持健康教育计划制定和执行</w:t>
            </w:r>
            <w:r>
              <w:rPr>
                <w:rFonts w:ascii="宋体" w:hAnsi="宋体" w:cs="宋体"/>
                <w:color w:val="000000"/>
                <w:spacing w:val="-8"/>
                <w:sz w:val="20"/>
                <w:szCs w:val="20"/>
              </w:rPr>
            </w:r>
            <w:r/>
          </w:p>
        </w:tc>
      </w:tr>
      <w:tr>
        <w:trPr>
          <w:trHeight w:val="800"/>
        </w:trPr>
        <w:tc>
          <w:tcPr>
            <w:gridSpan w:val="2"/>
            <w:tcW w:w="1392"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管理端应用</w:t>
            </w:r>
            <w:r>
              <w:rPr>
                <w:rFonts w:hint="eastAsia"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区域监管看板</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实时展示区域高危孕产妇概况：总人数、五色分布、在管数、待转诊数</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转诊动态：今日转诊数、待接诊数、转诊到位率、转诊及时率</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患者端活跃：注册数、活跃数、功能使用率、用户满意度</w:t>
            </w:r>
            <w:r>
              <w:rPr>
                <w:rFonts w:ascii="宋体" w:hAnsi="宋体" w:cs="宋体"/>
                <w:color w:val="000000"/>
                <w:spacing w:val="-8"/>
                <w:sz w:val="20"/>
                <w:szCs w:val="20"/>
              </w:rPr>
            </w:r>
            <w:r/>
          </w:p>
        </w:tc>
      </w:tr>
      <w:tr>
        <w:trPr>
          <w:trHeight w:val="1067"/>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质控指标监测</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高危筛查率、系统管理率、随访完成率、转诊及时率</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转诊到位率、转诊满意度、孕产妇死亡率、死胎死产率</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早产率、低出生体重率、剖宫产率等核心指标</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按机构、按辖区、按时间段多维度对比分析</w:t>
            </w:r>
            <w:r>
              <w:rPr>
                <w:rFonts w:ascii="宋体" w:hAnsi="宋体" w:cs="宋体"/>
                <w:color w:val="000000"/>
                <w:spacing w:val="-8"/>
                <w:sz w:val="20"/>
                <w:szCs w:val="20"/>
              </w:rPr>
            </w:r>
            <w:r/>
          </w:p>
        </w:tc>
      </w:tr>
      <w:tr>
        <w:trPr>
          <w:trHeight w:val="1067"/>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资源调度</w:t>
            </w:r>
            <w:r>
              <w:rPr>
                <w:rFonts w:hint="eastAsia" w:ascii="宋体" w:hAnsi="宋体" w:cs="宋体"/>
                <w:color w:val="000000"/>
                <w:spacing w:val="-8"/>
                <w:sz w:val="20"/>
                <w:szCs w:val="20"/>
              </w:rPr>
              <w:t xml:space="preserve">分析</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各院区产科床位使用情况展示，支持床位预警</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转诊负荷均衡分析，智能分流建议，支持资源优化配置</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高危孕产妇扎堆预警，预警准确率≥90%</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医疗资源调配决策支持，支持多方案对比</w:t>
            </w:r>
            <w:r>
              <w:rPr>
                <w:rFonts w:ascii="宋体" w:hAnsi="宋体" w:cs="宋体"/>
                <w:color w:val="000000"/>
                <w:spacing w:val="-8"/>
                <w:sz w:val="20"/>
                <w:szCs w:val="20"/>
              </w:rPr>
            </w:r>
            <w:r/>
          </w:p>
        </w:tc>
      </w:tr>
      <w:tr>
        <w:trPr>
          <w:trHeight w:val="1334"/>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数据上报</w:t>
            </w:r>
            <w:r>
              <w:rPr>
                <w:rFonts w:hint="eastAsia" w:ascii="宋体" w:hAnsi="宋体" w:cs="宋体"/>
                <w:color w:val="000000"/>
                <w:spacing w:val="-8"/>
                <w:sz w:val="20"/>
                <w:szCs w:val="20"/>
              </w:rPr>
              <w:t xml:space="preserve">管理</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自动生成国家/省/市要求的统计报表</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报表数据自动上报至上级妇幼平台</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报表模板管理和自定义，支持模板版本管理</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上报记录可追溯，支持上报失败重试</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支持报表导出和打印</w:t>
            </w:r>
            <w:r>
              <w:rPr>
                <w:rFonts w:ascii="宋体" w:hAnsi="宋体" w:cs="宋体"/>
                <w:color w:val="000000"/>
                <w:spacing w:val="-8"/>
                <w:sz w:val="20"/>
                <w:szCs w:val="20"/>
              </w:rPr>
            </w:r>
            <w:r/>
          </w:p>
        </w:tc>
      </w:tr>
      <w:tr>
        <w:trPr>
          <w:trHeight w:val="1067"/>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系统管理</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机构管理：接入机构信息维护，支持机构分级管理</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用户管理：医生、护士、基层人员账号管理，支持角色管理</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权限管理：角色权限配置，支持细粒度权限控制</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日志管理：操作日志、接口日志审计，日志保留≥180天</w:t>
            </w:r>
            <w:r>
              <w:rPr>
                <w:rFonts w:ascii="宋体" w:hAnsi="宋体" w:cs="宋体"/>
                <w:color w:val="000000"/>
                <w:spacing w:val="-8"/>
                <w:sz w:val="20"/>
                <w:szCs w:val="20"/>
              </w:rPr>
            </w:r>
            <w:r/>
          </w:p>
        </w:tc>
      </w:tr>
      <w:tr>
        <w:trPr>
          <w:trHeight w:val="261"/>
        </w:trPr>
        <w:tc>
          <w:tcPr>
            <w:gridSpan w:val="2"/>
            <w:tcW w:w="1392"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数智底座能力平台</w:t>
            </w:r>
            <w:r>
              <w:rPr>
                <w:rFonts w:hint="eastAsia"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数据对接</w:t>
            </w:r>
            <w:r>
              <w:rPr>
                <w:rFonts w:hint="eastAsia"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 支持多种数据对接方式：Http、web service、消息队列等</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支持与江苏省妇幼信息系统对接、支持与院内集成平台、HIS、EMR、LIS、PACS等主要业务系统对接、支持与区域内其他医疗机构信息系统对接</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数据接入支持增量同步和全量同步两种模式，支持关键数据（高危标记、转诊申请、危急值）实时同步、常规数据定时同步，支持断点续传和异常重试</w:t>
            </w:r>
            <w:r>
              <w:rPr>
                <w:rFonts w:hint="eastAsia" w:ascii="宋体" w:hAnsi="宋体" w:cs="宋体"/>
                <w:color w:val="000000"/>
                <w:spacing w:val="-8"/>
                <w:sz w:val="20"/>
                <w:szCs w:val="20"/>
              </w:rPr>
            </w:r>
            <w:r/>
          </w:p>
        </w:tc>
      </w:tr>
      <w:tr>
        <w:trPr>
          <w:trHeight w:val="1245"/>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孕产妇主索引（EMPI）</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建立区域孕产妇唯一身份标识，关联身份证号、医保号、健康卡号等多卡号</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支持跨机构身份识别和档案归并，身份匹配准确率≥99.5%</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主索引服务支持实时查询和批量匹配</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身份变更历史可追溯，保留所有关联关系</w:t>
            </w:r>
            <w:r>
              <w:rPr>
                <w:rFonts w:ascii="宋体" w:hAnsi="宋体" w:cs="宋体"/>
                <w:color w:val="000000"/>
                <w:spacing w:val="-8"/>
                <w:sz w:val="20"/>
                <w:szCs w:val="20"/>
              </w:rPr>
            </w:r>
            <w:r/>
          </w:p>
        </w:tc>
      </w:tr>
      <w:tr>
        <w:trPr>
          <w:trHeight w:val="1334"/>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数据治理</w:t>
            </w:r>
            <w:r>
              <w:rPr>
                <w:rFonts w:hint="eastAsia"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 遵循国家及行业相关标准规范制定区域高危孕产妇数据元标准，统一字段定义和编码规则</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2.支持数据质量规则引擎：完整性、准确性、一致性、时效性校验</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数据质量评分：按机构、按数据类型生成质量评分报告</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异常数据自动标记和告警，推送至数据管理员</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数据质量看板：实时展示各接入机构数据质量指标</w:t>
            </w:r>
            <w:r>
              <w:rPr>
                <w:rFonts w:hint="eastAsia" w:ascii="宋体" w:hAnsi="宋体" w:cs="宋体"/>
                <w:color w:val="000000"/>
                <w:spacing w:val="-8"/>
                <w:sz w:val="20"/>
                <w:szCs w:val="20"/>
              </w:rPr>
            </w:r>
            <w:r/>
          </w:p>
        </w:tc>
      </w:tr>
      <w:tr>
        <w:trPr>
          <w:trHeight w:val="2401"/>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知识库</w:t>
            </w:r>
            <w:r>
              <w:rPr>
                <w:rFonts w:hint="eastAsia"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1. 涵盖国家临床指南（孕期保健指南、高危孕产妇管理指南、产科诊疗规范等）</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涵盖医学教材、循证文献、典型案例、FAQ、专家共识</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采用RAG检索增强生成</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每条回答附带知识来源引用，支持溯源查看原文</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知识库中每条知识应记录来源文件、发布机构、发布日期、版本、适用人群、审核人、审核日期和生效状态。权威来源新增或修订后，应在4小时内进入待审核队列；医学审核通过后应在1个工作日内发布。药品安全警示、指南紧急勘误等内容应支持紧急发布和回退。未经指定医学审核人员确认的内容不得自动进入面向患者的问答知识库。</w:t>
            </w:r>
            <w:r>
              <w:rPr>
                <w:rFonts w:hint="eastAsia" w:ascii="宋体" w:hAnsi="宋体" w:cs="宋体"/>
                <w:color w:val="000000"/>
                <w:spacing w:val="-8"/>
                <w:sz w:val="20"/>
                <w:szCs w:val="20"/>
              </w:rPr>
              <w:br w:type="textWrapping" w:clear="all"/>
            </w:r>
            <w:r>
              <w:rPr>
                <w:rFonts w:hint="eastAsia"/>
                <w:color w:val="000000"/>
              </w:rPr>
              <w:t xml:space="preserve">★</w:t>
            </w:r>
            <w:r>
              <w:rPr>
                <w:rFonts w:hint="eastAsia" w:ascii="宋体" w:hAnsi="宋体" w:cs="宋体"/>
                <w:color w:val="000000"/>
                <w:spacing w:val="-8"/>
                <w:sz w:val="20"/>
                <w:szCs w:val="20"/>
              </w:rPr>
              <w:t xml:space="preserve">6. 建设知识采集、解析、清洗、切分、标注、审核、发布的一体化知识入库流程，支持PDF、Word、网页、表格、图片和结构化数据等多种知识载体</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7. 对知识内容进行章节级和语义级切分，生成向量索引、关键词索引和结构化元数据索引，并保留文档名称、版本、发布日期、适用人群和来源机构等信息</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8. 采用关键词检索、向量检索、知识图谱检索和条件过滤相结合的混合召回机制，并通过重排序模型提升检索结果相关性</w:t>
            </w:r>
            <w:r>
              <w:rPr>
                <w:rFonts w:hint="eastAsia" w:ascii="宋体" w:hAnsi="宋体" w:cs="宋体"/>
                <w:color w:val="000000"/>
                <w:spacing w:val="-8"/>
                <w:sz w:val="20"/>
                <w:szCs w:val="20"/>
              </w:rPr>
            </w:r>
            <w:r/>
          </w:p>
        </w:tc>
      </w:tr>
      <w:tr>
        <w:trPr>
          <w:trHeight w:val="1067"/>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知识图谱</w:t>
            </w:r>
            <w:r>
              <w:rPr>
                <w:rFonts w:hint="eastAsia" w:ascii="宋体" w:hAnsi="宋体"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hint="eastAsia" w:ascii="宋体" w:hAnsi="宋体" w:cs="宋体"/>
                <w:color w:val="000000"/>
                <w:spacing w:val="-8"/>
                <w:sz w:val="20"/>
                <w:szCs w:val="20"/>
              </w:rPr>
            </w:pPr>
            <w:r>
              <w:rPr>
                <w:rFonts w:hint="eastAsia"/>
                <w:color w:val="000000"/>
              </w:rPr>
              <w:t xml:space="preserve">★</w:t>
            </w:r>
            <w:r>
              <w:rPr>
                <w:rFonts w:hint="eastAsia" w:ascii="宋体" w:hAnsi="宋体" w:cs="宋体"/>
                <w:color w:val="000000"/>
                <w:spacing w:val="-8"/>
                <w:sz w:val="20"/>
                <w:szCs w:val="20"/>
              </w:rPr>
              <w:t xml:space="preserve">1. 建立高危孕产妇领域本体模型，定义孕产妇、孕周、疾病、症状、检查、指标、药品、机构、医生、转诊和随访等核心实体及其关系</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采用图数据库存储知识图谱，支持实体查询、关系检索、路径分析、子图检索和高危因素关联分析</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支持从临床指南、专家共识、病历文本和检查报告中进行实体识别、关系抽取、术语归一化和知识融合，经人工审核后进入正式知识图谱</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支持本体、实体、关系及规则的版本化管理，提供知识冲突检测、重复实体合并、失效知识下架和变更影响分析能力</w:t>
            </w:r>
            <w:r>
              <w:rPr>
                <w:rFonts w:hint="eastAsia" w:ascii="宋体" w:hAnsi="宋体" w:cs="宋体"/>
                <w:color w:val="000000"/>
                <w:spacing w:val="-8"/>
                <w:sz w:val="20"/>
                <w:szCs w:val="20"/>
              </w:rPr>
            </w:r>
            <w:r/>
          </w:p>
        </w:tc>
      </w:tr>
      <w:tr>
        <w:trPr>
          <w:trHeight w:val="1067"/>
        </w:trPr>
        <w:tc>
          <w:tcPr>
            <w:gridSpan w:val="2"/>
            <w:tcW w:w="1392" w:type="dxa"/>
            <w:vAlign w:val="center"/>
            <w:vMerge w:val="restart"/>
            <w:textDirection w:val="lrTb"/>
            <w:noWrap w:val="false"/>
          </w:tcPr>
          <w:p>
            <w:pPr>
              <w:pStyle w:val="932"/>
              <w:jc w:val="center"/>
              <w:spacing w:line="280" w:lineRule="exact"/>
              <w:widowControl/>
              <w:rPr>
                <w:rFonts w:hint="eastAsia" w:ascii="宋体" w:hAnsi="宋体" w:cs="宋体"/>
                <w:color w:val="000000"/>
                <w:spacing w:val="-8"/>
                <w:sz w:val="20"/>
                <w:szCs w:val="20"/>
              </w:rPr>
            </w:pPr>
            <w:r>
              <w:rPr>
                <w:rFonts w:hint="eastAsia" w:ascii="宋体" w:hAnsi="宋体" w:cs="宋体"/>
                <w:color w:val="000000"/>
                <w:spacing w:val="-8"/>
                <w:sz w:val="20"/>
                <w:szCs w:val="20"/>
              </w:rPr>
              <w:t xml:space="preserve">统一安全与隐私保护体系</w:t>
            </w:r>
            <w:r>
              <w:rPr>
                <w:rFonts w:hint="eastAsia"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身份认证</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多因素认证：密码+短信验证码/人脸识别</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单点登录（SSO）：一次登录，多端通行</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会话管理：自动超时退出（30分钟无操作），支持会话限制</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密码策略：复杂度要求、定期更换、历史密码限制</w:t>
            </w:r>
            <w:r>
              <w:rPr>
                <w:rFonts w:ascii="宋体" w:hAnsi="宋体" w:cs="宋体"/>
                <w:color w:val="000000"/>
                <w:spacing w:val="-8"/>
                <w:sz w:val="20"/>
                <w:szCs w:val="20"/>
              </w:rPr>
            </w:r>
            <w:r/>
          </w:p>
        </w:tc>
      </w:tr>
      <w:tr>
        <w:trPr>
          <w:trHeight w:val="1067"/>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权限控制</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RBAC角色权限模型：系统管理员、医生、护士、基层人员、患者、家属</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数据级权限：按机构、按科室、按患者授权，支持细粒度控制</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功能级权限：菜单、按钮、字段级控制，支持权限继承</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权限变更实时生效，操作留痕，支持权限审计</w:t>
            </w:r>
            <w:r>
              <w:rPr>
                <w:rFonts w:ascii="宋体" w:hAnsi="宋体" w:cs="宋体"/>
                <w:color w:val="000000"/>
                <w:spacing w:val="-8"/>
                <w:sz w:val="20"/>
                <w:szCs w:val="20"/>
              </w:rPr>
            </w:r>
            <w:r/>
          </w:p>
        </w:tc>
      </w:tr>
      <w:tr>
        <w:trPr>
          <w:trHeight w:val="1334"/>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隐私保护</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患者数据授权访问，未经授权不可查看，支持分级授权</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数据脱敏：非授权场景下敏感信息脱敏展示</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隐私协议：用户注册时明确告知数据使用范围</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支持数据最小化原则，仅收集必要数据</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5. 隐私保护符合《个人信息保护法》和《数据安全法》要求</w:t>
            </w:r>
            <w:r>
              <w:rPr>
                <w:rFonts w:ascii="宋体" w:hAnsi="宋体" w:cs="宋体"/>
                <w:color w:val="000000"/>
                <w:spacing w:val="-8"/>
                <w:sz w:val="20"/>
                <w:szCs w:val="20"/>
              </w:rPr>
            </w:r>
            <w:r/>
          </w:p>
        </w:tc>
      </w:tr>
      <w:tr>
        <w:trPr>
          <w:trHeight w:val="1067"/>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安全审计</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操作日志全量记录：谁、何时、做了什么、结果如何</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日志防篡改：日志数据只追加不修改</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异常行为检测：频繁查询、批量导出、非常规时间访问等异常行为告警</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日志保留≥180天，支持审计追溯</w:t>
            </w:r>
            <w:r>
              <w:rPr>
                <w:rFonts w:ascii="宋体" w:hAnsi="宋体" w:cs="宋体"/>
                <w:color w:val="000000"/>
                <w:spacing w:val="-8"/>
                <w:sz w:val="20"/>
                <w:szCs w:val="20"/>
              </w:rPr>
            </w:r>
            <w:r/>
          </w:p>
        </w:tc>
      </w:tr>
      <w:tr>
        <w:trPr>
          <w:trHeight w:val="1067"/>
        </w:trPr>
        <w:tc>
          <w:tcPr>
            <w:gridSpan w:val="2"/>
            <w:tcW w:w="1392" w:type="dxa"/>
            <w:vAlign w:val="center"/>
            <w:vMerge w:val="continue"/>
            <w:textDirection w:val="lrTb"/>
            <w:noWrap w:val="false"/>
          </w:tcPr>
          <w:p>
            <w:pPr>
              <w:pStyle w:val="932"/>
              <w:jc w:val="left"/>
              <w:spacing w:line="280" w:lineRule="exact"/>
              <w:widowControl/>
              <w:rPr>
                <w:rFonts w:ascii="宋体" w:hAnsi="宋体" w:cs="宋体"/>
                <w:color w:val="000000"/>
                <w:spacing w:val="-8"/>
                <w:sz w:val="20"/>
                <w:szCs w:val="20"/>
              </w:rPr>
            </w:pPr>
            <w:r>
              <w:rPr>
                <w:rFonts w:ascii="宋体" w:hAnsi="宋体" w:cs="宋体"/>
                <w:color w:val="000000"/>
                <w:spacing w:val="-8"/>
                <w:sz w:val="20"/>
                <w:szCs w:val="20"/>
              </w:rPr>
            </w:r>
            <w:r/>
          </w:p>
        </w:tc>
        <w:tc>
          <w:tcPr>
            <w:gridSpan w:val="2"/>
            <w:tcW w:w="1160" w:type="dxa"/>
            <w:vAlign w:val="center"/>
            <w:textDirection w:val="lrTb"/>
            <w:noWrap w:val="false"/>
          </w:tcPr>
          <w:p>
            <w:pPr>
              <w:pStyle w:val="932"/>
              <w:jc w:val="left"/>
              <w:spacing w:line="280" w:lineRule="exact"/>
              <w:widowControl/>
              <w:rPr>
                <w:rFonts w:hint="eastAsia" w:ascii="Cambria" w:hAnsi="Cambria" w:cs="宋体"/>
                <w:color w:val="000000"/>
                <w:spacing w:val="-8"/>
                <w:sz w:val="20"/>
                <w:szCs w:val="20"/>
              </w:rPr>
            </w:pPr>
            <w:r>
              <w:rPr>
                <w:rFonts w:ascii="Cambria" w:hAnsi="Cambria" w:cs="宋体"/>
                <w:color w:val="000000"/>
                <w:spacing w:val="-8"/>
                <w:sz w:val="20"/>
                <w:szCs w:val="20"/>
              </w:rPr>
              <w:t xml:space="preserve">等保合规</w:t>
            </w:r>
            <w:r>
              <w:rPr>
                <w:rFonts w:hint="eastAsia" w:ascii="Cambria" w:hAnsi="Cambria" w:cs="宋体"/>
                <w:color w:val="000000"/>
                <w:spacing w:val="-8"/>
                <w:sz w:val="20"/>
                <w:szCs w:val="20"/>
              </w:rPr>
            </w:r>
            <w:r/>
          </w:p>
        </w:tc>
        <w:tc>
          <w:tcPr>
            <w:tcW w:w="7550" w:type="dxa"/>
            <w:vAlign w:val="center"/>
            <w:textDirection w:val="lrTb"/>
            <w:noWrap w:val="false"/>
          </w:tcPr>
          <w:p>
            <w:pPr>
              <w:pStyle w:val="932"/>
              <w:jc w:val="left"/>
              <w:spacing w:line="280" w:lineRule="exact"/>
              <w:widowControl/>
              <w:rPr>
                <w:rFonts w:ascii="宋体" w:hAnsi="宋体" w:cs="宋体"/>
                <w:color w:val="000000"/>
                <w:spacing w:val="-8"/>
                <w:sz w:val="20"/>
                <w:szCs w:val="20"/>
              </w:rPr>
            </w:pPr>
            <w:r>
              <w:rPr>
                <w:rFonts w:hint="eastAsia" w:ascii="宋体" w:hAnsi="宋体" w:cs="宋体"/>
                <w:color w:val="000000"/>
                <w:spacing w:val="-8"/>
                <w:sz w:val="20"/>
                <w:szCs w:val="20"/>
              </w:rPr>
              <w:t xml:space="preserve">1. 系统通过国家信息安全等级保护三级认证</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2. 数据分类分级管理，支持敏感数据标识</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3. 安全事件应急响应预案，支持应急演练</w:t>
            </w:r>
            <w:r>
              <w:rPr>
                <w:rFonts w:hint="eastAsia" w:ascii="宋体" w:hAnsi="宋体" w:cs="宋体"/>
                <w:color w:val="000000"/>
                <w:spacing w:val="-8"/>
                <w:sz w:val="20"/>
                <w:szCs w:val="20"/>
              </w:rPr>
              <w:br w:type="textWrapping" w:clear="all"/>
            </w:r>
            <w:r>
              <w:rPr>
                <w:rFonts w:hint="eastAsia" w:ascii="宋体" w:hAnsi="宋体" w:cs="宋体"/>
                <w:color w:val="000000"/>
                <w:spacing w:val="-8"/>
                <w:sz w:val="20"/>
                <w:szCs w:val="20"/>
              </w:rPr>
              <w:t xml:space="preserve">4. 定期安全漏洞扫描和渗透测试</w:t>
            </w:r>
            <w:r>
              <w:rPr>
                <w:rFonts w:ascii="宋体" w:hAnsi="宋体" w:cs="宋体"/>
                <w:color w:val="000000"/>
                <w:spacing w:val="-8"/>
                <w:sz w:val="20"/>
                <w:szCs w:val="20"/>
              </w:rPr>
            </w:r>
            <w:r/>
          </w:p>
        </w:tc>
      </w:tr>
    </w:tbl>
    <w:p>
      <w:pPr>
        <w:pStyle w:val="93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32"/>
        <w:ind w:firstLine="480"/>
        <w:spacing w:line="264" w:lineRule="auto"/>
        <w:rPr>
          <w:rFonts w:hint="eastAsia" w:ascii="黑体" w:hAnsi="黑体" w:eastAsia="黑体" w:cs="黑体"/>
          <w:color w:val="000000"/>
          <w:sz w:val="24"/>
          <w:szCs w:val="24"/>
        </w:rPr>
        <w:outlineLvl w:val="2"/>
      </w:pPr>
      <w:r>
        <w:rPr>
          <w:rFonts w:hint="eastAsia" w:ascii="黑体" w:hAnsi="黑体" w:eastAsia="黑体" w:cs="黑体"/>
          <w:color w:val="000000"/>
          <w:sz w:val="24"/>
          <w:szCs w:val="24"/>
        </w:rPr>
        <w:t xml:space="preserve">★（二）商务要求</w:t>
      </w:r>
      <w:r>
        <w:rPr>
          <w:rFonts w:hint="eastAsia" w:ascii="黑体" w:hAnsi="黑体" w:eastAsia="黑体" w:cs="黑体"/>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1.报价要求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（2）供应商的任何错漏、优惠、竞争性报价不得作为减轻责任、减少服务、增加收费、降低服务质量的理由。</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2.实施要求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（1）总体要求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（2）质量要求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①供应商提供的系统能够根据采购人实际需求与医院各院区所有信息系统、集成平台做对接及集成（对接人：</w:t>
      </w:r>
      <w:r>
        <w:rPr>
          <w:rFonts w:ascii="宋体" w:hAnsi="宋体" w:cs="宋体"/>
          <w:bCs/>
          <w:color w:val="000000"/>
          <w:sz w:val="24"/>
          <w:szCs w:val="24"/>
        </w:rPr>
        <w:t xml:space="preserve">朱工</w:t>
      </w:r>
      <w:r>
        <w:rPr>
          <w:rFonts w:hint="eastAsia" w:ascii="宋体" w:hAnsi="宋体" w:cs="宋体"/>
          <w:bCs/>
          <w:color w:val="000000"/>
          <w:sz w:val="24"/>
          <w:szCs w:val="24"/>
        </w:rPr>
        <w:t xml:space="preserve">；联系电话：025-83106666转6</w:t>
      </w:r>
      <w:r>
        <w:rPr>
          <w:rFonts w:ascii="宋体" w:hAnsi="宋体" w:cs="宋体"/>
          <w:bCs/>
          <w:color w:val="000000"/>
          <w:sz w:val="24"/>
          <w:szCs w:val="24"/>
        </w:rPr>
        <w:t xml:space="preserve">0618</w:t>
      </w:r>
      <w:r>
        <w:rPr>
          <w:rFonts w:hint="eastAsia" w:ascii="宋体" w:hAnsi="宋体" w:cs="宋体"/>
          <w:bCs/>
          <w:color w:val="000000"/>
          <w:sz w:val="24"/>
          <w:szCs w:val="24"/>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②本章中所列技术要求为医院项目初步需求，具体需求以国家最新政策标准为准。</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（3）验收要求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（4）运维要求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①运维期：供应商应确保本次采购所有项目的安全稳定运行，提供3年运维服务（自验收报告签字确认日起，开始进入维保期，相关费用包含在本次报价中）。维保期内，本合同项目所有技术和服务发生任何非人为故障，由供应商负责系统恢复。</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②运维期内，对采购人提出的合理服务要求，供应商必须即时进行电话、邮件及远程网络支持，并在2小时内到场服务，小型故障4小时内恢复，严重故障24小时内恢复，并及时有效提供解决方案。如不到场，采购人有权自行处理，相关费用由供应商负责。</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③供应商须提供定期回访服务，对采购人提出的合理优化建议应提供升级服务。</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④所有的服务方式均为供应商上门保修，即由供应商派员到系统使用现场进行故障恢复，由此产生的一切费用均由供应商承担。</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⑤本采购项目出保后每年的维护费不超过合同总金额的5%。</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⑥质保期内供应商提供的系统软件升级，保证采购人使用最新版本软件。质保期满后软件版本内终身升级。</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（5）人员要求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①项目经理：1人。 </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②技术负责人：1人。  </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③开发实施人员：不少于</w:t>
      </w:r>
      <w:r>
        <w:rPr>
          <w:rFonts w:ascii="宋体" w:hAnsi="宋体" w:cs="宋体"/>
          <w:bCs/>
          <w:color w:val="000000"/>
          <w:sz w:val="24"/>
          <w:szCs w:val="24"/>
        </w:rPr>
        <w:t xml:space="preserve">5</w:t>
      </w:r>
      <w:r>
        <w:rPr>
          <w:rFonts w:hint="eastAsia" w:ascii="宋体" w:hAnsi="宋体" w:cs="宋体"/>
          <w:bCs/>
          <w:color w:val="000000"/>
          <w:sz w:val="24"/>
          <w:szCs w:val="24"/>
        </w:rPr>
        <w:t xml:space="preserve">人，具有信息化工作经验，项目开发至验收期间须提供至少</w:t>
      </w:r>
      <w:r>
        <w:rPr>
          <w:rFonts w:ascii="宋体" w:hAnsi="宋体" w:cs="宋体"/>
          <w:bCs/>
          <w:color w:val="000000"/>
          <w:sz w:val="24"/>
          <w:szCs w:val="24"/>
        </w:rPr>
        <w:t xml:space="preserve">2</w:t>
      </w:r>
      <w:r>
        <w:rPr>
          <w:rFonts w:hint="eastAsia" w:ascii="宋体" w:hAnsi="宋体" w:cs="宋体"/>
          <w:bCs/>
          <w:color w:val="000000"/>
          <w:sz w:val="24"/>
          <w:szCs w:val="24"/>
        </w:rPr>
        <w:t xml:space="preserve">人驻场服务。 </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④项目组所有人员必须为供应商正式工作人员，不得兼任其他项目工作，未经采购人同意，人员不得更换。 </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（6）知识产权及保密要求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③供应商须按照与采购人签订的《信息安全保密承诺书》的约定严格履行各项保密义务。</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④采购人与供应商都拥有本项目定制开发部分的知识产权。交付项应包括但不限于如下内容：</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满足采购人需求的、完整的、可最终良好运行的系统。</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提供项目的最终版本部署包及产品永久授权。</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（7）建设成果要求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供应商在项目建设的各个阶段及时提交建设成果，主要包括但不限于以下内容：</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①项目启动阶段：项目实施方案。 </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②业务需求分析阶段：需求调研方案、需求分析说明书。</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③系统设计、开发阶段：需求规格说明书、概要设计说明书、详细设计说明书、数据库设计说明书、系统接口说明书。 </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④系统实施阶段：系统上线部署方案、软件安装说明书、软件使用说明书、系统安装光盘、系统培训方案、系统培训手册。 </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⑤项目验收阶段：测试报告、项目验收方案、系统运行报告、项目验收报告。 </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⑥运行维护阶段：系统维护方案、系统维护手册、系统运行维护记录。</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（8）信创适配要求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项目涉及的软件、硬件产品满足信创要求。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（9）网络安全等级保护测评要求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供应商配合采购人，做好系统通过等保测评相关准备工作。</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（10）网络安全和数据安全要求，外包网络安全管理要求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符合网络安全和密码应用要求，符合国家安全可靠应用政策规定。</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（11）系统培训要求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供应商应负责对采购人相关人员进行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3.付款条件</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以合同文本内容为准。</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4.交付时间及地点</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（1）交付时间：合同签订后</w:t>
      </w:r>
      <w:r>
        <w:rPr>
          <w:rFonts w:hint="eastAsia" w:ascii="宋体" w:hAnsi="宋体" w:cs="宋体"/>
          <w:bCs/>
          <w:color w:val="000000"/>
          <w:sz w:val="24"/>
          <w:szCs w:val="24"/>
          <w:lang w:val="en-US" w:eastAsia="zh-CN"/>
        </w:rPr>
        <w:t xml:space="preserve">3</w:t>
      </w:r>
      <w:r>
        <w:rPr>
          <w:rFonts w:hint="eastAsia" w:ascii="宋体" w:hAnsi="宋体" w:cs="宋体"/>
          <w:bCs/>
          <w:color w:val="000000"/>
          <w:sz w:val="24"/>
          <w:szCs w:val="24"/>
          <w:lang w:val="en-US" w:eastAsia="zh-CN"/>
        </w:rPr>
        <w:t xml:space="preserve">0</w:t>
      </w:r>
      <w:r>
        <w:rPr>
          <w:rFonts w:hint="eastAsia" w:ascii="宋体" w:hAnsi="宋体" w:cs="宋体"/>
          <w:bCs/>
          <w:color w:val="000000"/>
          <w:sz w:val="24"/>
          <w:szCs w:val="24"/>
        </w:rPr>
        <w:t xml:space="preserve">天内完成系统开发及整体交付验收工作。</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（2）交付地点：采购人指定地点。</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5.履约保证金</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以合同文本内容为准。</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6.其他要求</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cs="宋体"/>
          <w:bCs/>
          <w:color w:val="000000"/>
          <w:sz w:val="24"/>
          <w:szCs w:val="24"/>
        </w:rPr>
      </w:r>
      <w:r/>
    </w:p>
    <w:p>
      <w:pPr>
        <w:pStyle w:val="932"/>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rPr>
          <w:rFonts w:hint="eastAsia" w:ascii="宋体" w:hAnsi="宋体" w:cs="宋体"/>
          <w:bCs/>
          <w:color w:val="000000"/>
          <w:sz w:val="24"/>
          <w:szCs w:val="24"/>
        </w:rPr>
      </w:r>
      <w:r/>
    </w:p>
    <w:p>
      <w:pPr>
        <w:pStyle w:val="1011"/>
        <w:ind w:left="0"/>
        <w:jc w:val="center"/>
        <w:rPr>
          <w:rFonts w:hint="eastAsia" w:ascii="方正小标宋简体" w:hAnsi="方正小标宋简体" w:eastAsia="方正小标宋简体" w:cs="方正小标宋简体"/>
          <w:color w:val="000000"/>
          <w:sz w:val="36"/>
          <w:szCs w:val="36"/>
          <w:lang w:val="en-US"/>
        </w:rPr>
      </w:pPr>
      <w:r/>
      <w:bookmarkEnd w:id="42"/>
      <w:r/>
      <w:bookmarkEnd w:id="43"/>
      <w:r/>
      <w:bookmarkEnd w:id="44"/>
      <w:r/>
      <w:bookmarkEnd w:id="45"/>
      <w:r/>
      <w:bookmarkStart w:id="57" w:name="_Toc49090575"/>
      <w:r/>
      <w:bookmarkStart w:id="58" w:name="_Toc26554093"/>
      <w:r>
        <w:rPr>
          <w:rFonts w:hint="eastAsia"/>
          <w:color w:val="000000"/>
        </w:rPr>
        <w:br w:type="page" w:clear="all"/>
      </w:r>
      <w:bookmarkStart w:id="59" w:name="_Toc120614281"/>
      <w:r>
        <w:rPr>
          <w:rFonts w:hint="eastAsia" w:ascii="方正小标宋简体" w:hAnsi="方正小标宋简体" w:eastAsia="方正小标宋简体" w:cs="方正小标宋简体"/>
          <w:color w:val="000000"/>
          <w:sz w:val="36"/>
          <w:szCs w:val="36"/>
          <w:lang w:val="en-US"/>
        </w:rPr>
        <w:t xml:space="preserve">第五章  评标方法与评标标准</w:t>
      </w:r>
      <w:r>
        <w:rPr>
          <w:rFonts w:hint="eastAsia" w:ascii="方正小标宋简体" w:hAnsi="方正小标宋简体" w:eastAsia="方正小标宋简体" w:cs="方正小标宋简体"/>
          <w:color w:val="000000"/>
          <w:sz w:val="36"/>
          <w:szCs w:val="36"/>
          <w:lang w:val="en-US"/>
        </w:rPr>
      </w:r>
      <w:r/>
    </w:p>
    <w:p>
      <w:pPr>
        <w:pStyle w:val="932"/>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32"/>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932"/>
        <w:ind w:firstLine="480"/>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olor w:val="000000"/>
          <w:sz w:val="24"/>
          <w:szCs w:val="24"/>
        </w:rPr>
        <w:t xml:space="preserve">2.技术</w:t>
      </w:r>
      <w:r>
        <w:rPr>
          <w:rFonts w:hint="eastAsia" w:ascii="宋体" w:hAnsi="宋体" w:cs="宋体"/>
          <w:color w:val="000000"/>
          <w:sz w:val="24"/>
          <w:szCs w:val="24"/>
        </w:rPr>
        <w:t xml:space="preserve">”得分由高到低顺序排列。在投标文件满足招标文件全部实质性要求的投标人中，按照评审得分由高到低选取</w:t>
      </w:r>
      <w:r>
        <w:rPr>
          <w:rFonts w:hint="eastAsia" w:ascii="宋体" w:hAnsi="宋体"/>
          <w:color w:val="000000"/>
          <w:sz w:val="24"/>
          <w:szCs w:val="24"/>
        </w:rPr>
        <w:t xml:space="preserve">3</w:t>
      </w:r>
      <w:r>
        <w:rPr>
          <w:rFonts w:hint="eastAsia" w:ascii="宋体" w:hAnsi="宋体"/>
          <w:color w:val="000000"/>
          <w:sz w:val="24"/>
          <w:szCs w:val="24"/>
        </w:rPr>
        <w:t xml:space="preserve">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932"/>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932"/>
        <w:ind w:firstLine="480"/>
        <w:rPr>
          <w:rFonts w:hint="eastAsia" w:ascii="宋体" w:hAnsi="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本项目服务全部由小微企业承接的，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rPr>
      </w:r>
      <w:r/>
    </w:p>
    <w:p>
      <w:pPr>
        <w:pStyle w:val="932"/>
        <w:ind w:firstLine="480"/>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的价格扣除，用扣除后的价格参与评审。残疾人福利性单位、监狱企业属于小型、微型企业的，不重复享受价格扣除。</w:t>
      </w:r>
      <w:r>
        <w:rPr>
          <w:rFonts w:hint="eastAsia" w:ascii="宋体" w:hAnsi="宋体" w:cs="宋体"/>
          <w:color w:val="000000"/>
          <w:sz w:val="24"/>
          <w:szCs w:val="24"/>
        </w:rPr>
      </w:r>
      <w:r/>
    </w:p>
    <w:p>
      <w:pPr>
        <w:pStyle w:val="932"/>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932"/>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top"/>
            <w:textDirection w:val="lrTb"/>
            <w:noWrap w:val="false"/>
          </w:tcPr>
          <w:p>
            <w:pPr>
              <w:pStyle w:val="932"/>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330" w:type="dxa"/>
            <w:vAlign w:val="top"/>
            <w:textDirection w:val="lrTb"/>
            <w:noWrap w:val="false"/>
          </w:tcPr>
          <w:p>
            <w:pPr>
              <w:pStyle w:val="932"/>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647" w:type="dxa"/>
            <w:vAlign w:val="top"/>
            <w:textDirection w:val="lrTb"/>
            <w:noWrap w:val="false"/>
          </w:tcPr>
          <w:p>
            <w:pPr>
              <w:pStyle w:val="932"/>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900" w:type="dxa"/>
            <w:vAlign w:val="top"/>
            <w:textDirection w:val="lrTb"/>
            <w:noWrap w:val="false"/>
          </w:tcPr>
          <w:p>
            <w:pPr>
              <w:pStyle w:val="932"/>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rHeight w:val="460"/>
        </w:trPr>
        <w:tc>
          <w:tcPr>
            <w:gridSpan w:val="5"/>
            <w:tcW w:w="9575" w:type="dxa"/>
            <w:vAlign w:val="top"/>
            <w:textDirection w:val="lrTb"/>
            <w:noWrap w:val="false"/>
          </w:tcPr>
          <w:p>
            <w:pPr>
              <w:pStyle w:val="932"/>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1030"/>
        </w:trPr>
        <w:tc>
          <w:tcPr>
            <w:tcW w:w="519" w:type="dxa"/>
            <w:vAlign w:val="center"/>
            <w:textDirection w:val="lrTb"/>
            <w:noWrap w:val="false"/>
          </w:tcPr>
          <w:p>
            <w:pPr>
              <w:pStyle w:val="932"/>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932"/>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330" w:type="dxa"/>
            <w:vAlign w:val="center"/>
            <w:textDirection w:val="lrTb"/>
            <w:noWrap w:val="false"/>
          </w:tcPr>
          <w:p>
            <w:pPr>
              <w:pStyle w:val="932"/>
              <w:jc w:val="left"/>
              <w:spacing w:line="264" w:lineRule="auto"/>
              <w:rPr>
                <w:color w:val="000000"/>
              </w:rPr>
            </w:pPr>
            <w:r>
              <w:rPr>
                <w:color w:val="000000"/>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rPr>
              <w:t xml:space="preserve">价格分值（小数点保留两位）</w:t>
            </w:r>
            <w:r>
              <w:rPr>
                <w:color w:val="000000"/>
              </w:rPr>
            </w:r>
            <w:r/>
          </w:p>
        </w:tc>
        <w:tc>
          <w:tcPr>
            <w:tcW w:w="647"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0</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r>
      <w:tr>
        <w:trPr>
          <w:trHeight w:val="460"/>
        </w:trPr>
        <w:tc>
          <w:tcPr>
            <w:gridSpan w:val="5"/>
            <w:tcW w:w="9575" w:type="dxa"/>
            <w:vAlign w:val="top"/>
            <w:textDirection w:val="lrTb"/>
            <w:noWrap w:val="false"/>
          </w:tcPr>
          <w:p>
            <w:pPr>
              <w:pStyle w:val="932"/>
              <w:ind w:left="114"/>
              <w:spacing w:before="123" w:line="264" w:lineRule="auto"/>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479"/>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ascii="宋体" w:hAnsi="宋体" w:cs="宋体"/>
                <w:color w:val="000000"/>
                <w:spacing w:val="-2"/>
              </w:rPr>
              <w:t xml:space="preserve">2.1</w:t>
            </w:r>
            <w:r>
              <w:rPr>
                <w:rFonts w:ascii="宋体" w:hAnsi="宋体" w:cs="宋体"/>
                <w:color w:val="000000"/>
                <w:spacing w:val="-2"/>
              </w:rPr>
            </w:r>
            <w:r/>
          </w:p>
        </w:tc>
        <w:tc>
          <w:tcPr>
            <w:tcW w:w="1179" w:type="dxa"/>
            <w:vAlign w:val="center"/>
            <w:textDirection w:val="lrTb"/>
            <w:noWrap w:val="false"/>
          </w:tcPr>
          <w:p>
            <w:pPr>
              <w:pStyle w:val="932"/>
              <w:jc w:val="left"/>
              <w:spacing w:before="68" w:line="264" w:lineRule="auto"/>
              <w:rPr>
                <w:rFonts w:hint="eastAsia" w:ascii="宋体" w:hAnsi="宋体" w:cs="宋体"/>
                <w:color w:val="000000"/>
                <w:spacing w:val="-2"/>
              </w:rPr>
            </w:pPr>
            <w:r>
              <w:rPr>
                <w:rFonts w:hint="eastAsia"/>
                <w:color w:val="000000"/>
              </w:rPr>
              <w:t xml:space="preserve">产</w:t>
            </w:r>
            <w:r>
              <w:rPr>
                <w:rFonts w:hint="eastAsia"/>
                <w:color w:val="000000"/>
              </w:rPr>
              <w:t xml:space="preserve">品技术参数</w:t>
            </w:r>
            <w:r>
              <w:rPr>
                <w:rFonts w:hint="eastAsia" w:ascii="宋体" w:hAnsi="宋体" w:cs="宋体"/>
                <w:color w:val="000000"/>
                <w:spacing w:val="-2"/>
              </w:rPr>
            </w:r>
            <w:r/>
          </w:p>
        </w:tc>
        <w:tc>
          <w:tcPr>
            <w:tcW w:w="6330" w:type="dxa"/>
            <w:vAlign w:val="center"/>
            <w:textDirection w:val="lrTb"/>
            <w:noWrap w:val="false"/>
          </w:tcPr>
          <w:p>
            <w:pPr>
              <w:pStyle w:val="932"/>
              <w:jc w:val="left"/>
              <w:spacing w:line="264" w:lineRule="auto"/>
              <w:rPr>
                <w:color w:val="000000"/>
              </w:rPr>
            </w:pPr>
            <w:r>
              <w:rPr>
                <w:rFonts w:hint="eastAsia" w:ascii="宋体" w:hAnsi="宋体" w:cs="宋体"/>
                <w:color w:val="000000"/>
              </w:rPr>
              <w:t xml:space="preserve">产品</w:t>
            </w:r>
            <w:r>
              <w:rPr>
                <w:rFonts w:ascii="宋体" w:hAnsi="宋体" w:cs="宋体"/>
                <w:color w:val="000000"/>
              </w:rPr>
              <w:t xml:space="preserve">技术参数全部满足招标要求的得满分</w:t>
            </w:r>
            <w:r>
              <w:rPr>
                <w:rFonts w:hint="eastAsia" w:ascii="宋体" w:hAnsi="宋体" w:cs="宋体"/>
                <w:color w:val="000000"/>
              </w:rPr>
              <w:t xml:space="preserve">，</w:t>
            </w:r>
            <w:r>
              <w:rPr>
                <w:rFonts w:ascii="宋体" w:hAnsi="宋体" w:cs="宋体"/>
                <w:color w:val="000000"/>
              </w:rPr>
              <w:t xml:space="preserve">打★指标为必须满足项，如有负偏离将作为无效投标</w:t>
            </w:r>
            <w:r>
              <w:rPr>
                <w:rFonts w:hint="eastAsia" w:ascii="宋体" w:hAnsi="宋体" w:cs="宋体"/>
                <w:color w:val="000000"/>
              </w:rPr>
              <w:t xml:space="preserve">，</w:t>
            </w:r>
            <w:r>
              <w:rPr>
                <w:rFonts w:ascii="宋体" w:hAnsi="宋体" w:cs="宋体"/>
                <w:color w:val="000000"/>
              </w:rPr>
              <w:t xml:space="preserve">打▲指标为重要指标</w:t>
            </w:r>
            <w:r>
              <w:rPr>
                <w:rFonts w:hint="eastAsia" w:ascii="宋体" w:hAnsi="宋体" w:cs="宋体"/>
                <w:color w:val="000000"/>
              </w:rPr>
              <w:t xml:space="preserve">（共10项）</w:t>
            </w:r>
            <w:r>
              <w:rPr>
                <w:rFonts w:ascii="宋体" w:hAnsi="宋体" w:cs="宋体"/>
                <w:color w:val="000000"/>
              </w:rPr>
              <w:t xml:space="preserve">，</w:t>
            </w:r>
            <w:r>
              <w:rPr>
                <w:rFonts w:hint="eastAsia" w:ascii="宋体" w:hAnsi="宋体" w:cs="宋体"/>
                <w:color w:val="000000"/>
              </w:rPr>
              <w:t xml:space="preserve">有1项负偏离扣1分，其余指标</w:t>
            </w:r>
            <w:r>
              <w:rPr>
                <w:rStyle w:val="1009"/>
                <w:rFonts w:hint="eastAsia"/>
                <w:color w:val="000000"/>
              </w:rPr>
              <w:t xml:space="preserve">（共250项）</w:t>
            </w:r>
            <w:r>
              <w:rPr>
                <w:rFonts w:hint="eastAsia" w:ascii="宋体" w:hAnsi="宋体" w:cs="宋体"/>
                <w:color w:val="000000"/>
              </w:rPr>
              <w:t xml:space="preserve">有1项负偏离扣</w:t>
            </w:r>
            <w:r>
              <w:rPr>
                <w:rFonts w:ascii="宋体" w:hAnsi="宋体" w:cs="宋体"/>
                <w:color w:val="000000"/>
              </w:rPr>
              <w:t xml:space="preserve">0.04</w:t>
            </w:r>
            <w:r>
              <w:rPr>
                <w:rFonts w:hint="eastAsia" w:ascii="宋体" w:hAnsi="宋体" w:cs="宋体"/>
                <w:color w:val="000000"/>
              </w:rPr>
              <w:t xml:space="preserve">分。</w:t>
            </w:r>
            <w:r>
              <w:rPr>
                <w:color w:val="000000"/>
              </w:rPr>
            </w:r>
            <w:r/>
          </w:p>
        </w:tc>
        <w:tc>
          <w:tcPr>
            <w:tcW w:w="647" w:type="dxa"/>
            <w:vAlign w:val="center"/>
            <w:textDirection w:val="lrTb"/>
            <w:noWrap w:val="false"/>
          </w:tcPr>
          <w:p>
            <w:pPr>
              <w:pStyle w:val="932"/>
              <w:jc w:val="center"/>
              <w:spacing w:before="68" w:line="264" w:lineRule="auto"/>
              <w:rPr>
                <w:rFonts w:ascii="宋体" w:hAnsi="宋体" w:cs="宋体"/>
                <w:color w:val="000000"/>
              </w:rPr>
            </w:pPr>
            <w:r>
              <w:rPr>
                <w:rFonts w:ascii="宋体" w:hAnsi="宋体" w:cs="宋体"/>
                <w:color w:val="000000"/>
              </w:rPr>
              <w:t xml:space="preserve">20</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315"/>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932"/>
              <w:spacing w:line="264" w:lineRule="auto"/>
              <w:rPr>
                <w:color w:val="000000"/>
              </w:rPr>
            </w:pPr>
            <w:r>
              <w:rPr>
                <w:rFonts w:hint="eastAsia"/>
                <w:color w:val="000000"/>
              </w:rPr>
              <w:t xml:space="preserve">需求理解</w:t>
            </w:r>
            <w:r>
              <w:rPr>
                <w:color w:val="000000"/>
              </w:rPr>
            </w:r>
            <w:r/>
          </w:p>
        </w:tc>
        <w:tc>
          <w:tcPr>
            <w:tcW w:w="6330" w:type="dxa"/>
            <w:vAlign w:val="center"/>
            <w:textDirection w:val="lrTb"/>
            <w:noWrap w:val="false"/>
          </w:tcPr>
          <w:p>
            <w:pPr>
              <w:pStyle w:val="932"/>
              <w:rPr>
                <w:color w:val="000000"/>
              </w:rPr>
            </w:pPr>
            <w:r>
              <w:rPr>
                <w:rFonts w:hint="eastAsia"/>
                <w:color w:val="000000"/>
              </w:rPr>
              <w:t xml:space="preserve">根据本项目采购需求及相关要求编制方案，内容包含：1.业务需求分析；2.建设目标分析；3.建设依据、必要性分析。以上每项内容逐项评分：</w:t>
            </w:r>
            <w:r>
              <w:rPr>
                <w:color w:val="000000"/>
              </w:rPr>
            </w:r>
            <w:r/>
          </w:p>
          <w:p>
            <w:pPr>
              <w:pStyle w:val="932"/>
              <w:rPr>
                <w:color w:val="000000"/>
              </w:rPr>
            </w:pPr>
            <w:r>
              <w:rPr>
                <w:rFonts w:hint="eastAsia"/>
                <w:color w:val="000000"/>
              </w:rPr>
              <w:t xml:space="preserve">方案内容完整深刻，且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964"/>
              <w:rPr>
                <w:rFonts w:ascii="宋体" w:hAnsi="宋体" w:cs="宋体"/>
                <w:color w:val="000000"/>
                <w:spacing w:val="1"/>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rFonts w:ascii="宋体" w:hAnsi="宋体" w:cs="宋体"/>
                <w:color w:val="000000"/>
                <w:spacing w:val="1"/>
              </w:rPr>
            </w:r>
            <w:r/>
          </w:p>
        </w:tc>
        <w:tc>
          <w:tcPr>
            <w:tcW w:w="647"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spacing w:val="-4"/>
              </w:rPr>
              <w:t xml:space="preserve">主观分</w:t>
            </w:r>
            <w:r>
              <w:rPr>
                <w:rFonts w:ascii="宋体" w:hAnsi="宋体" w:cs="宋体"/>
                <w:color w:val="000000"/>
              </w:rPr>
            </w:r>
            <w:r/>
          </w:p>
        </w:tc>
      </w:tr>
      <w:tr>
        <w:trPr>
          <w:trHeight w:val="315"/>
        </w:trPr>
        <w:tc>
          <w:tcPr>
            <w:tcW w:w="519" w:type="dxa"/>
            <w:vAlign w:val="center"/>
            <w:textDirection w:val="lrTb"/>
            <w:noWrap w:val="false"/>
          </w:tcPr>
          <w:p>
            <w:pPr>
              <w:pStyle w:val="932"/>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.3</w:t>
            </w:r>
            <w:r>
              <w:rPr>
                <w:rFonts w:hint="eastAsia" w:ascii="宋体" w:hAnsi="宋体" w:cs="宋体"/>
                <w:color w:val="000000"/>
                <w:spacing w:val="-2"/>
              </w:rPr>
            </w:r>
            <w:r/>
          </w:p>
        </w:tc>
        <w:tc>
          <w:tcPr>
            <w:tcW w:w="1179" w:type="dxa"/>
            <w:vAlign w:val="center"/>
            <w:textDirection w:val="lrTb"/>
            <w:noWrap w:val="false"/>
          </w:tcPr>
          <w:p>
            <w:pPr>
              <w:pStyle w:val="932"/>
              <w:spacing w:line="264" w:lineRule="auto"/>
              <w:rPr>
                <w:color w:val="000000"/>
              </w:rPr>
            </w:pPr>
            <w:r>
              <w:rPr>
                <w:rFonts w:hint="eastAsia"/>
                <w:color w:val="000000"/>
              </w:rPr>
              <w:t xml:space="preserve">总体技术方案</w:t>
            </w:r>
            <w:r>
              <w:rPr>
                <w:color w:val="000000"/>
              </w:rPr>
            </w:r>
            <w:r/>
          </w:p>
        </w:tc>
        <w:tc>
          <w:tcPr>
            <w:tcW w:w="6330" w:type="dxa"/>
            <w:vAlign w:val="center"/>
            <w:textDirection w:val="lrTb"/>
            <w:noWrap w:val="false"/>
          </w:tcPr>
          <w:p>
            <w:pPr>
              <w:pStyle w:val="932"/>
              <w:jc w:val="left"/>
              <w:spacing w:line="264" w:lineRule="auto"/>
              <w:widowControl/>
              <w:rPr>
                <w:rFonts w:hint="eastAsia"/>
                <w:color w:val="000000"/>
              </w:rPr>
            </w:pPr>
            <w:r>
              <w:rPr>
                <w:rFonts w:hint="eastAsia"/>
                <w:color w:val="000000"/>
              </w:rPr>
              <w:t xml:space="preserve">根据本项目采购需求及相关要求编制方案，内容</w:t>
            </w:r>
            <w:r>
              <w:rPr>
                <w:rFonts w:ascii="宋体" w:hAnsi="宋体" w:cs="宋体"/>
                <w:color w:val="000000"/>
              </w:rPr>
              <w:t xml:space="preserve">包括</w:t>
            </w:r>
            <w:r>
              <w:rPr>
                <w:rFonts w:hint="eastAsia"/>
                <w:color w:val="000000"/>
              </w:rPr>
              <w:t xml:space="preserve">：1.总体架构和性能设计；2.用户界面和应用功能设计；3.系统部署和安全防护设计。以上每项内容逐条阐述。</w:t>
            </w:r>
            <w:r>
              <w:rPr>
                <w:rFonts w:hint="eastAsia"/>
                <w:color w:val="000000"/>
              </w:rPr>
            </w:r>
            <w:r/>
          </w:p>
          <w:p>
            <w:pPr>
              <w:pStyle w:val="932"/>
              <w:rPr>
                <w:color w:val="000000"/>
              </w:rPr>
            </w:pPr>
            <w:r>
              <w:rPr>
                <w:color w:val="000000"/>
              </w:rPr>
              <w:t xml:space="preserve">方案内容</w:t>
            </w:r>
            <w:r>
              <w:rPr>
                <w:rFonts w:hint="eastAsia"/>
                <w:color w:val="000000"/>
              </w:rPr>
              <w:t xml:space="preserve">制定清晰完整，提供架构图层次分明，且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932"/>
              <w:rPr>
                <w:color w:val="000000"/>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color w:val="000000"/>
              </w:rPr>
            </w:r>
            <w:r/>
          </w:p>
        </w:tc>
        <w:tc>
          <w:tcPr>
            <w:tcW w:w="647"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spacing w:val="-4"/>
              </w:rPr>
              <w:t xml:space="preserve">主观分</w:t>
            </w:r>
            <w:r>
              <w:rPr>
                <w:rFonts w:ascii="宋体" w:hAnsi="宋体" w:cs="宋体"/>
                <w:color w:val="000000"/>
              </w:rPr>
            </w:r>
            <w:r/>
          </w:p>
        </w:tc>
      </w:tr>
      <w:tr>
        <w:trPr>
          <w:trHeight w:val="315"/>
        </w:trPr>
        <w:tc>
          <w:tcPr>
            <w:tcW w:w="519" w:type="dxa"/>
            <w:vAlign w:val="center"/>
            <w:textDirection w:val="lrTb"/>
            <w:noWrap w:val="false"/>
          </w:tcPr>
          <w:p>
            <w:pPr>
              <w:pStyle w:val="932"/>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.4</w:t>
            </w:r>
            <w:r>
              <w:rPr>
                <w:rFonts w:hint="eastAsia" w:ascii="宋体" w:hAnsi="宋体" w:cs="宋体"/>
                <w:color w:val="000000"/>
                <w:spacing w:val="-2"/>
              </w:rPr>
            </w:r>
            <w:r/>
          </w:p>
        </w:tc>
        <w:tc>
          <w:tcPr>
            <w:tcW w:w="1179" w:type="dxa"/>
            <w:vAlign w:val="center"/>
            <w:textDirection w:val="lrTb"/>
            <w:noWrap w:val="false"/>
          </w:tcPr>
          <w:p>
            <w:pPr>
              <w:pStyle w:val="932"/>
              <w:rPr>
                <w:color w:val="000000"/>
              </w:rPr>
            </w:pPr>
            <w:r>
              <w:rPr>
                <w:rFonts w:hint="eastAsia"/>
                <w:color w:val="000000"/>
              </w:rPr>
              <w:t xml:space="preserve">实施方案</w:t>
            </w:r>
            <w:r>
              <w:rPr>
                <w:color w:val="000000"/>
              </w:rPr>
            </w:r>
            <w:r/>
          </w:p>
        </w:tc>
        <w:tc>
          <w:tcPr>
            <w:tcW w:w="6330" w:type="dxa"/>
            <w:vAlign w:val="center"/>
            <w:textDirection w:val="lrTb"/>
            <w:noWrap w:val="false"/>
          </w:tcPr>
          <w:p>
            <w:pPr>
              <w:pStyle w:val="932"/>
              <w:rPr>
                <w:color w:val="000000"/>
              </w:rPr>
            </w:pPr>
            <w:r>
              <w:rPr>
                <w:rFonts w:hint="eastAsia"/>
                <w:color w:val="000000"/>
              </w:rPr>
              <w:t xml:space="preserve">根据本项目采购需求及相关要求编制方案，内容包含：1.实施方案；2.实施进度安排；3.</w:t>
            </w:r>
            <w:r>
              <w:rPr>
                <w:rFonts w:hint="eastAsia" w:ascii="宋体" w:hAnsi="宋体" w:cs="宋体"/>
                <w:color w:val="000000"/>
              </w:rPr>
              <w:t xml:space="preserve">项目管理方案</w:t>
            </w:r>
            <w:r>
              <w:rPr>
                <w:rFonts w:hint="eastAsia"/>
                <w:color w:val="000000"/>
              </w:rPr>
              <w:t xml:space="preserve">。以上每项内容逐条阐述。</w:t>
            </w:r>
            <w:r>
              <w:rPr>
                <w:color w:val="000000"/>
              </w:rPr>
            </w:r>
            <w:r/>
          </w:p>
          <w:p>
            <w:pPr>
              <w:pStyle w:val="932"/>
              <w:rPr>
                <w:color w:val="000000"/>
              </w:rPr>
            </w:pPr>
            <w:r>
              <w:rPr>
                <w:color w:val="000000"/>
              </w:rPr>
              <w:t xml:space="preserve">方案内容</w:t>
            </w:r>
            <w:r>
              <w:rPr>
                <w:rFonts w:hint="eastAsia"/>
                <w:color w:val="000000"/>
              </w:rPr>
              <w:t xml:space="preserve">制定规范完整，各环节衔接顺畅并贴合项目实际，且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932"/>
              <w:rPr>
                <w:color w:val="000000"/>
              </w:rPr>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color w:val="000000"/>
              </w:rPr>
            </w:r>
            <w:r/>
          </w:p>
        </w:tc>
        <w:tc>
          <w:tcPr>
            <w:tcW w:w="647"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spacing w:val="-4"/>
              </w:rPr>
              <w:t xml:space="preserve">主观分</w:t>
            </w:r>
            <w:r>
              <w:rPr>
                <w:rFonts w:ascii="宋体" w:hAnsi="宋体" w:cs="宋体"/>
                <w:color w:val="000000"/>
              </w:rPr>
            </w:r>
            <w:r/>
          </w:p>
        </w:tc>
      </w:tr>
      <w:tr>
        <w:trPr>
          <w:trHeight w:val="472"/>
        </w:trPr>
        <w:tc>
          <w:tcPr>
            <w:gridSpan w:val="5"/>
            <w:tcW w:w="9575" w:type="dxa"/>
            <w:vAlign w:val="center"/>
            <w:textDirection w:val="lrTb"/>
            <w:noWrap w:val="false"/>
          </w:tcPr>
          <w:p>
            <w:pPr>
              <w:pStyle w:val="932"/>
              <w:spacing w:before="68" w:line="264" w:lineRule="auto"/>
              <w:rPr>
                <w:rFonts w:hint="eastAsia" w:ascii="宋体" w:hAnsi="宋体" w:cs="宋体"/>
                <w:color w:val="000000"/>
              </w:rPr>
            </w:pPr>
            <w:r>
              <w:rPr>
                <w:rFonts w:hint="eastAsia" w:ascii="宋体" w:hAnsi="宋体" w:cs="宋体"/>
                <w:b/>
                <w:bCs/>
                <w:color w:val="000000"/>
                <w:spacing w:val="-3"/>
              </w:rPr>
              <w:t xml:space="preserve">3.服务</w:t>
            </w:r>
            <w:r>
              <w:rPr>
                <w:rFonts w:hint="eastAsia" w:ascii="宋体" w:hAnsi="宋体" w:cs="宋体"/>
                <w:color w:val="000000"/>
              </w:rPr>
            </w:r>
            <w:r/>
          </w:p>
        </w:tc>
      </w:tr>
      <w:tr>
        <w:trPr>
          <w:trHeight w:val="195"/>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932"/>
              <w:spacing w:line="264" w:lineRule="auto"/>
              <w:rPr>
                <w:color w:val="000000"/>
              </w:rPr>
            </w:pPr>
            <w:r>
              <w:rPr>
                <w:rFonts w:hint="eastAsia"/>
                <w:color w:val="000000"/>
              </w:rPr>
              <w:t xml:space="preserve">运维服务方案</w:t>
            </w:r>
            <w:r>
              <w:rPr>
                <w:color w:val="000000"/>
              </w:rPr>
            </w:r>
            <w:r/>
          </w:p>
        </w:tc>
        <w:tc>
          <w:tcPr>
            <w:tcW w:w="6330" w:type="dxa"/>
            <w:vAlign w:val="center"/>
            <w:textDirection w:val="lrTb"/>
            <w:noWrap w:val="false"/>
          </w:tcPr>
          <w:p>
            <w:pPr>
              <w:pStyle w:val="932"/>
              <w:jc w:val="left"/>
              <w:spacing w:line="264" w:lineRule="auto"/>
              <w:widowControl/>
              <w:rPr>
                <w:rFonts w:ascii="宋体" w:hAnsi="宋体" w:cs="宋体"/>
                <w:color w:val="000000"/>
              </w:rPr>
            </w:pPr>
            <w:r>
              <w:rPr>
                <w:rFonts w:hint="eastAsia"/>
                <w:color w:val="000000"/>
              </w:rPr>
              <w:t xml:space="preserve">根据本项目采购需求及相关要求编制方案，内容</w:t>
            </w:r>
            <w:r>
              <w:rPr>
                <w:rFonts w:ascii="宋体" w:hAnsi="宋体" w:cs="宋体"/>
                <w:color w:val="000000"/>
              </w:rPr>
              <w:t xml:space="preserve">包括</w:t>
            </w:r>
            <w:r>
              <w:rPr>
                <w:rFonts w:hint="eastAsia"/>
                <w:color w:val="000000"/>
              </w:rPr>
              <w:t xml:space="preserve">：</w:t>
            </w:r>
            <w:r>
              <w:rPr>
                <w:rFonts w:hint="eastAsia" w:ascii="宋体" w:hAnsi="宋体" w:cs="宋体"/>
                <w:color w:val="000000"/>
              </w:rPr>
              <w:t xml:space="preserve">1.</w:t>
            </w:r>
            <w:r>
              <w:rPr>
                <w:rFonts w:hint="eastAsia" w:ascii="宋体" w:hAnsi="宋体" w:cs="宋体"/>
                <w:bCs/>
                <w:color w:val="000000"/>
              </w:rPr>
              <w:t xml:space="preserve">服务保障体系</w:t>
            </w:r>
            <w:r>
              <w:rPr>
                <w:rFonts w:hint="eastAsia" w:ascii="宋体" w:hAnsi="宋体" w:cs="宋体"/>
                <w:color w:val="000000"/>
              </w:rPr>
              <w:t xml:space="preserve">；2.</w:t>
            </w:r>
            <w:r>
              <w:rPr>
                <w:rFonts w:hint="eastAsia" w:ascii="宋体" w:hAnsi="宋体" w:cs="宋体"/>
                <w:bCs/>
                <w:color w:val="000000"/>
              </w:rPr>
              <w:t xml:space="preserve">服务内容</w:t>
            </w:r>
            <w:r>
              <w:rPr>
                <w:rFonts w:hint="eastAsia" w:ascii="宋体" w:hAnsi="宋体" w:cs="宋体"/>
                <w:color w:val="000000"/>
              </w:rPr>
              <w:t xml:space="preserve">；3.</w:t>
            </w:r>
            <w:r>
              <w:rPr>
                <w:rFonts w:hint="eastAsia" w:ascii="宋体" w:hAnsi="宋体" w:cs="宋体"/>
                <w:bCs/>
                <w:color w:val="000000"/>
              </w:rPr>
              <w:t xml:space="preserve">故障解决方案</w:t>
            </w:r>
            <w:r>
              <w:rPr>
                <w:rFonts w:hint="eastAsia" w:ascii="宋体" w:hAnsi="宋体" w:cs="宋体"/>
                <w:color w:val="000000"/>
              </w:rPr>
              <w:t xml:space="preserve">；</w:t>
            </w:r>
            <w:r>
              <w:rPr>
                <w:rFonts w:hint="eastAsia" w:ascii="宋体" w:hAnsi="宋体" w:cs="宋体"/>
                <w:color w:val="000000"/>
              </w:rPr>
              <w:t xml:space="preserve">以上每项内容逐条阐述，每方面满分1分，累计得分即为本项总分。</w:t>
            </w:r>
            <w:r>
              <w:rPr>
                <w:rFonts w:ascii="宋体" w:hAnsi="宋体" w:cs="宋体"/>
                <w:color w:val="000000"/>
              </w:rPr>
            </w:r>
            <w:r/>
          </w:p>
          <w:p>
            <w:pPr>
              <w:pStyle w:val="932"/>
              <w:rPr>
                <w:color w:val="000000"/>
              </w:rPr>
            </w:pPr>
            <w:r>
              <w:rPr>
                <w:rFonts w:hint="eastAsia"/>
                <w:color w:val="000000"/>
              </w:rPr>
              <w:t xml:space="preserve">方案内容提供专业技术支持</w:t>
            </w:r>
            <w:r>
              <w:rPr>
                <w:color w:val="000000"/>
              </w:rPr>
              <w:t xml:space="preserve">，精准解决</w:t>
            </w:r>
            <w:r>
              <w:rPr>
                <w:rFonts w:hint="eastAsia"/>
                <w:color w:val="000000"/>
              </w:rPr>
              <w:t xml:space="preserve">技术难题</w:t>
            </w:r>
            <w:r>
              <w:rPr>
                <w:color w:val="000000"/>
              </w:rPr>
              <w:t xml:space="preserve">，保障项目顺利推进</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932"/>
              <w:rPr>
                <w:rFonts w:ascii="Calibri" w:hAnsi="Calibri" w:eastAsia="Calibri" w:cs="宋体"/>
                <w:color w:val="000000"/>
                <w:sz w:val="20"/>
              </w:rPr>
            </w:pPr>
            <w:r>
              <w:rPr>
                <w:rFonts w:hint="eastAsia"/>
                <w:color w:val="000000"/>
              </w:rPr>
              <w:t xml:space="preserve">上述每项内容</w:t>
            </w:r>
            <w:r>
              <w:rPr>
                <w:color w:val="000000"/>
              </w:rPr>
              <w:t xml:space="preserve">符合得1分；部分符合得0.5分；不符合或不提供不得分。</w:t>
            </w:r>
            <w:r>
              <w:rPr>
                <w:rFonts w:ascii="Calibri" w:hAnsi="Calibri" w:eastAsia="Calibri" w:cs="宋体"/>
                <w:color w:val="000000"/>
                <w:sz w:val="20"/>
              </w:rPr>
            </w:r>
            <w:r/>
          </w:p>
        </w:tc>
        <w:tc>
          <w:tcPr>
            <w:tcW w:w="647" w:type="dxa"/>
            <w:vAlign w:val="center"/>
            <w:textDirection w:val="lrTb"/>
            <w:noWrap w:val="false"/>
          </w:tcPr>
          <w:p>
            <w:pPr>
              <w:pStyle w:val="932"/>
              <w:jc w:val="center"/>
              <w:spacing w:before="68" w:line="264" w:lineRule="auto"/>
              <w:rPr>
                <w:rFonts w:hint="eastAsia" w:ascii="宋体" w:hAnsi="宋体" w:cs="宋体"/>
                <w:color w:val="000000"/>
              </w:rPr>
            </w:pPr>
            <w:r>
              <w:rPr>
                <w:rFonts w:ascii="宋体" w:hAnsi="宋体" w:cs="宋体"/>
                <w:color w:val="000000"/>
              </w:rPr>
              <w:t xml:space="preserve">3</w:t>
            </w:r>
            <w:r>
              <w:rPr>
                <w:rFonts w:hint="eastAsia"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3.2</w:t>
            </w:r>
            <w:r>
              <w:rPr>
                <w:rFonts w:ascii="宋体" w:hAnsi="宋体" w:cs="宋体"/>
                <w:color w:val="000000"/>
                <w:spacing w:val="-2"/>
              </w:rPr>
            </w:r>
            <w:r/>
          </w:p>
        </w:tc>
        <w:tc>
          <w:tcPr>
            <w:tcW w:w="1179" w:type="dxa"/>
            <w:vAlign w:val="center"/>
            <w:textDirection w:val="lrTb"/>
            <w:noWrap w:val="false"/>
          </w:tcPr>
          <w:p>
            <w:pPr>
              <w:pStyle w:val="932"/>
              <w:jc w:val="left"/>
              <w:spacing w:line="264" w:lineRule="auto"/>
              <w:widowControl/>
              <w:rPr>
                <w:color w:val="000000"/>
              </w:rPr>
            </w:pPr>
            <w:r>
              <w:rPr>
                <w:rFonts w:hint="eastAsia"/>
                <w:color w:val="000000"/>
              </w:rPr>
              <w:t xml:space="preserve">培训方案</w:t>
            </w:r>
            <w:r>
              <w:rPr>
                <w:color w:val="000000"/>
              </w:rPr>
            </w:r>
            <w:r/>
          </w:p>
        </w:tc>
        <w:tc>
          <w:tcPr>
            <w:tcW w:w="6330" w:type="dxa"/>
            <w:vAlign w:val="center"/>
            <w:textDirection w:val="lrTb"/>
            <w:noWrap w:val="false"/>
          </w:tcPr>
          <w:p>
            <w:pPr>
              <w:pStyle w:val="932"/>
              <w:jc w:val="left"/>
              <w:spacing w:line="264" w:lineRule="auto"/>
              <w:widowControl/>
              <w:rPr>
                <w:color w:val="000000"/>
              </w:rPr>
            </w:pPr>
            <w:r>
              <w:rPr>
                <w:rFonts w:hint="eastAsia"/>
                <w:color w:val="000000"/>
              </w:rPr>
              <w:t xml:space="preserve">根据本项目采购需求中“培训要求及相关要求”编制方案，内容</w:t>
            </w:r>
            <w:r>
              <w:rPr>
                <w:color w:val="000000"/>
              </w:rPr>
              <w:t xml:space="preserve">包括</w:t>
            </w:r>
            <w:r>
              <w:rPr>
                <w:rFonts w:hint="eastAsia"/>
                <w:color w:val="000000"/>
              </w:rPr>
              <w:t xml:space="preserve">：</w:t>
            </w:r>
            <w:r>
              <w:rPr>
                <w:rFonts w:hint="eastAsia" w:ascii="宋体" w:hAnsi="宋体" w:cs="宋体"/>
                <w:color w:val="000000"/>
              </w:rPr>
              <w:t xml:space="preserve">1.</w:t>
            </w:r>
            <w:r>
              <w:rPr>
                <w:rFonts w:ascii="宋体" w:hAnsi="宋体" w:cs="宋体"/>
                <w:color w:val="000000"/>
              </w:rPr>
              <w:t xml:space="preserve">培训计划</w:t>
            </w:r>
            <w:r>
              <w:rPr>
                <w:rFonts w:hint="eastAsia" w:ascii="宋体" w:hAnsi="宋体" w:cs="宋体"/>
                <w:color w:val="000000"/>
              </w:rPr>
              <w:t xml:space="preserve">；2.</w:t>
            </w:r>
            <w:r>
              <w:rPr>
                <w:rFonts w:ascii="宋体" w:hAnsi="宋体" w:cs="宋体"/>
                <w:color w:val="000000"/>
              </w:rPr>
              <w:t xml:space="preserve">培训内容</w:t>
            </w:r>
            <w:r>
              <w:rPr>
                <w:rFonts w:hint="eastAsia" w:ascii="宋体" w:hAnsi="宋体" w:cs="宋体"/>
                <w:color w:val="000000"/>
              </w:rPr>
              <w:t xml:space="preserve">。</w:t>
            </w:r>
            <w:r>
              <w:rPr>
                <w:rFonts w:hint="eastAsia"/>
                <w:color w:val="000000"/>
              </w:rPr>
              <w:t xml:space="preserve">以上每项内容逐条阐述。</w:t>
            </w:r>
            <w:r>
              <w:rPr>
                <w:color w:val="000000"/>
              </w:rPr>
              <w:t xml:space="preserve"> </w:t>
            </w:r>
            <w:r>
              <w:rPr>
                <w:color w:val="000000"/>
              </w:rPr>
            </w:r>
            <w:r/>
          </w:p>
          <w:p>
            <w:pPr>
              <w:pStyle w:val="932"/>
              <w:jc w:val="left"/>
              <w:spacing w:line="264" w:lineRule="auto"/>
              <w:widowControl/>
              <w:rPr>
                <w:color w:val="000000"/>
              </w:rPr>
            </w:pPr>
            <w:r>
              <w:rPr>
                <w:rFonts w:hint="eastAsia"/>
                <w:color w:val="000000"/>
              </w:rPr>
              <w:t xml:space="preserve">方案内容清晰详细、培训计划细化到不同角色、分层清晰、培训内容系统深入，覆盖面广，且专门针对本项目，契合采购需求视为符合；方案内容属于通用类，非专门针对本项目，部分契合采购需求视为部分符合；方案内容非专门针对本项目，脱离采购需求视为不符合。</w:t>
            </w:r>
            <w:r>
              <w:rPr>
                <w:color w:val="000000"/>
              </w:rPr>
            </w:r>
            <w:r/>
          </w:p>
          <w:p>
            <w:pPr>
              <w:pStyle w:val="932"/>
              <w:jc w:val="left"/>
              <w:spacing w:line="264" w:lineRule="auto"/>
              <w:widowControl/>
              <w:rPr>
                <w:color w:val="000000"/>
              </w:rPr>
            </w:pPr>
            <w:r>
              <w:rPr>
                <w:rFonts w:hint="eastAsia"/>
                <w:color w:val="000000"/>
              </w:rPr>
              <w:t xml:space="preserve">上述每项内容符合得2分；部分符合得1分；不符合或不提供不得分。</w:t>
            </w:r>
            <w:r>
              <w:rPr>
                <w:color w:val="000000"/>
              </w:rPr>
            </w:r>
            <w:r/>
          </w:p>
        </w:tc>
        <w:tc>
          <w:tcPr>
            <w:tcW w:w="647"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455"/>
        </w:trPr>
        <w:tc>
          <w:tcPr>
            <w:gridSpan w:val="5"/>
            <w:tcW w:w="9575" w:type="dxa"/>
            <w:vAlign w:val="center"/>
            <w:textDirection w:val="lrTb"/>
            <w:noWrap w:val="false"/>
          </w:tcPr>
          <w:p>
            <w:pPr>
              <w:pStyle w:val="932"/>
              <w:spacing w:line="264" w:lineRule="auto"/>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1015"/>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932"/>
              <w:spacing w:before="69" w:line="264" w:lineRule="auto"/>
              <w:rPr>
                <w:rFonts w:ascii="宋体" w:hAnsi="宋体" w:cs="宋体"/>
                <w:color w:val="000000"/>
                <w:spacing w:val="-2"/>
              </w:rPr>
            </w:pPr>
            <w:r>
              <w:rPr>
                <w:rFonts w:hint="eastAsia"/>
                <w:color w:val="000000"/>
              </w:rPr>
              <w:t xml:space="preserve">投标人业绩</w:t>
            </w:r>
            <w:r>
              <w:rPr>
                <w:rFonts w:ascii="宋体" w:hAnsi="宋体" w:cs="宋体"/>
                <w:color w:val="000000"/>
                <w:spacing w:val="-2"/>
              </w:rPr>
            </w:r>
            <w:r/>
          </w:p>
        </w:tc>
        <w:tc>
          <w:tcPr>
            <w:tcW w:w="6330" w:type="dxa"/>
            <w:vAlign w:val="center"/>
            <w:textDirection w:val="lrTb"/>
            <w:noWrap w:val="false"/>
          </w:tcPr>
          <w:p>
            <w:pPr>
              <w:pStyle w:val="932"/>
              <w:spacing w:line="264" w:lineRule="auto"/>
              <w:rPr>
                <w:rFonts w:hint="eastAsia"/>
                <w:color w:val="000000"/>
                <w:lang w:bidi="zh-CN"/>
              </w:rPr>
            </w:pPr>
            <w:r>
              <w:rPr>
                <w:rFonts w:ascii="宋体" w:hAnsi="宋体" w:cs="宋体"/>
                <w:color w:val="000000"/>
              </w:rPr>
              <w:t xml:space="preserve">投标人</w:t>
            </w:r>
            <w:r>
              <w:rPr>
                <w:rFonts w:hint="eastAsia" w:ascii="宋体" w:hAnsi="宋体" w:cs="宋体"/>
                <w:color w:val="000000"/>
              </w:rPr>
              <w:t xml:space="preserve">提供</w:t>
            </w:r>
            <w:r>
              <w:rPr>
                <w:rFonts w:ascii="宋体" w:hAnsi="宋体" w:cs="宋体"/>
                <w:color w:val="000000"/>
              </w:rPr>
              <w:t xml:space="preserve">2023年1月1日</w:t>
            </w:r>
            <w:r>
              <w:rPr>
                <w:rFonts w:ascii="宋体" w:hAnsi="宋体" w:cs="宋体"/>
                <w:color w:val="000000"/>
              </w:rPr>
              <w:t xml:space="preserve">（含）以来类似项目业绩</w:t>
            </w:r>
            <w:r>
              <w:rPr>
                <w:rFonts w:hint="eastAsia" w:ascii="宋体" w:hAnsi="宋体" w:cs="宋体"/>
                <w:color w:val="000000"/>
              </w:rPr>
              <w:t xml:space="preserve">（至少包含专科全病程管理类或智能体应用类相关内容）</w:t>
            </w:r>
            <w:r>
              <w:rPr>
                <w:rFonts w:ascii="宋体" w:hAnsi="宋体" w:cs="宋体"/>
                <w:color w:val="000000"/>
              </w:rPr>
              <w:t xml:space="preserve">，每提供</w:t>
            </w:r>
            <w:r>
              <w:rPr>
                <w:rFonts w:hint="eastAsia" w:ascii="宋体" w:hAnsi="宋体" w:cs="宋体"/>
                <w:color w:val="000000"/>
              </w:rPr>
              <w:t xml:space="preserve">1</w:t>
            </w:r>
            <w:r>
              <w:rPr>
                <w:rFonts w:ascii="宋体" w:hAnsi="宋体" w:cs="宋体"/>
                <w:color w:val="000000"/>
              </w:rPr>
              <w:t xml:space="preserve">个得</w:t>
            </w:r>
            <w:r>
              <w:rPr>
                <w:rFonts w:ascii="宋体" w:hAnsi="宋体" w:cs="宋体"/>
                <w:color w:val="000000"/>
              </w:rPr>
              <w:t xml:space="preserve">2</w:t>
            </w:r>
            <w:r>
              <w:rPr>
                <w:rFonts w:ascii="宋体" w:hAnsi="宋体" w:cs="宋体"/>
                <w:color w:val="000000"/>
              </w:rPr>
              <w:t xml:space="preserve">分</w:t>
            </w:r>
            <w:r>
              <w:rPr>
                <w:rFonts w:hint="eastAsia" w:ascii="宋体" w:hAnsi="宋体" w:cs="宋体"/>
                <w:color w:val="000000"/>
              </w:rPr>
              <w:t xml:space="preserve">，</w:t>
            </w:r>
            <w:r>
              <w:rPr>
                <w:rFonts w:ascii="宋体" w:hAnsi="宋体" w:cs="宋体"/>
                <w:color w:val="000000"/>
              </w:rPr>
              <w:t xml:space="preserve">最多</w:t>
            </w:r>
            <w:r>
              <w:rPr>
                <w:rFonts w:hint="eastAsia" w:ascii="宋体" w:hAnsi="宋体" w:cs="宋体"/>
                <w:color w:val="000000"/>
              </w:rPr>
              <w:t xml:space="preserve">得</w:t>
            </w:r>
            <w:r>
              <w:rPr>
                <w:rFonts w:ascii="宋体" w:hAnsi="宋体" w:cs="宋体"/>
                <w:color w:val="000000"/>
              </w:rPr>
              <w:t xml:space="preserve">4</w:t>
            </w:r>
            <w:r>
              <w:rPr>
                <w:rFonts w:hint="eastAsia" w:ascii="宋体" w:hAnsi="宋体" w:cs="宋体"/>
                <w:color w:val="000000"/>
              </w:rPr>
              <w:t xml:space="preserve">分</w:t>
            </w:r>
            <w:r>
              <w:rPr>
                <w:rFonts w:ascii="宋体" w:hAnsi="宋体" w:cs="宋体"/>
                <w:color w:val="000000"/>
              </w:rPr>
              <w:t xml:space="preserve">。（</w:t>
            </w:r>
            <w:r>
              <w:rPr>
                <w:rFonts w:hint="eastAsia" w:ascii="宋体" w:hAnsi="宋体" w:cs="宋体"/>
                <w:color w:val="000000"/>
              </w:rPr>
              <w:t xml:space="preserve">时间以合同签订时间为准，</w:t>
            </w:r>
            <w:r>
              <w:rPr>
                <w:rFonts w:ascii="宋体" w:hAnsi="宋体" w:cs="宋体"/>
                <w:color w:val="000000"/>
              </w:rPr>
              <w:t xml:space="preserve">提供有效合同，合同</w:t>
            </w:r>
            <w:r>
              <w:rPr>
                <w:rFonts w:hint="eastAsia" w:ascii="宋体" w:hAnsi="宋体" w:cs="宋体"/>
                <w:color w:val="000000"/>
              </w:rPr>
              <w:t xml:space="preserve">页</w:t>
            </w:r>
            <w:r>
              <w:rPr>
                <w:rFonts w:ascii="宋体" w:hAnsi="宋体" w:cs="宋体"/>
                <w:color w:val="000000"/>
              </w:rPr>
              <w:t xml:space="preserve">须清晰可见相应内容）</w:t>
            </w:r>
            <w:r>
              <w:rPr>
                <w:rFonts w:hint="eastAsia"/>
                <w:color w:val="000000"/>
                <w:lang w:bidi="zh-CN"/>
              </w:rPr>
            </w:r>
            <w:r/>
          </w:p>
        </w:tc>
        <w:tc>
          <w:tcPr>
            <w:tcW w:w="647" w:type="dxa"/>
            <w:vAlign w:val="center"/>
            <w:textDirection w:val="lrTb"/>
            <w:noWrap w:val="false"/>
          </w:tcPr>
          <w:p>
            <w:pPr>
              <w:pStyle w:val="932"/>
              <w:jc w:val="center"/>
              <w:spacing w:line="264" w:lineRule="auto"/>
              <w:rPr>
                <w:color w:val="000000"/>
              </w:rPr>
            </w:pPr>
            <w:r>
              <w:rPr>
                <w:rFonts w:ascii="宋体" w:hAnsi="宋体" w:cs="宋体"/>
                <w:color w:val="000000"/>
              </w:rPr>
              <w:t xml:space="preserve">4</w:t>
            </w:r>
            <w:r>
              <w:rPr>
                <w:color w:val="000000"/>
              </w:rPr>
            </w:r>
            <w:r/>
          </w:p>
        </w:tc>
        <w:tc>
          <w:tcPr>
            <w:tcW w:w="900" w:type="dxa"/>
            <w:vAlign w:val="center"/>
            <w:textDirection w:val="lrTb"/>
            <w:noWrap w:val="false"/>
          </w:tcPr>
          <w:p>
            <w:pPr>
              <w:pStyle w:val="932"/>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269"/>
        </w:trPr>
        <w:tc>
          <w:tcPr>
            <w:gridSpan w:val="5"/>
            <w:tcW w:w="9575" w:type="dxa"/>
            <w:vAlign w:val="top"/>
            <w:textDirection w:val="lrTb"/>
            <w:noWrap w:val="false"/>
          </w:tcPr>
          <w:p>
            <w:pPr>
              <w:pStyle w:val="932"/>
              <w:spacing w:before="123" w:line="264" w:lineRule="auto"/>
              <w:rPr>
                <w:rFonts w:ascii="宋体" w:hAnsi="宋体" w:cs="宋体"/>
                <w:color w:val="000000"/>
              </w:rPr>
            </w:pPr>
            <w:r>
              <w:rPr>
                <w:rFonts w:hint="eastAsia" w:ascii="宋体" w:hAnsi="宋体" w:cs="宋体"/>
                <w:b/>
                <w:bCs/>
                <w:color w:val="000000"/>
                <w:spacing w:val="-3"/>
              </w:rPr>
              <w:t xml:space="preserve">5.履约能力</w:t>
            </w:r>
            <w:r>
              <w:rPr>
                <w:rFonts w:ascii="宋体" w:hAnsi="宋体" w:cs="宋体"/>
                <w:color w:val="000000"/>
              </w:rPr>
            </w:r>
            <w:r/>
          </w:p>
        </w:tc>
      </w:tr>
      <w:tr>
        <w:trPr>
          <w:trHeight w:val="387"/>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932"/>
              <w:spacing w:line="264" w:lineRule="auto"/>
              <w:rPr>
                <w:color w:val="000000"/>
              </w:rPr>
            </w:pPr>
            <w:r>
              <w:rPr>
                <w:rFonts w:hint="eastAsia"/>
                <w:color w:val="000000"/>
              </w:rPr>
              <w:t xml:space="preserve">履约能力1</w:t>
            </w:r>
            <w:r>
              <w:rPr>
                <w:color w:val="000000"/>
              </w:rPr>
            </w:r>
            <w:r/>
          </w:p>
        </w:tc>
        <w:tc>
          <w:tcPr>
            <w:tcW w:w="6330" w:type="dxa"/>
            <w:vAlign w:val="center"/>
            <w:textDirection w:val="lrTb"/>
            <w:noWrap w:val="false"/>
          </w:tcPr>
          <w:p>
            <w:pPr>
              <w:pStyle w:val="932"/>
              <w:spacing w:line="264" w:lineRule="auto"/>
              <w:rPr>
                <w:rFonts w:ascii="宋体" w:hAnsi="宋体" w:cs="宋体"/>
                <w:color w:val="000000"/>
              </w:rPr>
            </w:pPr>
            <w:r>
              <w:rPr>
                <w:rFonts w:hint="eastAsia" w:ascii="宋体" w:hAnsi="宋体" w:cs="宋体"/>
                <w:color w:val="000000"/>
              </w:rPr>
              <w:t xml:space="preserve">投标人拟投入本项目的项目经理具有工信部门和人社部门颁发的高级工程师职称证书、信息系统项目管理师证书、注册信息安全专业人员（CISP）证书，每提供1个证书得</w:t>
            </w:r>
            <w:r>
              <w:rPr>
                <w:rFonts w:ascii="宋体" w:hAnsi="宋体" w:cs="宋体"/>
                <w:color w:val="000000"/>
              </w:rPr>
              <w:t xml:space="preserve">3</w:t>
            </w:r>
            <w:r>
              <w:rPr>
                <w:rFonts w:hint="eastAsia" w:ascii="宋体" w:hAnsi="宋体" w:cs="宋体"/>
                <w:color w:val="000000"/>
              </w:rPr>
              <w:t xml:space="preserve">分，最多得6分。</w:t>
            </w:r>
            <w:r>
              <w:rPr>
                <w:rFonts w:ascii="宋体" w:hAnsi="宋体" w:cs="宋体"/>
                <w:color w:val="000000"/>
              </w:rPr>
            </w:r>
            <w:r/>
          </w:p>
          <w:p>
            <w:pPr>
              <w:pStyle w:val="932"/>
              <w:spacing w:line="264" w:lineRule="auto"/>
              <w:rPr>
                <w:color w:val="000000"/>
              </w:rPr>
            </w:pPr>
            <w:r>
              <w:rPr>
                <w:rFonts w:ascii="宋体" w:hAnsi="宋体" w:cs="宋体"/>
                <w:color w:val="000000"/>
                <w:lang w:val="zh-CN"/>
              </w:rPr>
              <w:t xml:space="preserve">（提供</w:t>
            </w:r>
            <w:r>
              <w:rPr>
                <w:rFonts w:hint="eastAsia" w:ascii="宋体" w:hAnsi="宋体" w:cs="宋体"/>
                <w:color w:val="000000"/>
                <w:lang w:val="zh-CN"/>
              </w:rPr>
              <w:t xml:space="preserve">人员</w:t>
            </w:r>
            <w:r>
              <w:rPr>
                <w:rFonts w:ascii="宋体" w:hAnsi="宋体" w:cs="宋体"/>
                <w:color w:val="000000"/>
                <w:lang w:val="zh-CN"/>
              </w:rPr>
              <w:t xml:space="preserve">证书</w:t>
            </w:r>
            <w:r>
              <w:rPr>
                <w:rFonts w:hint="eastAsia" w:ascii="宋体" w:hAnsi="宋体" w:cs="宋体"/>
                <w:color w:val="000000"/>
              </w:rPr>
              <w:t xml:space="preserve">及投标人为其缴纳的2026年1月以来任意一个月的社保证明材料，缺一不可）</w:t>
            </w:r>
            <w:r>
              <w:rPr>
                <w:color w:val="000000"/>
              </w:rPr>
            </w:r>
            <w:r/>
          </w:p>
        </w:tc>
        <w:tc>
          <w:tcPr>
            <w:tcW w:w="647"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932"/>
              <w:spacing w:line="264" w:lineRule="auto"/>
              <w:rPr>
                <w:color w:val="000000"/>
              </w:rPr>
            </w:pPr>
            <w:r>
              <w:rPr>
                <w:rFonts w:hint="eastAsia"/>
                <w:color w:val="000000"/>
              </w:rPr>
              <w:t xml:space="preserve">履约能力2</w:t>
            </w:r>
            <w:r>
              <w:rPr>
                <w:color w:val="000000"/>
              </w:rPr>
            </w:r>
            <w:r/>
          </w:p>
        </w:tc>
        <w:tc>
          <w:tcPr>
            <w:tcW w:w="6330" w:type="dxa"/>
            <w:vAlign w:val="center"/>
            <w:textDirection w:val="lrTb"/>
            <w:noWrap w:val="false"/>
          </w:tcPr>
          <w:p>
            <w:pPr>
              <w:pStyle w:val="932"/>
              <w:spacing w:line="264" w:lineRule="auto"/>
              <w:rPr>
                <w:rFonts w:ascii="宋体" w:hAnsi="宋体" w:cs="宋体"/>
                <w:color w:val="000000"/>
              </w:rPr>
            </w:pPr>
            <w:r>
              <w:rPr>
                <w:rFonts w:hint="eastAsia" w:ascii="宋体" w:hAnsi="宋体" w:cs="宋体"/>
                <w:color w:val="000000"/>
              </w:rPr>
              <w:t xml:space="preserve">投标人拟投入本项目的技术负责人具有：</w:t>
            </w:r>
            <w:r>
              <w:rPr>
                <w:rFonts w:ascii="宋体" w:hAnsi="宋体" w:cs="宋体"/>
                <w:color w:val="000000"/>
              </w:rPr>
            </w:r>
            <w:r/>
          </w:p>
          <w:p>
            <w:pPr>
              <w:pStyle w:val="932"/>
              <w:spacing w:line="264" w:lineRule="auto"/>
              <w:rPr>
                <w:rFonts w:ascii="宋体" w:hAnsi="宋体" w:cs="宋体"/>
                <w:color w:val="000000"/>
              </w:rPr>
            </w:pPr>
            <w:r>
              <w:rPr>
                <w:rFonts w:hint="eastAsia" w:ascii="宋体" w:hAnsi="宋体" w:cs="宋体"/>
                <w:color w:val="000000"/>
              </w:rPr>
              <w:t xml:space="preserve">（1）工信部门和人社部门颁发的中级工程师或以上职称证书，得2分</w:t>
            </w:r>
            <w:r>
              <w:rPr>
                <w:rFonts w:ascii="宋体" w:hAnsi="宋体" w:cs="宋体"/>
                <w:color w:val="000000"/>
              </w:rPr>
              <w:t xml:space="preserve">；</w:t>
            </w:r>
            <w:r>
              <w:rPr>
                <w:rFonts w:ascii="宋体" w:hAnsi="宋体" w:cs="宋体"/>
                <w:color w:val="000000"/>
              </w:rPr>
            </w:r>
            <w:r/>
          </w:p>
          <w:p>
            <w:pPr>
              <w:pStyle w:val="932"/>
              <w:spacing w:line="264" w:lineRule="auto"/>
              <w:rPr>
                <w:rFonts w:hint="eastAsia" w:ascii="宋体" w:hAnsi="宋体" w:cs="宋体"/>
                <w:color w:val="000000"/>
              </w:rPr>
            </w:pPr>
            <w:r>
              <w:rPr>
                <w:rFonts w:ascii="宋体" w:hAnsi="宋体" w:cs="宋体"/>
                <w:color w:val="000000"/>
              </w:rPr>
              <w:t xml:space="preserve">（</w:t>
            </w: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工信部门和人社部门颁发的系统规划与管理师（高级）证书或系统架构设计师（高级）证书，得</w:t>
            </w:r>
            <w:r>
              <w:rPr>
                <w:rFonts w:ascii="宋体" w:hAnsi="宋体" w:cs="宋体"/>
                <w:color w:val="000000"/>
              </w:rPr>
              <w:t xml:space="preserve">3</w:t>
            </w:r>
            <w:r>
              <w:rPr>
                <w:rFonts w:hint="eastAsia" w:ascii="宋体" w:hAnsi="宋体" w:cs="宋体"/>
                <w:color w:val="000000"/>
              </w:rPr>
              <w:t xml:space="preserve">分。</w:t>
            </w:r>
            <w:r>
              <w:rPr>
                <w:rFonts w:hint="eastAsia" w:ascii="宋体" w:hAnsi="宋体" w:cs="宋体"/>
                <w:color w:val="000000"/>
              </w:rPr>
            </w:r>
            <w:r/>
          </w:p>
          <w:p>
            <w:pPr>
              <w:pStyle w:val="932"/>
              <w:spacing w:line="264" w:lineRule="auto"/>
              <w:rPr>
                <w:rFonts w:ascii="宋体" w:hAnsi="宋体" w:cs="宋体"/>
                <w:color w:val="000000"/>
              </w:rPr>
            </w:pPr>
            <w:r>
              <w:rPr>
                <w:rFonts w:ascii="宋体" w:hAnsi="宋体" w:cs="宋体"/>
                <w:color w:val="000000"/>
              </w:rPr>
              <w:t xml:space="preserve">本项</w:t>
            </w:r>
            <w:r>
              <w:rPr>
                <w:rFonts w:hint="eastAsia" w:ascii="宋体" w:hAnsi="宋体" w:cs="宋体"/>
                <w:color w:val="000000"/>
              </w:rPr>
              <w:t xml:space="preserve">最多得5分。</w:t>
            </w:r>
            <w:r>
              <w:rPr>
                <w:rFonts w:ascii="宋体" w:hAnsi="宋体" w:cs="宋体"/>
                <w:color w:val="000000"/>
              </w:rPr>
            </w:r>
            <w:r/>
          </w:p>
          <w:p>
            <w:pPr>
              <w:pStyle w:val="932"/>
              <w:spacing w:line="264" w:lineRule="auto"/>
              <w:rPr>
                <w:rFonts w:ascii="宋体" w:hAnsi="宋体" w:cs="宋体"/>
                <w:color w:val="000000"/>
                <w:lang w:val="zh-CN"/>
              </w:rPr>
            </w:pPr>
            <w:r>
              <w:rPr>
                <w:rFonts w:ascii="宋体" w:hAnsi="宋体" w:cs="宋体"/>
                <w:color w:val="000000"/>
                <w:lang w:val="zh-CN"/>
              </w:rPr>
              <w:t xml:space="preserve">（提供</w:t>
            </w:r>
            <w:r>
              <w:rPr>
                <w:rFonts w:hint="eastAsia" w:ascii="宋体" w:hAnsi="宋体" w:cs="宋体"/>
                <w:color w:val="000000"/>
                <w:lang w:val="zh-CN"/>
              </w:rPr>
              <w:t xml:space="preserve">人员</w:t>
            </w:r>
            <w:r>
              <w:rPr>
                <w:rFonts w:ascii="宋体" w:hAnsi="宋体" w:cs="宋体"/>
                <w:color w:val="000000"/>
                <w:lang w:val="zh-CN"/>
              </w:rPr>
              <w:t xml:space="preserve">证书</w:t>
            </w:r>
            <w:r>
              <w:rPr>
                <w:rFonts w:hint="eastAsia" w:ascii="宋体" w:hAnsi="宋体" w:cs="宋体"/>
                <w:color w:val="000000"/>
              </w:rPr>
              <w:t xml:space="preserve">及投标人为其缴纳的2026年1月以来任意一个月的社保证明材料，缺一不可）</w:t>
            </w:r>
            <w:r>
              <w:rPr>
                <w:rFonts w:ascii="宋体" w:hAnsi="宋体" w:cs="宋体"/>
                <w:color w:val="000000"/>
                <w:lang w:val="zh-CN"/>
              </w:rPr>
            </w:r>
            <w:r/>
          </w:p>
        </w:tc>
        <w:tc>
          <w:tcPr>
            <w:tcW w:w="647" w:type="dxa"/>
            <w:vAlign w:val="center"/>
            <w:textDirection w:val="lrTb"/>
            <w:noWrap w:val="false"/>
          </w:tcPr>
          <w:p>
            <w:pPr>
              <w:pStyle w:val="932"/>
              <w:jc w:val="center"/>
              <w:spacing w:before="68" w:line="264" w:lineRule="auto"/>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932"/>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.3</w:t>
            </w:r>
            <w:r>
              <w:rPr>
                <w:rFonts w:hint="eastAsia" w:ascii="宋体" w:hAnsi="宋体" w:cs="宋体"/>
                <w:color w:val="000000"/>
                <w:spacing w:val="-2"/>
              </w:rPr>
            </w:r>
            <w:r/>
          </w:p>
        </w:tc>
        <w:tc>
          <w:tcPr>
            <w:tcW w:w="1179" w:type="dxa"/>
            <w:vAlign w:val="center"/>
            <w:textDirection w:val="lrTb"/>
            <w:noWrap w:val="false"/>
          </w:tcPr>
          <w:p>
            <w:pPr>
              <w:pStyle w:val="932"/>
              <w:spacing w:line="264" w:lineRule="auto"/>
              <w:rPr>
                <w:rFonts w:ascii="宋体" w:hAnsi="宋体" w:cs="宋体"/>
                <w:color w:val="000000"/>
              </w:rPr>
            </w:pPr>
            <w:r>
              <w:rPr>
                <w:rFonts w:hint="eastAsia" w:ascii="宋体" w:hAnsi="宋体" w:cs="宋体"/>
                <w:color w:val="000000"/>
              </w:rPr>
              <w:t xml:space="preserve">履约能力3</w:t>
            </w:r>
            <w:r>
              <w:rPr>
                <w:rFonts w:ascii="宋体" w:hAnsi="宋体" w:cs="宋体"/>
                <w:color w:val="000000"/>
              </w:rPr>
            </w:r>
            <w:r/>
          </w:p>
        </w:tc>
        <w:tc>
          <w:tcPr>
            <w:tcW w:w="6330" w:type="dxa"/>
            <w:vAlign w:val="center"/>
            <w:textDirection w:val="lrTb"/>
            <w:noWrap w:val="false"/>
          </w:tcPr>
          <w:p>
            <w:pPr>
              <w:pStyle w:val="932"/>
              <w:spacing w:line="264" w:lineRule="auto"/>
              <w:rPr>
                <w:rFonts w:ascii="宋体" w:hAnsi="宋体" w:cs="宋体"/>
                <w:color w:val="000000"/>
              </w:rPr>
            </w:pPr>
            <w:r>
              <w:rPr>
                <w:rFonts w:hint="eastAsia" w:ascii="宋体" w:hAnsi="宋体" w:cs="宋体"/>
                <w:color w:val="000000"/>
              </w:rPr>
              <w:t xml:space="preserve">投标人拟投入本项目的项目实施团队（不含项目经理和技术负责人）：</w:t>
            </w:r>
            <w:r>
              <w:rPr>
                <w:rFonts w:ascii="宋体" w:hAnsi="宋体" w:cs="宋体"/>
                <w:color w:val="000000"/>
              </w:rPr>
            </w:r>
            <w:r/>
          </w:p>
          <w:p>
            <w:pPr>
              <w:pStyle w:val="932"/>
              <w:spacing w:line="264" w:lineRule="auto"/>
              <w:rPr>
                <w:rFonts w:hint="eastAsia" w:ascii="宋体" w:hAnsi="宋体" w:cs="宋体"/>
                <w:color w:val="000000"/>
              </w:rPr>
            </w:pPr>
            <w:r>
              <w:rPr>
                <w:rFonts w:hint="eastAsia" w:ascii="宋体" w:hAnsi="宋体" w:cs="宋体"/>
                <w:color w:val="000000"/>
              </w:rPr>
              <w:t xml:space="preserve">(1)具有CISAW信息安全保障人员认证证书，得</w:t>
            </w:r>
            <w:r>
              <w:rPr>
                <w:rFonts w:ascii="宋体" w:hAnsi="宋体" w:cs="宋体"/>
                <w:color w:val="000000"/>
              </w:rPr>
              <w:t xml:space="preserve">2</w:t>
            </w:r>
            <w:r>
              <w:rPr>
                <w:rFonts w:hint="eastAsia" w:ascii="宋体" w:hAnsi="宋体" w:cs="宋体"/>
                <w:color w:val="000000"/>
              </w:rPr>
              <w:t xml:space="preserve">分；</w:t>
            </w:r>
            <w:r>
              <w:rPr>
                <w:rFonts w:hint="eastAsia" w:ascii="宋体" w:hAnsi="宋体" w:cs="宋体"/>
                <w:color w:val="000000"/>
              </w:rPr>
            </w:r>
            <w:r/>
          </w:p>
          <w:p>
            <w:pPr>
              <w:pStyle w:val="932"/>
              <w:spacing w:line="264" w:lineRule="auto"/>
              <w:rPr>
                <w:rFonts w:hint="eastAsia" w:ascii="宋体" w:hAnsi="宋体" w:cs="宋体"/>
                <w:color w:val="000000"/>
              </w:rPr>
            </w:pPr>
            <w:r>
              <w:rPr>
                <w:rFonts w:hint="eastAsia" w:ascii="宋体" w:hAnsi="宋体" w:cs="宋体"/>
                <w:color w:val="000000"/>
              </w:rPr>
              <w:t xml:space="preserve">(2)具有工信部门和人社部门颁发的数据库系统工程师(中级)或软件设计师证书（中级），每有1个证书得</w:t>
            </w:r>
            <w:r>
              <w:rPr>
                <w:rFonts w:ascii="宋体" w:hAnsi="宋体" w:cs="宋体"/>
                <w:color w:val="000000"/>
              </w:rPr>
              <w:t xml:space="preserve">2</w:t>
            </w:r>
            <w:r>
              <w:rPr>
                <w:rFonts w:hint="eastAsia" w:ascii="宋体" w:hAnsi="宋体" w:cs="宋体"/>
                <w:color w:val="000000"/>
              </w:rPr>
              <w:t xml:space="preserve">分，最多4分。</w:t>
            </w:r>
            <w:r>
              <w:rPr>
                <w:rFonts w:hint="eastAsia" w:ascii="宋体" w:hAnsi="宋体" w:cs="宋体"/>
                <w:color w:val="000000"/>
              </w:rPr>
            </w:r>
            <w:r/>
          </w:p>
          <w:p>
            <w:pPr>
              <w:pStyle w:val="932"/>
              <w:spacing w:line="264" w:lineRule="auto"/>
              <w:rPr>
                <w:rFonts w:hint="eastAsia" w:ascii="宋体" w:hAnsi="宋体" w:cs="宋体"/>
                <w:color w:val="000000"/>
              </w:rPr>
            </w:pPr>
            <w:r>
              <w:rPr>
                <w:rFonts w:hint="eastAsia" w:ascii="宋体" w:hAnsi="宋体" w:cs="宋体"/>
                <w:color w:val="000000"/>
              </w:rPr>
              <w:t xml:space="preserve">本项最多得6分。</w:t>
            </w:r>
            <w:r>
              <w:rPr>
                <w:rFonts w:hint="eastAsia" w:ascii="宋体" w:hAnsi="宋体" w:cs="宋体"/>
                <w:color w:val="000000"/>
              </w:rPr>
            </w:r>
            <w:r/>
          </w:p>
          <w:p>
            <w:pPr>
              <w:pStyle w:val="932"/>
              <w:spacing w:line="264" w:lineRule="auto"/>
              <w:rPr>
                <w:rFonts w:ascii="宋体" w:hAnsi="宋体" w:cs="宋体"/>
                <w:color w:val="000000"/>
              </w:rPr>
            </w:pPr>
            <w:r>
              <w:rPr>
                <w:rFonts w:hint="eastAsia" w:ascii="宋体" w:hAnsi="宋体" w:cs="宋体"/>
                <w:color w:val="000000"/>
              </w:rPr>
              <w:t xml:space="preserve">（一人多证或一证多人不重复得分。提供上述人员证书及投标人为其缴纳的2026年1月以来任意一个月的社保证明材料，缺一不可。）</w:t>
            </w:r>
            <w:r>
              <w:rPr>
                <w:rFonts w:ascii="宋体" w:hAnsi="宋体" w:cs="宋体"/>
                <w:color w:val="000000"/>
              </w:rPr>
            </w:r>
            <w:r/>
          </w:p>
        </w:tc>
        <w:tc>
          <w:tcPr>
            <w:tcW w:w="647" w:type="dxa"/>
            <w:vAlign w:val="center"/>
            <w:textDirection w:val="lrTb"/>
            <w:noWrap w:val="false"/>
          </w:tcPr>
          <w:p>
            <w:pPr>
              <w:jc w:val="center"/>
              <w:spacing w:before="68" w:line="264" w:lineRule="auto"/>
              <w:rPr>
                <w:rFonts w:hint="eastAsia" w:ascii="宋体" w:hAnsi="宋体" w:cs="宋体"/>
                <w:color w:val="000000"/>
                <w14:ligatures w14:val="none"/>
              </w:rPr>
            </w:pPr>
            <w:r>
              <w:rPr>
                <w:rFonts w:hint="eastAsia" w:ascii="宋体" w:hAnsi="宋体" w:cs="宋体"/>
                <w:color w:val="000000"/>
              </w:rPr>
              <w:t xml:space="preserve">6</w:t>
            </w:r>
            <w:r>
              <w:rPr>
                <w:rFonts w:hint="eastAsia" w:ascii="宋体" w:hAnsi="宋体" w:cs="宋体"/>
                <w:color w:val="000000"/>
              </w:rPr>
            </w:r>
            <w:r/>
          </w:p>
        </w:tc>
        <w:tc>
          <w:tcPr>
            <w:tcW w:w="900" w:type="dxa"/>
            <w:vAlign w:val="center"/>
            <w:textDirection w:val="lrTb"/>
            <w:noWrap w:val="false"/>
          </w:tcPr>
          <w:p>
            <w:pPr>
              <w:pStyle w:val="932"/>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932"/>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4</w:t>
            </w:r>
            <w:r>
              <w:rPr>
                <w:rFonts w:ascii="宋体" w:hAnsi="宋体" w:cs="宋体"/>
                <w:color w:val="000000"/>
                <w:spacing w:val="-2"/>
              </w:rPr>
            </w:r>
            <w:r/>
          </w:p>
        </w:tc>
        <w:tc>
          <w:tcPr>
            <w:tcW w:w="1179" w:type="dxa"/>
            <w:vAlign w:val="center"/>
            <w:textDirection w:val="lrTb"/>
            <w:noWrap w:val="false"/>
          </w:tcPr>
          <w:p>
            <w:pPr>
              <w:pStyle w:val="932"/>
              <w:spacing w:line="264" w:lineRule="auto"/>
              <w:rPr>
                <w:rFonts w:hint="eastAsia"/>
                <w:color w:val="000000"/>
              </w:rPr>
            </w:pPr>
            <w:r>
              <w:rPr>
                <w:rFonts w:hint="eastAsia"/>
                <w:color w:val="000000"/>
              </w:rPr>
              <w:t xml:space="preserve">履约能力</w:t>
            </w:r>
            <w:r>
              <w:rPr>
                <w:color w:val="000000"/>
              </w:rPr>
              <w:t xml:space="preserve">4</w:t>
            </w:r>
            <w:r>
              <w:rPr>
                <w:rFonts w:hint="eastAsia"/>
                <w:color w:val="000000"/>
              </w:rPr>
            </w:r>
            <w:r/>
          </w:p>
        </w:tc>
        <w:tc>
          <w:tcPr>
            <w:tcW w:w="6330" w:type="dxa"/>
            <w:vAlign w:val="center"/>
            <w:textDirection w:val="lrTb"/>
            <w:noWrap w:val="false"/>
          </w:tcPr>
          <w:p>
            <w:pPr>
              <w:pStyle w:val="932"/>
              <w:spacing w:line="264" w:lineRule="auto"/>
              <w:rPr>
                <w:rFonts w:hint="eastAsia" w:ascii="宋体" w:hAnsi="宋体" w:cs="宋体"/>
                <w:color w:val="000000"/>
              </w:rPr>
            </w:pPr>
            <w:r>
              <w:rPr>
                <w:rFonts w:hint="eastAsia" w:ascii="宋体" w:hAnsi="宋体" w:cs="宋体"/>
                <w:color w:val="000000"/>
              </w:rPr>
              <w:t xml:space="preserve">投标人具有本项目相关的软件著作权证书，包括</w:t>
            </w:r>
            <w:r>
              <w:rPr>
                <w:rFonts w:hint="eastAsia" w:ascii="宋体" w:hAnsi="宋体" w:cs="宋体"/>
                <w:color w:val="000000"/>
              </w:rPr>
              <w:t xml:space="preserve">孕产妇管理类、知识图谱类、区域健康管理平台类、智能体应用类</w:t>
            </w:r>
            <w:r>
              <w:rPr>
                <w:rFonts w:hint="eastAsia" w:ascii="宋体" w:hAnsi="宋体" w:cs="宋体"/>
                <w:color w:val="000000"/>
              </w:rPr>
              <w:t xml:space="preserve">等，每提供一项得</w:t>
            </w:r>
            <w:r>
              <w:rPr>
                <w:rFonts w:ascii="宋体" w:hAnsi="宋体" w:cs="宋体"/>
                <w:color w:val="000000"/>
              </w:rPr>
              <w:t xml:space="preserve">2</w:t>
            </w:r>
            <w:r>
              <w:rPr>
                <w:rFonts w:hint="eastAsia" w:ascii="宋体" w:hAnsi="宋体" w:cs="宋体"/>
                <w:color w:val="000000"/>
              </w:rPr>
              <w:t xml:space="preserve">分，最多得</w:t>
            </w:r>
            <w:r>
              <w:rPr>
                <w:rFonts w:ascii="宋体" w:hAnsi="宋体" w:cs="宋体"/>
                <w:color w:val="000000"/>
              </w:rPr>
              <w:t xml:space="preserve">4</w:t>
            </w:r>
            <w:r>
              <w:rPr>
                <w:rFonts w:hint="eastAsia" w:ascii="宋体" w:hAnsi="宋体" w:cs="宋体"/>
                <w:color w:val="000000"/>
              </w:rPr>
              <w:t xml:space="preserve">分。 </w:t>
            </w:r>
            <w:r>
              <w:rPr>
                <w:rFonts w:hint="eastAsia" w:ascii="宋体" w:hAnsi="宋体" w:cs="宋体"/>
                <w:color w:val="000000"/>
              </w:rPr>
            </w:r>
            <w:r/>
          </w:p>
          <w:p>
            <w:pPr>
              <w:pStyle w:val="932"/>
              <w:spacing w:line="264" w:lineRule="auto"/>
              <w:rPr>
                <w:rFonts w:hint="eastAsia"/>
                <w:color w:val="000000"/>
              </w:rPr>
            </w:pPr>
            <w:r>
              <w:rPr>
                <w:rFonts w:hint="eastAsia" w:ascii="宋体" w:hAnsi="宋体" w:cs="宋体"/>
                <w:color w:val="000000"/>
              </w:rPr>
              <w:t xml:space="preserve">（所提供证书</w:t>
            </w:r>
            <w:r>
              <w:rPr>
                <w:rFonts w:ascii="宋体" w:hAnsi="宋体" w:cs="宋体"/>
                <w:color w:val="000000"/>
              </w:rPr>
              <w:t xml:space="preserve">“</w:t>
            </w:r>
            <w:r>
              <w:rPr>
                <w:rFonts w:hint="eastAsia" w:ascii="宋体" w:hAnsi="宋体" w:cs="宋体"/>
                <w:color w:val="000000"/>
              </w:rPr>
              <w:t xml:space="preserve">软件名称</w:t>
            </w:r>
            <w:r>
              <w:rPr>
                <w:rFonts w:ascii="宋体" w:hAnsi="宋体" w:cs="宋体"/>
                <w:color w:val="000000"/>
              </w:rPr>
              <w:t xml:space="preserve">”</w:t>
            </w:r>
            <w:r>
              <w:rPr>
                <w:rFonts w:hint="eastAsia" w:ascii="宋体" w:hAnsi="宋体" w:cs="宋体"/>
                <w:color w:val="000000"/>
              </w:rPr>
              <w:t xml:space="preserve">与评分细则规定不同时，应提供符合上述要求的内容（功能）说明及关键信息，否则不予认可。）</w:t>
            </w:r>
            <w:r>
              <w:rPr>
                <w:rFonts w:hint="eastAsia"/>
                <w:color w:val="000000"/>
              </w:rPr>
            </w:r>
            <w:r/>
          </w:p>
        </w:tc>
        <w:tc>
          <w:tcPr>
            <w:tcW w:w="647" w:type="dxa"/>
            <w:vAlign w:val="center"/>
            <w:textDirection w:val="lrTb"/>
            <w:noWrap w:val="false"/>
          </w:tcPr>
          <w:p>
            <w:pPr>
              <w:pStyle w:val="932"/>
              <w:jc w:val="center"/>
              <w:spacing w:before="68" w:line="264" w:lineRule="auto"/>
              <w:rPr>
                <w:rFonts w:hint="eastAsia" w:ascii="宋体" w:hAnsi="宋体" w:cs="宋体"/>
                <w:color w:val="000000"/>
              </w:rPr>
            </w:pPr>
            <w:r>
              <w:rPr>
                <w:rFonts w:ascii="宋体" w:hAnsi="宋体" w:cs="宋体"/>
                <w:color w:val="000000"/>
              </w:rPr>
              <w:t xml:space="preserve">4</w:t>
            </w:r>
            <w:r>
              <w:rPr>
                <w:rFonts w:hint="eastAsia" w:ascii="宋体" w:hAnsi="宋体" w:cs="宋体"/>
                <w:color w:val="000000"/>
              </w:rPr>
            </w:r>
            <w:r/>
          </w:p>
        </w:tc>
        <w:tc>
          <w:tcPr>
            <w:tcW w:w="900" w:type="dxa"/>
            <w:vAlign w:val="center"/>
            <w:textDirection w:val="lrTb"/>
            <w:noWrap w:val="false"/>
          </w:tcPr>
          <w:p>
            <w:pPr>
              <w:pStyle w:val="932"/>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464"/>
        </w:trPr>
        <w:tc>
          <w:tcPr>
            <w:tcW w:w="519" w:type="dxa"/>
            <w:vAlign w:val="center"/>
            <w:textDirection w:val="lrTb"/>
            <w:noWrap w:val="false"/>
          </w:tcPr>
          <w:p>
            <w:pPr>
              <w:pStyle w:val="932"/>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09" w:type="dxa"/>
            <w:vAlign w:val="center"/>
            <w:textDirection w:val="lrTb"/>
            <w:noWrap w:val="false"/>
          </w:tcPr>
          <w:p>
            <w:pPr>
              <w:pStyle w:val="932"/>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pStyle w:val="932"/>
              <w:jc w:val="center"/>
              <w:spacing w:line="264" w:lineRule="auto"/>
              <w:rPr>
                <w:color w:val="000000"/>
              </w:rPr>
            </w:pPr>
            <w:r>
              <w:rPr>
                <w:rFonts w:ascii="宋体" w:hAnsi="宋体" w:cs="宋体"/>
                <w:color w:val="000000"/>
                <w:spacing w:val="-11"/>
              </w:rPr>
              <w:t xml:space="preserve">100分</w:t>
            </w:r>
            <w:r>
              <w:rPr>
                <w:color w:val="000000"/>
              </w:rPr>
            </w:r>
            <w:r/>
          </w:p>
        </w:tc>
      </w:tr>
    </w:tbl>
    <w:p>
      <w:pPr>
        <w:pStyle w:val="944"/>
        <w:rPr>
          <w:rFonts w:hint="eastAsia"/>
          <w:color w:val="000000"/>
        </w:rPr>
      </w:pPr>
      <w:r>
        <w:rPr>
          <w:rFonts w:hint="eastAsia"/>
          <w:color w:val="000000"/>
        </w:rPr>
      </w:r>
      <w:r/>
    </w:p>
    <w:p>
      <w:pPr>
        <w:pStyle w:val="932"/>
        <w:spacing w:line="264" w:lineRule="auto"/>
        <w:rPr>
          <w:rFonts w:hint="eastAsia"/>
          <w:color w:val="000000"/>
        </w:rPr>
      </w:pPr>
      <w:r>
        <w:rPr>
          <w:rFonts w:hint="eastAsia"/>
          <w:color w:val="000000"/>
        </w:rPr>
      </w:r>
      <w:r/>
    </w:p>
    <w:p>
      <w:pPr>
        <w:pStyle w:val="932"/>
        <w:spacing w:line="264" w:lineRule="auto"/>
        <w:rPr>
          <w:rFonts w:hint="eastAsia"/>
          <w:color w:val="000000"/>
        </w:rPr>
      </w:pPr>
      <w:r>
        <w:rPr>
          <w:rFonts w:hint="eastAsia"/>
          <w:color w:val="000000"/>
        </w:rPr>
      </w:r>
      <w:r/>
    </w:p>
    <w:p>
      <w:pPr>
        <w:pStyle w:val="932"/>
        <w:spacing w:line="264" w:lineRule="auto"/>
        <w:rPr>
          <w:rFonts w:hint="eastAsia"/>
          <w:color w:val="000000"/>
        </w:rPr>
      </w:pPr>
      <w:r>
        <w:rPr>
          <w:rFonts w:hint="eastAsia"/>
          <w:color w:val="000000"/>
        </w:rPr>
      </w:r>
      <w:r/>
    </w:p>
    <w:p>
      <w:pPr>
        <w:pStyle w:val="1011"/>
        <w:rPr>
          <w:rFonts w:hint="eastAsia"/>
          <w:color w:val="000000"/>
        </w:rPr>
      </w:pPr>
      <w:r>
        <w:rPr>
          <w:rFonts w:hint="eastAsia"/>
          <w:color w:val="000000"/>
        </w:rPr>
      </w:r>
      <w:r/>
    </w:p>
    <w:p>
      <w:pPr>
        <w:pStyle w:val="932"/>
        <w:rPr>
          <w:rFonts w:hint="eastAsia"/>
          <w:color w:val="000000"/>
        </w:rPr>
      </w:pPr>
      <w:r>
        <w:rPr>
          <w:rFonts w:hint="eastAsia"/>
          <w:color w:val="000000"/>
        </w:rPr>
      </w:r>
      <w:r/>
    </w:p>
    <w:p>
      <w:pPr>
        <w:pStyle w:val="1011"/>
        <w:rPr>
          <w:rFonts w:hint="eastAsia"/>
          <w:color w:val="000000"/>
        </w:rPr>
      </w:pPr>
      <w:r>
        <w:rPr>
          <w:rFonts w:hint="eastAsia"/>
          <w:color w:val="000000"/>
        </w:rPr>
      </w:r>
      <w:r/>
    </w:p>
    <w:p>
      <w:pPr>
        <w:pStyle w:val="932"/>
        <w:rPr>
          <w:rFonts w:hint="eastAsia"/>
          <w:color w:val="000000"/>
        </w:rPr>
      </w:pPr>
      <w:r>
        <w:rPr>
          <w:rFonts w:hint="eastAsia"/>
          <w:color w:val="000000"/>
        </w:rPr>
      </w:r>
      <w:r/>
    </w:p>
    <w:p>
      <w:pPr>
        <w:pStyle w:val="1011"/>
        <w:rPr>
          <w:rFonts w:hint="eastAsia"/>
          <w:color w:val="000000"/>
        </w:rPr>
      </w:pPr>
      <w:r>
        <w:rPr>
          <w:rFonts w:hint="eastAsia"/>
          <w:color w:val="000000"/>
        </w:rPr>
      </w:r>
      <w:r/>
    </w:p>
    <w:p>
      <w:pPr>
        <w:pStyle w:val="932"/>
        <w:rPr>
          <w:rFonts w:hint="eastAsia"/>
          <w:color w:val="000000"/>
        </w:rPr>
      </w:pPr>
      <w:r>
        <w:rPr>
          <w:rFonts w:hint="eastAsia"/>
          <w:color w:val="000000"/>
        </w:rPr>
      </w:r>
      <w:r/>
    </w:p>
    <w:p>
      <w:pPr>
        <w:pStyle w:val="1011"/>
        <w:rPr>
          <w:rFonts w:hint="eastAsia"/>
          <w:color w:val="000000"/>
        </w:rPr>
      </w:pPr>
      <w:r>
        <w:rPr>
          <w:rFonts w:hint="eastAsia"/>
          <w:color w:val="000000"/>
        </w:rPr>
      </w:r>
      <w:r/>
    </w:p>
    <w:p>
      <w:pPr>
        <w:pStyle w:val="932"/>
        <w:jc w:val="center"/>
        <w:rPr>
          <w:rFonts w:hint="eastAsia" w:ascii="方正小标宋简体" w:hAnsi="方正小标宋简体" w:eastAsia="方正小标宋简体" w:cs="方正小标宋简体"/>
          <w:color w:val="000000"/>
          <w:sz w:val="36"/>
          <w:szCs w:val="36"/>
        </w:rPr>
      </w:pPr>
      <w:r>
        <w:rPr>
          <w:rFonts w:hint="eastAsia"/>
          <w:color w:val="000000"/>
        </w:rPr>
        <w:br w:type="page" w:clear="all"/>
      </w:r>
      <w:r>
        <w:rPr>
          <w:rFonts w:hint="eastAsia" w:ascii="方正小标宋简体" w:hAnsi="方正小标宋简体" w:eastAsia="方正小标宋简体" w:cs="方正小标宋简体"/>
          <w:color w:val="000000"/>
          <w:sz w:val="36"/>
          <w:szCs w:val="36"/>
        </w:rPr>
        <w:t xml:space="preserve">第六章  投标</w:t>
      </w:r>
      <w:bookmarkEnd w:id="57"/>
      <w:r/>
      <w:bookmarkEnd w:id="58"/>
      <w:r/>
      <w:bookmarkEnd w:id="59"/>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932"/>
        <w:jc w:val="center"/>
        <w:rPr>
          <w:rFonts w:hint="eastAsia" w:ascii="宋体" w:hAnsi="宋体"/>
          <w:b/>
          <w:color w:val="000000"/>
          <w:sz w:val="72"/>
        </w:rPr>
      </w:pPr>
      <w:r/>
      <w:bookmarkStart w:id="60" w:name="_Hlt26671244"/>
      <w:r/>
      <w:bookmarkEnd w:id="60"/>
      <w:r/>
      <w:bookmarkStart w:id="61" w:name="_Toc26554094"/>
      <w:r/>
      <w:bookmarkStart w:id="62" w:name="_Toc49090576"/>
      <w:r/>
      <w:bookmarkStart w:id="63" w:name="_Toc120614282"/>
      <w:r/>
      <w:bookmarkStart w:id="64" w:name="_Hlt26955039"/>
      <w:r/>
      <w:bookmarkEnd w:id="64"/>
      <w:r>
        <w:rPr>
          <w:rFonts w:hint="eastAsia" w:ascii="宋体" w:hAnsi="宋体"/>
          <w:b/>
          <w:color w:val="000000"/>
          <w:sz w:val="72"/>
        </w:rPr>
      </w:r>
      <w:r/>
    </w:p>
    <w:p>
      <w:pPr>
        <w:pStyle w:val="932"/>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932"/>
        <w:jc w:val="center"/>
        <w:rPr>
          <w:rFonts w:hint="eastAsia" w:ascii="宋体" w:hAnsi="宋体"/>
          <w:b/>
          <w:color w:val="000000"/>
          <w:sz w:val="72"/>
        </w:rPr>
      </w:pPr>
      <w:r>
        <w:rPr>
          <w:rFonts w:hint="eastAsia" w:ascii="宋体" w:hAnsi="宋体"/>
          <w:b/>
          <w:color w:val="000000"/>
          <w:sz w:val="72"/>
        </w:rPr>
      </w:r>
      <w:r/>
    </w:p>
    <w:p>
      <w:pPr>
        <w:pStyle w:val="932"/>
        <w:jc w:val="center"/>
        <w:rPr>
          <w:rFonts w:hint="eastAsia" w:ascii="宋体" w:hAnsi="宋体"/>
          <w:b/>
          <w:color w:val="000000"/>
          <w:sz w:val="72"/>
        </w:rPr>
      </w:pPr>
      <w:r>
        <w:rPr>
          <w:rFonts w:hint="eastAsia" w:ascii="宋体" w:hAnsi="宋体"/>
          <w:b/>
          <w:color w:val="000000"/>
          <w:sz w:val="72"/>
        </w:rPr>
      </w:r>
      <w:r/>
    </w:p>
    <w:p>
      <w:pPr>
        <w:pStyle w:val="932"/>
        <w:jc w:val="center"/>
        <w:rPr>
          <w:rFonts w:hint="eastAsia" w:ascii="宋体" w:hAnsi="宋体"/>
          <w:b/>
          <w:color w:val="000000"/>
          <w:sz w:val="36"/>
        </w:rPr>
      </w:pPr>
      <w:r>
        <w:rPr>
          <w:rFonts w:hint="eastAsia" w:ascii="宋体" w:hAnsi="宋体"/>
          <w:b/>
          <w:color w:val="000000"/>
          <w:sz w:val="36"/>
        </w:rPr>
      </w:r>
      <w:r/>
    </w:p>
    <w:p>
      <w:pPr>
        <w:pStyle w:val="932"/>
        <w:jc w:val="center"/>
        <w:rPr>
          <w:rFonts w:hint="eastAsia" w:ascii="宋体" w:hAnsi="宋体"/>
          <w:b/>
          <w:color w:val="000000"/>
          <w:sz w:val="36"/>
        </w:rPr>
      </w:pPr>
      <w:r>
        <w:rPr>
          <w:rFonts w:hint="eastAsia" w:ascii="宋体" w:hAnsi="宋体"/>
          <w:b/>
          <w:color w:val="000000"/>
          <w:sz w:val="36"/>
        </w:rPr>
      </w:r>
      <w:r/>
    </w:p>
    <w:p>
      <w:pPr>
        <w:pStyle w:val="932"/>
        <w:jc w:val="center"/>
        <w:rPr>
          <w:rFonts w:hint="eastAsia" w:ascii="宋体" w:hAnsi="宋体"/>
          <w:b/>
          <w:color w:val="000000"/>
          <w:sz w:val="36"/>
        </w:rPr>
      </w:pPr>
      <w:r>
        <w:rPr>
          <w:rFonts w:hint="eastAsia" w:ascii="宋体" w:hAnsi="宋体"/>
          <w:b/>
          <w:color w:val="000000"/>
          <w:sz w:val="36"/>
        </w:rPr>
      </w:r>
      <w:r/>
    </w:p>
    <w:p>
      <w:pPr>
        <w:pStyle w:val="932"/>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932"/>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932"/>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rPr>
          <w:rFonts w:ascii="宋体" w:hAnsi="宋体"/>
          <w:b/>
          <w:color w:val="000000"/>
          <w:sz w:val="36"/>
          <w:u w:val="single"/>
        </w:rPr>
      </w:r>
      <w:r/>
    </w:p>
    <w:p>
      <w:pPr>
        <w:pStyle w:val="932"/>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93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2"/>
        <w:spacing w:line="440" w:lineRule="exact"/>
        <w:rPr>
          <w:rFonts w:ascii="宋体" w:hAnsi="宋体"/>
          <w:color w:val="000000"/>
        </w:rPr>
      </w:pPr>
      <w:r>
        <w:rPr>
          <w:rFonts w:ascii="宋体" w:hAnsi="宋体"/>
          <w:color w:val="000000"/>
        </w:rPr>
      </w:r>
      <w:r/>
    </w:p>
    <w:p>
      <w:pPr>
        <w:pStyle w:val="932"/>
        <w:jc w:val="center"/>
        <w:rPr>
          <w:rFonts w:hint="eastAsia" w:ascii="宋体" w:hAnsi="宋体"/>
          <w:b/>
          <w:bCs/>
          <w:color w:val="000000"/>
          <w:sz w:val="32"/>
          <w:szCs w:val="32"/>
        </w:rPr>
      </w:pPr>
      <w:r>
        <w:rPr>
          <w:rFonts w:ascii="宋体" w:hAnsi="宋体"/>
          <w:b/>
          <w:color w:val="000000"/>
          <w:sz w:val="36"/>
          <w:u w:val="single"/>
        </w:rPr>
        <w:br w:type="page" w:clear="all"/>
      </w:r>
      <w:r>
        <w:rPr>
          <w:rFonts w:hint="eastAsia" w:ascii="宋体" w:hAnsi="宋体"/>
          <w:b/>
          <w:bCs/>
          <w:color w:val="000000"/>
          <w:sz w:val="32"/>
          <w:szCs w:val="32"/>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一、信用承诺函</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二、法定代表人授权委托书</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三、投标函</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四、开标一览表</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五、投标分项报价表</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六、技术要求响应及偏离表</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七、商务要求响应及偏离表</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八、中小企业声明函（如有）</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九、残疾人福利性单位声明函（如有）</w:t>
      </w: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932"/>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932"/>
        <w:ind w:firstLine="480"/>
        <w:spacing w:line="440" w:lineRule="exact"/>
        <w:rPr>
          <w:rFonts w:ascii="宋体" w:hAnsi="宋体"/>
          <w:color w:val="000000"/>
          <w:sz w:val="24"/>
        </w:rPr>
      </w:pPr>
      <w:r>
        <w:rPr>
          <w:rFonts w:ascii="宋体" w:hAnsi="宋体"/>
          <w:color w:val="000000"/>
          <w:sz w:val="24"/>
        </w:rPr>
      </w:r>
      <w:r/>
    </w:p>
    <w:p>
      <w:pPr>
        <w:pStyle w:val="932"/>
        <w:ind w:firstLine="480"/>
        <w:spacing w:line="440" w:lineRule="exact"/>
        <w:rPr>
          <w:rFonts w:ascii="宋体" w:hAnsi="宋体"/>
          <w:color w:val="000000"/>
          <w:sz w:val="24"/>
        </w:rPr>
      </w:pPr>
      <w:r>
        <w:rPr>
          <w:rFonts w:ascii="宋体" w:hAnsi="宋体"/>
          <w:color w:val="000000"/>
          <w:sz w:val="24"/>
        </w:rPr>
      </w:r>
      <w:r/>
    </w:p>
    <w:p>
      <w:pPr>
        <w:pStyle w:val="1017"/>
        <w:rPr>
          <w:color w:val="000000"/>
          <w:sz w:val="24"/>
        </w:rPr>
      </w:pPr>
      <w:r>
        <w:rPr>
          <w:color w:val="000000"/>
          <w:sz w:val="24"/>
        </w:rPr>
      </w:r>
      <w:r/>
    </w:p>
    <w:p>
      <w:pPr>
        <w:pStyle w:val="1017"/>
        <w:rPr>
          <w:color w:val="000000"/>
          <w:sz w:val="24"/>
        </w:rPr>
      </w:pPr>
      <w:r>
        <w:rPr>
          <w:color w:val="000000"/>
          <w:sz w:val="24"/>
        </w:rPr>
      </w:r>
      <w:r/>
    </w:p>
    <w:p>
      <w:pPr>
        <w:pStyle w:val="1017"/>
        <w:rPr>
          <w:color w:val="000000"/>
          <w:sz w:val="24"/>
        </w:rPr>
      </w:pPr>
      <w:r>
        <w:rPr>
          <w:color w:val="000000"/>
          <w:sz w:val="24"/>
        </w:rPr>
      </w:r>
      <w:r/>
    </w:p>
    <w:p>
      <w:pPr>
        <w:pStyle w:val="1017"/>
        <w:rPr>
          <w:color w:val="000000"/>
          <w:sz w:val="24"/>
        </w:rPr>
      </w:pPr>
      <w:r>
        <w:rPr>
          <w:color w:val="000000"/>
          <w:sz w:val="24"/>
        </w:rPr>
      </w:r>
      <w:r/>
    </w:p>
    <w:p>
      <w:pPr>
        <w:pStyle w:val="1017"/>
        <w:rPr>
          <w:color w:val="000000"/>
          <w:sz w:val="24"/>
        </w:rPr>
      </w:pPr>
      <w:r>
        <w:rPr>
          <w:color w:val="000000"/>
          <w:sz w:val="24"/>
        </w:rPr>
      </w:r>
      <w:r/>
    </w:p>
    <w:p>
      <w:pPr>
        <w:pStyle w:val="932"/>
        <w:ind w:firstLine="480"/>
        <w:spacing w:line="440" w:lineRule="exact"/>
        <w:rPr>
          <w:rFonts w:ascii="宋体" w:hAnsi="宋体"/>
          <w:color w:val="000000"/>
          <w:sz w:val="24"/>
        </w:rPr>
      </w:pPr>
      <w:r>
        <w:rPr>
          <w:rFonts w:ascii="宋体" w:hAnsi="宋体"/>
          <w:color w:val="000000"/>
          <w:sz w:val="24"/>
        </w:rPr>
      </w:r>
      <w:r/>
    </w:p>
    <w:p>
      <w:pPr>
        <w:pStyle w:val="932"/>
        <w:jc w:val="left"/>
        <w:spacing w:line="360" w:lineRule="auto"/>
        <w:rPr>
          <w:rFonts w:hint="eastAsia" w:ascii="黑体" w:hAnsi="黑体" w:eastAsia="黑体"/>
          <w:color w:val="000000"/>
          <w:sz w:val="32"/>
          <w:szCs w:val="32"/>
        </w:rPr>
      </w:pPr>
      <w:r/>
      <w:bookmarkEnd w:id="61"/>
      <w:r/>
      <w:bookmarkEnd w:id="62"/>
      <w:r/>
      <w:bookmarkEnd w:id="63"/>
      <w:r/>
      <w:bookmarkStart w:id="65" w:name="_Toc120614284"/>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一、信用承诺函</w:t>
      </w:r>
      <w:r>
        <w:rPr>
          <w:rFonts w:hint="eastAsia" w:ascii="黑体" w:hAnsi="黑体" w:eastAsia="黑体"/>
          <w:color w:val="000000"/>
          <w:sz w:val="32"/>
          <w:szCs w:val="32"/>
        </w:rPr>
      </w:r>
      <w:r/>
    </w:p>
    <w:p>
      <w:pPr>
        <w:pStyle w:val="93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信用承诺函</w:t>
      </w:r>
      <w:r>
        <w:rPr>
          <w:rFonts w:hint="eastAsia" w:ascii="方正小标宋简体" w:hAnsi="方正小标宋简体" w:eastAsia="方正小标宋简体" w:cs="方正小标宋简体"/>
          <w:color w:val="000000"/>
          <w:sz w:val="32"/>
          <w:szCs w:val="32"/>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932"/>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rPr>
      </w:r>
      <w:r/>
    </w:p>
    <w:p>
      <w:pPr>
        <w:pStyle w:val="932"/>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93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932"/>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932"/>
        <w:ind w:firstLine="492"/>
        <w:spacing w:line="460" w:lineRule="exact"/>
        <w:rPr>
          <w:color w:val="000000"/>
          <w:sz w:val="24"/>
          <w:szCs w:val="24"/>
        </w:rPr>
      </w:pPr>
      <w:r>
        <w:rPr>
          <w:color w:val="000000"/>
          <w:sz w:val="24"/>
          <w:szCs w:val="24"/>
        </w:rPr>
      </w:r>
      <w:r/>
    </w:p>
    <w:p>
      <w:pPr>
        <w:pStyle w:val="1054"/>
        <w:rPr>
          <w:color w:val="000000"/>
          <w:sz w:val="24"/>
          <w:szCs w:val="24"/>
        </w:rPr>
      </w:pPr>
      <w:r>
        <w:rPr>
          <w:color w:val="000000"/>
          <w:sz w:val="24"/>
          <w:szCs w:val="24"/>
        </w:rPr>
      </w:r>
      <w:r/>
    </w:p>
    <w:p>
      <w:pPr>
        <w:pStyle w:val="932"/>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32"/>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32"/>
        <w:rPr>
          <w:color w:val="000000"/>
          <w:sz w:val="24"/>
          <w:szCs w:val="24"/>
        </w:rPr>
      </w:pPr>
      <w:r>
        <w:rPr>
          <w:color w:val="000000"/>
          <w:sz w:val="24"/>
          <w:szCs w:val="24"/>
        </w:rPr>
      </w:r>
      <w:r/>
    </w:p>
    <w:p>
      <w:pPr>
        <w:pStyle w:val="932"/>
        <w:spacing w:line="440" w:lineRule="exact"/>
        <w:rPr>
          <w:rFonts w:hint="eastAsia" w:ascii="宋体" w:hAnsi="宋体"/>
          <w:color w:val="000000"/>
          <w:sz w:val="24"/>
          <w:szCs w:val="24"/>
        </w:rPr>
      </w:pPr>
      <w:r>
        <w:rPr>
          <w:rFonts w:hint="eastAsia" w:ascii="宋体" w:hAnsi="宋体"/>
          <w:color w:val="000000"/>
          <w:sz w:val="24"/>
          <w:szCs w:val="24"/>
        </w:rPr>
      </w:r>
      <w:r/>
    </w:p>
    <w:p>
      <w:pPr>
        <w:pStyle w:val="932"/>
        <w:jc w:val="left"/>
        <w:spacing w:line="360" w:lineRule="auto"/>
        <w:rPr>
          <w:rFonts w:hint="eastAsia" w:ascii="黑体" w:hAnsi="黑体" w:eastAsia="黑体"/>
          <w:color w:val="000000"/>
          <w:sz w:val="32"/>
          <w:szCs w:val="32"/>
        </w:rPr>
      </w:pPr>
      <w:r>
        <w:rPr>
          <w:rFonts w:hint="eastAsia" w:ascii="宋体" w:hAnsi="宋体"/>
          <w:color w:val="000000"/>
          <w:sz w:val="24"/>
          <w:szCs w:val="24"/>
        </w:rPr>
        <w:br w:type="page" w:clear="all"/>
      </w:r>
      <w:r>
        <w:rPr>
          <w:rFonts w:hint="eastAsia" w:ascii="黑体" w:hAnsi="黑体" w:eastAsia="黑体"/>
          <w:color w:val="000000"/>
          <w:sz w:val="32"/>
          <w:szCs w:val="32"/>
        </w:rPr>
        <w:t xml:space="preserve">二、法定代表人授权委托书</w:t>
      </w:r>
      <w:r>
        <w:rPr>
          <w:rFonts w:hint="eastAsia" w:ascii="黑体" w:hAnsi="黑体" w:eastAsia="黑体"/>
          <w:color w:val="000000"/>
          <w:sz w:val="32"/>
          <w:szCs w:val="32"/>
        </w:rPr>
      </w:r>
      <w:r/>
    </w:p>
    <w:p>
      <w:pPr>
        <w:pStyle w:val="932"/>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法定代表人授权委托书</w:t>
      </w:r>
      <w:r>
        <w:rPr>
          <w:rFonts w:hint="eastAsia" w:ascii="方正小标宋简体" w:hAnsi="方正小标宋简体" w:eastAsia="方正小标宋简体" w:cs="方正小标宋简体"/>
          <w:color w:val="000000"/>
          <w:sz w:val="32"/>
          <w:szCs w:val="32"/>
        </w:rPr>
      </w:r>
      <w:r/>
    </w:p>
    <w:p>
      <w:pPr>
        <w:pStyle w:val="1026"/>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26"/>
        <w:ind w:firstLine="480"/>
        <w:spacing w:line="480" w:lineRule="exact"/>
        <w:tabs>
          <w:tab w:val="left" w:pos="360" w:leader="none"/>
        </w:tabs>
        <w:rPr>
          <w:rFonts w:hint="eastAsia"/>
          <w:color w:val="000000"/>
          <w:sz w:val="24"/>
          <w:szCs w:val="24"/>
        </w:rPr>
      </w:pPr>
      <w:r>
        <w:rPr>
          <w:rFonts w:hint="eastAsia"/>
          <w:color w:val="000000"/>
          <w:sz w:val="24"/>
          <w:szCs w:val="24"/>
        </w:rPr>
        <w:t xml:space="preserve">本人</w:t>
      </w:r>
      <w:r>
        <w:rPr>
          <w:rFonts w:hint="eastAsia"/>
          <w:color w:val="000000"/>
          <w:sz w:val="24"/>
          <w:szCs w:val="24"/>
          <w:u w:val="single"/>
        </w:rPr>
        <w:t xml:space="preserve">    </w:t>
      </w:r>
      <w:r>
        <w:rPr>
          <w:rFonts w:hint="eastAsia"/>
          <w:color w:val="000000"/>
          <w:sz w:val="24"/>
          <w:szCs w:val="24"/>
        </w:rPr>
        <w:t xml:space="preserve">（姓名）系</w:t>
      </w:r>
      <w:r>
        <w:rPr>
          <w:rFonts w:hint="eastAsia" w:ascii="宋体" w:hAnsi="宋体" w:cs="宋体"/>
          <w:color w:val="000000"/>
          <w:sz w:val="24"/>
          <w:szCs w:val="24"/>
          <w:u w:val="single"/>
        </w:rPr>
        <w:t xml:space="preserve">            </w:t>
      </w:r>
      <w:r>
        <w:rPr>
          <w:rFonts w:hint="eastAsia"/>
          <w:color w:val="000000"/>
          <w:sz w:val="24"/>
          <w:szCs w:val="24"/>
        </w:rPr>
        <w:t xml:space="preserve">（投标人名称）的法定代表人（单位负责人），现代表我单位授权委托</w:t>
      </w:r>
      <w:r>
        <w:rPr>
          <w:rFonts w:hint="eastAsia"/>
          <w:color w:val="000000"/>
          <w:sz w:val="24"/>
          <w:szCs w:val="24"/>
          <w:u w:val="single"/>
        </w:rPr>
        <w:t xml:space="preserve">    </w:t>
      </w:r>
      <w:r>
        <w:rPr>
          <w:rFonts w:hint="eastAsia"/>
          <w:color w:val="000000"/>
          <w:sz w:val="24"/>
          <w:szCs w:val="24"/>
        </w:rPr>
        <w:t xml:space="preserve">（姓名，职务）为我方合法代理人参加</w:t>
      </w:r>
      <w:r>
        <w:rPr>
          <w:rFonts w:hint="eastAsia"/>
          <w:color w:val="000000"/>
          <w:sz w:val="24"/>
          <w:szCs w:val="24"/>
          <w:u w:val="single"/>
        </w:rPr>
        <w:t xml:space="preserve">     </w:t>
      </w:r>
      <w:r>
        <w:rPr>
          <w:rFonts w:hint="eastAsia"/>
          <w:color w:val="000000"/>
          <w:sz w:val="24"/>
          <w:szCs w:val="24"/>
        </w:rPr>
        <w:t xml:space="preserve">（项目编号）</w:t>
      </w:r>
      <w:r>
        <w:rPr>
          <w:rFonts w:hint="eastAsia"/>
          <w:color w:val="000000"/>
          <w:sz w:val="24"/>
          <w:szCs w:val="24"/>
          <w:u w:val="single"/>
        </w:rPr>
        <w:t xml:space="preserve">      </w:t>
      </w:r>
      <w:r>
        <w:rPr>
          <w:rFonts w:hint="eastAsia"/>
          <w:color w:val="000000"/>
          <w:sz w:val="24"/>
          <w:szCs w:val="24"/>
        </w:rPr>
        <w:t xml:space="preserve">（项目名称）的政府采购活动，由其代表我方办理上述项目在投标、开标、澄清确认过程中的相关事宜，其法律后果由我方承担。</w:t>
      </w:r>
      <w:r>
        <w:rPr>
          <w:rFonts w:hint="eastAsia"/>
          <w:color w:val="000000"/>
          <w:sz w:val="24"/>
          <w:szCs w:val="24"/>
        </w:rPr>
      </w:r>
      <w:r/>
    </w:p>
    <w:p>
      <w:pPr>
        <w:pStyle w:val="1026"/>
        <w:ind w:firstLine="480"/>
        <w:spacing w:line="480" w:lineRule="exact"/>
        <w:tabs>
          <w:tab w:val="left" w:pos="360" w:leader="none"/>
        </w:tabs>
        <w:rPr>
          <w:rFonts w:hint="eastAsia"/>
          <w:color w:val="000000"/>
          <w:sz w:val="24"/>
          <w:szCs w:val="24"/>
        </w:rPr>
      </w:pPr>
      <w:r>
        <w:rPr>
          <w:rFonts w:hint="eastAsia"/>
          <w:color w:val="000000"/>
          <w:sz w:val="24"/>
          <w:szCs w:val="24"/>
        </w:rPr>
        <w:t xml:space="preserve">委托期限：自本授权委托书签署之日起至投标有效期届满之日止。</w:t>
      </w:r>
      <w:r>
        <w:rPr>
          <w:rFonts w:hint="eastAsia"/>
          <w:color w:val="000000"/>
          <w:sz w:val="24"/>
          <w:szCs w:val="24"/>
        </w:rPr>
      </w:r>
      <w:r/>
    </w:p>
    <w:p>
      <w:pPr>
        <w:pStyle w:val="1026"/>
        <w:ind w:firstLine="480"/>
        <w:spacing w:line="480" w:lineRule="exact"/>
        <w:tabs>
          <w:tab w:val="left" w:pos="360" w:leader="none"/>
        </w:tabs>
        <w:rPr>
          <w:color w:val="000000"/>
          <w:sz w:val="24"/>
          <w:szCs w:val="24"/>
        </w:rPr>
      </w:pPr>
      <w:r>
        <w:rPr>
          <w:rFonts w:hint="eastAsia"/>
          <w:color w:val="000000"/>
          <w:sz w:val="24"/>
          <w:szCs w:val="24"/>
        </w:rPr>
        <w:t xml:space="preserve">代理人无转委托权。</w:t>
      </w:r>
      <w:r>
        <w:rPr>
          <w:color w:val="000000"/>
          <w:sz w:val="24"/>
          <w:szCs w:val="24"/>
        </w:rPr>
      </w:r>
      <w:r/>
    </w:p>
    <w:p>
      <w:pPr>
        <w:pStyle w:val="1026"/>
        <w:ind w:firstLine="480"/>
        <w:spacing w:line="480" w:lineRule="exact"/>
        <w:tabs>
          <w:tab w:val="left" w:pos="360" w:leader="none"/>
        </w:tabs>
        <w:rPr>
          <w:rFonts w:hint="eastAsia"/>
          <w:color w:val="000000"/>
          <w:sz w:val="24"/>
          <w:szCs w:val="24"/>
        </w:rPr>
      </w:pPr>
      <w:r>
        <w:rPr>
          <w:rFonts w:hint="eastAsia"/>
          <w:color w:val="000000"/>
          <w:sz w:val="24"/>
          <w:szCs w:val="24"/>
        </w:rPr>
        <w:t xml:space="preserve">投标人名称（加盖公章）：________________</w:t>
      </w:r>
      <w:r>
        <w:rPr>
          <w:rFonts w:hint="eastAsia"/>
          <w:color w:val="000000"/>
          <w:sz w:val="24"/>
          <w:szCs w:val="24"/>
        </w:rPr>
      </w:r>
      <w:r/>
    </w:p>
    <w:p>
      <w:pPr>
        <w:pStyle w:val="1026"/>
        <w:ind w:firstLine="480"/>
        <w:spacing w:line="480" w:lineRule="exact"/>
        <w:tabs>
          <w:tab w:val="left" w:pos="360" w:leader="none"/>
        </w:tabs>
        <w:rPr>
          <w:rFonts w:hint="eastAsia"/>
          <w:color w:val="000000"/>
          <w:sz w:val="24"/>
          <w:szCs w:val="24"/>
        </w:rPr>
      </w:pPr>
      <w:r>
        <w:rPr>
          <w:rFonts w:hint="eastAsia"/>
          <w:color w:val="000000"/>
          <w:sz w:val="24"/>
          <w:szCs w:val="24"/>
        </w:rPr>
        <w:t xml:space="preserve">法定代表人（单位负责人）（签字或签章）：________________</w:t>
      </w:r>
      <w:r>
        <w:rPr>
          <w:rFonts w:hint="eastAsia"/>
          <w:color w:val="000000"/>
          <w:sz w:val="24"/>
          <w:szCs w:val="24"/>
        </w:rPr>
      </w:r>
      <w:r/>
    </w:p>
    <w:p>
      <w:pPr>
        <w:pStyle w:val="1026"/>
        <w:ind w:firstLine="480"/>
        <w:spacing w:line="480" w:lineRule="exact"/>
        <w:tabs>
          <w:tab w:val="left" w:pos="360" w:leader="none"/>
        </w:tabs>
        <w:rPr>
          <w:rFonts w:hint="eastAsia"/>
          <w:color w:val="000000"/>
          <w:sz w:val="24"/>
          <w:szCs w:val="24"/>
        </w:rPr>
      </w:pPr>
      <w:r>
        <w:rPr>
          <w:rFonts w:hint="eastAsia"/>
          <w:color w:val="000000"/>
          <w:sz w:val="24"/>
          <w:szCs w:val="24"/>
        </w:rPr>
        <w:t xml:space="preserve">代理人（签字或签章）：________________ </w:t>
      </w:r>
      <w:r>
        <w:rPr>
          <w:rFonts w:hint="eastAsia"/>
          <w:color w:val="000000"/>
          <w:sz w:val="24"/>
          <w:szCs w:val="24"/>
        </w:rPr>
      </w:r>
      <w:r/>
    </w:p>
    <w:p>
      <w:pPr>
        <w:pStyle w:val="1026"/>
        <w:ind w:firstLine="480"/>
        <w:spacing w:line="480" w:lineRule="exact"/>
        <w:tabs>
          <w:tab w:val="left" w:pos="360" w:leader="none"/>
        </w:tabs>
        <w:rPr>
          <w:rFonts w:hint="eastAsia"/>
          <w:color w:val="000000"/>
          <w:sz w:val="24"/>
          <w:szCs w:val="24"/>
        </w:rPr>
      </w:pPr>
      <w:r>
        <w:rPr>
          <w:rFonts w:hint="eastAsia"/>
          <w:color w:val="000000"/>
          <w:sz w:val="24"/>
          <w:szCs w:val="24"/>
        </w:rPr>
        <w:t xml:space="preserve">代理人联系方式（手机号码）：________________ </w:t>
      </w:r>
      <w:r>
        <w:rPr>
          <w:rFonts w:hint="eastAsia"/>
          <w:color w:val="000000"/>
          <w:sz w:val="24"/>
          <w:szCs w:val="24"/>
        </w:rPr>
      </w:r>
      <w:r/>
    </w:p>
    <w:p>
      <w:pPr>
        <w:pStyle w:val="1026"/>
        <w:ind w:firstLine="480"/>
        <w:spacing w:line="480" w:lineRule="exact"/>
        <w:tabs>
          <w:tab w:val="left" w:pos="360" w:leader="none"/>
        </w:tabs>
        <w:rPr>
          <w:rFonts w:hint="eastAsia"/>
          <w:color w:val="000000"/>
          <w:sz w:val="24"/>
          <w:szCs w:val="24"/>
        </w:rPr>
      </w:pPr>
      <w:r>
        <w:rPr>
          <w:rFonts w:hint="eastAsia"/>
          <w:color w:val="000000"/>
          <w:sz w:val="24"/>
          <w:szCs w:val="24"/>
        </w:rPr>
        <w:t xml:space="preserve">日期：_____年______月______日</w:t>
      </w:r>
      <w:r>
        <w:rPr>
          <w:rFonts w:hint="eastAsia"/>
          <w:color w:val="000000"/>
          <w:sz w:val="24"/>
          <w:szCs w:val="24"/>
        </w:rPr>
      </w:r>
      <w:r/>
    </w:p>
    <w:p>
      <w:pPr>
        <w:pStyle w:val="1026"/>
        <w:ind w:firstLine="480"/>
        <w:spacing w:line="480" w:lineRule="exact"/>
        <w:tabs>
          <w:tab w:val="left" w:pos="360" w:leader="none"/>
        </w:tabs>
        <w:rPr>
          <w:color w:val="000000"/>
          <w:sz w:val="24"/>
          <w:szCs w:val="24"/>
        </w:rPr>
      </w:pPr>
      <w:r>
        <w:rPr>
          <w:rFonts w:hint="eastAsia"/>
          <w:color w:val="000000"/>
          <w:sz w:val="24"/>
          <w:szCs w:val="24"/>
        </w:rPr>
        <w:t xml:space="preserve">附：法定代表人（单位负责人）及代理人有效身份证明文件</w:t>
      </w:r>
      <w:r>
        <w:rPr>
          <w:color w:val="000000"/>
          <w:sz w:val="24"/>
          <w:szCs w:val="24"/>
        </w:rPr>
      </w:r>
      <w:r/>
    </w:p>
    <w:p>
      <w:pPr>
        <w:pStyle w:val="951"/>
        <w:ind w:firstLine="0"/>
        <w:rPr>
          <w:rFonts w:hint="eastAsia"/>
          <w:color w:val="000000"/>
        </w:rPr>
      </w:pPr>
      <w:r>
        <w:rPr>
          <w:rFonts w:hint="eastAsia"/>
          <w:color w:val="000000"/>
        </w:rPr>
      </w:r>
      <w:r/>
    </w:p>
    <w:p>
      <w:pPr>
        <w:pStyle w:val="1026"/>
        <w:ind w:firstLine="480"/>
        <w:spacing w:line="480" w:lineRule="exact"/>
        <w:tabs>
          <w:tab w:val="left" w:pos="360" w:leader="none"/>
        </w:tabs>
        <w:rPr>
          <w:rFonts w:hint="eastAsia"/>
          <w:color w:val="000000"/>
          <w:sz w:val="24"/>
          <w:szCs w:val="24"/>
        </w:rPr>
      </w:pPr>
      <w:r>
        <w:rPr>
          <w:rFonts w:hint="eastAsia"/>
          <w:color w:val="000000"/>
          <w:sz w:val="24"/>
          <w:szCs w:val="24"/>
        </w:rPr>
      </w:r>
      <w:r/>
    </w:p>
    <w:p>
      <w:pPr>
        <w:pStyle w:val="1026"/>
        <w:ind w:firstLine="480"/>
        <w:spacing w:line="480" w:lineRule="exact"/>
        <w:tabs>
          <w:tab w:val="left" w:pos="360" w:leader="none"/>
        </w:tabs>
        <w:rPr>
          <w:rFonts w:hint="eastAsia"/>
          <w:color w:val="000000"/>
          <w:sz w:val="24"/>
          <w:szCs w:val="24"/>
        </w:rPr>
      </w:pPr>
      <w:r>
        <w:rPr>
          <w:rFonts w:hint="eastAsia"/>
          <w:color w:val="000000"/>
          <w:sz w:val="24"/>
          <w:szCs w:val="24"/>
        </w:rPr>
        <w:t xml:space="preserve">说明：</w:t>
      </w:r>
      <w:r>
        <w:rPr>
          <w:rFonts w:hint="eastAsia"/>
          <w:color w:val="000000"/>
          <w:sz w:val="24"/>
          <w:szCs w:val="24"/>
        </w:rPr>
      </w:r>
      <w:r/>
    </w:p>
    <w:p>
      <w:pPr>
        <w:pStyle w:val="1026"/>
        <w:ind w:firstLine="480"/>
        <w:spacing w:line="480" w:lineRule="exact"/>
        <w:tabs>
          <w:tab w:val="left" w:pos="360" w:leader="none"/>
        </w:tabs>
        <w:rPr>
          <w:rFonts w:hint="eastAsia"/>
          <w:color w:val="000000"/>
          <w:sz w:val="24"/>
          <w:szCs w:val="24"/>
        </w:rPr>
      </w:pPr>
      <w:r>
        <w:rPr>
          <w:rFonts w:hint="eastAsia"/>
          <w:color w:val="000000"/>
          <w:sz w:val="24"/>
          <w:szCs w:val="24"/>
        </w:rPr>
        <w:t xml:space="preserve">1.若投标人为事业单位或其他组织或分支机构（仅限招标文件注明允许分支机构投标情形），则法定代表人（单位负责人）处的签署人可为单位负责人。</w:t>
      </w:r>
      <w:r>
        <w:rPr>
          <w:rFonts w:hint="eastAsia"/>
          <w:color w:val="000000"/>
          <w:sz w:val="24"/>
          <w:szCs w:val="24"/>
        </w:rPr>
      </w:r>
      <w:r/>
    </w:p>
    <w:p>
      <w:pPr>
        <w:pStyle w:val="1026"/>
        <w:ind w:firstLine="480"/>
        <w:spacing w:line="480" w:lineRule="exact"/>
        <w:tabs>
          <w:tab w:val="left" w:pos="360" w:leader="none"/>
        </w:tabs>
        <w:rPr>
          <w:rFonts w:hint="eastAsia"/>
          <w:color w:val="000000"/>
          <w:sz w:val="24"/>
          <w:szCs w:val="24"/>
        </w:rPr>
      </w:pPr>
      <w:r>
        <w:rPr>
          <w:rFonts w:hint="eastAsia"/>
          <w:color w:val="000000"/>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color w:val="000000"/>
          <w:sz w:val="24"/>
          <w:szCs w:val="24"/>
        </w:rPr>
      </w:r>
      <w:r/>
    </w:p>
    <w:p>
      <w:pPr>
        <w:pStyle w:val="1026"/>
        <w:ind w:firstLine="480"/>
        <w:spacing w:line="480" w:lineRule="exact"/>
        <w:tabs>
          <w:tab w:val="left" w:pos="360" w:leader="none"/>
        </w:tabs>
        <w:rPr>
          <w:rFonts w:hint="eastAsia"/>
          <w:color w:val="000000"/>
          <w:sz w:val="24"/>
          <w:szCs w:val="24"/>
        </w:rPr>
      </w:pPr>
      <w:r>
        <w:rPr>
          <w:rFonts w:hint="eastAsia"/>
          <w:color w:val="000000"/>
          <w:sz w:val="24"/>
          <w:szCs w:val="24"/>
        </w:rPr>
        <w:t xml:space="preserve">3.投标人为自然人的，可不提供本《法定代表人授权委托书》。</w:t>
      </w:r>
      <w:r>
        <w:rPr>
          <w:rFonts w:hint="eastAsia"/>
          <w:color w:val="000000"/>
          <w:sz w:val="24"/>
          <w:szCs w:val="24"/>
        </w:rPr>
      </w:r>
      <w:r/>
    </w:p>
    <w:p>
      <w:pPr>
        <w:pStyle w:val="1026"/>
        <w:ind w:firstLine="480"/>
        <w:spacing w:line="480" w:lineRule="exact"/>
        <w:tabs>
          <w:tab w:val="left" w:pos="360" w:leader="none"/>
        </w:tabs>
        <w:rPr>
          <w:rFonts w:hint="eastAsia"/>
          <w:color w:val="000000"/>
          <w:sz w:val="24"/>
          <w:szCs w:val="24"/>
        </w:rPr>
      </w:pPr>
      <w:r>
        <w:rPr>
          <w:rFonts w:hint="eastAsia"/>
          <w:color w:val="000000"/>
          <w:sz w:val="24"/>
          <w:szCs w:val="24"/>
        </w:rPr>
        <w:t xml:space="preserve">4.投标人应同时提供法定代表人（单位负责人）及代理人的身份证或护照等有效身份证明文件（彩色复印件或者彩色扫描件）。</w:t>
      </w:r>
      <w:r>
        <w:rPr>
          <w:rFonts w:hint="eastAsia"/>
          <w:b/>
          <w:bCs/>
          <w:color w:val="000000"/>
          <w:sz w:val="24"/>
          <w:szCs w:val="24"/>
        </w:rPr>
        <w:t xml:space="preserve">提供身份证的，应同时提供身份证双面</w:t>
      </w:r>
      <w:r>
        <w:rPr>
          <w:rFonts w:hint="eastAsia"/>
          <w:color w:val="000000"/>
          <w:sz w:val="24"/>
          <w:szCs w:val="24"/>
        </w:rPr>
        <w:t xml:space="preserve">。</w:t>
      </w:r>
      <w:r>
        <w:rPr>
          <w:rFonts w:hint="eastAsia"/>
          <w:color w:val="000000"/>
          <w:sz w:val="24"/>
          <w:szCs w:val="24"/>
        </w:rPr>
      </w:r>
      <w:r/>
    </w:p>
    <w:p>
      <w:pPr>
        <w:pStyle w:val="1026"/>
        <w:ind w:firstLine="482"/>
        <w:spacing w:line="480" w:lineRule="exact"/>
        <w:tabs>
          <w:tab w:val="left" w:pos="360" w:leader="none"/>
        </w:tabs>
        <w:rPr>
          <w:rFonts w:hint="eastAsia"/>
          <w:b/>
          <w:bCs/>
          <w:color w:val="000000"/>
          <w:sz w:val="24"/>
          <w:szCs w:val="24"/>
        </w:rPr>
      </w:pPr>
      <w:r>
        <w:rPr>
          <w:rFonts w:hint="eastAsia"/>
          <w:b/>
          <w:bCs/>
          <w:color w:val="000000"/>
          <w:sz w:val="24"/>
          <w:szCs w:val="24"/>
        </w:rPr>
        <w:t xml:space="preserve">5.未按招标文件要求和格式提供《法定代表人授权委托书》的，将作为无效投标处理。</w:t>
      </w:r>
      <w:r>
        <w:rPr>
          <w:rFonts w:hint="eastAsia"/>
          <w:b/>
          <w:bCs/>
          <w:color w:val="000000"/>
          <w:sz w:val="24"/>
          <w:szCs w:val="24"/>
        </w:rPr>
      </w:r>
      <w:r/>
    </w:p>
    <w:p>
      <w:pPr>
        <w:pStyle w:val="932"/>
        <w:jc w:val="left"/>
        <w:spacing w:line="360" w:lineRule="auto"/>
        <w:rPr>
          <w:rFonts w:hint="eastAsia" w:ascii="黑体" w:hAnsi="黑体" w:eastAsia="黑体"/>
          <w:color w:val="000000"/>
          <w:sz w:val="32"/>
          <w:szCs w:val="32"/>
        </w:rPr>
      </w:pPr>
      <w:r>
        <w:rPr>
          <w:rFonts w:hint="eastAsia" w:ascii="楷体" w:hAnsi="楷体" w:eastAsia="楷体"/>
          <w:bCs/>
          <w:color w:val="000000"/>
          <w:sz w:val="24"/>
          <w:szCs w:val="24"/>
        </w:rPr>
        <w:br w:type="page" w:clear="all"/>
      </w:r>
      <w:r>
        <w:rPr>
          <w:rFonts w:hint="eastAsia" w:ascii="黑体" w:hAnsi="黑体" w:eastAsia="黑体"/>
          <w:color w:val="000000"/>
          <w:sz w:val="32"/>
          <w:szCs w:val="32"/>
        </w:rPr>
        <w:t xml:space="preserve">三、投标函</w:t>
      </w:r>
      <w:r>
        <w:rPr>
          <w:rFonts w:hint="eastAsia" w:ascii="黑体" w:hAnsi="黑体" w:eastAsia="黑体"/>
          <w:color w:val="000000"/>
          <w:sz w:val="32"/>
          <w:szCs w:val="32"/>
        </w:rPr>
      </w:r>
      <w:r/>
    </w:p>
    <w:p>
      <w:pPr>
        <w:pStyle w:val="93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28"/>
        <w:ind w:firstLine="0"/>
        <w:spacing w:before="0" w:after="0" w:line="420" w:lineRule="exact"/>
        <w:rPr>
          <w:rFonts w:hint="eastAsia" w:ascii="宋体" w:hAnsi="宋体"/>
          <w:color w:val="000000"/>
          <w:szCs w:val="21"/>
        </w:rPr>
      </w:pPr>
      <w:r>
        <w:rPr>
          <w:rFonts w:hint="eastAsia" w:ascii="宋体" w:hAnsi="宋体"/>
          <w:color w:val="000000"/>
          <w:szCs w:val="21"/>
        </w:rPr>
        <w:t xml:space="preserve">致：</w:t>
      </w:r>
      <w:r>
        <w:rPr>
          <w:rFonts w:hint="eastAsia" w:ascii="宋体" w:hAnsi="宋体"/>
          <w:color w:val="000000"/>
          <w:szCs w:val="21"/>
          <w:u w:val="single"/>
        </w:rPr>
        <w:t xml:space="preserve">                    </w:t>
      </w:r>
      <w:r>
        <w:rPr>
          <w:rFonts w:hint="eastAsia" w:ascii="宋体" w:hAnsi="宋体"/>
          <w:color w:val="000000"/>
          <w:szCs w:val="21"/>
        </w:rPr>
        <w:t xml:space="preserve">（采购人名称）</w:t>
      </w:r>
      <w:r>
        <w:rPr>
          <w:rFonts w:hint="eastAsia" w:ascii="宋体" w:hAnsi="宋体"/>
          <w:color w:val="000000"/>
          <w:szCs w:val="21"/>
        </w:rPr>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color w:val="000000"/>
        </w:rPr>
        <w:t xml:space="preserve">的</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1.按招标文件规定的各项要求，向贵方提供所需服务（包含与服务相关的货物）。</w:t>
      </w:r>
      <w:r>
        <w:rPr>
          <w:rFonts w:hint="eastAsia" w:ascii="宋体" w:hAnsi="宋体"/>
          <w:color w:val="000000"/>
          <w:szCs w:val="21"/>
        </w:rPr>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28"/>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28"/>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.一旦我方中标，我方将根据招标文件的规定，严格履行合同的责任和义务,并保证在招标文件规定的时间完成项目，交付贵方验收、使用。</w:t>
      </w:r>
      <w:r>
        <w:rPr>
          <w:rFonts w:hint="eastAsia" w:ascii="宋体" w:hAnsi="宋体"/>
          <w:color w:val="000000"/>
          <w:szCs w:val="21"/>
        </w:rPr>
      </w:r>
      <w:r/>
    </w:p>
    <w:p>
      <w:pPr>
        <w:pStyle w:val="932"/>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944"/>
        <w:ind w:firstLine="480"/>
        <w:rPr>
          <w:color w:val="000000"/>
        </w:rPr>
      </w:pPr>
      <w:r>
        <w:rPr>
          <w:rFonts w:hint="eastAsia"/>
          <w:color w:val="000000"/>
          <w:sz w:val="24"/>
          <w:szCs w:val="24"/>
        </w:rPr>
        <w:t xml:space="preserve">8.我方为：</w:t>
      </w:r>
      <w:r>
        <w:rPr>
          <w:rFonts w:ascii="Wingdings" w:hAnsi="Wingdings" w:eastAsia="Wingdings" w:cs="Wingdings"/>
          <w:color w:val="000000"/>
          <w:sz w:val="24"/>
          <w:szCs w:val="24"/>
        </w:rPr>
        <w:t xml:space="preserve">¨</w:t>
      </w:r>
      <w:r>
        <w:rPr>
          <w:rFonts w:hint="eastAsia"/>
          <w:color w:val="000000"/>
          <w:sz w:val="24"/>
          <w:szCs w:val="24"/>
        </w:rPr>
        <w:t xml:space="preserve">民营企业 </w:t>
      </w:r>
      <w:r>
        <w:rPr>
          <w:rFonts w:ascii="Wingdings" w:hAnsi="Wingdings" w:eastAsia="Wingdings" w:cs="Wingdings"/>
          <w:color w:val="000000"/>
          <w:sz w:val="24"/>
          <w:szCs w:val="24"/>
        </w:rPr>
        <w:t xml:space="preserve">¨</w:t>
      </w:r>
      <w:r>
        <w:rPr>
          <w:rFonts w:hint="eastAsia"/>
          <w:color w:val="000000"/>
          <w:sz w:val="24"/>
          <w:szCs w:val="24"/>
        </w:rPr>
        <w:t xml:space="preserve">非民营企业 </w:t>
      </w:r>
      <w:r>
        <w:rPr>
          <w:rFonts w:ascii="Wingdings" w:hAnsi="Wingdings" w:eastAsia="Wingdings" w:cs="Wingdings"/>
          <w:color w:val="000000"/>
          <w:sz w:val="24"/>
          <w:szCs w:val="24"/>
        </w:rPr>
        <w:t xml:space="preserve">¨</w:t>
      </w:r>
      <w:r>
        <w:rPr>
          <w:rFonts w:hint="eastAsia"/>
          <w:color w:val="000000"/>
          <w:sz w:val="24"/>
          <w:szCs w:val="24"/>
        </w:rPr>
        <w:t xml:space="preserve">事业单位或其他组织（在对应</w:t>
      </w:r>
      <w:r>
        <w:rPr>
          <w:rFonts w:ascii="Wingdings" w:hAnsi="Wingdings" w:eastAsia="Wingdings" w:cs="Wingdings"/>
          <w:color w:val="000000"/>
          <w:sz w:val="24"/>
          <w:szCs w:val="24"/>
        </w:rPr>
        <w:t xml:space="preserve">¨</w:t>
      </w:r>
      <w:r>
        <w:rPr>
          <w:rFonts w:hint="eastAsia" w:cs="宋体"/>
          <w:color w:val="000000"/>
          <w:sz w:val="24"/>
          <w:szCs w:val="24"/>
        </w:rPr>
        <w:t xml:space="preserve">内</w:t>
      </w:r>
      <w:r>
        <w:rPr>
          <w:rFonts w:hint="eastAsia"/>
          <w:color w:val="000000"/>
          <w:sz w:val="24"/>
          <w:szCs w:val="24"/>
          <w:lang w:val="zh-CN"/>
        </w:rPr>
        <w:t xml:space="preserve">打</w:t>
      </w:r>
      <w:r>
        <w:rPr>
          <w:rFonts w:hint="eastAsia" w:cs="Verdana"/>
          <w:color w:val="000000"/>
          <w:sz w:val="24"/>
          <w:szCs w:val="24"/>
          <w:lang w:val="zh-CN"/>
        </w:rPr>
        <w:t xml:space="preserve">“√”</w:t>
      </w:r>
      <w:r>
        <w:rPr>
          <w:rFonts w:hint="eastAsia"/>
          <w:color w:val="000000"/>
          <w:sz w:val="24"/>
          <w:szCs w:val="24"/>
        </w:rPr>
        <w:t xml:space="preserve">）               </w:t>
      </w:r>
      <w:r>
        <w:rPr>
          <w:color w:val="000000"/>
        </w:rPr>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9.我方与本次投标有关信息</w:t>
      </w:r>
      <w:r>
        <w:rPr>
          <w:rFonts w:hint="eastAsia" w:ascii="宋体" w:hAnsi="宋体"/>
          <w:color w:val="000000"/>
          <w:szCs w:val="21"/>
        </w:rPr>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28"/>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28"/>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28"/>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28"/>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932"/>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1028"/>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28"/>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932"/>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32"/>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32"/>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四、开标一览表</w:t>
      </w:r>
      <w:r>
        <w:rPr>
          <w:rFonts w:hint="eastAsia" w:ascii="黑体" w:hAnsi="黑体" w:eastAsia="黑体"/>
          <w:color w:val="000000"/>
          <w:sz w:val="32"/>
          <w:szCs w:val="32"/>
        </w:rPr>
      </w:r>
      <w:r/>
    </w:p>
    <w:p>
      <w:pPr>
        <w:pStyle w:val="93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932"/>
        <w:spacing w:line="48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32"/>
        <w:spacing w:line="48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32"/>
        <w:spacing w:line="480"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32"/>
              <w:jc w:val="center"/>
              <w:spacing w:line="480" w:lineRule="auto"/>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1028"/>
              <w:ind w:firstLine="0"/>
              <w:spacing w:before="0" w:after="0" w:line="480"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32"/>
        <w:spacing w:line="480" w:lineRule="auto"/>
        <w:rPr>
          <w:rFonts w:ascii="宋体" w:hAnsi="宋体"/>
          <w:color w:val="000000"/>
          <w:sz w:val="24"/>
          <w:szCs w:val="24"/>
        </w:rPr>
      </w:pPr>
      <w:r>
        <w:rPr>
          <w:rFonts w:ascii="宋体" w:hAnsi="宋体"/>
          <w:color w:val="000000"/>
          <w:sz w:val="24"/>
          <w:szCs w:val="24"/>
        </w:rPr>
      </w:r>
      <w:r/>
    </w:p>
    <w:p>
      <w:pPr>
        <w:pStyle w:val="932"/>
        <w:ind w:firstLine="480"/>
        <w:spacing w:line="480"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932"/>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44"/>
        <w:rPr>
          <w:rFonts w:hint="eastAsia"/>
          <w:color w:val="000000"/>
        </w:rPr>
      </w:pPr>
      <w:r>
        <w:rPr>
          <w:rFonts w:hint="eastAsia"/>
          <w:color w:val="000000"/>
        </w:rPr>
      </w:r>
      <w:r/>
    </w:p>
    <w:p>
      <w:pPr>
        <w:pStyle w:val="932"/>
        <w:spacing w:line="360" w:lineRule="auto"/>
        <w:rPr>
          <w:rFonts w:hint="eastAsia" w:ascii="黑体" w:eastAsia="黑体"/>
          <w:color w:val="000000"/>
          <w:sz w:val="32"/>
          <w:szCs w:val="32"/>
        </w:rPr>
      </w:pPr>
      <w:r>
        <w:rPr>
          <w:rFonts w:hint="eastAsia" w:ascii="黑体" w:eastAsia="黑体"/>
          <w:color w:val="000000"/>
          <w:sz w:val="32"/>
          <w:szCs w:val="32"/>
        </w:rPr>
      </w:r>
      <w:r/>
    </w:p>
    <w:p>
      <w:pPr>
        <w:pStyle w:val="944"/>
        <w:rPr>
          <w:rFonts w:hint="eastAsia"/>
          <w:color w:val="000000"/>
        </w:rPr>
      </w:pPr>
      <w:r>
        <w:rPr>
          <w:rFonts w:hint="eastAsia"/>
          <w:color w:val="000000"/>
        </w:rPr>
      </w:r>
      <w:r/>
    </w:p>
    <w:p>
      <w:pPr>
        <w:pStyle w:val="932"/>
        <w:rPr>
          <w:rFonts w:hint="eastAsia"/>
          <w:color w:val="000000"/>
        </w:rPr>
      </w:pPr>
      <w:r>
        <w:rPr>
          <w:rFonts w:hint="eastAsia"/>
          <w:color w:val="000000"/>
        </w:rPr>
      </w:r>
      <w:r/>
    </w:p>
    <w:p>
      <w:pPr>
        <w:pStyle w:val="944"/>
        <w:rPr>
          <w:rFonts w:hint="eastAsia"/>
          <w:color w:val="000000"/>
        </w:rPr>
      </w:pPr>
      <w:r>
        <w:rPr>
          <w:rFonts w:hint="eastAsia"/>
          <w:color w:val="000000"/>
        </w:rPr>
      </w:r>
      <w:r/>
    </w:p>
    <w:p>
      <w:pPr>
        <w:pStyle w:val="1011"/>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932"/>
        <w:rPr>
          <w:rFonts w:hint="eastAsia" w:ascii="黑体" w:eastAsia="黑体"/>
          <w:color w:val="000000"/>
          <w:sz w:val="32"/>
          <w:szCs w:val="32"/>
        </w:rPr>
      </w:pPr>
      <w:r>
        <w:rPr>
          <w:rFonts w:hint="eastAsia" w:ascii="黑体" w:eastAsia="黑体"/>
          <w:color w:val="000000"/>
          <w:sz w:val="32"/>
          <w:szCs w:val="32"/>
        </w:rPr>
      </w:r>
      <w:r/>
    </w:p>
    <w:p>
      <w:pPr>
        <w:pStyle w:val="1011"/>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1011"/>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932"/>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五、投标分项报价表</w:t>
      </w:r>
      <w:r>
        <w:rPr>
          <w:rFonts w:hint="eastAsia" w:ascii="黑体" w:hAnsi="黑体" w:eastAsia="黑体"/>
          <w:color w:val="000000"/>
          <w:sz w:val="32"/>
          <w:szCs w:val="32"/>
        </w:rPr>
      </w:r>
      <w:r/>
    </w:p>
    <w:p>
      <w:pPr>
        <w:pStyle w:val="93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932"/>
        <w:ind w:right="180" w:firstLine="480"/>
        <w:spacing w:line="360" w:lineRule="auto"/>
        <w:rPr>
          <w:rFonts w:hint="eastAsia" w:ascii="宋体" w:hAnsi="宋体"/>
          <w:color w:val="000000"/>
          <w:sz w:val="24"/>
          <w:szCs w:val="24"/>
        </w:rPr>
      </w:pPr>
      <w:r/>
      <w:bookmarkStart w:id="66" w:name="OLE_LINK3"/>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32"/>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932"/>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项目编号：                                   采购包号：</w:t>
      </w:r>
      <w:bookmarkEnd w:id="66"/>
      <w:r>
        <w:rPr>
          <w:rFonts w:hint="eastAsia" w:ascii="宋体" w:hAnsi="宋体"/>
          <w:color w:val="000000"/>
          <w:sz w:val="24"/>
          <w:szCs w:val="24"/>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120"/>
        <w:gridCol w:w="970"/>
        <w:gridCol w:w="1790"/>
        <w:gridCol w:w="1470"/>
        <w:gridCol w:w="830"/>
        <w:gridCol w:w="820"/>
        <w:gridCol w:w="826"/>
        <w:gridCol w:w="1434"/>
      </w:tblGrid>
      <w:tr>
        <w:trPr>
          <w:cantSplit/>
          <w:trHeight w:val="544"/>
        </w:trPr>
        <w:tc>
          <w:tcPr>
            <w:tcW w:w="701" w:type="dxa"/>
            <w:vAlign w:val="center"/>
            <w:vMerge w:val="restart"/>
            <w:textDirection w:val="lrTb"/>
            <w:noWrap w:val="false"/>
          </w:tcPr>
          <w:p>
            <w:pPr>
              <w:pStyle w:val="932"/>
              <w:ind w:right="180"/>
              <w:jc w:val="left"/>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120" w:type="dxa"/>
            <w:vAlign w:val="center"/>
            <w:textDirection w:val="lrTb"/>
            <w:noWrap w:val="false"/>
          </w:tcPr>
          <w:p>
            <w:pPr>
              <w:pStyle w:val="932"/>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932"/>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790" w:type="dxa"/>
            <w:vAlign w:val="center"/>
            <w:textDirection w:val="lrTb"/>
            <w:noWrap w:val="false"/>
          </w:tcPr>
          <w:p>
            <w:pPr>
              <w:pStyle w:val="932"/>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470" w:type="dxa"/>
            <w:vAlign w:val="center"/>
            <w:textDirection w:val="lrTb"/>
            <w:noWrap w:val="false"/>
          </w:tcPr>
          <w:p>
            <w:pPr>
              <w:pStyle w:val="932"/>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830" w:type="dxa"/>
            <w:vAlign w:val="center"/>
            <w:textDirection w:val="lrTb"/>
            <w:noWrap w:val="false"/>
          </w:tcPr>
          <w:p>
            <w:pPr>
              <w:pStyle w:val="932"/>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820" w:type="dxa"/>
            <w:vAlign w:val="center"/>
            <w:textDirection w:val="lrTb"/>
            <w:noWrap w:val="false"/>
          </w:tcPr>
          <w:p>
            <w:pPr>
              <w:pStyle w:val="932"/>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826" w:type="dxa"/>
            <w:vAlign w:val="center"/>
            <w:textDirection w:val="lrTb"/>
            <w:noWrap w:val="false"/>
          </w:tcPr>
          <w:p>
            <w:pPr>
              <w:pStyle w:val="932"/>
              <w:ind w:right="180"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434" w:type="dxa"/>
            <w:vAlign w:val="center"/>
            <w:textDirection w:val="lrTb"/>
            <w:noWrap w:val="false"/>
          </w:tcPr>
          <w:p>
            <w:pPr>
              <w:pStyle w:val="932"/>
              <w:ind w:right="180" w:firstLine="480"/>
              <w:jc w:val="left"/>
              <w:spacing w:line="36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r>
      <w:tr>
        <w:trPr>
          <w:cantSplit/>
          <w:trHeight w:val="294"/>
        </w:trPr>
        <w:tc>
          <w:tcPr>
            <w:tcW w:w="701" w:type="dxa"/>
            <w:vAlign w:val="center"/>
            <w:vMerge w:val="continue"/>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2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9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79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规格或型号</w:t>
            </w:r>
            <w:r>
              <w:rPr>
                <w:rFonts w:hint="eastAsia" w:ascii="宋体" w:hAnsi="宋体"/>
                <w:color w:val="000000"/>
                <w:sz w:val="24"/>
                <w:szCs w:val="24"/>
              </w:rPr>
            </w:r>
            <w:r/>
          </w:p>
        </w:tc>
        <w:tc>
          <w:tcPr>
            <w:tcW w:w="14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83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826" w:type="dxa"/>
            <w:vAlign w:val="center"/>
            <w:textDirection w:val="lrTb"/>
            <w:noWrap w:val="false"/>
          </w:tcPr>
          <w:p>
            <w:pPr>
              <w:pStyle w:val="932"/>
              <w:jc w:val="center"/>
              <w:spacing w:line="0" w:lineRule="atLeast"/>
              <w:rPr>
                <w:rFonts w:ascii="宋体" w:hAnsi="宋体"/>
                <w:color w:val="000000"/>
                <w:sz w:val="24"/>
                <w:szCs w:val="24"/>
              </w:rPr>
            </w:pPr>
            <w:r>
              <w:rPr>
                <w:rFonts w:hint="eastAsia" w:ascii="宋体" w:hAnsi="宋体"/>
                <w:color w:val="000000"/>
                <w:sz w:val="24"/>
                <w:szCs w:val="24"/>
              </w:rPr>
              <w:t xml:space="preserve">单价（元）</w:t>
            </w:r>
            <w:r>
              <w:rPr>
                <w:rFonts w:ascii="宋体" w:hAnsi="宋体"/>
                <w:color w:val="000000"/>
                <w:sz w:val="24"/>
                <w:szCs w:val="24"/>
              </w:rPr>
            </w:r>
            <w:r/>
          </w:p>
        </w:tc>
        <w:tc>
          <w:tcPr>
            <w:tcW w:w="1434"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701"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12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701"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12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701"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12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34" w:type="dxa"/>
            <w:vAlign w:val="center"/>
            <w:textDirection w:val="lrTb"/>
            <w:noWrap w:val="false"/>
          </w:tcPr>
          <w:p>
            <w:pPr>
              <w:pStyle w:val="932"/>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701" w:type="dxa"/>
            <w:vAlign w:val="center"/>
            <w:textDirection w:val="lrTb"/>
            <w:noWrap w:val="false"/>
          </w:tcPr>
          <w:p>
            <w:pPr>
              <w:pStyle w:val="932"/>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260" w:type="dxa"/>
            <w:vAlign w:val="center"/>
            <w:textDirection w:val="lrTb"/>
            <w:noWrap w:val="false"/>
          </w:tcPr>
          <w:p>
            <w:pPr>
              <w:pStyle w:val="932"/>
              <w:spacing w:line="0" w:lineRule="atLeast"/>
              <w:rPr>
                <w:rFonts w:hint="eastAsia" w:ascii="宋体" w:hAnsi="宋体"/>
                <w:color w:val="000000"/>
                <w:sz w:val="24"/>
                <w:szCs w:val="24"/>
              </w:rPr>
            </w:pPr>
            <w:r>
              <w:rPr>
                <w:rFonts w:hint="eastAsia" w:ascii="宋体" w:hAnsi="宋体"/>
                <w:color w:val="000000"/>
                <w:sz w:val="24"/>
                <w:szCs w:val="24"/>
              </w:rPr>
              <w:t xml:space="preserve">总报价（元）：</w:t>
            </w:r>
            <w:r>
              <w:rPr>
                <w:rFonts w:hint="eastAsia" w:ascii="宋体" w:hAnsi="宋体"/>
                <w:color w:val="000000"/>
                <w:sz w:val="24"/>
                <w:szCs w:val="24"/>
              </w:rPr>
            </w:r>
            <w:r/>
          </w:p>
        </w:tc>
      </w:tr>
    </w:tbl>
    <w:p>
      <w:pPr>
        <w:pStyle w:val="932"/>
        <w:spacing w:line="360" w:lineRule="auto"/>
        <w:rPr>
          <w:rFonts w:ascii="宋体" w:hAnsi="宋体"/>
          <w:color w:val="000000"/>
          <w:sz w:val="24"/>
        </w:rPr>
      </w:pPr>
      <w:r>
        <w:rPr>
          <w:rFonts w:ascii="宋体" w:hAnsi="宋体"/>
          <w:color w:val="000000"/>
          <w:sz w:val="24"/>
        </w:rPr>
      </w:r>
      <w:r/>
    </w:p>
    <w:p>
      <w:pPr>
        <w:pStyle w:val="997"/>
        <w:ind w:firstLine="480"/>
        <w:jc w:val="both"/>
        <w:spacing w:before="0" w:beforeAutospacing="0" w:after="0" w:afterAutospacing="0" w:line="360" w:lineRule="auto"/>
        <w:rPr>
          <w:color w:val="000000"/>
        </w:rPr>
      </w:pPr>
      <w:r>
        <w:rPr>
          <w:color w:val="000000"/>
        </w:rPr>
        <w:t xml:space="preserve">备注： </w:t>
      </w:r>
      <w:r>
        <w:rPr>
          <w:color w:val="000000"/>
        </w:rPr>
      </w:r>
      <w:r/>
    </w:p>
    <w:p>
      <w:pPr>
        <w:pStyle w:val="997"/>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97"/>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97"/>
        <w:ind w:firstLine="480"/>
        <w:jc w:val="both"/>
        <w:spacing w:before="0" w:beforeAutospacing="0" w:after="0" w:afterAutospacing="0" w:line="360" w:lineRule="auto"/>
        <w:rPr>
          <w:rFonts w:hint="eastAsia"/>
          <w:b/>
          <w:bCs/>
          <w:color w:val="000000"/>
        </w:rPr>
      </w:pPr>
      <w:r>
        <w:rPr>
          <w:rFonts w:hint="eastAsia"/>
          <w:color w:val="000000"/>
        </w:rPr>
        <w:t xml:space="preserve">3.</w:t>
      </w:r>
      <w:r>
        <w:rPr>
          <w:rFonts w:hint="eastAsia"/>
          <w:b/>
          <w:bCs/>
          <w:color w:val="000000"/>
        </w:rPr>
        <w:t xml:space="preserve">《投标分项报价表》中的分项名称须与“第四章采购需求-项目清单”中的分项名称一一对应，如有缺项、漏项，视为无效投标。</w:t>
      </w:r>
      <w:r>
        <w:rPr>
          <w:rFonts w:hint="eastAsia"/>
          <w:b/>
          <w:bCs/>
          <w:color w:val="000000"/>
        </w:rPr>
      </w:r>
      <w:r/>
    </w:p>
    <w:p>
      <w:pPr>
        <w:pStyle w:val="997"/>
        <w:ind w:firstLine="480"/>
        <w:jc w:val="both"/>
        <w:spacing w:before="0" w:beforeAutospacing="0" w:after="0" w:afterAutospacing="0" w:line="360" w:lineRule="auto"/>
        <w:rPr>
          <w:color w:val="000000"/>
        </w:rPr>
      </w:pPr>
      <w:r>
        <w:rPr>
          <w:color w:val="000000"/>
        </w:rPr>
      </w:r>
      <w:r/>
    </w:p>
    <w:p>
      <w:pPr>
        <w:pStyle w:val="932"/>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932"/>
        <w:rPr>
          <w:rFonts w:hint="eastAsia" w:ascii="黑体" w:hAnsi="黑体" w:eastAsia="黑体"/>
          <w:iCs/>
          <w:color w:val="000000"/>
          <w:sz w:val="32"/>
          <w:szCs w:val="32"/>
        </w:rPr>
      </w:pPr>
      <w:r>
        <w:rPr>
          <w:rFonts w:hint="eastAsia" w:ascii="黑体" w:hAnsi="黑体" w:eastAsia="黑体"/>
          <w:iCs/>
          <w:color w:val="000000"/>
          <w:sz w:val="32"/>
          <w:szCs w:val="32"/>
        </w:rPr>
        <w:br w:type="page" w:clear="all"/>
      </w:r>
      <w:bookmarkEnd w:id="46"/>
      <w:r/>
      <w:bookmarkEnd w:id="47"/>
      <w:r/>
      <w:bookmarkEnd w:id="65"/>
      <w:r>
        <w:rPr>
          <w:rFonts w:hint="eastAsia" w:ascii="黑体" w:hAnsi="黑体" w:eastAsia="黑体"/>
          <w:iCs/>
          <w:color w:val="000000"/>
          <w:sz w:val="32"/>
          <w:szCs w:val="32"/>
        </w:rPr>
        <w:t xml:space="preserve">六、技术要求响应及偏离表</w:t>
      </w:r>
      <w:r>
        <w:rPr>
          <w:rFonts w:hint="eastAsia" w:ascii="黑体" w:hAnsi="黑体" w:eastAsia="黑体"/>
          <w:iCs/>
          <w:color w:val="000000"/>
          <w:sz w:val="32"/>
          <w:szCs w:val="32"/>
        </w:rPr>
      </w:r>
      <w:r/>
    </w:p>
    <w:p>
      <w:pPr>
        <w:pStyle w:val="93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p>
      <w:pPr>
        <w:pStyle w:val="932"/>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32"/>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932"/>
        <w:ind w:right="180" w:firstLine="480"/>
        <w:jc w:val="left"/>
        <w:spacing w:line="360" w:lineRule="auto"/>
        <w:rPr>
          <w:rFonts w:hint="eastAsia" w:ascii="方正小标宋简体" w:hAnsi="方正小标宋简体" w:eastAsia="方正小标宋简体" w:cs="方正小标宋简体"/>
          <w:color w:val="000000"/>
          <w:sz w:val="32"/>
          <w:szCs w:val="32"/>
        </w:rPr>
      </w:pPr>
      <w:r>
        <w:rPr>
          <w:rFonts w:hint="eastAsia" w:ascii="宋体" w:hAnsi="宋体"/>
          <w:color w:val="000000"/>
          <w:sz w:val="24"/>
          <w:szCs w:val="24"/>
        </w:rPr>
        <w:t xml:space="preserve">项目编号：                                   采购包号：</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932"/>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932"/>
              <w:jc w:val="center"/>
              <w:rPr>
                <w:color w:val="000000"/>
              </w:rPr>
            </w:pPr>
            <w:r>
              <w:rPr>
                <w:color w:val="000000"/>
              </w:rPr>
            </w:r>
            <w:r/>
          </w:p>
          <w:p>
            <w:pPr>
              <w:pStyle w:val="944"/>
              <w:rPr>
                <w:rFonts w:hint="eastAsia"/>
                <w:color w:val="000000"/>
              </w:rPr>
            </w:pPr>
            <w:r>
              <w:rPr>
                <w:rFonts w:hint="eastAsia"/>
                <w:color w:val="000000"/>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bl>
    <w:p>
      <w:pPr>
        <w:pStyle w:val="997"/>
        <w:jc w:val="both"/>
        <w:spacing w:before="0" w:beforeAutospacing="0" w:after="0" w:afterAutospacing="0"/>
        <w:rPr>
          <w:color w:val="000000"/>
        </w:rPr>
      </w:pPr>
      <w:r>
        <w:rPr>
          <w:color w:val="000000"/>
        </w:rPr>
      </w:r>
      <w:r/>
    </w:p>
    <w:p>
      <w:pPr>
        <w:pStyle w:val="997"/>
        <w:ind w:firstLine="480"/>
        <w:jc w:val="both"/>
        <w:spacing w:before="0" w:beforeAutospacing="0" w:after="0" w:afterAutospacing="0" w:line="360" w:lineRule="auto"/>
        <w:rPr>
          <w:color w:val="000000"/>
        </w:rPr>
      </w:pPr>
      <w:r>
        <w:rPr>
          <w:color w:val="000000"/>
        </w:rPr>
        <w:t xml:space="preserve">备注： </w:t>
      </w:r>
      <w:r>
        <w:rPr>
          <w:color w:val="000000"/>
        </w:rPr>
      </w:r>
      <w:r/>
    </w:p>
    <w:p>
      <w:pPr>
        <w:pStyle w:val="997"/>
        <w:ind w:firstLine="482"/>
        <w:jc w:val="both"/>
        <w:spacing w:before="0" w:beforeAutospacing="0" w:after="0" w:afterAutospacing="0" w:line="360" w:lineRule="auto"/>
        <w:rPr>
          <w:rFonts w:hint="eastAsia"/>
          <w:b/>
          <w:bCs/>
          <w:color w:val="000000"/>
        </w:rPr>
      </w:pPr>
      <w:r>
        <w:rPr>
          <w:rFonts w:hint="eastAsia"/>
          <w:b/>
          <w:bCs/>
          <w:color w:val="000000"/>
        </w:rPr>
        <w:t xml:space="preserve">1.投标人须对招标文件技术要求中的实质性要求（打“★”内容）作出明确响应，否则视为无效投标。</w:t>
      </w:r>
      <w:r>
        <w:rPr>
          <w:rFonts w:hint="eastAsia"/>
          <w:b/>
          <w:bCs/>
          <w:color w:val="000000"/>
        </w:rPr>
      </w:r>
      <w:r/>
    </w:p>
    <w:p>
      <w:pPr>
        <w:pStyle w:val="997"/>
        <w:ind w:firstLine="482"/>
        <w:jc w:val="both"/>
        <w:spacing w:before="0" w:beforeAutospacing="0" w:after="0" w:afterAutospacing="0" w:line="360" w:lineRule="auto"/>
        <w:rPr>
          <w:rFonts w:hint="eastAsia"/>
          <w:b/>
          <w:bCs/>
          <w:color w:val="000000"/>
        </w:rPr>
      </w:pPr>
      <w:r>
        <w:rPr>
          <w:rFonts w:hint="eastAsia"/>
          <w:b/>
          <w:bCs/>
          <w:color w:val="000000"/>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b/>
          <w:bCs/>
          <w:color w:val="000000"/>
        </w:rPr>
      </w:r>
      <w:r/>
    </w:p>
    <w:p>
      <w:pPr>
        <w:pStyle w:val="997"/>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932"/>
        <w:rPr>
          <w:rFonts w:hint="eastAsia" w:ascii="黑体" w:hAnsi="黑体" w:eastAsia="黑体"/>
          <w:iCs/>
          <w:color w:val="000000"/>
          <w:sz w:val="32"/>
          <w:szCs w:val="32"/>
        </w:rPr>
      </w:pPr>
      <w:r>
        <w:rPr>
          <w:rFonts w:hint="eastAsia" w:ascii="黑体" w:hAnsi="黑体" w:eastAsia="黑体"/>
          <w:iCs/>
          <w:color w:val="000000"/>
          <w:sz w:val="32"/>
          <w:szCs w:val="32"/>
        </w:rPr>
        <w:br w:type="page" w:clear="all"/>
      </w:r>
      <w:r>
        <w:rPr>
          <w:rFonts w:hint="eastAsia" w:ascii="黑体" w:hAnsi="黑体" w:eastAsia="黑体"/>
          <w:iCs/>
          <w:color w:val="000000"/>
          <w:sz w:val="32"/>
          <w:szCs w:val="32"/>
        </w:rPr>
        <w:t xml:space="preserve">七、商务要求响应及偏离表</w:t>
      </w:r>
      <w:r>
        <w:rPr>
          <w:rFonts w:hint="eastAsia" w:ascii="黑体" w:hAnsi="黑体" w:eastAsia="黑体"/>
          <w:iCs/>
          <w:color w:val="000000"/>
          <w:sz w:val="32"/>
          <w:szCs w:val="32"/>
        </w:rPr>
      </w:r>
      <w:r/>
    </w:p>
    <w:p>
      <w:pPr>
        <w:pStyle w:val="93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p>
      <w:pPr>
        <w:pStyle w:val="932"/>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32"/>
        <w:ind w:right="180" w:firstLine="480"/>
        <w:spacing w:line="360" w:lineRule="auto"/>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932"/>
        <w:ind w:right="180" w:firstLine="480"/>
        <w:spacing w:line="360" w:lineRule="auto"/>
        <w:rPr>
          <w:rFonts w:hint="eastAsia"/>
          <w:color w:val="000000"/>
        </w:rPr>
      </w:pPr>
      <w:r>
        <w:rPr>
          <w:rFonts w:hint="eastAsia" w:ascii="宋体" w:hAnsi="宋体"/>
          <w:color w:val="000000"/>
          <w:sz w:val="24"/>
          <w:szCs w:val="24"/>
        </w:rPr>
        <w:t xml:space="preserve">项目编号：                                   采购包号：</w:t>
      </w:r>
      <w:r>
        <w:rPr>
          <w:rFonts w:hint="eastAsia"/>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932"/>
              <w:jc w:val="center"/>
              <w:rPr>
                <w:rFonts w:hint="eastAsia" w:ascii="宋体" w:hAnsi="宋体"/>
                <w:color w:val="000000"/>
                <w:sz w:val="24"/>
                <w:szCs w:val="24"/>
              </w:rPr>
            </w:pPr>
            <w:r/>
            <w:bookmarkStart w:id="67" w:name="_Hlt26671372"/>
            <w:r/>
            <w:bookmarkEnd w:id="67"/>
            <w:r/>
            <w:bookmarkStart w:id="68" w:name="_Hlt26580838"/>
            <w:r/>
            <w:bookmarkEnd w:id="68"/>
            <w:r/>
            <w:bookmarkStart w:id="69" w:name="_Hlt26609391"/>
            <w:r/>
            <w:bookmarkEnd w:id="69"/>
            <w:r/>
            <w:bookmarkStart w:id="70" w:name="_Hlt26782999"/>
            <w:r/>
            <w:bookmarkEnd w:id="70"/>
            <w:r/>
            <w:bookmarkStart w:id="71" w:name="_Hlt24879081"/>
            <w:r/>
            <w:bookmarkEnd w:id="71"/>
            <w:r/>
            <w:bookmarkStart w:id="72" w:name="_Hlt26955056"/>
            <w:r/>
            <w:bookmarkEnd w:id="72"/>
            <w:r/>
            <w:bookmarkStart w:id="73" w:name="_Hlt26671343"/>
            <w:r/>
            <w:bookmarkEnd w:id="73"/>
            <w:r/>
            <w:bookmarkStart w:id="74" w:name="_Hlt26955064"/>
            <w:r/>
            <w:bookmarkEnd w:id="74"/>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932"/>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932"/>
              <w:jc w:val="center"/>
              <w:rPr>
                <w:color w:val="000000"/>
              </w:rPr>
            </w:pPr>
            <w:r>
              <w:rPr>
                <w:color w:val="000000"/>
              </w:rPr>
            </w:r>
            <w:r/>
          </w:p>
          <w:p>
            <w:pPr>
              <w:pStyle w:val="944"/>
              <w:rPr>
                <w:rFonts w:hint="eastAsia"/>
                <w:color w:val="000000"/>
              </w:rPr>
            </w:pPr>
            <w:r>
              <w:rPr>
                <w:rFonts w:hint="eastAsia"/>
                <w:color w:val="000000"/>
              </w:rPr>
            </w:r>
            <w:r/>
          </w:p>
        </w:tc>
        <w:tc>
          <w:tcPr>
            <w:tcW w:w="2832"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932"/>
              <w:jc w:val="center"/>
              <w:rPr>
                <w:rFonts w:hint="eastAsia" w:ascii="宋体" w:hAnsi="宋体"/>
                <w:color w:val="000000"/>
                <w:sz w:val="24"/>
                <w:szCs w:val="24"/>
              </w:rPr>
            </w:pPr>
            <w:r>
              <w:rPr>
                <w:rFonts w:hint="eastAsia" w:ascii="宋体" w:hAnsi="宋体"/>
                <w:color w:val="000000"/>
                <w:sz w:val="24"/>
                <w:szCs w:val="24"/>
              </w:rPr>
            </w:r>
            <w:r/>
          </w:p>
        </w:tc>
      </w:tr>
    </w:tbl>
    <w:p>
      <w:pPr>
        <w:pStyle w:val="932"/>
        <w:rPr>
          <w:rFonts w:hint="eastAsia" w:ascii="宋体" w:hAnsi="宋体"/>
          <w:color w:val="000000"/>
          <w:sz w:val="24"/>
          <w:szCs w:val="24"/>
        </w:rPr>
      </w:pPr>
      <w:r>
        <w:rPr>
          <w:rFonts w:hint="eastAsia" w:ascii="宋体" w:hAnsi="宋体"/>
          <w:color w:val="000000"/>
          <w:sz w:val="24"/>
          <w:szCs w:val="24"/>
        </w:rPr>
      </w:r>
      <w:r/>
    </w:p>
    <w:p>
      <w:pPr>
        <w:pStyle w:val="997"/>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97"/>
        <w:ind w:firstLine="480"/>
        <w:jc w:val="both"/>
        <w:spacing w:before="0" w:beforeAutospacing="0" w:after="0" w:afterAutospacing="0" w:line="360" w:lineRule="auto"/>
        <w:rPr>
          <w:color w:val="000000"/>
        </w:rPr>
      </w:pPr>
      <w:r>
        <w:rPr>
          <w:rFonts w:hint="eastAsia"/>
          <w:color w:val="000000"/>
        </w:rPr>
        <w:t xml:space="preserve">1.</w:t>
      </w:r>
      <w:r>
        <w:rPr>
          <w:rFonts w:hint="eastAsia"/>
          <w:b/>
          <w:bCs/>
          <w:color w:val="000000"/>
        </w:rPr>
        <w:t xml:space="preserve">投标人须对招标文件商务要求中的实质性要求（打“★”内容）做出明确响应，否则视为无效投标。</w:t>
      </w:r>
      <w:r>
        <w:rPr>
          <w:color w:val="000000"/>
        </w:rPr>
      </w:r>
      <w:r/>
    </w:p>
    <w:p>
      <w:pPr>
        <w:pStyle w:val="997"/>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932"/>
        <w:rPr>
          <w:color w:val="000000"/>
        </w:rPr>
      </w:pPr>
      <w:r>
        <w:rPr>
          <w:color w:val="000000"/>
        </w:rPr>
      </w:r>
      <w:r/>
    </w:p>
    <w:p>
      <w:pPr>
        <w:pStyle w:val="932"/>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1011"/>
        <w:rPr>
          <w:rFonts w:hint="eastAsia" w:ascii="宋体" w:hAnsi="宋体" w:cs="仿宋"/>
          <w:b/>
          <w:bCs/>
          <w:color w:val="000000"/>
          <w:sz w:val="32"/>
          <w:szCs w:val="32"/>
        </w:rPr>
      </w:pPr>
      <w:r>
        <w:rPr>
          <w:rFonts w:hint="eastAsia" w:ascii="宋体" w:hAnsi="宋体" w:cs="仿宋"/>
          <w:b/>
          <w:bCs/>
          <w:color w:val="000000"/>
          <w:sz w:val="32"/>
          <w:szCs w:val="32"/>
        </w:rPr>
      </w:r>
      <w:r/>
    </w:p>
    <w:p>
      <w:pPr>
        <w:pStyle w:val="932"/>
        <w:rPr>
          <w:rFonts w:hint="eastAsia" w:ascii="宋体" w:hAnsi="宋体" w:cs="仿宋"/>
          <w:b/>
          <w:bCs/>
          <w:color w:val="000000"/>
          <w:sz w:val="32"/>
          <w:szCs w:val="32"/>
        </w:rPr>
      </w:pPr>
      <w:r>
        <w:rPr>
          <w:rFonts w:hint="eastAsia" w:ascii="宋体" w:hAnsi="宋体" w:cs="仿宋"/>
          <w:b/>
          <w:bCs/>
          <w:color w:val="000000"/>
          <w:sz w:val="32"/>
          <w:szCs w:val="32"/>
        </w:rPr>
      </w:r>
      <w:r/>
    </w:p>
    <w:p>
      <w:pPr>
        <w:pStyle w:val="1011"/>
        <w:rPr>
          <w:rFonts w:hint="eastAsia"/>
          <w:color w:val="000000"/>
        </w:rPr>
      </w:pPr>
      <w:r>
        <w:rPr>
          <w:rFonts w:hint="eastAsia"/>
          <w:color w:val="000000"/>
        </w:rPr>
      </w:r>
      <w:r/>
    </w:p>
    <w:p>
      <w:pPr>
        <w:pStyle w:val="932"/>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932"/>
        <w:rPr>
          <w:rFonts w:hint="eastAsia" w:ascii="黑体" w:hAnsi="黑体" w:eastAsia="黑体"/>
          <w:iCs/>
          <w:color w:val="000000"/>
          <w:sz w:val="32"/>
          <w:szCs w:val="32"/>
        </w:rPr>
      </w:pPr>
      <w:r>
        <w:rPr>
          <w:rFonts w:hint="eastAsia" w:ascii="黑体" w:hAnsi="黑体" w:eastAsia="黑体"/>
          <w:iCs/>
          <w:color w:val="000000"/>
          <w:sz w:val="32"/>
          <w:szCs w:val="32"/>
        </w:rPr>
        <w:t xml:space="preserve">八、中小企业声明函</w:t>
      </w:r>
      <w:r>
        <w:rPr>
          <w:rFonts w:hint="eastAsia" w:ascii="黑体" w:hAnsi="黑体" w:eastAsia="黑体"/>
          <w:iCs/>
          <w:color w:val="000000"/>
          <w:sz w:val="32"/>
          <w:szCs w:val="32"/>
        </w:rPr>
      </w:r>
      <w:r/>
    </w:p>
    <w:p>
      <w:pPr>
        <w:pStyle w:val="93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93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b/>
          <w:bCs/>
          <w:color w:val="000000"/>
          <w:sz w:val="24"/>
          <w:szCs w:val="24"/>
        </w:rPr>
        <w:t xml:space="preserve">服务全部由符合政策的中小企业承接。</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932"/>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932"/>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932"/>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3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3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1011"/>
        <w:spacing w:line="360" w:lineRule="auto"/>
        <w:rPr>
          <w:rFonts w:hint="eastAsia" w:ascii="宋体" w:hAnsi="宋体"/>
          <w:color w:val="000000"/>
          <w:sz w:val="24"/>
          <w:szCs w:val="24"/>
        </w:rPr>
      </w:pPr>
      <w:r>
        <w:rPr>
          <w:rFonts w:hint="eastAsia" w:ascii="宋体" w:hAnsi="宋体"/>
          <w:color w:val="000000"/>
          <w:sz w:val="24"/>
          <w:szCs w:val="24"/>
        </w:rPr>
      </w:r>
      <w:r/>
    </w:p>
    <w:p>
      <w:pPr>
        <w:pStyle w:val="932"/>
        <w:spacing w:line="360" w:lineRule="auto"/>
        <w:rPr>
          <w:rFonts w:hint="eastAsia"/>
          <w:color w:val="000000"/>
        </w:rPr>
      </w:pPr>
      <w:r>
        <w:rPr>
          <w:rFonts w:hint="eastAsia"/>
          <w:color w:val="000000"/>
        </w:rPr>
      </w:r>
      <w:r/>
    </w:p>
    <w:p>
      <w:pPr>
        <w:pStyle w:val="932"/>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32"/>
        <w:ind w:firstLine="6000"/>
        <w:spacing w:line="360" w:lineRule="auto"/>
        <w:widowControl/>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32"/>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932"/>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932"/>
        <w:ind w:firstLine="480"/>
        <w:spacing w:line="360" w:lineRule="auto"/>
        <w:rPr>
          <w:rFonts w:hint="eastAsia" w:ascii="宋体" w:hAnsi="宋体"/>
          <w:b/>
          <w:bCs/>
          <w:color w:val="000000"/>
          <w:sz w:val="24"/>
          <w:szCs w:val="24"/>
        </w:rPr>
      </w:pPr>
      <w:r>
        <w:rPr>
          <w:rFonts w:hint="eastAsia" w:ascii="宋体" w:hAnsi="宋体"/>
          <w:color w:val="000000"/>
          <w:sz w:val="24"/>
          <w:szCs w:val="24"/>
        </w:rPr>
        <w:t xml:space="preserve">2.</w:t>
      </w:r>
      <w:r>
        <w:rPr>
          <w:rFonts w:hint="eastAsia" w:ascii="宋体" w:hAnsi="宋体"/>
          <w:b/>
          <w:bCs/>
          <w:color w:val="000000"/>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color w:val="000000"/>
          <w:sz w:val="24"/>
          <w:szCs w:val="24"/>
        </w:rPr>
        <w:t xml:space="preserve">项目</w:t>
      </w:r>
      <w:r>
        <w:rPr>
          <w:rFonts w:hint="eastAsia" w:ascii="宋体" w:hAnsi="宋体"/>
          <w:b/>
          <w:bCs/>
          <w:color w:val="000000"/>
          <w:sz w:val="24"/>
          <w:szCs w:val="24"/>
        </w:rPr>
        <w:t xml:space="preserve">清单”中的“服务”产品需在此声明函中的“标的名称”中全部列明，并填写承接企业的具体情况。</w:t>
      </w:r>
      <w:r>
        <w:rPr>
          <w:rFonts w:hint="eastAsia" w:ascii="宋体" w:hAnsi="宋体"/>
          <w:b/>
          <w:bCs/>
          <w:color w:val="000000"/>
          <w:sz w:val="24"/>
          <w:szCs w:val="24"/>
        </w:rPr>
      </w:r>
      <w:r/>
    </w:p>
    <w:p>
      <w:pPr>
        <w:pStyle w:val="932"/>
        <w:jc w:val="left"/>
        <w:spacing w:line="360" w:lineRule="auto"/>
        <w:rPr>
          <w:rFonts w:hint="eastAsia" w:ascii="黑体" w:hAnsi="黑体" w:eastAsia="黑体"/>
          <w:color w:val="000000"/>
          <w:sz w:val="32"/>
          <w:szCs w:val="32"/>
        </w:rPr>
      </w:pPr>
      <w:r>
        <w:rPr>
          <w:rFonts w:hint="eastAsia" w:ascii="宋体" w:hAnsi="宋体"/>
          <w:b/>
          <w:bCs/>
          <w:color w:val="000000"/>
          <w:sz w:val="24"/>
          <w:szCs w:val="24"/>
        </w:rPr>
        <w:br w:type="page" w:clear="all"/>
      </w:r>
      <w:r>
        <w:rPr>
          <w:rFonts w:hint="eastAsia" w:ascii="黑体" w:hAnsi="黑体" w:eastAsia="黑体"/>
          <w:iCs/>
          <w:color w:val="000000"/>
          <w:sz w:val="32"/>
          <w:szCs w:val="32"/>
        </w:rPr>
        <w:t xml:space="preserve">九、</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932"/>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932"/>
        <w:ind w:firstLine="480"/>
        <w:spacing w:line="36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rPr>
        <w:t xml:space="preserve">。</w:t>
      </w:r>
      <w:r>
        <w:rPr>
          <w:rFonts w:hint="eastAsia" w:ascii="宋体" w:hAnsi="宋体"/>
          <w:color w:val="000000"/>
          <w:sz w:val="24"/>
        </w:rPr>
      </w:r>
      <w:r/>
    </w:p>
    <w:p>
      <w:pPr>
        <w:pStyle w:val="932"/>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1011"/>
        <w:spacing w:line="360" w:lineRule="auto"/>
        <w:rPr>
          <w:rFonts w:hint="eastAsia" w:ascii="宋体" w:hAnsi="宋体"/>
          <w:color w:val="000000"/>
          <w:sz w:val="24"/>
          <w:szCs w:val="24"/>
        </w:rPr>
      </w:pPr>
      <w:r>
        <w:rPr>
          <w:rFonts w:hint="eastAsia" w:ascii="宋体" w:hAnsi="宋体"/>
          <w:color w:val="000000"/>
          <w:sz w:val="24"/>
          <w:szCs w:val="24"/>
        </w:rPr>
      </w:r>
      <w:r/>
    </w:p>
    <w:p>
      <w:pPr>
        <w:pStyle w:val="932"/>
        <w:spacing w:line="360" w:lineRule="auto"/>
        <w:rPr>
          <w:rFonts w:hint="eastAsia"/>
          <w:color w:val="000000"/>
        </w:rPr>
      </w:pPr>
      <w:r>
        <w:rPr>
          <w:rFonts w:hint="eastAsia"/>
          <w:color w:val="000000"/>
        </w:rPr>
      </w:r>
      <w:r/>
    </w:p>
    <w:p>
      <w:pPr>
        <w:pStyle w:val="932"/>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932"/>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32"/>
        <w:ind w:firstLine="480"/>
        <w:spacing w:line="480" w:lineRule="exact"/>
        <w:rPr>
          <w:rFonts w:ascii="宋体" w:hAnsi="宋体"/>
          <w:color w:val="000000"/>
          <w:sz w:val="24"/>
        </w:rPr>
      </w:pPr>
      <w:r>
        <w:rPr>
          <w:rFonts w:ascii="宋体" w:hAnsi="宋体"/>
          <w:color w:val="000000"/>
          <w:sz w:val="24"/>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32"/>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32"/>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932"/>
        <w:jc w:val="center"/>
        <w:widowControl/>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br w:type="page" w:clear="all"/>
      </w: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93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32"/>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32"/>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2"/>
        <w:rPr>
          <w:rFonts w:hint="eastAsia" w:ascii="宋体" w:hAnsi="宋体"/>
          <w:color w:val="000000"/>
          <w:sz w:val="24"/>
          <w:szCs w:val="24"/>
        </w:rPr>
      </w:pPr>
      <w:r>
        <w:rPr>
          <w:rFonts w:hint="eastAsia" w:ascii="宋体" w:hAnsi="宋体"/>
          <w:color w:val="000000"/>
          <w:sz w:val="24"/>
          <w:szCs w:val="24"/>
        </w:rPr>
      </w:r>
      <w:r/>
    </w:p>
    <w:p>
      <w:pPr>
        <w:pStyle w:val="932"/>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932"/>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932"/>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32"/>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932"/>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93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93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93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93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93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932"/>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28301"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28300" cy="301572"/>
                      </a:xfrm>
                      <a:prstGeom prst="rect">
                        <a:avLst/>
                      </a:prstGeom>
                      <a:noFill/>
                      <a:ln>
                        <a:noFill/>
                      </a:ln>
                    </wps:spPr>
                    <wps:txbx>
                      <w:txbxContent>
                        <w:p>
                          <w:pPr>
                            <w:pStyle w:val="982"/>
                            <w:tabs>
                              <w:tab w:val="clear" w:pos="4153" w:leader="none"/>
                              <w:tab w:val="clear" w:pos="8306" w:leader="none"/>
                            </w:tabs>
                            <w:rPr>
                              <w:rStyle w:val="1005"/>
                              <w:rFonts w:ascii="宋体" w:hAnsi="宋体"/>
                            </w:rPr>
                          </w:pPr>
                          <w:r>
                            <w:rPr>
                              <w:rFonts w:ascii="宋体" w:hAnsi="宋体"/>
                            </w:rPr>
                            <w:fldChar w:fldCharType="begin"/>
                          </w:r>
                          <w:r>
                            <w:rPr>
                              <w:rStyle w:val="1005"/>
                              <w:rFonts w:ascii="宋体" w:hAnsi="宋体"/>
                            </w:rPr>
                            <w:instrText xml:space="preserve">PAGE  </w:instrText>
                          </w:r>
                          <w:r>
                            <w:rPr>
                              <w:rFonts w:ascii="宋体" w:hAnsi="宋体"/>
                            </w:rPr>
                            <w:fldChar w:fldCharType="separate"/>
                          </w:r>
                          <w:r>
                            <w:rPr>
                              <w:rStyle w:val="1005"/>
                              <w:rFonts w:ascii="宋体" w:hAnsi="宋体"/>
                            </w:rPr>
                            <w:t xml:space="preserve">３５</w:t>
                          </w:r>
                          <w:r>
                            <w:rPr>
                              <w:rFonts w:ascii="宋体" w:hAnsi="宋体"/>
                            </w:rPr>
                            <w:fldChar w:fldCharType="end"/>
                          </w:r>
                          <w:r>
                            <w:rPr>
                              <w:rStyle w:val="1005"/>
                              <w:rFonts w:ascii="宋体" w:hAnsi="宋体"/>
                            </w:rPr>
                          </w:r>
                          <w:r/>
                        </w:p>
                        <w:p>
                          <w:pPr>
                            <w:pStyle w:val="932"/>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1pt;height:23.7pt;mso-wrap-distance-left:9.0pt;mso-wrap-distance-top:0.0pt;mso-wrap-distance-right:9.0pt;mso-wrap-distance-bottom:0.0pt;visibility:visible;" filled="f" stroked="f">
              <v:textbox inset="0,0,0,0">
                <w:txbxContent>
                  <w:p>
                    <w:pPr>
                      <w:pStyle w:val="982"/>
                      <w:tabs>
                        <w:tab w:val="clear" w:pos="4153" w:leader="none"/>
                        <w:tab w:val="clear" w:pos="8306" w:leader="none"/>
                      </w:tabs>
                      <w:rPr>
                        <w:rStyle w:val="1005"/>
                        <w:rFonts w:ascii="宋体" w:hAnsi="宋体"/>
                      </w:rPr>
                    </w:pPr>
                    <w:r>
                      <w:rPr>
                        <w:rFonts w:ascii="宋体" w:hAnsi="宋体"/>
                      </w:rPr>
                      <w:fldChar w:fldCharType="begin"/>
                    </w:r>
                    <w:r>
                      <w:rPr>
                        <w:rStyle w:val="1005"/>
                        <w:rFonts w:ascii="宋体" w:hAnsi="宋体"/>
                      </w:rPr>
                      <w:instrText xml:space="preserve">PAGE  </w:instrText>
                    </w:r>
                    <w:r>
                      <w:rPr>
                        <w:rFonts w:ascii="宋体" w:hAnsi="宋体"/>
                      </w:rPr>
                      <w:fldChar w:fldCharType="separate"/>
                    </w:r>
                    <w:r>
                      <w:rPr>
                        <w:rStyle w:val="1005"/>
                        <w:rFonts w:ascii="宋体" w:hAnsi="宋体"/>
                      </w:rPr>
                      <w:t xml:space="preserve">３５</w:t>
                    </w:r>
                    <w:r>
                      <w:rPr>
                        <w:rFonts w:ascii="宋体" w:hAnsi="宋体"/>
                      </w:rPr>
                      <w:fldChar w:fldCharType="end"/>
                    </w:r>
                    <w:r>
                      <w:rPr>
                        <w:rStyle w:val="1005"/>
                        <w:rFonts w:ascii="宋体" w:hAnsi="宋体"/>
                      </w:rPr>
                    </w:r>
                    <w:r/>
                  </w:p>
                  <w:p>
                    <w:pPr>
                      <w:pStyle w:val="93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1</w:t>
    </w:r>
    <w:r>
      <w:fldChar w:fldCharType="end"/>
    </w:r>
    <w:r>
      <w:rPr>
        <w:rStyle w:val="1005"/>
      </w:rPr>
    </w:r>
    <w:r/>
  </w:p>
  <w:p>
    <w:pPr>
      <w:pStyle w:val="98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pPr>
                          <w:r>
                            <w:fldChar w:fldCharType="begin"/>
                          </w:r>
                          <w:r>
                            <w:instrText xml:space="preserve"> PAGE  \* MERGEFORMAT </w:instrText>
                          </w:r>
                          <w:r>
                            <w:fldChar w:fldCharType="separate"/>
                          </w:r>
                          <w:r>
                            <w:t xml:space="preserve">1</w:t>
                          </w:r>
                          <w:r>
                            <w:fldChar w:fldCharType="end"/>
                          </w:r>
                          <w:r/>
                        </w:p>
                        <w:p>
                          <w:pPr>
                            <w:pStyle w:val="9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fldChar w:fldCharType="begin"/>
                    </w:r>
                    <w:r>
                      <w:instrText xml:space="preserve"> PAGE  \* MERGEFORMAT </w:instrText>
                    </w:r>
                    <w:r>
                      <w:fldChar w:fldCharType="separate"/>
                    </w:r>
                    <w:r>
                      <w:t xml:space="preserve">1</w:t>
                    </w:r>
                    <w:r>
                      <w:fldChar w:fldCharType="end"/>
                    </w:r>
                    <w:r/>
                  </w:p>
                  <w:p>
                    <w:pPr>
                      <w:pStyle w:val="9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2"/>
        <w:ind w:left="1440" w:hanging="360"/>
      </w:pPr>
      <w:rPr>
        <w:rFonts w:ascii="Courier New" w:hAnsi="Courier New" w:eastAsia="Courier New" w:cs="Courier New"/>
      </w:rPr>
    </w:lvl>
    <w:lvl w:ilvl="2">
      <w:start w:val="1"/>
      <w:numFmt w:val="bullet"/>
      <w:isLgl w:val="false"/>
      <w:suff w:val="tab"/>
      <w:lvlText w:val="§"/>
      <w:lvlJc w:val="left"/>
      <w:pPr>
        <w:pStyle w:val="932"/>
        <w:ind w:left="2160" w:hanging="360"/>
      </w:pPr>
      <w:rPr>
        <w:rFonts w:ascii="Wingdings" w:hAnsi="Wingdings" w:eastAsia="Wingdings" w:cs="Wingdings"/>
      </w:rPr>
    </w:lvl>
    <w:lvl w:ilvl="3">
      <w:start w:val="1"/>
      <w:numFmt w:val="bullet"/>
      <w:isLgl w:val="false"/>
      <w:suff w:val="tab"/>
      <w:lvlText w:val="·"/>
      <w:lvlJc w:val="left"/>
      <w:pPr>
        <w:pStyle w:val="932"/>
        <w:ind w:left="2880" w:hanging="360"/>
      </w:pPr>
      <w:rPr>
        <w:rFonts w:ascii="Symbol" w:hAnsi="Symbol" w:eastAsia="Symbol" w:cs="Symbol"/>
      </w:rPr>
    </w:lvl>
    <w:lvl w:ilvl="4">
      <w:start w:val="1"/>
      <w:numFmt w:val="bullet"/>
      <w:isLgl w:val="false"/>
      <w:suff w:val="tab"/>
      <w:lvlText w:val="o"/>
      <w:lvlJc w:val="left"/>
      <w:pPr>
        <w:pStyle w:val="932"/>
        <w:ind w:left="3600" w:hanging="360"/>
      </w:pPr>
      <w:rPr>
        <w:rFonts w:ascii="Courier New" w:hAnsi="Courier New" w:eastAsia="Courier New" w:cs="Courier New"/>
      </w:rPr>
    </w:lvl>
    <w:lvl w:ilvl="5">
      <w:start w:val="1"/>
      <w:numFmt w:val="bullet"/>
      <w:isLgl w:val="false"/>
      <w:suff w:val="tab"/>
      <w:lvlText w:val="§"/>
      <w:lvlJc w:val="left"/>
      <w:pPr>
        <w:pStyle w:val="932"/>
        <w:ind w:left="4320" w:hanging="360"/>
      </w:pPr>
      <w:rPr>
        <w:rFonts w:ascii="Wingdings" w:hAnsi="Wingdings" w:eastAsia="Wingdings" w:cs="Wingdings"/>
      </w:rPr>
    </w:lvl>
    <w:lvl w:ilvl="6">
      <w:start w:val="1"/>
      <w:numFmt w:val="bullet"/>
      <w:isLgl w:val="false"/>
      <w:suff w:val="tab"/>
      <w:lvlText w:val="·"/>
      <w:lvlJc w:val="left"/>
      <w:pPr>
        <w:pStyle w:val="932"/>
        <w:ind w:left="5040" w:hanging="360"/>
      </w:pPr>
      <w:rPr>
        <w:rFonts w:ascii="Symbol" w:hAnsi="Symbol" w:eastAsia="Symbol" w:cs="Symbol"/>
      </w:rPr>
    </w:lvl>
    <w:lvl w:ilvl="7">
      <w:start w:val="1"/>
      <w:numFmt w:val="bullet"/>
      <w:isLgl w:val="false"/>
      <w:suff w:val="tab"/>
      <w:lvlText w:val="o"/>
      <w:lvlJc w:val="left"/>
      <w:pPr>
        <w:pStyle w:val="932"/>
        <w:ind w:left="5760" w:hanging="360"/>
      </w:pPr>
      <w:rPr>
        <w:rFonts w:ascii="Courier New" w:hAnsi="Courier New" w:eastAsia="Courier New" w:cs="Courier New"/>
      </w:rPr>
    </w:lvl>
    <w:lvl w:ilvl="8">
      <w:start w:val="1"/>
      <w:numFmt w:val="bullet"/>
      <w:isLgl w:val="false"/>
      <w:suff w:val="tab"/>
      <w:lvlText w:val="§"/>
      <w:lvlJc w:val="left"/>
      <w:pPr>
        <w:pStyle w:val="932"/>
        <w:ind w:left="6480" w:hanging="360"/>
      </w:pPr>
      <w:rPr>
        <w:rFonts w:ascii="Wingdings" w:hAnsi="Wingdings" w:eastAsia="Wingdings" w:cs="Wingdings"/>
      </w:rPr>
    </w:lvl>
  </w:abstractNum>
  <w:abstractNum w:abstractNumId="1">
    <w:multiLevelType w:val="hybridMultilevel"/>
    <w:lvl w:ilvl="0">
      <w:start w:val="1"/>
      <w:numFmt w:val="upperLetter"/>
      <w:pStyle w:val="1020"/>
      <w:isLgl w:val="false"/>
      <w:suff w:val="tab"/>
      <w:lvlText w:val="附录%1."/>
      <w:lvlJc w:val="left"/>
      <w:pPr>
        <w:pStyle w:val="9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7"/>
      <w:isLgl w:val="false"/>
      <w:suff w:val="tab"/>
      <w:lvlText w:val="%1."/>
      <w:lvlJc w:val="left"/>
      <w:pPr>
        <w:pStyle w:val="932"/>
        <w:ind w:left="709" w:hanging="709"/>
        <w:tabs>
          <w:tab w:val="num" w:pos="709" w:leader="none"/>
        </w:tabs>
      </w:pPr>
      <w:rPr>
        <w:rFonts w:hint="eastAsia"/>
      </w:rPr>
    </w:lvl>
    <w:lvl w:ilvl="1">
      <w:start w:val="1"/>
      <w:numFmt w:val="decimal"/>
      <w:isLgl w:val="false"/>
      <w:suff w:val="tab"/>
      <w:lvlText w:val="%1.%2"/>
      <w:lvlJc w:val="left"/>
      <w:pPr>
        <w:pStyle w:val="932"/>
        <w:ind w:left="709" w:hanging="709"/>
        <w:tabs>
          <w:tab w:val="num" w:pos="709" w:leader="none"/>
        </w:tabs>
      </w:pPr>
      <w:rPr>
        <w:rFonts w:hint="eastAsia"/>
      </w:rPr>
    </w:lvl>
    <w:lvl w:ilvl="2">
      <w:start w:val="1"/>
      <w:numFmt w:val="decimal"/>
      <w:isLgl w:val="false"/>
      <w:suff w:val="tab"/>
      <w:lvlText w:val="%1.%2.%3."/>
      <w:lvlJc w:val="left"/>
      <w:pPr>
        <w:pStyle w:val="932"/>
        <w:ind w:left="425" w:hanging="425"/>
        <w:tabs>
          <w:tab w:val="num" w:pos="425" w:leader="none"/>
        </w:tabs>
      </w:pPr>
      <w:rPr>
        <w:rFonts w:hint="eastAsia"/>
      </w:rPr>
    </w:lvl>
    <w:lvl w:ilvl="3">
      <w:start w:val="1"/>
      <w:numFmt w:val="decimal"/>
      <w:isLgl w:val="false"/>
      <w:suff w:val="tab"/>
      <w:lvlText w:val="%1.%2.%3.%4."/>
      <w:lvlJc w:val="left"/>
      <w:pPr>
        <w:pStyle w:val="932"/>
        <w:ind w:left="851" w:hanging="851"/>
        <w:tabs>
          <w:tab w:val="num" w:pos="851" w:leader="none"/>
        </w:tabs>
      </w:pPr>
      <w:rPr>
        <w:rFonts w:hint="eastAsia"/>
      </w:rPr>
    </w:lvl>
    <w:lvl w:ilvl="4">
      <w:start w:val="1"/>
      <w:numFmt w:val="decimal"/>
      <w:isLgl w:val="false"/>
      <w:suff w:val="tab"/>
      <w:lvlText w:val="%1.%2.%3.%4.%5."/>
      <w:lvlJc w:val="left"/>
      <w:pPr>
        <w:pStyle w:val="932"/>
        <w:ind w:left="992" w:hanging="992"/>
        <w:tabs>
          <w:tab w:val="num" w:pos="992" w:leader="none"/>
        </w:tabs>
      </w:pPr>
      <w:rPr>
        <w:rFonts w:hint="eastAsia"/>
      </w:rPr>
    </w:lvl>
    <w:lvl w:ilvl="5">
      <w:start w:val="1"/>
      <w:numFmt w:val="decimal"/>
      <w:isLgl w:val="false"/>
      <w:suff w:val="tab"/>
      <w:lvlText w:val="%1.%2.%3.%4.%5.%6."/>
      <w:lvlJc w:val="left"/>
      <w:pPr>
        <w:pStyle w:val="932"/>
        <w:ind w:left="1134" w:hanging="1134"/>
        <w:tabs>
          <w:tab w:val="num" w:pos="1134" w:leader="none"/>
        </w:tabs>
      </w:pPr>
      <w:rPr>
        <w:rFonts w:hint="eastAsia"/>
      </w:rPr>
    </w:lvl>
    <w:lvl w:ilvl="6">
      <w:start w:val="1"/>
      <w:numFmt w:val="decimal"/>
      <w:isLgl w:val="false"/>
      <w:suff w:val="tab"/>
      <w:lvlText w:val="%1.%2.%3.%4.%5.%6.%7."/>
      <w:lvlJc w:val="left"/>
      <w:pPr>
        <w:pStyle w:val="932"/>
        <w:ind w:left="1276" w:hanging="1276"/>
        <w:tabs>
          <w:tab w:val="num" w:pos="1276" w:leader="none"/>
        </w:tabs>
      </w:pPr>
      <w:rPr>
        <w:rFonts w:hint="eastAsia"/>
      </w:rPr>
    </w:lvl>
    <w:lvl w:ilvl="7">
      <w:start w:val="1"/>
      <w:numFmt w:val="decimal"/>
      <w:isLgl w:val="false"/>
      <w:suff w:val="tab"/>
      <w:lvlText w:val="%1.%2.%3.%4.%5.%6.%7.%8."/>
      <w:lvlJc w:val="left"/>
      <w:pPr>
        <w:pStyle w:val="932"/>
        <w:ind w:left="1418" w:hanging="1418"/>
        <w:tabs>
          <w:tab w:val="num" w:pos="1418" w:leader="none"/>
        </w:tabs>
      </w:pPr>
      <w:rPr>
        <w:rFonts w:hint="eastAsia"/>
      </w:rPr>
    </w:lvl>
    <w:lvl w:ilvl="8">
      <w:start w:val="1"/>
      <w:numFmt w:val="decimal"/>
      <w:isLgl w:val="false"/>
      <w:suff w:val="tab"/>
      <w:lvlText w:val="%1.%2.%3.%4.%5.%6.%7.%8.%9."/>
      <w:lvlJc w:val="left"/>
      <w:pPr>
        <w:pStyle w:val="932"/>
        <w:ind w:left="1559" w:hanging="1559"/>
        <w:tabs>
          <w:tab w:val="num" w:pos="1559" w:leader="none"/>
        </w:tabs>
      </w:pPr>
      <w:rPr>
        <w:rFonts w:hint="eastAsia"/>
      </w:rPr>
    </w:lvl>
  </w:abstractNum>
  <w:abstractNum w:abstractNumId="4">
    <w:multiLevelType w:val="hybridMultilevel"/>
    <w:lvl w:ilvl="0">
      <w:start w:val="1"/>
      <w:numFmt w:val="decimal"/>
      <w:isLgl w:val="false"/>
      <w:suff w:val="space"/>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932"/>
        <w:ind w:left="0" w:firstLine="0"/>
      </w:pPr>
      <w:rPr>
        <w:rFonts w:hint="eastAsia"/>
      </w:rPr>
    </w:lvl>
    <w:lvl w:ilvl="1">
      <w:start w:val="1"/>
      <w:numFmt w:val="decimal"/>
      <w:isLgl w:val="false"/>
      <w:suff w:val="nothing"/>
      <w:lvlText w:val="%2、"/>
      <w:lvlJc w:val="left"/>
      <w:pPr>
        <w:pStyle w:val="932"/>
        <w:ind w:left="0" w:firstLine="0"/>
      </w:pPr>
      <w:rPr>
        <w:rFonts w:hint="eastAsia"/>
      </w:rPr>
    </w:lvl>
    <w:lvl w:ilvl="2">
      <w:start w:val="1"/>
      <w:numFmt w:val="decimal"/>
      <w:isLgl w:val="false"/>
      <w:suff w:val="nothing"/>
      <w:lvlText w:val="%2.%3 "/>
      <w:lvlJc w:val="left"/>
      <w:pPr>
        <w:pStyle w:val="932"/>
        <w:ind w:left="0" w:firstLine="0"/>
      </w:pPr>
      <w:rPr>
        <w:rFonts w:hint="eastAsia"/>
      </w:rPr>
    </w:lvl>
    <w:lvl w:ilvl="3">
      <w:start w:val="1"/>
      <w:numFmt w:val="decimal"/>
      <w:isLgl w:val="false"/>
      <w:suff w:val="nothing"/>
      <w:lvlText w:val="%2.%3.%4 "/>
      <w:lvlJc w:val="left"/>
      <w:pPr>
        <w:pStyle w:val="932"/>
        <w:ind w:left="0" w:firstLine="0"/>
      </w:pPr>
      <w:rPr>
        <w:rFonts w:hint="eastAsia"/>
      </w:rPr>
    </w:lvl>
    <w:lvl w:ilvl="4">
      <w:start w:val="1"/>
      <w:numFmt w:val="decimal"/>
      <w:isLgl w:val="false"/>
      <w:suff w:val="nothing"/>
      <w:lvlText w:val="%2.%3.%4.%5 "/>
      <w:lvlJc w:val="left"/>
      <w:pPr>
        <w:pStyle w:val="932"/>
        <w:ind w:left="0" w:firstLine="0"/>
      </w:pPr>
      <w:rPr>
        <w:rFonts w:hint="eastAsia"/>
      </w:rPr>
    </w:lvl>
    <w:lvl w:ilvl="5">
      <w:start w:val="1"/>
      <w:numFmt w:val="decimal"/>
      <w:pStyle w:val="938"/>
      <w:isLgl w:val="false"/>
      <w:suff w:val="nothing"/>
      <w:lvlText w:val=""/>
      <w:lvlJc w:val="left"/>
      <w:pPr>
        <w:pStyle w:val="932"/>
        <w:ind w:left="0" w:firstLine="0"/>
      </w:pPr>
      <w:rPr>
        <w:rFonts w:hint="eastAsia"/>
      </w:rPr>
    </w:lvl>
    <w:lvl w:ilvl="6">
      <w:start w:val="1"/>
      <w:numFmt w:val="decimal"/>
      <w:pStyle w:val="939"/>
      <w:isLgl w:val="false"/>
      <w:suff w:val="nothing"/>
      <w:lvlText w:val=""/>
      <w:lvlJc w:val="left"/>
      <w:pPr>
        <w:pStyle w:val="932"/>
        <w:ind w:left="0" w:firstLine="0"/>
      </w:pPr>
      <w:rPr>
        <w:rFonts w:hint="eastAsia"/>
      </w:rPr>
    </w:lvl>
    <w:lvl w:ilvl="7">
      <w:start w:val="1"/>
      <w:numFmt w:val="decimal"/>
      <w:pStyle w:val="940"/>
      <w:isLgl w:val="false"/>
      <w:suff w:val="nothing"/>
      <w:lvlText w:val=""/>
      <w:lvlJc w:val="left"/>
      <w:pPr>
        <w:pStyle w:val="932"/>
        <w:ind w:left="0" w:firstLine="0"/>
      </w:pPr>
      <w:rPr>
        <w:rFonts w:hint="eastAsia"/>
      </w:rPr>
    </w:lvl>
    <w:lvl w:ilvl="8">
      <w:start w:val="1"/>
      <w:numFmt w:val="decimal"/>
      <w:pStyle w:val="941"/>
      <w:isLgl w:val="false"/>
      <w:suff w:val="nothing"/>
      <w:lvlText w:val=""/>
      <w:lvlJc w:val="left"/>
      <w:pPr>
        <w:pStyle w:val="932"/>
        <w:ind w:left="0" w:firstLine="0"/>
      </w:pPr>
      <w:rPr>
        <w:rFonts w:hint="eastAsia"/>
      </w:r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2"/>
    <w:next w:val="932"/>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2"/>
    <w:next w:val="932"/>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2"/>
    <w:next w:val="932"/>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2"/>
    <w:next w:val="932"/>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2"/>
    <w:next w:val="932"/>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2"/>
    <w:next w:val="932"/>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2"/>
    <w:next w:val="932"/>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2"/>
    <w:next w:val="932"/>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2"/>
    <w:next w:val="932"/>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32"/>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44"/>
    <w:link w:val="932"/>
    <w:qFormat/>
    <w:pPr>
      <w:jc w:val="both"/>
      <w:widowControl w:val="off"/>
    </w:pPr>
    <w:rPr>
      <w:sz w:val="21"/>
      <w:szCs w:val="21"/>
      <w:lang w:val="en-US" w:eastAsia="zh-CN" w:bidi="ar-SA"/>
    </w:rPr>
  </w:style>
  <w:style w:type="paragraph" w:styleId="933">
    <w:name w:val="标题 1"/>
    <w:basedOn w:val="932"/>
    <w:next w:val="932"/>
    <w:link w:val="949"/>
    <w:qFormat/>
    <w:pPr>
      <w:jc w:val="center"/>
      <w:keepNext/>
      <w:outlineLvl w:val="0"/>
    </w:pPr>
    <w:rPr>
      <w:rFonts w:ascii="楷体_GB2312" w:eastAsia="楷体_GB2312"/>
      <w:sz w:val="28"/>
      <w:szCs w:val="28"/>
    </w:rPr>
  </w:style>
  <w:style w:type="paragraph" w:styleId="934">
    <w:name w:val="标题 2"/>
    <w:basedOn w:val="932"/>
    <w:next w:val="951"/>
    <w:link w:val="950"/>
    <w:qFormat/>
    <w:pPr>
      <w:jc w:val="center"/>
      <w:keepLines/>
      <w:keepNext/>
      <w:spacing w:before="260" w:after="260" w:line="416" w:lineRule="auto"/>
      <w:outlineLvl w:val="1"/>
    </w:pPr>
    <w:rPr>
      <w:rFonts w:ascii="Arial" w:hAnsi="Arial" w:eastAsia="幼圆" w:cs="Arial"/>
      <w:b/>
      <w:bCs/>
      <w:sz w:val="44"/>
      <w:szCs w:val="44"/>
    </w:rPr>
  </w:style>
  <w:style w:type="paragraph" w:styleId="935">
    <w:name w:val="标题 3"/>
    <w:basedOn w:val="932"/>
    <w:next w:val="951"/>
    <w:link w:val="953"/>
    <w:qFormat/>
    <w:pPr>
      <w:keepLines/>
      <w:keepNext/>
      <w:spacing w:before="260" w:after="260" w:line="416" w:lineRule="auto"/>
      <w:outlineLvl w:val="2"/>
    </w:pPr>
    <w:rPr>
      <w:b/>
      <w:bCs/>
      <w:sz w:val="32"/>
      <w:szCs w:val="32"/>
    </w:rPr>
  </w:style>
  <w:style w:type="paragraph" w:styleId="936">
    <w:name w:val="标题 4"/>
    <w:basedOn w:val="932"/>
    <w:next w:val="951"/>
    <w:link w:val="954"/>
    <w:qFormat/>
    <w:pPr>
      <w:keepLines/>
      <w:keepNext/>
      <w:spacing w:before="280" w:after="290" w:line="376" w:lineRule="auto"/>
      <w:outlineLvl w:val="3"/>
    </w:pPr>
    <w:rPr>
      <w:rFonts w:ascii="Arial" w:hAnsi="Arial" w:eastAsia="黑体" w:cs="Arial"/>
      <w:b/>
      <w:bCs/>
      <w:sz w:val="28"/>
      <w:szCs w:val="28"/>
    </w:rPr>
  </w:style>
  <w:style w:type="paragraph" w:styleId="937">
    <w:name w:val="标题 5"/>
    <w:basedOn w:val="932"/>
    <w:next w:val="951"/>
    <w:link w:val="955"/>
    <w:qFormat/>
    <w:pPr>
      <w:keepNext/>
      <w:outlineLvl w:val="4"/>
    </w:pPr>
    <w:rPr>
      <w:rFonts w:ascii="宋体"/>
      <w:color w:val="000000"/>
      <w:sz w:val="28"/>
      <w:szCs w:val="28"/>
    </w:rPr>
  </w:style>
  <w:style w:type="paragraph" w:styleId="938">
    <w:name w:val="标题 6"/>
    <w:basedOn w:val="932"/>
    <w:next w:val="932"/>
    <w:link w:val="956"/>
    <w:qFormat/>
    <w:pPr>
      <w:numPr>
        <w:ilvl w:val="5"/>
        <w:numId w:val="1"/>
      </w:numPr>
      <w:keepLines/>
      <w:keepNext/>
      <w:spacing w:before="240" w:after="64" w:line="320" w:lineRule="auto"/>
      <w:outlineLvl w:val="5"/>
    </w:pPr>
    <w:rPr>
      <w:rFonts w:ascii="Arial" w:hAnsi="Arial" w:eastAsia="黑体"/>
      <w:b/>
      <w:bCs/>
      <w:sz w:val="24"/>
      <w:szCs w:val="24"/>
    </w:rPr>
  </w:style>
  <w:style w:type="paragraph" w:styleId="939">
    <w:name w:val="标题 7"/>
    <w:basedOn w:val="932"/>
    <w:next w:val="932"/>
    <w:link w:val="957"/>
    <w:qFormat/>
    <w:pPr>
      <w:numPr>
        <w:ilvl w:val="6"/>
        <w:numId w:val="1"/>
      </w:numPr>
      <w:keepLines/>
      <w:keepNext/>
      <w:spacing w:before="240" w:after="64" w:line="320" w:lineRule="auto"/>
      <w:outlineLvl w:val="6"/>
    </w:pPr>
    <w:rPr>
      <w:b/>
      <w:bCs/>
      <w:sz w:val="24"/>
      <w:szCs w:val="24"/>
    </w:rPr>
  </w:style>
  <w:style w:type="paragraph" w:styleId="940">
    <w:name w:val="标题 8"/>
    <w:basedOn w:val="932"/>
    <w:next w:val="932"/>
    <w:link w:val="958"/>
    <w:qFormat/>
    <w:pPr>
      <w:numPr>
        <w:ilvl w:val="7"/>
        <w:numId w:val="1"/>
      </w:numPr>
      <w:keepLines/>
      <w:keepNext/>
      <w:spacing w:before="240" w:after="64" w:line="320" w:lineRule="auto"/>
      <w:outlineLvl w:val="7"/>
    </w:pPr>
    <w:rPr>
      <w:rFonts w:ascii="Arial" w:hAnsi="Arial" w:eastAsia="黑体"/>
      <w:sz w:val="24"/>
      <w:szCs w:val="24"/>
    </w:rPr>
  </w:style>
  <w:style w:type="paragraph" w:styleId="941">
    <w:name w:val="标题 9"/>
    <w:basedOn w:val="932"/>
    <w:next w:val="932"/>
    <w:link w:val="959"/>
    <w:qFormat/>
    <w:pPr>
      <w:numPr>
        <w:ilvl w:val="8"/>
        <w:numId w:val="1"/>
      </w:numPr>
      <w:keepLines/>
      <w:keepNext/>
      <w:spacing w:before="240" w:after="64" w:line="320" w:lineRule="auto"/>
      <w:outlineLvl w:val="8"/>
    </w:pPr>
    <w:rPr>
      <w:rFonts w:ascii="Arial" w:hAnsi="Arial" w:eastAsia="黑体"/>
    </w:rPr>
  </w:style>
  <w:style w:type="character" w:styleId="942">
    <w:name w:val="默认段落字体"/>
    <w:next w:val="942"/>
    <w:link w:val="932"/>
    <w:uiPriority w:val="1"/>
    <w:unhideWhenUsed/>
  </w:style>
  <w:style w:type="table" w:styleId="943">
    <w:name w:val="普通表格"/>
    <w:next w:val="943"/>
    <w:link w:val="932"/>
    <w:uiPriority w:val="99"/>
    <w:unhideWhenUsed/>
    <w:tblPr/>
  </w:style>
  <w:style w:type="paragraph" w:styleId="944">
    <w:name w:val="正文首行缩进 2"/>
    <w:basedOn w:val="945"/>
    <w:next w:val="932"/>
    <w:link w:val="948"/>
    <w:pPr>
      <w:ind w:firstLine="420"/>
      <w:spacing w:line="360" w:lineRule="auto"/>
    </w:pPr>
    <w:rPr>
      <w:rFonts w:ascii="宋体" w:hAnsi="宋体" w:eastAsia="宋体"/>
      <w:sz w:val="21"/>
      <w:szCs w:val="20"/>
    </w:rPr>
  </w:style>
  <w:style w:type="paragraph" w:styleId="945">
    <w:name w:val="正文文本缩进"/>
    <w:basedOn w:val="932"/>
    <w:next w:val="947"/>
    <w:link w:val="946"/>
    <w:pPr>
      <w:ind w:firstLine="645"/>
    </w:pPr>
    <w:rPr>
      <w:rFonts w:ascii="楷体_GB2312" w:eastAsia="楷体_GB2312"/>
      <w:sz w:val="32"/>
      <w:szCs w:val="32"/>
    </w:rPr>
  </w:style>
  <w:style w:type="character" w:styleId="946">
    <w:name w:val="正文文本缩进 字符"/>
    <w:next w:val="946"/>
    <w:link w:val="945"/>
    <w:rPr>
      <w:rFonts w:ascii="楷体_GB2312" w:hAnsi="Times New Roman" w:eastAsia="楷体_GB2312" w:cs="Times New Roman"/>
      <w:sz w:val="32"/>
      <w:szCs w:val="32"/>
    </w:rPr>
  </w:style>
  <w:style w:type="paragraph" w:styleId="947">
    <w:name w:val="寄信人地址"/>
    <w:basedOn w:val="932"/>
    <w:next w:val="947"/>
    <w:link w:val="932"/>
    <w:qFormat/>
    <w:rPr>
      <w:rFonts w:ascii="Arial" w:hAnsi="Arial" w:eastAsia="宋体" w:cs="宋体"/>
    </w:rPr>
  </w:style>
  <w:style w:type="character" w:styleId="948">
    <w:name w:val="正文文本首行缩进 2 字符"/>
    <w:next w:val="948"/>
    <w:link w:val="944"/>
    <w:rPr>
      <w:rFonts w:ascii="宋体" w:hAnsi="宋体" w:eastAsia="宋体" w:cs="Times New Roman"/>
      <w:sz w:val="32"/>
      <w:szCs w:val="20"/>
    </w:rPr>
  </w:style>
  <w:style w:type="character" w:styleId="949">
    <w:name w:val="标题 1 字符"/>
    <w:next w:val="949"/>
    <w:link w:val="933"/>
    <w:rPr>
      <w:rFonts w:ascii="楷体_GB2312" w:hAnsi="Times New Roman" w:eastAsia="楷体_GB2312" w:cs="Times New Roman"/>
      <w:sz w:val="28"/>
      <w:szCs w:val="28"/>
    </w:rPr>
  </w:style>
  <w:style w:type="character" w:styleId="950">
    <w:name w:val="标题 2 字符"/>
    <w:next w:val="950"/>
    <w:link w:val="934"/>
    <w:rPr>
      <w:rFonts w:ascii="Arial" w:hAnsi="Arial" w:eastAsia="幼圆" w:cs="Arial"/>
      <w:b/>
      <w:bCs/>
      <w:sz w:val="44"/>
      <w:szCs w:val="44"/>
    </w:rPr>
  </w:style>
  <w:style w:type="paragraph" w:styleId="951">
    <w:name w:val="正文缩进"/>
    <w:basedOn w:val="932"/>
    <w:next w:val="951"/>
    <w:link w:val="952"/>
    <w:pPr>
      <w:ind w:firstLine="420"/>
    </w:pPr>
  </w:style>
  <w:style w:type="character" w:styleId="952">
    <w:name w:val="正文缩进 字符"/>
    <w:next w:val="952"/>
    <w:link w:val="951"/>
    <w:rPr>
      <w:rFonts w:ascii="Times New Roman" w:hAnsi="Times New Roman" w:eastAsia="宋体" w:cs="Times New Roman"/>
      <w:szCs w:val="21"/>
    </w:rPr>
  </w:style>
  <w:style w:type="character" w:styleId="953">
    <w:name w:val="标题 3 字符"/>
    <w:next w:val="953"/>
    <w:link w:val="935"/>
    <w:rPr>
      <w:rFonts w:ascii="Times New Roman" w:hAnsi="Times New Roman" w:eastAsia="宋体" w:cs="Times New Roman"/>
      <w:b/>
      <w:bCs/>
      <w:sz w:val="32"/>
      <w:szCs w:val="32"/>
    </w:rPr>
  </w:style>
  <w:style w:type="character" w:styleId="954">
    <w:name w:val="标题 4 字符"/>
    <w:next w:val="954"/>
    <w:link w:val="936"/>
    <w:rPr>
      <w:rFonts w:ascii="Arial" w:hAnsi="Arial" w:eastAsia="黑体" w:cs="Arial"/>
      <w:b/>
      <w:bCs/>
      <w:sz w:val="28"/>
      <w:szCs w:val="28"/>
    </w:rPr>
  </w:style>
  <w:style w:type="character" w:styleId="955">
    <w:name w:val="标题 5 字符"/>
    <w:next w:val="955"/>
    <w:link w:val="937"/>
    <w:rPr>
      <w:rFonts w:ascii="宋体" w:hAnsi="Times New Roman" w:eastAsia="宋体" w:cs="Times New Roman"/>
      <w:color w:val="000000"/>
      <w:sz w:val="28"/>
      <w:szCs w:val="28"/>
    </w:rPr>
  </w:style>
  <w:style w:type="character" w:styleId="956">
    <w:name w:val="标题 6 字符"/>
    <w:next w:val="956"/>
    <w:link w:val="938"/>
    <w:rPr>
      <w:rFonts w:ascii="Arial" w:hAnsi="Arial" w:eastAsia="黑体" w:cs="Times New Roman"/>
      <w:b/>
      <w:bCs/>
      <w:sz w:val="24"/>
      <w:szCs w:val="24"/>
    </w:rPr>
  </w:style>
  <w:style w:type="character" w:styleId="957">
    <w:name w:val="标题 7 字符"/>
    <w:next w:val="957"/>
    <w:link w:val="939"/>
    <w:rPr>
      <w:rFonts w:ascii="Times New Roman" w:hAnsi="Times New Roman" w:eastAsia="宋体" w:cs="Times New Roman"/>
      <w:b/>
      <w:bCs/>
      <w:sz w:val="24"/>
      <w:szCs w:val="24"/>
    </w:rPr>
  </w:style>
  <w:style w:type="character" w:styleId="958">
    <w:name w:val="标题 8 字符"/>
    <w:next w:val="958"/>
    <w:link w:val="940"/>
    <w:rPr>
      <w:rFonts w:ascii="Arial" w:hAnsi="Arial" w:eastAsia="黑体" w:cs="Times New Roman"/>
      <w:sz w:val="24"/>
      <w:szCs w:val="24"/>
    </w:rPr>
  </w:style>
  <w:style w:type="character" w:styleId="959">
    <w:name w:val="标题 9 字符"/>
    <w:next w:val="959"/>
    <w:link w:val="941"/>
    <w:rPr>
      <w:rFonts w:ascii="Arial" w:hAnsi="Arial" w:eastAsia="黑体" w:cs="Times New Roman"/>
      <w:szCs w:val="21"/>
    </w:rPr>
  </w:style>
  <w:style w:type="paragraph" w:styleId="960">
    <w:name w:val="列表 3"/>
    <w:basedOn w:val="932"/>
    <w:next w:val="960"/>
    <w:link w:val="932"/>
    <w:pPr>
      <w:ind w:left="100" w:hanging="200"/>
    </w:pPr>
  </w:style>
  <w:style w:type="paragraph" w:styleId="961">
    <w:name w:val="目录 7"/>
    <w:basedOn w:val="932"/>
    <w:next w:val="932"/>
    <w:link w:val="932"/>
    <w:semiHidden/>
    <w:pPr>
      <w:ind w:left="1260"/>
      <w:jc w:val="left"/>
    </w:pPr>
  </w:style>
  <w:style w:type="paragraph" w:styleId="962">
    <w:name w:val="文档结构图"/>
    <w:basedOn w:val="932"/>
    <w:next w:val="962"/>
    <w:link w:val="963"/>
    <w:semiHidden/>
    <w:pPr>
      <w:shd w:val="clear" w:color="auto" w:fill="000080"/>
    </w:pPr>
  </w:style>
  <w:style w:type="character" w:styleId="963">
    <w:name w:val="文档结构图 字符"/>
    <w:next w:val="963"/>
    <w:link w:val="962"/>
    <w:semiHidden/>
    <w:rPr>
      <w:rFonts w:ascii="Times New Roman" w:hAnsi="Times New Roman" w:eastAsia="宋体" w:cs="Times New Roman"/>
      <w:szCs w:val="21"/>
      <w:shd w:val="clear" w:color="auto" w:fill="000080"/>
    </w:rPr>
  </w:style>
  <w:style w:type="paragraph" w:styleId="964">
    <w:name w:val="批注文字"/>
    <w:basedOn w:val="932"/>
    <w:next w:val="964"/>
    <w:link w:val="965"/>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65">
    <w:name w:val="批注文字 字符"/>
    <w:next w:val="965"/>
    <w:link w:val="964"/>
    <w:semiHidden/>
    <w:rPr>
      <w:rFonts w:ascii="Times New Roman" w:hAnsi="Times New Roman" w:eastAsia="宋体" w:cs="Times New Roman"/>
      <w:szCs w:val="21"/>
    </w:rPr>
  </w:style>
  <w:style w:type="paragraph" w:styleId="966">
    <w:name w:val="正文文本 3"/>
    <w:basedOn w:val="932"/>
    <w:next w:val="966"/>
    <w:link w:val="967"/>
    <w:rPr>
      <w:rFonts w:ascii="仿宋_GB2312" w:hAnsi="Arial" w:eastAsia="仿宋_GB2312"/>
      <w:sz w:val="32"/>
      <w:szCs w:val="32"/>
    </w:rPr>
  </w:style>
  <w:style w:type="character" w:styleId="967">
    <w:name w:val="正文文本 3 字符"/>
    <w:next w:val="967"/>
    <w:link w:val="966"/>
    <w:rPr>
      <w:rFonts w:ascii="仿宋_GB2312" w:hAnsi="Arial" w:eastAsia="仿宋_GB2312" w:cs="Times New Roman"/>
      <w:sz w:val="32"/>
      <w:szCs w:val="32"/>
    </w:rPr>
  </w:style>
  <w:style w:type="paragraph" w:styleId="968">
    <w:name w:val="正文文本"/>
    <w:basedOn w:val="932"/>
    <w:next w:val="968"/>
    <w:link w:val="969"/>
    <w:rPr>
      <w:rFonts w:ascii="楷体_GB2312" w:hAnsi="Arial" w:eastAsia="楷体_GB2312"/>
      <w:sz w:val="28"/>
      <w:szCs w:val="28"/>
    </w:rPr>
  </w:style>
  <w:style w:type="character" w:styleId="969">
    <w:name w:val="正文文本 字符"/>
    <w:next w:val="969"/>
    <w:link w:val="968"/>
    <w:rPr>
      <w:rFonts w:ascii="楷体_GB2312" w:hAnsi="Arial" w:eastAsia="楷体_GB2312" w:cs="Times New Roman"/>
      <w:sz w:val="28"/>
      <w:szCs w:val="28"/>
    </w:rPr>
  </w:style>
  <w:style w:type="paragraph" w:styleId="970">
    <w:name w:val="列表 2"/>
    <w:basedOn w:val="932"/>
    <w:next w:val="970"/>
    <w:link w:val="932"/>
    <w:pPr>
      <w:ind w:left="100" w:hanging="200"/>
    </w:pPr>
  </w:style>
  <w:style w:type="paragraph" w:styleId="971">
    <w:name w:val="目录 5"/>
    <w:basedOn w:val="932"/>
    <w:next w:val="932"/>
    <w:link w:val="932"/>
    <w:semiHidden/>
    <w:pPr>
      <w:ind w:left="840"/>
      <w:jc w:val="left"/>
    </w:pPr>
  </w:style>
  <w:style w:type="paragraph" w:styleId="972">
    <w:name w:val="目录 3"/>
    <w:basedOn w:val="932"/>
    <w:next w:val="932"/>
    <w:link w:val="932"/>
    <w:semiHidden/>
    <w:pPr>
      <w:ind w:left="420"/>
      <w:jc w:val="left"/>
    </w:pPr>
    <w:rPr>
      <w:i/>
      <w:iCs/>
      <w:szCs w:val="24"/>
    </w:rPr>
  </w:style>
  <w:style w:type="paragraph" w:styleId="973">
    <w:name w:val="纯文本"/>
    <w:basedOn w:val="932"/>
    <w:next w:val="973"/>
    <w:link w:val="974"/>
    <w:rPr>
      <w:rFonts w:ascii="宋体" w:hAnsi="Courier New" w:cs="Courier New"/>
    </w:rPr>
  </w:style>
  <w:style w:type="character" w:styleId="974">
    <w:name w:val="纯文本 字符"/>
    <w:next w:val="974"/>
    <w:link w:val="973"/>
    <w:rPr>
      <w:rFonts w:ascii="宋体" w:hAnsi="Courier New" w:eastAsia="宋体" w:cs="Courier New"/>
      <w:szCs w:val="21"/>
    </w:rPr>
  </w:style>
  <w:style w:type="paragraph" w:styleId="975">
    <w:name w:val="目录 8"/>
    <w:basedOn w:val="932"/>
    <w:next w:val="932"/>
    <w:link w:val="932"/>
    <w:semiHidden/>
    <w:pPr>
      <w:ind w:left="1470"/>
      <w:jc w:val="left"/>
    </w:pPr>
  </w:style>
  <w:style w:type="paragraph" w:styleId="976">
    <w:name w:val="日期"/>
    <w:basedOn w:val="932"/>
    <w:next w:val="932"/>
    <w:link w:val="977"/>
    <w:rPr>
      <w:sz w:val="24"/>
      <w:szCs w:val="24"/>
    </w:rPr>
  </w:style>
  <w:style w:type="character" w:styleId="977">
    <w:name w:val="日期 字符"/>
    <w:next w:val="977"/>
    <w:link w:val="976"/>
    <w:rPr>
      <w:rFonts w:ascii="Times New Roman" w:hAnsi="Times New Roman" w:eastAsia="宋体" w:cs="Times New Roman"/>
      <w:sz w:val="24"/>
      <w:szCs w:val="24"/>
    </w:rPr>
  </w:style>
  <w:style w:type="paragraph" w:styleId="978">
    <w:name w:val="正文文本缩进 2"/>
    <w:basedOn w:val="932"/>
    <w:next w:val="978"/>
    <w:link w:val="979"/>
    <w:pPr>
      <w:ind w:left="630" w:firstLine="645"/>
    </w:pPr>
    <w:rPr>
      <w:rFonts w:ascii="Arial" w:hAnsi="Arial" w:eastAsia="仿宋_GB2312" w:cs="Arial"/>
      <w:sz w:val="32"/>
      <w:szCs w:val="32"/>
    </w:rPr>
  </w:style>
  <w:style w:type="character" w:styleId="979">
    <w:name w:val="正文文本缩进 2 字符"/>
    <w:next w:val="979"/>
    <w:link w:val="978"/>
    <w:rPr>
      <w:rFonts w:ascii="Arial" w:hAnsi="Arial" w:eastAsia="仿宋_GB2312" w:cs="Arial"/>
      <w:sz w:val="32"/>
      <w:szCs w:val="32"/>
    </w:rPr>
  </w:style>
  <w:style w:type="paragraph" w:styleId="980">
    <w:name w:val="批注框文本"/>
    <w:basedOn w:val="932"/>
    <w:next w:val="980"/>
    <w:link w:val="981"/>
    <w:semiHidden/>
    <w:rPr>
      <w:sz w:val="18"/>
      <w:szCs w:val="18"/>
    </w:rPr>
  </w:style>
  <w:style w:type="character" w:styleId="981">
    <w:name w:val="批注框文本 字符"/>
    <w:next w:val="981"/>
    <w:link w:val="980"/>
    <w:semiHidden/>
    <w:rPr>
      <w:rFonts w:ascii="Times New Roman" w:hAnsi="Times New Roman" w:eastAsia="宋体" w:cs="Times New Roman"/>
      <w:sz w:val="18"/>
      <w:szCs w:val="18"/>
    </w:rPr>
  </w:style>
  <w:style w:type="paragraph" w:styleId="982">
    <w:name w:val="页脚"/>
    <w:basedOn w:val="932"/>
    <w:next w:val="982"/>
    <w:link w:val="983"/>
    <w:pPr>
      <w:jc w:val="left"/>
      <w:tabs>
        <w:tab w:val="center" w:pos="4153" w:leader="none"/>
        <w:tab w:val="right" w:pos="8306" w:leader="none"/>
      </w:tabs>
    </w:pPr>
    <w:rPr>
      <w:sz w:val="18"/>
      <w:szCs w:val="18"/>
    </w:rPr>
  </w:style>
  <w:style w:type="character" w:styleId="983">
    <w:name w:val="页脚 字符"/>
    <w:next w:val="983"/>
    <w:link w:val="982"/>
    <w:rPr>
      <w:rFonts w:ascii="Times New Roman" w:hAnsi="Times New Roman" w:eastAsia="宋体" w:cs="Times New Roman"/>
      <w:sz w:val="18"/>
      <w:szCs w:val="18"/>
    </w:rPr>
  </w:style>
  <w:style w:type="paragraph" w:styleId="984">
    <w:name w:val="页眉"/>
    <w:basedOn w:val="932"/>
    <w:next w:val="984"/>
    <w:link w:val="985"/>
    <w:pPr>
      <w:jc w:val="center"/>
      <w:tabs>
        <w:tab w:val="center" w:pos="4153" w:leader="none"/>
        <w:tab w:val="right" w:pos="8306" w:leader="none"/>
      </w:tabs>
      <w:pBdr>
        <w:bottom w:val="single" w:color="000000" w:sz="6" w:space="1"/>
      </w:pBdr>
    </w:pPr>
    <w:rPr>
      <w:sz w:val="18"/>
      <w:szCs w:val="18"/>
    </w:rPr>
  </w:style>
  <w:style w:type="character" w:styleId="985">
    <w:name w:val="页眉 字符"/>
    <w:next w:val="985"/>
    <w:link w:val="984"/>
    <w:rPr>
      <w:rFonts w:ascii="Times New Roman" w:hAnsi="Times New Roman" w:eastAsia="宋体" w:cs="Times New Roman"/>
      <w:sz w:val="18"/>
      <w:szCs w:val="18"/>
    </w:rPr>
  </w:style>
  <w:style w:type="paragraph" w:styleId="986">
    <w:name w:val="目录 1"/>
    <w:basedOn w:val="932"/>
    <w:next w:val="932"/>
    <w:link w:val="932"/>
    <w:semiHidden/>
    <w:pPr>
      <w:jc w:val="left"/>
      <w:spacing w:before="120" w:after="120" w:line="400" w:lineRule="exact"/>
      <w:tabs>
        <w:tab w:val="right" w:pos="8720" w:leader="dot"/>
      </w:tabs>
    </w:pPr>
    <w:rPr>
      <w:rFonts w:ascii="宋体" w:hAnsi="宋体"/>
      <w:caps/>
      <w:sz w:val="24"/>
      <w:szCs w:val="24"/>
    </w:rPr>
  </w:style>
  <w:style w:type="paragraph" w:styleId="987">
    <w:name w:val="目录 4"/>
    <w:basedOn w:val="932"/>
    <w:next w:val="932"/>
    <w:link w:val="932"/>
    <w:semiHidden/>
    <w:pPr>
      <w:ind w:left="630"/>
      <w:jc w:val="left"/>
    </w:pPr>
  </w:style>
  <w:style w:type="paragraph" w:styleId="988">
    <w:name w:val="列表"/>
    <w:basedOn w:val="932"/>
    <w:next w:val="988"/>
    <w:link w:val="932"/>
    <w:pPr>
      <w:ind w:left="200" w:hanging="200"/>
    </w:pPr>
  </w:style>
  <w:style w:type="paragraph" w:styleId="989">
    <w:name w:val="目录 6"/>
    <w:basedOn w:val="932"/>
    <w:next w:val="932"/>
    <w:link w:val="932"/>
    <w:semiHidden/>
    <w:pPr>
      <w:ind w:left="1050"/>
      <w:jc w:val="left"/>
    </w:pPr>
  </w:style>
  <w:style w:type="paragraph" w:styleId="990">
    <w:name w:val="正文文本缩进 3"/>
    <w:basedOn w:val="932"/>
    <w:next w:val="990"/>
    <w:link w:val="991"/>
    <w:pPr>
      <w:ind w:left="645" w:firstLine="645"/>
    </w:pPr>
    <w:rPr>
      <w:rFonts w:ascii="Arial" w:hAnsi="Arial" w:eastAsia="仿宋_GB2312" w:cs="Arial"/>
      <w:color w:val="ffff00"/>
      <w:sz w:val="32"/>
      <w:szCs w:val="32"/>
    </w:rPr>
  </w:style>
  <w:style w:type="character" w:styleId="991">
    <w:name w:val="正文文本缩进 3 字符"/>
    <w:next w:val="991"/>
    <w:link w:val="990"/>
    <w:rPr>
      <w:rFonts w:ascii="Arial" w:hAnsi="Arial" w:eastAsia="仿宋_GB2312" w:cs="Arial"/>
      <w:color w:val="ffff00"/>
      <w:sz w:val="32"/>
      <w:szCs w:val="32"/>
    </w:rPr>
  </w:style>
  <w:style w:type="paragraph" w:styleId="992">
    <w:name w:val="图表目录"/>
    <w:basedOn w:val="932"/>
    <w:next w:val="932"/>
    <w:link w:val="932"/>
    <w:semiHidden/>
    <w:pPr>
      <w:ind w:left="840" w:hanging="420"/>
    </w:pPr>
  </w:style>
  <w:style w:type="paragraph" w:styleId="993">
    <w:name w:val="目录 2"/>
    <w:basedOn w:val="932"/>
    <w:next w:val="932"/>
    <w:link w:val="932"/>
    <w:semiHidden/>
    <w:pPr>
      <w:ind w:left="210"/>
      <w:jc w:val="left"/>
    </w:pPr>
    <w:rPr>
      <w:smallCaps/>
      <w:szCs w:val="24"/>
    </w:rPr>
  </w:style>
  <w:style w:type="paragraph" w:styleId="994">
    <w:name w:val="目录 9"/>
    <w:basedOn w:val="932"/>
    <w:next w:val="932"/>
    <w:link w:val="932"/>
    <w:semiHidden/>
    <w:pPr>
      <w:ind w:left="1680"/>
      <w:jc w:val="left"/>
    </w:pPr>
  </w:style>
  <w:style w:type="paragraph" w:styleId="995">
    <w:name w:val="正文文本 2"/>
    <w:basedOn w:val="932"/>
    <w:next w:val="995"/>
    <w:link w:val="996"/>
    <w:pPr>
      <w:jc w:val="center"/>
      <w:widowControl/>
    </w:pPr>
    <w:rPr>
      <w:rFonts w:ascii="楷体_GB2312" w:eastAsia="楷体_GB2312"/>
      <w:sz w:val="28"/>
      <w:szCs w:val="28"/>
    </w:rPr>
  </w:style>
  <w:style w:type="character" w:styleId="996">
    <w:name w:val="正文文本 2 字符"/>
    <w:next w:val="996"/>
    <w:link w:val="995"/>
    <w:rPr>
      <w:rFonts w:ascii="楷体_GB2312" w:hAnsi="Times New Roman" w:eastAsia="楷体_GB2312" w:cs="Times New Roman"/>
      <w:sz w:val="28"/>
      <w:szCs w:val="28"/>
    </w:rPr>
  </w:style>
  <w:style w:type="paragraph" w:styleId="997">
    <w:name w:val="普通(网站)"/>
    <w:basedOn w:val="932"/>
    <w:next w:val="997"/>
    <w:link w:val="932"/>
    <w:uiPriority w:val="99"/>
    <w:pPr>
      <w:jc w:val="left"/>
      <w:spacing w:before="100" w:beforeAutospacing="1" w:after="100" w:afterAutospacing="1"/>
      <w:widowControl/>
    </w:pPr>
    <w:rPr>
      <w:rFonts w:ascii="宋体" w:hAnsi="宋体" w:cs="宋体"/>
      <w:sz w:val="24"/>
      <w:szCs w:val="24"/>
    </w:rPr>
  </w:style>
  <w:style w:type="paragraph" w:styleId="998">
    <w:name w:val="索引 1"/>
    <w:basedOn w:val="932"/>
    <w:next w:val="932"/>
    <w:link w:val="932"/>
    <w:semiHidden/>
    <w:pPr>
      <w:spacing w:line="240" w:lineRule="atLeast"/>
    </w:pPr>
    <w:rPr>
      <w:b/>
      <w:bCs/>
    </w:rPr>
  </w:style>
  <w:style w:type="paragraph" w:styleId="999">
    <w:name w:val="批注主题"/>
    <w:basedOn w:val="964"/>
    <w:next w:val="964"/>
    <w:link w:val="1000"/>
    <w:semiHidden/>
    <w:rPr>
      <w:b/>
      <w:bCs/>
    </w:rPr>
  </w:style>
  <w:style w:type="character" w:styleId="1000">
    <w:name w:val="批注主题 字符"/>
    <w:next w:val="1000"/>
    <w:link w:val="999"/>
    <w:semiHidden/>
    <w:rPr>
      <w:rFonts w:ascii="Times New Roman" w:hAnsi="Times New Roman" w:eastAsia="宋体" w:cs="Times New Roman"/>
      <w:b/>
      <w:bCs/>
      <w:szCs w:val="21"/>
    </w:rPr>
  </w:style>
  <w:style w:type="paragraph" w:styleId="1001">
    <w:name w:val="正文首行缩进"/>
    <w:basedOn w:val="932"/>
    <w:next w:val="1001"/>
    <w:link w:val="1002"/>
    <w:pPr>
      <w:ind w:firstLine="200"/>
      <w:spacing w:line="360" w:lineRule="auto"/>
    </w:pPr>
    <w:rPr>
      <w:rFonts w:ascii="仿宋_GB2312" w:eastAsia="仿宋_GB2312"/>
      <w:sz w:val="30"/>
      <w:szCs w:val="30"/>
    </w:rPr>
  </w:style>
  <w:style w:type="character" w:styleId="1002">
    <w:name w:val="正文文本首行缩进 字符"/>
    <w:next w:val="1002"/>
    <w:link w:val="1001"/>
    <w:rPr>
      <w:rFonts w:ascii="仿宋_GB2312" w:hAnsi="Times New Roman" w:eastAsia="仿宋_GB2312" w:cs="Times New Roman"/>
      <w:sz w:val="30"/>
      <w:szCs w:val="30"/>
    </w:rPr>
  </w:style>
  <w:style w:type="table" w:styleId="1003">
    <w:name w:val="网格型"/>
    <w:basedOn w:val="943"/>
    <w:next w:val="1003"/>
    <w:link w:val="932"/>
    <w:pPr>
      <w:jc w:val="both"/>
      <w:widowControl w:val="off"/>
    </w:pPr>
    <w:rPr>
      <w:rFonts w:ascii="Times New Roman" w:hAnsi="Times New Roman" w:eastAsia="宋体" w:cs="Times New Roman"/>
      <w:sz w:val="20"/>
      <w:szCs w:val="20"/>
    </w:rPr>
    <w:tblPr/>
  </w:style>
  <w:style w:type="character" w:styleId="1004">
    <w:name w:val="要点"/>
    <w:next w:val="1004"/>
    <w:link w:val="932"/>
    <w:qFormat/>
    <w:rPr>
      <w:b/>
      <w:bCs/>
    </w:rPr>
  </w:style>
  <w:style w:type="character" w:styleId="1005">
    <w:name w:val="页码"/>
    <w:next w:val="1005"/>
    <w:link w:val="932"/>
  </w:style>
  <w:style w:type="character" w:styleId="1006">
    <w:name w:val="已访问的超链接"/>
    <w:next w:val="1006"/>
    <w:link w:val="932"/>
    <w:rPr>
      <w:color w:val="800080"/>
      <w:u w:val="single"/>
    </w:rPr>
  </w:style>
  <w:style w:type="character" w:styleId="1007">
    <w:name w:val="强调"/>
    <w:next w:val="1007"/>
    <w:link w:val="932"/>
    <w:qFormat/>
    <w:rPr>
      <w:i/>
    </w:rPr>
  </w:style>
  <w:style w:type="character" w:styleId="1008">
    <w:name w:val="超链接"/>
    <w:next w:val="1008"/>
    <w:link w:val="932"/>
    <w:rPr>
      <w:color w:val="0000ff"/>
      <w:u w:val="single"/>
    </w:rPr>
  </w:style>
  <w:style w:type="character" w:styleId="1009">
    <w:name w:val="批注引用"/>
    <w:next w:val="1009"/>
    <w:link w:val="932"/>
    <w:semiHidden/>
    <w:rPr>
      <w:sz w:val="21"/>
      <w:szCs w:val="21"/>
    </w:rPr>
  </w:style>
  <w:style w:type="paragraph" w:styleId="1010">
    <w:name w:val="正文1"/>
    <w:basedOn w:val="932"/>
    <w:next w:val="1010"/>
    <w:link w:val="932"/>
    <w:qFormat/>
    <w:pPr>
      <w:ind w:left="350" w:firstLine="0"/>
    </w:pPr>
    <w:rPr>
      <w:rFonts w:cs="Times New Roman"/>
      <w:sz w:val="20"/>
      <w:szCs w:val="24"/>
    </w:rPr>
  </w:style>
  <w:style w:type="paragraph" w:styleId="1011">
    <w:name w:val="索引 41"/>
    <w:basedOn w:val="932"/>
    <w:next w:val="932"/>
    <w:link w:val="932"/>
    <w:semiHidden/>
    <w:qFormat/>
    <w:pPr>
      <w:ind w:left="1260"/>
    </w:pPr>
    <w:rPr>
      <w:rFonts w:ascii="Calibri" w:hAnsi="Calibri" w:eastAsia="Calibri" w:cs="宋体"/>
      <w:sz w:val="20"/>
      <w:lang w:val="zh-CN"/>
    </w:rPr>
  </w:style>
  <w:style w:type="paragraph" w:styleId="1012">
    <w:name w:val="正文首行缩进 21"/>
    <w:basedOn w:val="1013"/>
    <w:next w:val="932"/>
    <w:link w:val="932"/>
    <w:qFormat/>
    <w:pPr>
      <w:ind w:firstLine="420"/>
      <w:spacing w:line="360" w:lineRule="auto"/>
    </w:pPr>
    <w:rPr>
      <w:rFonts w:ascii="宋体" w:hAnsi="宋体" w:eastAsia="宋体"/>
      <w:sz w:val="21"/>
      <w:szCs w:val="20"/>
    </w:rPr>
  </w:style>
  <w:style w:type="paragraph" w:styleId="1013">
    <w:name w:val="正文文本缩进11"/>
    <w:basedOn w:val="932"/>
    <w:next w:val="1014"/>
    <w:link w:val="932"/>
    <w:qFormat/>
    <w:pPr>
      <w:ind w:firstLine="645"/>
    </w:pPr>
    <w:rPr>
      <w:rFonts w:ascii="楷体_GB2312" w:eastAsia="楷体_GB2312"/>
      <w:sz w:val="32"/>
      <w:szCs w:val="32"/>
    </w:rPr>
  </w:style>
  <w:style w:type="paragraph" w:styleId="1014">
    <w:name w:val="寄信人地址1"/>
    <w:basedOn w:val="932"/>
    <w:next w:val="1014"/>
    <w:link w:val="932"/>
    <w:qFormat/>
    <w:rPr>
      <w:rFonts w:ascii="Arial" w:hAnsi="Arial" w:eastAsia="宋体" w:cs="宋体"/>
    </w:rPr>
  </w:style>
  <w:style w:type="paragraph" w:styleId="1015">
    <w:name w:val="标题 41"/>
    <w:basedOn w:val="932"/>
    <w:next w:val="1016"/>
    <w:link w:val="932"/>
    <w:qFormat/>
    <w:pPr>
      <w:keepLines/>
      <w:keepNext/>
      <w:spacing w:before="280" w:after="290" w:line="376" w:lineRule="auto"/>
      <w:outlineLvl w:val="3"/>
    </w:pPr>
    <w:rPr>
      <w:rFonts w:ascii="Arial" w:hAnsi="Arial" w:eastAsia="黑体" w:cs="Arial"/>
      <w:b/>
      <w:bCs/>
      <w:sz w:val="28"/>
      <w:szCs w:val="28"/>
    </w:rPr>
  </w:style>
  <w:style w:type="paragraph" w:styleId="1016">
    <w:name w:val="正文缩进1"/>
    <w:basedOn w:val="932"/>
    <w:next w:val="1016"/>
    <w:link w:val="932"/>
    <w:qFormat/>
    <w:pPr>
      <w:ind w:firstLine="420"/>
    </w:pPr>
  </w:style>
  <w:style w:type="paragraph" w:styleId="1017">
    <w:name w:val="正文文本12"/>
    <w:basedOn w:val="932"/>
    <w:next w:val="1017"/>
    <w:link w:val="932"/>
    <w:uiPriority w:val="1"/>
    <w:qFormat/>
    <w:pPr>
      <w:ind w:left="120"/>
    </w:pPr>
    <w:rPr>
      <w:rFonts w:ascii="宋体" w:hAnsi="宋体" w:eastAsia="宋体" w:cs="宋体"/>
      <w:sz w:val="21"/>
      <w:szCs w:val="21"/>
      <w:lang w:val="zh-CN" w:eastAsia="zh-CN" w:bidi="zh-CN"/>
    </w:rPr>
  </w:style>
  <w:style w:type="character" w:styleId="1018">
    <w:name w:val="font5 Char"/>
    <w:next w:val="1018"/>
    <w:link w:val="932"/>
    <w:rPr>
      <w:rFonts w:ascii="宋体" w:hAnsi="宋体" w:eastAsia="宋体"/>
      <w:sz w:val="28"/>
      <w:szCs w:val="28"/>
      <w:lang w:val="en-US" w:eastAsia="zh-CN" w:bidi="ar-SA"/>
    </w:rPr>
  </w:style>
  <w:style w:type="character" w:styleId="1019">
    <w:name w:val="二级目录 Char"/>
    <w:next w:val="1019"/>
    <w:link w:val="1020"/>
    <w:rPr>
      <w:b/>
      <w:sz w:val="30"/>
      <w:szCs w:val="28"/>
    </w:rPr>
  </w:style>
  <w:style w:type="paragraph" w:styleId="1020">
    <w:name w:val="二级目录"/>
    <w:next w:val="932"/>
    <w:link w:val="1019"/>
    <w:pPr>
      <w:numPr>
        <w:ilvl w:val="0"/>
        <w:numId w:val="2"/>
      </w:numPr>
      <w:tabs>
        <w:tab w:val="left" w:pos="907" w:leader="none"/>
        <w:tab w:val="left" w:pos="1145" w:leader="none"/>
      </w:tabs>
      <w:outlineLvl w:val="1"/>
    </w:pPr>
    <w:rPr>
      <w:b/>
      <w:sz w:val="30"/>
      <w:szCs w:val="28"/>
      <w:lang w:val="en-US" w:eastAsia="zh-CN" w:bidi="ar-SA"/>
    </w:rPr>
  </w:style>
  <w:style w:type="character" w:styleId="1021">
    <w:name w:val="列出段落 Char,Bullet List Char,numbered Char,FooterText Char,List Paragraph1 Char,Paragraphe de liste1 Char"/>
    <w:next w:val="1021"/>
    <w:link w:val="1022"/>
    <w:rPr>
      <w:rFonts w:ascii="Calibri" w:hAnsi="Calibri"/>
      <w:sz w:val="24"/>
      <w:szCs w:val="24"/>
      <w:lang w:eastAsia="en-US" w:bidi="en-US"/>
    </w:rPr>
  </w:style>
  <w:style w:type="paragraph" w:styleId="1022">
    <w:name w:val="列出段落1"/>
    <w:basedOn w:val="932"/>
    <w:next w:val="1022"/>
    <w:link w:val="1021"/>
    <w:qFormat/>
    <w:pPr>
      <w:contextualSpacing/>
      <w:ind w:left="720"/>
      <w:jc w:val="left"/>
      <w:widowControl/>
    </w:pPr>
    <w:rPr>
      <w:rFonts w:ascii="Calibri" w:hAnsi="Calibri" w:eastAsia="宋体" w:cs="Times New Roman"/>
      <w:sz w:val="24"/>
      <w:szCs w:val="24"/>
      <w:lang w:eastAsia="en-US" w:bidi="en-US"/>
    </w:rPr>
  </w:style>
  <w:style w:type="paragraph" w:styleId="1023">
    <w:name w:val="Body Text(ch)"/>
    <w:basedOn w:val="932"/>
    <w:next w:val="968"/>
    <w:link w:val="932"/>
    <w:pPr>
      <w:spacing w:after="120"/>
    </w:pPr>
    <w:rPr>
      <w:rFonts w:ascii="宋体" w:hAnsi="Arial"/>
      <w:bCs/>
      <w:iCs/>
      <w:szCs w:val="24"/>
    </w:rPr>
  </w:style>
  <w:style w:type="paragraph" w:styleId="1024">
    <w:name w:val="xl27"/>
    <w:basedOn w:val="932"/>
    <w:next w:val="1024"/>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name w:val="xl26"/>
    <w:basedOn w:val="932"/>
    <w:next w:val="1025"/>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name w:val="Char"/>
    <w:basedOn w:val="932"/>
    <w:next w:val="1026"/>
    <w:link w:val="932"/>
    <w:pPr>
      <w:ind w:firstLine="200"/>
      <w:tabs>
        <w:tab w:val="left" w:pos="360" w:leader="none"/>
      </w:tabs>
    </w:pPr>
    <w:rPr>
      <w:sz w:val="28"/>
      <w:szCs w:val="30"/>
    </w:rPr>
  </w:style>
  <w:style w:type="paragraph" w:styleId="1027">
    <w:name w:val=" Char"/>
    <w:basedOn w:val="962"/>
    <w:next w:val="1027"/>
    <w:link w:val="932"/>
    <w:rPr>
      <w:rFonts w:ascii="Tahoma" w:hAnsi="Tahoma"/>
      <w:sz w:val="24"/>
      <w:szCs w:val="24"/>
    </w:rPr>
  </w:style>
  <w:style w:type="paragraph" w:styleId="1028">
    <w:name w:val="普通正文"/>
    <w:basedOn w:val="932"/>
    <w:next w:val="1028"/>
    <w:link w:val="932"/>
    <w:pPr>
      <w:ind w:firstLine="480"/>
      <w:jc w:val="left"/>
      <w:spacing w:before="120" w:after="120" w:line="360" w:lineRule="auto"/>
    </w:pPr>
    <w:rPr>
      <w:rFonts w:ascii="Arial" w:hAnsi="Arial"/>
      <w:sz w:val="24"/>
      <w:szCs w:val="24"/>
    </w:rPr>
  </w:style>
  <w:style w:type="paragraph" w:styleId="1029">
    <w:name w:val="table_lines"/>
    <w:basedOn w:val="932"/>
    <w:next w:val="1029"/>
    <w:link w:val="932"/>
    <w:pPr>
      <w:jc w:val="left"/>
      <w:widowControl/>
    </w:pPr>
    <w:rPr>
      <w:sz w:val="20"/>
      <w:szCs w:val="20"/>
      <w:lang w:val="de-DE" w:eastAsia="de-DE"/>
    </w:rPr>
  </w:style>
  <w:style w:type="paragraph" w:styleId="1030">
    <w:name w:val="附录1"/>
    <w:next w:val="1030"/>
    <w:link w:val="932"/>
    <w:pPr>
      <w:numPr>
        <w:ilvl w:val="0"/>
        <w:numId w:val="2"/>
      </w:numPr>
      <w:spacing w:before="240" w:line="600" w:lineRule="atLeast"/>
      <w:tabs>
        <w:tab w:val="left" w:pos="907" w:leader="none"/>
      </w:tabs>
    </w:pPr>
    <w:rPr>
      <w:b/>
      <w:i/>
      <w:sz w:val="28"/>
      <w:lang w:val="en-US" w:eastAsia="zh-CN" w:bidi="ar-SA"/>
    </w:rPr>
  </w:style>
  <w:style w:type="paragraph" w:styleId="1031">
    <w:name w:val="font7"/>
    <w:basedOn w:val="932"/>
    <w:next w:val="1031"/>
    <w:link w:val="932"/>
    <w:pPr>
      <w:jc w:val="left"/>
      <w:spacing w:before="100" w:beforeAutospacing="1" w:after="100" w:afterAutospacing="1"/>
      <w:widowControl/>
    </w:pPr>
    <w:rPr>
      <w:rFonts w:hint="eastAsia" w:ascii="宋体" w:hAnsi="宋体"/>
      <w:sz w:val="18"/>
      <w:szCs w:val="18"/>
    </w:rPr>
  </w:style>
  <w:style w:type="paragraph" w:styleId="1032">
    <w:name w:val=" Char Char Char Char"/>
    <w:basedOn w:val="962"/>
    <w:next w:val="1032"/>
    <w:link w:val="932"/>
    <w:pPr>
      <w:spacing w:line="360" w:lineRule="auto"/>
    </w:pPr>
    <w:rPr>
      <w:rFonts w:ascii="Tahoma" w:hAnsi="Tahoma"/>
      <w:sz w:val="24"/>
      <w:szCs w:val="24"/>
    </w:rPr>
  </w:style>
  <w:style w:type="paragraph" w:styleId="1033">
    <w:name w:val="列表段落"/>
    <w:basedOn w:val="932"/>
    <w:next w:val="1033"/>
    <w:link w:val="932"/>
    <w:qFormat/>
    <w:pPr>
      <w:contextualSpacing/>
      <w:ind w:left="720"/>
      <w:jc w:val="left"/>
      <w:widowControl/>
    </w:pPr>
    <w:rPr>
      <w:rFonts w:ascii="Calibri" w:hAnsi="Calibri"/>
      <w:sz w:val="24"/>
      <w:szCs w:val="24"/>
      <w:lang w:eastAsia="en-US" w:bidi="en-US"/>
    </w:rPr>
  </w:style>
  <w:style w:type="paragraph" w:styleId="1034">
    <w:name w:val="4"/>
    <w:basedOn w:val="932"/>
    <w:next w:val="990"/>
    <w:link w:val="932"/>
    <w:pPr>
      <w:ind w:firstLine="420"/>
      <w:spacing w:line="360" w:lineRule="auto"/>
    </w:pPr>
    <w:rPr>
      <w:color w:val="ff0000"/>
      <w:sz w:val="24"/>
      <w:szCs w:val="24"/>
    </w:rPr>
  </w:style>
  <w:style w:type="paragraph" w:styleId="1035">
    <w:name w:val="普通 (Web)"/>
    <w:basedOn w:val="932"/>
    <w:next w:val="1035"/>
    <w:link w:val="932"/>
    <w:pPr>
      <w:jc w:val="left"/>
      <w:spacing w:before="100" w:beforeAutospacing="1" w:after="100" w:afterAutospacing="1"/>
      <w:widowControl/>
    </w:pPr>
    <w:rPr>
      <w:rFonts w:ascii="宋体" w:hAnsi="宋体"/>
      <w:sz w:val="24"/>
      <w:szCs w:val="24"/>
    </w:rPr>
  </w:style>
  <w:style w:type="paragraph" w:styleId="1036">
    <w:name w:val=" Char Char Char Char Char Char Char Char Char Char"/>
    <w:basedOn w:val="932"/>
    <w:next w:val="1036"/>
    <w:link w:val="932"/>
    <w:pPr>
      <w:spacing w:line="360" w:lineRule="auto"/>
    </w:pPr>
    <w:rPr>
      <w:sz w:val="24"/>
      <w:szCs w:val="20"/>
    </w:rPr>
  </w:style>
  <w:style w:type="paragraph" w:styleId="1037">
    <w:name w:val="样式1"/>
    <w:basedOn w:val="932"/>
    <w:next w:val="1037"/>
    <w:link w:val="932"/>
    <w:pPr>
      <w:numPr>
        <w:ilvl w:val="0"/>
        <w:numId w:val="3"/>
      </w:numPr>
      <w:tabs>
        <w:tab w:val="left" w:pos="709" w:leader="none"/>
      </w:tabs>
    </w:pPr>
    <w:rPr>
      <w:rFonts w:ascii="宋体" w:hAnsi="宋体"/>
    </w:rPr>
  </w:style>
  <w:style w:type="paragraph" w:styleId="1038">
    <w:name w:val="font6"/>
    <w:basedOn w:val="932"/>
    <w:next w:val="1038"/>
    <w:link w:val="932"/>
    <w:pPr>
      <w:jc w:val="left"/>
      <w:spacing w:before="100" w:beforeAutospacing="1" w:after="100" w:afterAutospacing="1"/>
      <w:widowControl/>
    </w:pPr>
    <w:rPr>
      <w:rFonts w:hint="eastAsia" w:ascii="宋体" w:hAnsi="宋体"/>
      <w:sz w:val="28"/>
      <w:szCs w:val="28"/>
      <w:u w:val="single"/>
    </w:rPr>
  </w:style>
  <w:style w:type="paragraph" w:styleId="1039">
    <w:name w:val="xl25"/>
    <w:basedOn w:val="932"/>
    <w:next w:val="1039"/>
    <w:link w:val="93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name w:val="图标"/>
    <w:basedOn w:val="932"/>
    <w:next w:val="932"/>
    <w:link w:val="93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name w:val="标题3"/>
    <w:basedOn w:val="932"/>
    <w:next w:val="932"/>
    <w:link w:val="932"/>
    <w:pPr>
      <w:ind w:firstLine="624"/>
      <w:spacing w:line="590" w:lineRule="atLeast"/>
    </w:pPr>
    <w:rPr>
      <w:rFonts w:ascii="方正黑体_GBK" w:eastAsia="方正黑体_GBK"/>
      <w:sz w:val="32"/>
      <w:szCs w:val="32"/>
    </w:rPr>
  </w:style>
  <w:style w:type="paragraph" w:styleId="1042">
    <w:name w:val="xl24"/>
    <w:basedOn w:val="932"/>
    <w:next w:val="1042"/>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name w:val="xl29"/>
    <w:basedOn w:val="932"/>
    <w:next w:val="1043"/>
    <w:link w:val="93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name w:val="Char Char Char Char Char Char Char Char"/>
    <w:basedOn w:val="932"/>
    <w:next w:val="1044"/>
    <w:link w:val="932"/>
    <w:pPr>
      <w:jc w:val="left"/>
      <w:spacing w:after="160" w:line="240" w:lineRule="exact"/>
      <w:widowControl/>
    </w:pPr>
    <w:rPr>
      <w:rFonts w:ascii="Verdana" w:hAnsi="Verdana"/>
      <w:sz w:val="20"/>
      <w:szCs w:val="20"/>
      <w:lang w:eastAsia="en-US"/>
    </w:rPr>
  </w:style>
  <w:style w:type="paragraph" w:styleId="1045">
    <w:name w:val="xl28"/>
    <w:basedOn w:val="932"/>
    <w:next w:val="1045"/>
    <w:link w:val="9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name w:val=" Char Char Char Char Char Char Char Char"/>
    <w:basedOn w:val="932"/>
    <w:next w:val="1046"/>
    <w:link w:val="932"/>
    <w:pPr>
      <w:jc w:val="left"/>
      <w:spacing w:after="160" w:line="240" w:lineRule="exact"/>
      <w:widowControl/>
    </w:pPr>
    <w:rPr>
      <w:rFonts w:ascii="Verdana" w:hAnsi="Verdana"/>
      <w:sz w:val="20"/>
      <w:szCs w:val="20"/>
      <w:lang w:eastAsia="en-US"/>
    </w:rPr>
  </w:style>
  <w:style w:type="paragraph" w:styleId="1047">
    <w:name w:val="xl30"/>
    <w:basedOn w:val="932"/>
    <w:next w:val="1047"/>
    <w:link w:val="932"/>
    <w:pPr>
      <w:jc w:val="center"/>
      <w:spacing w:before="100" w:beforeAutospacing="1" w:after="100" w:afterAutospacing="1"/>
      <w:widowControl/>
    </w:pPr>
    <w:rPr>
      <w:rFonts w:ascii="宋体" w:hAnsi="宋体"/>
      <w:b/>
      <w:bCs/>
      <w:sz w:val="36"/>
      <w:szCs w:val="36"/>
    </w:rPr>
  </w:style>
  <w:style w:type="paragraph" w:styleId="1048">
    <w:name w:val="Char Char Char Char"/>
    <w:basedOn w:val="962"/>
    <w:next w:val="1048"/>
    <w:link w:val="932"/>
    <w:pPr>
      <w:spacing w:line="360" w:lineRule="auto"/>
    </w:pPr>
    <w:rPr>
      <w:rFonts w:ascii="Tahoma" w:hAnsi="Tahoma"/>
      <w:sz w:val="24"/>
      <w:szCs w:val="24"/>
    </w:rPr>
  </w:style>
  <w:style w:type="paragraph" w:styleId="1049">
    <w:name w:val="table_1stline"/>
    <w:basedOn w:val="932"/>
    <w:next w:val="1049"/>
    <w:link w:val="932"/>
    <w:pPr>
      <w:jc w:val="left"/>
      <w:spacing w:before="120"/>
      <w:widowControl/>
    </w:pPr>
    <w:rPr>
      <w:bCs/>
      <w:sz w:val="20"/>
      <w:szCs w:val="20"/>
      <w:lang w:val="de-DE" w:eastAsia="de-DE"/>
    </w:rPr>
  </w:style>
  <w:style w:type="paragraph" w:styleId="1050">
    <w:name w:val="font5"/>
    <w:basedOn w:val="932"/>
    <w:next w:val="1050"/>
    <w:link w:val="932"/>
    <w:pPr>
      <w:jc w:val="left"/>
      <w:spacing w:before="100" w:beforeAutospacing="1" w:after="100" w:afterAutospacing="1"/>
      <w:widowControl/>
    </w:pPr>
    <w:rPr>
      <w:rFonts w:hint="eastAsia" w:ascii="宋体" w:hAnsi="宋体"/>
      <w:sz w:val="28"/>
      <w:szCs w:val="28"/>
    </w:rPr>
  </w:style>
  <w:style w:type="paragraph" w:styleId="1051">
    <w:name w:val="标题1"/>
    <w:basedOn w:val="932"/>
    <w:next w:val="932"/>
    <w:link w:val="93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name w:val="修订"/>
    <w:next w:val="1052"/>
    <w:link w:val="932"/>
    <w:uiPriority w:val="99"/>
    <w:semiHidden/>
    <w:rPr>
      <w:sz w:val="21"/>
      <w:szCs w:val="21"/>
      <w:lang w:val="en-US" w:eastAsia="zh-CN" w:bidi="ar-SA"/>
    </w:rPr>
  </w:style>
  <w:style w:type="paragraph" w:styleId="1053">
    <w:name w:val="无间隔"/>
    <w:next w:val="1053"/>
    <w:link w:val="932"/>
    <w:uiPriority w:val="99"/>
    <w:qFormat/>
    <w:pPr>
      <w:jc w:val="both"/>
      <w:widowControl w:val="off"/>
    </w:pPr>
    <w:rPr>
      <w:sz w:val="21"/>
      <w:szCs w:val="21"/>
      <w:lang w:val="en-US" w:eastAsia="zh-CN" w:bidi="ar-SA"/>
    </w:rPr>
  </w:style>
  <w:style w:type="paragraph" w:styleId="1054">
    <w:name w:val="正文文本 211"/>
    <w:basedOn w:val="932"/>
    <w:next w:val="1054"/>
    <w:link w:val="932"/>
    <w:uiPriority w:val="99"/>
    <w:qFormat/>
    <w:pPr>
      <w:jc w:val="center"/>
    </w:pPr>
    <w:rPr>
      <w:b/>
      <w:bCs/>
      <w:sz w:val="20"/>
      <w:szCs w:val="20"/>
    </w:rPr>
  </w:style>
  <w:style w:type="table" w:styleId="1055">
    <w:name w:val="Table Normal"/>
    <w:next w:val="1055"/>
    <w:link w:val="932"/>
    <w:qFormat/>
    <w:rPr>
      <w:lang w:val="en-US" w:eastAsia="zh-CN" w:bidi="ar-SA"/>
    </w:rPr>
    <w:tblPr/>
  </w:style>
  <w:style w:type="paragraph" w:styleId="1056">
    <w:name w:val="正文文本1"/>
    <w:basedOn w:val="932"/>
    <w:next w:val="932"/>
    <w:link w:val="932"/>
    <w:semiHidden/>
    <w:qFormat/>
    <w:rPr>
      <w:rFonts w:ascii="Arial" w:hAnsi="Arial" w:eastAsia="Arial" w:cs="Arial"/>
      <w:sz w:val="21"/>
      <w:szCs w:val="21"/>
      <w:lang w:val="en-US" w:eastAsia="en-US" w:bidi="ar-SA"/>
    </w:rPr>
  </w:style>
  <w:style w:type="paragraph" w:styleId="1057">
    <w:name w:val="纯文本1"/>
    <w:basedOn w:val="932"/>
    <w:next w:val="1057"/>
    <w:link w:val="932"/>
    <w:qFormat/>
    <w:rPr>
      <w:rFonts w:ascii="宋体" w:hAnsi="Courier New" w:cs="Courier New"/>
    </w:rPr>
  </w:style>
  <w:style w:type="table" w:styleId="1058">
    <w:name w:val="网格型1"/>
    <w:basedOn w:val="1059"/>
    <w:next w:val="1058"/>
    <w:link w:val="932"/>
    <w:qFormat/>
    <w:pPr>
      <w:jc w:val="both"/>
      <w:widowControl w:val="off"/>
    </w:pPr>
    <w:tblPr/>
  </w:style>
  <w:style w:type="table" w:styleId="1059">
    <w:name w:val="普通表格1"/>
    <w:next w:val="1059"/>
    <w:link w:val="932"/>
    <w:uiPriority w:val="99"/>
    <w:unhideWhenUsed/>
    <w:qFormat/>
    <w:rPr>
      <w:lang w:val="en-US" w:eastAsia="zh-CN" w:bidi="ar-SA"/>
    </w:rPr>
    <w:tblPr/>
  </w:style>
  <w:style w:type="character" w:styleId="1060">
    <w:name w:val="15"/>
    <w:next w:val="1060"/>
    <w:link w:val="932"/>
    <w:rPr>
      <w:rFonts w:ascii="Times New Roman" w:hAnsi="Times New Roman" w:cs="Times New Roman"/>
    </w:rPr>
  </w:style>
  <w:style w:type="paragraph" w:styleId="1061">
    <w:name w:val="正文首行缩进 211"/>
    <w:basedOn w:val="1013"/>
    <w:next w:val="932"/>
    <w:link w:val="932"/>
    <w:qFormat/>
    <w:pPr>
      <w:ind w:left="0" w:firstLine="420"/>
      <w:spacing w:after="0" w:line="360" w:lineRule="auto"/>
    </w:pPr>
    <w:rPr>
      <w:rFonts w:ascii="宋体" w:hAnsi="宋体" w:eastAsia="宋体" w:cs="Times New Roman"/>
      <w:szCs w:val="20"/>
    </w:rPr>
  </w:style>
  <w:style w:type="paragraph" w:styleId="1062">
    <w:name w:val="Table Paragraph"/>
    <w:basedOn w:val="932"/>
    <w:next w:val="1062"/>
    <w:link w:val="932"/>
    <w:uiPriority w:val="1"/>
    <w:qFormat/>
    <w:pPr>
      <w:jc w:val="left"/>
    </w:pPr>
    <w:rPr>
      <w:rFonts w:ascii="宋体" w:hAnsi="宋体" w:eastAsia="宋体" w:cs="宋体"/>
      <w:sz w:val="22"/>
      <w:szCs w:val="22"/>
      <w:lang w:val="zh-CN" w:bidi="zh-CN"/>
    </w:rPr>
  </w:style>
  <w:style w:type="character" w:styleId="1063" w:default="1">
    <w:name w:val="Default Paragraph Font"/>
    <w:uiPriority w:val="1"/>
    <w:semiHidden/>
    <w:unhideWhenUsed/>
  </w:style>
  <w:style w:type="numbering" w:styleId="1064" w:default="1">
    <w:name w:val="No List"/>
    <w:uiPriority w:val="99"/>
    <w:semiHidden/>
    <w:unhideWhenUsed/>
  </w:style>
  <w:style w:type="table" w:styleId="1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6</cp:revision>
  <dcterms:created xsi:type="dcterms:W3CDTF">2026-09-16T08:21:00Z</dcterms:created>
  <dcterms:modified xsi:type="dcterms:W3CDTF">2026-09-23T10:02:11Z</dcterms:modified>
</cp:coreProperties>
</file>