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sz w:val="32"/>
        </w:rPr>
      </w:pPr>
      <w:r>
        <w:rPr>
          <w:rFonts w:ascii="宋体" w:hAnsi="宋体"/>
          <w:b/>
          <w:sz w:val="32"/>
        </w:rPr>
        <w:t xml:space="preserve">项目编号：</w:t>
      </w:r>
      <w:r>
        <w:rPr>
          <w:rFonts w:hint="eastAsia" w:ascii="宋体" w:hAnsi="宋体"/>
          <w:b/>
          <w:sz w:val="32"/>
        </w:rPr>
        <w:t xml:space="preserve">JSZC-320500-JZCG-G2026-0191</w:t>
      </w:r>
      <w:r>
        <w:rPr>
          <w:rFonts w:ascii="宋体" w:hAnsi="宋体"/>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苏州市公改示范项目苏州市公立医院治理管理平台项目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105397776" w:anchor="_Toc105397776" w:history="1">
        <w:r>
          <w:rPr>
            <w:rStyle w:val="1070"/>
            <w:rFonts w:ascii="宋体" w:hAnsi="宋体" w:cs="Calibri"/>
            <w:bCs/>
            <w:caps/>
            <w:color w:val="auto"/>
            <w:sz w:val="32"/>
            <w:szCs w:val="32"/>
          </w:rPr>
          <w:t xml:space="preserve">第一章 投标邀请函</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_Toc105397776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5</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7" w:anchor="_Toc105397777" w:history="1">
        <w:r>
          <w:rPr>
            <w:rStyle w:val="1070"/>
            <w:rFonts w:ascii="宋体" w:hAnsi="宋体" w:cs="Calibri"/>
            <w:bCs/>
            <w:caps/>
            <w:color w:val="auto"/>
            <w:sz w:val="32"/>
            <w:szCs w:val="32"/>
          </w:rPr>
          <w:t xml:space="preserve">第二章 投标人须知</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_Toc105397777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8</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78" w:anchor="_Toc105397778" w:history="1">
        <w:r>
          <w:rPr>
            <w:rStyle w:val="1070"/>
            <w:rFonts w:ascii="宋体" w:hAnsi="宋体" w:cs="Calibri"/>
            <w:bCs/>
            <w:caps/>
            <w:color w:val="auto"/>
            <w:sz w:val="32"/>
            <w:szCs w:val="32"/>
          </w:rPr>
          <w:t xml:space="preserve">第三章 投标文件格式</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_Toc105397778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20</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3" w:anchor="_Toc105397793" w:history="1">
        <w:r>
          <w:rPr>
            <w:rStyle w:val="1070"/>
            <w:rFonts w:ascii="宋体" w:hAnsi="宋体" w:cs="Calibri"/>
            <w:bCs/>
            <w:caps/>
            <w:color w:val="auto"/>
            <w:sz w:val="32"/>
            <w:szCs w:val="32"/>
          </w:rPr>
          <w:t xml:space="preserve">第四章 招标书</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_Toc105397793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33</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4" w:anchor="_Toc105397794" w:history="1">
        <w:r>
          <w:rPr>
            <w:rStyle w:val="1070"/>
            <w:rFonts w:ascii="宋体" w:hAnsi="宋体" w:cs="Calibri"/>
            <w:bCs/>
            <w:caps/>
            <w:color w:val="auto"/>
            <w:sz w:val="32"/>
            <w:szCs w:val="32"/>
          </w:rPr>
          <w:t xml:space="preserve">第五章 合同及主要条款</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_Toc105397794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46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4" w:leader="dot"/>
        </w:tabs>
        <w:rPr>
          <w:rStyle w:val="1070"/>
          <w:rFonts w:ascii="宋体" w:hAnsi="宋体" w:cs="Calibri"/>
          <w:bCs/>
          <w:caps/>
          <w:color w:val="auto"/>
          <w:sz w:val="32"/>
          <w:szCs w:val="32"/>
        </w:rPr>
        <w:outlineLvl w:val="9"/>
      </w:pPr>
      <w:r/>
      <w:hyperlink w:tooltip="#_Toc105397795" w:anchor="_Toc105397795" w:history="1">
        <w:r>
          <w:rPr>
            <w:rStyle w:val="1070"/>
            <w:rFonts w:ascii="宋体" w:hAnsi="宋体" w:cs="Calibri"/>
            <w:bCs/>
            <w:caps/>
            <w:color w:val="auto"/>
            <w:sz w:val="32"/>
            <w:szCs w:val="32"/>
          </w:rPr>
          <w:t xml:space="preserve">第六章 评标办法和评分标准</w:t>
        </w:r>
        <w:r>
          <w:rPr>
            <w:rStyle w:val="1070"/>
            <w:rFonts w:ascii="宋体" w:hAnsi="宋体" w:cs="Calibri"/>
            <w:bCs/>
            <w:caps/>
            <w:color w:val="auto"/>
            <w:sz w:val="32"/>
            <w:szCs w:val="32"/>
          </w:rPr>
          <w:tab/>
        </w:r>
        <w:r>
          <w:rPr>
            <w:rStyle w:val="1070"/>
            <w:rFonts w:ascii="宋体" w:hAnsi="宋体" w:cs="Calibri"/>
            <w:bCs/>
            <w:caps/>
            <w:color w:val="auto"/>
            <w:sz w:val="32"/>
            <w:szCs w:val="32"/>
          </w:rPr>
          <w:fldChar w:fldCharType="begin"/>
        </w:r>
        <w:r>
          <w:rPr>
            <w:rStyle w:val="1070"/>
            <w:rFonts w:ascii="宋体" w:hAnsi="宋体" w:cs="Calibri"/>
            <w:bCs/>
            <w:caps/>
            <w:color w:val="auto"/>
            <w:sz w:val="32"/>
            <w:szCs w:val="32"/>
          </w:rPr>
          <w:instrText xml:space="preserve"> PAGEREF _Toc105397795 \h </w:instrText>
        </w:r>
        <w:r>
          <w:rPr>
            <w:rStyle w:val="1070"/>
            <w:rFonts w:ascii="宋体" w:hAnsi="宋体" w:cs="Calibri"/>
            <w:bCs/>
            <w:caps/>
            <w:color w:val="auto"/>
            <w:sz w:val="32"/>
            <w:szCs w:val="32"/>
          </w:rPr>
        </w:r>
        <w:r>
          <w:rPr>
            <w:rStyle w:val="1070"/>
            <w:rFonts w:ascii="宋体" w:hAnsi="宋体" w:cs="Calibri"/>
            <w:bCs/>
            <w:caps/>
            <w:color w:val="auto"/>
            <w:sz w:val="32"/>
            <w:szCs w:val="32"/>
          </w:rPr>
          <w:fldChar w:fldCharType="separate"/>
        </w:r>
        <w:r>
          <w:rPr>
            <w:rStyle w:val="1070"/>
            <w:rFonts w:hint="eastAsia" w:ascii="宋体" w:hAnsi="宋体" w:cs="Calibri"/>
            <w:bCs/>
            <w:caps/>
            <w:color w:val="auto"/>
            <w:sz w:val="32"/>
            <w:szCs w:val="32"/>
          </w:rPr>
          <w:t xml:space="preserve">46</w:t>
        </w:r>
        <w:r>
          <w:rPr>
            <w:rStyle w:val="1070"/>
            <w:rFonts w:ascii="宋体" w:hAnsi="宋体" w:cs="Calibri"/>
            <w:bCs/>
            <w:caps/>
            <w:color w:val="auto"/>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苏州市公改示范项目苏州市公立医院治理管理平台项目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吕阳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0512-67539523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9月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9月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9月</w:t>
            </w:r>
            <w:r>
              <w:rPr>
                <w:rFonts w:hint="eastAsia" w:ascii="宋体" w:hAnsi="宋体" w:cs="Times New Roman"/>
                <w:sz w:val="21"/>
                <w:szCs w:val="21"/>
                <w:u w:val="single"/>
              </w:rPr>
              <w:t xml:space="preserve">29日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5"/>
        <w:ind w:left="431" w:firstLine="17"/>
        <w:jc w:val="center"/>
        <w:spacing w:before="0" w:after="0" w:line="360" w:lineRule="auto"/>
        <w:rPr>
          <w:rStyle w:val="113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苏州市公改示范项目苏州市公立医院治理管理平台项目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w:t>
      </w:r>
      <w:r>
        <w:rPr>
          <w:rFonts w:ascii="宋体" w:hAnsi="宋体"/>
          <w:b/>
          <w:sz w:val="21"/>
          <w:szCs w:val="21"/>
          <w:u w:val="single"/>
        </w:rPr>
        <w:t xml:space="preserve">29</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JSZC-320500-JZCG-G2026-0191</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苏州市公改示范项目苏州市公立医院治理管理平台项目</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人民币陆佰陆拾玖万捌仟柒佰元整（￥：6</w:t>
      </w:r>
      <w:r>
        <w:rPr>
          <w:rFonts w:ascii="宋体" w:hAnsi="宋体"/>
          <w:sz w:val="21"/>
        </w:rPr>
        <w:t xml:space="preserve">698700.00</w:t>
      </w:r>
      <w:r>
        <w:rPr>
          <w:rFonts w:hint="eastAsia" w:ascii="宋体" w:hAnsi="宋体"/>
          <w:sz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人民币陆佰陆拾玖万捌仟柒佰元整（￥：6</w:t>
      </w:r>
      <w:r>
        <w:rPr>
          <w:rFonts w:ascii="宋体" w:hAnsi="宋体"/>
          <w:sz w:val="21"/>
        </w:rPr>
        <w:t xml:space="preserve">698700.00</w:t>
      </w:r>
      <w:r>
        <w:rPr>
          <w:rFonts w:hint="eastAsia" w:ascii="宋体" w:hAnsi="宋体"/>
          <w:sz w:val="21"/>
        </w:rPr>
        <w:t xml:space="preserve">）</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自合同签订之日起5个月内完成项目建设内容并上线试运行，试运行时间不低于3个月，并承诺提供自验收通过之日起不少于5年的免费维保。</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苏州市公改示范项目苏州市公立医院治理管理平台项目</w:t>
      </w:r>
      <w:r>
        <w:rPr>
          <w:rFonts w:hint="eastAsia" w:ascii="宋体" w:hAnsi="宋体"/>
          <w:sz w:val="21"/>
          <w:szCs w:val="21"/>
        </w:rPr>
        <w:t xml:space="preserve">（详见采购文件 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年9月29日 13点30分</w:t>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年9月29日 13点30分</w:t>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吕阳</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0512-67539523</w:t>
      </w:r>
      <w:r>
        <w:rPr>
          <w:rFonts w:hint="eastAsia"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bookmarkStart w:id="6" w:name="OLE_LINK18"/>
      <w:r>
        <w:rPr>
          <w:rFonts w:hint="eastAsia" w:ascii="宋体" w:hAnsi="宋体"/>
          <w:sz w:val="21"/>
          <w:szCs w:val="21"/>
        </w:rPr>
        <w:t xml:space="preserve">0</w:t>
      </w:r>
      <w:r>
        <w:rPr>
          <w:rFonts w:ascii="宋体" w:hAnsi="宋体"/>
          <w:sz w:val="21"/>
          <w:szCs w:val="21"/>
        </w:rPr>
        <w:t xml:space="preserve">512-69820710</w:t>
      </w:r>
      <w:bookmarkEnd w:id="6"/>
      <w:r>
        <w:rPr>
          <w:rFonts w:hint="eastAsia"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罗工</w:t>
      </w:r>
      <w:r>
        <w:rPr>
          <w:rFonts w:hint="eastAsia"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7"/>
      </w:pPr>
      <w:r/>
      <w:r/>
    </w:p>
    <w:p>
      <w:r/>
      <w:r/>
    </w:p>
    <w:p>
      <w:pPr>
        <w:pStyle w:val="1017"/>
      </w:pPr>
      <w:r/>
      <w:r/>
    </w:p>
    <w:p>
      <w:r/>
      <w:r/>
    </w:p>
    <w:p>
      <w:pPr>
        <w:pStyle w:val="1017"/>
      </w:pPr>
      <w:r/>
      <w:r/>
    </w:p>
    <w:p>
      <w:r/>
      <w:r/>
    </w:p>
    <w:p>
      <w:pPr>
        <w:pStyle w:val="1017"/>
      </w:pPr>
      <w:r/>
      <w:r/>
    </w:p>
    <w:p>
      <w:r/>
      <w:r/>
    </w:p>
    <w:p>
      <w:pPr>
        <w:pStyle w:val="1017"/>
      </w:pPr>
      <w:r/>
      <w:r/>
    </w:p>
    <w:p>
      <w:r/>
      <w:r/>
    </w:p>
    <w:p>
      <w:pPr>
        <w:pStyle w:val="1017"/>
      </w:pPr>
      <w:r/>
      <w:r/>
    </w:p>
    <w:p>
      <w:pPr>
        <w:pStyle w:val="1017"/>
        <w:ind w:left="0" w:firstLine="0"/>
      </w:pPr>
      <w:r/>
      <w:r/>
    </w:p>
    <w:p>
      <w:pPr>
        <w:pStyle w:val="1005"/>
        <w:ind w:left="0" w:firstLine="0"/>
        <w:jc w:val="center"/>
        <w:rPr>
          <w:rFonts w:ascii="宋体" w:hAnsi="宋体"/>
          <w:b/>
          <w:sz w:val="44"/>
          <w:szCs w:val="22"/>
        </w:rPr>
      </w:pPr>
      <w:r/>
      <w:bookmarkStart w:id="7" w:name="_Toc105397777"/>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23"/>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1023"/>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1"/>
      <w:r/>
      <w:bookmarkEnd w:id="22"/>
      <w:r/>
      <w:bookmarkEnd w:id="23"/>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bookmarkStart w:id="28" w:name="OLE_LINK41"/>
      <w:r>
        <w:rPr>
          <w:rFonts w:hint="eastAsia" w:ascii="宋体" w:hAnsi="宋体"/>
          <w:b/>
          <w:sz w:val="21"/>
          <w:szCs w:val="21"/>
        </w:rPr>
        <w:t xml:space="preserve">联系电话：0512-69826795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bookmarkEnd w:id="28"/>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31150"/>
      <w:r/>
      <w:bookmarkStart w:id="30"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2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2837"/>
      <w:r/>
      <w:bookmarkStart w:id="32"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sz w:val="21"/>
          <w:szCs w:val="21"/>
        </w:rPr>
      </w:pPr>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36"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36"/>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37" w:name="OLE_LINK15"/>
      <w:r/>
      <w:bookmarkStart w:id="38" w:name="OLE_LINK16"/>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37"/>
      <w:r/>
      <w:bookmarkEnd w:id="38"/>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39" w:name="OLE_LINK29"/>
      <w:r/>
      <w:bookmarkStart w:id="40"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239"/>
        <w:ind w:left="0" w:firstLine="422"/>
        <w:spacing w:line="360" w:lineRule="auto"/>
        <w:rPr>
          <w:shd w:val="clear" w:color="auto" w:fill="ffffff"/>
        </w:rPr>
      </w:pPr>
      <w:r/>
      <w:bookmarkStart w:id="41" w:name="OLE_LINK3"/>
      <w:r/>
      <w:bookmarkStart w:id="42" w:name="OLE_LINK4"/>
      <w:r/>
      <w:bookmarkStart w:id="43" w:name="OLE_LINK31"/>
      <w:r/>
      <w:bookmarkStart w:id="44" w:name="OLE_LINK34"/>
      <w:r/>
      <w:bookmarkEnd w:id="39"/>
      <w:r/>
      <w:bookmarkEnd w:id="40"/>
      <w:r>
        <w:rPr>
          <w:rFonts w:ascii="宋体" w:hAnsi="宋体"/>
          <w:b/>
          <w:sz w:val="21"/>
          <w:szCs w:val="21"/>
        </w:rPr>
        <w:t xml:space="preserve">26.4.2</w:t>
      </w:r>
      <w:r>
        <w:rPr>
          <w:rFonts w:hint="eastAsia" w:ascii="宋体" w:hAnsi="宋体"/>
          <w:b/>
          <w:sz w:val="21"/>
          <w:szCs w:val="21"/>
        </w:rPr>
        <w:t xml:space="preserve">启动异常低价投标审查后，</w:t>
      </w:r>
      <w:bookmarkStart w:id="45" w:name="OLE_LINK1"/>
      <w:r/>
      <w:bookmarkStart w:id="46" w:name="OLE_LINK2"/>
      <w:r>
        <w:rPr>
          <w:rFonts w:hint="eastAsia" w:ascii="宋体" w:hAnsi="宋体"/>
          <w:b/>
          <w:sz w:val="21"/>
          <w:szCs w:val="21"/>
        </w:rPr>
        <w:t xml:space="preserve">评标委员会</w:t>
      </w:r>
      <w:bookmarkEnd w:id="45"/>
      <w:r/>
      <w:bookmarkEnd w:id="4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7" w:name="OLE_LINK9"/>
      <w:r/>
      <w:bookmarkStart w:id="48" w:name="OLE_LINK10"/>
      <w:r>
        <w:rPr>
          <w:rFonts w:hint="eastAsia" w:ascii="宋体" w:hAnsi="宋体"/>
          <w:b/>
          <w:sz w:val="21"/>
          <w:szCs w:val="21"/>
        </w:rPr>
        <w:t xml:space="preserve">，</w:t>
      </w:r>
      <w:bookmarkEnd w:id="47"/>
      <w:r/>
      <w:bookmarkEnd w:id="4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bookmarkEnd w:id="43"/>
      <w:r/>
      <w:bookmarkEnd w:id="44"/>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3" w:name="_Toc105397778"/>
      <w:r/>
      <w:bookmarkStart w:id="54" w:name="_Toc7264"/>
      <w:r/>
      <w:bookmarkStart w:id="55" w:name="_Toc24711"/>
      <w:r>
        <w:rPr>
          <w:rFonts w:hint="eastAsia" w:ascii="宋体" w:hAnsi="宋体"/>
          <w:b/>
          <w:sz w:val="44"/>
          <w:szCs w:val="22"/>
        </w:rPr>
        <w:br w:type="page" w:clear="all"/>
      </w:r>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17036"/>
      <w:r/>
      <w:bookmarkStart w:id="59" w:name="_Toc105397779"/>
      <w:r/>
      <w:bookmarkStart w:id="60" w:name="_Toc71810480"/>
      <w:r>
        <w:rPr>
          <w:rFonts w:hint="eastAsia" w:ascii="宋体" w:hAnsi="宋体"/>
          <w:b/>
          <w:sz w:val="21"/>
          <w:szCs w:val="21"/>
        </w:rPr>
        <w:t xml:space="preserve">附件1.投标函</w:t>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2" w:name="_Toc241"/>
      <w:r/>
      <w:bookmarkStart w:id="73" w:name="_Toc7945"/>
      <w:r/>
      <w:bookmarkStart w:id="7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5" w:name="_Toc105397781"/>
      <w:r>
        <w:rPr>
          <w:rFonts w:ascii="宋体" w:hAnsi="宋体"/>
          <w:b/>
          <w:sz w:val="21"/>
          <w:szCs w:val="21"/>
        </w:rPr>
        <w:t xml:space="preserve">附件3</w:t>
      </w:r>
      <w:bookmarkEnd w:id="72"/>
      <w:r/>
      <w:bookmarkEnd w:id="73"/>
      <w:r>
        <w:rPr>
          <w:rFonts w:hint="eastAsia" w:ascii="宋体" w:hAnsi="宋体"/>
          <w:b/>
          <w:sz w:val="21"/>
          <w:szCs w:val="21"/>
        </w:rPr>
        <w:t xml:space="preserve">.公开分项报价</w:t>
      </w:r>
      <w:bookmarkEnd w:id="74"/>
      <w:r/>
      <w:bookmarkEnd w:id="75"/>
      <w:r/>
      <w:r/>
    </w:p>
    <w:p>
      <w:pPr>
        <w:pStyle w:val="1017"/>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6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71810484"/>
      <w:r/>
      <w:bookmarkStart w:id="80" w:name="_Toc19621"/>
      <w:r/>
      <w:bookmarkStart w:id="81"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苏州市卫生健康信息中心</w:t>
      </w:r>
      <w:r>
        <w:rPr>
          <w:rFonts w:hint="eastAsia" w:ascii="宋体" w:hAnsi="宋体"/>
          <w:sz w:val="21"/>
          <w:szCs w:val="21"/>
        </w:rPr>
        <w:t xml:space="preserve">的</w:t>
      </w:r>
      <w:r>
        <w:rPr>
          <w:rFonts w:hint="eastAsia" w:ascii="宋体" w:hAnsi="宋体"/>
          <w:sz w:val="21"/>
          <w:szCs w:val="21"/>
          <w:u w:val="single"/>
        </w:rPr>
        <w:t xml:space="preserve">苏州市公改示范项目苏州市公立医院治理管理平台项目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苏州市公改示范项目苏州市公立医院治理管理平台项目</w:t>
      </w:r>
      <w:r>
        <w:rPr>
          <w:rFonts w:hint="eastAsia" w:ascii="宋体" w:hAnsi="宋体"/>
          <w:sz w:val="21"/>
          <w:szCs w:val="21"/>
        </w:rPr>
        <w:t xml:space="preserve">，属于</w:t>
      </w:r>
      <w:r>
        <w:rPr>
          <w:rFonts w:hint="eastAsia" w:ascii="宋体" w:hAnsi="宋体"/>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2206"/>
      <w:r/>
      <w:bookmarkStart w:id="85" w:name="_Toc15378"/>
      <w:r/>
      <w:bookmarkStart w:id="8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4"/>
        <w:ind w:left="0" w:firstLine="0"/>
        <w:rPr>
          <w:rFonts w:ascii="宋体" w:hAnsi="宋体"/>
          <w:b/>
          <w:lang w:val="zh-CN"/>
        </w:rPr>
      </w:pPr>
      <w:r>
        <w:rPr>
          <w:rFonts w:ascii="宋体" w:hAnsi="宋体"/>
          <w:b/>
          <w:lang w:val="zh-CN"/>
        </w:rPr>
      </w:r>
      <w:r/>
    </w:p>
    <w:p>
      <w:pPr>
        <w:pStyle w:val="106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103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4" w:name="_Toc105397788"/>
      <w:r/>
      <w:bookmarkStart w:id="95"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5"/>
      <w:r/>
      <w:bookmarkEnd w:id="9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7" w:name="OLE_LINK7"/>
      <w:r/>
      <w:bookmarkStart w:id="98" w:name="OLE_LINK8"/>
      <w:r/>
      <w:bookmarkStart w:id="99" w:name="OLE_LINK48"/>
      <w:r>
        <w:rPr>
          <w:rFonts w:hint="eastAsia" w:ascii="宋体" w:hAnsi="宋体"/>
          <w:b/>
          <w:sz w:val="21"/>
          <w:szCs w:val="21"/>
          <w:lang w:val="zh-CN"/>
        </w:rPr>
        <w:t xml:space="preserve">备注：根据招标文件第二章“投标人须知”第26.4</w:t>
      </w:r>
      <w:bookmarkStart w:id="10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7"/>
      <w:r/>
      <w:bookmarkEnd w:id="98"/>
      <w:r/>
      <w:bookmarkEnd w:id="9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lang w:val="zh-CN"/>
        </w:rPr>
      </w:pPr>
      <w:r>
        <w:rPr>
          <w:lang w:val="zh-CN"/>
        </w:rPr>
      </w:r>
      <w:r/>
    </w:p>
    <w:p>
      <w:pPr>
        <w:rPr>
          <w:lang w:val="zh-CN"/>
        </w:rPr>
      </w:pPr>
      <w:r>
        <w:rPr>
          <w:lang w:val="zh-CN"/>
        </w:rPr>
      </w:r>
      <w:r/>
    </w:p>
    <w:p>
      <w:pPr>
        <w:pStyle w:val="1017"/>
        <w:rPr>
          <w:lang w:val="zh-CN"/>
        </w:rPr>
      </w:pPr>
      <w:r>
        <w:rPr>
          <w:lang w:val="zh-CN"/>
        </w:rPr>
      </w:r>
      <w:r/>
    </w:p>
    <w:p>
      <w:pPr>
        <w:pStyle w:val="1005"/>
        <w:ind w:left="0" w:firstLine="0"/>
        <w:jc w:val="center"/>
        <w:rPr>
          <w:rFonts w:ascii="宋体" w:hAnsi="宋体"/>
          <w:b/>
          <w:sz w:val="44"/>
          <w:szCs w:val="22"/>
        </w:rPr>
      </w:pPr>
      <w:r/>
      <w:bookmarkStart w:id="101" w:name="_Toc4098"/>
      <w:r/>
      <w:bookmarkStart w:id="102" w:name="_Toc105397793"/>
      <w:r/>
      <w:bookmarkStart w:id="103" w:name="_Toc23660"/>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苏州市卫生健康信息中心</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苏州市公改示范项目苏州市公立医院治理管理平台项目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JSZC-320500-JZCG-G2026-0191</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苏州市公改示范项目苏州市公立医院治理管理平台项目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人民币陆佰陆拾玖万捌仟柒佰元整（￥：6</w:t>
      </w:r>
      <w:r>
        <w:rPr>
          <w:rFonts w:ascii="宋体" w:hAnsi="宋体"/>
          <w:sz w:val="21"/>
        </w:rPr>
        <w:t xml:space="preserve">698700.00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人民币陆佰陆拾玖万捌仟柒佰元整（￥：6</w:t>
      </w:r>
      <w:r>
        <w:rPr>
          <w:rFonts w:ascii="宋体" w:hAnsi="宋体"/>
          <w:sz w:val="21"/>
        </w:rPr>
        <w:t xml:space="preserve">698700.00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自合同签订之日起5个月内完成项目建设内容并上线试运行，试运行时间不低于3个月，并承诺提供自验收通过之日起不少于5年的免费维保。</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近年来，苏州市紧扣国家医药卫生体制改革部署，坚守以人民健康为中心的发展理念，持续优化市域医疗资源布局，推动优质医疗资源下沉提质，健全行业治理与综合监管体系，全力搭建稳固完善的医疗卫生服务框架，稳步推动全市卫生健康事业高质量发展。市卫健委严格对标国家医改及公立医院高质量发展相关政策，立足本地发展实情出台务实创新改革举措，推动各项卫健政策落地见效。</w:t>
      </w:r>
      <w:r/>
    </w:p>
    <w:p>
      <w:pPr>
        <w:ind w:left="0" w:firstLine="420"/>
        <w:spacing w:line="360" w:lineRule="auto"/>
        <w:tabs>
          <w:tab w:val="left" w:pos="420" w:leader="none"/>
        </w:tabs>
        <w:rPr>
          <w:rFonts w:ascii="宋体" w:hAnsi="宋体"/>
          <w:sz w:val="21"/>
        </w:rPr>
      </w:pPr>
      <w:r>
        <w:rPr>
          <w:rFonts w:hint="eastAsia" w:ascii="宋体" w:hAnsi="宋体"/>
          <w:sz w:val="21"/>
        </w:rPr>
        <w:t xml:space="preserve">伴随健康中国战略全面推进，医疗卫生事业已然成为赋能城市发展</w:t>
      </w:r>
      <w:r>
        <w:rPr>
          <w:rFonts w:hint="eastAsia" w:ascii="宋体" w:hAnsi="宋体"/>
          <w:sz w:val="21"/>
        </w:rPr>
        <w:t xml:space="preserve">、提升综合实力的重要基石。面对群众日益增长的优质就医需求，苏州正视医疗资源总量不足、区域配置不均、高端医疗人才紧缺等现实问题，持续深化三医联动改革，完善现代医院管理制度，优化医疗资源空间布局，并且全面推动公立医院实现“三个转变”——即从规模扩张向提质增效转变、从粗放式管理向精细化管理转变、从侧重物质资源投入向更加注重人才与技术要素转变。通过上述努力，苏州市力争实现医疗服务质量、临床科研能力及内部管理效能的全方位提升，为将苏州建设成为具有显著影响力的社会主义现代化强市提供更加坚实的健康支撑，作出新的更大贡献。</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构建以公益性为核心的现代医院治理新范式，实现从“经验管理”到“数据决策”的跨越，为政府主管部门提供一套科学、精准、实时的公立医院综合监管与决策支持体系，确保</w:t>
      </w:r>
      <w:r>
        <w:rPr>
          <w:rFonts w:hint="eastAsia" w:ascii="宋体" w:hAnsi="宋体"/>
          <w:sz w:val="21"/>
        </w:rPr>
        <w:t xml:space="preserve">改革方向不偏离、公益属性不动摇。立足苏州整合型医疗服务体系建设需求，明确各级各类医疗机构功能定位，加快县域优质医疗卫生资源扩容和均衡布局。依托平台建立科学的算法体系，构建区域内医疗机构客观评价体系，涵盖医疗质量、服务效率、运营效益、群众满意度等核心维度。赋能公立医院精益运营智慧管理，构建全流程预算管理体系。推进成本精细化核算管理，健全内部控制信息化体系，优化人事薪酬与绩效考核管理。构建智能决策与行业监管体系，打造多维度数据监测分析平台，强化智能决策支持能力，健全公立医院科学评价体系，提升行业管理科学化水平。</w:t>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3.建设参考依据</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政策制度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《中共中央关于进一步全面深化改革推进中国式现代化的决定》</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《"健康中国2030"规划纲要》</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《关于推动公立医院高质量发展的意见》</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《"十四五"全民健康信息化规划》</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《关于加强公立医院运营管理的指导意见》（国卫财务发〔2020〕27号）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《公立医院运营管理信息化功能指引》（国卫办财务函〔2022〕126号）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《关于2024-2025年持续开展"公立医疗机构经济管理年"活动的通知》</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《国家三级公立医院绩效考核操作手册（2024版）》</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《国家三级公立中医医院绩效考核操作手册（2024版）》</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《国家三级公立医院绩效监测操作手册（2025版）》</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《国家三级公立中医医院绩效监测操作手册（2025版）》</w:t>
      </w:r>
      <w:r/>
    </w:p>
    <w:p>
      <w:pPr>
        <w:ind w:left="0" w:firstLine="420"/>
        <w:spacing w:line="360" w:lineRule="auto"/>
        <w:tabs>
          <w:tab w:val="left" w:pos="420" w:leader="none"/>
        </w:tabs>
        <w:rPr>
          <w:rFonts w:ascii="宋体" w:hAnsi="宋体"/>
          <w:sz w:val="21"/>
        </w:rPr>
      </w:pPr>
      <w:r>
        <w:rPr>
          <w:rFonts w:hint="eastAsia" w:ascii="宋体" w:hAnsi="宋体"/>
          <w:sz w:val="21"/>
        </w:rPr>
        <w:t xml:space="preserve">《公立医院高质量发展评价指标（试行）操作手册（2022版）》</w:t>
      </w:r>
      <w:r/>
    </w:p>
    <w:p>
      <w:pPr>
        <w:ind w:left="0" w:firstLine="420"/>
        <w:spacing w:line="360" w:lineRule="auto"/>
        <w:tabs>
          <w:tab w:val="left" w:pos="420" w:leader="none"/>
        </w:tabs>
        <w:rPr>
          <w:rFonts w:ascii="宋体" w:hAnsi="宋体"/>
          <w:sz w:val="21"/>
        </w:rPr>
      </w:pPr>
      <w:r>
        <w:rPr>
          <w:rFonts w:hint="eastAsia" w:ascii="宋体" w:hAnsi="宋体"/>
          <w:sz w:val="21"/>
        </w:rPr>
        <w:t xml:space="preserve">《财政部办公厅 国家卫生健康委办公厅关于组织申报2024年中央财政支持公立医院改革与高质量发展示范项目的通知》（财办社〔2024〕14号）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《江苏省苏州市公立医院改革与高质量发展示范项目实施方案》</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标准规范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《卫生健康信息数据集分类与编码规则》（WS/T 306-2023）</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健康医疗数据安全指南》（GB/T 39725-2020）</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《全国医院信息化建设标准与规范》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《卫生健康信息数据元值域代码》（WS/T 364-2023）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《卫生健康信息数据元目录》（WS/T 363-2023）</w:t>
      </w:r>
      <w:r/>
    </w:p>
    <w:p>
      <w:pPr>
        <w:ind w:left="0" w:firstLine="420"/>
        <w:spacing w:line="360" w:lineRule="auto"/>
        <w:tabs>
          <w:tab w:val="left" w:pos="420" w:leader="none"/>
        </w:tabs>
        <w:rPr>
          <w:rFonts w:ascii="宋体" w:hAnsi="宋体"/>
          <w:sz w:val="21"/>
        </w:rPr>
      </w:pPr>
      <w:r>
        <w:rPr>
          <w:rFonts w:hint="eastAsia" w:ascii="宋体" w:hAnsi="宋体"/>
          <w:sz w:val="21"/>
        </w:rPr>
        <w:t xml:space="preserve">《网络安全等级保护基本要求》（GB/T 22239-2019）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《信息系统密码应用基本要求》（GB/T 39786-2021）</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个人信息安全规范》（GB/T 35273-2020）</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《数据管理能力成熟度评估模型》（GB/T 36073-2018）</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《医疗机构数据分类分级规范》（DB3205/T 1167-2024）</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法律法规</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《中华人民共和国数据安全法》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《中华人民共和国网络安全法》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《中华人民共和国密码法》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《中华人民共和国个人信息保护法》</w:t>
      </w:r>
      <w:r/>
    </w:p>
    <w:p>
      <w:pPr>
        <w:ind w:left="0" w:firstLine="420"/>
        <w:spacing w:line="360" w:lineRule="auto"/>
        <w:tabs>
          <w:tab w:val="left" w:pos="420" w:leader="none"/>
        </w:tabs>
        <w:rPr>
          <w:rFonts w:ascii="宋体" w:hAnsi="宋体"/>
          <w:sz w:val="21"/>
        </w:rPr>
      </w:pPr>
      <w:r>
        <w:rPr>
          <w:rFonts w:hint="eastAsia" w:ascii="宋体" w:hAnsi="宋体"/>
          <w:sz w:val="21"/>
        </w:rPr>
        <w:t xml:space="preserve">《关键信息基础设施安全保护条例》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《商用密码管理条例》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《医疗卫生机构网络安全管理办法》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《中华人民共和国电子签名法》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《中华人民共和国计算机信息系统安全保护条例》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《突发公共卫生事件应急条例》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《互联网政务应用安全管理规定》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《江苏省数据条例》（2025年1月22日）</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《医疗卫生机构数据安全和个人信息保护管理办法（试行）》（2026年2月）</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总体</w:t>
      </w:r>
      <w:r>
        <w:rPr>
          <w:rFonts w:hint="eastAsia" w:ascii="宋体" w:hAnsi="宋体"/>
          <w:sz w:val="21"/>
        </w:rPr>
        <w:t xml:space="preserve">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投标人须提供完整的平台总体架构设计方案，确保系统具备良好的扩展性、稳定性和安全性。总体架构应包括但不限于以下要求：</w:t>
      </w:r>
      <w:r/>
    </w:p>
    <w:p>
      <w:pPr>
        <w:ind w:left="0" w:firstLine="420"/>
        <w:spacing w:line="360" w:lineRule="auto"/>
        <w:tabs>
          <w:tab w:val="left" w:pos="420" w:leader="none"/>
        </w:tabs>
        <w:rPr>
          <w:rFonts w:ascii="宋体" w:hAnsi="宋体"/>
          <w:sz w:val="21"/>
        </w:rPr>
      </w:pPr>
      <w:r>
        <w:rPr>
          <w:rFonts w:ascii="宋体" w:hAnsi="宋体"/>
          <w:sz w:val="21"/>
        </w:rPr>
        <w:t xml:space="preserve">应用层面</w:t>
      </w:r>
      <w:r>
        <w:rPr>
          <w:rFonts w:hint="eastAsia" w:ascii="宋体" w:hAnsi="宋体"/>
          <w:sz w:val="21"/>
        </w:rPr>
        <w:t xml:space="preserve">需</w:t>
      </w:r>
      <w:r>
        <w:rPr>
          <w:rFonts w:ascii="宋体" w:hAnsi="宋体"/>
          <w:sz w:val="21"/>
        </w:rPr>
        <w:t xml:space="preserve">遵循“统一部署、独立应用”原则</w:t>
      </w:r>
      <w:r>
        <w:rPr>
          <w:rFonts w:hint="eastAsia" w:ascii="宋体" w:hAnsi="宋体"/>
          <w:sz w:val="21"/>
        </w:rPr>
        <w:t xml:space="preserve">。</w:t>
      </w:r>
      <w:r>
        <w:rPr>
          <w:rFonts w:ascii="宋体" w:hAnsi="宋体"/>
          <w:sz w:val="21"/>
        </w:rPr>
        <w:t xml:space="preserve">市级与</w:t>
      </w:r>
      <w:r>
        <w:rPr>
          <w:rFonts w:hint="eastAsia" w:ascii="宋体" w:hAnsi="宋体"/>
          <w:sz w:val="21"/>
        </w:rPr>
        <w:t xml:space="preserve">院端</w:t>
      </w:r>
      <w:r>
        <w:rPr>
          <w:rFonts w:ascii="宋体" w:hAnsi="宋体"/>
          <w:sz w:val="21"/>
        </w:rPr>
        <w:t xml:space="preserve">功能</w:t>
      </w:r>
      <w:r>
        <w:rPr>
          <w:rFonts w:hint="eastAsia" w:ascii="宋体" w:hAnsi="宋体"/>
          <w:sz w:val="21"/>
        </w:rPr>
        <w:t xml:space="preserve">基于统一平台进行部署，并按照不同用户角色定制个性化展示页面。平台支持角色</w:t>
      </w:r>
      <w:r>
        <w:rPr>
          <w:rFonts w:ascii="宋体" w:hAnsi="宋体"/>
          <w:sz w:val="21"/>
        </w:rPr>
        <w:t xml:space="preserve">权限</w:t>
      </w:r>
      <w:r>
        <w:rPr>
          <w:rFonts w:hint="eastAsia" w:ascii="宋体" w:hAnsi="宋体"/>
          <w:sz w:val="21"/>
        </w:rPr>
        <w:t xml:space="preserve">分级管理，权限可</w:t>
      </w:r>
      <w:r>
        <w:rPr>
          <w:rFonts w:ascii="宋体" w:hAnsi="宋体"/>
          <w:sz w:val="21"/>
        </w:rPr>
        <w:t xml:space="preserve">细化至</w:t>
      </w:r>
      <w:r>
        <w:rPr>
          <w:rFonts w:hint="eastAsia" w:ascii="宋体" w:hAnsi="宋体"/>
          <w:sz w:val="21"/>
        </w:rPr>
        <w:t xml:space="preserve">功能</w:t>
      </w:r>
      <w:r>
        <w:rPr>
          <w:rFonts w:ascii="宋体" w:hAnsi="宋体"/>
          <w:sz w:val="21"/>
        </w:rPr>
        <w:t xml:space="preserve">模块及</w:t>
      </w:r>
      <w:r>
        <w:rPr>
          <w:rFonts w:hint="eastAsia" w:ascii="宋体" w:hAnsi="宋体"/>
          <w:sz w:val="21"/>
        </w:rPr>
        <w:t xml:space="preserve">具体</w:t>
      </w:r>
      <w:r>
        <w:rPr>
          <w:rFonts w:ascii="宋体" w:hAnsi="宋体"/>
          <w:sz w:val="21"/>
        </w:rPr>
        <w:t xml:space="preserve">页面，确保各级用户登录后</w:t>
      </w:r>
      <w:r>
        <w:rPr>
          <w:rFonts w:hint="eastAsia" w:ascii="宋体" w:hAnsi="宋体"/>
          <w:sz w:val="21"/>
        </w:rPr>
        <w:t xml:space="preserve">显示对应权限的</w:t>
      </w:r>
      <w:r>
        <w:rPr>
          <w:rFonts w:ascii="宋体" w:hAnsi="宋体"/>
          <w:sz w:val="21"/>
        </w:rPr>
        <w:t xml:space="preserve">应用</w:t>
      </w:r>
      <w:r>
        <w:rPr>
          <w:rFonts w:hint="eastAsia" w:ascii="宋体" w:hAnsi="宋体"/>
          <w:sz w:val="21"/>
        </w:rPr>
        <w:t xml:space="preserve">界</w:t>
      </w:r>
      <w:r>
        <w:rPr>
          <w:rFonts w:ascii="宋体" w:hAnsi="宋体"/>
          <w:sz w:val="21"/>
        </w:rPr>
        <w:t xml:space="preserve">面。</w:t>
      </w:r>
      <w:r/>
    </w:p>
    <w:p>
      <w:pPr>
        <w:ind w:left="0" w:firstLine="420"/>
        <w:spacing w:line="360" w:lineRule="auto"/>
        <w:tabs>
          <w:tab w:val="left" w:pos="420" w:leader="none"/>
        </w:tabs>
        <w:rPr>
          <w:rFonts w:ascii="宋体" w:hAnsi="宋体"/>
          <w:sz w:val="21"/>
        </w:rPr>
      </w:pPr>
      <w:r>
        <w:rPr>
          <w:rFonts w:ascii="宋体" w:hAnsi="宋体"/>
          <w:sz w:val="21"/>
        </w:rPr>
        <w:t xml:space="preserve">数</w:t>
      </w:r>
      <w:r>
        <w:rPr>
          <w:rFonts w:hint="eastAsia" w:ascii="宋体" w:hAnsi="宋体"/>
          <w:sz w:val="21"/>
        </w:rPr>
        <w:t xml:space="preserve">据层面需采用“统一资源池、集中管理”的建设模式。市级与院端两级共用统一的数据资源池，在确保数据安全和权责边界清晰的基础上，实现数据一次处理、多端复用。</w:t>
      </w:r>
      <w:r>
        <w:rPr>
          <w:rFonts w:ascii="宋体" w:hAnsi="宋体"/>
          <w:sz w:val="21"/>
        </w:rPr>
        <w:t xml:space="preserve">主题数仓在交换区</w:t>
      </w:r>
      <w:r>
        <w:rPr>
          <w:rFonts w:hint="eastAsia" w:ascii="宋体" w:hAnsi="宋体"/>
          <w:sz w:val="21"/>
        </w:rPr>
        <w:t xml:space="preserve">统一</w:t>
      </w:r>
      <w:r>
        <w:rPr>
          <w:rFonts w:ascii="宋体" w:hAnsi="宋体"/>
          <w:sz w:val="21"/>
        </w:rPr>
        <w:t xml:space="preserve">部署，</w:t>
      </w:r>
      <w:r>
        <w:rPr>
          <w:rFonts w:hint="eastAsia" w:ascii="宋体" w:hAnsi="宋体"/>
          <w:sz w:val="21"/>
        </w:rPr>
        <w:t xml:space="preserve">承载</w:t>
      </w:r>
      <w:r>
        <w:rPr>
          <w:rFonts w:ascii="宋体" w:hAnsi="宋体"/>
          <w:sz w:val="21"/>
        </w:rPr>
        <w:t xml:space="preserve">市</w:t>
      </w:r>
      <w:r>
        <w:rPr>
          <w:rFonts w:hint="eastAsia" w:ascii="宋体" w:hAnsi="宋体"/>
          <w:sz w:val="21"/>
        </w:rPr>
        <w:t xml:space="preserve">级和院端</w:t>
      </w:r>
      <w:r>
        <w:rPr>
          <w:rFonts w:ascii="宋体" w:hAnsi="宋体"/>
          <w:sz w:val="21"/>
        </w:rPr>
        <w:t xml:space="preserve">两级需求数据</w:t>
      </w:r>
      <w:r>
        <w:rPr>
          <w:rFonts w:hint="eastAsia" w:ascii="宋体" w:hAnsi="宋体"/>
          <w:sz w:val="21"/>
        </w:rPr>
        <w:t xml:space="preserve">的汇总</w:t>
      </w:r>
      <w:r>
        <w:rPr>
          <w:rFonts w:ascii="宋体" w:hAnsi="宋体"/>
          <w:sz w:val="21"/>
        </w:rPr>
        <w:t xml:space="preserve">，</w:t>
      </w:r>
      <w:r>
        <w:rPr>
          <w:rFonts w:hint="eastAsia" w:ascii="宋体" w:hAnsi="宋体"/>
          <w:sz w:val="21"/>
        </w:rPr>
        <w:t xml:space="preserve">并</w:t>
      </w:r>
      <w:r>
        <w:rPr>
          <w:rFonts w:ascii="宋体" w:hAnsi="宋体"/>
          <w:sz w:val="21"/>
        </w:rPr>
        <w:t xml:space="preserve">与</w:t>
      </w:r>
      <w:r>
        <w:rPr>
          <w:rFonts w:hint="eastAsia" w:ascii="宋体" w:hAnsi="宋体"/>
          <w:sz w:val="21"/>
        </w:rPr>
        <w:t xml:space="preserve">市健康医疗</w:t>
      </w:r>
      <w:r>
        <w:rPr>
          <w:rFonts w:ascii="宋体" w:hAnsi="宋体"/>
          <w:sz w:val="21"/>
        </w:rPr>
        <w:t xml:space="preserve">大数据中心</w:t>
      </w:r>
      <w:r>
        <w:rPr>
          <w:rFonts w:hint="eastAsia" w:ascii="宋体" w:hAnsi="宋体"/>
          <w:sz w:val="21"/>
        </w:rPr>
        <w:t xml:space="preserve">开展</w:t>
      </w:r>
      <w:r>
        <w:rPr>
          <w:rFonts w:ascii="宋体" w:hAnsi="宋体"/>
          <w:sz w:val="21"/>
        </w:rPr>
        <w:t xml:space="preserve">高效交换</w:t>
      </w:r>
      <w:r>
        <w:rPr>
          <w:rFonts w:hint="eastAsia" w:ascii="宋体" w:hAnsi="宋体"/>
          <w:sz w:val="21"/>
        </w:rPr>
        <w:t xml:space="preserve">，同时统一协调数据质量控制与治理工作，持续</w:t>
      </w:r>
      <w:r>
        <w:rPr>
          <w:rFonts w:ascii="宋体" w:hAnsi="宋体"/>
          <w:sz w:val="21"/>
        </w:rPr>
        <w:t xml:space="preserve">提升数据质量</w:t>
      </w:r>
      <w:r>
        <w:rPr>
          <w:rFonts w:hint="eastAsia" w:ascii="宋体" w:hAnsi="宋体"/>
          <w:sz w:val="21"/>
        </w:rPr>
        <w:t xml:space="preserve">。</w:t>
      </w:r>
      <w:r/>
    </w:p>
    <w:p>
      <w:pPr>
        <w:ind w:left="0" w:firstLine="440"/>
        <w:spacing w:line="360" w:lineRule="auto"/>
        <w:tabs>
          <w:tab w:val="left" w:pos="420" w:leader="none"/>
        </w:tabs>
        <w:rPr>
          <w:rFonts w:ascii="宋体" w:hAnsi="宋体"/>
          <w:sz w:val="21"/>
        </w:rPr>
      </w:pPr>
      <w:r>
        <w:rPr>
          <w:rFonts w:hint="eastAsia" w:ascii="宋体" w:hAnsi="宋体"/>
          <w:sz w:val="21"/>
        </w:rPr>
        <w:t xml:space="preserve">本项目需支持全市二、三级公立医院通过指定门户接入PC端及移动端，并支持用户通过卫生城域网访问本系统。须实现各机构数据逻辑隔离与安全受控访问，系统整体应具备高可用性与可扩展性。</w:t>
      </w:r>
      <w:r/>
    </w:p>
    <w:p>
      <w:pPr>
        <w:ind w:left="0" w:firstLine="420"/>
        <w:spacing w:line="360" w:lineRule="auto"/>
        <w:tabs>
          <w:tab w:val="left" w:pos="420" w:leader="none"/>
        </w:tabs>
        <w:rPr>
          <w:rFonts w:ascii="宋体" w:hAnsi="宋体"/>
          <w:sz w:val="21"/>
        </w:rPr>
      </w:pPr>
      <w:r>
        <w:rPr>
          <w:rFonts w:hint="eastAsia" w:ascii="宋体" w:hAnsi="宋体"/>
          <w:sz w:val="21"/>
        </w:rPr>
        <w:t xml:space="preserve">（2）用户体系需求</w:t>
      </w:r>
      <w:r/>
    </w:p>
    <w:p>
      <w:pPr>
        <w:ind w:left="0" w:firstLine="399"/>
        <w:spacing w:line="360" w:lineRule="auto"/>
        <w:rPr>
          <w:rFonts w:ascii="宋体" w:hAnsi="宋体"/>
          <w:sz w:val="21"/>
        </w:rPr>
      </w:pPr>
      <w:r>
        <w:rPr>
          <w:rFonts w:hint="eastAsia" w:ascii="宋体" w:hAnsi="宋体"/>
          <w:sz w:val="21"/>
        </w:rPr>
        <w:t xml:space="preserve">本项目用户覆盖市、区县卫健委及全市二、三级公立医院，其中，市、区县卫健委用户主要包含委领导、相关医疗业务管理科室负责人及工作人员；各医院用户主要包含院内领导、内部各管理科室负责人及工作人员，包括但不限于财务科、医务科、质量管理办公室等。</w:t>
      </w:r>
      <w:r/>
    </w:p>
    <w:p>
      <w:pPr>
        <w:ind w:left="0" w:firstLine="420"/>
        <w:spacing w:line="360" w:lineRule="auto"/>
        <w:tabs>
          <w:tab w:val="left" w:pos="420" w:leader="none"/>
        </w:tabs>
        <w:rPr>
          <w:rFonts w:ascii="宋体" w:hAnsi="宋体"/>
          <w:sz w:val="21"/>
        </w:rPr>
      </w:pPr>
      <w:r>
        <w:rPr>
          <w:rFonts w:hint="eastAsia" w:ascii="宋体" w:hAnsi="宋体"/>
          <w:sz w:val="21"/>
        </w:rPr>
        <w:t xml:space="preserve">（3）性能要求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①并发性能：支持不少于1000个注册用户，同时在线用户数不少于100人。</w:t>
      </w:r>
      <w:r/>
    </w:p>
    <w:p>
      <w:pPr>
        <w:ind w:left="0" w:firstLine="420"/>
        <w:spacing w:line="360" w:lineRule="auto"/>
        <w:tabs>
          <w:tab w:val="left" w:pos="420" w:leader="none"/>
        </w:tabs>
        <w:rPr>
          <w:rFonts w:ascii="宋体" w:hAnsi="宋体"/>
          <w:sz w:val="21"/>
        </w:rPr>
      </w:pPr>
      <w:r>
        <w:rPr>
          <w:rFonts w:hint="eastAsia" w:ascii="宋体" w:hAnsi="宋体"/>
          <w:sz w:val="21"/>
        </w:rPr>
        <w:t xml:space="preserve">②数据响应能力：单条记录查询接口平均响应时间100毫秒内，多条记录（100条）查询接口平均响应时间1秒内。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③响应时间：常规页面加载不超过3秒；复杂查询响应时间不超过10秒；指标计算响应时间不超过30秒。</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国产</w:t>
      </w:r>
      <w:r>
        <w:rPr>
          <w:rFonts w:hint="eastAsia" w:ascii="宋体" w:hAnsi="宋体"/>
          <w:sz w:val="21"/>
        </w:rPr>
        <w:t xml:space="preserve">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可适配主流国产CPU处理器、操作系统、数据库、中间件，</w:t>
      </w:r>
      <w:r>
        <w:rPr>
          <w:rFonts w:hint="eastAsia" w:ascii="宋体" w:hAnsi="宋体"/>
          <w:sz w:val="21"/>
          <w:lang w:bidi="ar"/>
        </w:rPr>
        <w:t xml:space="preserve">如龙芯/飞腾/鲲鹏、麒麟/统信、达梦/人大金仓、东方通/TongWeb等，</w:t>
      </w:r>
      <w:r>
        <w:rPr>
          <w:rFonts w:hint="eastAsia" w:ascii="宋体" w:hAnsi="宋体"/>
          <w:sz w:val="21"/>
        </w:rPr>
        <w:t xml:space="preserve">满足国产化环境部署</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（5）软件质量因素其他需求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在应用软件开发中，能够充分利用数据库的安全机制和错误恢复机制，保证数据的安全性、完整性和一致性。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运行、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用户界面程序异常停止后，不会影响服务器端系统和其它用户界面的正常运行。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②可扩展性需求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应当具有必要的灵活性，以适应未来功能扩展的需求。需采用模块化设计，将各功能拆解为低耦合的独立模块，模块间通过标准化接口实现交互，确保新增功能模块时无需大幅改动现有代码；同时要支持接口的平滑升级与兼容，当外部服务或内部逻辑迭代时，能通过接口适配层实现无缝衔接，避免对系统稳定性造成冲击；此外，还应预留合理的扩展接口与配置空间，便于集成第三方功能、拓展业务场景，在需求变化、业务规模扩大时，能以最小的开发成本和时间成本完成功能迭代，保持动态的适配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③界面需求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系统应当根据不同的用户角色，提供差异化的、操作友好的用户界面，使用者通过一定的培训和学习可以熟练使用。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④安全要求：达到网络安全等级保护三级（GB/T 22239-2019）要求，加强用户权限和登录口令的规范管理，采用合规密码技术保障数据传输与存储安全，落实数据脱敏、水印溯源等隐私保护措施，对敏感数据进行加密处理；所有用户操作、数据访问及异常行为均需留存日志，日志保存期限不少于6个月，确保操作可追溯、安全可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（6）对接要求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对接苏州市健康医疗大数据中心，获取各类医疗业务数据，包括但不限于住院病案数据、门急诊就诊数据等，采购人将提供接口文档及联调环境支持，供应商按统一标准对接即可</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支持导入医疗机构的各类财务数据，包括但不限于成本报表、经济运营财务月报财务成本数据及医院基础信息等数据；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对接卫统系统，获取含医院等级、床位配置等基本信息的卫统报表数据；采用填写、导入、自动抓取等方式，定期完成数据同步，支撑全域医院统筹管理与动态监测。</w:t>
      </w:r>
      <w:r/>
    </w:p>
    <w:p>
      <w:pPr>
        <w:ind w:left="0" w:firstLine="420"/>
        <w:spacing w:line="360" w:lineRule="auto"/>
        <w:tabs>
          <w:tab w:val="left" w:pos="420" w:leader="none"/>
        </w:tabs>
        <w:rPr>
          <w:rFonts w:ascii="宋体" w:hAnsi="宋体"/>
          <w:sz w:val="21"/>
        </w:rPr>
      </w:pPr>
      <w:r>
        <w:rPr>
          <w:rFonts w:hint="eastAsia" w:ascii="宋体" w:hAnsi="宋体"/>
          <w:sz w:val="21"/>
        </w:rPr>
        <w:t xml:space="preserve">对接苏州市卫健委指定的的统一门户，实现单点登录，采购人将提供接口文档及联调环境支持，供应商按统一标准对接即可</w:t>
      </w:r>
      <w:r>
        <w:rPr>
          <w:rFonts w:hint="eastAsia" w:ascii="宋体" w:hAnsi="宋体"/>
          <w:sz w:val="21"/>
        </w:rPr>
        <w:t xml:space="preserve">。</w:t>
      </w:r>
      <w:r/>
    </w:p>
    <w:p>
      <w:pPr>
        <w:numPr>
          <w:ilvl w:val="255"/>
          <w:numId w:val="0"/>
        </w:numPr>
        <w:ind w:left="400"/>
        <w:spacing w:line="360" w:lineRule="auto"/>
        <w:tabs>
          <w:tab w:val="left" w:pos="420" w:leader="none"/>
        </w:tabs>
        <w:rPr>
          <w:rFonts w:ascii="宋体" w:hAnsi="宋体"/>
          <w:b/>
          <w:bCs/>
          <w:sz w:val="21"/>
        </w:rPr>
      </w:pPr>
      <w:r>
        <w:rPr>
          <w:rFonts w:hint="eastAsia" w:ascii="宋体" w:hAnsi="宋体"/>
          <w:b/>
          <w:bCs/>
          <w:sz w:val="21"/>
        </w:rPr>
        <w:t xml:space="preserve">2.建设内容要求</w:t>
      </w:r>
      <w:r/>
    </w:p>
    <w:p>
      <w:pPr>
        <w:ind w:left="400"/>
        <w:spacing w:line="360" w:lineRule="auto"/>
        <w:tabs>
          <w:tab w:val="left" w:pos="420" w:leader="none"/>
        </w:tabs>
        <w:rPr>
          <w:rFonts w:ascii="宋体" w:hAnsi="宋体"/>
          <w:b/>
          <w:sz w:val="21"/>
        </w:rPr>
      </w:pPr>
      <w:r>
        <w:rPr>
          <w:rFonts w:hint="eastAsia" w:ascii="宋体" w:hAnsi="宋体"/>
          <w:b/>
          <w:sz w:val="21"/>
        </w:rPr>
        <w:t xml:space="preserve">（1）总体建设内容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旨在构建覆盖苏州市二、三级公立医院的治理管理平台。在市健康医疗大数据中心的基础上，按照“应用层、服务层、主题数仓层”三层体系进行建设，以实现对全市65家二、三级公立医院总体运营情况的治理与决策，为公立医院的高质量发展奠定基础。建设内容主要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应用层：面向市、医院各级用户提供可视化的主题应用模组，实现基于概览分析、循证查询的总体指标分析，基于全面预算、能效分析、医疗收入分析、医疗成本分析、资源分析、业绩管理的专题指标分析，对标国家政策的国考评价分析、专科能力评估，以及面向苏州市公立医院改革与高质量发展示范项目的对标分析，实现对公立医院的分层、全面精细化治理管理。同时提供移动端轻应用，支持管理者随时随地掌握关键运营动态。</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层：围绕系统基础服务、智能支撑服务及运营分析服务，强化对公立医院治理管理的整体支撑。系统基础服务承接市级网络安全服务，形成本地化应用支撑模组，对不同应用版本的共性基础应用进行一体化管理；智能支撑服务运用大数据、人工智能等技术，挖掘数据价值，沉淀特定指标和知识；运营分析服务结合病种分组管控最小分析单元，提供不同主题分析的服务支撑。 </w:t>
      </w:r>
      <w:r/>
    </w:p>
    <w:p>
      <w:pPr>
        <w:ind w:left="0" w:firstLine="420"/>
        <w:spacing w:line="360" w:lineRule="auto"/>
        <w:tabs>
          <w:tab w:val="left" w:pos="420" w:leader="none"/>
        </w:tabs>
        <w:rPr>
          <w:rFonts w:ascii="宋体" w:hAnsi="宋体"/>
          <w:sz w:val="21"/>
        </w:rPr>
      </w:pPr>
      <w:r>
        <w:rPr>
          <w:rFonts w:hint="eastAsia" w:ascii="宋体" w:hAnsi="宋体"/>
          <w:sz w:val="21"/>
        </w:rPr>
        <w:t xml:space="preserve">主题数仓层：配合市健康医疗大数据中心实现对原始数据的数据探查，确保交换数据满足治理管理主题要求；结合公立医院运营的一系列专题对经交换来的数据进行组织、建模，形成特定的主题数据以及多维的决策数据，实现对指标库及共享指标的管理，做实公立医院治理管理服务及应用的支撑。同时在数据交换的基础上，面向各医疗机构实现对来源于不同渠道数据的数据量、业务量的核对，落实针对数据的责任管理模式，保障数据的可用性。</w:t>
      </w:r>
      <w:r/>
    </w:p>
    <w:tbl>
      <w:tblPr>
        <w:tblStyle w:val="1065"/>
        <w:tblW w:w="5000" w:type="pct"/>
        <w:tblInd w:w="0" w:type="dxa"/>
        <w:tblLook w:val="04A0" w:firstRow="1" w:lastRow="0" w:firstColumn="1" w:lastColumn="0" w:noHBand="0" w:noVBand="1"/>
      </w:tblPr>
      <w:tblGrid>
        <w:gridCol w:w="1402"/>
        <w:gridCol w:w="1810"/>
        <w:gridCol w:w="2415"/>
        <w:gridCol w:w="4227"/>
      </w:tblGrid>
      <w:tr>
        <w:trPr>
          <w:trHeight w:val="650"/>
        </w:trPr>
        <w:tc>
          <w:tcPr>
            <w:tcW w:w="711" w:type="pct"/>
            <w:vAlign w:val="center"/>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序号</w:t>
            </w:r>
            <w:r/>
          </w:p>
        </w:tc>
        <w:tc>
          <w:tcPr>
            <w:tcW w:w="918" w:type="pct"/>
            <w:vAlign w:val="center"/>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建设项目</w:t>
            </w:r>
            <w:r/>
          </w:p>
        </w:tc>
        <w:tc>
          <w:tcPr>
            <w:tcW w:w="1225" w:type="pct"/>
            <w:vAlign w:val="center"/>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功能</w:t>
            </w:r>
            <w:r/>
          </w:p>
        </w:tc>
        <w:tc>
          <w:tcPr>
            <w:tcW w:w="2145" w:type="pct"/>
            <w:vAlign w:val="center"/>
            <w:textDirection w:val="lrTb"/>
            <w:noWrap w:val="false"/>
          </w:tcPr>
          <w:p>
            <w:pPr>
              <w:ind w:left="0"/>
              <w:jc w:val="center"/>
              <w:spacing w:line="400" w:lineRule="exact"/>
              <w:rPr>
                <w:rFonts w:ascii="宋体" w:hAnsi="宋体" w:cs="Times New Roman"/>
                <w:b/>
                <w:sz w:val="21"/>
                <w:szCs w:val="21"/>
              </w:rPr>
            </w:pPr>
            <w:r>
              <w:rPr>
                <w:rFonts w:hint="eastAsia" w:ascii="宋体" w:hAnsi="宋体" w:cs="Times New Roman"/>
                <w:b/>
                <w:sz w:val="21"/>
                <w:szCs w:val="21"/>
              </w:rPr>
              <w:t xml:space="preserve">功能描述</w:t>
            </w:r>
            <w:r/>
          </w:p>
        </w:tc>
      </w:tr>
      <w:tr>
        <w:trPr/>
        <w:tc>
          <w:tcPr>
            <w:tcW w:w="71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1</w:t>
            </w:r>
            <w:r/>
          </w:p>
        </w:tc>
        <w:tc>
          <w:tcPr>
            <w:tcW w:w="918" w:type="pct"/>
            <w:vAlign w:val="center"/>
            <w:vMerge w:val="restart"/>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公立医院治理管理平台</w:t>
            </w:r>
            <w:r/>
          </w:p>
        </w:tc>
        <w:tc>
          <w:tcPr>
            <w:tcW w:w="122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应用层</w:t>
            </w:r>
            <w:r/>
          </w:p>
        </w:tc>
        <w:tc>
          <w:tcPr>
            <w:tcW w:w="21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总览、能效分析、医疗收入分析、医疗成本分析、资源分析、全面预算、国考分析、专科能力评估、循证查询、业绩表单、示范监测、移动端应用</w:t>
            </w:r>
            <w:r/>
          </w:p>
        </w:tc>
      </w:tr>
      <w:tr>
        <w:trPr/>
        <w:tc>
          <w:tcPr>
            <w:tcW w:w="71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2</w:t>
            </w:r>
            <w:r/>
          </w:p>
        </w:tc>
        <w:tc>
          <w:tcPr>
            <w:tcW w:w="918" w:type="pct"/>
            <w:vAlign w:val="center"/>
            <w:vMerge w:val="continue"/>
            <w:textDirection w:val="lrTb"/>
            <w:noWrap w:val="false"/>
          </w:tcPr>
          <w:p>
            <w:pPr>
              <w:ind w:left="0"/>
              <w:jc w:val="center"/>
              <w:spacing w:line="400" w:lineRule="exact"/>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服务层</w:t>
            </w:r>
            <w:r/>
          </w:p>
        </w:tc>
        <w:tc>
          <w:tcPr>
            <w:tcW w:w="21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运营分析服务、智能支撑服务、系统基础服务</w:t>
            </w:r>
            <w:r/>
          </w:p>
        </w:tc>
      </w:tr>
      <w:tr>
        <w:trPr/>
        <w:tc>
          <w:tcPr>
            <w:tcW w:w="711"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3</w:t>
            </w:r>
            <w:r/>
          </w:p>
        </w:tc>
        <w:tc>
          <w:tcPr>
            <w:tcW w:w="918" w:type="pct"/>
            <w:vAlign w:val="center"/>
            <w:vMerge w:val="continue"/>
            <w:textDirection w:val="lrTb"/>
            <w:noWrap w:val="false"/>
          </w:tcPr>
          <w:p>
            <w:pPr>
              <w:ind w:left="0"/>
              <w:jc w:val="center"/>
              <w:spacing w:line="400" w:lineRule="exact"/>
              <w:rPr>
                <w:rFonts w:ascii="宋体" w:hAnsi="宋体" w:cs="Times New Roman"/>
                <w:sz w:val="21"/>
                <w:szCs w:val="21"/>
              </w:rPr>
            </w:pPr>
            <w:r>
              <w:rPr>
                <w:rFonts w:ascii="宋体" w:hAnsi="宋体" w:cs="Times New Roman"/>
                <w:sz w:val="21"/>
                <w:szCs w:val="21"/>
              </w:rPr>
            </w:r>
            <w:r/>
          </w:p>
        </w:tc>
        <w:tc>
          <w:tcPr>
            <w:tcW w:w="122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主题数仓层</w:t>
            </w:r>
            <w:r/>
          </w:p>
        </w:tc>
        <w:tc>
          <w:tcPr>
            <w:tcW w:w="2145" w:type="pct"/>
            <w:vAlign w:val="center"/>
            <w:textDirection w:val="lrTb"/>
            <w:noWrap w:val="false"/>
          </w:tcPr>
          <w:p>
            <w:pPr>
              <w:ind w:left="0"/>
              <w:jc w:val="center"/>
              <w:spacing w:line="400" w:lineRule="exact"/>
              <w:rPr>
                <w:rFonts w:ascii="宋体" w:hAnsi="宋体" w:cs="Times New Roman"/>
                <w:sz w:val="21"/>
                <w:szCs w:val="21"/>
              </w:rPr>
            </w:pPr>
            <w:r>
              <w:rPr>
                <w:rFonts w:hint="eastAsia" w:ascii="宋体" w:hAnsi="宋体" w:cs="Times New Roman"/>
                <w:sz w:val="21"/>
                <w:szCs w:val="21"/>
              </w:rPr>
              <w:t xml:space="preserve">数据交换、数据核查规则、医院数据确认、指标库管理</w:t>
            </w:r>
            <w:r/>
          </w:p>
        </w:tc>
      </w:tr>
    </w:tbl>
    <w:p>
      <w:pPr>
        <w:ind w:left="0" w:firstLine="422"/>
        <w:spacing w:line="360" w:lineRule="auto"/>
        <w:tabs>
          <w:tab w:val="left" w:pos="420" w:leader="none"/>
        </w:tabs>
        <w:rPr>
          <w:rFonts w:ascii="宋体" w:hAnsi="宋体"/>
          <w:sz w:val="21"/>
        </w:rPr>
      </w:pPr>
      <w:r>
        <w:rPr>
          <w:rFonts w:hint="eastAsia" w:ascii="宋体" w:hAnsi="宋体"/>
          <w:b/>
          <w:bCs/>
          <w:sz w:val="21"/>
        </w:rPr>
        <w:t xml:space="preserve">（2）应用层建设要求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①总览</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总览模块对区域内医疗机构医疗资源利用、能级效率产出、业务收入、成本控制进行总体评价，实现"一屏总览"。支持不同级别医疗机构资源分布结构分析，主要包括床位资源、能效、收入和成本等，以总览的视角来分析各大医院运营结果情况。通过能效、收入和成本的联动，可关联到对应细分的能效分析、收入分析和成本分析，实现总－分的展示形式。</w:t>
      </w:r>
      <w:r/>
    </w:p>
    <w:p>
      <w:pPr>
        <w:ind w:left="0" w:firstLine="420"/>
        <w:spacing w:line="360" w:lineRule="auto"/>
        <w:tabs>
          <w:tab w:val="left" w:pos="420" w:leader="none"/>
        </w:tabs>
        <w:rPr>
          <w:rFonts w:ascii="宋体" w:hAnsi="宋体"/>
          <w:sz w:val="21"/>
        </w:rPr>
      </w:pPr>
      <w:r>
        <w:rPr>
          <w:rFonts w:hint="eastAsia" w:ascii="宋体" w:hAnsi="宋体"/>
          <w:sz w:val="21"/>
        </w:rPr>
        <w:t xml:space="preserve">②能效分析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包括但不限于全市能级效率、门诊效率、手术分析功能。全市能级效率分析维度包含规模、CMI、能效结构、技术操作率；门诊效率分析维度包含门急诊量、门诊出院人次比；手术分析维度包含手术占比、四级手</w:t>
      </w:r>
      <w:r>
        <w:rPr>
          <w:rFonts w:hint="eastAsia" w:ascii="宋体" w:hAnsi="宋体"/>
          <w:sz w:val="21"/>
        </w:rPr>
        <w:t xml:space="preserve">术比例、微创手术占比、日间手术占比。支持按照时间、机构级别和类型进行选择，支持全市机构对标分析、支持相关指标列表分析；支持基于评价体系的趋势评价；支持可视化联动分析，支持目标同向分析，支持下钻至机构层进行对标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③医疗收入分析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但不限于全市总收入分析、住院收入分析、门诊收入分析、药品收入分析、耗材收入分析等功能。支持按照时间、机构级别和类型进行选择，支持全市机构对标分析、支持相关指标列表分析；支持基于评价体系的趋势评价；支持可视化联动分析，支持目标同向分析，支持下钻至机构层进行对标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④医疗成本分析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但不限于全市总成本分析、住院成本分析、门诊成本分析、药品成本分析、耗材成本分析等。支持按照时间、机构级别和类型进行选择，支持全市机构对标分析、支持相关指标图表分析；支持基于评价体系的趋势评价；支持可视化联动分析，支持目标同向分析，支持下钻至机构层进行对标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⑤资源分析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包括但不限于床位能级分析和床位经济分析等功能。床位能级分析维度包括平均住院日、床位使用率等。床位经济分析维度包括每床位日收入、每床位日成本、每床位日收支比等。支持对不同指标进行可视化分析，包括变量叠加可视化分析、统计图表分析、可视化联动分析等，支持以机构列表形式对床位能级维度下相关指标进行分析和评价。</w:t>
      </w:r>
      <w:r/>
    </w:p>
    <w:p>
      <w:pPr>
        <w:ind w:left="0" w:firstLine="420"/>
        <w:spacing w:line="360" w:lineRule="auto"/>
        <w:tabs>
          <w:tab w:val="left" w:pos="420" w:leader="none"/>
        </w:tabs>
        <w:rPr>
          <w:rFonts w:ascii="宋体" w:hAnsi="宋体"/>
          <w:sz w:val="21"/>
        </w:rPr>
      </w:pPr>
      <w:r>
        <w:rPr>
          <w:rFonts w:hint="eastAsia" w:ascii="宋体" w:hAnsi="宋体"/>
          <w:sz w:val="21"/>
        </w:rPr>
        <w:t xml:space="preserve">⑥国考分析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严格对标国家绩效考核得分标准，对各医疗机构国考指标得分情况进行现状分析与预估分分析，包括但不限于整体分析、国考报表、机构比对分析等功能。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整体分析功能包含整体现状分析及预估分分析，其中现状分析应包括但不限于指标得分情况分析、达标率情况分析等；预估分分析应建立国考预估分模型，基于得分现状对全年度得分情况进行预测，并展示预估分计算矫正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国考报表应支持按机构、指标维度进行综合分析、指标达标率与预估分解读。</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机构比对分析支持区域内各医院间横向比对分析。</w:t>
      </w:r>
      <w:r/>
    </w:p>
    <w:p>
      <w:pPr>
        <w:ind w:left="0" w:firstLine="420"/>
        <w:spacing w:line="360" w:lineRule="auto"/>
        <w:tabs>
          <w:tab w:val="left" w:pos="420" w:leader="none"/>
        </w:tabs>
        <w:rPr>
          <w:rFonts w:ascii="宋体" w:hAnsi="宋体"/>
          <w:sz w:val="21"/>
        </w:rPr>
      </w:pPr>
      <w:r>
        <w:rPr>
          <w:rFonts w:hint="eastAsia"/>
          <w:sz w:val="21"/>
          <w:szCs w:val="21"/>
        </w:rPr>
        <w:t xml:space="preserve">以上功能应</w:t>
      </w:r>
      <w:r>
        <w:rPr>
          <w:rFonts w:hint="eastAsia" w:ascii="宋体" w:hAnsi="宋体"/>
          <w:sz w:val="21"/>
        </w:rPr>
        <w:t xml:space="preserve">支持按时间、机构级别及类型等维度进行筛选；支持多种可视化分析形式，包括但不限于热力图分析、下钻分析、跨期对比、年度切换和指标预警提示，支持根据国家政策规范更新及时同步考核指标体系变动。</w:t>
      </w:r>
      <w:r/>
    </w:p>
    <w:p>
      <w:pPr>
        <w:ind w:left="0" w:firstLine="420"/>
        <w:spacing w:line="360" w:lineRule="auto"/>
        <w:tabs>
          <w:tab w:val="left" w:pos="420" w:leader="none"/>
        </w:tabs>
        <w:rPr>
          <w:rFonts w:ascii="宋体" w:hAnsi="宋体"/>
          <w:sz w:val="21"/>
        </w:rPr>
      </w:pPr>
      <w:r>
        <w:rPr>
          <w:rFonts w:hint="eastAsia" w:ascii="宋体" w:hAnsi="宋体"/>
          <w:sz w:val="21"/>
        </w:rPr>
        <w:t xml:space="preserve">⑦专科能力分析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构建专科能力量化评价体系，对各医疗机构临床专科开展多维度评估，包括但不限于专科能力评估体系、专科病种分布、专科能力分析（服务能力、技术能力、质量安全、服务效率）等。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⑧全面预算</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根据国家公立医院全面预算管理办法等要求，基于医疗资源及需求形成的业务预算，同时结合相关财务指标实现业财融合预算，包括但不限于预算指标管理、预算目标编制、过程控制等功能。预算指标管理应</w:t>
      </w:r>
      <w:r>
        <w:rPr>
          <w:rFonts w:ascii="宋体" w:hAnsi="宋体"/>
          <w:sz w:val="21"/>
        </w:rPr>
        <w:t xml:space="preserve">支持按照医务归口和财务归口对预算</w:t>
      </w:r>
      <w:r>
        <w:rPr>
          <w:rFonts w:hint="eastAsia" w:ascii="宋体" w:hAnsi="宋体"/>
          <w:sz w:val="21"/>
        </w:rPr>
        <w:t xml:space="preserve">指标</w:t>
      </w:r>
      <w:r>
        <w:rPr>
          <w:rFonts w:ascii="宋体" w:hAnsi="宋体"/>
          <w:sz w:val="21"/>
        </w:rPr>
        <w:t xml:space="preserve">进行归类</w:t>
      </w:r>
      <w:r>
        <w:rPr>
          <w:rFonts w:hint="eastAsia" w:ascii="宋体" w:hAnsi="宋体"/>
          <w:sz w:val="21"/>
        </w:rPr>
        <w:t xml:space="preserve">、动态维护；预算目标编制应支持构建预算编制算法，并支</w:t>
      </w:r>
      <w:r>
        <w:rPr>
          <w:rFonts w:hint="eastAsia" w:ascii="宋体" w:hAnsi="宋体"/>
          <w:sz w:val="21"/>
        </w:rPr>
        <w:t xml:space="preserve">持协商流程管理、预算目标解读、预算目标编制依据报告自动化生成等功能；过程控制应</w:t>
      </w:r>
      <w:r>
        <w:rPr>
          <w:rFonts w:ascii="宋体" w:hAnsi="宋体"/>
          <w:sz w:val="21"/>
        </w:rPr>
        <w:t xml:space="preserve">支持</w:t>
      </w:r>
      <w:r>
        <w:rPr>
          <w:rFonts w:hint="eastAsia" w:ascii="宋体" w:hAnsi="宋体"/>
          <w:sz w:val="21"/>
        </w:rPr>
        <w:t xml:space="preserve">预算目标数据与实际</w:t>
      </w:r>
      <w:r>
        <w:rPr>
          <w:rFonts w:ascii="宋体" w:hAnsi="宋体"/>
          <w:sz w:val="21"/>
        </w:rPr>
        <w:t xml:space="preserve">数据汇总</w:t>
      </w:r>
      <w:r>
        <w:rPr>
          <w:rFonts w:hint="eastAsia" w:ascii="宋体" w:hAnsi="宋体"/>
          <w:sz w:val="21"/>
        </w:rPr>
        <w:t xml:space="preserve">、</w:t>
      </w:r>
      <w:r>
        <w:rPr>
          <w:rFonts w:ascii="宋体" w:hAnsi="宋体"/>
          <w:sz w:val="21"/>
        </w:rPr>
        <w:t xml:space="preserve">执行进度监控、达标分析与偏差预警</w:t>
      </w:r>
      <w:r>
        <w:rPr>
          <w:rFonts w:hint="eastAsia" w:ascii="宋体" w:hAnsi="宋体"/>
          <w:sz w:val="21"/>
        </w:rPr>
        <w:t xml:space="preserve">，为医院调整运营方式提供建议等。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⑨循证查询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为各医疗机构提供个性化的数据查询与分析服务，支持各指标在机构内部的纵向比较分析及机构之间的横向比较分析。具体功能应包括但不限于医疗机构端的全面预算、总览分析、能效分析、医疗收入分析、医疗成本分析、资源分析等。支持按时间维度，自由组合指标，从实值、同比、环比、排名等方面生成统计报表，提供查询、暂存、提交和下载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⑩业绩表单</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构建对公立医院运行状态的评价体系，包括但不限于总体评价、医疗质量评价、收入分析评价、成本分析评价、运营效率评价、药品监管评价等功能。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总分评价：支持从医疗质量、收入分析、成本分析、运营效率、药品监管五个维度开展定性与定量综合评价，各维度评价结果应支持以量化分数的形式展示。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医疗质量：支持从医院功能定位、住院</w:t>
      </w:r>
      <w:r>
        <w:rPr>
          <w:rFonts w:ascii="宋体" w:hAnsi="宋体"/>
          <w:sz w:val="21"/>
        </w:rPr>
        <w:t xml:space="preserve">/门诊功能定位、手术分析、四级手术分析等维度，对医疗机构进行定性与定量评价和评分功能。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收入分析：支持从收入结构合理性、全院</w:t>
      </w:r>
      <w:r>
        <w:rPr>
          <w:rFonts w:ascii="宋体" w:hAnsi="宋体"/>
          <w:sz w:val="21"/>
        </w:rPr>
        <w:t xml:space="preserve">/住院/门诊总收入合理性、药品总收入能效合理性等维度的多指标、多变量定性与定量评价和评分功能。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成本分析：支持从全院及住院成本合理性等维度开展多变量定性与定量评价和评分功能。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运营效率：支持从床位利用效率、床位利用能级、床位经济等维度的评价分析功能，覆盖每床位日指数、每床位日例数、平均住院日、床位使用率等核心指标，支持定量评分和排名功能。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药品监管：支持对抗菌药物及辅助用药的合理用药情况进行定性定量计分与排名。</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示范监测</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对照国家公立医院改革与高质量示范项目要求，构建示范目标跟踪评价体系，对各医疗机构落实示范项目目标的进展情况、实施成效开展动态监测。包括但不限于各医院的门诊次均费用增幅、住院次均费用增幅、管理费用占比、收支结余、三级公立医院的CMI值、三级公立医院出院患者四级手术比例、三级公立医院平均住院日等核心指标。</w:t>
      </w:r>
      <w:r/>
    </w:p>
    <w:p>
      <w:pPr>
        <w:ind w:left="0" w:firstLine="420"/>
        <w:spacing w:line="360" w:lineRule="auto"/>
        <w:tabs>
          <w:tab w:val="left" w:pos="42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移动端应用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聚焦医疗机构运营管理的便捷性与时效性，为管理人员提供随时随</w:t>
      </w:r>
      <w:r>
        <w:rPr>
          <w:rFonts w:hint="eastAsia" w:ascii="宋体" w:hAnsi="宋体"/>
          <w:sz w:val="21"/>
        </w:rPr>
        <w:t xml:space="preserve">地的运营监测与决策支持服务。包括但不限于住院分析、门诊分析、分析报告、预警提示、移动系统管理等功能。其中住院分析须涵盖住院效能、收入、手术、药品、耗材指标等指标；门诊分析须涵盖门诊效率、收入、药品指标等指标；分析报告须涵盖年报、季报管理、全面预算编制依据报告；预警提示须实现机构达标预警、住院预警提示、手术预警提示、门诊预警提示等功能；移动系统管理须支持移动用户及权限管理、移动数据同步管理等功能。支持按周、月、季、年分类展示，支持实际值、同比、达标率分析。移动端与PC端共用同一账号体系，集成到指定的应用门户。</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w:t>
      </w:r>
      <w:r>
        <w:rPr>
          <w:rFonts w:ascii="宋体" w:hAnsi="宋体"/>
          <w:b/>
          <w:bCs/>
          <w:sz w:val="21"/>
        </w:rPr>
        <w:t xml:space="preserve">3</w:t>
      </w:r>
      <w:r>
        <w:rPr>
          <w:rFonts w:hint="eastAsia" w:ascii="宋体" w:hAnsi="宋体"/>
          <w:b/>
          <w:bCs/>
          <w:sz w:val="21"/>
        </w:rPr>
        <w:t xml:space="preserve">）服务层建设要求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服务层作为平台核心支撑体系，为整体系统运行提供运营分析、智能技术及基础保障服务，强化对公立医院治理管理的整体性支撑。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①</w:t>
      </w:r>
      <w:r>
        <w:rPr>
          <w:rFonts w:hint="eastAsia" w:ascii="宋体" w:hAnsi="宋体"/>
          <w:sz w:val="21"/>
        </w:rPr>
        <w:t xml:space="preserve">病种分析服务</w:t>
      </w:r>
      <w:r/>
    </w:p>
    <w:p>
      <w:pPr>
        <w:ind w:left="0" w:firstLine="420"/>
        <w:spacing w:line="360" w:lineRule="auto"/>
        <w:tabs>
          <w:tab w:val="left" w:pos="420" w:leader="none"/>
        </w:tabs>
        <w:rPr>
          <w:rFonts w:ascii="宋体" w:hAnsi="宋体"/>
          <w:sz w:val="21"/>
        </w:rPr>
      </w:pPr>
      <w:r>
        <w:rPr>
          <w:rFonts w:ascii="宋体" w:hAnsi="宋体"/>
          <w:sz w:val="21"/>
        </w:rPr>
        <w:t xml:space="preserve">病种分析服务须支持</w:t>
      </w:r>
      <w:r>
        <w:rPr>
          <w:rFonts w:hint="eastAsia" w:ascii="宋体" w:hAnsi="宋体"/>
          <w:sz w:val="21"/>
        </w:rPr>
        <w:t xml:space="preserve">基于DRG分组的</w:t>
      </w:r>
      <w:r>
        <w:rPr>
          <w:rFonts w:ascii="宋体" w:hAnsi="宋体"/>
          <w:sz w:val="21"/>
        </w:rPr>
        <w:t xml:space="preserve">病案分组流程管理、核心病组管理、综合病组管理、病案入组方案、病案入组发布、未入组病案管理等功能</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②</w:t>
      </w:r>
      <w:r>
        <w:rPr>
          <w:rFonts w:hint="eastAsia" w:ascii="宋体" w:hAnsi="宋体"/>
          <w:sz w:val="21"/>
        </w:rPr>
        <w:t xml:space="preserve">报表分析服务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报表分析服务须支持报表编制、关联指标设计、关联指标知识库等功能。在智能支撑服务基础上，综合运用报表分析、关联分析、对标分析等多种分析手段，针对资源配置、收入成本、服务质量、绩效考核等不同主题开展专项分析服务，为管理决策提供全方位分析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③</w:t>
      </w:r>
      <w:r>
        <w:rPr>
          <w:rFonts w:hint="eastAsia" w:ascii="宋体" w:hAnsi="宋体"/>
          <w:sz w:val="21"/>
        </w:rPr>
        <w:t xml:space="preserve">智能支撑服务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构建“指标检索解析—推理评价—报告生成”的智能支撑服务，提供数据驱动的决策支持，核心功能包含指标检索服务、运营推理服务、简报服务。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指标检索服务支持核心指标的多维度分析展示，含累计月、单月、灵活起止月份、环比/同比等维度，支持机构间比对及按主题批量分析；同时支持按指标分类、名称、口径算法、频次、数据来源、计量单位、指标依据及对应功能等进行检索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运营推理服务利用知识图谱、因果关系推断等各种智能技术，围绕医院管理各类场景，如床位资源利用、住院/门诊能效、收入结构合理性、成本结构合理性、全市运营分析及国考对标等，形成业务智能化解读专题库，实现指标内涵解析与智能研判。</w:t>
      </w:r>
      <w:r/>
    </w:p>
    <w:p>
      <w:pPr>
        <w:ind w:left="0" w:firstLine="420"/>
        <w:spacing w:line="360" w:lineRule="auto"/>
        <w:tabs>
          <w:tab w:val="left" w:pos="420" w:leader="none"/>
        </w:tabs>
        <w:rPr>
          <w:rFonts w:ascii="宋体" w:hAnsi="宋体"/>
          <w:sz w:val="21"/>
        </w:rPr>
      </w:pPr>
      <w:r>
        <w:rPr>
          <w:rFonts w:hint="eastAsia" w:ascii="宋体" w:hAnsi="宋体"/>
          <w:sz w:val="21"/>
        </w:rPr>
        <w:t xml:space="preserve">报告服务建立涵盖医疗质量、运营效率、收入与成本合理性等维度的机构绩效量化指标体系，以及涵盖服务提供、服务效率、费用控制、治疗安全等维度的学科病种量化指标体系，支持学科与病组关联映射；基于指标结果按模板生成初始报告，对问题分类分级并标记关键问题；通过摘要模型生成简版报告，并建立报告发布机制（频率、流程、对象、渠道等）及版本管理机制。</w:t>
      </w:r>
      <w:r/>
    </w:p>
    <w:p>
      <w:pPr>
        <w:ind w:left="0" w:firstLine="420"/>
        <w:spacing w:line="360" w:lineRule="auto"/>
        <w:tabs>
          <w:tab w:val="left" w:pos="420" w:leader="none"/>
        </w:tabs>
        <w:rPr>
          <w:rFonts w:ascii="宋体" w:hAnsi="宋体"/>
          <w:sz w:val="21"/>
        </w:rPr>
      </w:pPr>
      <w:r>
        <w:rPr>
          <w:rFonts w:hint="eastAsia" w:ascii="宋体" w:hAnsi="宋体"/>
          <w:sz w:val="21"/>
        </w:rPr>
        <w:t xml:space="preserve">④</w:t>
      </w:r>
      <w:r>
        <w:rPr>
          <w:rFonts w:hint="eastAsia" w:ascii="宋体" w:hAnsi="宋体"/>
          <w:sz w:val="21"/>
        </w:rPr>
        <w:t xml:space="preserve">系统基础服务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完善的系统配置、安全保障及编码管理基础服务功能，保障系统稳定高效运行。须覆盖页面配置、水印配置等统一配置服务，用户身份识别、权限管理、日志管理等统一安全服务、统一编码服务等。面向市级卫生健康行政部门、各医疗机构等用户实现逻辑隔离与分级授权，确保不同应用版本“统一部署、独立应用”；建立统一的基础编码标准，实现数据编码规范化、标准化，夯实用户应用基础。</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w:t>
      </w:r>
      <w:r>
        <w:rPr>
          <w:rFonts w:ascii="宋体" w:hAnsi="宋体"/>
          <w:b/>
          <w:bCs/>
          <w:sz w:val="21"/>
        </w:rPr>
        <w:t xml:space="preserve">4</w:t>
      </w:r>
      <w:r>
        <w:rPr>
          <w:rFonts w:hint="eastAsia" w:ascii="宋体" w:hAnsi="宋体"/>
          <w:b/>
          <w:bCs/>
          <w:sz w:val="21"/>
        </w:rPr>
        <w:t xml:space="preserve">）主题数仓建设要求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主题数仓作为平台数据核心枢纽，承担数据汇聚、治理、核查与共享等关键任务，保障数据质量与高效应用。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w:t>
      </w:r>
      <w:r>
        <w:rPr>
          <w:rFonts w:hint="eastAsia" w:ascii="宋体" w:hAnsi="宋体"/>
          <w:sz w:val="21"/>
        </w:rPr>
        <w:t xml:space="preserve">数据交换</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建立标准化数据交换机制，实现与市健康医疗大数据中心的数据高效对接与协同联动。须覆盖数据交换规则配置、数据交换任务管理、数据自动抽取、消息分发管理等功能。支持通过数据中间库对接模式，实现</w:t>
      </w:r>
      <w:r>
        <w:rPr>
          <w:rFonts w:hint="eastAsia" w:ascii="宋体" w:hAnsi="宋体"/>
          <w:sz w:val="21"/>
        </w:rPr>
        <w:t xml:space="preserve">病案首页、门急诊就诊等核心数据的规范汇聚，确保数据实时、准确汇聚至平台。基于服务优先级与业务需求，实现对交换请求进行智能调度，包括自动化调度、自动处理数据、含异常发现和告警通知等功能。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②</w:t>
      </w:r>
      <w:r>
        <w:rPr>
          <w:rFonts w:hint="eastAsia" w:ascii="宋体" w:hAnsi="宋体"/>
          <w:sz w:val="21"/>
        </w:rPr>
        <w:t xml:space="preserve">数据核查</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完善的数据质量控制体系，针对采集数据开展主题应用适配性质控与核查。须支持数据治理核查规则管理，基于预设规则的数据质量核查控制，支持床位数、门诊人数、手术人数、出院人数、收入费用、病案首页等分项核查服务，确保数据满足平台各类应用场景需求，保障分析结果的准确性与可靠性。</w:t>
      </w:r>
      <w:r/>
    </w:p>
    <w:p>
      <w:pPr>
        <w:ind w:left="0" w:firstLine="420"/>
        <w:spacing w:line="360" w:lineRule="auto"/>
        <w:tabs>
          <w:tab w:val="left" w:pos="420" w:leader="none"/>
        </w:tabs>
        <w:rPr>
          <w:rFonts w:ascii="宋体" w:hAnsi="宋体"/>
          <w:sz w:val="21"/>
        </w:rPr>
      </w:pPr>
      <w:r>
        <w:rPr>
          <w:rFonts w:hint="eastAsia" w:ascii="宋体" w:hAnsi="宋体"/>
          <w:sz w:val="21"/>
        </w:rPr>
        <w:t xml:space="preserve">③</w:t>
      </w:r>
      <w:r>
        <w:rPr>
          <w:rFonts w:hint="eastAsia" w:ascii="宋体" w:hAnsi="宋体"/>
          <w:sz w:val="21"/>
        </w:rPr>
        <w:t xml:space="preserve">医院数据确认</w:t>
      </w:r>
      <w:r/>
    </w:p>
    <w:p>
      <w:pPr>
        <w:ind w:left="0" w:firstLine="420"/>
        <w:spacing w:line="360" w:lineRule="auto"/>
        <w:tabs>
          <w:tab w:val="left" w:pos="420" w:leader="none"/>
        </w:tabs>
        <w:rPr>
          <w:rFonts w:ascii="宋体" w:hAnsi="宋体"/>
          <w:sz w:val="21"/>
        </w:rPr>
      </w:pPr>
      <w:r>
        <w:rPr>
          <w:rFonts w:hint="eastAsia" w:ascii="宋体" w:hAnsi="宋体"/>
          <w:sz w:val="21"/>
        </w:rPr>
        <w:t xml:space="preserve">面向各医疗机构提供数据确认与核查服务。系统按数据量及业务量自动向各机构分类展示采集的各类数据详情，为医疗机构提供专门的确认、核查页面，方便机构管理人员快速核对数据，及时发现数据数量偏差、数据错误等问题，保障数据采集的完整性与准确性。</w:t>
      </w:r>
      <w:r/>
    </w:p>
    <w:p>
      <w:pPr>
        <w:ind w:left="0" w:firstLine="420"/>
        <w:spacing w:line="360" w:lineRule="auto"/>
        <w:tabs>
          <w:tab w:val="left" w:pos="420" w:leader="none"/>
        </w:tabs>
        <w:rPr>
          <w:rFonts w:ascii="宋体" w:hAnsi="宋体"/>
          <w:sz w:val="21"/>
        </w:rPr>
      </w:pPr>
      <w:r>
        <w:rPr>
          <w:rFonts w:hint="eastAsia" w:ascii="宋体" w:hAnsi="宋体"/>
          <w:sz w:val="21"/>
        </w:rPr>
        <w:t xml:space="preserve">④</w:t>
      </w:r>
      <w:r>
        <w:rPr>
          <w:rFonts w:hint="eastAsia" w:ascii="宋体" w:hAnsi="宋体"/>
          <w:sz w:val="21"/>
        </w:rPr>
        <w:t xml:space="preserve">指标库管理</w:t>
      </w:r>
      <w:r/>
    </w:p>
    <w:p>
      <w:pPr>
        <w:ind w:left="0" w:firstLine="420"/>
        <w:spacing w:line="360" w:lineRule="auto"/>
        <w:tabs>
          <w:tab w:val="left" w:pos="420" w:leader="none"/>
        </w:tabs>
      </w:pPr>
      <w:r>
        <w:rPr>
          <w:rFonts w:hint="eastAsia" w:ascii="宋体" w:hAnsi="宋体"/>
          <w:sz w:val="21"/>
        </w:rPr>
        <w:t xml:space="preserve">实现对数据资源专题库的规范化管理，整合平台数据资源构建各类标准化指标库。须支持运营效率指标库、成本控制指标库、质量安全指标库、绩效考核指标库等。支持按指标分类、指标名称、指标口径算法、数据来源等搜索查询功能。指标库应包含国考评价指标体系、重点专科评审指标体系、公改示范项目监测指标体系及其他医院运营管理涉及的指标，具体内容参考以下文件。</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ascii="宋体" w:hAnsi="宋体"/>
          <w:b/>
          <w:sz w:val="21"/>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0;o:allowoverlap:true;o:allowincell:true;mso-position-horizontal-relative:text;margin-left:7.5pt;mso-position-horizontal:absolute;mso-position-vertical-relative:text;margin-top:13.6pt;mso-position-vertical:absolute;width:77.0pt;height:70.0pt;mso-wrap-distance-left:9.0pt;mso-wrap-distance-top:0.0pt;mso-wrap-distance-right:9.0pt;mso-wrap-distance-bottom:0.0pt;" filled="f" stroked="f">
            <v:path textboxrect="0,0,0,0"/>
            <w10:wrap type="topAndBottom"/>
            <v:imagedata r:id="rId17" o:title=""/>
          </v:shape>
          <o:OLEObject DrawAspect="Icon" r:id="rId18" ObjectID="_1525044" ProgID="Excel.Sheet.12" ShapeID="_x0000_i4" Type="Embed"/>
        </w:objec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ascii="宋体" w:hAnsi="宋体"/>
          <w:b/>
          <w:sz w:val="21"/>
        </w:rPr>
        <w:t xml:space="preserve">常用</w:t>
      </w:r>
      <w:r>
        <w:rPr>
          <w:rFonts w:ascii="宋体" w:hAnsi="宋体"/>
          <w:b/>
          <w:sz w:val="21"/>
        </w:rPr>
        <w:t xml:space="preserve">指标</w:t>
      </w:r>
      <w:r>
        <w:rPr>
          <w:rFonts w:ascii="宋体" w:hAnsi="宋体"/>
          <w:b/>
          <w:sz w:val="21"/>
        </w:rPr>
        <w:t xml:space="preserve">参考.</w:t>
      </w:r>
      <w:r>
        <w:rPr>
          <w:rFonts w:ascii="宋体" w:hAnsi="宋体"/>
          <w:b/>
          <w:sz w:val="21"/>
        </w:rPr>
        <w:t xml:space="preserve">xlsx</w:t>
      </w:r>
      <w:r>
        <w:rPr>
          <w:rFonts w:ascii="宋体" w:hAnsi="宋体"/>
          <w:b/>
          <w:sz w:val="21"/>
        </w:rPr>
        <w:t xml:space="preserve">如果</w:t>
      </w:r>
      <w:r>
        <w:rPr>
          <w:rFonts w:ascii="宋体" w:hAnsi="宋体"/>
          <w:b/>
          <w:sz w:val="21"/>
        </w:rPr>
        <w:t xml:space="preserve">无法</w:t>
      </w:r>
      <w:r>
        <w:rPr>
          <w:rFonts w:ascii="宋体" w:hAnsi="宋体"/>
          <w:b/>
          <w:sz w:val="21"/>
        </w:rPr>
        <w:t xml:space="preserve">正常</w:t>
      </w:r>
      <w:r>
        <w:rPr>
          <w:rFonts w:ascii="宋体" w:hAnsi="宋体"/>
          <w:b/>
          <w:sz w:val="21"/>
        </w:rPr>
        <w:t xml:space="preserve">打开</w:t>
      </w:r>
      <w:r>
        <w:rPr>
          <w:rFonts w:ascii="宋体" w:hAnsi="宋体"/>
          <w:b/>
          <w:sz w:val="21"/>
        </w:rPr>
        <w:t xml:space="preserve">，</w:t>
      </w:r>
      <w:r>
        <w:rPr>
          <w:rFonts w:ascii="宋体" w:hAnsi="宋体"/>
          <w:b/>
          <w:sz w:val="21"/>
        </w:rPr>
        <w:t xml:space="preserve">可于</w:t>
      </w:r>
      <w:r>
        <w:rPr>
          <w:rFonts w:ascii="宋体" w:hAnsi="宋体"/>
          <w:b/>
          <w:sz w:val="21"/>
        </w:rPr>
        <w:t xml:space="preserve">链接：https://share.weiyun.com/Z8qULZOU 密码：wxtis7</w:t>
      </w:r>
      <w:r>
        <w:rPr>
          <w:rFonts w:ascii="宋体" w:hAnsi="宋体"/>
          <w:b/>
          <w:sz w:val="21"/>
        </w:rPr>
        <w:t xml:space="preserve">自行</w:t>
      </w:r>
      <w:r>
        <w:rPr>
          <w:rFonts w:ascii="宋体" w:hAnsi="宋体"/>
          <w:b/>
          <w:sz w:val="21"/>
        </w:rPr>
        <w:t xml:space="preserve">下载</w:t>
      </w:r>
      <w:r>
        <w:rPr>
          <w:rFonts w:ascii="宋体" w:hAnsi="宋体"/>
          <w:b/>
          <w:sz w:val="21"/>
        </w:rPr>
        <w:t xml:space="preserve">。</w:t>
      </w:r>
      <w:r>
        <w:rPr>
          <w:rFonts w:ascii="宋体" w:hAnsi="宋体"/>
          <w:b/>
          <w:sz w:val="21"/>
        </w:rPr>
      </w:r>
      <w:r>
        <w:rPr>
          <w:rFonts w:ascii="宋体" w:hAnsi="宋体"/>
          <w:b/>
          <w:sz w:val="21"/>
        </w:rPr>
        <w:t xml:space="preserve">”</w:t>
      </w: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1.项目团队要求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中标人须根据要求在本项目服务周期内提供一支由资深项目经理带领的经验丰富、技术能力强的项目团队。项目团队不少于10人，其中建设期驻场服务人员不少于5人，维保期驻场服务人员不少于2人</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中标人需确保在系统调研、分析设计、开发测试和培训实施等各个阶段项目团队的稳定性，项目团队成员变更时，须事先征得项目采购人的同意后，方可进行变更。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项目建设期如需</w:t>
      </w:r>
      <w:r>
        <w:rPr>
          <w:rFonts w:hint="eastAsia" w:ascii="宋体" w:hAnsi="宋体"/>
          <w:sz w:val="21"/>
        </w:rPr>
        <w:t xml:space="preserve">更换</w:t>
      </w:r>
      <w:r>
        <w:rPr>
          <w:rFonts w:hint="eastAsia" w:ascii="宋体" w:hAnsi="宋体"/>
          <w:sz w:val="21"/>
        </w:rPr>
        <w:t xml:space="preserve">团队</w:t>
      </w:r>
      <w:r>
        <w:rPr>
          <w:rFonts w:hint="eastAsia" w:ascii="宋体" w:hAnsi="宋体"/>
          <w:sz w:val="21"/>
        </w:rPr>
        <w:t xml:space="preserve">人员，须将变更人及其工作影响、替换人资历等情况以书面材料报告项目采购人审核，经同意后方可更换，项目人员变更超过总人数的 30%，采购人有权中止合同执行。因中标人人员变更原因所造成的任何项目质量、进度滞后的后果，由中标人承担一切责任。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2.软件合法性和可用性</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本项目实施过程中使用及交付的所有成品软件和定制软件，要保证是永久、合法可用，并且不需要另行支付费用。如出现相关纠纷，由中标人负责解决。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3.保密要求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本项目要求中标人在实施方案中针对本项目建设内容制定保密措施并在项目实施过程中严格执行，以保证项目的成功实施。中标人必须提供对本项目的保密承诺。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4.实施进度要求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（1）自项目合同签订之日起 5个月内完成系统功能开发工作并上线试运行；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（2）试运行不低于3个月，试运行期间根据试运行反馈进行必要的优化完善。</w:t>
      </w:r>
      <w:r/>
    </w:p>
    <w:p>
      <w:pPr>
        <w:ind w:left="0" w:firstLine="420"/>
        <w:spacing w:line="360" w:lineRule="auto"/>
        <w:tabs>
          <w:tab w:val="left" w:pos="420" w:leader="none"/>
        </w:tabs>
        <w:rPr>
          <w:rFonts w:ascii="宋体" w:hAnsi="宋体"/>
          <w:sz w:val="21"/>
        </w:rPr>
      </w:pPr>
      <w:r>
        <w:rPr>
          <w:rFonts w:hint="eastAsia"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（四）系统培训要求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中标人必须向采购人提供免费培训，培训方式应</w:t>
      </w:r>
      <w:r>
        <w:rPr>
          <w:rFonts w:hint="eastAsia" w:ascii="宋体" w:hAnsi="宋体"/>
          <w:sz w:val="21"/>
        </w:rPr>
        <w:t xml:space="preserve">包括理论培训和现场培训。中标人需在投标书中提出全面、详细的培训</w:t>
      </w:r>
      <w:r>
        <w:rPr>
          <w:rFonts w:hint="eastAsia" w:ascii="宋体" w:hAnsi="宋体"/>
          <w:sz w:val="21"/>
        </w:rPr>
        <w:t xml:space="preserve">计划、内容和深度，包括但不限于培训内容、培训时间、地点、授课老师等，并提供课程体系、培训方法和考核方法等。</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中标人须</w:t>
      </w:r>
      <w:r>
        <w:rPr>
          <w:rFonts w:hint="eastAsia" w:ascii="宋体" w:hAnsi="宋体"/>
          <w:sz w:val="21"/>
        </w:rPr>
        <w:t xml:space="preserve">针对不同角色用户提供不少于6次集中培训，包含但不限于面向医院院长及高层管理人员的运营管理决策培训、面向职能科室（医务、财务、绩效等）的业务管理培训、面向临床科室的系统使用与数据分析培训。须提供完整培训教材、操作手册、考核方案和在线帮助文档。培训覆盖全市65家二三级公立医院，确保各医院相关人员熟练掌握系统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中标人派出的培训教员应具备丰富的相同课程教学经验，所有的培训教员必须中文授课，中标人必须为所有被培训人员提供培训用文字资料和讲义等相关用品。培训讲师费用由中标人负责。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对所有产品需提供自项目验收完成后5年免费技术维护、维修及免费升级服务。投标人应对所投标的产品售后服务体系、售后服务年限、技术支持情况做出说明。质保期内应提供本地售后服务人员，负责软件维护服务。服务内容包括：使用指导，对系统进行必须的修订和微调，对隐含的错误进行纠正，新版本的升级；维护方式包括：电话解答，远程维护，技术人员现场解决问题。对故障在 1 小时内响应， 2 小时以内到现场， 4 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在免费运维期内，</w:t>
      </w:r>
      <w:r>
        <w:rPr>
          <w:rFonts w:hint="eastAsia" w:ascii="宋体" w:hAnsi="宋体"/>
          <w:sz w:val="21"/>
        </w:rPr>
        <w:t xml:space="preserve">提供数据指标运维服务，包括</w:t>
      </w:r>
      <w:r>
        <w:rPr>
          <w:rFonts w:hint="eastAsia" w:ascii="宋体" w:hAnsi="宋体"/>
          <w:sz w:val="21"/>
        </w:rPr>
        <w:t xml:space="preserve">对平台各指标数据进行持续跟踪，开展问题数据溯源、建立异常数据问题台账、指标口径核对、指标数据比对校正、数据上报支持等服务，确保指标数据准确可用；为市卫健委、医管中心等业务部门，提供指标结果的数据解读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3.在免费维护期内，按采购人要求提供功能优化和改进服务，不再另外收取费用。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4.具备专业的售后服务团队，能保证提供每天 24 小时不间断的售后服务。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5.对于系统的 BUG承诺</w:t>
      </w:r>
      <w:r>
        <w:rPr>
          <w:rFonts w:hint="eastAsia" w:ascii="宋体" w:hAnsi="宋体"/>
          <w:sz w:val="21"/>
        </w:rPr>
        <w:t xml:space="preserve">产品生命周期内</w:t>
      </w:r>
      <w:r>
        <w:rPr>
          <w:rFonts w:hint="eastAsia" w:ascii="宋体" w:hAnsi="宋体"/>
          <w:sz w:val="21"/>
        </w:rPr>
        <w:t xml:space="preserve">免费维护。定期汇报系统运行情况。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6.遇有重大活动需要确保系统正常运作的，中标人在接到通知后，应当在活动期间提供人员现场保障。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7.在安装调试过程中，应满足采购人提出的合理要求。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8.所有软件产品的维护期自本项目验收合格书签订之日起开始计算。项目建设期间及维护期均属于免费服务期，该期限内的所有售后服务，包括软件维护、应用软件升级、提供替代品等所产生的费用（不包含更换硬件和系统软件的费用）均由中标人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9.中标人在维护期满后应继续向采购人提供保证质量的售后服务，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投标人应根据自身条件和能力提交详细的售后服务方案和计划。售后服务方案和计划应包括提供售后服务的保障措施，必须明确所能提供的包括但不限于以上几项的服务内容及维护细则。</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应保证在本项目使用的任何产品和服务（包括部分使用）时，不会产生因第三方提出侵犯其专利权、商标权或其它知识产权而引起的法律和经济纠纷，如因专利权、商标权或其它知识产权而引起法律和经济纠纷，由投标方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投标人应该保证为本项目提供的软件代码编译、发布及运行，不依赖于其他任何付费服务。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采购人享有本项目定制开发部分的知识产权，供应商享有通用技术模块的知识产权，可用于其他项目。</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（七）商务要求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1.履约期限：自合同签订之日起5个月内完成项目建设内容并上线试运行，试运行时间不低于3个月，并承诺提供自验收通过之日起不少于5年的免费维保。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合同签订生效后，收到发票后30日内支付合同金额的30%；系统建设完成，并初验通过并上线试运行后，支付合同金额40%；经验收合格后，支付合同金额20%；验收合格</w:t>
      </w:r>
      <w:r>
        <w:rPr>
          <w:rFonts w:ascii="宋体" w:hAnsi="宋体"/>
          <w:sz w:val="21"/>
        </w:rPr>
        <w:t xml:space="preserve">一年内</w:t>
      </w:r>
      <w:r>
        <w:rPr>
          <w:rFonts w:hint="eastAsia" w:ascii="宋体" w:hAnsi="宋体"/>
          <w:sz w:val="21"/>
        </w:rPr>
        <w:t xml:space="preserve">，系统运行无重大质量问题，支付合同金额10%。</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（八）验收要求及标准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1.项目验收的组织机构</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采购人负责组织专家验收小组，负责整个验收工作。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项目验收：本项目系统功能开发完成并上线试运行后，组织项目验收。中标人应在项目验收时将从合同签</w:t>
      </w:r>
      <w:r>
        <w:rPr>
          <w:rFonts w:hint="eastAsia" w:ascii="宋体" w:hAnsi="宋体"/>
          <w:sz w:val="21"/>
        </w:rPr>
        <w:t xml:space="preserve">订</w:t>
      </w:r>
      <w:r>
        <w:rPr>
          <w:rFonts w:hint="eastAsia" w:ascii="宋体" w:hAnsi="宋体"/>
          <w:sz w:val="21"/>
        </w:rPr>
        <w:t xml:space="preserve">之日起所有关于本项目的交付软件和交付文档交付采购人；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交付软件包括：本项目产生的客户端可执行程序、服务端可执行程序、客户端及服务端程序定制开发部分源代码、第三方组件提供合法使用授权及接口源码（如有）；</w:t>
      </w:r>
      <w:r/>
    </w:p>
    <w:p>
      <w:pPr>
        <w:ind w:left="0" w:firstLine="420"/>
        <w:spacing w:line="360" w:lineRule="auto"/>
        <w:tabs>
          <w:tab w:val="left" w:pos="420" w:leader="none"/>
        </w:tabs>
        <w:rPr>
          <w:rFonts w:ascii="宋体" w:hAnsi="宋体"/>
          <w:sz w:val="21"/>
        </w:rPr>
      </w:pPr>
      <w:r>
        <w:rPr>
          <w:rFonts w:hint="eastAsia" w:ascii="宋体" w:hAnsi="宋体"/>
          <w:sz w:val="21"/>
        </w:rPr>
        <w:t xml:space="preserve">交付文档包括：本项目产生的需求分析文档、设计文档、测试报告、用户手册、数据表结构等文档。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如项目内容涉及与外部系统的接口开发，需要提供相关的接口定义与规范。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如项目内容涉及采购第三方独立软件产品，需要提供有关产品说明书、安装手册、维护手册等技术资料。</w:t>
      </w:r>
      <w:r/>
    </w:p>
    <w:p>
      <w:pPr>
        <w:ind w:left="0" w:firstLine="420"/>
        <w:spacing w:line="360" w:lineRule="auto"/>
        <w:tabs>
          <w:tab w:val="left" w:pos="420" w:leader="none"/>
        </w:tabs>
        <w:rPr>
          <w:rFonts w:ascii="宋体" w:hAnsi="宋体"/>
          <w:sz w:val="21"/>
        </w:rPr>
      </w:pPr>
      <w:r>
        <w:rPr>
          <w:rFonts w:hint="eastAsia" w:ascii="宋体" w:hAnsi="宋体"/>
          <w:sz w:val="21"/>
        </w:rPr>
        <w:t xml:space="preserve">交付文档应以中文书写，在项目验收时装订成册交付采购人。</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bookmarkStart w:id="105" w:name="OLE_LINK17"/>
      <w:r>
        <w:rPr>
          <w:rFonts w:hint="eastAsia" w:ascii="宋体" w:hAnsi="宋体" w:cs="Times New Roman"/>
          <w:b/>
          <w:sz w:val="21"/>
        </w:rPr>
        <w:t xml:space="preserve">软件和信息技术服务业</w:t>
      </w:r>
      <w:bookmarkEnd w:id="105"/>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bookmarkStart w:id="106" w:name="_Toc5111"/>
      <w:r/>
      <w:bookmarkStart w:id="107" w:name="_Toc11789"/>
      <w:r/>
      <w:bookmarkStart w:id="108" w:name="_Hlk55741158"/>
      <w:r>
        <w:rPr>
          <w:rFonts w:hint="eastAsia" w:ascii="宋体" w:hAnsi="宋体"/>
          <w:b/>
          <w:sz w:val="44"/>
          <w:szCs w:val="22"/>
        </w:rPr>
        <w:br w:type="page" w:clear="all"/>
      </w:r>
      <w:bookmarkStart w:id="109" w:name="_Toc105397794"/>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 合同及主要条款</w:t>
      </w:r>
      <w:bookmarkEnd w:id="106"/>
      <w:r/>
      <w:bookmarkEnd w:id="107"/>
      <w:r/>
      <w:bookmarkEnd w:id="109"/>
      <w:r/>
      <w:r/>
    </w:p>
    <w:p>
      <w:pPr>
        <w:ind w:left="0"/>
        <w:jc w:val="center"/>
        <w:rPr>
          <w:rFonts w:ascii="宋体" w:hAnsi="宋体"/>
          <w:b/>
          <w:sz w:val="32"/>
          <w:szCs w:val="32"/>
        </w:rPr>
      </w:pPr>
      <w:r/>
      <w:bookmarkStart w:id="111" w:name="OLE_LINK13"/>
      <w:r/>
      <w:bookmarkStart w:id="112" w:name="_Toc57376410"/>
      <w:r/>
      <w:bookmarkStart w:id="113" w:name="_Toc27667"/>
      <w:r/>
      <w:bookmarkStart w:id="114" w:name="_Toc8564"/>
      <w:r/>
      <w:bookmarkStart w:id="115" w:name="_Toc105397795"/>
      <w:r/>
      <w:bookmarkEnd w:id="10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82"/>
        <w:spacing w:line="480" w:lineRule="exact"/>
        <w:widowControl w:val="off"/>
        <w:rPr>
          <w:rFonts w:ascii="宋体" w:hAnsi="宋体"/>
          <w:sz w:val="21"/>
          <w:szCs w:val="21"/>
          <w:u w:val="single"/>
        </w:rPr>
      </w:pPr>
      <w:r>
        <w:rPr>
          <w:rFonts w:ascii="Wingdings 2" w:hAnsi="Wingdings 2" w:eastAsia="Wingdings 2" w:cs="Wingdings 2"/>
          <w:b/>
          <w:sz w:val="24"/>
          <w:szCs w:val="24"/>
        </w:rPr>
        <w:t xml:space="preserve">R</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生效后，收到发票后30日内支付合同金额的30%；系统建设完成，并初验通过并上线试运行后，支付合同金额40%；经验收合格后，支付合同金额20%；验收合格一年内，系统运行无重大质量问题，支付合同金额10%。</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ascii="宋体" w:hAnsi="宋体"/>
          <w:bCs/>
          <w:sz w:val="21"/>
          <w:szCs w:val="21"/>
          <w:u w:val="single"/>
        </w:rPr>
        <w:t xml:space="preserve">供应商提出验收申请之日</w:t>
      </w:r>
      <w:r>
        <w:rPr>
          <w:rFonts w:hint="eastAsia" w:ascii="宋体" w:hAnsi="宋体"/>
          <w:bCs/>
          <w:sz w:val="21"/>
          <w:szCs w:val="21"/>
          <w:u w:val="single"/>
        </w:rPr>
        <w:t xml:space="preserve">起的30日</w:t>
      </w:r>
      <w:r>
        <w:rPr>
          <w:rFonts w:ascii="宋体" w:hAnsi="宋体"/>
          <w:bCs/>
          <w:sz w:val="21"/>
          <w:szCs w:val="21"/>
          <w:u w:val="single"/>
        </w:rPr>
        <w:t xml:space="preserve">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bC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分两期验收，完成系统主要功能模块开发工作和实际网络运行环境部署工作后组织初验，初验通过后进入试运行期，试运行期结束后一个月内，以专家组验收方式对软件建设成果进行验收。</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u w:val="single"/>
        </w:rPr>
      </w:pPr>
      <w:r>
        <w:rPr>
          <w:rFonts w:ascii="宋体" w:hAnsi="宋体"/>
          <w:sz w:val="21"/>
          <w:szCs w:val="21"/>
        </w:rPr>
        <w:t xml:space="preserve">5.</w:t>
      </w:r>
      <w:r>
        <w:rPr>
          <w:rFonts w:hint="eastAsia" w:ascii="宋体" w:hAnsi="宋体"/>
          <w:sz w:val="21"/>
          <w:szCs w:val="21"/>
        </w:rPr>
        <w:t xml:space="preserve">履约验收的内容：</w:t>
      </w:r>
      <w:r>
        <w:rPr>
          <w:rFonts w:hint="eastAsia" w:ascii="宋体" w:hAnsi="宋体"/>
          <w:sz w:val="21"/>
          <w:szCs w:val="21"/>
          <w:u w:val="single"/>
        </w:rPr>
        <w:t xml:space="preserve">交付软件包括：本项目产生的客户端可执行程序、服务端可执行程序、客户端及服务端程序定制开发部分源代码、第三方组件提供合法使用授权及接口源码（如有）</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交付文档包括：本项目产生的需求分析文档、设计文档、测试报告、用户手册、数据表结构等文档。</w:t>
      </w:r>
      <w:r/>
    </w:p>
    <w:p>
      <w:pPr>
        <w:ind w:left="0" w:firstLine="420"/>
        <w:spacing w:line="480" w:lineRule="exact"/>
        <w:widowControl w:val="off"/>
        <w:rPr>
          <w:rFonts w:ascii="宋体" w:hAnsi="宋体"/>
          <w:sz w:val="21"/>
          <w:szCs w:val="21"/>
        </w:rPr>
      </w:pPr>
      <w:r>
        <w:rPr>
          <w:rFonts w:hint="eastAsia" w:ascii="宋体" w:hAnsi="宋体"/>
          <w:sz w:val="21"/>
          <w:szCs w:val="21"/>
          <w:u w:val="single"/>
        </w:rPr>
        <w:t xml:space="preserve">如项目内容涉及与外部系统的接口开发，需要提供相关的接口定义与规范</w:t>
      </w:r>
      <w:r>
        <w:rPr>
          <w:rFonts w:hint="eastAsia" w:ascii="宋体" w:hAnsi="宋体"/>
          <w:sz w:val="21"/>
          <w:szCs w:val="21"/>
          <w:u w:val="single"/>
        </w:rPr>
        <w:t xml:space="preserve">。</w:t>
      </w:r>
      <w:r>
        <w:rPr>
          <w:rFonts w:hint="eastAsia" w:ascii="宋体" w:hAnsi="宋体"/>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上线运行后软件功能达到招标文件的要求，业务流程能够正确执行，满足实际业务使用需求。系统性能指标达到招标文件及合同约定的标准，确保在正常业务负载下稳定运行。满足安全与兼容性要求，交付文档内容详实准确，与系统实际功能一致。提供完整的测试报告，含测试用例、测试环境和测试结果、主要缺陷的修复；用户手册清晰易懂。数据表结构文档与接口文档字段与参数定义清晰、说明完整，能够支撑后续系统维护与二次开发</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验收通过后双方签署《项目履约验收合格单》</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rFonts w:hint="eastAsia" w:ascii="宋体" w:hAnsi="宋体"/>
          <w:b/>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（5）乙方应执行国家有关规定（如苏州最低工资标准和其他规定），负责乙方员工的生病、事故、伤残、死亡和劳务纠纷，甲方不承担任何相关责任。</w:t>
      </w:r>
      <w:r/>
    </w:p>
    <w:p>
      <w:pPr>
        <w:ind w:left="0" w:firstLine="420"/>
        <w:spacing w:line="360" w:lineRule="auto"/>
        <w:rPr>
          <w:rFonts w:ascii="宋体" w:hAnsi="宋体"/>
          <w:sz w:val="21"/>
          <w:szCs w:val="21"/>
        </w:rPr>
      </w:pPr>
      <w:r>
        <w:rPr>
          <w:rFonts w:hint="eastAsia" w:ascii="宋体" w:hAnsi="宋体"/>
          <w:sz w:val="21"/>
          <w:szCs w:val="21"/>
        </w:rPr>
        <w:t xml:space="preserve">（6）乙方负有对自己员工的安全责任，甲方不承担任何相关责任。</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w:t>
      </w:r>
      <w:r>
        <w:rPr>
          <w:rFonts w:hint="eastAsia" w:ascii="宋体" w:hAnsi="宋体"/>
          <w:sz w:val="21"/>
          <w:szCs w:val="21"/>
        </w:rPr>
        <w:t xml:space="preserve">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1"/>
            <w:r/>
            <w:r/>
          </w:p>
        </w:tc>
      </w:tr>
    </w:tbl>
    <w:p>
      <w:pPr>
        <w:pStyle w:val="1064"/>
        <w:ind w:left="0" w:firstLine="0"/>
        <w:rPr>
          <w:rFonts w:ascii="宋体" w:hAnsi="宋体"/>
          <w:b/>
          <w:sz w:val="44"/>
          <w:szCs w:val="22"/>
        </w:rPr>
      </w:pPr>
      <w:r>
        <w:rPr>
          <w:rFonts w:ascii="宋体" w:hAnsi="宋体"/>
          <w:b/>
          <w:sz w:val="44"/>
          <w:szCs w:val="22"/>
        </w:rPr>
      </w:r>
      <w:r/>
    </w:p>
    <w:p>
      <w:pPr>
        <w:pStyle w:val="1064"/>
        <w:ind w:left="400" w:firstLine="883"/>
        <w:rPr>
          <w:rFonts w:ascii="宋体" w:hAnsi="宋体"/>
          <w:b/>
          <w:sz w:val="44"/>
          <w:szCs w:val="22"/>
        </w:rPr>
      </w:pPr>
      <w:r>
        <w:rPr>
          <w:rFonts w:hint="eastAsia" w:ascii="宋体" w:hAnsi="宋体"/>
          <w:b/>
          <w:sz w:val="44"/>
          <w:szCs w:val="22"/>
        </w:rPr>
        <w:br w:type="page" w:clear="all"/>
      </w:r>
      <w:r/>
    </w:p>
    <w:p>
      <w:pPr>
        <w:pStyle w:val="1005"/>
        <w:ind w:left="0" w:firstLine="0"/>
        <w:jc w:val="center"/>
        <w:rPr>
          <w:rFonts w:ascii="宋体" w:hAnsi="宋体"/>
          <w:b/>
          <w:sz w:val="44"/>
          <w:szCs w:val="22"/>
        </w:rPr>
      </w:pPr>
      <w:r>
        <w:rPr>
          <w:rFonts w:hint="eastAsia" w:ascii="宋体" w:hAnsi="宋体"/>
          <w:b/>
          <w:sz w:val="44"/>
          <w:szCs w:val="22"/>
        </w:rPr>
        <w:t xml:space="preserve">第六章 </w:t>
      </w:r>
      <w:bookmarkStart w:id="116" w:name="评分要点"/>
      <w:r/>
      <w:bookmarkEnd w:id="116"/>
      <w:r>
        <w:rPr>
          <w:rFonts w:hint="eastAsia" w:ascii="宋体" w:hAnsi="宋体"/>
          <w:b/>
          <w:sz w:val="44"/>
          <w:szCs w:val="22"/>
        </w:rPr>
        <w:t xml:space="preserve"> 评标办法和评分标准</w:t>
      </w:r>
      <w:bookmarkEnd w:id="112"/>
      <w:r/>
      <w:bookmarkEnd w:id="113"/>
      <w:r/>
      <w:bookmarkEnd w:id="114"/>
      <w:r/>
      <w:bookmarkEnd w:id="115"/>
      <w:r/>
      <w:r/>
    </w:p>
    <w:p>
      <w:pPr>
        <w:ind w:left="0" w:firstLine="422"/>
        <w:spacing w:line="360" w:lineRule="auto"/>
        <w:rPr>
          <w:rFonts w:ascii="宋体" w:hAnsi="宋体"/>
          <w:b/>
          <w:sz w:val="21"/>
          <w:szCs w:val="21"/>
        </w:rPr>
      </w:pPr>
      <w:r/>
      <w:bookmarkStart w:id="117" w:name="_Toc16264"/>
      <w:r/>
      <w:bookmarkStart w:id="118" w:name="_Toc698"/>
      <w:r/>
      <w:bookmarkStart w:id="119" w:name="_Toc17476"/>
      <w:r>
        <w:rPr>
          <w:rFonts w:hint="eastAsia" w:ascii="宋体" w:hAnsi="宋体"/>
          <w:b/>
          <w:sz w:val="21"/>
          <w:szCs w:val="21"/>
        </w:rPr>
        <w:t xml:space="preserve">一、评标办法：</w:t>
      </w:r>
      <w:bookmarkEnd w:id="117"/>
      <w:r/>
      <w:bookmarkEnd w:id="118"/>
      <w:r/>
      <w:bookmarkEnd w:id="11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7"/>
      </w:pPr>
      <w:r/>
      <w:r/>
    </w:p>
    <w:p>
      <w:pPr>
        <w:pStyle w:val="102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4"/>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10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(9</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项目背景、现状及需求理解</w:t>
            </w:r>
            <w:r/>
          </w:p>
        </w:tc>
        <w:tc>
          <w:tcPr>
            <w:tcW w:w="7500" w:type="dxa"/>
            <w:vAlign w:val="center"/>
            <w:textDirection w:val="lrTb"/>
            <w:noWrap w:val="false"/>
          </w:tcPr>
          <w:p>
            <w:pPr>
              <w:ind w:left="0"/>
              <w:jc w:val="left"/>
              <w:rPr>
                <w:rFonts w:ascii="宋体" w:hAnsi="宋体" w:cs="Times New Roman"/>
                <w:bCs/>
                <w:sz w:val="21"/>
                <w:szCs w:val="22"/>
              </w:rPr>
            </w:pPr>
            <w:r>
              <w:rPr>
                <w:rFonts w:hint="eastAsia" w:ascii="宋体" w:hAnsi="宋体" w:cs="Times New Roman"/>
                <w:bCs/>
                <w:sz w:val="21"/>
                <w:szCs w:val="22"/>
              </w:rPr>
              <w:t xml:space="preserve">投标单位基于采购要求和理解程度，根据苏州市公立医院改革与高质量发展示范项目中公立医院运营管理需求的理解，对项目的背景、现状、需求进行阐述，内容包括但不限于：</w:t>
            </w:r>
            <w:r/>
          </w:p>
          <w:p>
            <w:pPr>
              <w:ind w:left="0"/>
              <w:jc w:val="left"/>
              <w:rPr>
                <w:rFonts w:ascii="宋体" w:hAnsi="宋体" w:cs="Times New Roman"/>
                <w:bCs/>
                <w:sz w:val="21"/>
                <w:szCs w:val="22"/>
              </w:rPr>
            </w:pPr>
            <w:r>
              <w:rPr>
                <w:rFonts w:hint="eastAsia" w:ascii="宋体" w:hAnsi="宋体" w:cs="Times New Roman"/>
                <w:bCs/>
                <w:sz w:val="21"/>
                <w:szCs w:val="22"/>
              </w:rPr>
              <w:t xml:space="preserve">（1）项目背景；</w:t>
            </w:r>
            <w:r/>
          </w:p>
          <w:p>
            <w:pPr>
              <w:ind w:left="0"/>
              <w:jc w:val="left"/>
              <w:rPr>
                <w:rFonts w:ascii="宋体" w:hAnsi="宋体" w:cs="Times New Roman"/>
                <w:bCs/>
                <w:sz w:val="21"/>
                <w:szCs w:val="22"/>
              </w:rPr>
            </w:pPr>
            <w:r>
              <w:rPr>
                <w:rFonts w:hint="eastAsia" w:ascii="宋体" w:hAnsi="宋体" w:cs="Times New Roman"/>
                <w:bCs/>
                <w:sz w:val="21"/>
                <w:szCs w:val="22"/>
              </w:rPr>
              <w:t xml:space="preserve">（2）实施单位信息化及数据现状；</w:t>
            </w:r>
            <w:r/>
          </w:p>
          <w:p>
            <w:pPr>
              <w:ind w:left="0"/>
              <w:jc w:val="left"/>
              <w:rPr>
                <w:rFonts w:ascii="宋体" w:hAnsi="宋体" w:cs="Times New Roman"/>
                <w:bCs/>
                <w:sz w:val="21"/>
                <w:szCs w:val="22"/>
              </w:rPr>
            </w:pPr>
            <w:r>
              <w:rPr>
                <w:rFonts w:hint="eastAsia" w:ascii="宋体" w:hAnsi="宋体" w:cs="Times New Roman"/>
                <w:bCs/>
                <w:sz w:val="21"/>
                <w:szCs w:val="22"/>
              </w:rPr>
              <w:t xml:space="preserve">（3）存在的主要问题与差距；</w:t>
            </w:r>
            <w:r/>
          </w:p>
          <w:p>
            <w:pPr>
              <w:ind w:left="0"/>
              <w:jc w:val="left"/>
              <w:rPr>
                <w:rFonts w:ascii="宋体" w:hAnsi="宋体" w:cs="Times New Roman"/>
                <w:bCs/>
                <w:sz w:val="21"/>
                <w:szCs w:val="22"/>
              </w:rPr>
            </w:pPr>
            <w:r>
              <w:rPr>
                <w:rFonts w:hint="eastAsia" w:ascii="宋体" w:hAnsi="宋体" w:cs="Times New Roman"/>
                <w:bCs/>
                <w:sz w:val="21"/>
                <w:szCs w:val="22"/>
              </w:rPr>
              <w:t xml:space="preserve">（4）业务需求分析及业务流程；</w:t>
            </w:r>
            <w:r/>
          </w:p>
          <w:p>
            <w:pPr>
              <w:ind w:left="0"/>
              <w:jc w:val="left"/>
              <w:rPr>
                <w:rFonts w:ascii="宋体" w:hAnsi="宋体" w:cs="Times New Roman"/>
                <w:bCs/>
                <w:sz w:val="21"/>
                <w:szCs w:val="22"/>
              </w:rPr>
            </w:pPr>
            <w:r>
              <w:rPr>
                <w:rFonts w:hint="eastAsia" w:ascii="宋体" w:hAnsi="宋体" w:cs="Times New Roman"/>
                <w:bCs/>
                <w:sz w:val="21"/>
                <w:szCs w:val="22"/>
              </w:rPr>
              <w:t xml:space="preserve">（5）目标分析；</w:t>
            </w:r>
            <w:r/>
          </w:p>
          <w:p>
            <w:pPr>
              <w:ind w:left="0"/>
              <w:jc w:val="left"/>
              <w:rPr>
                <w:rFonts w:ascii="宋体" w:hAnsi="宋体" w:cs="Times New Roman"/>
                <w:bCs/>
                <w:sz w:val="21"/>
                <w:szCs w:val="22"/>
              </w:rPr>
            </w:pPr>
            <w:r>
              <w:rPr>
                <w:rFonts w:hint="eastAsia" w:ascii="宋体" w:hAnsi="宋体" w:cs="Times New Roman"/>
                <w:bCs/>
                <w:sz w:val="21"/>
                <w:szCs w:val="22"/>
              </w:rPr>
              <w:t xml:space="preserve">（6）功能和性能分析。</w:t>
            </w:r>
            <w:r/>
          </w:p>
          <w:p>
            <w:pPr>
              <w:ind w:left="0"/>
              <w:jc w:val="left"/>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1</w:t>
            </w:r>
            <w:r>
              <w:rPr>
                <w:rFonts w:hint="eastAsia" w:ascii="宋体" w:hAnsi="宋体"/>
                <w:sz w:val="21"/>
                <w:szCs w:val="21"/>
                <w:lang w:bidi="ar"/>
              </w:rPr>
              <w:t xml:space="preserve">分；内容基本完整，可行性一般的得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分。每项叙述内容完全脱离采购需求或未做完整叙述的不得分。本项最高得分</w:t>
            </w:r>
            <w:r>
              <w:rPr>
                <w:rFonts w:ascii="宋体" w:hAnsi="宋体"/>
                <w:sz w:val="21"/>
                <w:szCs w:val="21"/>
                <w:lang w:bidi="ar"/>
              </w:rPr>
              <w:t xml:space="preserve">6</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架构设计方案</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投标单位对苏州市公立医院治理管理平台项目方案总体系统架构进行阐述，内容包括但不限于：</w:t>
            </w:r>
            <w:r/>
          </w:p>
          <w:p>
            <w:pPr>
              <w:ind w:left="0"/>
              <w:jc w:val="left"/>
              <w:rPr>
                <w:rFonts w:ascii="宋体" w:hAnsi="宋体"/>
                <w:sz w:val="21"/>
                <w:szCs w:val="21"/>
              </w:rPr>
            </w:pPr>
            <w:r>
              <w:rPr>
                <w:rFonts w:hint="eastAsia" w:ascii="宋体" w:hAnsi="宋体"/>
                <w:sz w:val="21"/>
                <w:szCs w:val="21"/>
              </w:rPr>
              <w:t xml:space="preserve">（1）总体架构；</w:t>
            </w:r>
            <w:r/>
          </w:p>
          <w:p>
            <w:pPr>
              <w:ind w:left="0"/>
              <w:jc w:val="left"/>
              <w:rPr>
                <w:rFonts w:ascii="宋体" w:hAnsi="宋体"/>
                <w:sz w:val="21"/>
                <w:szCs w:val="21"/>
              </w:rPr>
            </w:pPr>
            <w:r>
              <w:rPr>
                <w:rFonts w:hint="eastAsia" w:ascii="宋体" w:hAnsi="宋体"/>
                <w:sz w:val="21"/>
                <w:szCs w:val="21"/>
              </w:rPr>
              <w:t xml:space="preserve">（2）应用架构；</w:t>
            </w:r>
            <w:r/>
          </w:p>
          <w:p>
            <w:pPr>
              <w:ind w:left="0"/>
              <w:jc w:val="left"/>
              <w:rPr>
                <w:rFonts w:ascii="宋体" w:hAnsi="宋体"/>
                <w:sz w:val="21"/>
                <w:szCs w:val="21"/>
              </w:rPr>
            </w:pPr>
            <w:r>
              <w:rPr>
                <w:rFonts w:hint="eastAsia" w:ascii="宋体" w:hAnsi="宋体"/>
                <w:sz w:val="21"/>
                <w:szCs w:val="21"/>
              </w:rPr>
              <w:t xml:space="preserve">（3）技术架构；</w:t>
            </w:r>
            <w:r/>
          </w:p>
          <w:p>
            <w:pPr>
              <w:ind w:left="0"/>
              <w:rPr>
                <w:rFonts w:ascii="宋体" w:hAnsi="宋体"/>
                <w:sz w:val="21"/>
                <w:szCs w:val="21"/>
                <w:lang w:bidi="ar"/>
              </w:rPr>
            </w:pPr>
            <w:r>
              <w:rPr>
                <w:rFonts w:hint="eastAsia" w:ascii="宋体" w:hAnsi="宋体"/>
                <w:sz w:val="21"/>
                <w:szCs w:val="21"/>
              </w:rPr>
              <w:t xml:space="preserve">（4）数据架构。</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2</w:t>
            </w:r>
            <w:r>
              <w:rPr>
                <w:rFonts w:hint="eastAsia" w:ascii="宋体" w:hAnsi="宋体"/>
                <w:sz w:val="21"/>
                <w:szCs w:val="21"/>
                <w:lang w:bidi="ar"/>
              </w:rPr>
              <w:t xml:space="preserve">分；内容基本完整，可行性一般的得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分。每项叙述内容完全脱离采购需求或未做完整叙述的不得分。本项最高得分</w:t>
            </w:r>
            <w:r>
              <w:rPr>
                <w:rFonts w:ascii="宋体" w:hAnsi="宋体"/>
                <w:sz w:val="21"/>
                <w:szCs w:val="21"/>
                <w:lang w:bidi="ar"/>
              </w:rPr>
              <w:t xml:space="preserve">8</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1"/>
              </w:rPr>
              <w:t xml:space="preserve">8</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sz w:val="21"/>
                <w:szCs w:val="21"/>
              </w:rPr>
              <w:t xml:space="preserve">应用层服务方案</w:t>
            </w:r>
            <w:r/>
          </w:p>
        </w:tc>
        <w:tc>
          <w:tcPr>
            <w:tcW w:w="75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投标单位根据本项目特点，制定</w:t>
            </w:r>
            <w:r>
              <w:rPr>
                <w:rFonts w:hint="eastAsia" w:ascii="宋体"/>
                <w:sz w:val="21"/>
                <w:szCs w:val="21"/>
              </w:rPr>
              <w:t xml:space="preserve">应用层服务方案</w:t>
            </w:r>
            <w:r>
              <w:rPr>
                <w:rFonts w:hint="eastAsia" w:ascii="宋体" w:hAnsi="宋体"/>
                <w:sz w:val="21"/>
                <w:szCs w:val="21"/>
                <w:lang w:bidi="ar"/>
              </w:rPr>
              <w:t xml:space="preserve">。投标人应针对以下各模块，围绕服务内容对医疗运营管理业务逻辑的契合度、实现方式的合理性与可行性进行阐述：</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总览；</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循证查询；</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能效分析；</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医疗收入分析；</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医疗成本分析；</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资源分析；</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全面预算；</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业绩表单；</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国考分析；</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专科能力评估；</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示范监测；</w:t>
            </w:r>
            <w:r/>
          </w:p>
          <w:p>
            <w:pPr>
              <w:numPr>
                <w:ilvl w:val="0"/>
                <w:numId w:val="3"/>
              </w:numPr>
              <w:ind w:left="0"/>
              <w:jc w:val="left"/>
              <w:rPr>
                <w:rFonts w:ascii="宋体" w:hAnsi="宋体"/>
                <w:sz w:val="21"/>
                <w:szCs w:val="21"/>
                <w:lang w:bidi="ar"/>
              </w:rPr>
            </w:pPr>
            <w:r>
              <w:rPr>
                <w:rFonts w:hint="eastAsia" w:ascii="宋体" w:hAnsi="宋体"/>
                <w:sz w:val="21"/>
                <w:szCs w:val="21"/>
                <w:lang w:bidi="ar"/>
              </w:rPr>
              <w:t xml:space="preserve">移动应用中心。</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2</w:t>
            </w:r>
            <w:r>
              <w:rPr>
                <w:rFonts w:hint="eastAsia" w:ascii="宋体" w:hAnsi="宋体"/>
                <w:sz w:val="21"/>
                <w:szCs w:val="21"/>
                <w:lang w:bidi="ar"/>
              </w:rPr>
              <w:t xml:space="preserve">分；内容基本完整，可行性一般的得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分。每项叙述内容完全脱离采购需求或未做完整叙述的不得分。本项最高得分2</w:t>
            </w:r>
            <w:r>
              <w:rPr>
                <w:rFonts w:ascii="宋体" w:hAnsi="宋体"/>
                <w:sz w:val="21"/>
                <w:szCs w:val="21"/>
                <w:lang w:bidi="ar"/>
              </w:rPr>
              <w:t xml:space="preserve">4</w:t>
            </w:r>
            <w:r>
              <w:rPr>
                <w:rFonts w:hint="eastAsia" w:ascii="宋体" w:hAnsi="宋体"/>
                <w:sz w:val="21"/>
                <w:szCs w:val="21"/>
                <w:lang w:bidi="ar"/>
              </w:rPr>
              <w:t xml:space="preserve">分。</w:t>
            </w:r>
            <w:r>
              <w:rPr>
                <w:rFonts w:hint="eastAsia" w:ascii="宋体" w:hAnsi="宋体"/>
                <w:sz w:val="21"/>
              </w:rPr>
              <w:t xml:space="preserve"> </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24</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服务层服务方案</w:t>
            </w:r>
            <w:r/>
          </w:p>
        </w:tc>
        <w:tc>
          <w:tcPr>
            <w:tcW w:w="7500" w:type="dxa"/>
            <w:vAlign w:val="center"/>
            <w:textDirection w:val="lrTb"/>
            <w:noWrap w:val="false"/>
          </w:tcPr>
          <w:p>
            <w:pPr>
              <w:ind w:left="0"/>
              <w:jc w:val="left"/>
              <w:rPr>
                <w:rFonts w:ascii="宋体" w:hAnsi="宋体" w:cs="Times New Roman"/>
                <w:bCs/>
                <w:sz w:val="21"/>
                <w:szCs w:val="22"/>
              </w:rPr>
            </w:pPr>
            <w:r>
              <w:rPr>
                <w:rFonts w:hint="eastAsia" w:ascii="宋体" w:hAnsi="宋体" w:cs="Times New Roman"/>
                <w:bCs/>
                <w:sz w:val="21"/>
                <w:szCs w:val="22"/>
              </w:rPr>
              <w:t xml:space="preserve">投标单位根据本项目特点，制定服务层服务方案,内容包括但不限于：</w:t>
            </w:r>
            <w:r/>
          </w:p>
          <w:p>
            <w:pPr>
              <w:ind w:left="0"/>
              <w:jc w:val="left"/>
              <w:rPr>
                <w:rFonts w:ascii="宋体" w:hAnsi="宋体"/>
                <w:sz w:val="21"/>
                <w:szCs w:val="21"/>
                <w:lang w:bidi="ar"/>
              </w:rPr>
            </w:pPr>
            <w:r>
              <w:rPr>
                <w:rFonts w:hint="eastAsia" w:ascii="宋体" w:hAnsi="宋体"/>
                <w:sz w:val="21"/>
                <w:szCs w:val="21"/>
                <w:lang w:bidi="ar"/>
              </w:rPr>
              <w:t xml:space="preserve">（1）病种分析服务；</w:t>
            </w:r>
            <w:r/>
          </w:p>
          <w:p>
            <w:pPr>
              <w:ind w:left="0"/>
              <w:jc w:val="left"/>
              <w:rPr>
                <w:rFonts w:ascii="宋体" w:hAnsi="宋体"/>
                <w:sz w:val="21"/>
                <w:szCs w:val="21"/>
                <w:lang w:bidi="ar"/>
              </w:rPr>
            </w:pPr>
            <w:r>
              <w:rPr>
                <w:rFonts w:hint="eastAsia" w:ascii="宋体" w:hAnsi="宋体"/>
                <w:sz w:val="21"/>
                <w:szCs w:val="21"/>
                <w:lang w:bidi="ar"/>
              </w:rPr>
              <w:t xml:space="preserve">（2）报表分析服务；</w:t>
            </w:r>
            <w:r/>
          </w:p>
          <w:p>
            <w:pPr>
              <w:ind w:left="0"/>
              <w:jc w:val="left"/>
              <w:rPr>
                <w:rFonts w:ascii="宋体" w:hAnsi="宋体"/>
                <w:sz w:val="21"/>
                <w:szCs w:val="21"/>
                <w:lang w:bidi="ar"/>
              </w:rPr>
            </w:pPr>
            <w:r>
              <w:rPr>
                <w:rFonts w:hint="eastAsia" w:ascii="宋体" w:hAnsi="宋体"/>
                <w:sz w:val="21"/>
                <w:szCs w:val="21"/>
                <w:lang w:bidi="ar"/>
              </w:rPr>
              <w:t xml:space="preserve">（3）智能支撑服务；</w:t>
            </w:r>
            <w:r/>
          </w:p>
          <w:p>
            <w:pPr>
              <w:ind w:left="0"/>
              <w:jc w:val="left"/>
              <w:rPr>
                <w:rFonts w:ascii="宋体" w:hAnsi="宋体"/>
                <w:sz w:val="21"/>
                <w:szCs w:val="21"/>
                <w:lang w:bidi="ar"/>
              </w:rPr>
            </w:pPr>
            <w:r>
              <w:rPr>
                <w:rFonts w:hint="eastAsia" w:ascii="宋体" w:hAnsi="宋体"/>
                <w:sz w:val="21"/>
                <w:szCs w:val="21"/>
                <w:lang w:bidi="ar"/>
              </w:rPr>
              <w:t xml:space="preserve">（4）系统基础服务。</w:t>
            </w:r>
            <w:r/>
          </w:p>
          <w:p>
            <w:pPr>
              <w:ind w:left="0"/>
              <w:jc w:val="left"/>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2</w:t>
            </w:r>
            <w:r>
              <w:rPr>
                <w:rFonts w:hint="eastAsia" w:ascii="宋体" w:hAnsi="宋体"/>
                <w:sz w:val="21"/>
                <w:szCs w:val="21"/>
                <w:lang w:bidi="ar"/>
              </w:rPr>
              <w:t xml:space="preserve">分；内容基本完整，可行性一般的得1分。每项叙述内容完全脱离采购需求或未做完整叙述的不得分。本项最高得分</w:t>
            </w:r>
            <w:r>
              <w:rPr>
                <w:rFonts w:ascii="宋体" w:hAnsi="宋体"/>
                <w:sz w:val="21"/>
                <w:szCs w:val="21"/>
                <w:lang w:bidi="ar"/>
              </w:rPr>
              <w:t xml:space="preserve">8</w:t>
            </w:r>
            <w:r>
              <w:rPr>
                <w:rFonts w:hint="eastAsia" w:ascii="宋体" w:hAnsi="宋体"/>
                <w:sz w:val="21"/>
                <w:szCs w:val="21"/>
                <w:lang w:bidi="ar"/>
              </w:rPr>
              <w:t xml:space="preserve">分</w:t>
            </w:r>
            <w:r>
              <w:rPr>
                <w:rFonts w:hint="eastAsia" w:ascii="宋体" w:hAnsi="宋体" w:cs="Times New Roman"/>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主题数仓服务方案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投标单位根据本项目特点，制定主题数仓服务方案。</w:t>
            </w:r>
            <w:r/>
          </w:p>
          <w:p>
            <w:pPr>
              <w:ind w:left="0"/>
              <w:rPr>
                <w:rFonts w:ascii="宋体" w:hAnsi="宋体"/>
                <w:sz w:val="21"/>
                <w:szCs w:val="21"/>
                <w:lang w:bidi="ar"/>
              </w:rPr>
            </w:pPr>
            <w:r>
              <w:rPr>
                <w:rFonts w:hint="eastAsia" w:ascii="宋体" w:hAnsi="宋体"/>
                <w:sz w:val="21"/>
                <w:szCs w:val="21"/>
                <w:lang w:bidi="ar"/>
              </w:rPr>
              <w:t xml:space="preserve">（1）投标人应建立标准化数据交换机制，实现与市健康医疗大数据中心的数据高效对接与协同联动。</w:t>
            </w:r>
            <w:r/>
          </w:p>
          <w:p>
            <w:pPr>
              <w:ind w:left="0"/>
              <w:rPr>
                <w:rFonts w:ascii="宋体" w:hAnsi="宋体"/>
                <w:sz w:val="21"/>
                <w:szCs w:val="21"/>
                <w:lang w:bidi="ar"/>
              </w:rPr>
            </w:pPr>
            <w:r>
              <w:rPr>
                <w:rFonts w:hint="eastAsia" w:ascii="宋体" w:hAnsi="宋体"/>
                <w:sz w:val="21"/>
                <w:szCs w:val="21"/>
                <w:lang w:bidi="ar"/>
              </w:rPr>
              <w:t xml:space="preserve">（2）投标人应构建完善的数据质量控制体系，保障分析结果的准确性与可靠性。</w:t>
            </w:r>
            <w:r/>
          </w:p>
          <w:p>
            <w:pPr>
              <w:ind w:left="0"/>
              <w:rPr>
                <w:rFonts w:ascii="宋体" w:hAnsi="宋体"/>
                <w:sz w:val="21"/>
                <w:szCs w:val="21"/>
                <w:lang w:bidi="ar"/>
              </w:rPr>
            </w:pPr>
            <w:r>
              <w:rPr>
                <w:rFonts w:hint="eastAsia" w:ascii="宋体" w:hAnsi="宋体"/>
                <w:sz w:val="21"/>
                <w:szCs w:val="21"/>
                <w:lang w:bidi="ar"/>
              </w:rPr>
              <w:t xml:space="preserve">（3）投标人应提供面向各医疗机构提供数据确认与核查服务，保障数据采集的完整性与准确性。</w:t>
            </w:r>
            <w:r/>
          </w:p>
          <w:p>
            <w:pPr>
              <w:ind w:left="0"/>
              <w:rPr>
                <w:rFonts w:ascii="宋体" w:hAnsi="宋体"/>
                <w:sz w:val="21"/>
                <w:szCs w:val="21"/>
                <w:lang w:bidi="ar"/>
              </w:rPr>
            </w:pPr>
            <w:r>
              <w:rPr>
                <w:rFonts w:hint="eastAsia" w:ascii="宋体" w:hAnsi="宋体"/>
                <w:sz w:val="21"/>
                <w:szCs w:val="21"/>
                <w:lang w:bidi="ar"/>
              </w:rPr>
              <w:t xml:space="preserve">（4）投标人应提供规范化的指标库管理方案，确保数据口径一致，支撑平台功能发挥。</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1</w:t>
            </w:r>
            <w:r>
              <w:rPr>
                <w:rFonts w:hint="eastAsia" w:ascii="宋体" w:hAnsi="宋体"/>
                <w:sz w:val="21"/>
                <w:szCs w:val="21"/>
                <w:lang w:bidi="ar"/>
              </w:rPr>
              <w:t xml:space="preserve">分；内容基本完整，可行性一般的得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分。每项叙述内容完全脱离采购需求或未做完整叙述的不得分。本项最高得分4分</w:t>
            </w:r>
            <w:r>
              <w:rPr>
                <w:rFonts w:hint="eastAsia" w:ascii="宋体" w:hAnsi="宋体" w:cs="Times New Roman"/>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4</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sz w:val="21"/>
                <w:szCs w:val="21"/>
              </w:rPr>
              <w:t xml:space="preserve">培训方案</w:t>
            </w:r>
            <w:r/>
          </w:p>
        </w:tc>
        <w:tc>
          <w:tcPr>
            <w:tcW w:w="75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投标单位根据本项目特点，制定</w:t>
            </w:r>
            <w:r>
              <w:rPr>
                <w:rFonts w:hint="eastAsia" w:ascii="宋体"/>
                <w:sz w:val="21"/>
                <w:szCs w:val="21"/>
              </w:rPr>
              <w:t xml:space="preserve">培训方案</w:t>
            </w:r>
            <w:r>
              <w:rPr>
                <w:rFonts w:hint="eastAsia" w:ascii="宋体" w:hAnsi="宋体"/>
                <w:sz w:val="21"/>
                <w:szCs w:val="21"/>
                <w:lang w:bidi="ar"/>
              </w:rPr>
              <w:t xml:space="preserve">。</w:t>
            </w:r>
            <w:r/>
          </w:p>
          <w:p>
            <w:pPr>
              <w:ind w:left="0"/>
              <w:jc w:val="left"/>
              <w:rPr>
                <w:rFonts w:ascii="宋体" w:hAnsi="宋体"/>
                <w:sz w:val="21"/>
                <w:szCs w:val="21"/>
                <w:lang w:bidi="ar"/>
              </w:rPr>
            </w:pPr>
            <w:r>
              <w:rPr>
                <w:rFonts w:hint="eastAsia" w:ascii="宋体" w:hAnsi="宋体"/>
                <w:sz w:val="21"/>
                <w:szCs w:val="21"/>
                <w:lang w:bidi="ar"/>
              </w:rPr>
              <w:t xml:space="preserve">（1）投标人应提供全面的培训方案，培训对象覆盖市级管理人员、各医疗机构操作人员及系统管理员等不同层级用户；</w:t>
            </w:r>
            <w:r/>
          </w:p>
          <w:p>
            <w:pPr>
              <w:ind w:left="0"/>
              <w:jc w:val="left"/>
              <w:rPr>
                <w:rFonts w:ascii="宋体" w:hAnsi="宋体"/>
                <w:sz w:val="21"/>
                <w:szCs w:val="21"/>
                <w:lang w:bidi="ar"/>
              </w:rPr>
            </w:pPr>
            <w:r>
              <w:rPr>
                <w:rFonts w:hint="eastAsia" w:ascii="宋体" w:hAnsi="宋体"/>
                <w:sz w:val="21"/>
                <w:szCs w:val="21"/>
                <w:lang w:bidi="ar"/>
              </w:rPr>
              <w:t xml:space="preserve">（2）投标人应明确授课人员资质要求、培训地点规划、培训时间及频次安排，确保培训计划切实可行，保障各级用户能够熟练使用系统。</w:t>
            </w:r>
            <w:r/>
          </w:p>
          <w:p>
            <w:pPr>
              <w:ind w:left="0"/>
              <w:rPr>
                <w:rFonts w:ascii="宋体" w:hAnsi="宋体"/>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1</w:t>
            </w:r>
            <w:r>
              <w:rPr>
                <w:rFonts w:hint="eastAsia" w:ascii="宋体" w:hAnsi="宋体"/>
                <w:sz w:val="21"/>
                <w:szCs w:val="21"/>
                <w:lang w:bidi="ar"/>
              </w:rPr>
              <w:t xml:space="preserve">分；内容基本完整，可行性一般的得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分。每项叙述内容完全脱离采购需求或未做完整叙述的不得分。本项最高得分</w:t>
            </w:r>
            <w:r>
              <w:rPr>
                <w:rFonts w:ascii="宋体" w:hAnsi="宋体"/>
                <w:sz w:val="21"/>
                <w:szCs w:val="21"/>
                <w:lang w:bidi="ar"/>
              </w:rPr>
              <w:t xml:space="preserve">2</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sz w:val="21"/>
                <w:szCs w:val="21"/>
              </w:rPr>
              <w:t xml:space="preserve">项目实施、管理与售后方案</w:t>
            </w:r>
            <w:r/>
          </w:p>
        </w:tc>
        <w:tc>
          <w:tcPr>
            <w:tcW w:w="75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投标单位详细描述本项目软件开发各个阶段的实施方案及售后服务保障方案，内容包括但不限于：</w:t>
            </w:r>
            <w:r/>
          </w:p>
          <w:p>
            <w:pPr>
              <w:ind w:left="0"/>
              <w:jc w:val="left"/>
              <w:rPr>
                <w:rFonts w:ascii="宋体" w:hAnsi="宋体"/>
                <w:sz w:val="21"/>
                <w:szCs w:val="21"/>
                <w:lang w:bidi="ar"/>
              </w:rPr>
            </w:pPr>
            <w:r>
              <w:rPr>
                <w:rFonts w:hint="eastAsia" w:ascii="宋体" w:hAnsi="宋体"/>
                <w:sz w:val="21"/>
                <w:szCs w:val="21"/>
                <w:lang w:bidi="ar"/>
              </w:rPr>
              <w:t xml:space="preserve">（1）需求开发阶段；</w:t>
            </w:r>
            <w:r/>
          </w:p>
          <w:p>
            <w:pPr>
              <w:ind w:left="0"/>
              <w:jc w:val="left"/>
              <w:rPr>
                <w:rFonts w:ascii="宋体" w:hAnsi="宋体"/>
                <w:sz w:val="21"/>
                <w:szCs w:val="21"/>
                <w:lang w:bidi="ar"/>
              </w:rPr>
            </w:pPr>
            <w:r>
              <w:rPr>
                <w:rFonts w:hint="eastAsia" w:ascii="宋体" w:hAnsi="宋体"/>
                <w:sz w:val="21"/>
                <w:szCs w:val="21"/>
                <w:lang w:bidi="ar"/>
              </w:rPr>
              <w:t xml:space="preserve">（2）部署与试运行阶段；</w:t>
            </w:r>
            <w:r/>
          </w:p>
          <w:p>
            <w:pPr>
              <w:ind w:left="0"/>
              <w:jc w:val="left"/>
              <w:rPr>
                <w:rFonts w:ascii="宋体" w:hAnsi="宋体"/>
                <w:sz w:val="21"/>
                <w:szCs w:val="21"/>
                <w:lang w:bidi="ar"/>
              </w:rPr>
            </w:pPr>
            <w:r>
              <w:rPr>
                <w:rFonts w:hint="eastAsia" w:ascii="宋体" w:hAnsi="宋体"/>
                <w:sz w:val="21"/>
                <w:szCs w:val="21"/>
                <w:lang w:bidi="ar"/>
              </w:rPr>
              <w:t xml:space="preserve">（3）运维阶段；</w:t>
            </w:r>
            <w:r/>
          </w:p>
          <w:p>
            <w:pPr>
              <w:ind w:left="0"/>
              <w:jc w:val="left"/>
              <w:rPr>
                <w:rFonts w:ascii="宋体" w:hAnsi="宋体"/>
                <w:sz w:val="21"/>
                <w:szCs w:val="21"/>
                <w:lang w:bidi="ar"/>
              </w:rPr>
            </w:pPr>
            <w:r>
              <w:rPr>
                <w:rFonts w:hint="eastAsia" w:ascii="宋体" w:hAnsi="宋体"/>
                <w:sz w:val="21"/>
                <w:szCs w:val="21"/>
                <w:lang w:bidi="ar"/>
              </w:rPr>
              <w:t xml:space="preserve">（4）售后服务保障计划；</w:t>
            </w:r>
            <w:r/>
          </w:p>
          <w:p>
            <w:pPr>
              <w:ind w:left="0"/>
              <w:jc w:val="left"/>
              <w:rPr>
                <w:rFonts w:ascii="宋体" w:hAnsi="宋体"/>
                <w:sz w:val="21"/>
                <w:szCs w:val="21"/>
                <w:lang w:bidi="ar"/>
              </w:rPr>
            </w:pPr>
            <w:r>
              <w:rPr>
                <w:rFonts w:hint="eastAsia" w:ascii="宋体" w:hAnsi="宋体"/>
                <w:sz w:val="21"/>
                <w:szCs w:val="21"/>
                <w:lang w:bidi="ar"/>
              </w:rPr>
              <w:t xml:space="preserve">（5）售后服务体系；</w:t>
            </w:r>
            <w:r/>
          </w:p>
          <w:p>
            <w:pPr>
              <w:ind w:left="0"/>
              <w:jc w:val="left"/>
              <w:rPr>
                <w:rFonts w:ascii="宋体" w:hAnsi="宋体"/>
                <w:sz w:val="21"/>
                <w:szCs w:val="21"/>
                <w:lang w:bidi="ar"/>
              </w:rPr>
            </w:pPr>
            <w:r>
              <w:rPr>
                <w:rFonts w:hint="eastAsia" w:ascii="宋体" w:hAnsi="宋体"/>
                <w:sz w:val="21"/>
                <w:szCs w:val="21"/>
                <w:lang w:bidi="ar"/>
              </w:rPr>
              <w:t xml:space="preserve">（6）免费运维期内的数据指标运维服务</w:t>
            </w:r>
            <w:r>
              <w:rPr>
                <w:rFonts w:hint="eastAsia" w:ascii="宋体" w:hAnsi="宋体"/>
                <w:sz w:val="21"/>
                <w:szCs w:val="21"/>
                <w:lang w:bidi="ar"/>
              </w:rPr>
              <w:t xml:space="preserve">。</w:t>
            </w:r>
            <w:r/>
          </w:p>
          <w:p>
            <w:pPr>
              <w:ind w:left="0"/>
              <w:rPr>
                <w:rFonts w:ascii="宋体" w:hAnsi="宋体"/>
              </w:rPr>
            </w:pPr>
            <w:r>
              <w:rPr>
                <w:rFonts w:hint="eastAsia" w:ascii="宋体" w:hAnsi="宋体"/>
                <w:sz w:val="21"/>
                <w:szCs w:val="21"/>
                <w:lang w:bidi="ar"/>
              </w:rPr>
              <w:t xml:space="preserve">上述每项应逐条叙述，内容全面详实、条理清晰、切实可行的得</w:t>
            </w:r>
            <w:r>
              <w:rPr>
                <w:rFonts w:ascii="宋体" w:hAnsi="宋体"/>
                <w:sz w:val="21"/>
                <w:szCs w:val="21"/>
                <w:lang w:bidi="ar"/>
              </w:rPr>
              <w:t xml:space="preserve">1</w:t>
            </w:r>
            <w:r>
              <w:rPr>
                <w:rFonts w:hint="eastAsia" w:ascii="宋体" w:hAnsi="宋体"/>
                <w:sz w:val="21"/>
                <w:szCs w:val="21"/>
                <w:lang w:bidi="ar"/>
              </w:rPr>
              <w:t xml:space="preserve">分；内容基本完整，可行性一般的得</w:t>
            </w:r>
            <w:r>
              <w:rPr>
                <w:rFonts w:ascii="宋体" w:hAnsi="宋体"/>
                <w:sz w:val="21"/>
                <w:szCs w:val="21"/>
                <w:lang w:bidi="ar"/>
              </w:rPr>
              <w:t xml:space="preserve">0.5</w:t>
            </w:r>
            <w:r>
              <w:rPr>
                <w:rFonts w:hint="eastAsia" w:ascii="宋体" w:hAnsi="宋体"/>
                <w:sz w:val="21"/>
                <w:szCs w:val="21"/>
                <w:lang w:bidi="ar"/>
              </w:rPr>
              <w:t xml:space="preserve">分。每项叙述内容完全脱离采购需求或未做完整叙述的不得分。本项最高得分</w:t>
            </w:r>
            <w:r>
              <w:rPr>
                <w:rFonts w:ascii="宋体" w:hAnsi="宋体"/>
                <w:sz w:val="21"/>
                <w:szCs w:val="21"/>
                <w:lang w:bidi="ar"/>
              </w:rPr>
              <w:t xml:space="preserve">6</w:t>
            </w:r>
            <w:r>
              <w:rPr>
                <w:rFonts w:hint="eastAsia" w:ascii="宋体" w:hAnsi="宋体"/>
                <w:sz w:val="21"/>
                <w:szCs w:val="21"/>
                <w:lang w:bidi="ar"/>
              </w:rPr>
              <w:t xml:space="preserve">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功能演示</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围绕项目关键功能原型进行演示，主要演示要求如下：</w:t>
            </w:r>
            <w:r/>
          </w:p>
          <w:p>
            <w:pPr>
              <w:ind w:left="0"/>
              <w:rPr>
                <w:rFonts w:ascii="宋体" w:hAnsi="宋体"/>
                <w:sz w:val="21"/>
                <w:szCs w:val="21"/>
                <w:lang w:bidi="ar"/>
              </w:rPr>
            </w:pPr>
            <w:r>
              <w:rPr>
                <w:rFonts w:hint="eastAsia" w:ascii="宋体" w:hAnsi="宋体"/>
                <w:sz w:val="21"/>
                <w:szCs w:val="21"/>
                <w:lang w:bidi="ar"/>
              </w:rPr>
              <w:t xml:space="preserve">1.全面预算演示内容包括：</w:t>
            </w:r>
            <w:r/>
          </w:p>
          <w:p>
            <w:pPr>
              <w:ind w:left="0"/>
              <w:rPr>
                <w:rFonts w:ascii="宋体" w:hAnsi="宋体"/>
                <w:sz w:val="21"/>
                <w:szCs w:val="21"/>
                <w:lang w:bidi="ar"/>
              </w:rPr>
            </w:pPr>
            <w:r>
              <w:rPr>
                <w:rFonts w:hint="eastAsia" w:ascii="宋体" w:hAnsi="宋体"/>
                <w:sz w:val="21"/>
                <w:szCs w:val="21"/>
                <w:lang w:bidi="ar"/>
              </w:rPr>
              <w:t xml:space="preserve">（1）演示预算指标管理功能，包括指标的新建、分类管理、更新等功能；</w:t>
            </w:r>
            <w:r/>
          </w:p>
          <w:p>
            <w:pPr>
              <w:ind w:left="0"/>
              <w:rPr>
                <w:rFonts w:ascii="宋体" w:hAnsi="宋体"/>
                <w:sz w:val="21"/>
                <w:szCs w:val="21"/>
                <w:lang w:bidi="ar"/>
              </w:rPr>
            </w:pPr>
            <w:r>
              <w:rPr>
                <w:rFonts w:hint="eastAsia" w:ascii="宋体" w:hAnsi="宋体"/>
                <w:sz w:val="21"/>
                <w:szCs w:val="21"/>
                <w:lang w:bidi="ar"/>
              </w:rPr>
              <w:t xml:space="preserve">（2）演示预算目标编制功能，包括预算协商流程、预算目标解读等功能；</w:t>
            </w:r>
            <w:r/>
          </w:p>
          <w:p>
            <w:pPr>
              <w:ind w:left="0"/>
              <w:rPr>
                <w:rFonts w:ascii="宋体" w:hAnsi="宋体"/>
                <w:sz w:val="21"/>
                <w:szCs w:val="21"/>
                <w:lang w:bidi="ar"/>
              </w:rPr>
            </w:pPr>
            <w:r>
              <w:rPr>
                <w:rFonts w:hint="eastAsia" w:ascii="宋体" w:hAnsi="宋体"/>
                <w:sz w:val="21"/>
                <w:szCs w:val="21"/>
                <w:lang w:bidi="ar"/>
              </w:rPr>
              <w:t xml:space="preserve">（3）演示过程控制功能，包括执行进度监控、达标分析与偏差预警等功能。 </w:t>
            </w:r>
            <w:r/>
          </w:p>
          <w:p>
            <w:pPr>
              <w:ind w:left="0"/>
              <w:rPr>
                <w:rFonts w:ascii="宋体" w:hAnsi="宋体"/>
                <w:sz w:val="21"/>
                <w:szCs w:val="21"/>
                <w:lang w:bidi="ar"/>
              </w:rPr>
            </w:pPr>
            <w:r>
              <w:rPr>
                <w:rFonts w:hint="eastAsia" w:ascii="宋体" w:hAnsi="宋体"/>
                <w:sz w:val="21"/>
                <w:szCs w:val="21"/>
                <w:lang w:bidi="ar"/>
              </w:rPr>
              <w:t xml:space="preserve">2.能效分析演示内容包括：  </w:t>
            </w:r>
            <w:r/>
          </w:p>
          <w:p>
            <w:pPr>
              <w:ind w:left="0"/>
              <w:rPr>
                <w:rFonts w:ascii="宋体" w:hAnsi="宋体"/>
                <w:sz w:val="21"/>
                <w:szCs w:val="21"/>
                <w:lang w:bidi="ar"/>
              </w:rPr>
            </w:pPr>
            <w:r>
              <w:rPr>
                <w:rFonts w:hint="eastAsia" w:ascii="宋体" w:hAnsi="宋体"/>
                <w:sz w:val="21"/>
                <w:szCs w:val="21"/>
                <w:lang w:bidi="ar"/>
              </w:rPr>
              <w:t xml:space="preserve">（1）演示能效综合分析功能，包括按时间、机构级别及类型筛选，对全市能级效率、门诊效率、手术分析进行可视化联动分析与趋势评价；</w:t>
            </w:r>
            <w:r/>
          </w:p>
          <w:p>
            <w:pPr>
              <w:ind w:left="0"/>
              <w:rPr>
                <w:rFonts w:ascii="宋体" w:hAnsi="宋体"/>
                <w:sz w:val="21"/>
                <w:szCs w:val="21"/>
                <w:lang w:bidi="ar"/>
              </w:rPr>
            </w:pPr>
            <w:r>
              <w:rPr>
                <w:rFonts w:hint="eastAsia" w:ascii="宋体" w:hAnsi="宋体"/>
                <w:sz w:val="21"/>
                <w:szCs w:val="21"/>
                <w:lang w:bidi="ar"/>
              </w:rPr>
              <w:t xml:space="preserve">（2）演示机构对标分析功能，包括全市机构间对标分析、相关指标列表分析，下钻至具体机构层进行深度对标。</w:t>
            </w:r>
            <w:r/>
          </w:p>
          <w:p>
            <w:pPr>
              <w:ind w:left="0"/>
              <w:rPr>
                <w:rFonts w:ascii="宋体" w:hAnsi="宋体"/>
                <w:sz w:val="21"/>
                <w:szCs w:val="21"/>
                <w:lang w:bidi="ar"/>
              </w:rPr>
            </w:pPr>
            <w:r>
              <w:rPr>
                <w:rFonts w:hint="eastAsia" w:ascii="宋体" w:hAnsi="宋体"/>
                <w:sz w:val="21"/>
                <w:szCs w:val="21"/>
                <w:lang w:bidi="ar"/>
              </w:rPr>
              <w:t xml:space="preserve">3. 收入分析演示功能包括：  </w:t>
            </w:r>
            <w:r/>
          </w:p>
          <w:p>
            <w:pPr>
              <w:ind w:left="0"/>
              <w:rPr>
                <w:rFonts w:ascii="宋体" w:hAnsi="宋体"/>
                <w:sz w:val="21"/>
                <w:szCs w:val="21"/>
                <w:lang w:bidi="ar"/>
              </w:rPr>
            </w:pPr>
            <w:r>
              <w:rPr>
                <w:rFonts w:hint="eastAsia" w:ascii="宋体" w:hAnsi="宋体"/>
                <w:sz w:val="21"/>
                <w:szCs w:val="21"/>
                <w:lang w:bidi="ar"/>
              </w:rPr>
              <w:t xml:space="preserve">（1）演示收入汇总分析功能，包括全市角度对全市医疗总收入进行汇总分析，支持按时间、机构级别和类型选择，</w:t>
            </w:r>
            <w:r/>
          </w:p>
          <w:p>
            <w:pPr>
              <w:ind w:left="0"/>
              <w:rPr>
                <w:rFonts w:ascii="宋体" w:hAnsi="宋体"/>
                <w:sz w:val="21"/>
                <w:szCs w:val="21"/>
                <w:lang w:bidi="ar"/>
              </w:rPr>
            </w:pPr>
            <w:r>
              <w:rPr>
                <w:rFonts w:hint="eastAsia" w:ascii="宋体" w:hAnsi="宋体"/>
                <w:sz w:val="21"/>
                <w:szCs w:val="21"/>
                <w:lang w:bidi="ar"/>
              </w:rPr>
              <w:t xml:space="preserve">（2）演示收入结构分析功能，从总收入结构（按总计、药品、耗材、检查和服务）分析，分析不同级别和类型机构的收入分布；</w:t>
            </w:r>
            <w:r/>
          </w:p>
          <w:p>
            <w:pPr>
              <w:ind w:left="0"/>
              <w:rPr>
                <w:rFonts w:ascii="宋体" w:hAnsi="宋体"/>
                <w:sz w:val="21"/>
                <w:szCs w:val="21"/>
                <w:lang w:bidi="ar"/>
              </w:rPr>
            </w:pPr>
            <w:r>
              <w:rPr>
                <w:rFonts w:hint="eastAsia" w:ascii="宋体" w:hAnsi="宋体"/>
                <w:sz w:val="21"/>
                <w:szCs w:val="21"/>
                <w:lang w:bidi="ar"/>
              </w:rPr>
              <w:t xml:space="preserve">（3）演示收入多指标联动分析功能，收入与能效、成本等核心指标关联分析，可联动机构列表分析；</w:t>
            </w:r>
            <w:r/>
          </w:p>
          <w:p>
            <w:pPr>
              <w:ind w:left="0"/>
              <w:rPr>
                <w:rFonts w:ascii="宋体" w:hAnsi="宋体"/>
                <w:sz w:val="21"/>
                <w:szCs w:val="21"/>
                <w:lang w:bidi="ar"/>
              </w:rPr>
            </w:pPr>
            <w:r>
              <w:rPr>
                <w:rFonts w:hint="eastAsia" w:ascii="宋体" w:hAnsi="宋体"/>
                <w:sz w:val="21"/>
                <w:szCs w:val="21"/>
                <w:lang w:bidi="ar"/>
              </w:rPr>
              <w:t xml:space="preserve">（4）演示收入目标同向性分析功能，支持下钻至机构层进行对标分析；</w:t>
            </w:r>
            <w:r/>
          </w:p>
          <w:p>
            <w:pPr>
              <w:ind w:left="0"/>
              <w:rPr>
                <w:rFonts w:ascii="宋体" w:hAnsi="宋体"/>
                <w:sz w:val="21"/>
                <w:szCs w:val="21"/>
                <w:lang w:bidi="ar"/>
              </w:rPr>
            </w:pPr>
            <w:r>
              <w:rPr>
                <w:rFonts w:hint="eastAsia" w:ascii="宋体" w:hAnsi="宋体"/>
                <w:sz w:val="21"/>
                <w:szCs w:val="21"/>
                <w:lang w:bidi="ar"/>
              </w:rPr>
              <w:t xml:space="preserve">4.国考分析演示功能包括：  </w:t>
            </w:r>
            <w:r/>
          </w:p>
          <w:p>
            <w:pPr>
              <w:ind w:left="0"/>
              <w:rPr>
                <w:rFonts w:ascii="宋体" w:hAnsi="宋体"/>
                <w:sz w:val="21"/>
                <w:szCs w:val="21"/>
                <w:lang w:bidi="ar"/>
              </w:rPr>
            </w:pPr>
            <w:r>
              <w:rPr>
                <w:rFonts w:hint="eastAsia" w:ascii="宋体" w:hAnsi="宋体"/>
                <w:sz w:val="21"/>
                <w:szCs w:val="21"/>
                <w:lang w:bidi="ar"/>
              </w:rPr>
              <w:t xml:space="preserve">（1）演示现状分析功能，包括指标、机构维度的得分情况分析、达标率情况分析等；</w:t>
            </w:r>
            <w:r/>
          </w:p>
          <w:p>
            <w:pPr>
              <w:ind w:left="0"/>
              <w:rPr>
                <w:rFonts w:ascii="宋体" w:hAnsi="宋体"/>
                <w:sz w:val="21"/>
                <w:szCs w:val="21"/>
                <w:lang w:bidi="ar"/>
              </w:rPr>
            </w:pPr>
            <w:r>
              <w:rPr>
                <w:rFonts w:hint="eastAsia" w:ascii="宋体" w:hAnsi="宋体"/>
                <w:sz w:val="21"/>
                <w:szCs w:val="21"/>
                <w:lang w:bidi="ar"/>
              </w:rPr>
              <w:t xml:space="preserve">（2）演示预估分分析功能，包括指标、机构维度的得分预测等；</w:t>
            </w:r>
            <w:r/>
          </w:p>
          <w:p>
            <w:pPr>
              <w:ind w:left="0"/>
              <w:rPr>
                <w:rFonts w:ascii="宋体" w:hAnsi="宋体"/>
                <w:sz w:val="21"/>
                <w:szCs w:val="21"/>
                <w:lang w:bidi="ar"/>
              </w:rPr>
            </w:pPr>
            <w:r>
              <w:rPr>
                <w:rFonts w:hint="eastAsia" w:ascii="宋体" w:hAnsi="宋体"/>
                <w:sz w:val="21"/>
                <w:szCs w:val="21"/>
                <w:lang w:bidi="ar"/>
              </w:rPr>
              <w:t xml:space="preserve">（3）演示国考报表功能，包括按机构、指标维度进行综合分析、指标达标率与预估分解读等。</w:t>
            </w:r>
            <w:r/>
          </w:p>
          <w:p>
            <w:pPr>
              <w:ind w:left="0"/>
              <w:rPr>
                <w:rFonts w:ascii="宋体" w:hAnsi="宋体"/>
                <w:sz w:val="21"/>
                <w:szCs w:val="21"/>
                <w:lang w:bidi="ar"/>
              </w:rPr>
            </w:pPr>
            <w:r>
              <w:rPr>
                <w:rFonts w:hint="eastAsia" w:ascii="宋体" w:hAnsi="宋体"/>
                <w:sz w:val="21"/>
                <w:szCs w:val="21"/>
                <w:lang w:bidi="ar"/>
              </w:rPr>
              <w:t xml:space="preserve">上述演示内容，每一项演示内容齐全、操作流畅、界面清晰、实现功能要求的得</w:t>
            </w:r>
            <w:r>
              <w:rPr>
                <w:rFonts w:ascii="宋体" w:hAnsi="宋体"/>
                <w:sz w:val="21"/>
                <w:szCs w:val="21"/>
                <w:lang w:bidi="ar"/>
              </w:rPr>
              <w:t xml:space="preserve">1</w:t>
            </w:r>
            <w:r>
              <w:rPr>
                <w:rFonts w:hint="eastAsia" w:ascii="宋体" w:hAnsi="宋体"/>
                <w:sz w:val="21"/>
                <w:szCs w:val="21"/>
                <w:lang w:bidi="ar"/>
              </w:rPr>
              <w:t xml:space="preserve">分；演示内容基本完整，可实现基本功能要求的得</w:t>
            </w:r>
            <w:r>
              <w:rPr>
                <w:rFonts w:ascii="宋体" w:hAnsi="宋体"/>
                <w:sz w:val="21"/>
                <w:szCs w:val="21"/>
                <w:lang w:bidi="ar"/>
              </w:rPr>
              <w:t xml:space="preserve">0.5</w:t>
            </w:r>
            <w:r>
              <w:rPr>
                <w:rFonts w:hint="eastAsia" w:ascii="宋体" w:hAnsi="宋体"/>
                <w:sz w:val="21"/>
                <w:szCs w:val="21"/>
                <w:lang w:bidi="ar"/>
              </w:rPr>
              <w:t xml:space="preserve">分。本项最高得12分；演示内容不全或未提供演示的不得分。</w:t>
            </w:r>
            <w:r/>
          </w:p>
          <w:p>
            <w:pPr>
              <w:ind w:left="0"/>
              <w:rPr>
                <w:rFonts w:ascii="宋体" w:hAnsi="宋体"/>
                <w:b/>
                <w:sz w:val="21"/>
                <w:szCs w:val="21"/>
              </w:rPr>
            </w:pPr>
            <w:r>
              <w:rPr>
                <w:rFonts w:hint="eastAsia" w:ascii="宋体" w:hAnsi="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52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w:t>
            </w:r>
            <w:r>
              <w:rPr>
                <w:rFonts w:hint="eastAsia"/>
                <w:b/>
                <w:sz w:val="21"/>
                <w:szCs w:val="21"/>
              </w:rPr>
              <w:t xml:space="preserve">项目负责人</w:t>
            </w:r>
            <w:r/>
          </w:p>
        </w:tc>
        <w:tc>
          <w:tcPr>
            <w:tcW w:w="750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投标人拟派本项目项目负责人具备：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bCs/>
                <w:sz w:val="21"/>
                <w:szCs w:val="21"/>
              </w:rPr>
              <w:t xml:space="preserve">信息系统项目管理师证书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2</w:t>
            </w:r>
            <w:r>
              <w:rPr>
                <w:rFonts w:hint="eastAsia" w:ascii="宋体" w:hAnsi="宋体"/>
                <w:sz w:val="21"/>
                <w:szCs w:val="21"/>
                <w:lang w:bidi="ar"/>
              </w:rPr>
              <w:t xml:space="preserve">分。</w:t>
            </w:r>
            <w:r/>
          </w:p>
          <w:p>
            <w:pPr>
              <w:ind w:left="0"/>
              <w:rPr>
                <w:rFonts w:ascii="宋体" w:hAnsi="宋体" w:cs="Times New Roman"/>
                <w:bCs/>
                <w:sz w:val="21"/>
                <w:szCs w:val="22"/>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w:t>
            </w:r>
            <w:r>
              <w:rPr>
                <w:rFonts w:hint="eastAsia"/>
                <w:b/>
                <w:sz w:val="21"/>
                <w:szCs w:val="21"/>
              </w:rPr>
              <w:t xml:space="preserve">项目团队成员（不包括项目负责人）</w:t>
            </w:r>
            <w:r/>
          </w:p>
        </w:tc>
        <w:tc>
          <w:tcPr>
            <w:tcW w:w="7500"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投标人拟派本项目项目团队成员（不包括项目负责人）具备：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系统集成项目管理工程师</w:t>
            </w:r>
            <w:r>
              <w:rPr>
                <w:rFonts w:hint="eastAsia" w:ascii="宋体"/>
                <w:bCs/>
                <w:sz w:val="21"/>
                <w:szCs w:val="21"/>
              </w:rPr>
              <w:t xml:space="preserve">证书</w:t>
            </w:r>
            <w:r>
              <w:rPr>
                <w:rFonts w:hint="eastAsia" w:ascii="宋体" w:hAnsi="宋体"/>
                <w:sz w:val="21"/>
                <w:szCs w:val="21"/>
                <w:lang w:bidi="ar"/>
              </w:rPr>
              <w:t xml:space="preserve">或者</w:t>
            </w:r>
            <w:r>
              <w:rPr>
                <w:rFonts w:hint="eastAsia" w:ascii="宋体" w:hAnsi="宋体"/>
                <w:sz w:val="21"/>
                <w:szCs w:val="21"/>
                <w:lang w:bidi="ar"/>
              </w:rPr>
              <w:t xml:space="preserve">信息系统项目管理师</w:t>
            </w:r>
            <w:r>
              <w:rPr>
                <w:rFonts w:hint="eastAsia" w:ascii="宋体"/>
                <w:bCs/>
                <w:sz w:val="21"/>
                <w:szCs w:val="21"/>
              </w:rPr>
              <w:t xml:space="preserve">证书的</w:t>
            </w:r>
            <w:r>
              <w:rPr>
                <w:rFonts w:hint="eastAsia" w:ascii="宋体" w:hAnsi="宋体"/>
                <w:sz w:val="21"/>
                <w:szCs w:val="21"/>
                <w:lang w:bidi="ar"/>
              </w:rPr>
              <w:t xml:space="preserve">，每配备一人得</w:t>
            </w:r>
            <w:r>
              <w:rPr>
                <w:rFonts w:ascii="宋体" w:hAnsi="宋体"/>
                <w:sz w:val="21"/>
                <w:szCs w:val="21"/>
                <w:lang w:bidi="ar"/>
              </w:rPr>
              <w:t xml:space="preserve">1</w:t>
            </w:r>
            <w:r>
              <w:rPr>
                <w:rFonts w:hint="eastAsia" w:ascii="宋体" w:hAnsi="宋体"/>
                <w:sz w:val="21"/>
                <w:szCs w:val="21"/>
                <w:lang w:bidi="ar"/>
              </w:rPr>
              <w:t xml:space="preserve">分，最高得</w:t>
            </w:r>
            <w:r>
              <w:rPr>
                <w:rFonts w:ascii="宋体" w:hAnsi="宋体"/>
                <w:sz w:val="21"/>
                <w:szCs w:val="21"/>
                <w:lang w:bidi="ar"/>
              </w:rPr>
              <w:t xml:space="preserve">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信息安全工程师</w:t>
            </w:r>
            <w:r>
              <w:rPr>
                <w:rFonts w:hint="eastAsia" w:ascii="宋体"/>
                <w:bCs/>
                <w:sz w:val="21"/>
                <w:szCs w:val="21"/>
              </w:rPr>
              <w:t xml:space="preserve">证书</w:t>
            </w:r>
            <w:r>
              <w:rPr>
                <w:rFonts w:hint="eastAsia" w:ascii="宋体" w:hAnsi="宋体"/>
                <w:sz w:val="21"/>
                <w:szCs w:val="21"/>
                <w:lang w:bidi="ar"/>
              </w:rPr>
              <w:t xml:space="preserve">或数据安全工程师</w:t>
            </w:r>
            <w:r>
              <w:rPr>
                <w:rFonts w:hint="eastAsia" w:ascii="宋体"/>
                <w:bCs/>
                <w:sz w:val="21"/>
                <w:szCs w:val="21"/>
              </w:rPr>
              <w:t xml:space="preserve">证书</w:t>
            </w:r>
            <w:r>
              <w:rPr>
                <w:rFonts w:hint="eastAsia" w:ascii="宋体" w:hAnsi="宋体"/>
                <w:sz w:val="21"/>
                <w:szCs w:val="21"/>
                <w:lang w:bidi="ar"/>
              </w:rPr>
              <w:t xml:space="preserve">或注册数据安全治理专业人员证书</w:t>
            </w:r>
            <w:r>
              <w:rPr>
                <w:rFonts w:hint="eastAsia" w:ascii="宋体" w:hAnsi="宋体"/>
                <w:sz w:val="21"/>
                <w:szCs w:val="21"/>
              </w:rPr>
              <w:t xml:space="preserve">的</w:t>
            </w:r>
            <w:r>
              <w:rPr>
                <w:rFonts w:hint="eastAsia" w:ascii="宋体" w:hAnsi="宋体"/>
                <w:sz w:val="21"/>
                <w:szCs w:val="21"/>
              </w:rPr>
              <w:t xml:space="preserve">，每配备一人得1分，最高得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bCs/>
                <w:sz w:val="21"/>
                <w:szCs w:val="21"/>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bCs/>
                <w:sz w:val="21"/>
                <w:szCs w:val="21"/>
              </w:rPr>
              <w:t xml:space="preserve">软件设计师</w:t>
            </w:r>
            <w:r>
              <w:rPr>
                <w:rFonts w:hint="eastAsia" w:ascii="宋体"/>
                <w:bCs/>
                <w:sz w:val="21"/>
                <w:szCs w:val="21"/>
              </w:rPr>
              <w:t xml:space="preserve">证书</w:t>
            </w:r>
            <w:r>
              <w:rPr>
                <w:rFonts w:hint="eastAsia" w:ascii="宋体"/>
                <w:bCs/>
                <w:sz w:val="21"/>
                <w:szCs w:val="21"/>
              </w:rPr>
              <w:t xml:space="preserve">或系统分析师</w:t>
            </w:r>
            <w:r>
              <w:rPr>
                <w:rFonts w:hint="eastAsia" w:ascii="宋体"/>
                <w:bCs/>
                <w:sz w:val="21"/>
                <w:szCs w:val="21"/>
              </w:rPr>
              <w:t xml:space="preserve">证书</w:t>
            </w:r>
            <w:r>
              <w:rPr>
                <w:rFonts w:hint="eastAsia" w:ascii="宋体"/>
                <w:bCs/>
                <w:sz w:val="21"/>
                <w:szCs w:val="21"/>
              </w:rPr>
              <w:t xml:space="preserve">或系统架构设计师证书</w:t>
            </w:r>
            <w:r>
              <w:rPr>
                <w:rFonts w:hint="eastAsia" w:ascii="宋体"/>
                <w:bCs/>
                <w:sz w:val="21"/>
                <w:szCs w:val="21"/>
              </w:rPr>
              <w:t xml:space="preserve">的，每配备一人得1分，最高得</w:t>
            </w:r>
            <w:r>
              <w:rPr>
                <w:rFonts w:ascii="宋体"/>
                <w:bCs/>
                <w:sz w:val="21"/>
                <w:szCs w:val="21"/>
              </w:rPr>
              <w:t xml:space="preserve">3</w:t>
            </w:r>
            <w:r>
              <w:rPr>
                <w:rFonts w:hint="eastAsia" w:ascii="宋体"/>
                <w:bCs/>
                <w:sz w:val="21"/>
                <w:szCs w:val="21"/>
              </w:rPr>
              <w:t xml:space="preserve">分；</w:t>
            </w:r>
            <w:r/>
          </w:p>
          <w:p>
            <w:pPr>
              <w:ind w:left="0"/>
              <w:widowControl w:val="off"/>
              <w:rPr>
                <w:rFonts w:ascii="宋体"/>
                <w:bCs/>
                <w:sz w:val="21"/>
                <w:szCs w:val="21"/>
              </w:rPr>
            </w:pPr>
            <w:r>
              <w:rPr>
                <w:rFonts w:ascii="宋体"/>
                <w:bCs/>
                <w:sz w:val="21"/>
                <w:szCs w:val="21"/>
              </w:rPr>
              <w:t xml:space="preserve">4</w:t>
            </w:r>
            <w:r>
              <w:rPr>
                <w:rFonts w:ascii="宋体"/>
                <w:bCs/>
                <w:sz w:val="21"/>
                <w:szCs w:val="21"/>
              </w:rPr>
              <w:t xml:space="preserve">.</w:t>
            </w:r>
            <w:r>
              <w:rPr>
                <w:rFonts w:hint="eastAsia" w:ascii="宋体"/>
                <w:bCs/>
                <w:sz w:val="21"/>
                <w:szCs w:val="21"/>
              </w:rPr>
              <w:t xml:space="preserve">软件测评师证书</w:t>
            </w:r>
            <w:r>
              <w:rPr>
                <w:rFonts w:hint="eastAsia" w:ascii="宋体"/>
                <w:bCs/>
                <w:sz w:val="21"/>
                <w:szCs w:val="21"/>
              </w:rPr>
              <w:t xml:space="preserve">的</w:t>
            </w:r>
            <w:r>
              <w:rPr>
                <w:rFonts w:hint="eastAsia" w:ascii="宋体"/>
                <w:bCs/>
                <w:sz w:val="21"/>
                <w:szCs w:val="21"/>
              </w:rPr>
              <w:t xml:space="preserve">，每配备一人得1分，最高得</w:t>
            </w:r>
            <w:r>
              <w:rPr>
                <w:rFonts w:ascii="宋体"/>
                <w:bCs/>
                <w:sz w:val="21"/>
                <w:szCs w:val="21"/>
              </w:rPr>
              <w:t xml:space="preserve">1</w:t>
            </w:r>
            <w:r>
              <w:rPr>
                <w:rFonts w:hint="eastAsia" w:ascii="宋体"/>
                <w:bCs/>
                <w:sz w:val="21"/>
                <w:szCs w:val="21"/>
              </w:rPr>
              <w:t xml:space="preserve">分。</w:t>
            </w:r>
            <w:r/>
          </w:p>
          <w:p>
            <w:pPr>
              <w:ind w:left="0"/>
              <w:rPr>
                <w:rFonts w:ascii="宋体" w:hAnsi="宋体" w:cs="Times New Roman"/>
                <w:bCs/>
                <w:sz w:val="21"/>
                <w:szCs w:val="22"/>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b/>
                <w:sz w:val="21"/>
                <w:szCs w:val="22"/>
              </w:rPr>
              <w:t xml:space="preserve">▲体系认证证书</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w:t>
            </w:r>
            <w:r>
              <w:rPr>
                <w:rFonts w:hint="eastAsia" w:ascii="宋体" w:hAnsi="宋体" w:cs="Times New Roman"/>
                <w:bCs/>
                <w:sz w:val="21"/>
                <w:szCs w:val="22"/>
              </w:rPr>
              <w:t xml:space="preserve">投标单位具有有效期内的</w:t>
            </w:r>
            <w:r>
              <w:rPr>
                <w:rFonts w:hint="eastAsia"/>
                <w:sz w:val="21"/>
                <w:szCs w:val="21"/>
              </w:rPr>
              <w:t xml:space="preserve">质量管理体</w:t>
            </w:r>
            <w:r>
              <w:rPr>
                <w:rFonts w:hint="eastAsia"/>
                <w:sz w:val="21"/>
                <w:szCs w:val="21"/>
              </w:rPr>
              <w:t xml:space="preserve">系认证证书、环境管理体系认证证书、职业健康安全管理体系认证证书</w:t>
            </w:r>
            <w:r>
              <w:rPr>
                <w:rFonts w:hint="eastAsia" w:ascii="宋体" w:hAnsi="宋体" w:cs="Times New Roman"/>
                <w:bCs/>
                <w:sz w:val="21"/>
                <w:szCs w:val="22"/>
              </w:rPr>
              <w:t xml:space="preserve">, 每提供一项得1分，最多得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rPr>
                <w:rFonts w:ascii="宋体" w:hAnsi="宋体" w:cs="Times New Roman"/>
                <w:b/>
                <w:bCs/>
                <w:sz w:val="21"/>
                <w:szCs w:val="22"/>
              </w:rPr>
            </w:pPr>
            <w:r>
              <w:rPr>
                <w:rFonts w:hint="eastAsia" w:ascii="宋体" w:hAnsi="宋体" w:cs="Times New Roman"/>
                <w:b/>
                <w:bCs/>
                <w:sz w:val="21"/>
                <w:szCs w:val="22"/>
              </w:rPr>
              <w:t xml:space="preserve">2</w:t>
            </w:r>
            <w:r>
              <w:rPr>
                <w:rFonts w:ascii="宋体" w:hAnsi="宋体" w:cs="Times New Roman"/>
                <w:b/>
                <w:bCs/>
                <w:sz w:val="21"/>
                <w:szCs w:val="22"/>
              </w:rPr>
              <w:t xml:space="preserve">.</w:t>
            </w:r>
            <w:r>
              <w:rPr>
                <w:rFonts w:hint="eastAsia" w:ascii="宋体" w:hAnsi="宋体" w:cs="Times New Roman"/>
                <w:bCs/>
                <w:sz w:val="21"/>
                <w:szCs w:val="22"/>
              </w:rPr>
              <w:t xml:space="preserve">投标单位具有有效期内的</w:t>
            </w:r>
            <w:r>
              <w:rPr>
                <w:rFonts w:hint="eastAsia"/>
                <w:sz w:val="21"/>
                <w:szCs w:val="21"/>
              </w:rPr>
              <w:t xml:space="preserve">信息技术服务管理体系认证证书、信息安全管理体系认证证书</w:t>
            </w:r>
            <w:r>
              <w:rPr>
                <w:rFonts w:hint="eastAsia" w:ascii="宋体" w:hAnsi="宋体" w:cs="Times New Roman"/>
                <w:bCs/>
                <w:sz w:val="21"/>
                <w:szCs w:val="22"/>
              </w:rPr>
              <w:t xml:space="preserve">, 每提供一项得</w:t>
            </w:r>
            <w:r>
              <w:rPr>
                <w:rFonts w:ascii="宋体" w:hAnsi="宋体" w:cs="Times New Roman"/>
                <w:bCs/>
                <w:sz w:val="21"/>
                <w:szCs w:val="22"/>
              </w:rPr>
              <w:t xml:space="preserve">2</w:t>
            </w:r>
            <w:r>
              <w:rPr>
                <w:rFonts w:hint="eastAsia" w:ascii="宋体" w:hAnsi="宋体" w:cs="Times New Roman"/>
                <w:bCs/>
                <w:sz w:val="21"/>
                <w:szCs w:val="22"/>
              </w:rPr>
              <w:t xml:space="preserve">分，最多得</w:t>
            </w:r>
            <w:r>
              <w:rPr>
                <w:rFonts w:ascii="宋体" w:hAnsi="宋体" w:cs="Times New Roman"/>
                <w:bCs/>
                <w:sz w:val="21"/>
                <w:szCs w:val="22"/>
              </w:rPr>
              <w:t xml:space="preserve">4</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7</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投标单位具有</w:t>
            </w:r>
            <w:r>
              <w:rPr>
                <w:rFonts w:hint="eastAsia" w:ascii="宋体"/>
                <w:bCs/>
                <w:sz w:val="21"/>
                <w:szCs w:val="21"/>
              </w:rPr>
              <w:t xml:space="preserve">ITSS信息技术服务运行维护证书的得2分</w:t>
            </w:r>
            <w:r>
              <w:rPr>
                <w:rFonts w:hint="eastAsia" w:ascii="宋体" w:hAnsi="宋体" w:cs="Times New Roman"/>
                <w:bCs/>
                <w:sz w:val="21"/>
                <w:szCs w:val="22"/>
              </w:rPr>
              <w:t xml:space="preserve">。</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bookmarkStart w:id="120" w:name="_GoBack"/>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投标单位提供自2023年1月1日起至今（以合同签订日期为准）的类似项目业绩，每提供一个得1分，最高得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20"/>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7"/>
  </w:num>
  <w:num w:numId="5">
    <w:abstractNumId w:val="1"/>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link w:val="1423"/>
    <w:unhideWhenUsed/>
    <w:qFormat/>
    <w:pPr>
      <w:ind w:firstLine="420"/>
    </w:pPr>
  </w:style>
  <w:style w:type="table" w:styleId="1065">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qFormat/>
    <w:pPr>
      <w:ind w:left="0" w:firstLine="3584"/>
      <w:spacing w:before="280" w:after="280" w:line="240" w:lineRule="auto"/>
    </w:pPr>
    <w:rPr>
      <w:rFonts w:ascii="Times New Roman" w:hAnsi="Times New Roman" w:cs="Times New Roman"/>
    </w:rPr>
  </w:style>
  <w:style w:type="paragraph" w:styleId="1247" w:customStyle="1">
    <w:name w:val="列表框1"/>
    <w:next w:val="1238"/>
    <w:qFormat/>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qFormat/>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qFormat/>
    <w:pPr>
      <w:ind w:left="851" w:firstLine="30"/>
      <w:spacing w:after="280" w:line="360" w:lineRule="auto"/>
      <w:outlineLvl w:val="3"/>
    </w:pPr>
  </w:style>
  <w:style w:type="paragraph" w:styleId="1265" w:customStyle="1">
    <w:name w:val="font0"/>
    <w:basedOn w:val="1005"/>
    <w:next w:val="1240"/>
    <w:qFormat/>
    <w:pPr>
      <w:ind w:left="0" w:firstLine="1024"/>
      <w:spacing w:before="280" w:after="280" w:line="240" w:lineRule="auto"/>
    </w:pPr>
    <w:rPr>
      <w:rFonts w:ascii="Times New Roman" w:hAnsi="Times New Roman" w:cs="Times New Roman"/>
    </w:rPr>
  </w:style>
  <w:style w:type="paragraph" w:styleId="1266" w:customStyle="1">
    <w:name w:val="CM5"/>
    <w:basedOn w:val="1005"/>
    <w:next w:val="1004"/>
    <w:qFormat/>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qFormat/>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qFormat/>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qFormat/>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qFormat/>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qFormat/>
    <w:pPr>
      <w:ind w:left="0"/>
    </w:pPr>
    <w:rPr>
      <w:rFonts w:ascii="宋体" w:hAnsi="宋体"/>
      <w:sz w:val="28"/>
      <w:szCs w:val="28"/>
    </w:rPr>
  </w:style>
  <w:style w:type="paragraph" w:styleId="1305" w:customStyle="1">
    <w:name w:val="四号 居中"/>
    <w:basedOn w:val="1005"/>
    <w:next w:val="1299"/>
    <w:qFormat/>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qFormat/>
    <w:pPr>
      <w:ind w:left="0" w:firstLine="2560"/>
      <w:spacing w:before="0" w:after="0" w:line="240" w:lineRule="auto"/>
    </w:pPr>
    <w:rPr>
      <w:rFonts w:ascii="Times New Roman" w:hAnsi="Times New Roman" w:cs="Times New Roman"/>
    </w:rPr>
  </w:style>
  <w:style w:type="paragraph" w:styleId="1312" w:customStyle="1">
    <w:name w:val="xl87"/>
    <w:basedOn w:val="1005"/>
    <w:next w:val="1268"/>
    <w:qFormat/>
    <w:pPr>
      <w:ind w:left="0" w:firstLine="5120"/>
      <w:spacing w:before="280" w:after="280" w:line="240" w:lineRule="auto"/>
    </w:pPr>
    <w:rPr>
      <w:rFonts w:ascii="Times New Roman" w:hAnsi="Times New Roman" w:cs="Times New Roman"/>
    </w:rPr>
  </w:style>
  <w:style w:type="paragraph" w:styleId="1313" w:customStyle="1">
    <w:name w:val="444"/>
    <w:basedOn w:val="1005"/>
    <w:next w:val="1026"/>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qFormat/>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qFormat/>
    <w:pPr>
      <w:ind w:firstLine="2048"/>
      <w:spacing w:line="460" w:lineRule="exact"/>
    </w:pPr>
    <w:rPr>
      <w:rFonts w:ascii="Calibri" w:hAnsi="Calibri"/>
    </w:rPr>
  </w:style>
  <w:style w:type="paragraph" w:styleId="1318" w:customStyle="1">
    <w:name w:val="font10"/>
    <w:basedOn w:val="1005"/>
    <w:next w:val="1037"/>
    <w:qFormat/>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qFormat/>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qFormat/>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qFormat/>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qFormat/>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qFormat/>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qFormat/>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qFormat/>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qFormat/>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qFormat/>
    <w:pPr>
      <w:ind w:left="480" w:firstLine="2784"/>
      <w:spacing w:before="0" w:after="0" w:line="300" w:lineRule="auto"/>
    </w:pPr>
    <w:rPr>
      <w:rFonts w:ascii="Times New Roman" w:hAnsi="Times New Roman" w:cs="Times New Roman"/>
    </w:rPr>
  </w:style>
  <w:style w:type="paragraph" w:styleId="1370" w:customStyle="1">
    <w:name w:val="目录2"/>
    <w:basedOn w:val="1005"/>
    <w:next w:val="1004"/>
    <w:qFormat/>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uiPriority w:val="34"/>
    <w:qFormat/>
    <w:pPr>
      <w:ind w:left="420" w:firstLine="3748"/>
    </w:pPr>
    <w:rPr>
      <w:rFonts w:ascii="Times New Roman" w:hAnsi="Times New Roman" w:cs="Times New Roman"/>
    </w:rPr>
  </w:style>
  <w:style w:type="paragraph" w:styleId="1374" w:customStyle="1">
    <w:name w:val="xl73"/>
    <w:basedOn w:val="1005"/>
    <w:next w:val="1375"/>
    <w:qFormat/>
    <w:pPr>
      <w:ind w:left="0" w:firstLine="3584"/>
      <w:spacing w:before="280" w:after="280" w:line="240" w:lineRule="auto"/>
    </w:pPr>
    <w:rPr>
      <w:rFonts w:ascii="Times New Roman" w:hAnsi="Times New Roman" w:cs="Times New Roman"/>
    </w:rPr>
  </w:style>
  <w:style w:type="paragraph" w:styleId="1375" w:customStyle="1">
    <w:name w:val="xl80"/>
    <w:basedOn w:val="1005"/>
    <w:next w:val="1376"/>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qFormat/>
    <w:pPr>
      <w:ind w:left="1134" w:firstLine="18"/>
      <w:spacing w:before="0" w:after="0" w:line="360" w:lineRule="auto"/>
      <w:outlineLvl w:val="4"/>
    </w:pPr>
  </w:style>
  <w:style w:type="paragraph" w:styleId="1377" w:customStyle="1">
    <w:name w:val="日期1"/>
    <w:basedOn w:val="1005"/>
    <w:next w:val="1004"/>
    <w:qFormat/>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qFormat/>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qFormat/>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qFormat/>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character" w:styleId="1423" w:customStyle="1">
    <w:name w:val="正文首行缩进 2 字符"/>
    <w:basedOn w:val="1014"/>
    <w:link w:val="1064"/>
    <w:qFormat/>
    <w:rPr>
      <w:rFonts w:ascii="Times New Roman" w:hAnsi="Times New Roman" w:cs="Times New Roman"/>
    </w:rPr>
  </w:style>
  <w:style w:type="table" w:styleId="1424"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A90BE60-E591-4BD1-B7EE-D6A4766F9B3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7</cp:revision>
  <dcterms:created xsi:type="dcterms:W3CDTF">2026-09-02T05:47:00Z</dcterms:created>
  <dcterms:modified xsi:type="dcterms:W3CDTF">2026-09-04T06:38:53Z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