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ab/>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highlight w:val="none"/>
        </w:rPr>
        <w:t xml:space="preserve">泰州市政府采购</w:t>
      </w:r>
      <w:r>
        <w:rPr>
          <w:highlight w:val="none"/>
        </w:rPr>
      </w:r>
    </w:p>
    <w:p>
      <w:pPr>
        <w:ind w:left="0" w:right="0" w:firstLine="0"/>
        <w:jc w:val="center"/>
        <w:spacing w:before="0" w:after="0" w:line="85" w:lineRule="atLeast"/>
        <w:tabs>
          <w:tab w:val="left" w:pos="7198"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highlight w:val="none"/>
        </w:rPr>
        <w:t xml:space="preserve">公开</w:t>
      </w:r>
      <w:r>
        <w:rPr>
          <w:rFonts w:ascii="宋体" w:hAnsi="宋体" w:eastAsia="宋体" w:cs="宋体"/>
          <w:color w:val="000000"/>
          <w:spacing w:val="20"/>
          <w:sz w:val="52"/>
          <w:highlight w:val="none"/>
        </w:rPr>
        <mc:AlternateContent>
          <mc:Choice Requires="wpg">
            <w:drawing>
              <wp:inline xmlns:wp="http://schemas.openxmlformats.org/drawingml/2006/wordprocessingDrawing" distT="0" distB="0" distL="0" distR="0">
                <wp:extent cx="9525" cy="952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宋体" w:hAnsi="宋体" w:eastAsia="宋体" w:cs="宋体"/>
          <w:color w:val="000000"/>
          <w:spacing w:val="20"/>
          <w:sz w:val="52"/>
          <w:highlight w:val="none"/>
        </w:rPr>
        <w:t xml:space="preserve">招标文件</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（全流程电子化不见面开标）</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p>
    <w:p>
      <w:pPr>
        <w:ind w:left="0" w:right="0" w:firstLine="5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p>
    <w:p>
      <w:pPr>
        <w:ind w:left="0" w:right="0" w:firstLine="568"/>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项目编号：</w:t>
      </w:r>
      <w:r>
        <w:rPr>
          <w:rFonts w:hint="eastAsia" w:ascii="宋体" w:hAnsi="宋体" w:eastAsia="宋体" w:cs="宋体"/>
          <w:b/>
          <w:color w:val="000000"/>
          <w:sz w:val="28"/>
          <w:highlight w:val="none"/>
        </w:rPr>
        <w:t xml:space="preserve">JSZC-321283-JSHY-G2026-0183</w:t>
      </w:r>
      <w:r>
        <w:rPr>
          <w:highlight w:val="none"/>
        </w:rPr>
      </w:r>
    </w:p>
    <w:p>
      <w:pPr>
        <w:ind w:left="0" w:right="0" w:firstLine="0"/>
        <w:jc w:val="center"/>
        <w:spacing w:before="0" w:after="0" w:line="85"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项目名称：</w:t>
      </w:r>
      <w:r>
        <w:rPr>
          <w:rFonts w:hint="eastAsia" w:ascii="宋体" w:hAnsi="宋体" w:eastAsia="宋体" w:cs="宋体"/>
          <w:b/>
          <w:color w:val="000000"/>
          <w:sz w:val="28"/>
          <w:highlight w:val="none"/>
          <w:lang w:eastAsia="zh-CN"/>
        </w:rPr>
        <w:t xml:space="preserve">泰兴市人民医院钬激光治疗机采购项目</w:t>
      </w:r>
      <w:r>
        <w:rPr>
          <w:highlight w:val="none"/>
        </w:rPr>
      </w:r>
    </w:p>
    <w:p>
      <w:pPr>
        <w:ind w:left="0" w:right="0" w:firstLine="419"/>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41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采购人：泰兴市人民医院</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采购代理机构：江苏弘业国际技术工程有限公司</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2026年</w:t>
      </w:r>
      <w:r>
        <w:rPr>
          <w:rFonts w:hint="eastAsia" w:ascii="宋体" w:hAnsi="宋体" w:eastAsia="宋体" w:cs="宋体"/>
          <w:b/>
          <w:color w:val="000000"/>
          <w:sz w:val="28"/>
          <w:highlight w:val="none"/>
          <w:lang w:val="en-US" w:eastAsia="zh-CN"/>
        </w:rPr>
        <w:t xml:space="preserve">9</w:t>
      </w:r>
      <w:r>
        <w:rPr>
          <w:rFonts w:ascii="宋体" w:hAnsi="宋体" w:eastAsia="宋体" w:cs="宋体"/>
          <w:b/>
          <w:color w:val="000000"/>
          <w:sz w:val="28"/>
          <w:highlight w:val="none"/>
        </w:rPr>
        <w:t xml:space="preserve">月</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目录</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第一章 招标公告</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第二章 投标人须知</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第三章 采购需求</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第四章 评标办法及标准</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第五章 合同条款</w:t>
      </w:r>
      <w:r>
        <w:rPr>
          <w:highlight w:val="none"/>
        </w:rPr>
      </w:r>
    </w:p>
    <w:p>
      <w:pPr>
        <w:ind w:left="0" w:right="0" w:firstLine="0"/>
        <w:spacing w:before="240" w:after="240" w:line="113" w:lineRule="atLeast"/>
        <w:tabs>
          <w:tab w:val="left" w:pos="934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第六章 投标文件格式</w:t>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 </w:t>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highlight w:val="none"/>
          <w:u w:val="none"/>
        </w:rPr>
        <w:t xml:space="preserve">第一章</w:t>
      </w:r>
      <w:r>
        <w:rPr>
          <w:rFonts w:ascii="宋体" w:hAnsi="宋体" w:eastAsia="宋体" w:cs="宋体"/>
          <w:color w:val="000000"/>
          <w:sz w:val="32"/>
          <w:highlight w:val="none"/>
        </w:rPr>
        <w:t xml:space="preserve"> </w:t>
      </w:r>
      <w:r>
        <w:rPr>
          <w:rFonts w:ascii="宋体" w:hAnsi="宋体" w:eastAsia="宋体" w:cs="宋体"/>
          <w:b/>
          <w:color w:val="000000"/>
          <w:spacing w:val="15"/>
          <w:sz w:val="32"/>
          <w:highlight w:val="none"/>
        </w:rPr>
        <w:t xml:space="preserve">招标公告</w:t>
      </w:r>
      <w:r>
        <w:rPr>
          <w:highlight w:val="none"/>
        </w:rPr>
      </w:r>
    </w:p>
    <w:p>
      <w:pPr>
        <w:ind w:left="0" w:right="0" w:firstLine="0"/>
        <w:jc w:val="both"/>
        <w:spacing w:before="0" w:after="0" w:line="85"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rPr>
        <w:t xml:space="preserve">项目概况</w:t>
      </w:r>
      <w:r>
        <w:rPr>
          <w:highlight w:val="none"/>
        </w:rPr>
      </w:r>
    </w:p>
    <w:p>
      <w:pPr>
        <w:ind w:left="0" w:right="0" w:firstLine="488"/>
        <w:jc w:val="both"/>
        <w:spacing w:before="0" w:after="0" w:line="85" w:lineRule="atLeast"/>
        <w:rPr>
          <w:color w:val="000000" w:themeColor="text1"/>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none"/>
          <w:u w:val="single"/>
          <w:lang w:eastAsia="zh-CN"/>
        </w:rPr>
        <w:t xml:space="preserve">泰兴市人民医院钬激光治疗机采购项目</w:t>
      </w:r>
      <w:r>
        <w:rPr>
          <w:rFonts w:ascii="宋体" w:hAnsi="宋体" w:eastAsia="宋体" w:cs="宋体"/>
          <w:color w:val="000000"/>
          <w:sz w:val="24"/>
          <w:highlight w:val="none"/>
        </w:rPr>
        <w:t xml:space="preserve">招标项目的潜在投标人可在“江苏政府采购网</w:t>
      </w:r>
      <w:r>
        <w:rPr>
          <w:rFonts w:ascii="宋体" w:hAnsi="宋体" w:eastAsia="宋体" w:cs="宋体"/>
          <w:color w:val="000000"/>
          <w:sz w:val="24"/>
          <w:highlight w:val="none"/>
          <w:u w:val="single"/>
        </w:rPr>
        <w:t xml:space="preserve">-苏采云”系统</w:t>
      </w:r>
      <w:r>
        <w:rPr>
          <w:rFonts w:ascii="宋体" w:hAnsi="宋体" w:eastAsia="宋体" w:cs="宋体"/>
          <w:color w:val="000000"/>
          <w:sz w:val="24"/>
          <w:highlight w:val="none"/>
        </w:rPr>
        <w:t xml:space="preserve">自行下载招标文件</w:t>
      </w:r>
      <w:r>
        <w:rPr>
          <w:highlight w:val="none"/>
        </w:rPr>
        <w:fldChar w:fldCharType="begin"/>
      </w:r>
      <w:r>
        <w:rPr>
          <w:highlight w:val="none"/>
        </w:rPr>
        <w:instrText xml:space="preserve"> HYPERLINK "http://jszfcg.jsczt.cn/%EF%BC%89%E8%8E%B7%E5%8F%96%E6%8B%9B%E6%A0%87%E6%96%87%E4%BB%B6%EF%BC%8C%E5%B9%B6%E4%BA%8E2023%E5%B9%B411%E6%9C%88" \o "http://jszfcg.jsczt.cn/）获取招标文件，并于2023年11月" </w:instrText>
      </w:r>
      <w:r>
        <w:rPr>
          <w:highlight w:val="none"/>
        </w:rPr>
        <w:fldChar w:fldCharType="separate"/>
      </w:r>
      <w:r>
        <w:rPr>
          <w:rStyle w:val="785"/>
          <w:rFonts w:ascii="宋体" w:hAnsi="宋体" w:eastAsia="宋体" w:cs="宋体"/>
          <w:color w:val="000000" w:themeColor="text1"/>
          <w:sz w:val="24"/>
          <w:highlight w:val="none"/>
          <w:u w:val="single"/>
          <w14:textFill>
            <w14:solidFill>
              <w14:schemeClr w14:val="tx1"/>
            </w14:solidFill>
          </w14:textFill>
        </w:rPr>
        <w:t xml:space="preserve">，并于2026年10</w:t>
      </w:r>
      <w:r>
        <w:rPr>
          <w:rStyle w:val="785"/>
          <w:rFonts w:ascii="宋体" w:hAnsi="宋体" w:eastAsia="宋体" w:cs="宋体"/>
          <w:color w:val="000000" w:themeColor="text1"/>
          <w:sz w:val="24"/>
          <w:highlight w:val="none"/>
          <w:u w:val="single"/>
          <w14:textFill>
            <w14:solidFill>
              <w14:schemeClr w14:val="tx1"/>
            </w14:solidFill>
          </w14:textFill>
        </w:rPr>
        <w:t xml:space="preserve">月</w:t>
      </w:r>
      <w:r>
        <w:rPr>
          <w:rStyle w:val="785"/>
          <w:rFonts w:ascii="宋体" w:hAnsi="宋体" w:eastAsia="宋体" w:cs="宋体"/>
          <w:color w:val="000000" w:themeColor="text1"/>
          <w:sz w:val="24"/>
          <w:highlight w:val="none"/>
          <w:u w:val="single"/>
          <w14:textFill>
            <w14:solidFill>
              <w14:schemeClr w14:val="tx1"/>
            </w14:solidFill>
          </w14:textFill>
        </w:rPr>
        <w:fldChar w:fldCharType="end"/>
      </w:r>
      <w:r>
        <w:rPr>
          <w:rFonts w:ascii="宋体" w:hAnsi="宋体" w:eastAsia="宋体" w:cs="宋体"/>
          <w:color w:val="000000" w:themeColor="text1"/>
          <w:sz w:val="24"/>
          <w:highlight w:val="none"/>
          <w:u w:val="single"/>
          <w14:textFill>
            <w14:solidFill>
              <w14:schemeClr w14:val="tx1"/>
            </w14:solidFill>
          </w14:textFill>
        </w:rPr>
        <w:t xml:space="preserve">9日14</w:t>
      </w:r>
      <w:r>
        <w:rPr>
          <w:rFonts w:ascii="宋体" w:hAnsi="宋体" w:eastAsia="宋体" w:cs="宋体"/>
          <w:color w:val="000000" w:themeColor="text1"/>
          <w:sz w:val="24"/>
          <w:highlight w:val="none"/>
          <w:u w:val="single"/>
          <w14:textFill>
            <w14:solidFill>
              <w14:schemeClr w14:val="tx1"/>
            </w14:solidFill>
          </w14:textFill>
        </w:rPr>
        <w:t xml:space="preserve">时</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30</w:t>
      </w:r>
      <w:r>
        <w:rPr>
          <w:rFonts w:ascii="宋体" w:hAnsi="宋体" w:eastAsia="宋体" w:cs="宋体"/>
          <w:color w:val="000000" w:themeColor="text1"/>
          <w:sz w:val="24"/>
          <w:highlight w:val="none"/>
          <w:u w:val="single"/>
          <w14:textFill>
            <w14:solidFill>
              <w14:schemeClr w14:val="tx1"/>
            </w14:solidFill>
          </w14:textFill>
        </w:rPr>
        <w:t xml:space="preserve">分</w:t>
      </w:r>
      <w:r>
        <w:rPr>
          <w:rFonts w:ascii="宋体" w:hAnsi="宋体" w:eastAsia="宋体" w:cs="宋体"/>
          <w:color w:val="000000" w:themeColor="text1"/>
          <w:sz w:val="24"/>
          <w:highlight w:val="none"/>
          <w14:textFill>
            <w14:solidFill>
              <w14:schemeClr w14:val="tx1"/>
            </w14:solidFill>
          </w14:textFill>
        </w:rPr>
        <w:t xml:space="preserve">（北京时间）前上传投标文件。</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一、项目基本情况</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JSZC-321283-JSHY-G2026-0183</w:t>
      </w:r>
      <w:r>
        <w:rPr>
          <w:rFonts w:ascii="宋体" w:hAnsi="宋体" w:eastAsia="宋体" w:cs="宋体"/>
          <w:color w:val="000000"/>
          <w:sz w:val="24"/>
          <w:highlight w:val="none"/>
        </w:rPr>
        <w:t xml:space="preserve">  </w:t>
      </w:r>
      <w:r>
        <w:rPr>
          <w:highlight w:val="none"/>
        </w:rPr>
      </w:r>
    </w:p>
    <w:p>
      <w:pPr>
        <w:ind w:left="0" w:right="0" w:firstLine="480"/>
        <w:jc w:val="both"/>
        <w:spacing w:before="0" w:after="0" w:line="499"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泰兴市人民医院钬激光治疗机采购项目</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val="en-US" w:eastAsia="zh-CN"/>
        </w:rPr>
        <w:t xml:space="preserve">200</w:t>
      </w:r>
      <w:r>
        <w:rPr>
          <w:rFonts w:ascii="宋体" w:hAnsi="宋体" w:eastAsia="宋体" w:cs="宋体"/>
          <w:color w:val="000000"/>
          <w:sz w:val="24"/>
          <w:highlight w:val="none"/>
        </w:rPr>
        <w:t xml:space="preserve">万元</w:t>
      </w:r>
      <w:r>
        <w:rPr>
          <w:highlight w:val="none"/>
        </w:rPr>
      </w:r>
    </w:p>
    <w:p>
      <w:pPr>
        <w:ind w:left="0" w:right="0" w:firstLine="480"/>
        <w:jc w:val="both"/>
        <w:spacing w:before="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200</w:t>
      </w:r>
      <w:r>
        <w:rPr>
          <w:rFonts w:ascii="宋体" w:hAnsi="宋体" w:eastAsia="宋体" w:cs="宋体"/>
          <w:color w:val="000000"/>
          <w:sz w:val="24"/>
          <w:highlight w:val="none"/>
        </w:rPr>
        <w:t xml:space="preserve">元</w:t>
      </w:r>
      <w:r>
        <w:rPr>
          <w:highlight w:val="none"/>
        </w:rPr>
      </w:r>
    </w:p>
    <w:p>
      <w:pPr>
        <w:ind w:left="0" w:right="0" w:firstLine="480"/>
        <w:spacing w:beforeAutospacing="0" w:afterAutospacing="0" w:line="49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w:t>
      </w:r>
      <w:r>
        <w:rPr>
          <w:highlight w:val="none"/>
        </w:rPr>
      </w:r>
    </w:p>
    <w:tbl>
      <w:tblPr>
        <w:tblStyle w:val="749"/>
        <w:tblW w:w="100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98"/>
        <w:gridCol w:w="2280"/>
        <w:gridCol w:w="798"/>
        <w:gridCol w:w="1403"/>
        <w:gridCol w:w="1575"/>
        <w:gridCol w:w="1575"/>
      </w:tblGrid>
      <w:tr>
        <w:trPr>
          <w:jc w:val="center"/>
          <w:trHeight w:val="0"/>
          <w:tblHeader/>
        </w:trPr>
        <w:tc>
          <w:tcPr>
            <w:tcW w:w="798" w:type="dxa"/>
            <w:vAlign w:val="center"/>
            <w:textDirection w:val="lrTb"/>
            <w:noWrap w:val="false"/>
          </w:tcPr>
          <w:p>
            <w:pPr>
              <w:jc w:val="center"/>
              <w:spacing w:beforeAutospacing="0"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包号</w:t>
            </w:r>
            <w:r>
              <w:rPr>
                <w:highlight w:val="none"/>
              </w:rPr>
            </w:r>
          </w:p>
        </w:tc>
        <w:tc>
          <w:tcPr>
            <w:tcW w:w="2280"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项目名称</w:t>
            </w:r>
            <w:r>
              <w:rPr>
                <w:highlight w:val="none"/>
              </w:rPr>
            </w:r>
          </w:p>
        </w:tc>
        <w:tc>
          <w:tcPr>
            <w:tcW w:w="798"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数量</w:t>
            </w:r>
            <w:r>
              <w:rPr>
                <w:highlight w:val="none"/>
              </w:rPr>
            </w:r>
          </w:p>
        </w:tc>
        <w:tc>
          <w:tcPr>
            <w:tcW w:w="1403"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position w:val="0"/>
                <w:szCs w:val="21"/>
                <w:highlight w:val="none"/>
                <w:lang w:eastAsia="zh-CN"/>
              </w:rPr>
              <w:t xml:space="preserve">预算金额（万元）</w:t>
            </w:r>
            <w:r>
              <w:rPr>
                <w:highlight w:val="none"/>
              </w:rPr>
            </w:r>
          </w:p>
        </w:tc>
        <w:tc>
          <w:tcPr>
            <w:tcW w:w="1575" w:type="dxa"/>
            <w:vAlign w:val="center"/>
            <w:textDirection w:val="lrTb"/>
            <w:noWrap w:val="false"/>
          </w:tcPr>
          <w:p>
            <w:pPr>
              <w:jc w:val="center"/>
              <w:spacing w:line="360" w:lineRule="auto"/>
              <w:rPr>
                <w:rFonts w:hint="eastAsia" w:ascii="宋体" w:hAnsi="宋体" w:eastAsia="宋体" w:cs="宋体"/>
                <w:b/>
                <w:color w:val="auto"/>
                <w:position w:val="0"/>
                <w:szCs w:val="21"/>
                <w:highlight w:val="none"/>
              </w:rPr>
            </w:pPr>
            <w:r>
              <w:rPr>
                <w:rFonts w:hint="eastAsia" w:ascii="宋体" w:hAnsi="宋体" w:eastAsia="宋体" w:cs="宋体"/>
                <w:b/>
                <w:color w:val="auto"/>
                <w:highlight w:val="none"/>
                <w:lang w:val="en-US" w:eastAsia="zh-CN"/>
              </w:rPr>
              <w:t xml:space="preserve">最高限价（万元）</w:t>
            </w:r>
            <w:r>
              <w:rPr>
                <w:highlight w:val="none"/>
              </w:rPr>
            </w:r>
          </w:p>
        </w:tc>
        <w:tc>
          <w:tcPr>
            <w:tcW w:w="1575" w:type="dxa"/>
            <w:vAlign w:val="center"/>
            <w:textDirection w:val="lrTb"/>
            <w:noWrap w:val="false"/>
          </w:tcPr>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是否接受进口产品投标</w:t>
            </w:r>
            <w:r>
              <w:rPr>
                <w:highlight w:val="none"/>
              </w:rPr>
            </w:r>
          </w:p>
        </w:tc>
      </w:tr>
      <w:tr>
        <w:trPr>
          <w:jc w:val="center"/>
          <w:trHeight w:val="0"/>
        </w:trPr>
        <w:tc>
          <w:tcPr>
            <w:tcW w:w="798" w:type="dxa"/>
            <w:vAlign w:val="center"/>
            <w:textDirection w:val="lrTb"/>
            <w:noWrap w:val="false"/>
          </w:tcPr>
          <w:p>
            <w:pPr>
              <w:jc w:val="center"/>
              <w:spacing w:line="360" w:lineRule="auto"/>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rPr>
              <w:t xml:space="preserve">1</w:t>
            </w:r>
            <w:r>
              <w:rPr>
                <w:highlight w:val="none"/>
              </w:rPr>
            </w:r>
          </w:p>
        </w:tc>
        <w:tc>
          <w:tcPr>
            <w:tcW w:w="2280"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color w:val="auto"/>
                <w:highlight w:val="none"/>
                <w:lang w:eastAsia="zh-CN"/>
              </w:rPr>
              <w:t xml:space="preserve">钬激光治疗机</w:t>
            </w:r>
            <w:r>
              <w:rPr>
                <w:highlight w:val="none"/>
              </w:rPr>
            </w:r>
          </w:p>
        </w:tc>
        <w:tc>
          <w:tcPr>
            <w:tcW w:w="798"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1套</w:t>
            </w:r>
            <w:r>
              <w:rPr>
                <w:highlight w:val="none"/>
              </w:rPr>
            </w:r>
          </w:p>
        </w:tc>
        <w:tc>
          <w:tcPr>
            <w:tcW w:w="1403"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200</w:t>
            </w:r>
            <w:r>
              <w:rPr>
                <w:highlight w:val="none"/>
              </w:rPr>
            </w:r>
          </w:p>
        </w:tc>
        <w:tc>
          <w:tcPr>
            <w:tcW w:w="1575"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200</w:t>
            </w:r>
            <w:r>
              <w:rPr>
                <w:highlight w:val="none"/>
              </w:rPr>
            </w:r>
          </w:p>
        </w:tc>
        <w:tc>
          <w:tcPr>
            <w:tcW w:w="1575" w:type="dxa"/>
            <w:vAlign w:val="center"/>
            <w:textDirection w:val="lrTb"/>
            <w:noWrap w:val="false"/>
          </w:tcPr>
          <w:p>
            <w:pPr>
              <w:jc w:val="center"/>
              <w:rPr>
                <w:rFonts w:hint="eastAsia" w:ascii="宋体" w:hAnsi="宋体" w:eastAsia="宋体" w:cs="宋体"/>
                <w:b w:val="0"/>
                <w:color w:val="auto"/>
                <w:position w:val="0"/>
                <w:szCs w:val="21"/>
                <w:highlight w:val="none"/>
              </w:rPr>
            </w:pPr>
            <w:r>
              <w:rPr>
                <w:rFonts w:hint="eastAsia" w:ascii="宋体" w:hAnsi="宋体" w:eastAsia="宋体" w:cs="宋体"/>
                <w:b w:val="0"/>
                <w:color w:val="auto"/>
                <w:position w:val="0"/>
                <w:szCs w:val="21"/>
                <w:highlight w:val="none"/>
                <w:lang w:val="en-US" w:eastAsia="zh-CN"/>
              </w:rPr>
              <w:t xml:space="preserve">否</w:t>
            </w:r>
            <w:r>
              <w:rPr>
                <w:highlight w:val="none"/>
              </w:rPr>
            </w:r>
          </w:p>
        </w:tc>
      </w:tr>
    </w:tbl>
    <w:p>
      <w:pPr>
        <w:ind w:left="0" w:right="0" w:firstLine="480"/>
        <w:spacing w:before="24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详见招标文件</w:t>
      </w:r>
      <w:r>
        <w:rPr>
          <w:highlight w:val="none"/>
        </w:rPr>
      </w:r>
    </w:p>
    <w:p>
      <w:pPr>
        <w:ind w:left="0" w:right="0" w:firstLine="480"/>
        <w:spacing w:beforeAutospacing="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合同履行期限：合同签订后30天内</w:t>
      </w:r>
      <w:r>
        <w:rPr>
          <w:highlight w:val="none"/>
        </w:rPr>
      </w:r>
    </w:p>
    <w:p>
      <w:pPr>
        <w:ind w:left="0" w:right="0" w:firstLine="480"/>
        <w:spacing w:beforeAutospacing="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本项目不接受进口产品投标。</w:t>
      </w:r>
      <w:r>
        <w:rPr>
          <w:highlight w:val="none"/>
        </w:rPr>
      </w:r>
    </w:p>
    <w:p>
      <w:pPr>
        <w:ind w:left="0" w:right="0" w:firstLine="480"/>
        <w:spacing w:beforeAutospacing="0" w:afterAutospacing="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本项目不接受联合体投标。</w:t>
      </w:r>
      <w:r>
        <w:rPr>
          <w:highlight w:val="none"/>
        </w:rPr>
      </w:r>
    </w:p>
    <w:p>
      <w:pPr>
        <w:ind w:left="0" w:right="0" w:firstLine="0"/>
        <w:spacing w:beforeAutospacing="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二、申请人的资格要求：</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1.满足《中华人民共和国政府采购法》第二十二条规定；</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1）具有独立承担民事责任的能力（提供法人或者其他组织的营业执照等证明文件；供应商为自然人的，提供其身份证）；</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2）具有良好的商业信誉和健全的财务会计制度（提供2025年度财务报告，至少包含资产负债表、利润表，或投标截止时间前六个月内银行出具的资信证明，成立不满一年的无须提供）；</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3）具有履行合同所必需的设备和专业技术能力（供应商根据履行采购项目合同需要，提供履行合同所必需的设备和专业技术能力的声明函或证明材料）；</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有依法缴纳税收和社会保障资金的良好记录（提供投标截止时间前六个月内）中任一月份的依法缴纳税收和社会保险费的相关材料（提供相关主管部门证明或银行代扣证明的复印件，根据国家相关政策免缴或迟缴的需提供相关证明材料）；</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5）参加政府采购活动前三年内，在经营活动中没有重大违法记录（提供承诺书）；</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2.落实政府采购政策满足的资格要求：</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t xml:space="preserve">本项目为专门面向中小微企业项目，供应商必须在响应文件中提供中小企业声明函，否则作无效响应文件处理。</w:t>
      </w:r>
      <w:r>
        <w:rPr>
          <w:rFonts w:ascii="宋体" w:hAnsi="宋体" w:eastAsia="宋体" w:cs="宋体"/>
          <w:color w:val="000000"/>
          <w:sz w:val="24"/>
          <w:highlight w:val="none"/>
        </w:rPr>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（一）拒绝被“信用中国”（www.creditchina.gov.cn）、“中国政府采购网”(www.ccgp.gov.cn）列入失信被执行人、重大税收违法案件当事人、政府采购严重失信行为的供应商参加投标。</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（二）其它：</w:t>
      </w:r>
      <w:r>
        <w:rPr>
          <w:highlight w:val="none"/>
        </w:rPr>
      </w:r>
    </w:p>
    <w:p>
      <w:pPr>
        <w:ind w:left="0" w:right="0" w:firstLine="480"/>
        <w:spacing w:before="240" w:after="240"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如投标产品为医疗器械：</w:t>
      </w:r>
      <w:r>
        <w:rPr>
          <w:highlight w:val="none"/>
        </w:rPr>
      </w:r>
    </w:p>
    <w:p>
      <w:pPr>
        <w:ind w:left="0" w:right="0" w:firstLine="480"/>
        <w:spacing w:before="240" w:after="240"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.1.投标人须根据投标产品类别，提供有效的医疗器械产品注册证或产品备案凭证，投标时提供复印件加盖公章。</w:t>
      </w:r>
      <w:r>
        <w:rPr>
          <w:highlight w:val="none"/>
        </w:rPr>
      </w:r>
    </w:p>
    <w:p>
      <w:pPr>
        <w:ind w:left="0" w:right="0" w:firstLine="480"/>
        <w:spacing w:before="240" w:after="240" w:line="49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.2若投标人为代理商，须根据投标产品类别，提供有效的《医疗器械经营许可证》或医疗器械经营备案凭证，投标时提供复印件加盖公章。</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.3.医疗器械生产企业投标本企业产品的，须提供《医疗器械生产许可证》，投标时提供复印件加盖公章。</w:t>
      </w:r>
      <w:r>
        <w:rPr>
          <w:highlight w:val="none"/>
        </w:rPr>
      </w:r>
    </w:p>
    <w:p>
      <w:pPr>
        <w:ind w:left="0" w:right="0"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三、获取招标文件</w:t>
      </w:r>
      <w:r>
        <w:rPr>
          <w:rFonts w:ascii="宋体" w:hAnsi="宋体" w:eastAsia="宋体" w:cs="宋体"/>
          <w:b/>
          <w:color w:val="000000"/>
          <w:sz w:val="24"/>
          <w:highlight w:val="none"/>
        </w:rPr>
        <w:t xml:space="preserve">：</w:t>
      </w:r>
      <w:r>
        <w:rPr>
          <w:highlight w:val="none"/>
        </w:rPr>
      </w:r>
    </w:p>
    <w:p>
      <w:pPr>
        <w:ind w:left="0" w:right="0" w:firstLine="480"/>
        <w:jc w:val="both"/>
        <w:spacing w:before="0" w:after="0" w:line="499" w:lineRule="atLeast"/>
        <w:rPr>
          <w:rFonts w:hint="default"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时间：自招标文件公告发布之日起</w:t>
      </w:r>
      <w:r>
        <w:rPr>
          <w:rFonts w:hint="eastAsia" w:ascii="宋体" w:hAnsi="宋体" w:eastAsia="宋体" w:cs="宋体"/>
          <w:color w:val="000000"/>
          <w:sz w:val="24"/>
          <w:highlight w:val="none"/>
          <w:lang w:val="en-US" w:eastAsia="zh-CN"/>
        </w:rPr>
        <w:t xml:space="preserve">五个工作日</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地点：投标人完成注册并办理CA证书后登录“江苏政府采购‘苏采云’系统”下载本项目招标文件。</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方式：登录江苏政府采购“苏采云”系统免费下载。</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售价：免费。</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注意事项：</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本项目采用网上注册登记方式。</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1.潜在投标人访问电子招标投标交易平台的网络地址和方法：</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（1）登录 https:</w:t>
      </w:r>
      <w:r>
        <w:rPr>
          <w:rFonts w:hint="default" w:ascii="宋体" w:hAnsi="宋体" w:eastAsia="宋体" w:cs="宋体"/>
          <w:color w:val="000000"/>
          <w:sz w:val="24"/>
          <w:highlight w:val="none"/>
        </w:rPr>
        <w:t xml:space="preserve">//jszfcg.jsczt.cn/jszc/login</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点击“苏采云”进入系统。</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CA数字证书”的获取：投标人需办理CA锁（原国信CA须更换新CA）。投标客户端工具及投标人操作手册可访问江苏省政府采购网，“资料下载”进行下载《江苏省政府采购管理交易系统（苏采云）供应商操作手册及政府采购客户端》。</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2.采购代理机构将数据电文形式的招标文件加载至电子招标投标交易平台，供潜在投标人下载或者查阅。</w:t>
      </w:r>
      <w:r>
        <w:rPr>
          <w:highlight w:val="none"/>
        </w:rP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3.如潜在投标人未按上述要求操作，将自行承担所产生的风险。</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四、提交投标文件</w:t>
      </w:r>
      <w:r>
        <w:rPr>
          <w:rFonts w:ascii="宋体" w:hAnsi="宋体" w:eastAsia="宋体" w:cs="宋体"/>
          <w:b/>
          <w:color w:val="000000"/>
          <w:sz w:val="24"/>
          <w:highlight w:val="none"/>
        </w:rPr>
        <w:t xml:space="preserve">截止时间、开标时间和地点</w:t>
      </w:r>
      <w:r>
        <w:rPr>
          <w:highlight w:val="none"/>
        </w:rPr>
      </w:r>
    </w:p>
    <w:p>
      <w:pPr>
        <w:ind w:left="0" w:right="0" w:firstLine="488"/>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2026年10</w:t>
      </w:r>
      <w:r>
        <w:rPr>
          <w:rFonts w:ascii="宋体" w:hAnsi="宋体" w:eastAsia="宋体" w:cs="宋体"/>
          <w:color w:val="000000"/>
          <w:sz w:val="24"/>
          <w:highlight w:val="none"/>
        </w:rPr>
        <w:t xml:space="preserve">月9</w:t>
      </w:r>
      <w:r>
        <w:rPr>
          <w:rFonts w:ascii="宋体" w:hAnsi="宋体" w:eastAsia="宋体" w:cs="宋体"/>
          <w:color w:val="000000"/>
          <w:sz w:val="24"/>
          <w:highlight w:val="none"/>
        </w:rPr>
        <w:t xml:space="preserve">日14时30分</w:t>
      </w:r>
      <w:r>
        <w:rPr>
          <w:rFonts w:ascii="宋体" w:hAnsi="宋体" w:eastAsia="宋体" w:cs="宋体"/>
          <w:color w:val="000000"/>
          <w:sz w:val="24"/>
          <w:highlight w:val="none"/>
        </w:rPr>
        <w:t xml:space="preserve">（北京时间）</w:t>
      </w:r>
      <w:r>
        <w:rPr>
          <w:highlight w:val="none"/>
        </w:rPr>
      </w:r>
    </w:p>
    <w:p>
      <w:pPr>
        <w:ind w:left="0" w:right="0" w:firstLine="54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五、公告期限</w:t>
      </w:r>
      <w:r>
        <w:rPr>
          <w:highlight w:val="none"/>
        </w:rPr>
      </w:r>
    </w:p>
    <w:p>
      <w:pPr>
        <w:ind w:left="0" w:right="0" w:firstLine="488"/>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自本公告发布之日起5个工作日。</w:t>
      </w:r>
      <w:r>
        <w:rPr>
          <w:highlight w:val="none"/>
        </w:rPr>
      </w:r>
    </w:p>
    <w:p>
      <w:pPr>
        <w:ind w:left="0" w:right="0" w:firstLine="0"/>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六、其他补充事宜</w:t>
      </w:r>
      <w:r>
        <w:rPr>
          <w:highlight w:val="none"/>
        </w:rPr>
      </w:r>
    </w:p>
    <w:p>
      <w:pPr>
        <w:ind w:left="0" w:right="0" w:firstLine="480"/>
        <w:jc w:val="both"/>
        <w:spacing w:before="0" w:after="0" w:line="85" w:lineRule="atLeast"/>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1、本项目不收取投标保证金；</w:t>
      </w:r>
      <w:r>
        <w:rPr>
          <w:highlight w:val="none"/>
        </w:rPr>
      </w:r>
    </w:p>
    <w:p>
      <w:pPr>
        <w:ind w:left="0" w:right="0" w:firstLine="480"/>
        <w:jc w:val="both"/>
        <w:spacing w:before="0" w:after="0" w:line="85" w:lineRule="atLeast"/>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2、本项目支持1）.小微企业价格扣除《江苏省财政厅关于进一</w:t>
      </w:r>
      <w:r>
        <w:rPr>
          <w:rFonts w:ascii="宋体" w:hAnsi="宋体" w:eastAsia="宋体" w:cs="宋体"/>
          <w:color w:val="000000"/>
          <w:sz w:val="24"/>
          <w:highlight w:val="none"/>
          <w:u w:val="non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highlight w:val="none"/>
        </w:rPr>
      </w:r>
    </w:p>
    <w:p>
      <w:pPr>
        <w:ind w:left="0" w:right="0" w:firstLine="480"/>
        <w:jc w:val="both"/>
        <w:spacing w:before="0" w:after="0" w:line="85" w:lineRule="atLeast"/>
        <w:rPr>
          <w:rFonts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3、本项目不属于专门面向中小企业采购的项目</w:t>
      </w:r>
      <w:r>
        <w:rPr>
          <w:highlight w:val="none"/>
        </w:rPr>
      </w:r>
    </w:p>
    <w:p>
      <w:pPr>
        <w:ind w:left="0" w:right="0" w:firstLine="480"/>
        <w:jc w:val="both"/>
        <w:spacing w:before="0" w:after="0" w:line="85" w:lineRule="atLeast"/>
        <w:rPr>
          <w:rFonts w:hint="eastAsia" w:ascii="宋体" w:hAnsi="宋体" w:eastAsia="宋体" w:cs="宋体"/>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none"/>
        </w:rPr>
        <w:t xml:space="preserve">4、项目演示、样品、答辩等：</w:t>
      </w:r>
      <w:r>
        <w:rPr>
          <w:rFonts w:hint="eastAsia" w:ascii="宋体" w:hAnsi="宋体" w:eastAsia="宋体" w:cs="宋体"/>
          <w:color w:val="000000"/>
          <w:sz w:val="24"/>
          <w:highlight w:val="none"/>
          <w:u w:val="none"/>
          <w:lang w:val="en-US" w:eastAsia="zh-CN"/>
        </w:rPr>
        <w:t xml:space="preserve">无。</w:t>
      </w:r>
      <w:r>
        <w:rPr>
          <w:highlight w:val="none"/>
        </w:rP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七、对本次招标提出询问，请按以下方式联系。</w:t>
      </w:r>
      <w:r>
        <w:rPr>
          <w:highlight w:val="none"/>
        </w:rP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1.采购人信息</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称：泰兴市人民医院　</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地址：江苏省泰兴市长征路1号（泰兴市润泰南路98号）</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联系方式：0523-87919687  </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称：江苏弘业国际技术工程有限公司</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址：南京市秦淮区中华路50号弘业大厦10楼</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联系方式：025-52278761　</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项目联系人：王苏琪</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　话：18352665859 </w:t>
      </w:r>
      <w:r>
        <w:rPr>
          <w:highlight w:val="none"/>
        </w:rPr>
      </w:r>
    </w:p>
    <w:p>
      <w:pPr>
        <w:ind w:left="0" w:right="840" w:firstLine="53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highlight w:val="none"/>
        </w:rPr>
        <w:t xml:space="preserve"> </w:t>
      </w:r>
      <w:r>
        <w:rPr>
          <w:highlight w:val="none"/>
        </w:rP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第二章 投标人须知</w:t>
      </w:r>
      <w:r>
        <w:rPr>
          <w:highlight w:val="none"/>
        </w:rPr>
      </w:r>
    </w:p>
    <w:p>
      <w:pPr>
        <w:ind w:left="0" w:right="0" w:firstLine="0"/>
        <w:jc w:val="center"/>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投标人须知前附表</w:t>
      </w:r>
      <w:r>
        <w:rPr>
          <w:highlight w:val="none"/>
        </w:rP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447"/>
        <w:gridCol w:w="6290"/>
      </w:tblGrid>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内容</w:t>
            </w:r>
            <w:r>
              <w:rPr>
                <w:highlight w:val="none"/>
              </w:rP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rFonts w:hint="eastAsia"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泰兴市人民医院钬激光治疗机采购项目</w:t>
            </w:r>
            <w:r>
              <w:rPr>
                <w:highlight w:val="none"/>
              </w:rP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招标内容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详见第三章采购需求</w:t>
            </w:r>
            <w:r>
              <w:rPr>
                <w:highlight w:val="none"/>
              </w:rPr>
            </w:r>
          </w:p>
        </w:tc>
      </w:tr>
      <w:tr>
        <w:trPr>
          <w:trHeight w:val="2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供货期及供货地点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交货期：合同签订后30天内 </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本项目实施过程中涉及的产品包装及运输事宜，要严格执行《商品包装政府采购需求标准（试行）》《快递包装政府采购需求标准（试行）》（财办库〔2020〕123 号）的要求。</w:t>
            </w:r>
            <w:r>
              <w:rPr>
                <w:highlight w:val="none"/>
              </w:rP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最高投标限价</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val="en-US" w:eastAsia="zh-CN"/>
              </w:rPr>
              <w:t xml:space="preserve">200</w:t>
            </w:r>
            <w:r>
              <w:rPr>
                <w:rFonts w:ascii="宋体" w:hAnsi="宋体" w:eastAsia="宋体" w:cs="宋体"/>
                <w:color w:val="000000"/>
                <w:sz w:val="24"/>
                <w:highlight w:val="none"/>
              </w:rPr>
              <w:t xml:space="preserve">万元</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投标单位报价不得高于最高限价且投标单价不得高于清单单价，否则视为无效投标文件。</w:t>
            </w:r>
            <w:r>
              <w:rPr>
                <w:highlight w:val="none"/>
              </w:rPr>
            </w:r>
          </w:p>
        </w:tc>
      </w:tr>
      <w:tr>
        <w:trPr>
          <w:trHeight w:val="6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合格投标人资格要求</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详见招标公告</w:t>
            </w:r>
            <w:r>
              <w:rPr>
                <w:highlight w:val="none"/>
              </w:rP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联合体投标</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不接受，招标文件中有关联合体规定均不适用。</w:t>
            </w:r>
            <w:r>
              <w:rPr>
                <w:highlight w:val="none"/>
              </w:rPr>
            </w:r>
          </w:p>
          <w:p>
            <w:pPr>
              <w:numPr>
                <w:ilvl w:val="0"/>
                <w:numId w:val="1"/>
              </w:num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w:t>
            </w:r>
            <w:r>
              <w:rPr>
                <w:highlight w:val="none"/>
              </w:rP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现场勘察</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不组织，自行勘察;如投标人需自行勘察,费用自理。</w:t>
            </w:r>
            <w:r>
              <w:rPr>
                <w:highlight w:val="none"/>
              </w:rPr>
            </w:r>
          </w:p>
          <w:p>
            <w:pPr>
              <w:numPr>
                <w:ilvl w:val="0"/>
                <w:numId w:val="1"/>
              </w:num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组织，勘察时间： 年月日时</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集合地点：</w:t>
            </w:r>
            <w:r>
              <w:rPr>
                <w:highlight w:val="none"/>
              </w:rPr>
            </w:r>
          </w:p>
          <w:p>
            <w:pPr>
              <w:ind w:left="0" w:right="0" w:firstLine="97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联系人：联系电话：</w:t>
            </w:r>
            <w:r>
              <w:rPr>
                <w:highlight w:val="none"/>
              </w:rPr>
            </w:r>
          </w:p>
        </w:tc>
      </w:tr>
      <w:tr>
        <w:trPr>
          <w:trHeight w:val="10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投标答疑会</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6"/>
                <w:highlight w:val="none"/>
              </w:rPr>
              <w:t xml:space="preserve">☑</w:t>
            </w:r>
            <w:r>
              <w:rPr>
                <w:rFonts w:ascii="宋体" w:hAnsi="宋体" w:eastAsia="宋体" w:cs="宋体"/>
                <w:color w:val="000000"/>
                <w:sz w:val="24"/>
                <w:highlight w:val="none"/>
              </w:rPr>
              <w:t xml:space="preserve">不召开</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口召开，召开时间：年月日时</w:t>
            </w:r>
            <w:r>
              <w:rPr>
                <w:highlight w:val="none"/>
              </w:rPr>
            </w:r>
          </w:p>
          <w:p>
            <w:pPr>
              <w:ind w:left="0" w:right="0" w:firstLine="97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召开地点：</w:t>
            </w:r>
            <w:r>
              <w:rPr>
                <w:highlight w:val="none"/>
              </w:rP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投标货币</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人民币</w:t>
            </w:r>
            <w:r>
              <w:rPr>
                <w:highlight w:val="none"/>
              </w:rPr>
            </w:r>
          </w:p>
        </w:tc>
      </w:tr>
      <w:tr>
        <w:trPr>
          <w:trHeight w:val="7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核心产品</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0" w:after="0"/>
              <w:rPr>
                <w:rFonts w:hint="default"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钬激光治疗机</w:t>
            </w:r>
            <w:r>
              <w:rPr>
                <w:highlight w:val="none"/>
              </w:rP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投标保证金</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本项目不收取投标保证金。</w:t>
            </w:r>
            <w:r>
              <w:rPr>
                <w:highlight w:val="none"/>
              </w:rP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投标文件有效期</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90 </w:t>
            </w:r>
            <w:r>
              <w:rPr>
                <w:rFonts w:ascii="宋体" w:hAnsi="宋体" w:eastAsia="宋体" w:cs="宋体"/>
                <w:color w:val="000000"/>
                <w:sz w:val="24"/>
                <w:highlight w:val="none"/>
              </w:rPr>
              <w:t xml:space="preserve">日历天（从投标截止之日算起）</w:t>
            </w:r>
            <w:r>
              <w:rPr>
                <w:highlight w:val="none"/>
              </w:rPr>
            </w:r>
          </w:p>
        </w:tc>
      </w:tr>
      <w:tr>
        <w:trPr>
          <w:trHeight w:val="4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投标截止时间</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rFonts w:hint="default" w:eastAsia="楷体_GB231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详见招标公告</w:t>
            </w:r>
            <w:r>
              <w:rPr>
                <w:highlight w:val="none"/>
              </w:rPr>
            </w:r>
          </w:p>
        </w:tc>
      </w:tr>
      <w:tr>
        <w:trPr>
          <w:trHeight w:val="5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投标地点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 </w:t>
            </w:r>
            <w:r>
              <w:rPr>
                <w:highlight w:val="none"/>
              </w:rP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开标时间和地点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详见招标公告</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地点：江苏政府采购“苏采云”系统不见面开标大厅 </w:t>
            </w:r>
            <w:r>
              <w:rPr>
                <w:highlight w:val="none"/>
              </w:rP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评标办法</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000000"/>
                <w:sz w:val="24"/>
                <w:highlight w:val="none"/>
              </w:rPr>
              <w:t xml:space="preserve">☑</w:t>
            </w:r>
            <w:r>
              <w:rPr>
                <w:rFonts w:ascii="宋体" w:hAnsi="宋体" w:eastAsia="宋体" w:cs="宋体"/>
                <w:color w:val="000000"/>
                <w:sz w:val="24"/>
                <w:highlight w:val="none"/>
              </w:rPr>
              <w:t xml:space="preserve">综合评分法</w:t>
            </w:r>
            <w:r>
              <w:rPr>
                <w:highlight w:val="none"/>
              </w:rP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定标办法</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采购人根据评标委员会推荐的中标候选供应商顺序确定中标人。</w:t>
            </w:r>
            <w:r>
              <w:rPr>
                <w:highlight w:val="none"/>
              </w:rPr>
            </w:r>
          </w:p>
        </w:tc>
      </w:tr>
      <w:tr>
        <w:trPr>
          <w:trHeight w:val="2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6"/>
                <w:highlight w:val="none"/>
                <w:lang w:eastAsia="zh-CN"/>
              </w:rPr>
              <w:t xml:space="preserve">☑</w:t>
            </w:r>
            <w:r>
              <w:rPr>
                <w:rFonts w:ascii="宋体" w:hAnsi="宋体" w:eastAsia="宋体" w:cs="宋体"/>
                <w:color w:val="000000"/>
                <w:sz w:val="24"/>
                <w:highlight w:val="none"/>
              </w:rPr>
              <w:t xml:space="preserve">不提交，招标文件中有关履约保证金的规定均不适用</w:t>
            </w:r>
            <w:r>
              <w:rPr>
                <w:highlight w:val="none"/>
              </w:rPr>
            </w:r>
          </w:p>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6"/>
                <w:highlight w:val="none"/>
                <w:lang w:eastAsia="zh-CN"/>
              </w:rPr>
              <w:t xml:space="preserve">□</w:t>
            </w:r>
            <w:r>
              <w:rPr>
                <w:rFonts w:ascii="宋体" w:hAnsi="宋体" w:eastAsia="宋体" w:cs="宋体"/>
                <w:color w:val="000000"/>
                <w:sz w:val="24"/>
                <w:highlight w:val="none"/>
              </w:rPr>
              <w:t xml:space="preserve">提交</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rPr>
              <w:t xml:space="preserve"> </w:t>
            </w:r>
            <w:r>
              <w:rPr>
                <w:highlight w:val="none"/>
              </w:rPr>
            </w:r>
          </w:p>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形式：保证保险、保函、电汇、转账、汇票、支票、本票等非现金形式</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提交时间：收到中标通知书后签订合同前。</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退还时间：服务期满且经验收合格后无息退还。</w:t>
            </w:r>
            <w:r>
              <w:rPr>
                <w:highlight w:val="none"/>
              </w:rP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签订合同</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中标通知书发出之日起</w:t>
            </w:r>
            <w:r>
              <w:rPr>
                <w:rFonts w:ascii="宋体" w:hAnsi="宋体" w:eastAsia="宋体" w:cs="宋体"/>
                <w:color w:val="000000"/>
                <w:sz w:val="24"/>
                <w:highlight w:val="none"/>
                <w:u w:val="single"/>
              </w:rPr>
              <w:t xml:space="preserve"> 30 </w:t>
            </w:r>
            <w:r>
              <w:rPr>
                <w:rFonts w:ascii="宋体" w:hAnsi="宋体" w:eastAsia="宋体" w:cs="宋体"/>
                <w:color w:val="000000"/>
                <w:sz w:val="24"/>
                <w:highlight w:val="none"/>
              </w:rPr>
              <w:t xml:space="preserve">日内</w:t>
            </w:r>
            <w:r>
              <w:rPr>
                <w:highlight w:val="none"/>
              </w:rP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付款方式</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117" w:firstLine="0"/>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设备安装、调试、验收合格后凭验收合格报告付合同价的90%，余款2026年年底付款。</w:t>
            </w:r>
            <w:r>
              <w:rPr>
                <w:highlight w:val="none"/>
              </w:rPr>
            </w:r>
          </w:p>
        </w:tc>
      </w:tr>
      <w:tr>
        <w:trPr>
          <w:trHeight w:val="1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中标服务费</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top"/>
            <w:textDirection w:val="lrTb"/>
            <w:noWrap w:val="false"/>
          </w:tcPr>
          <w:p>
            <w:pPr>
              <w:ind w:left="0" w:right="0" w:firstLine="240"/>
              <w:jc w:val="both"/>
              <w:spacing w:before="200" w:after="20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项目采购预算仅列支标的物购置经费，无单独列支政府采购代理服务费专项经费；经采购人研究决定，本项目代理服务费由成交供应商承担，该费用全额计入供应商投标报价，不额外增收。                             </w:t>
            </w:r>
            <w:r>
              <w:rPr>
                <w:highlight w:val="none"/>
              </w:rPr>
            </w:r>
          </w:p>
          <w:p>
            <w:pPr>
              <w:ind w:left="0" w:right="0" w:firstLine="240"/>
              <w:jc w:val="both"/>
              <w:spacing w:before="200" w:after="20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采购代理服务费按照《江苏省招标代理服务收费的指导意见》（苏招协[2022]002号）收取，成交供应商应在领取中标通知书前缴纳。</w:t>
            </w:r>
            <w:r>
              <w:rPr>
                <w:highlight w:val="none"/>
              </w:rP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账户信息：</w:t>
            </w:r>
            <w:r>
              <w:rPr>
                <w:highlight w:val="none"/>
              </w:rP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户    名：江苏弘业国际技术工程有限公司</w:t>
            </w:r>
            <w:r>
              <w:rPr>
                <w:highlight w:val="none"/>
              </w:rP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开户银行：中国银行南京市中华路支行   </w:t>
            </w:r>
            <w:r>
              <w:rPr>
                <w:highlight w:val="none"/>
              </w:rPr>
            </w:r>
          </w:p>
          <w:p>
            <w:pPr>
              <w:ind w:left="0" w:right="0" w:firstLine="0"/>
              <w:jc w:val="both"/>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ab/>
            </w:r>
            <w:r>
              <w:rPr>
                <w:rFonts w:ascii="宋体" w:hAnsi="宋体" w:eastAsia="宋体" w:cs="宋体"/>
                <w:color w:val="000000"/>
                <w:sz w:val="24"/>
                <w:highlight w:val="none"/>
              </w:rPr>
              <w:t xml:space="preserve">账    号：527460884999</w:t>
            </w:r>
            <w:r>
              <w:rPr>
                <w:highlight w:val="none"/>
              </w:rP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3" w:type="dxa"/>
            <w:vAlign w:val="center"/>
            <w:textDirection w:val="lrTb"/>
            <w:noWrap w:val="false"/>
          </w:tcPr>
          <w:p>
            <w:pPr>
              <w:ind w:left="0" w:right="0" w:firstLine="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投标文件的制作要求</w:t>
            </w:r>
            <w:r>
              <w:rPr>
                <w:highlight w:val="none"/>
              </w:rPr>
            </w:r>
          </w:p>
          <w:p>
            <w:pPr>
              <w:ind w:left="0" w:right="0" w:firstLine="24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本次采购采用“苏采云”系统进行政府采购活动。</w:t>
            </w:r>
            <w:r>
              <w:rPr>
                <w:highlight w:val="none"/>
              </w:rPr>
            </w:r>
          </w:p>
          <w:p>
            <w:pPr>
              <w:ind w:left="0" w:right="0" w:firstLine="240"/>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投标人如确定参加投标，可自行下载招标文件及有关资料，按</w:t>
            </w:r>
            <w:r>
              <w:rPr>
                <w:rFonts w:ascii="宋体" w:hAnsi="宋体" w:eastAsia="宋体" w:cs="宋体"/>
                <w:color w:val="000000"/>
                <w:sz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highlight w:val="none"/>
              </w:rP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一、说明和释义</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1.说明  </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1.1本招标文件仅适用于本采购项目的招标、投标、评审、确定中标单位、验收、合同履约、付款等（法律、法规另有规定的，从其规定）。</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1.2本次招标活动及因本次招标产生的合同受中国法律制约和保护。</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1.3本招标文件的解释权属于采购人（代理机构）。</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2.词语释义</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2.1采购人：指依法进行采购的国家机关、事业单位、团体组织。</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供应商、投标人：指向采购人提供货物、工程或服务的法人、其他组织或者自然人，不包括其分公司。</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2.3采购代理机构：指依法接受采购人委托，从事货物、工程和服务等采购招标代理业务的社会中介机构。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2.4招标采购单位：采购人及采购代理机构的统称。</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2.5评标委员会：是指在招标投标和采购活动中，依法由采购人代表和有关技术、经济等方面的专家组建，负责对投标文件进行评审并提出评审意见的临时性权威机构。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2.6响应：投标人根据采购人或采购代理机构发售的招标文件，编制投标文件并按规定投标的行为。</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2.7知识产权：指专利权、商标权、著作权等无形财产专有权的统称。</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2.8天：日历天。</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2.9服务地点：合同中明确约定的乙方履行服务的最终地点。</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2.10不可抗力：不能预见、不能避免并且不能克服的客观情况。</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 实质性响应：满足有关本次采购标的、数量、质量、价款或者报酬、履行期限、履行地点和方式、违约责任和解决争议方法等要求。</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2.12书面形式：指书面文字、合同书、信件等可以有形地表现所载内容的形式。</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二、投标人</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3.合格投标人资格要求</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3.1详见投标人须知前附表规定。</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w:t>
      </w:r>
      <w:r>
        <w:rPr>
          <w:rFonts w:ascii="宋体" w:hAnsi="宋体" w:eastAsia="宋体" w:cs="宋体"/>
          <w:color w:val="000000"/>
          <w:sz w:val="24"/>
          <w:highlight w:val="none"/>
        </w:rPr>
        <w:t xml:space="preserve">投标人应在江苏政府采购“苏采云”系统（</w:t>
      </w:r>
      <w:r>
        <w:rPr>
          <w:rFonts w:hint="eastAsia" w:ascii="宋体" w:hAnsi="宋体" w:eastAsia="宋体" w:cs="宋体"/>
          <w:color w:val="000000"/>
          <w:sz w:val="24"/>
          <w:highlight w:val="none"/>
        </w:rPr>
        <w:t xml:space="preserve">https://jszfcg.jsczt.cn/jszc/login</w:t>
      </w:r>
      <w:r>
        <w:rPr>
          <w:rFonts w:ascii="宋体" w:hAnsi="宋体" w:eastAsia="宋体" w:cs="宋体"/>
          <w:color w:val="000000"/>
          <w:sz w:val="24"/>
          <w:highlight w:val="none"/>
        </w:rPr>
        <w:t xml:space="preserve">，下同）下载招标文件及有关资料，按招标文件要求提交全部资料并对招标文件各项内容做出实质性响应。</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5.投标人代表</w:t>
      </w:r>
      <w:r>
        <w:rPr>
          <w:highlight w:val="none"/>
        </w:rPr>
      </w:r>
    </w:p>
    <w:p>
      <w:pPr>
        <w:ind w:left="0" w:right="0" w:firstLine="36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5.1指全权代表投标人参加投标活动并签署投标文件的人，如果投标人代表不是法人代表，须具有《法人代表授权委托书》（详见统一格式）。</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6.不接受联合体投标。</w:t>
      </w:r>
      <w:r>
        <w:rPr>
          <w:highlight w:val="none"/>
        </w:rP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7.投标人有下列情形之一的不能参加本次投标：</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（1）因重大经济问题正在接受国家有关部门审查的；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（2）正在被其他企业兼并（或收购）或因重大经济纠纷正在进行诉讼或仲裁的；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（3）因腐败和欺诈行为而被有关部门处理的。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（4）被责令停业的； </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（5）被暂停或取消投标资格的； </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（6）财产被接管或冻结的；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（7）在最近三年内有骗取中标或严重违约或重大工程质量问题的；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（8）在投标过程中弄虚作假、行贿或有其他违法违规行为的；</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（9）违反法律法规相关规定的。</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三、招标文件说明</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8.招标文件</w:t>
      </w:r>
      <w:r>
        <w:rPr>
          <w:highlight w:val="none"/>
        </w:rPr>
      </w:r>
    </w:p>
    <w:p>
      <w:pPr>
        <w:ind w:left="0" w:right="0" w:firstLine="50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9.现场勘察 </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9.1投标人应按招标文件中所述时间对有关现场和周围环境进行勘察，以获取编制投标文件和签署合同所需的信息。勘察现场所发生的费用由投标人自己承担。</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rPr>
          <w:highlight w:val="none"/>
        </w:rPr>
      </w:r>
    </w:p>
    <w:p>
      <w:pPr>
        <w:ind w:left="0" w:right="0" w:firstLine="480"/>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采购人不组织勘察现场或答疑，各投标人可在每天9：00-11：30，14：00-17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10.招标文件的澄清和修改</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 投标人应认真阅读本招标文件，发现其中有误或有不合理要求的，投标人应当于收到招标文件之日或者招标文件公告期限届满之日后7个工作日内以书面形式要求招标人或代理机构澄清。</w:t>
      </w:r>
      <w:r>
        <w:rPr>
          <w:highlight w:val="none"/>
        </w:rP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highlight w:val="none"/>
        </w:rPr>
      </w:r>
    </w:p>
    <w:p>
      <w:pPr>
        <w:ind w:left="0" w:right="0" w:firstLine="42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10.3招标文件澄清、答复、修改、补充的内容为本文件的组成部分。当招标文件与招标文件的答复、澄清、修改、补充通知就同一内容的表述不一致时，以最后发出的文件为准。</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四、投标文件说明</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11.投标文件计量单位和使用文字</w:t>
      </w:r>
      <w:r>
        <w:rPr>
          <w:highlight w:val="none"/>
        </w:rPr>
      </w:r>
    </w:p>
    <w:p>
      <w:pPr>
        <w:ind w:left="0" w:right="0" w:firstLine="509"/>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11.1投标文件中所使用的计量单位，除招标文件中有特殊要求外，均应使用中华人民共和国法定计量单位。</w:t>
      </w:r>
      <w:r>
        <w:rPr>
          <w:highlight w:val="none"/>
        </w:rPr>
      </w:r>
    </w:p>
    <w:p>
      <w:pPr>
        <w:ind w:left="0" w:right="0" w:firstLine="509"/>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highlight w:val="none"/>
        </w:rPr>
      </w:r>
    </w:p>
    <w:p>
      <w:pPr>
        <w:ind w:left="0" w:right="0" w:firstLine="488"/>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11.3投标人应当同时凭CA数字证书登录“江苏政府采购“苏采云”系统”，并在投标截止时间前上传电子投标文件。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w:t>
      </w:r>
      <w:r>
        <w:rPr>
          <w:rFonts w:ascii="宋体" w:hAnsi="宋体" w:eastAsia="宋体" w:cs="宋体"/>
          <w:b/>
          <w:color w:val="000000"/>
          <w:sz w:val="24"/>
          <w:highlight w:val="none"/>
          <w:u w:val="none"/>
        </w:rPr>
        <w:t xml:space="preserve">2.知识产权</w:t>
      </w:r>
      <w:r>
        <w:rPr>
          <w:highlight w:val="none"/>
        </w:rPr>
      </w:r>
    </w:p>
    <w:p>
      <w:pPr>
        <w:ind w:left="0" w:right="0" w:firstLine="509"/>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13.投标文件的组成</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投标函（格式见附件）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资格、资信证明文件：</w:t>
      </w:r>
      <w:r>
        <w:rPr>
          <w:highlight w:val="none"/>
        </w:rPr>
      </w:r>
    </w:p>
    <w:p>
      <w:pPr>
        <w:numPr>
          <w:ilvl w:val="1"/>
          <w:numId w:val="2"/>
        </w:numPr>
        <w:spacing w:before="240" w:after="240" w:line="85" w:lineRule="atLeast"/>
        <w:tabs>
          <w:tab w:val="left" w:pos="360"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资格证明文件（格式见附件）</w:t>
      </w:r>
      <w:r>
        <w:rPr>
          <w:highlight w:val="none"/>
        </w:rPr>
      </w:r>
    </w:p>
    <w:p>
      <w:pPr>
        <w:numPr>
          <w:ilvl w:val="1"/>
          <w:numId w:val="2"/>
        </w:numPr>
        <w:spacing w:before="240" w:after="240" w:line="85" w:lineRule="atLeast"/>
        <w:tabs>
          <w:tab w:val="left" w:pos="360"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法人或其他组织的营业执照或相关部门的登记证明文件； </w:t>
      </w:r>
      <w:r>
        <w:rPr>
          <w:highlight w:val="none"/>
        </w:rP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rPr>
          <w:highlight w:val="none"/>
        </w:rP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具有良好的商业信誉和健全的财务会计制度（提供2025年度财务报告，至少包含资产负债表、利润表，或投标截止时间前六个月内银行出具的资信证明，成立不满一年的无须提供）； </w:t>
      </w:r>
      <w:r>
        <w:rPr>
          <w:highlight w:val="none"/>
        </w:rP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有依法缴纳税收和社会保障资金的良好记录（</w:t>
      </w:r>
      <w:r>
        <w:rPr>
          <w:rFonts w:ascii="宋体" w:hAnsi="宋体" w:eastAsia="宋体" w:cs="宋体"/>
          <w:color w:val="000000"/>
          <w:sz w:val="26"/>
          <w:highlight w:val="none"/>
        </w:rPr>
        <w:t xml:space="preserve">投标截止时间前六个月内</w:t>
      </w:r>
      <w:r>
        <w:rPr>
          <w:rFonts w:ascii="宋体" w:hAnsi="宋体" w:eastAsia="宋体" w:cs="宋体"/>
          <w:color w:val="000000"/>
          <w:sz w:val="24"/>
          <w:highlight w:val="none"/>
        </w:rPr>
        <w:t xml:space="preserve">）中任一月份的依法缴纳税收和社会保险费的相关材料（提供相关主管部门证明或银行代扣证明的复印件，根据国家相关政策免缴或迟缴的需提供相关证明材料）；</w:t>
      </w:r>
      <w:r>
        <w:rPr>
          <w:highlight w:val="none"/>
        </w:rPr>
      </w:r>
    </w:p>
    <w:p>
      <w:pPr>
        <w:numPr>
          <w:ilvl w:val="1"/>
          <w:numId w:val="2"/>
        </w:numPr>
        <w:jc w:val="both"/>
        <w:spacing w:before="0" w:after="0" w:line="85" w:lineRule="atLeast"/>
        <w:tabs>
          <w:tab w:val="left" w:pos="360" w:leader="none"/>
          <w:tab w:val="left" w:pos="945" w:leader="none"/>
          <w:tab w:val="left" w:pos="1276"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采购人要求的特定资质证明</w:t>
      </w:r>
      <w:r>
        <w:rPr>
          <w:rFonts w:hint="eastAsia" w:ascii="宋体" w:hAnsi="宋体" w:eastAsia="宋体" w:cs="宋体"/>
          <w:color w:val="000000"/>
          <w:sz w:val="24"/>
          <w:highlight w:val="none"/>
          <w:lang w:val="en-US" w:eastAsia="zh-CN"/>
        </w:rPr>
        <w:t xml:space="preserve">:</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6.1</w:t>
      </w:r>
      <w:r>
        <w:rPr>
          <w:rFonts w:ascii="宋体" w:hAnsi="宋体" w:eastAsia="宋体" w:cs="宋体"/>
          <w:color w:val="000000"/>
          <w:sz w:val="24"/>
          <w:highlight w:val="none"/>
        </w:rPr>
        <w:t xml:space="preserve">）拒绝被“信用中国”（www.creditchina.gov.cn）、“中国政府采购网”(www.ccgp.gov.cn）列入失信被执行人、重大税收违法案件当事人、政府采购严重失信行为的供应商参加投标。</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6.2</w:t>
      </w:r>
      <w:r>
        <w:rPr>
          <w:rFonts w:ascii="宋体" w:hAnsi="宋体" w:eastAsia="宋体" w:cs="宋体"/>
          <w:color w:val="000000"/>
          <w:sz w:val="24"/>
          <w:highlight w:val="none"/>
        </w:rPr>
        <w:t xml:space="preserve">）其它：</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如投标产品为医疗器械：</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.1.投标人须根据投标产品类别，提供有效的医疗器械产品注册证或产品备案凭证，投标时提供复印件加盖公章。</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.2若投标人为代理商，须根据投标产品类别，提供有效的《医疗器械经营许可证》或医疗器械经营备案凭证，投标时提供复印件加盖公章。</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6.2</w:t>
      </w:r>
      <w:r>
        <w:rPr>
          <w:rFonts w:hint="eastAsia" w:ascii="宋体" w:hAnsi="宋体" w:eastAsia="宋体" w:cs="宋体"/>
          <w:color w:val="000000"/>
          <w:sz w:val="24"/>
          <w:highlight w:val="none"/>
        </w:rPr>
        <w:t xml:space="preserve">.3.医疗器械生产企业投标本企业产品的，须提供《医疗器械生产许可证》，投标时提供复印件加盖公章。</w:t>
      </w:r>
      <w:r>
        <w:rPr>
          <w:highlight w:val="none"/>
        </w:rPr>
      </w:r>
    </w:p>
    <w:p>
      <w:pPr>
        <w:numPr>
          <w:ilvl w:val="0"/>
          <w:numId w:val="0"/>
        </w:numPr>
        <w:ind w:firstLine="480"/>
        <w:keepLines w:val="0"/>
        <w:keepNext w:val="0"/>
        <w:pageBreakBefore w:val="0"/>
        <w:spacing w:before="240" w:after="240" w:line="85" w:lineRule="atLeast"/>
        <w:widowControl w:val="off"/>
        <w:tabs>
          <w:tab w:val="left" w:pos="360" w:leader="none"/>
          <w:tab w:val="left" w:pos="1276"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6.3</w:t>
      </w:r>
      <w:r>
        <w:rPr>
          <w:rFonts w:ascii="宋体" w:hAnsi="宋体" w:eastAsia="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开标一览表（格式见附件）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投标报价明细表（格式见附件）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商务偏离表（格式见附件）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技术偏离表（格式见附件）</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评分标准中对应的其它所需证明材料（如有自行添加）</w:t>
      </w:r>
      <w:r>
        <w:rPr>
          <w:highlight w:val="none"/>
        </w:rPr>
      </w:r>
    </w:p>
    <w:p>
      <w:pPr>
        <w:numPr>
          <w:ilvl w:val="0"/>
          <w:numId w:val="2"/>
        </w:numPr>
        <w:jc w:val="both"/>
        <w:spacing w:before="0" w:after="0" w:line="85" w:lineRule="atLeast"/>
        <w:tabs>
          <w:tab w:val="left" w:pos="525" w:leader="none"/>
          <w:tab w:val="left" w:pos="630"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其它（投标人认为有必要提供的声明和文件，如有自拟并自行添加）</w:t>
      </w:r>
      <w:r>
        <w:rPr>
          <w:highlight w:val="none"/>
        </w:rPr>
      </w:r>
    </w:p>
    <w:p>
      <w:pPr>
        <w:ind w:left="0" w:right="0" w:firstLine="609"/>
        <w:jc w:val="both"/>
        <w:spacing w:before="0" w:after="0" w:line="85" w:lineRule="atLeast"/>
        <w:tabs>
          <w:tab w:val="left" w:pos="2850" w:leader="none"/>
          <w:tab w:val="left" w:pos="415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14.投标文件编制及递交要求</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14.1所有文件、往来函件均应使用</w:t>
      </w:r>
      <w:r>
        <w:rPr>
          <w:rFonts w:ascii="宋体" w:hAnsi="宋体" w:eastAsia="宋体" w:cs="宋体"/>
          <w:b/>
          <w:color w:val="000000"/>
          <w:sz w:val="24"/>
          <w:highlight w:val="none"/>
        </w:rPr>
        <w:t xml:space="preserve">简体中文</w:t>
      </w:r>
      <w:r>
        <w:rPr>
          <w:rFonts w:ascii="宋体" w:hAnsi="宋体" w:eastAsia="宋体" w:cs="宋体"/>
          <w:color w:val="000000"/>
          <w:sz w:val="24"/>
          <w:highlight w:val="none"/>
        </w:rPr>
        <w:t xml:space="preserve">（规格、型号辅助符号例外）。</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14.2投标文件由投标人按要求参考给定格式如实填写（编写），须有投标人（盖章）、法定代表人或法定代表人授权代表签字或盖章，方为有效，未尽事宜可自行补充。</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14.3如无特别说明，投标人报价一律以人民币为投标结算货币,结算单位为“元”。</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14.4投标文件不应有涂改、增删和潦草之处，如有必须修改时，修改处必须有投标人盖章、法定代表人或法定代表人授权代表的签字。</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14.5投标费用自理。</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14.6投标人应当同时凭CA数字证书登录“江苏政府采购“苏采云”系统”，并在投标截止时间前上传电子投标文件。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15.投标报价（编制）要求的说明</w:t>
      </w:r>
      <w:r>
        <w:rPr>
          <w:highlight w:val="none"/>
        </w:rPr>
      </w:r>
    </w:p>
    <w:p>
      <w:pPr>
        <w:ind w:left="0" w:right="0" w:firstLine="505"/>
        <w:jc w:val="both"/>
        <w:spacing w:before="24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highlight w:val="none"/>
        </w:rP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投标人要认真阅读清单，慎重报价。采购人不再支付报价以外的任何费用。</w:t>
      </w:r>
      <w:r>
        <w:rPr>
          <w:highlight w:val="none"/>
        </w:rP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15.2投标人应对招标文件内所要采购的全部内容进行报价，只投其中部分内容者，其标书将被拒绝。</w:t>
      </w:r>
      <w:r>
        <w:rPr>
          <w:highlight w:val="none"/>
        </w:rPr>
      </w:r>
    </w:p>
    <w:p>
      <w:pPr>
        <w:ind w:left="0" w:right="0" w:firstLine="505"/>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15.3一项投标内容只允许一个报价，招标采购单位不接受任何有选择性的投标报价。</w:t>
      </w:r>
      <w:r>
        <w:rPr>
          <w:highlight w:val="none"/>
        </w:rPr>
      </w:r>
    </w:p>
    <w:p>
      <w:pPr>
        <w:ind w:left="0" w:right="0" w:firstLine="502"/>
        <w:jc w:val="both"/>
        <w:spacing w:beforeAutospacing="0" w:afterAutospacing="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15.4投标文件报价中的单价和总价全部采用人民币表示，除非合同的特殊条款另有规定。</w:t>
      </w:r>
      <w:r>
        <w:rPr>
          <w:highlight w:val="none"/>
        </w:rPr>
      </w:r>
    </w:p>
    <w:p>
      <w:pPr>
        <w:ind w:left="0" w:right="0" w:firstLine="0"/>
        <w:jc w:val="both"/>
        <w:spacing w:beforeAutospacing="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16.投标保证金</w:t>
      </w:r>
      <w:r>
        <w:rPr>
          <w:highlight w:val="none"/>
        </w:rPr>
      </w:r>
    </w:p>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本项目不收取投标保证金。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17.投标文件的有效期</w:t>
      </w:r>
      <w:r>
        <w:rPr>
          <w:highlight w:val="none"/>
        </w:rP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17.1在本招标文件前附表规定的投标文件有效期内，投标人所提交的投标文件应保持有效。有效期短于这个规定期限的投标文件，将被认定为未实质性响应招标文件要求。</w:t>
      </w:r>
      <w:r>
        <w:rPr>
          <w:highlight w:val="none"/>
        </w:rP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18.投标文件的拒收</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采购人拒绝接收在其规定的投标截止时间后上传的任何投标文件。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五、投标文件的递交</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19.投标文件的递交</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19.1电子投标文件的递交</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投标人应当按照《江苏省政府采购管理交易系统（苏采云）供应商操作手册及政府采购客户端》规定，在投标截止时间前制作并上传电子投标文件。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20.投标截止日期</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20.2采购人可以按照规定，通过修改招标文件酌情延长投标截止日期，在此情况下，投标人的所有权利和义务以及投标人受制的截止日期均应以延长后新的截止日期为准。</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21.投标文件的修改和撤回</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21.1投标文件的撤回</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投标人可在投标截止时间前，撤回其电子投标文件，具体操作方法见《江苏省政府采购管理交易系统（苏采云）供应商操作手册及政府采购客户端》。</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 投标文件的修改</w:t>
      </w:r>
      <w:r>
        <w:rPr>
          <w:highlight w:val="none"/>
        </w:rPr>
      </w:r>
    </w:p>
    <w:p>
      <w:pPr>
        <w:ind w:left="0" w:right="0" w:firstLine="426"/>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投标人可在投标截止时间前，对其电子投标文件进行修改，具体操作方法见《江苏省政府采购管理交易系统（苏采云）供应商操作手册及政府采购客户端》。</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21.3在投标截止时间之后，投标人不得对其电子投标文件作任何修改。</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六、开标和评标</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22.开标</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22.1采购人将在招标公告中规定的时间和地点组织公开开标。投标人应当按照《江苏省政府采购管理交易系统（苏采云）供应商操作手册及政府采购客户端》规定，参加开标活动。</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22.2开标仪式由采购代理机构组织。“江苏政府采购“苏采云”系统”将自动对项目进行开标，并宣读各投标人的《开标一览表》。</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22.5开标时，投标文件中开标一览表内容与投标文件中明细表内容不一致的，以开标一览表为准。</w:t>
      </w:r>
      <w:r>
        <w:rPr>
          <w:highlight w:val="none"/>
        </w:rPr>
      </w:r>
    </w:p>
    <w:p>
      <w:pPr>
        <w:ind w:left="0" w:right="0" w:firstLine="480"/>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highlight w:val="none"/>
        </w:rPr>
      </w:r>
    </w:p>
    <w:p>
      <w:pPr>
        <w:ind w:left="0" w:right="0" w:firstLine="488"/>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22.6投标人未参加开标的，视同认可开标结果。</w:t>
      </w:r>
      <w:r>
        <w:rPr>
          <w:highlight w:val="none"/>
        </w:rPr>
      </w:r>
    </w:p>
    <w:p>
      <w:pPr>
        <w:ind w:left="0" w:right="0" w:firstLine="0"/>
        <w:jc w:val="both"/>
        <w:spacing w:before="0" w:after="0" w:line="85" w:lineRule="atLeast"/>
        <w:tabs>
          <w:tab w:val="left" w:pos="447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23.评标委员会</w:t>
      </w:r>
      <w:r>
        <w:rPr>
          <w:rFonts w:ascii="宋体" w:hAnsi="宋体" w:eastAsia="宋体" w:cs="宋体"/>
          <w:b/>
          <w:color w:val="000000"/>
          <w:sz w:val="24"/>
          <w:highlight w:val="none"/>
        </w:rPr>
        <w:tab/>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23.1评标委员会由招标采购单位依法组建，负责本项目的评标事务。</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23.2评标委员会独立履行下列职责：</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23.2.1审查投标文件是否符合招标文件的要求，并作出评价；</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23.2.2可以要求投标供应商对投标文件有关事项作出解释或澄清；</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23.2.3推荐中标候选供应商名单，或者受采购人委托按照事先确定的办法直接确定中标供应商；</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23.2.4向招标采购单位或者有关部门报告非法干预评标工作的行为。</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23.3评标委员会成员应当履行下列义务：</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23.3.1遵纪守法，客观、公正、廉洁地履行职责；</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23.3.2按照招标文件规定的评标办法和评标标准进行评标，对评审意见承担个人责任；</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23.3.3对评标过程和结果，以及投标人的商业秘密保密；</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23.3.4参与评标报告的起草；</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23.3.5配合相关部门的投诉处理工作；</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23.3.6配合招标采购单位答复投标供应商提出的质疑。</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24.评标内容的保密</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24.1公开开标后，直到宣布授予中标人合同为止，凡属于审查、澄清、评价和比较投标的所有资料，有关授予合同的信息都不应向投标人或与评标无关的其他人泄露。</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 在投标文件的审查、澄清、评价和比较以及授予合同的过程中，投标人对招标采购单位和评标委员会成员施加影响的任何行为，都将取消其投标资格。</w:t>
      </w:r>
      <w:r>
        <w:rPr>
          <w:highlight w:val="none"/>
        </w:rPr>
      </w:r>
    </w:p>
    <w:p>
      <w:pPr>
        <w:ind w:left="0" w:right="0" w:firstLine="426"/>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24.3在评标期间，招标采购单位将通过指定联络人与投标人进行联系。</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25.对投标文件初审</w:t>
      </w:r>
      <w:r>
        <w:rPr>
          <w:highlight w:val="none"/>
        </w:rPr>
      </w:r>
    </w:p>
    <w:p>
      <w:pPr>
        <w:ind w:left="0" w:right="0" w:firstLine="48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25.1投标文件初审分为资格性检查和符合性检查。</w:t>
      </w:r>
      <w:r>
        <w:rPr>
          <w:highlight w:val="none"/>
        </w:rPr>
      </w:r>
    </w:p>
    <w:p>
      <w:pPr>
        <w:ind w:left="0" w:right="0" w:firstLine="48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25.1.1资格性检查。依据法律法规和招标文件的规定，对投标文件中的资格证明、投标保证金等进行审查，以确定投标供应商是否具备投标资格。</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25.1.2符合性检查。依据招标文件的规定，从投标文件的有效性、完整性和对招标文件的响应程度进行审查，以确定是否对招标文件的实质性要求作出响应。</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投标人有下列情况之一者，投标文件无效：</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1）投标人未在规定时间内成功解密电子投标文件的；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2）投标人未按照招标文件要求上传电子投标文件的；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3）投标文件未按照招标文件要求加盖电子签章；</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4）招标人的法定代表人授权代表，无法定代表人授权委托书的；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5）不具备招标文件中规定的资格要求或未按招标文件规定的要求提供资格、资信证明文件的；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6）被“信用中国”网站（www.creditchina.gov.cn）列入失信执行人、重大税收违法案件当事人名单、中国政府采购网(www.ccgp.gov.cn)政府采购严重违法失信行为记录名单的；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7）投标文件未按招标文件规定的内容和要求填写的；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8）投标文件中有招标文件未允许提供的选择性内容；</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9）不同投标人的投标文件由同一单位或者个人编制的；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10）不同投标人委托同一单位或者个人办理投标事宜的；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11）不同投标人的投标文件载明的项目管理成员为同一人的；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12）不同投标人的投标文件异常一致或者投标报价呈规律性差异的；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13）不同投标人的单位负责人为同一人或者存在直接控股、管理关系的；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14）项目（标段）投标总价或单价超过本项目（标段）预算或最高限价的；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15）提供虚假材料的（包括工商营业执照、财务报表、资格证明文件等）；</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16）投标文件含有采购人不能接受的附加条件的；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18）除单一来源采购项目外，为采购项目提供整体设计、规范编制或者项目管理、监理、检测等服务的；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19）投标文件内容不全或不符合招标文件中规定的其它实质性要求的；</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20）法律法规和招标文件规定的其它无效情形；</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21）改变招标文件清单给出的名称、实施范围、工作内容、计量单位、工程量、养护标准等。</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25.5招标采购单位对投标文件的判定，只依据投标内容本身，不依靠开标后的任何外来证明。</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25.6招标采购单位将拒绝被确定为非实质性响应的投标，投标人不能通过修正或撤销不符之处而使其投标成为实质性响应的投标。</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26.投标的澄清</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26.1对投标文件中含义不明确</w:t>
      </w:r>
      <w:r>
        <w:rPr>
          <w:rFonts w:ascii="宋体" w:hAnsi="宋体" w:eastAsia="宋体" w:cs="宋体"/>
          <w:color w:val="000000"/>
          <w:sz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27.废标</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 在招标采购中，出现下列情形之一的，应予废标：</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1．符合专业条件的投标人或者对招标文件作出实质性响应的投标人不足三家；</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2．出现影响采购公正的违法、违规行为；</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3．投标人的报价均超过采购预算，采购人不能支付的；</w:t>
      </w:r>
      <w:r>
        <w:rPr>
          <w:highlight w:val="none"/>
        </w:rPr>
      </w:r>
    </w:p>
    <w:p>
      <w:pPr>
        <w:ind w:left="0" w:right="0" w:firstLine="57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4．因重大变故，采购任务取消。</w:t>
      </w:r>
      <w:r>
        <w:rPr>
          <w:highlight w:val="none"/>
        </w:rPr>
      </w:r>
    </w:p>
    <w:p>
      <w:pPr>
        <w:ind w:left="485" w:right="0" w:firstLine="85"/>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5．因“江苏政府采购“苏采云”系统”系统重大故障原因无法继续开评标的。</w:t>
      </w:r>
      <w:r>
        <w:rPr>
          <w:highlight w:val="none"/>
        </w:rP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6.评审过程中出现下列情形之一的，评审委员会应当启动异常低价投标(响应)审查程序:</w:t>
      </w:r>
      <w:r>
        <w:rPr>
          <w:highlight w:val="none"/>
        </w:rP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(1)投标(响应)报价低于采购项目预算50%的，即投标(响应)报价&lt;采购项目预算x50%;</w:t>
      </w:r>
      <w:r>
        <w:rPr>
          <w:highlight w:val="none"/>
        </w:rP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(2)投标(响应)报价低于采购项目最高限价45%的，即投标(响应)报价&lt;采购项目最高限价x45%:</w:t>
      </w:r>
      <w:r>
        <w:rPr>
          <w:highlight w:val="none"/>
        </w:rPr>
      </w:r>
    </w:p>
    <w:p>
      <w:pPr>
        <w:ind w:left="485" w:right="0" w:firstLine="8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(3)评审委员会认定的供应商报价过低、有可能影响产品质量或者不能诚信履约的其他情形。</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28.投标文件的评价和比较</w:t>
      </w:r>
      <w:r>
        <w:rPr>
          <w:highlight w:val="none"/>
        </w:rPr>
      </w:r>
    </w:p>
    <w:p>
      <w:pPr>
        <w:ind w:left="0" w:right="0" w:firstLine="609"/>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28.1评标委员会按招标文件规定的评标方法和标准，对符合性检查合格的投标文件进行商务和技术评估，综合比较与评价。</w:t>
      </w:r>
      <w:r>
        <w:rPr>
          <w:highlight w:val="none"/>
        </w:rPr>
      </w:r>
    </w:p>
    <w:p>
      <w:pPr>
        <w:ind w:left="0" w:right="0" w:firstLine="609"/>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28.2最低的投标报价或最高的折扣比例是中标的重要条件，但不是唯一条件。</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七、授予合同</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29.中标人的确认</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29.1评标委员会按招标文件规定的评标方法和标准进行详细评审后，按招标采购单位的委托向招标采购单位推荐中标候选单位或根据采购人授权直接确定中标供应商。</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29.2中标无效的确认：</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（1）提供虚假材料谋取中标的；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（2）采取不正当手段诋毁、排挤其他投标人的；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（3）与招标采购单位、其他投标人恶意串通的；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（4）向招标采购单位行贿或者提供其他不正当利益的；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（5）在招标过程中与招标采购单位进行协商谈判、不按照招标文件和中标供应商的投标文件订立合同，或者与采购人另行订立背离合同实质性内容的协议的；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（6）拒绝有关部门监督检查或者提供虚假情况的。</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29.3经评标委员</w:t>
      </w:r>
      <w:r>
        <w:rPr>
          <w:rFonts w:ascii="宋体" w:hAnsi="宋体" w:eastAsia="宋体" w:cs="宋体"/>
          <w:color w:val="000000"/>
          <w:sz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29.6本项目只接收以纸质原件形式送达的质疑，联系方式详见招标公告。</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29.7以下情形的质疑不予受理</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（1）质疑主体和内容不符合《政府采购质疑和投诉办法》第十一条、第十二条规定的；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（2）供应商超过法定质疑期提出质疑的；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（3）供应商以传真、电子邮件等方式递交的非原件形式的；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（4）供应商组成联合体参加投标（响应）的，联合体中任何一方或多方未按要求签字、盖章、加盖公章的；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（5）供应商对自身提出质疑的。</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29.8供应商提出书面质疑必须有理、有据，不得捏造事实、提供虚假材料进行恶意质疑。否则，报请政府采购监管部门对该供应商进行相应的行政处罚和记录该供应商的失信信息。</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30.合同授予标准</w:t>
      </w:r>
      <w:r>
        <w:rPr>
          <w:highlight w:val="none"/>
        </w:rPr>
      </w:r>
    </w:p>
    <w:p>
      <w:pPr>
        <w:ind w:left="0" w:right="0" w:firstLine="50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30.1招标采购单位将把合同授予其投标文件在实质上响应招标文件要求且综合评分得分最高的投标人。</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31.中标通知书</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31.2中标通知书将成为合同的组成部分。</w:t>
      </w:r>
      <w:r>
        <w:rPr>
          <w:highlight w:val="none"/>
        </w:rPr>
      </w:r>
    </w:p>
    <w:p>
      <w:pPr>
        <w:ind w:left="0" w:right="0" w:firstLine="502"/>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31.3招标采购单位对未中标供应商不承担解释未中标原因的义务。</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32.履约保证金</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32.1中标人应按规定提交履约保证金，履约保证金的金额为中标金额的6%。</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32.2中标人必须在合同签订前按规定将履约保证金交至采购人指定账户。中标人未按上述要求提交履约保证金的,采购人可取消其中标资格。</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32.3履约保证金（无息）将在合同期结束且经双方验收合格后，采购人凭中标人的收款收据无息退返给中标单位。</w:t>
      </w:r>
      <w:r>
        <w:rPr>
          <w:highlight w:val="none"/>
        </w:rPr>
      </w:r>
    </w:p>
    <w:p>
      <w:pPr>
        <w:ind w:left="0" w:right="0" w:firstLine="478"/>
        <w:jc w:val="both"/>
        <w:spacing w:before="0" w:after="0" w:line="85"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32.3履约保证金用以约束供应商在合同履行中的行为，弥补合同执行中由于自身行为可能给采购人带来的各种损失。</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33.合同的签订</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33.1中标人应按中标通知书中规定的时间和地点，由法定代表人或委托代理人与采购人代表签订合同。</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33.2签订合同及合同条款应以招标文件和中标人的投标文件及其澄清文件为依据。</w:t>
      </w:r>
      <w:r>
        <w:rPr>
          <w:highlight w:val="none"/>
        </w:rPr>
      </w:r>
    </w:p>
    <w:p>
      <w:pPr>
        <w:ind w:left="0" w:right="0" w:firstLine="431"/>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33.3中标人无正当理由拒签合同的，或在签订合同时向采购人提出附加条件或者更改合同实质性内容的，采购人可取消其中标资格，同时由中标人承担相应的法律责任。</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34.特别提醒</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34.1投标单位如有提供不实评审材料，弄虚作假者，一律作废标处理，该不良行为将予以公示。</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34.3政府采购线上合同信用融资功能告知提醒</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我区已正式启用“苏采云”系统，目前已全面开通政府采购线上合同信用融资（以下简称“政采贷”）功能。成交供应商可凭政府采购合同在中征平台发起贷款申请贷款。</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34.3.1.“政采贷”业务流程</w:t>
      </w:r>
      <w:r>
        <w:rPr>
          <w:highlight w:val="none"/>
        </w:rPr>
      </w:r>
    </w:p>
    <w:p>
      <w:pPr>
        <w:ind w:left="0" w:right="0" w:firstLine="431"/>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4"/>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4" o:title=""/>
              </v:shape>
            </w:pict>
          </mc:Fallback>
        </mc:AlternateContent>
      </w:r>
      <w:r>
        <w:rPr>
          <w:rFonts w:ascii="宋体" w:hAnsi="宋体" w:eastAsia="宋体" w:cs="宋体"/>
          <w:color w:val="000000"/>
          <w:sz w:val="24"/>
          <w:highlight w:val="none"/>
        </w:rPr>
        <w:t xml:space="preserve"> </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34.3.2.操作流程</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34.3.3.常见问题</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Q1：哪些企业能申请“政采贷”？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答：江苏省内采用国库集中支付的政府采购项目的中标供应商，可凭政府采购合同申请"政采贷"。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Q2：供应商在哪里申请“政采贷”？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答：中标供应商在“中征应收账款融资服务平台”（简称“中征平台”）上向意向银行发起融资申请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Q3：中标供应商要注意什么？</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答：中标供应商要加强和采购单位的沟通协调，尽早确定融资需求。需要“政采贷”融资的，政府采购合同付款账号应当空置。</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Q4：采购单位要做什么？</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Q5：“政采贷”融资失败怎么办？</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34.3.4.网址及联系方式</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政采贷：http://www.ccgp-jiangsu.gov.cn/jiangsu/paying.html</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中征平台：https://www.crcrfsp.com/</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联系人：翟先生联系电话：0523-88816349</w:t>
      </w:r>
      <w:r>
        <w:rPr>
          <w:highlight w:val="none"/>
        </w:rPr>
      </w:r>
    </w:p>
    <w:p>
      <w:pPr>
        <w:numPr>
          <w:ilvl w:val="0"/>
          <w:numId w:val="3"/>
        </w:numPr>
        <w:jc w:val="both"/>
        <w:spacing w:before="240" w:after="240" w:line="85" w:lineRule="atLeast"/>
        <w:tabs>
          <w:tab w:val="left" w:pos="312"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货物（包含与货物相关的服务）的追加</w:t>
      </w:r>
      <w:r>
        <w:rPr>
          <w:highlight w:val="none"/>
        </w:rPr>
      </w:r>
    </w:p>
    <w:p>
      <w:pPr>
        <w:ind w:left="0" w:right="0" w:firstLine="431"/>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第三章 采购需求</w:t>
      </w:r>
      <w:r>
        <w:rPr>
          <w:highlight w:val="none"/>
        </w:rPr>
      </w:r>
    </w:p>
    <w:p>
      <w:pPr>
        <w:pStyle w:val="75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一</w:t>
      </w:r>
      <w:r>
        <w:rPr>
          <w:rFonts w:hint="default"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技术参数</w:t>
      </w:r>
      <w:r>
        <w:rPr>
          <w:rFonts w:hint="eastAsia" w:ascii="宋体" w:hAnsi="宋体" w:eastAsia="宋体" w:cs="宋体"/>
          <w:bCs/>
          <w:sz w:val="24"/>
          <w:szCs w:val="24"/>
          <w:highlight w:val="none"/>
        </w:rPr>
        <w:t xml:space="preserve">：</w:t>
      </w:r>
      <w:r>
        <w:rPr>
          <w:highlight w:val="none"/>
        </w:rP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default" w:ascii="宋体" w:hAnsi="宋体" w:eastAsia="宋体" w:cs="宋体"/>
          <w:bCs/>
          <w:sz w:val="24"/>
          <w:szCs w:val="24"/>
          <w:highlight w:val="none"/>
          <w:lang w:val="en-US" w:eastAsia="zh-CN"/>
        </w:rPr>
        <w:t xml:space="preserve">适用范围：</w:t>
      </w:r>
      <w:r>
        <w:rPr>
          <w:rFonts w:hint="eastAsia" w:ascii="宋体" w:hAnsi="宋体" w:eastAsia="宋体" w:cs="宋体"/>
          <w:bCs/>
          <w:sz w:val="24"/>
          <w:szCs w:val="24"/>
          <w:highlight w:val="none"/>
          <w:lang w:val="en-US" w:eastAsia="zh-CN"/>
        </w:rPr>
        <w:t xml:space="preserve">设备</w:t>
      </w:r>
      <w:r>
        <w:rPr>
          <w:rFonts w:hint="default" w:ascii="宋体" w:hAnsi="宋体" w:eastAsia="宋体" w:cs="宋体"/>
          <w:bCs/>
          <w:sz w:val="24"/>
          <w:szCs w:val="24"/>
          <w:highlight w:val="none"/>
          <w:lang w:val="en-US" w:eastAsia="zh-CN"/>
        </w:rPr>
        <w:t xml:space="preserve">用于泌尿系碎石，泌尿系前列腺增生疾病的治疗。</w:t>
      </w:r>
      <w:r>
        <w:rPr>
          <w:highlight w:val="none"/>
        </w:rP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2</w:t>
      </w:r>
      <w:r>
        <w:rPr>
          <w:rFonts w:hint="default" w:ascii="宋体" w:hAnsi="宋体" w:eastAsia="宋体" w:cs="宋体"/>
          <w:bCs/>
          <w:sz w:val="24"/>
          <w:szCs w:val="24"/>
          <w:highlight w:val="none"/>
          <w:lang w:val="en-US" w:eastAsia="zh-CN"/>
        </w:rPr>
        <w:t xml:space="preserve">、工作激光输出波长：指示光波长除外，激光治疗机有</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1种激光输出波长</w:t>
      </w:r>
      <w:r>
        <w:rPr>
          <w:rFonts w:hint="eastAsia" w:ascii="宋体" w:hAnsi="宋体" w:eastAsia="宋体" w:cs="宋体"/>
          <w:bCs/>
          <w:sz w:val="24"/>
          <w:szCs w:val="24"/>
          <w:highlight w:val="none"/>
          <w:lang w:val="en-US" w:eastAsia="zh-CN"/>
        </w:rPr>
        <w:t xml:space="preserve">。</w:t>
      </w:r>
      <w:r>
        <w:rPr>
          <w:rFonts w:hint="default" w:ascii="宋体" w:hAnsi="宋体" w:eastAsia="宋体" w:cs="宋体"/>
          <w:b/>
          <w:bCs w:val="0"/>
          <w:sz w:val="24"/>
          <w:szCs w:val="24"/>
          <w:highlight w:val="none"/>
          <w:lang w:val="en-US" w:eastAsia="zh-CN"/>
        </w:rPr>
        <w:t xml:space="preserve">（提供相关证明材料）</w:t>
      </w:r>
      <w:r>
        <w:rPr>
          <w:highlight w:val="none"/>
        </w:rPr>
      </w:r>
    </w:p>
    <w:p>
      <w:pPr>
        <w:pStyle w:val="754"/>
        <w:spacing w:line="360" w:lineRule="auto"/>
        <w:rPr>
          <w:rFonts w:hint="default"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3</w:t>
      </w:r>
      <w:r>
        <w:rPr>
          <w:rFonts w:hint="default" w:ascii="宋体" w:hAnsi="宋体" w:eastAsia="宋体" w:cs="宋体"/>
          <w:bCs/>
          <w:sz w:val="24"/>
          <w:szCs w:val="24"/>
          <w:highlight w:val="none"/>
          <w:lang w:val="en-US" w:eastAsia="zh-CN"/>
        </w:rPr>
        <w:t xml:space="preserve">、激光输出方式：一台激光治疗机中具有二个</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2100nm波长的激光输出（指示光波长除外），激光工作中激光能量在同一根光纤输出，手术中无需更换激光治疗机以及光纤，节约手术时间。</w:t>
      </w:r>
      <w:r>
        <w:rPr>
          <w:rFonts w:hint="eastAsia" w:ascii="宋体" w:hAnsi="宋体" w:eastAsia="宋体" w:cs="宋体"/>
          <w:b/>
          <w:bCs w:val="0"/>
          <w:sz w:val="24"/>
          <w:szCs w:val="24"/>
          <w:highlight w:val="none"/>
          <w:lang w:val="en-US" w:eastAsia="zh-CN"/>
        </w:rPr>
        <w:t xml:space="preserve">（提供相关证明材料）</w:t>
      </w:r>
      <w:r>
        <w:rPr>
          <w:highlight w:val="none"/>
        </w:rP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default" w:ascii="宋体" w:hAnsi="宋体" w:eastAsia="宋体" w:cs="宋体"/>
          <w:bCs/>
          <w:sz w:val="24"/>
          <w:szCs w:val="24"/>
          <w:highlight w:val="none"/>
          <w:lang w:val="en-US" w:eastAsia="zh-CN"/>
        </w:rPr>
        <w:t xml:space="preserve">、激光器数字电源数量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1台。</w:t>
      </w:r>
      <w:r>
        <w:rPr>
          <w:highlight w:val="none"/>
        </w:rP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5</w:t>
      </w:r>
      <w:r>
        <w:rPr>
          <w:rFonts w:hint="default" w:ascii="宋体" w:hAnsi="宋体" w:eastAsia="宋体" w:cs="宋体"/>
          <w:bCs/>
          <w:sz w:val="24"/>
          <w:szCs w:val="24"/>
          <w:highlight w:val="none"/>
          <w:lang w:val="en-US" w:eastAsia="zh-CN"/>
        </w:rPr>
        <w:t xml:space="preserve">、激光器输出方式：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三核输出技术，实际装配激光棒数量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3根。</w:t>
      </w:r>
      <w:r>
        <w:rPr>
          <w:rFonts w:hint="eastAsia" w:ascii="宋体" w:hAnsi="宋体" w:eastAsia="宋体" w:cs="宋体"/>
          <w:b/>
          <w:bCs w:val="0"/>
          <w:sz w:val="24"/>
          <w:szCs w:val="24"/>
          <w:highlight w:val="none"/>
          <w:lang w:val="en-US" w:eastAsia="zh-CN"/>
        </w:rPr>
        <w:t xml:space="preserve">（提供相关证明材料）</w:t>
      </w:r>
      <w:r>
        <w:rPr>
          <w:highlight w:val="none"/>
        </w:rPr>
      </w:r>
    </w:p>
    <w:p>
      <w:pPr>
        <w:pStyle w:val="75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★6.钬激光终端最大平均输出功率：≥100W</w:t>
      </w:r>
      <w:r>
        <w:rPr>
          <w:rFonts w:hint="eastAsia" w:ascii="宋体" w:hAnsi="宋体" w:eastAsia="宋体" w:cs="宋体"/>
          <w:b/>
          <w:bCs w:val="0"/>
          <w:sz w:val="24"/>
          <w:szCs w:val="24"/>
          <w:highlight w:val="none"/>
          <w:lang w:val="en-US" w:eastAsia="zh-CN"/>
        </w:rPr>
        <w:t xml:space="preserve">（以医疗器械注册证载明的终端最大平均输出功率为准</w:t>
      </w:r>
      <w:r>
        <w:rPr>
          <w:rFonts w:hint="eastAsia" w:ascii="宋体" w:hAnsi="宋体" w:eastAsia="宋体" w:cs="宋体"/>
          <w:b/>
          <w:bCs w:val="0"/>
          <w:sz w:val="24"/>
          <w:szCs w:val="24"/>
          <w:highlight w:val="none"/>
          <w:lang w:val="en-US" w:eastAsia="zh-CN"/>
        </w:rPr>
        <w:t xml:space="preserve">并非能量误差功率并</w:t>
      </w:r>
      <w:r>
        <w:rPr>
          <w:rFonts w:hint="eastAsia" w:ascii="宋体" w:hAnsi="宋体" w:eastAsia="宋体" w:cs="宋体"/>
          <w:b/>
          <w:bCs w:val="0"/>
          <w:sz w:val="24"/>
          <w:szCs w:val="24"/>
          <w:highlight w:val="none"/>
          <w:lang w:val="en-US" w:eastAsia="zh-CN"/>
        </w:rPr>
        <w:t xml:space="preserve">提供设备操控屏实拍图片实际可设置最大平均输出功率）</w:t>
      </w:r>
      <w:r>
        <w:rPr>
          <w:rFonts w:hint="eastAsia" w:ascii="宋体" w:hAnsi="宋体" w:eastAsia="宋体" w:cs="宋体"/>
          <w:bCs/>
          <w:sz w:val="24"/>
          <w:szCs w:val="24"/>
          <w:highlight w:val="none"/>
          <w:lang w:val="en-US" w:eastAsia="zh-CN"/>
        </w:rPr>
        <w:t xml:space="preserve">                            </w:t>
      </w:r>
      <w:r>
        <w:rPr>
          <w:highlight w:val="none"/>
        </w:rP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7.激光终端</w:t>
      </w:r>
      <w:r>
        <w:rPr>
          <w:rFonts w:hint="default" w:ascii="宋体" w:hAnsi="宋体" w:eastAsia="宋体" w:cs="宋体"/>
          <w:bCs/>
          <w:sz w:val="24"/>
          <w:szCs w:val="24"/>
          <w:highlight w:val="none"/>
          <w:lang w:val="en-US" w:eastAsia="zh-CN"/>
        </w:rPr>
        <w:t xml:space="preserve">最大单脉冲能量：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5.0J 可调。</w:t>
      </w:r>
      <w:r>
        <w:rPr>
          <w:rFonts w:hint="eastAsia" w:ascii="宋体" w:hAnsi="宋体" w:eastAsia="宋体" w:cs="宋体"/>
          <w:b/>
          <w:bCs w:val="0"/>
          <w:sz w:val="24"/>
          <w:szCs w:val="24"/>
          <w:highlight w:val="none"/>
          <w:lang w:val="en-US" w:eastAsia="zh-CN"/>
        </w:rPr>
        <w:t xml:space="preserve">（</w:t>
      </w:r>
      <w:r>
        <w:rPr>
          <w:rFonts w:hint="default" w:ascii="宋体" w:hAnsi="宋体" w:eastAsia="宋体" w:cs="宋体"/>
          <w:b/>
          <w:bCs w:val="0"/>
          <w:sz w:val="24"/>
          <w:szCs w:val="24"/>
          <w:highlight w:val="none"/>
          <w:lang w:val="en-US" w:eastAsia="zh-CN"/>
        </w:rPr>
        <w:t xml:space="preserve">提供设备操控屏截屏</w:t>
      </w:r>
      <w:r>
        <w:rPr>
          <w:rFonts w:hint="eastAsia" w:ascii="宋体" w:hAnsi="宋体" w:eastAsia="宋体" w:cs="宋体"/>
          <w:b/>
          <w:bCs w:val="0"/>
          <w:sz w:val="24"/>
          <w:szCs w:val="24"/>
          <w:highlight w:val="none"/>
          <w:lang w:val="en-US" w:eastAsia="zh-CN"/>
        </w:rPr>
        <w:t xml:space="preserve">）</w:t>
      </w:r>
      <w:r>
        <w:rPr>
          <w:highlight w:val="none"/>
        </w:rP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8.激光脉冲重复</w:t>
      </w:r>
      <w:r>
        <w:rPr>
          <w:rFonts w:hint="default" w:ascii="宋体" w:hAnsi="宋体" w:eastAsia="宋体" w:cs="宋体"/>
          <w:bCs/>
          <w:sz w:val="24"/>
          <w:szCs w:val="24"/>
          <w:highlight w:val="none"/>
          <w:lang w:val="en-US" w:eastAsia="zh-CN"/>
        </w:rPr>
        <w:t xml:space="preserve">频率：</w:t>
      </w:r>
      <w:r>
        <w:rPr>
          <w:rFonts w:hint="eastAsia" w:ascii="宋体" w:hAnsi="宋体" w:eastAsia="宋体" w:cs="宋体"/>
          <w:bCs/>
          <w:sz w:val="24"/>
          <w:szCs w:val="24"/>
          <w:highlight w:val="none"/>
          <w:lang w:val="en-US" w:eastAsia="zh-CN"/>
        </w:rPr>
        <w:t xml:space="preserve">≥6</w:t>
      </w:r>
      <w:r>
        <w:rPr>
          <w:rFonts w:hint="default" w:ascii="宋体" w:hAnsi="宋体" w:eastAsia="宋体" w:cs="宋体"/>
          <w:bCs/>
          <w:sz w:val="24"/>
          <w:szCs w:val="24"/>
          <w:highlight w:val="none"/>
          <w:lang w:val="en-US" w:eastAsia="zh-CN"/>
        </w:rPr>
        <w:t xml:space="preserve">0 Hz，可调。</w:t>
      </w:r>
      <w:r>
        <w:rPr>
          <w:rFonts w:hint="default" w:ascii="宋体" w:hAnsi="宋体" w:eastAsia="宋体" w:cs="宋体"/>
          <w:b/>
          <w:bCs w:val="0"/>
          <w:sz w:val="24"/>
          <w:szCs w:val="24"/>
          <w:highlight w:val="none"/>
          <w:lang w:val="en-US" w:eastAsia="zh-CN"/>
        </w:rPr>
        <w:t xml:space="preserve">（提供设备操控屏截屏）</w:t>
      </w:r>
      <w:r>
        <w:rPr>
          <w:highlight w:val="none"/>
        </w:rP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9、</w:t>
      </w:r>
      <w:r>
        <w:rPr>
          <w:rFonts w:hint="default" w:ascii="宋体" w:hAnsi="宋体" w:eastAsia="宋体" w:cs="宋体"/>
          <w:bCs/>
          <w:sz w:val="24"/>
          <w:szCs w:val="24"/>
          <w:highlight w:val="none"/>
          <w:lang w:val="en-US" w:eastAsia="zh-CN"/>
        </w:rPr>
        <w:t xml:space="preserve">主机显示：</w:t>
      </w:r>
      <w:r>
        <w:rPr>
          <w:rFonts w:hint="eastAsia" w:ascii="宋体" w:hAnsi="宋体" w:eastAsia="宋体" w:cs="宋体"/>
          <w:bCs/>
          <w:sz w:val="24"/>
          <w:szCs w:val="24"/>
          <w:highlight w:val="none"/>
          <w:lang w:val="en-US" w:eastAsia="zh-CN"/>
        </w:rPr>
        <w:t xml:space="preserve">操控屏上左右位置</w:t>
      </w:r>
      <w:r>
        <w:rPr>
          <w:rFonts w:hint="default" w:ascii="宋体" w:hAnsi="宋体" w:eastAsia="宋体" w:cs="宋体"/>
          <w:bCs/>
          <w:sz w:val="24"/>
          <w:szCs w:val="24"/>
          <w:highlight w:val="none"/>
          <w:lang w:val="en-US" w:eastAsia="zh-CN"/>
        </w:rPr>
        <w:t xml:space="preserve">术者可独立设置二组不同</w:t>
      </w:r>
      <w:r>
        <w:rPr>
          <w:rFonts w:hint="eastAsia" w:ascii="宋体" w:hAnsi="宋体" w:eastAsia="宋体" w:cs="宋体"/>
          <w:bCs/>
          <w:sz w:val="24"/>
          <w:szCs w:val="24"/>
          <w:highlight w:val="none"/>
          <w:lang w:val="en-US" w:eastAsia="zh-CN"/>
        </w:rPr>
        <w:t xml:space="preserve">波长</w:t>
      </w:r>
      <w:r>
        <w:rPr>
          <w:rFonts w:hint="default" w:ascii="宋体" w:hAnsi="宋体" w:eastAsia="宋体" w:cs="宋体"/>
          <w:bCs/>
          <w:sz w:val="24"/>
          <w:szCs w:val="24"/>
          <w:highlight w:val="none"/>
          <w:lang w:val="en-US" w:eastAsia="zh-CN"/>
        </w:rPr>
        <w:t xml:space="preserve">激光参数</w:t>
      </w:r>
      <w:r>
        <w:rPr>
          <w:rFonts w:hint="default" w:ascii="宋体" w:hAnsi="宋体" w:eastAsia="宋体" w:cs="宋体"/>
          <w:b/>
          <w:bCs w:val="0"/>
          <w:sz w:val="24"/>
          <w:szCs w:val="24"/>
          <w:highlight w:val="none"/>
          <w:lang w:val="en-US" w:eastAsia="zh-CN"/>
        </w:rPr>
        <w:t xml:space="preserve">（提供设备操控屏截屏）</w:t>
      </w:r>
      <w:r>
        <w:rPr>
          <w:highlight w:val="none"/>
        </w:rPr>
      </w:r>
    </w:p>
    <w:p>
      <w:pPr>
        <w:pStyle w:val="754"/>
        <w:spacing w:line="360" w:lineRule="auto"/>
        <w:rPr>
          <w:rFonts w:hint="eastAsia"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10、脚踏按键数量：≥2键</w:t>
      </w:r>
      <w:r>
        <w:rPr>
          <w:rFonts w:hint="eastAsia" w:ascii="宋体" w:hAnsi="宋体" w:eastAsia="宋体" w:cs="宋体"/>
          <w:b/>
          <w:bCs w:val="0"/>
          <w:sz w:val="24"/>
          <w:szCs w:val="24"/>
          <w:highlight w:val="none"/>
          <w:lang w:val="en-US" w:eastAsia="zh-CN"/>
        </w:rPr>
        <w:t xml:space="preserve">（提供脚踏开关实物图）</w:t>
      </w:r>
      <w:r>
        <w:rPr>
          <w:highlight w:val="none"/>
        </w:rP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11、光纤传输：具有与主机同品牌的可重复使用光纤和一次性使用光纤注册证，产品配套光纤规格不少于3种可供医院选择（如200μm、272μm、365μm、400μm、550μm、600μm、800μm、1000μm等）</w:t>
      </w:r>
      <w:r>
        <w:rPr>
          <w:rFonts w:hint="eastAsia" w:ascii="宋体" w:hAnsi="宋体" w:eastAsia="宋体" w:cs="宋体"/>
          <w:b/>
          <w:bCs w:val="0"/>
          <w:sz w:val="24"/>
          <w:szCs w:val="24"/>
          <w:highlight w:val="none"/>
          <w:lang w:val="en-US" w:eastAsia="zh-CN"/>
        </w:rPr>
        <w:t xml:space="preserve">（提供光纤注册证）</w:t>
      </w:r>
      <w:r>
        <w:rPr>
          <w:highlight w:val="none"/>
        </w:rP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12、</w:t>
      </w:r>
      <w:r>
        <w:rPr>
          <w:rFonts w:hint="default" w:ascii="宋体" w:hAnsi="宋体" w:eastAsia="宋体" w:cs="宋体"/>
          <w:bCs/>
          <w:sz w:val="24"/>
          <w:szCs w:val="24"/>
          <w:highlight w:val="none"/>
          <w:lang w:val="en-US" w:eastAsia="zh-CN"/>
        </w:rPr>
        <w:t xml:space="preserve">光纤配合性：激光主机注册组成包含光纤，200μm光纤可承载功率</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50W，550μm光纤可承载功率</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100W</w:t>
      </w:r>
      <w:r>
        <w:rPr>
          <w:rFonts w:hint="default" w:ascii="宋体" w:hAnsi="宋体" w:eastAsia="宋体" w:cs="宋体"/>
          <w:b/>
          <w:bCs w:val="0"/>
          <w:sz w:val="24"/>
          <w:szCs w:val="24"/>
          <w:highlight w:val="none"/>
          <w:lang w:val="en-US" w:eastAsia="zh-CN"/>
        </w:rPr>
        <w:t xml:space="preserve">（提供</w:t>
      </w:r>
      <w:bookmarkStart w:id="20" w:name="_GoBack"/>
      <w:r>
        <w:rPr>
          <w:rFonts w:hint="default" w:ascii="宋体" w:hAnsi="宋体" w:eastAsia="宋体" w:cs="宋体"/>
          <w:b/>
          <w:bCs w:val="0"/>
          <w:sz w:val="24"/>
          <w:szCs w:val="24"/>
          <w:highlight w:val="none"/>
          <w:lang w:val="en-US" w:eastAsia="zh-CN"/>
        </w:rPr>
        <w:t xml:space="preserve">设备注册证及</w:t>
      </w:r>
      <w:bookmarkEnd w:id="20"/>
      <w:r>
        <w:rPr>
          <w:rFonts w:hint="default" w:ascii="宋体" w:hAnsi="宋体" w:eastAsia="宋体" w:cs="宋体"/>
          <w:b/>
          <w:bCs w:val="0"/>
          <w:sz w:val="24"/>
          <w:szCs w:val="24"/>
          <w:highlight w:val="none"/>
          <w:lang w:val="en-US" w:eastAsia="zh-CN"/>
        </w:rPr>
        <w:t xml:space="preserve">光纤检测报告</w:t>
      </w:r>
      <w:r>
        <w:rPr>
          <w:rFonts w:hint="eastAsia" w:ascii="宋体" w:hAnsi="宋体" w:eastAsia="宋体" w:cs="宋体"/>
          <w:b/>
          <w:bCs w:val="0"/>
          <w:sz w:val="24"/>
          <w:szCs w:val="24"/>
          <w:highlight w:val="none"/>
          <w:lang w:val="en-US" w:eastAsia="zh-CN"/>
        </w:rPr>
        <w:t xml:space="preserve">）</w:t>
      </w:r>
      <w:r>
        <w:rPr>
          <w:highlight w:val="none"/>
        </w:rP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13、</w:t>
      </w:r>
      <w:r>
        <w:rPr>
          <w:rFonts w:hint="default" w:ascii="宋体" w:hAnsi="宋体" w:eastAsia="宋体" w:cs="宋体"/>
          <w:bCs/>
          <w:sz w:val="24"/>
          <w:szCs w:val="24"/>
          <w:highlight w:val="none"/>
          <w:lang w:val="en-US" w:eastAsia="zh-CN"/>
        </w:rPr>
        <w:t xml:space="preserve">具有控制能量稳定功能，使激光能量输出不稳定度：≤±5%，功率复现性：≤±5%。</w:t>
      </w:r>
      <w:r>
        <w:rPr>
          <w:highlight w:val="none"/>
        </w:rP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14、</w:t>
      </w:r>
      <w:r>
        <w:rPr>
          <w:rFonts w:hint="default" w:ascii="宋体" w:hAnsi="宋体" w:eastAsia="宋体" w:cs="宋体"/>
          <w:bCs/>
          <w:sz w:val="24"/>
          <w:szCs w:val="24"/>
          <w:highlight w:val="none"/>
          <w:lang w:val="en-US" w:eastAsia="zh-CN"/>
        </w:rPr>
        <w:t xml:space="preserve">具有激光耦合保护系统：可以不拆机器更换激光器保护镜，用于保护激光器光路，能有效防止激光器功率衰减。</w:t>
      </w:r>
      <w:r>
        <w:rPr>
          <w:rFonts w:hint="eastAsia" w:ascii="宋体" w:hAnsi="宋体" w:eastAsia="宋体" w:cs="宋体"/>
          <w:b/>
          <w:bCs w:val="0"/>
          <w:sz w:val="24"/>
          <w:szCs w:val="24"/>
          <w:highlight w:val="none"/>
          <w:lang w:val="en-US" w:eastAsia="zh-CN"/>
        </w:rPr>
        <w:t xml:space="preserve">（提供相关实物</w:t>
      </w:r>
      <w:r>
        <w:rPr>
          <w:rFonts w:hint="eastAsia" w:ascii="宋体" w:hAnsi="宋体" w:eastAsia="宋体" w:cs="宋体"/>
          <w:b/>
          <w:bCs w:val="0"/>
          <w:sz w:val="24"/>
          <w:szCs w:val="24"/>
          <w:highlight w:val="none"/>
          <w:lang w:val="en-US" w:eastAsia="zh-CN"/>
        </w:rPr>
        <w:t xml:space="preserve">装配</w:t>
      </w:r>
      <w:r>
        <w:rPr>
          <w:rFonts w:hint="eastAsia" w:ascii="宋体" w:hAnsi="宋体" w:eastAsia="宋体" w:cs="宋体"/>
          <w:b/>
          <w:bCs w:val="0"/>
          <w:sz w:val="24"/>
          <w:szCs w:val="24"/>
          <w:highlight w:val="none"/>
          <w:lang w:val="en-US" w:eastAsia="zh-CN"/>
        </w:rPr>
        <w:t xml:space="preserve">图）</w:t>
      </w:r>
      <w:r>
        <w:rPr>
          <w:highlight w:val="none"/>
        </w:rPr>
      </w:r>
    </w:p>
    <w:p>
      <w:pPr>
        <w:pStyle w:val="754"/>
        <w:spacing w:line="360" w:lineRule="auto"/>
        <w:rPr>
          <w:rFonts w:hint="eastAsia"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5</w:t>
      </w:r>
      <w:r>
        <w:rPr>
          <w:rFonts w:hint="default" w:ascii="宋体" w:hAnsi="宋体" w:eastAsia="宋体" w:cs="宋体"/>
          <w:bCs/>
          <w:sz w:val="24"/>
          <w:szCs w:val="24"/>
          <w:highlight w:val="none"/>
          <w:lang w:val="en-US" w:eastAsia="zh-CN"/>
        </w:rPr>
        <w:t xml:space="preserve">、指示光：绿光指示光，波长</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520nm，指示光亮度有</w:t>
      </w:r>
      <w:r>
        <w:rPr>
          <w:rFonts w:hint="eastAsia" w:ascii="宋体" w:hAnsi="宋体" w:eastAsia="宋体" w:cs="宋体"/>
          <w:bCs/>
          <w:sz w:val="24"/>
          <w:szCs w:val="24"/>
          <w:highlight w:val="none"/>
          <w:lang w:val="en-US" w:eastAsia="zh-CN"/>
        </w:rPr>
        <w:t xml:space="preserve">≥8</w:t>
      </w:r>
      <w:r>
        <w:rPr>
          <w:rFonts w:hint="default" w:ascii="宋体" w:hAnsi="宋体" w:eastAsia="宋体" w:cs="宋体"/>
          <w:bCs/>
          <w:sz w:val="24"/>
          <w:szCs w:val="24"/>
          <w:highlight w:val="none"/>
          <w:lang w:val="en-US" w:eastAsia="zh-CN"/>
        </w:rPr>
        <w:t xml:space="preserve">个档位可调。</w:t>
      </w:r>
      <w:r>
        <w:rPr>
          <w:rFonts w:hint="eastAsia" w:ascii="宋体" w:hAnsi="宋体" w:eastAsia="宋体" w:cs="宋体"/>
          <w:b/>
          <w:bCs w:val="0"/>
          <w:sz w:val="24"/>
          <w:szCs w:val="24"/>
          <w:highlight w:val="none"/>
          <w:lang w:val="en-US" w:eastAsia="zh-CN"/>
        </w:rPr>
        <w:t xml:space="preserve">（提供操控屏截图）</w:t>
      </w:r>
      <w:r>
        <w:rPr>
          <w:highlight w:val="none"/>
        </w:rP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w:t>
      </w:r>
      <w:r>
        <w:rPr>
          <w:rFonts w:hint="default" w:ascii="宋体" w:hAnsi="宋体" w:eastAsia="宋体" w:cs="宋体"/>
          <w:bCs/>
          <w:sz w:val="24"/>
          <w:szCs w:val="24"/>
          <w:highlight w:val="none"/>
          <w:lang w:val="en-US" w:eastAsia="zh-CN"/>
        </w:rPr>
        <w:t xml:space="preserve">冷却方式：拥有制冷技术，确保性能稳定，密封循环水冷，压缩机制冷等。</w:t>
      </w:r>
      <w:r>
        <w:rPr>
          <w:highlight w:val="none"/>
        </w:rPr>
      </w:r>
    </w:p>
    <w:p>
      <w:pPr>
        <w:pStyle w:val="754"/>
        <w:spacing w:line="360" w:lineRule="auto"/>
        <w:rPr>
          <w:rFonts w:hint="default"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rPr>
        <w:t xml:space="preserve">17、</w:t>
      </w:r>
      <w:r>
        <w:rPr>
          <w:rFonts w:hint="default" w:ascii="宋体" w:hAnsi="宋体" w:eastAsia="宋体" w:cs="宋体"/>
          <w:bCs/>
          <w:sz w:val="24"/>
          <w:szCs w:val="24"/>
          <w:highlight w:val="none"/>
          <w:lang w:val="en-US" w:eastAsia="zh-CN"/>
        </w:rPr>
        <w:t xml:space="preserve">控制方式：</w:t>
      </w:r>
      <w:r>
        <w:rPr>
          <w:rFonts w:hint="eastAsia" w:ascii="宋体" w:hAnsi="宋体" w:eastAsia="宋体" w:cs="宋体"/>
          <w:bCs/>
          <w:sz w:val="24"/>
          <w:szCs w:val="24"/>
          <w:highlight w:val="none"/>
          <w:lang w:val="en-US" w:eastAsia="zh-CN"/>
        </w:rPr>
        <w:t xml:space="preserve">≥</w:t>
      </w:r>
      <w:r>
        <w:rPr>
          <w:rFonts w:hint="default"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2</w:t>
      </w:r>
      <w:r>
        <w:rPr>
          <w:rFonts w:hint="default" w:ascii="宋体" w:hAnsi="宋体" w:eastAsia="宋体" w:cs="宋体"/>
          <w:bCs/>
          <w:sz w:val="24"/>
          <w:szCs w:val="24"/>
          <w:highlight w:val="none"/>
          <w:lang w:val="en-US" w:eastAsia="zh-CN"/>
        </w:rPr>
        <w:t xml:space="preserve">英寸大屏幕彩色液晶显示，触摸屏控制。</w:t>
      </w:r>
      <w:r>
        <w:rPr>
          <w:rFonts w:hint="eastAsia" w:ascii="宋体" w:hAnsi="宋体" w:eastAsia="宋体" w:cs="宋体"/>
          <w:b/>
          <w:bCs w:val="0"/>
          <w:sz w:val="24"/>
          <w:szCs w:val="24"/>
          <w:highlight w:val="none"/>
          <w:lang w:val="en-US" w:eastAsia="zh-CN"/>
        </w:rPr>
        <w:t xml:space="preserve">（提供相关证明材料）</w:t>
      </w:r>
      <w:r>
        <w:rPr>
          <w:highlight w:val="none"/>
        </w:rPr>
      </w:r>
    </w:p>
    <w:p>
      <w:pPr>
        <w:pStyle w:val="754"/>
        <w:spacing w:line="360" w:lineRule="auto"/>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18、</w:t>
      </w:r>
      <w:r>
        <w:rPr>
          <w:rFonts w:hint="default" w:ascii="宋体" w:hAnsi="宋体" w:eastAsia="宋体" w:cs="宋体"/>
          <w:bCs/>
          <w:sz w:val="24"/>
          <w:szCs w:val="24"/>
          <w:highlight w:val="none"/>
          <w:lang w:val="en-US" w:eastAsia="zh-CN"/>
        </w:rPr>
        <w:t xml:space="preserve">同品牌内窥镜手术刨削器一套（至少包含主机一套，配套手术内窥镜 1 套，提供详细配置清单）。</w:t>
      </w:r>
      <w:r>
        <w:rPr>
          <w:rFonts w:hint="eastAsia" w:ascii="宋体" w:hAnsi="宋体" w:eastAsia="宋体" w:cs="宋体"/>
          <w:b/>
          <w:bCs w:val="0"/>
          <w:sz w:val="24"/>
          <w:szCs w:val="24"/>
          <w:highlight w:val="none"/>
          <w:lang w:val="en-US" w:eastAsia="zh-CN"/>
        </w:rPr>
        <w:t xml:space="preserve">（提供相关证明材料）</w:t>
      </w:r>
      <w:r>
        <w:rPr>
          <w:highlight w:val="none"/>
        </w:rPr>
      </w:r>
    </w:p>
    <w:p>
      <w:pPr>
        <w:pStyle w:val="754"/>
        <w:spacing w:line="360" w:lineRule="auto"/>
        <w:rPr>
          <w:rFonts w:hint="default" w:ascii="宋体" w:hAnsi="宋体" w:eastAsia="宋体" w:cs="宋体"/>
          <w:bCs/>
          <w:sz w:val="24"/>
          <w:szCs w:val="24"/>
          <w:highlight w:val="none"/>
        </w:rPr>
      </w:pPr>
      <w:r>
        <w:rPr>
          <w:rFonts w:hint="default"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19、</w:t>
      </w:r>
      <w:r>
        <w:rPr>
          <w:rFonts w:hint="default" w:ascii="宋体" w:hAnsi="宋体" w:eastAsia="宋体" w:cs="宋体"/>
          <w:bCs/>
          <w:sz w:val="24"/>
          <w:szCs w:val="24"/>
          <w:highlight w:val="none"/>
          <w:lang w:val="en-US" w:eastAsia="zh-CN"/>
        </w:rPr>
        <w:t xml:space="preserve">产品设计使用寿命：</w:t>
      </w:r>
      <w:r>
        <w:rPr>
          <w:rFonts w:hint="eastAsia" w:ascii="宋体" w:hAnsi="宋体" w:eastAsia="宋体" w:cs="宋体"/>
          <w:bCs/>
          <w:sz w:val="24"/>
          <w:szCs w:val="24"/>
          <w:highlight w:val="none"/>
          <w:lang w:val="en-US" w:eastAsia="zh-CN"/>
        </w:rPr>
        <w:t xml:space="preserve">≥10</w:t>
      </w:r>
      <w:r>
        <w:rPr>
          <w:rFonts w:hint="default" w:ascii="宋体" w:hAnsi="宋体" w:eastAsia="宋体" w:cs="宋体"/>
          <w:bCs/>
          <w:sz w:val="24"/>
          <w:szCs w:val="24"/>
          <w:highlight w:val="none"/>
          <w:lang w:val="en-US" w:eastAsia="zh-CN"/>
        </w:rPr>
        <w:t xml:space="preserve">年</w:t>
      </w:r>
      <w:r>
        <w:rPr>
          <w:rFonts w:hint="default" w:ascii="宋体" w:hAnsi="宋体" w:eastAsia="宋体" w:cs="宋体"/>
          <w:b/>
          <w:bCs w:val="0"/>
          <w:sz w:val="24"/>
          <w:szCs w:val="24"/>
          <w:highlight w:val="none"/>
          <w:lang w:val="en-US" w:eastAsia="zh-CN"/>
        </w:rPr>
        <w:t xml:space="preserve">（提供设备铭牌）</w:t>
      </w:r>
      <w:r>
        <w:rPr>
          <w:rFonts w:hint="default" w:ascii="宋体" w:hAnsi="宋体" w:eastAsia="宋体" w:cs="宋体"/>
          <w:bCs/>
          <w:sz w:val="24"/>
          <w:szCs w:val="24"/>
          <w:highlight w:val="none"/>
          <w:lang w:val="en-US" w:eastAsia="zh-CN"/>
        </w:rPr>
        <w:t xml:space="preserve">。</w:t>
      </w:r>
      <w:r>
        <w:rPr>
          <w:highlight w:val="none"/>
        </w:rP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jc w:val="left"/>
        <w:spacing w:line="360" w:lineRule="auto"/>
        <w:tabs>
          <w:tab w:val="left" w:pos="1260" w:leader="none"/>
        </w:tabs>
        <w:rPr>
          <w:rFonts w:hint="default"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二</w:t>
      </w:r>
      <w:r>
        <w:rPr>
          <w:rFonts w:ascii="宋体" w:hAnsi="宋体" w:eastAsia="宋体" w:cs="宋体"/>
          <w:b/>
          <w:bCs/>
          <w:sz w:val="28"/>
          <w:szCs w:val="28"/>
          <w:highlight w:val="none"/>
        </w:rPr>
        <w:t xml:space="preserve">、商务需求</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商务需求需逐条相应，不得负偏离）</w:t>
      </w:r>
      <w:r>
        <w:rPr>
          <w:highlight w:val="none"/>
        </w:rPr>
      </w:r>
    </w:p>
    <w:tbl>
      <w:tblPr>
        <w:tblStyle w:val="749"/>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158"/>
        <w:gridCol w:w="5733"/>
      </w:tblGrid>
      <w:tr>
        <w:trPr>
          <w:jc w:val="center"/>
          <w:trHeight w:val="750"/>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序号</w:t>
            </w:r>
            <w:r>
              <w:rPr>
                <w:highlight w:val="none"/>
              </w:rP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商务和服务项目</w:t>
            </w:r>
            <w:r>
              <w:rPr>
                <w:highlight w:val="none"/>
              </w:rPr>
            </w:r>
          </w:p>
        </w:tc>
        <w:tc>
          <w:tcPr>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商务和服务要求</w:t>
            </w:r>
            <w:r>
              <w:rPr>
                <w:highlight w:val="none"/>
              </w:rPr>
            </w:r>
          </w:p>
        </w:tc>
      </w:tr>
      <w:tr>
        <w:trPr>
          <w:jc w:val="center"/>
          <w:trHeight w:val="759"/>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1</w:t>
            </w:r>
            <w:r>
              <w:rPr>
                <w:highlight w:val="none"/>
              </w:rP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交货期</w:t>
            </w:r>
            <w:r>
              <w:rPr>
                <w:highlight w:val="none"/>
              </w:rPr>
            </w:r>
          </w:p>
        </w:tc>
        <w:tc>
          <w:tcPr>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合同签订后</w:t>
            </w:r>
            <w:r>
              <w:rPr>
                <w:rFonts w:hint="eastAsia" w:ascii="宋体" w:hAnsi="宋体" w:eastAsia="宋体" w:cs="宋体"/>
                <w:bCs/>
                <w:sz w:val="24"/>
                <w:szCs w:val="24"/>
                <w:highlight w:val="none"/>
                <w:lang w:val="en-US" w:eastAsia="zh-CN"/>
              </w:rPr>
              <w:t xml:space="preserve">30</w:t>
            </w:r>
            <w:r>
              <w:rPr>
                <w:rFonts w:hint="eastAsia" w:ascii="宋体" w:hAnsi="宋体" w:eastAsia="宋体" w:cs="宋体"/>
                <w:bCs/>
                <w:sz w:val="24"/>
                <w:szCs w:val="24"/>
                <w:highlight w:val="none"/>
              </w:rPr>
              <w:t xml:space="preserve">天内</w:t>
            </w:r>
            <w:r>
              <w:rPr>
                <w:highlight w:val="none"/>
              </w:rPr>
            </w:r>
          </w:p>
        </w:tc>
      </w:tr>
      <w:tr>
        <w:trPr>
          <w:jc w:val="center"/>
          <w:trHeight w:val="867"/>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highlight w:val="none"/>
              </w:rP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zh-CN"/>
              </w:rPr>
              <w:t xml:space="preserve">售后服务</w:t>
            </w:r>
            <w:r>
              <w:rPr>
                <w:highlight w:val="none"/>
              </w:rPr>
            </w:r>
          </w:p>
        </w:tc>
        <w:tc>
          <w:tcPr>
            <w:tcW w:w="5732" w:type="dxa"/>
            <w:vAlign w:val="center"/>
            <w:textDirection w:val="lrTb"/>
            <w:noWrap w:val="false"/>
          </w:tcPr>
          <w:p>
            <w:pPr>
              <w:pStyle w:val="754"/>
              <w:spacing w:line="360" w:lineRule="auto"/>
              <w:rPr>
                <w:rFonts w:hint="eastAsia" w:asciiTheme="minorEastAsia" w:hAnsiTheme="minorEastAsia" w:eastAsiaTheme="minorEastAsia"/>
                <w:sz w:val="24"/>
                <w:szCs w:val="24"/>
                <w:highlight w:val="none"/>
              </w:rPr>
            </w:pPr>
            <w:r>
              <w:rPr>
                <w:rFonts w:hint="eastAsia" w:ascii="宋体" w:hAnsi="宋体" w:eastAsia="宋体" w:cs="宋体"/>
                <w:bCs/>
                <w:sz w:val="24"/>
                <w:szCs w:val="24"/>
                <w:highlight w:val="none"/>
              </w:rPr>
              <w:t xml:space="preserve">1、质保期：原厂整机免费质保</w:t>
            </w:r>
            <w:r>
              <w:rPr>
                <w:rFonts w:hint="eastAsia" w:ascii="宋体" w:hAnsi="宋体" w:eastAsia="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五年（含配件及易损件）；质保期后的维修只收取零备件费。接到客户反馈后半小时响应，24小时内赶到现场维修。</w:t>
            </w:r>
            <w:r>
              <w:rPr>
                <w:highlight w:val="none"/>
              </w:rP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2、免费送货至医院指定地点安装调试，免费培训工程师、操作人员至能熟练操作为止。</w:t>
            </w:r>
            <w:r>
              <w:rPr>
                <w:highlight w:val="none"/>
              </w:rP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3、设备交付使用后，定期对设备进行维护保养，在保修期内提供免费维护保养服务两次。</w:t>
            </w:r>
            <w:r>
              <w:rPr>
                <w:highlight w:val="none"/>
              </w:rP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4、保证所提供设备的配件</w:t>
            </w:r>
            <w:r>
              <w:rPr>
                <w:rFonts w:asciiTheme="minorEastAsia" w:hAnsiTheme="minorEastAsia" w:eastAsiaTheme="minorEastAsia"/>
                <w:sz w:val="24"/>
                <w:szCs w:val="24"/>
                <w:highlight w:val="none"/>
              </w:rPr>
              <w:t xml:space="preserve">10</w:t>
            </w:r>
            <w:r>
              <w:rPr>
                <w:rFonts w:hint="eastAsia" w:asciiTheme="minorEastAsia" w:hAnsiTheme="minorEastAsia" w:eastAsiaTheme="minorEastAsia"/>
                <w:sz w:val="24"/>
                <w:szCs w:val="24"/>
                <w:highlight w:val="none"/>
              </w:rPr>
              <w:t xml:space="preserve">年供货期，承诺期内保证配件需求。</w:t>
            </w:r>
            <w:r>
              <w:rPr>
                <w:highlight w:val="none"/>
              </w:rPr>
            </w:r>
          </w:p>
          <w:p>
            <w:pPr>
              <w:pStyle w:val="754"/>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5、定期对机器清洁、性能测试及校准、必要的机械或电气的检查。</w:t>
            </w:r>
            <w:r>
              <w:rPr>
                <w:highlight w:val="none"/>
              </w:rPr>
            </w:r>
          </w:p>
        </w:tc>
      </w:tr>
      <w:tr>
        <w:trPr>
          <w:jc w:val="center"/>
          <w:trHeight w:val="810"/>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highlight w:val="none"/>
              </w:rP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交货地点</w:t>
            </w:r>
            <w:r>
              <w:rPr>
                <w:highlight w:val="none"/>
              </w:rPr>
            </w:r>
          </w:p>
        </w:tc>
        <w:tc>
          <w:tcPr>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泰兴市人民医院</w:t>
            </w:r>
            <w:r>
              <w:rPr>
                <w:rFonts w:hint="eastAsia" w:ascii="宋体" w:hAnsi="宋体" w:eastAsia="宋体" w:cs="宋体"/>
                <w:bCs/>
                <w:sz w:val="24"/>
                <w:szCs w:val="24"/>
                <w:highlight w:val="none"/>
              </w:rPr>
              <w:t xml:space="preserve">指定地点</w:t>
            </w:r>
            <w:r>
              <w:rPr>
                <w:highlight w:val="none"/>
              </w:rPr>
            </w:r>
          </w:p>
        </w:tc>
      </w:tr>
      <w:tr>
        <w:trPr>
          <w:jc w:val="center"/>
          <w:trHeight w:val="837"/>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highlight w:val="none"/>
              </w:rPr>
            </w:r>
          </w:p>
        </w:tc>
        <w:tc>
          <w:tcPr>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包装运输</w:t>
            </w:r>
            <w:r>
              <w:rPr>
                <w:highlight w:val="none"/>
              </w:rPr>
            </w:r>
          </w:p>
        </w:tc>
        <w:tc>
          <w:tcPr>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由供应商承担</w:t>
            </w:r>
            <w:r>
              <w:rPr>
                <w:highlight w:val="none"/>
              </w:rPr>
            </w:r>
          </w:p>
        </w:tc>
      </w:tr>
      <w:tr>
        <w:trPr>
          <w:jc w:val="center"/>
          <w:trHeight w:val="692"/>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ascii="宋体" w:hAnsi="宋体" w:eastAsia="宋体" w:cs="宋体"/>
                <w:bCs/>
                <w:sz w:val="24"/>
                <w:szCs w:val="24"/>
                <w:highlight w:val="none"/>
              </w:rPr>
              <w:t xml:space="preserve">5</w:t>
            </w:r>
            <w:r>
              <w:rPr>
                <w:highlight w:val="none"/>
              </w:rPr>
            </w:r>
          </w:p>
        </w:tc>
        <w:tc>
          <w:tcPr>
            <w:shd w:val="clear" w:color="auto" w:fill="ffffff" w:themeFill="background1"/>
            <w:tcW w:w="2158"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付款方式</w:t>
            </w:r>
            <w:r>
              <w:rPr>
                <w:highlight w:val="none"/>
              </w:rPr>
            </w:r>
          </w:p>
        </w:tc>
        <w:tc>
          <w:tcPr>
            <w:shd w:val="clear" w:color="auto" w:fill="ffffff" w:themeFill="background1"/>
            <w:tcW w:w="5732"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设备安装、调试、验收合格后凭验收合格报告付合同价的90%，余款202</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年年底付</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款</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highlight w:val="none"/>
              </w:rPr>
            </w:r>
          </w:p>
        </w:tc>
      </w:tr>
      <w:tr>
        <w:trPr>
          <w:jc w:val="center"/>
          <w:trHeight w:val="692"/>
        </w:trPr>
        <w:tc>
          <w:tcPr>
            <w:tcW w:w="829"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highlight w:val="none"/>
              </w:rPr>
            </w:r>
          </w:p>
        </w:tc>
        <w:tc>
          <w:tcPr>
            <w:shd w:val="clear" w:color="auto" w:fill="ffffff" w:themeFill="background1"/>
            <w:tcW w:w="2158" w:type="dxa"/>
            <w:vAlign w:val="center"/>
            <w:textDirection w:val="lrTb"/>
            <w:noWrap w:val="false"/>
          </w:tcPr>
          <w:p>
            <w:pPr>
              <w:jc w:val="center"/>
              <w:spacing w:line="340" w:lineRule="exact"/>
              <w:widowControl/>
              <w:rPr>
                <w:rFonts w:hint="default"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设备出厂日期</w:t>
            </w:r>
            <w:r>
              <w:rPr>
                <w:highlight w:val="none"/>
              </w:rPr>
            </w:r>
          </w:p>
        </w:tc>
        <w:tc>
          <w:tcPr>
            <w:shd w:val="clear" w:color="auto" w:fill="ffffff" w:themeFill="background1"/>
            <w:tcW w:w="5732" w:type="dxa"/>
            <w:vAlign w:val="center"/>
            <w:textDirection w:val="lrTb"/>
            <w:noWrap w:val="false"/>
          </w:tcPr>
          <w:p>
            <w:pPr>
              <w:jc w:val="center"/>
              <w:spacing w:line="340" w:lineRule="exact"/>
              <w:widowControl/>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设备交付日期距出厂日期≤半年(进口设备≤九个月)。</w:t>
            </w:r>
            <w:r>
              <w:rPr>
                <w:highlight w:val="none"/>
              </w:rPr>
            </w:r>
          </w:p>
        </w:tc>
      </w:tr>
    </w:tbl>
    <w:p>
      <w:pPr>
        <w:jc w:val="left"/>
        <w:spacing w:line="360" w:lineRule="auto"/>
        <w:tabs>
          <w:tab w:val="left" w:pos="126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、采购标的的所属行业</w:t>
      </w:r>
      <w:r>
        <w:rPr>
          <w:highlight w:val="none"/>
        </w:rPr>
      </w:r>
    </w:p>
    <w:p>
      <w:pPr>
        <w:rPr>
          <w:rFonts w:ascii="宋体" w:hAnsi="宋体" w:eastAsia="宋体" w:cs="宋体"/>
          <w:b/>
          <w:color w:val="000000"/>
          <w:sz w:val="32"/>
          <w:highlight w:val="none"/>
        </w:rPr>
      </w:pP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highlight w:val="none"/>
          <w:u w:val="single"/>
          <w14:textFill>
            <w14:solidFill>
              <w14:schemeClr w14:val="tx1"/>
            </w14:solidFill>
          </w14:textFill>
        </w:rPr>
        <w:t xml:space="preserve"> 工业  </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w:t>
      </w:r>
      <w:r>
        <w:rPr>
          <w:rFonts w:ascii="宋体" w:hAnsi="宋体" w:eastAsia="宋体" w:cs="宋体"/>
          <w:b/>
          <w:color w:val="000000"/>
          <w:sz w:val="32"/>
          <w:highlight w:val="none"/>
        </w:rPr>
        <w:br w:type="page" w:clear="all"/>
      </w:r>
      <w:r>
        <w:rPr>
          <w:highlight w:val="none"/>
        </w:rP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第四章 评标办法及标准</w:t>
      </w:r>
      <w:r>
        <w:rPr>
          <w:highlight w:val="none"/>
        </w:rP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一、资格审查。</w:t>
      </w:r>
      <w:r>
        <w:rPr>
          <w:rFonts w:ascii="宋体" w:hAnsi="宋体" w:eastAsia="宋体" w:cs="宋体"/>
          <w:color w:val="000000"/>
          <w:sz w:val="24"/>
          <w:highlight w:val="none"/>
        </w:rPr>
        <w:t xml:space="preserve">资格审查人员按照下列指标对各供应商的资格进行审查，未通过审查的为无效标，不参与评审。</w:t>
      </w:r>
      <w:r>
        <w:rPr>
          <w:highlight w:val="none"/>
        </w:rP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64"/>
        <w:gridCol w:w="414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资格审查因素</w:t>
            </w:r>
            <w:r>
              <w:rPr>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审查标准</w:t>
            </w:r>
            <w:r>
              <w:rPr>
                <w:highlight w:val="none"/>
              </w:rPr>
            </w:r>
          </w:p>
        </w:tc>
      </w:tr>
      <w:tr>
        <w:trPr>
          <w:trHeight w:val="1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具有独立承担民事责任的能力</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具有良好的商业信誉和健全的财务会计制度</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具有履行合同所必需的设备和专业技术能力</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有依法缴纳税收和社会保障资金的良好记录</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无重大违法行为声明</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法律、行政法规规定的其他条件</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 </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符合联合体规定</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特定资格要求</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3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bl>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二、符合性审查。</w:t>
      </w:r>
      <w:r>
        <w:rPr>
          <w:rFonts w:ascii="宋体" w:hAnsi="宋体" w:eastAsia="宋体" w:cs="宋体"/>
          <w:color w:val="000000"/>
          <w:sz w:val="24"/>
          <w:highlight w:val="none"/>
        </w:rPr>
        <w:t xml:space="preserve">采购小组首先按照下列指标对各供应商进行初步评审，未通过评审的为无效标，不再参与评审。</w:t>
      </w:r>
      <w:r>
        <w:rPr>
          <w:highlight w:val="none"/>
        </w:rP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评审因素</w:t>
            </w:r>
            <w:r>
              <w:rPr>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评审标准</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投标声明及承诺函</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法定代表人身份证明或授权委托书</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开标一览表及投标报价</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34"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其他（实质性条款的响应性）</w:t>
            </w:r>
            <w:r>
              <w:rPr>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58" w:type="dxa"/>
            <w:vAlign w:val="center"/>
            <w:textDirection w:val="lrTb"/>
            <w:noWrap w:val="false"/>
          </w:tcPr>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highlight w:val="none"/>
              </w:rPr>
              <w:t xml:space="preserve">符合采购文件要求</w:t>
            </w:r>
            <w:r>
              <w:rPr>
                <w:highlight w:val="none"/>
              </w:rP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三、评标办法：</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本项目评标采用综合评分法，总分为100分。合格投标人的综合得分为各评分项目汇总</w:t>
      </w:r>
      <w:r>
        <w:rPr>
          <w:rFonts w:ascii="宋体" w:hAnsi="宋体" w:eastAsia="宋体" w:cs="宋体"/>
          <w:color w:val="000000"/>
          <w:sz w:val="24"/>
          <w:highlight w:val="none"/>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政府采购政策功能落实</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1、小微型企业价格扣除</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（1）本项目对小型和微型企业产品给予10%的扣除价格，用扣除后的价格参与评审。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（1）本项目对残疾人福利性单位视同小型、微型企业，给予10%的价格扣除，用扣除后的价格参与评审。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（1）本项目对监狱和戒毒企业（简称监狱企业）视同小型、微型企业，给予10%的价格扣除，用扣除后的价格参与评审。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highlight w:val="none"/>
        </w:rPr>
      </w:r>
    </w:p>
    <w:p>
      <w:pPr>
        <w:ind w:left="0" w:right="0" w:firstLine="420"/>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对国家认定的节能产品和环保产品分别给予投标价的5%价格扣除，用扣除后的价格参与评审（特别说明：节能、环保产品必须纳入“中国政府采购网</w:t>
      </w:r>
      <w:r>
        <w:rPr>
          <w:rFonts w:ascii="宋体" w:hAnsi="宋体" w:eastAsia="宋体" w:cs="宋体"/>
          <w:color w:val="000000"/>
          <w:sz w:val="24"/>
          <w:highlight w:val="none"/>
        </w:rPr>
        <w:br/>
      </w:r>
      <w:r>
        <w:rPr>
          <w:highlight w:val="none"/>
        </w:rPr>
        <w:fldChar w:fldCharType="begin"/>
      </w:r>
      <w:r>
        <w:rPr>
          <w:highlight w:val="none"/>
        </w:rPr>
        <w:instrText xml:space="preserve"> HYPERLINK "http://www.ccgp.gov.cn/" \o "http://www.ccgp.gov.cn/" </w:instrText>
      </w:r>
      <w:r>
        <w:rPr>
          <w:highlight w:val="none"/>
        </w:rPr>
        <w:fldChar w:fldCharType="separate"/>
      </w:r>
      <w:r>
        <w:rPr>
          <w:rStyle w:val="785"/>
          <w:rFonts w:ascii="宋体" w:hAnsi="宋体" w:eastAsia="宋体" w:cs="宋体"/>
          <w:color w:val="0000ee"/>
          <w:sz w:val="24"/>
          <w:highlight w:val="none"/>
          <w:u w:val="single"/>
        </w:rPr>
        <w:t xml:space="preserve">http://www.ccgp.gov.cn”等官方网站“节能、环保产品查询系统”</w:t>
      </w:r>
      <w:r>
        <w:rPr>
          <w:rStyle w:val="785"/>
          <w:rFonts w:ascii="宋体" w:hAnsi="宋体" w:eastAsia="宋体" w:cs="宋体"/>
          <w:color w:val="0000ee"/>
          <w:sz w:val="24"/>
          <w:highlight w:val="none"/>
          <w:u w:val="single"/>
        </w:rPr>
        <w:fldChar w:fldCharType="end"/>
      </w:r>
      <w:r>
        <w:rPr>
          <w:rFonts w:ascii="宋体" w:hAnsi="宋体" w:eastAsia="宋体" w:cs="宋体"/>
          <w:color w:val="000000"/>
          <w:sz w:val="24"/>
          <w:highlight w:val="none"/>
        </w:rPr>
        <w:t xml:space="preserve">，且以提供的证书复印件为准）。</w:t>
      </w:r>
      <w:r>
        <w:rPr>
          <w:rFonts w:ascii="宋体" w:hAnsi="宋体" w:eastAsia="宋体" w:cs="宋体"/>
          <w:color w:val="000000"/>
          <w:sz w:val="24"/>
          <w:highlight w:val="none"/>
        </w:rPr>
        <w:br/>
      </w:r>
      <w:r>
        <w:rPr>
          <w:rFonts w:ascii="宋体" w:hAnsi="宋体" w:eastAsia="宋体" w:cs="宋体"/>
          <w:color w:val="000000"/>
          <w:sz w:val="24"/>
          <w:highlight w:val="none"/>
        </w:rPr>
        <w:t xml:space="preserve">   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7、联合体各方均为小型、微型企业（残疾人福利单位、监狱企业）的，联合体享受10%价格扣除，用扣除后的价格参与评审。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8、专门面向中小企业采购的项目，小微企业不再享受价格扣除优惠政策。</w:t>
      </w:r>
      <w:r>
        <w:rPr>
          <w:highlight w:val="none"/>
        </w:rP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9、采购本国产品的支持政策</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 本项目政府采购活动中既有本国产品又有非本国产品参与竞争的，依法对本国产品给予价格评审优惠，对本国产品的报价给予20%的价格扣除，用扣除后的价格参与评审。</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 供应商需按照招标文件的要求提供《关于符合本国产品标准的声明函》（以下简称《声明函》），如不提供将不享受本国产品价格评审优惠。</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 供应商需在《声明函》中逐一、准确填写产品名称、厂名、生产厂址三项信息（《声明函》中用横线     划除的地方无需填写），三项信息中任意一项未填写的视为该项产品不符合本国产品标准，不享受本国产品价格评审优惠。</w:t>
      </w:r>
      <w:r>
        <w:rPr>
          <w:highlight w:val="none"/>
        </w:rPr>
      </w:r>
    </w:p>
    <w:p>
      <w:pPr>
        <w:ind w:left="0" w:right="0" w:firstLine="420"/>
        <w:jc w:val="both"/>
        <w:spacing w:before="0" w:after="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left="0" w:right="0" w:firstLine="56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四、评标内容及标准： </w:t>
      </w:r>
      <w:r>
        <w:rPr>
          <w:highlight w:val="none"/>
        </w:rPr>
      </w:r>
    </w:p>
    <w:tbl>
      <w:tblPr>
        <w:tblStyle w:val="781"/>
        <w:tblW w:w="507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194"/>
        <w:gridCol w:w="5562"/>
        <w:gridCol w:w="791"/>
      </w:tblGrid>
      <w:tr>
        <w:trPr>
          <w:jc w:val="center"/>
        </w:trPr>
        <w:tc>
          <w:tcPr>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评标项</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评标标准及细则</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szCs w:val="24"/>
                <w:highlight w:val="none"/>
              </w:rPr>
              <w:t xml:space="preserve">分值</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1</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价格</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auto"/>
                <w:sz w:val="24"/>
                <w:szCs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30（小数点保留两位）评标过程中，不得去掉报价中的最高报价和最低报价。</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30</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left="24"/>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2</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91"/>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技术</w:t>
            </w:r>
            <w:r>
              <w:rPr>
                <w:rFonts w:hint="eastAsia" w:cs="宋体" w:asciiTheme="minorEastAsia" w:hAnsiTheme="minorEastAsia" w:eastAsiaTheme="minorEastAsia"/>
                <w:bCs/>
                <w:color w:val="000000"/>
                <w:sz w:val="24"/>
                <w:szCs w:val="24"/>
                <w:highlight w:val="none"/>
                <w:lang w:val="en-US" w:eastAsia="zh-CN"/>
              </w:rPr>
              <w:t xml:space="preserve">参数</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满足文件基本要求得45分，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项条款为实质性条款，必须无条件响应，否则作无效投标文件处理。</w:t>
            </w:r>
            <w:r>
              <w:rPr>
                <w:rFonts w:hint="eastAsia" w:cs="宋体" w:asciiTheme="minorEastAsia" w:hAnsiTheme="minorEastAsia" w:eastAsiaTheme="minorEastAsia"/>
                <w:bCs/>
                <w:color w:val="auto"/>
                <w:sz w:val="24"/>
                <w:szCs w:val="24"/>
                <w:highlight w:val="none"/>
              </w:rPr>
              <w:t xml:space="preserve">▲项为重要参数，每负偏离一项扣</w:t>
            </w:r>
            <w:r>
              <w:rPr>
                <w:rFonts w:hint="eastAsia" w:cs="宋体" w:asciiTheme="minorEastAsia" w:hAnsiTheme="minorEastAsia" w:eastAsiaTheme="minorEastAsia"/>
                <w:bCs/>
                <w:color w:val="auto"/>
                <w:sz w:val="24"/>
                <w:szCs w:val="24"/>
                <w:highlight w:val="none"/>
                <w:lang w:val="en-US" w:eastAsia="zh-CN"/>
              </w:rPr>
              <w:t xml:space="preserve">5</w:t>
            </w:r>
            <w:r>
              <w:rPr>
                <w:rFonts w:hint="eastAsia" w:cs="宋体" w:asciiTheme="minorEastAsia" w:hAnsiTheme="minorEastAsia" w:eastAsiaTheme="minorEastAsia"/>
                <w:bCs/>
                <w:color w:val="auto"/>
                <w:sz w:val="24"/>
                <w:szCs w:val="24"/>
                <w:highlight w:val="none"/>
              </w:rPr>
              <w:t xml:space="preserve">分。其他技术参数每负偏离一项扣</w:t>
            </w:r>
            <w:r>
              <w:rPr>
                <w:rFonts w:hint="eastAsia" w:cs="宋体" w:asciiTheme="minorEastAsia" w:hAnsiTheme="minorEastAsia" w:eastAsiaTheme="minorEastAsia"/>
                <w:bCs/>
                <w:color w:val="auto"/>
                <w:sz w:val="24"/>
                <w:szCs w:val="24"/>
                <w:highlight w:val="none"/>
                <w:lang w:val="en-US" w:eastAsia="zh-CN"/>
              </w:rPr>
              <w:t xml:space="preserve">2</w:t>
            </w:r>
            <w:r>
              <w:rPr>
                <w:rFonts w:hint="eastAsia" w:cs="宋体" w:asciiTheme="minorEastAsia" w:hAnsiTheme="minorEastAsia" w:eastAsiaTheme="minorEastAsia"/>
                <w:bCs/>
                <w:color w:val="auto"/>
                <w:sz w:val="24"/>
                <w:szCs w:val="24"/>
                <w:highlight w:val="none"/>
              </w:rPr>
              <w:t xml:space="preserve">分，正偏离不加分，最高分45分，最低分0分。</w:t>
            </w:r>
            <w:r>
              <w:rPr>
                <w:highlight w:val="none"/>
              </w:rPr>
            </w:r>
          </w:p>
          <w:p>
            <w:pPr>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bCs/>
                <w:color w:val="auto"/>
                <w:sz w:val="24"/>
                <w:szCs w:val="24"/>
                <w:highlight w:val="none"/>
              </w:rPr>
              <w:t xml:space="preserve">说明：供应商对于技术参数的响应，需提供制造商印发的技术白皮书或彩页资料等进行佐证或提供其他证明材料；对于投标过程中出现的虚假响应及证明材料不足以认定的情形，经评标委员会评定可按无效响应处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45</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left="24"/>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3</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left="91"/>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业绩</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numPr>
                <w:ilvl w:val="0"/>
                <w:numId w:val="0"/>
              </w:num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1、</w:t>
            </w:r>
            <w:r>
              <w:rPr>
                <w:rFonts w:hint="eastAsia" w:cs="宋体" w:asciiTheme="minorEastAsia" w:hAnsiTheme="minorEastAsia" w:eastAsiaTheme="minorEastAsia"/>
                <w:bCs/>
                <w:color w:val="000000"/>
                <w:sz w:val="24"/>
                <w:szCs w:val="24"/>
                <w:highlight w:val="none"/>
              </w:rPr>
              <w:t xml:space="preserve">提供自202</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年01月01日以来（以合同签订时间为准）的投标产品业绩，有1项得1分。</w:t>
            </w:r>
            <w:r>
              <w:rPr>
                <w:highlight w:val="none"/>
              </w:rPr>
            </w:r>
          </w:p>
          <w:p>
            <w:pPr>
              <w:numPr>
                <w:ilvl w:val="0"/>
                <w:numId w:val="0"/>
              </w:num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（投标时须提供合同扫描件加盖公章，同一采购单位业绩的不重复计分。合同须体现货物名称以及品牌型号，如合同未体现，须提供采购单位出具的证明文件扫描件）。如未按要求提供，不得分。</w:t>
            </w:r>
            <w:r>
              <w:rPr>
                <w:highlight w:val="none"/>
              </w:rPr>
            </w:r>
          </w:p>
          <w:p>
            <w:pPr>
              <w:numPr>
                <w:ilvl w:val="0"/>
                <w:numId w:val="0"/>
              </w:numPr>
              <w:ind w:left="0" w:firstLine="0"/>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2、</w:t>
            </w:r>
            <w:r>
              <w:rPr>
                <w:rFonts w:hint="eastAsia" w:cs="宋体" w:asciiTheme="minorEastAsia" w:hAnsiTheme="minorEastAsia" w:eastAsiaTheme="minorEastAsia"/>
                <w:bCs/>
                <w:color w:val="000000"/>
                <w:sz w:val="24"/>
                <w:szCs w:val="24"/>
                <w:highlight w:val="none"/>
                <w:lang w:val="en-US" w:eastAsia="zh-CN"/>
              </w:rPr>
              <w:t xml:space="preserve">若投标产品首次注册时间为2025年1月之后，无需提供相应业绩，得5分。</w:t>
            </w:r>
            <w:r>
              <w:rPr>
                <w:highlight w:val="none"/>
              </w:rPr>
            </w:r>
          </w:p>
          <w:p>
            <w:pPr>
              <w:numPr>
                <w:ilvl w:val="0"/>
                <w:numId w:val="0"/>
              </w:numPr>
              <w:ind w:left="0" w:firstLine="0"/>
              <w:rPr>
                <w:rFonts w:hint="default"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bidi="ar-SA"/>
              </w:rPr>
              <w:t xml:space="preserve">注：上述两种计分方案为互斥条款，同一投标产品只可选取其中一种得分方式核算分值，不可合并、叠加计分。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5</w:t>
            </w:r>
            <w:r>
              <w:rPr>
                <w:highlight w:val="none"/>
              </w:rPr>
            </w:r>
          </w:p>
        </w:tc>
      </w:tr>
      <w:tr>
        <w:trPr>
          <w:jc w:val="center"/>
          <w:trHeight w:val="585"/>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4</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ind w:hanging="8"/>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技术培训方案</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投标人提供对用户的操作培训、业务功能培训等相关培训计划方案，除正常操作培训外，针对甲方是教学培训单位的特点，提出其他技术培训保障方案；</w:t>
            </w:r>
            <w:r>
              <w:rPr>
                <w:highlight w:val="none"/>
              </w:rP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1、技术培训保障方案内容详实、科学、合理，考虑周全，培训计划针对性强、内容详实，培训人员配备齐全、技术水平高、分工明确、岗位设置科学合理，培训率承诺高，得</w:t>
            </w:r>
            <w:r>
              <w:rPr>
                <w:rFonts w:hint="eastAsia" w:cs="宋体" w:asciiTheme="minorEastAsia" w:hAnsiTheme="minorEastAsia" w:eastAsiaTheme="minorEastAsia"/>
                <w:bCs/>
                <w:color w:val="000000"/>
                <w:sz w:val="24"/>
                <w:szCs w:val="24"/>
                <w:highlight w:val="none"/>
                <w:lang w:val="en-US" w:eastAsia="zh-CN"/>
              </w:rPr>
              <w:t xml:space="preserve">8</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2、技术培训保障方案内容详实、考虑较全，培训计划具体，培训人员齐全，培训率承诺较高，得</w:t>
            </w:r>
            <w:r>
              <w:rPr>
                <w:rFonts w:hint="eastAsia" w:cs="宋体" w:asciiTheme="minorEastAsia" w:hAnsiTheme="minorEastAsia" w:eastAsiaTheme="minorEastAsia"/>
                <w:bCs/>
                <w:color w:val="000000"/>
                <w:sz w:val="24"/>
                <w:szCs w:val="24"/>
                <w:highlight w:val="none"/>
                <w:lang w:val="en-US" w:eastAsia="zh-CN"/>
              </w:rPr>
              <w:t xml:space="preserve">5</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3、技术培训保障方案表述简单，培训计划简单、培训人员较少，培训率承诺一般，得</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4、未提供方案或方案无可行性不得分。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8</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5</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售后服务实施方案</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售后服务实施响应：根据投标人质保期内售后服务（响应时间，回访巡检方案、故障解决措施、技术人员保障、备品配件价格等）、</w:t>
            </w:r>
            <w:r>
              <w:rPr>
                <w:rFonts w:hint="eastAsia" w:cs="宋体" w:asciiTheme="minorEastAsia" w:hAnsiTheme="minorEastAsia" w:eastAsiaTheme="minorEastAsia"/>
                <w:bCs/>
                <w:color w:val="000000"/>
                <w:sz w:val="24"/>
                <w:szCs w:val="24"/>
                <w:highlight w:val="none"/>
                <w:lang w:val="en-US" w:eastAsia="zh-CN"/>
              </w:rPr>
              <w:t xml:space="preserve">驻地</w:t>
            </w:r>
            <w:r>
              <w:rPr>
                <w:rFonts w:hint="eastAsia" w:cs="宋体" w:asciiTheme="minorEastAsia" w:hAnsiTheme="minorEastAsia" w:eastAsiaTheme="minorEastAsia"/>
                <w:bCs/>
                <w:color w:val="000000"/>
                <w:sz w:val="24"/>
                <w:szCs w:val="24"/>
                <w:highlight w:val="none"/>
              </w:rPr>
              <w:t xml:space="preserve">服务方案（各服务网点、维修网点设置情况以及技术人员安排情况）等服务内容</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1）售后方案内容详实、科学、合理，考虑周全，对产品质量管控措施要求全面到位，相关服务承诺内容详实，人员配备齐全，分工明确、岗位设置科学合理，人员配备齐全、设备配备齐全、先进者得</w:t>
            </w:r>
            <w:r>
              <w:rPr>
                <w:rFonts w:hint="eastAsia" w:cs="宋体" w:asciiTheme="minorEastAsia" w:hAnsiTheme="minorEastAsia" w:eastAsiaTheme="minorEastAsia"/>
                <w:bCs/>
                <w:color w:val="000000"/>
                <w:sz w:val="24"/>
                <w:szCs w:val="24"/>
                <w:highlight w:val="none"/>
                <w:lang w:val="en-US" w:eastAsia="zh-CN"/>
              </w:rPr>
              <w:t xml:space="preserve">7</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2）售后方案内容详实、考虑较全，对产品质量管控措施要求到位，相关服务承诺内容具体，人员配备齐全、设备配备齐全者得</w:t>
            </w:r>
            <w:r>
              <w:rPr>
                <w:rFonts w:hint="eastAsia" w:cs="宋体" w:asciiTheme="minorEastAsia" w:hAnsiTheme="minorEastAsia" w:eastAsiaTheme="minorEastAsia"/>
                <w:bCs/>
                <w:color w:val="000000"/>
                <w:sz w:val="24"/>
                <w:szCs w:val="24"/>
                <w:highlight w:val="none"/>
                <w:lang w:val="en-US" w:eastAsia="zh-CN"/>
              </w:rPr>
              <w:t xml:space="preserve">4</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3）技术培训保障方案表述简单，培训计划简单、培训人员较少，培训率承诺一般者得1分；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4）未提供服务方案的不得分。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7</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W w:w="1104" w:type="dxa"/>
            <w:vAlign w:val="center"/>
            <w:textDirection w:val="lrTb"/>
            <w:noWrap w:val="false"/>
          </w:tcPr>
          <w:p>
            <w:pPr>
              <w:ind w:firstLine="22"/>
              <w:jc w:val="center"/>
              <w:rPr>
                <w:rFonts w:hint="eastAsia"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6</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4"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产品</w:t>
            </w:r>
            <w:r>
              <w:rPr>
                <w:rFonts w:hint="eastAsia" w:cs="宋体" w:asciiTheme="minorEastAsia" w:hAnsiTheme="minorEastAsia" w:eastAsiaTheme="minorEastAsia"/>
                <w:bCs/>
                <w:color w:val="000000"/>
                <w:sz w:val="24"/>
                <w:szCs w:val="24"/>
                <w:highlight w:val="none"/>
                <w:lang w:val="en-US" w:eastAsia="zh-CN"/>
              </w:rPr>
              <w:t xml:space="preserve">性能的先进性</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2" w:type="dxa"/>
            <w:vAlign w:val="center"/>
            <w:textDirection w:val="lrTb"/>
            <w:noWrap w:val="false"/>
          </w:tcPr>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rPr>
              <w:t xml:space="preserve">产品综合性能评价：由评委根据根据所投设备的配置选型及品牌、所投产品的设计、制造</w:t>
            </w:r>
            <w:r>
              <w:rPr>
                <w:rFonts w:hint="eastAsia" w:cs="宋体" w:asciiTheme="minorEastAsia" w:hAnsiTheme="minorEastAsia" w:eastAsiaTheme="minorEastAsia"/>
                <w:bCs/>
                <w:color w:val="000000"/>
                <w:sz w:val="24"/>
                <w:szCs w:val="24"/>
                <w:highlight w:val="none"/>
                <w:lang w:val="en-US" w:eastAsia="zh-CN"/>
              </w:rPr>
              <w:t xml:space="preserve">技术以及产品性能先进性</w:t>
            </w:r>
            <w:r>
              <w:rPr>
                <w:rFonts w:hint="eastAsia" w:cs="宋体" w:asciiTheme="minorEastAsia" w:hAnsiTheme="minorEastAsia" w:eastAsiaTheme="minorEastAsia"/>
                <w:bCs/>
                <w:color w:val="000000"/>
                <w:sz w:val="24"/>
                <w:szCs w:val="24"/>
                <w:highlight w:val="none"/>
              </w:rPr>
              <w:t xml:space="preserve">等因素，结合投标文件提供的佐证材料等进行评审。佐证材料包括但不限于产品技术彩页、技术指标的描述、检测文件及证明照片等内容。</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1）佐证材料全面、产品性能先进性优</w:t>
            </w:r>
            <w:r>
              <w:rPr>
                <w:rFonts w:hint="eastAsia" w:cs="宋体" w:asciiTheme="minorEastAsia" w:hAnsiTheme="minorEastAsia" w:eastAsiaTheme="minorEastAsia"/>
                <w:bCs/>
                <w:color w:val="000000"/>
                <w:sz w:val="24"/>
                <w:szCs w:val="24"/>
                <w:highlight w:val="none"/>
              </w:rPr>
              <w:t xml:space="preserve">得</w:t>
            </w:r>
            <w:r>
              <w:rPr>
                <w:rFonts w:hint="eastAsia" w:cs="宋体" w:asciiTheme="minorEastAsia" w:hAnsiTheme="minorEastAsia" w:eastAsiaTheme="minorEastAsia"/>
                <w:bCs/>
                <w:color w:val="000000"/>
                <w:sz w:val="24"/>
                <w:szCs w:val="24"/>
                <w:highlight w:val="none"/>
                <w:lang w:val="en-US" w:eastAsia="zh-CN"/>
              </w:rPr>
              <w:t xml:space="preserve">5</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2）佐证材料</w:t>
            </w:r>
            <w:r>
              <w:rPr>
                <w:rFonts w:hint="eastAsia" w:cs="宋体" w:asciiTheme="minorEastAsia" w:hAnsiTheme="minorEastAsia" w:eastAsiaTheme="minorEastAsia"/>
                <w:bCs/>
                <w:color w:val="000000"/>
                <w:sz w:val="24"/>
                <w:szCs w:val="24"/>
                <w:highlight w:val="none"/>
              </w:rPr>
              <w:t xml:space="preserve">符合招标文件要求</w:t>
            </w:r>
            <w:r>
              <w:rPr>
                <w:rFonts w:hint="eastAsia" w:cs="宋体" w:asciiTheme="minorEastAsia" w:hAnsiTheme="minorEastAsia" w:eastAsiaTheme="minorEastAsia"/>
                <w:bCs/>
                <w:color w:val="000000"/>
                <w:sz w:val="24"/>
                <w:szCs w:val="24"/>
                <w:highlight w:val="none"/>
                <w:lang w:eastAsia="zh-CN"/>
              </w:rPr>
              <w:t xml:space="preserve">，</w:t>
            </w:r>
            <w:r>
              <w:rPr>
                <w:rFonts w:hint="eastAsia" w:cs="宋体" w:asciiTheme="minorEastAsia" w:hAnsiTheme="minorEastAsia" w:eastAsiaTheme="minorEastAsia"/>
                <w:bCs/>
                <w:color w:val="000000"/>
                <w:sz w:val="24"/>
                <w:szCs w:val="24"/>
                <w:highlight w:val="none"/>
                <w:lang w:val="en-US" w:eastAsia="zh-CN"/>
              </w:rPr>
              <w:t xml:space="preserve">产品性能先进性较优</w:t>
            </w:r>
            <w:r>
              <w:rPr>
                <w:rFonts w:hint="eastAsia" w:cs="宋体" w:asciiTheme="minorEastAsia" w:hAnsiTheme="minorEastAsia" w:eastAsiaTheme="minorEastAsia"/>
                <w:bCs/>
                <w:color w:val="000000"/>
                <w:sz w:val="24"/>
                <w:szCs w:val="24"/>
                <w:highlight w:val="none"/>
              </w:rPr>
              <w:t xml:space="preserve">得</w:t>
            </w:r>
            <w:r>
              <w:rPr>
                <w:rFonts w:hint="eastAsia" w:cs="宋体" w:asciiTheme="minorEastAsia" w:hAnsiTheme="minorEastAsia" w:eastAsiaTheme="minorEastAsia"/>
                <w:bCs/>
                <w:color w:val="000000"/>
                <w:sz w:val="24"/>
                <w:szCs w:val="24"/>
                <w:highlight w:val="none"/>
                <w:lang w:val="en-US" w:eastAsia="zh-CN"/>
              </w:rPr>
              <w:t xml:space="preserve">3</w:t>
            </w:r>
            <w:r>
              <w:rPr>
                <w:rFonts w:hint="eastAsia" w:cs="宋体" w:asciiTheme="minorEastAsia" w:hAnsiTheme="minorEastAsia" w:eastAsiaTheme="minorEastAsia"/>
                <w:bCs/>
                <w:color w:val="000000"/>
                <w:sz w:val="24"/>
                <w:szCs w:val="24"/>
                <w:highlight w:val="none"/>
              </w:rPr>
              <w:t xml:space="preserve">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3）佐证材料准备不够齐全，产品性能先进性一般</w:t>
            </w:r>
            <w:r>
              <w:rPr>
                <w:rFonts w:hint="eastAsia" w:cs="宋体" w:asciiTheme="minorEastAsia" w:hAnsiTheme="minorEastAsia" w:eastAsiaTheme="minorEastAsia"/>
                <w:bCs/>
                <w:color w:val="000000"/>
                <w:sz w:val="24"/>
                <w:szCs w:val="24"/>
                <w:highlight w:val="none"/>
              </w:rPr>
              <w:t xml:space="preserve">得1分，</w:t>
            </w:r>
            <w:r>
              <w:rPr>
                <w:highlight w:val="none"/>
              </w:rPr>
            </w:r>
          </w:p>
          <w:p>
            <w:pPr>
              <w:rPr>
                <w:rFonts w:hint="eastAsia" w:cs="宋体" w:asciiTheme="minorEastAsia" w:hAnsiTheme="minorEastAsia" w:eastAsiaTheme="minorEastAsia"/>
                <w:bCs/>
                <w:color w:val="000000"/>
                <w:sz w:val="24"/>
                <w:szCs w:val="24"/>
                <w:highlight w:val="none"/>
              </w:rPr>
            </w:pPr>
            <w:r>
              <w:rPr>
                <w:rFonts w:hint="eastAsia" w:cs="宋体" w:asciiTheme="minorEastAsia" w:hAnsiTheme="minorEastAsia" w:eastAsiaTheme="minorEastAsia"/>
                <w:bCs/>
                <w:color w:val="000000"/>
                <w:sz w:val="24"/>
                <w:szCs w:val="24"/>
                <w:highlight w:val="none"/>
                <w:lang w:val="en-US" w:eastAsia="zh-CN"/>
              </w:rPr>
              <w:t xml:space="preserve">4）</w:t>
            </w:r>
            <w:r>
              <w:rPr>
                <w:rFonts w:hint="eastAsia" w:cs="宋体" w:asciiTheme="minorEastAsia" w:hAnsiTheme="minorEastAsia" w:eastAsiaTheme="minorEastAsia"/>
                <w:bCs/>
                <w:color w:val="000000"/>
                <w:sz w:val="24"/>
                <w:szCs w:val="24"/>
                <w:highlight w:val="none"/>
              </w:rPr>
              <w:t xml:space="preserve">未提供有效佐证材料不得分。</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default" w:cs="宋体" w:asciiTheme="minorEastAsia" w:hAnsiTheme="minorEastAsia" w:eastAsiaTheme="minorEastAsia"/>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lang w:val="en-US" w:eastAsia="zh-CN"/>
              </w:rPr>
              <w:t xml:space="preserve">5</w:t>
            </w:r>
            <w:r>
              <w:rPr>
                <w:highlight w:val="none"/>
              </w:rPr>
            </w:r>
          </w:p>
        </w:tc>
      </w:tr>
      <w:tr>
        <w:trPr>
          <w:jc w:val="center"/>
        </w:trPr>
        <w:tc>
          <w:tcPr>
            <w:gridSpan w:val="3"/>
            <w:tcBorders>
              <w:top w:val="none" w:color="000000" w:sz="4" w:space="0"/>
              <w:left w:val="single" w:color="000000" w:sz="8" w:space="0"/>
              <w:bottom w:val="single" w:color="000000" w:sz="8" w:space="0"/>
              <w:right w:val="single" w:color="000000" w:sz="8" w:space="0"/>
            </w:tcBorders>
            <w:tcW w:w="7860" w:type="dxa"/>
            <w:textDirection w:val="lrTb"/>
            <w:noWrap w:val="false"/>
          </w:tcPr>
          <w:p>
            <w:pPr>
              <w:jc w:val="center"/>
              <w:rPr>
                <w:rFonts w:hint="eastAsia" w:cs="宋体" w:asciiTheme="minorEastAsia" w:hAnsiTheme="minorEastAsia" w:eastAsia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color w:val="000000"/>
                <w:sz w:val="24"/>
                <w:szCs w:val="24"/>
                <w:highlight w:val="none"/>
              </w:rPr>
              <w:t xml:space="preserve">合计</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jc w:val="center"/>
              <w:rPr>
                <w:rFonts w:hint="eastAsia" w:cs="宋体" w:asciiTheme="minorEastAsia" w:hAnsiTheme="minorEastAsia" w:eastAsiaTheme="minorEastAsia"/>
                <w:bCs/>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szCs w:val="24"/>
                <w:highlight w:val="none"/>
              </w:rPr>
              <w:t xml:space="preserve">100</w:t>
            </w:r>
            <w:r>
              <w:rPr>
                <w:highlight w:val="none"/>
              </w:rPr>
            </w:r>
          </w:p>
        </w:tc>
      </w:tr>
    </w:tbl>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p>
    <w:p>
      <w:pPr>
        <w:ind w:left="0" w:right="0" w:firstLine="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五、推荐中标候选人:</w:t>
      </w:r>
      <w:r>
        <w:rPr>
          <w:highlight w:val="none"/>
        </w:rPr>
      </w:r>
    </w:p>
    <w:p>
      <w:pPr>
        <w:ind w:left="0" w:right="0" w:firstLine="488"/>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汇总上述各项分值（保留两位小数,小数点后第三位四舍五入），按总得分由高到低的顺序排列,综合得分最高的为中标候选人。</w:t>
      </w:r>
      <w:r>
        <w:rPr>
          <w:highlight w:val="none"/>
        </w:rPr>
      </w:r>
    </w:p>
    <w:p>
      <w:pPr>
        <w:ind w:left="0" w:right="0" w:firstLine="0"/>
        <w:spacing w:before="0" w:after="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r>
      <w:r>
        <w:rPr>
          <w:highlight w:val="none"/>
        </w:rPr>
      </w:r>
    </w:p>
    <w:p>
      <w:pPr>
        <w:jc w:val="center"/>
        <w:spacing w:line="300" w:lineRule="auto"/>
        <w:rPr>
          <w:rFonts w:hint="eastAsia" w:cs="仿宋" w:asciiTheme="minorEastAsia" w:hAnsiTheme="minorEastAsia" w:eastAsiaTheme="minorEastAsia"/>
          <w:b/>
          <w:color w:val="000000" w:themeColor="text1"/>
          <w:sz w:val="32"/>
          <w:szCs w:val="32"/>
          <w:highlight w:val="none"/>
          <w14:textFill>
            <w14:solidFill>
              <w14:schemeClr w14:val="tx1"/>
            </w14:solidFill>
          </w14:textFill>
        </w:rPr>
        <w:outlineLvl w:val="0"/>
      </w:pPr>
      <w:r>
        <w:rPr>
          <w:rFonts w:hint="eastAsia" w:cs="仿宋" w:asciiTheme="minorEastAsia" w:hAnsiTheme="minorEastAsia" w:eastAsiaTheme="minorEastAsia"/>
          <w:b/>
          <w:color w:val="000000" w:themeColor="text1"/>
          <w:sz w:val="32"/>
          <w:szCs w:val="32"/>
          <w:highlight w:val="none"/>
          <w14:textFill>
            <w14:solidFill>
              <w14:schemeClr w14:val="tx1"/>
            </w14:solidFill>
          </w14:textFill>
        </w:rPr>
        <w:t xml:space="preserve">第五章 合同条款</w:t>
      </w:r>
      <w:r>
        <w:rPr>
          <w:highlight w:val="none"/>
        </w:rPr>
      </w:r>
    </w:p>
    <w:p>
      <w:pPr>
        <w:ind w:firstLine="567"/>
        <w:jc w:val="center"/>
        <w:rPr>
          <w:rFonts w:hint="eastAsia"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14:textFill>
            <w14:solidFill>
              <w14:schemeClr w14:val="tx1"/>
            </w14:solidFill>
          </w14:textFill>
        </w:rPr>
      </w:r>
      <w:r>
        <w:rPr>
          <w:highlight w:val="none"/>
        </w:rPr>
      </w:r>
    </w:p>
    <w:p>
      <w:pPr>
        <w:ind w:firstLine="480"/>
        <w:spacing w:line="360" w:lineRule="auto"/>
        <w:rPr>
          <w:rFonts w:hint="eastAsia" w:asciiTheme="minorEastAsia" w:hAnsiTheme="minorEastAsia" w:eastAsiaTheme="minorEastAsia"/>
          <w:bCs/>
          <w:sz w:val="24"/>
          <w:szCs w:val="24"/>
          <w:highlight w:val="none"/>
        </w:rPr>
      </w:pPr>
      <w:r>
        <w:rPr>
          <w:rFonts w:hint="eastAsia" w:asciiTheme="minorEastAsia" w:hAnsiTheme="minorEastAsia" w:eastAsiaTheme="minorEastAsia"/>
          <w:bCs/>
          <w:sz w:val="24"/>
          <w:szCs w:val="24"/>
          <w:highlight w:val="none"/>
        </w:rPr>
        <w:t xml:space="preserve">注：本合同仅为合同的参考文本，合同签订双方可根据项目的具体要求进行修订，但不得更改实质性要求。</w:t>
      </w:r>
      <w:r>
        <w:rPr>
          <w:highlight w:val="none"/>
        </w:rPr>
      </w:r>
    </w:p>
    <w:p>
      <w:pPr>
        <w:ind w:firstLine="480"/>
        <w:spacing w:line="360" w:lineRule="auto"/>
        <w:rPr>
          <w:rFonts w:hint="eastAsia" w:ascii="宋体" w:hAnsi="宋体" w:eastAsia="宋体" w:cs="宋体"/>
          <w:bCs/>
          <w:position w:val="-10"/>
          <w:sz w:val="24"/>
          <w:highlight w:val="none"/>
        </w:rPr>
      </w:pPr>
      <w:r>
        <w:rPr>
          <w:highlight w:val="none"/>
        </w:rPr>
      </w:r>
      <w:bookmarkStart w:id="0" w:name="_Toc16938559"/>
      <w:r>
        <w:rPr>
          <w:highlight w:val="none"/>
        </w:rPr>
      </w:r>
      <w:bookmarkStart w:id="1" w:name="_Toc20823315"/>
      <w:r>
        <w:rPr>
          <w:highlight w:val="none"/>
        </w:rPr>
      </w:r>
      <w:bookmarkStart w:id="2" w:name="_Toc513029243"/>
      <w:r>
        <w:rPr>
          <w:rFonts w:hint="eastAsia" w:ascii="宋体" w:hAnsi="宋体" w:eastAsia="宋体" w:cs="宋体"/>
          <w:bCs/>
          <w:position w:val="-10"/>
          <w:sz w:val="24"/>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0"/>
      <w:r>
        <w:rPr>
          <w:highlight w:val="none"/>
        </w:rPr>
      </w:r>
      <w:bookmarkEnd w:id="1"/>
      <w:r>
        <w:rPr>
          <w:highlight w:val="none"/>
        </w:rPr>
      </w:r>
      <w:bookmarkEnd w:id="2"/>
      <w:r>
        <w:rPr>
          <w:highlight w:val="none"/>
        </w:rPr>
      </w:r>
      <w:r>
        <w:rPr>
          <w:highlight w:val="none"/>
        </w:rPr>
      </w:r>
    </w:p>
    <w:p>
      <w:pPr>
        <w:rPr>
          <w:rFonts w:hint="eastAsia"/>
          <w:b/>
          <w:color w:val="auto"/>
          <w:sz w:val="30"/>
          <w:szCs w:val="30"/>
          <w:highlight w:val="none"/>
        </w:rPr>
      </w:pPr>
      <w:r>
        <w:rPr>
          <w:rFonts w:hint="eastAsia"/>
          <w:b/>
          <w:color w:val="auto"/>
          <w:sz w:val="30"/>
          <w:szCs w:val="30"/>
          <w:highlight w:val="none"/>
        </w:rPr>
        <w:br w:type="page" w:clear="all"/>
      </w:r>
      <w:r>
        <w:rPr>
          <w:highlight w:val="none"/>
        </w:rPr>
      </w:r>
    </w:p>
    <w:p>
      <w:pPr>
        <w:jc w:val="center"/>
        <w:keepLines w:val="0"/>
        <w:keepNext w:val="0"/>
        <w:pageBreakBefore w:val="0"/>
        <w:spacing w:line="440" w:lineRule="exact"/>
        <w:rPr>
          <w:rFonts w:hint="eastAsia" w:eastAsia="宋体"/>
          <w:b/>
          <w:color w:val="auto"/>
          <w:sz w:val="30"/>
          <w:szCs w:val="30"/>
          <w:highlight w:val="none"/>
        </w:rPr>
      </w:pPr>
      <w:r>
        <w:rPr>
          <w:rFonts w:hint="eastAsia"/>
          <w:b/>
          <w:color w:val="auto"/>
          <w:sz w:val="30"/>
          <w:szCs w:val="30"/>
          <w:highlight w:val="none"/>
        </w:rPr>
        <w:t xml:space="preserve">合   同</w:t>
      </w:r>
      <w:r>
        <w:rPr>
          <w:highlight w:val="none"/>
        </w:rP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乙方： </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ab/>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经甲、乙双方协商，就乙方销售给甲方设备，特订立本合同。</w:t>
      </w:r>
      <w:r>
        <w:rPr>
          <w:highlight w:val="none"/>
        </w:rPr>
      </w:r>
    </w:p>
    <w:p>
      <w:pPr>
        <w:numPr>
          <w:ilvl w:val="0"/>
          <w:numId w:val="4"/>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设备名称、型号、数量和价格</w:t>
      </w:r>
      <w:r>
        <w:rPr>
          <w:highlight w:val="none"/>
        </w:rPr>
      </w:r>
    </w:p>
    <w:tbl>
      <w:tblPr>
        <w:tblStyle w:val="749"/>
        <w:tblW w:w="0" w:type="auto"/>
        <w:jc w:val="center"/>
        <w:tblLayout w:type="fixed"/>
        <w:tblCellMar>
          <w:left w:w="15" w:type="dxa"/>
          <w:top w:w="15" w:type="dxa"/>
          <w:right w:w="15" w:type="dxa"/>
          <w:bottom w:w="15" w:type="dxa"/>
        </w:tblCellMar>
        <w:tblLook w:val="04A0" w:firstRow="1" w:lastRow="0" w:firstColumn="1" w:lastColumn="0" w:noHBand="0" w:noVBand="1"/>
      </w:tblPr>
      <w:tblGrid>
        <w:gridCol w:w="2181"/>
        <w:gridCol w:w="1552"/>
        <w:gridCol w:w="1095"/>
        <w:gridCol w:w="683"/>
        <w:gridCol w:w="705"/>
        <w:gridCol w:w="1185"/>
        <w:gridCol w:w="765"/>
        <w:gridCol w:w="2055"/>
      </w:tblGrid>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设备名称</w:t>
            </w:r>
            <w:r>
              <w:rPr>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规格型号</w:t>
            </w:r>
            <w:r>
              <w:rPr>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t xml:space="preserve">生产厂家</w:t>
            </w:r>
            <w:r>
              <w:rPr>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eastAsia="zh-CN"/>
              </w:rPr>
              <w:t xml:space="preserve">注册证号</w:t>
            </w:r>
            <w:r>
              <w:rPr>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bidi="ar"/>
              </w:rPr>
              <w:t xml:space="preserve">单</w:t>
            </w:r>
            <w:r>
              <w:rPr>
                <w:rFonts w:hint="eastAsia" w:hAnsi="宋体" w:cs="宋体"/>
                <w:color w:val="auto"/>
                <w:sz w:val="21"/>
                <w:szCs w:val="21"/>
                <w:highlight w:val="none"/>
                <w:lang w:eastAsia="zh-CN" w:bidi="ar"/>
              </w:rPr>
              <w:t xml:space="preserve">位</w:t>
            </w:r>
            <w:r>
              <w:rPr>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单价（元）</w:t>
            </w:r>
            <w:r>
              <w:rPr>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数量</w:t>
            </w:r>
            <w:r>
              <w:rPr>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成交总价（元）</w:t>
            </w:r>
            <w:r>
              <w:rPr>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210"/>
              <w:keepLines w:val="0"/>
              <w:keepNext w:val="0"/>
              <w:pageBreakBefore w:val="0"/>
              <w:spacing w:line="440" w:lineRule="exact"/>
              <w:widowControl/>
              <w:rPr>
                <w:rFonts w:hint="eastAsia" w:hAnsi="宋体" w:eastAsia="宋体" w:cs="宋体"/>
                <w:color w:val="auto"/>
                <w:sz w:val="21"/>
                <w:szCs w:val="21"/>
                <w:highlight w:val="none"/>
              </w:rPr>
            </w:pPr>
            <w:r>
              <w:rPr>
                <w:rFonts w:hint="eastAsia" w:hAnsi="宋体" w:cs="宋体"/>
                <w:color w:val="auto"/>
                <w:sz w:val="21"/>
                <w:szCs w:val="21"/>
                <w:highlight w:val="none"/>
                <w:lang w:val="en-US" w:eastAsia="zh-CN" w:bidi="ar"/>
              </w:rPr>
              <w:t xml:space="preserve"> </w:t>
            </w:r>
            <w:r>
              <w:rPr>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21"/>
                <w:szCs w:val="21"/>
                <w:highlight w:val="none"/>
                <w:lang w:bidi="ar"/>
              </w:rPr>
              <w:t xml:space="preserve">￥</w:t>
            </w:r>
            <w:r>
              <w:rPr>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lang w:bidi="ar"/>
              </w:rPr>
            </w:r>
            <w:r>
              <w:rPr>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w:t>
            </w:r>
            <w:r>
              <w:rPr>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r>
      <w:tr>
        <w:trPr>
          <w:jc w:val="cente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rPr>
                <w:highlight w:val="none"/>
              </w:rPr>
            </w:r>
          </w:p>
        </w:tc>
        <w:tc>
          <w:tcPr>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c>
          <w:tcPr>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rPr>
                <w:highlight w:val="none"/>
              </w:rPr>
            </w:r>
          </w:p>
        </w:tc>
      </w:tr>
      <w:tr>
        <w:trPr>
          <w:jc w:val="center"/>
          <w:trHeight w:val="283"/>
        </w:trPr>
        <w:tc>
          <w:tcPr>
            <w:gridSpan w:val="5"/>
            <w:tcBorders>
              <w:top w:val="single" w:color="000000" w:sz="4" w:space="0"/>
              <w:left w:val="single" w:color="000000" w:sz="4" w:space="0"/>
              <w:bottom w:val="single" w:color="000000" w:sz="4" w:space="0"/>
              <w:right w:val="single" w:color="auto" w:sz="4" w:space="0"/>
            </w:tcBorders>
            <w:tcW w:w="6216" w:type="dxa"/>
            <w:vAlign w:val="center"/>
            <w:textDirection w:val="lrTb"/>
            <w:noWrap w:val="false"/>
          </w:tcPr>
          <w:p>
            <w:pPr>
              <w:jc w:val="left"/>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18"/>
                <w:szCs w:val="18"/>
                <w:highlight w:val="none"/>
                <w:lang w:bidi="ar"/>
              </w:rPr>
              <w:t xml:space="preserve">总计（大写）：人民币</w:t>
            </w:r>
            <w:r>
              <w:rPr>
                <w:highlight w:val="none"/>
              </w:rPr>
            </w:r>
          </w:p>
        </w:tc>
        <w:tc>
          <w:tcPr>
            <w:gridSpan w:val="2"/>
            <w:tcBorders>
              <w:top w:val="single" w:color="auto" w:sz="4" w:space="0"/>
              <w:left w:val="single" w:color="auto" w:sz="4" w:space="0"/>
              <w:bottom w:val="single" w:color="auto" w:sz="4" w:space="0"/>
              <w:right w:val="none" w:color="000000" w:sz="4" w:space="0"/>
            </w:tcBorders>
            <w:tcW w:w="1950"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（小写）：￥</w:t>
            </w:r>
            <w:r>
              <w:rPr>
                <w:highlight w:val="none"/>
              </w:rP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r>
            <w:r>
              <w:rPr>
                <w:highlight w:val="none"/>
              </w:rPr>
            </w:r>
          </w:p>
        </w:tc>
      </w:tr>
    </w:tbl>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二、设备详细配置清单见附件。</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此设备于________年________月_________日已招标。</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三、付款方式：设备安装、调试、验收合格后凭验收合格报告付合同价的90%，余款2025年年底付款。</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交货期：合同签定之日起</w:t>
      </w:r>
      <w:r>
        <w:rPr>
          <w:rFonts w:hint="eastAsia"/>
          <w:color w:val="auto"/>
          <w:sz w:val="21"/>
          <w:szCs w:val="21"/>
          <w:highlight w:val="none"/>
          <w:u w:val="single"/>
        </w:rPr>
        <w:t xml:space="preserve">   </w:t>
      </w:r>
      <w:r>
        <w:rPr>
          <w:rFonts w:hint="eastAsia"/>
          <w:color w:val="auto"/>
          <w:sz w:val="21"/>
          <w:szCs w:val="21"/>
          <w:highlight w:val="none"/>
        </w:rPr>
        <w:t xml:space="preserve"> 天之内货物运抵医院。</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交货地点：泰兴市人民医院，使用科室____________</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质保期：上述设备免费原厂</w:t>
      </w:r>
      <w:r>
        <w:rPr>
          <w:rFonts w:hint="eastAsia"/>
          <w:color w:val="auto"/>
          <w:sz w:val="21"/>
          <w:szCs w:val="21"/>
          <w:highlight w:val="none"/>
          <w:lang w:eastAsia="zh-CN"/>
        </w:rPr>
        <w:t xml:space="preserve">整机</w:t>
      </w:r>
      <w:r>
        <w:rPr>
          <w:rFonts w:hint="eastAsia"/>
          <w:color w:val="auto"/>
          <w:sz w:val="21"/>
          <w:szCs w:val="21"/>
          <w:highlight w:val="none"/>
        </w:rPr>
        <w:t xml:space="preserve">保修</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000000" w:themeColor="text1"/>
          <w:sz w:val="21"/>
          <w:szCs w:val="21"/>
          <w:highlight w:val="none"/>
          <w:lang w:eastAsia="zh-CN"/>
          <w14:textFill>
            <w14:solidFill>
              <w14:schemeClr w14:val="tx1"/>
            </w14:solidFill>
          </w14:textFill>
        </w:rPr>
        <w:t xml:space="preserve">出保后每年的整机维保费用</w:t>
      </w:r>
      <w:r>
        <w:rPr>
          <w:rFonts w:hint="eastAsia"/>
          <w:color w:val="000000" w:themeColor="text1"/>
          <w:sz w:val="21"/>
          <w:szCs w:val="21"/>
          <w:highlight w:val="none"/>
          <w:u w:val="single"/>
          <w:lang w:val="en-US" w:eastAsia="zh-CN"/>
          <w14:textFill>
            <w14:solidFill>
              <w14:schemeClr w14:val="tx1"/>
            </w14:solidFill>
          </w14:textFill>
        </w:rPr>
        <w:t xml:space="preserve">    </w:t>
      </w:r>
      <w:r>
        <w:rPr>
          <w:rFonts w:hint="eastAsia"/>
          <w:color w:val="000000" w:themeColor="text1"/>
          <w:sz w:val="21"/>
          <w:szCs w:val="21"/>
          <w:highlight w:val="none"/>
          <w:u w:val="none"/>
          <w:lang w:val="en-US" w:eastAsia="zh-CN"/>
          <w14:textFill>
            <w14:solidFill>
              <w14:schemeClr w14:val="tx1"/>
            </w14:solidFill>
          </w14:textFill>
        </w:rPr>
        <w:t xml:space="preserve">万元/年；</w:t>
      </w:r>
      <w:r>
        <w:rPr>
          <w:rFonts w:hint="eastAsia"/>
          <w:color w:val="auto"/>
          <w:sz w:val="21"/>
          <w:szCs w:val="21"/>
          <w:highlight w:val="none"/>
        </w:rPr>
        <w:t xml:space="preserve">保修期外乙方对本设备终身负责维修。</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资质、质量要求及技术标准：</w:t>
      </w:r>
      <w:r>
        <w:rPr>
          <w:highlight w:val="none"/>
        </w:rPr>
      </w:r>
    </w:p>
    <w:p>
      <w:pPr>
        <w:keepLines w:val="0"/>
        <w:keepNext w:val="0"/>
        <w:pageBreakBefore w:val="0"/>
        <w:spacing w:line="440" w:lineRule="exact"/>
        <w:rPr>
          <w:rFonts w:hint="eastAsia"/>
          <w:b/>
          <w:color w:val="auto"/>
          <w:sz w:val="21"/>
          <w:szCs w:val="21"/>
          <w:highlight w:val="none"/>
        </w:rPr>
      </w:pPr>
      <w:r>
        <w:rPr>
          <w:rFonts w:hint="eastAsia"/>
          <w:color w:val="auto"/>
          <w:sz w:val="21"/>
          <w:szCs w:val="21"/>
          <w:highlight w:val="none"/>
        </w:rPr>
        <w:t xml:space="preserve">1．特别提醒条款：</w:t>
      </w:r>
      <w:r>
        <w:rPr>
          <w:rFonts w:hint="eastAsia"/>
          <w:b/>
          <w:color w:val="auto"/>
          <w:sz w:val="21"/>
          <w:szCs w:val="21"/>
          <w:highlight w:val="none"/>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市场监督管理总局的相关规定。以上条款必须满足，否则由此引起的一切责任由乙方负责。</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2．乙方保证向甲方提供的设备满足中国国家标准或相关行业标准。根据国家规定，如需要提供3</w:t>
      </w:r>
      <w:r>
        <w:rPr>
          <w:color w:val="auto"/>
          <w:sz w:val="21"/>
          <w:szCs w:val="21"/>
          <w:highlight w:val="none"/>
        </w:rPr>
        <w:t xml:space="preserve">C</w:t>
      </w:r>
      <w:r>
        <w:rPr>
          <w:rFonts w:hint="eastAsia"/>
          <w:color w:val="auto"/>
          <w:sz w:val="21"/>
          <w:szCs w:val="21"/>
          <w:highlight w:val="none"/>
        </w:rPr>
        <w:t xml:space="preserve">认证证书和标记的设备及有关配置，必须提供上述证书和标记。</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3．乙方保证所供设备型号是最新的，且是用上等材料和工艺制成、全新，并严格保持原包装，否则造成的一切损失由乙方负全部责任。</w:t>
      </w:r>
      <w:r>
        <w:rPr>
          <w:highlight w:val="none"/>
        </w:rPr>
      </w:r>
    </w:p>
    <w:p>
      <w:pPr>
        <w:keepLines w:val="0"/>
        <w:keepNext w:val="0"/>
        <w:pageBreakBefore w:val="0"/>
        <w:spacing w:line="440" w:lineRule="exact"/>
        <w:rPr>
          <w:rFonts w:hint="eastAsia"/>
          <w:color w:val="auto"/>
          <w:sz w:val="21"/>
          <w:szCs w:val="21"/>
          <w:highlight w:val="none"/>
          <w:u w:val="single"/>
        </w:rPr>
      </w:pPr>
      <w:r>
        <w:rPr>
          <w:rFonts w:hint="eastAsia"/>
          <w:color w:val="auto"/>
          <w:sz w:val="21"/>
          <w:szCs w:val="21"/>
          <w:highlight w:val="none"/>
        </w:rPr>
        <w:t xml:space="preserve">4．乙方所供设备如验收不合格，根据甲方的要求，乙方必须无条件换货或退货，由此引起的一切损失由乙方承担。</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设备到货、安装和验收要求：</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联系，并与各部门人员共同参与，否则引起的一切责任由乙方承担。</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2．如乙方提供的设备设有维修软件密码，乙方应保证无条件地为甲方永久免费打开。同时乙方要免费开放设备数据接口，便于甲方设备设施的互联互通。</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3．设备安装、调试结束后，甲方对设备试用2周后进行验收（时间由甲、乙双方商定），乙方免费派工程师到达现场协助验收工作。</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4．保修期自我院验收合格之日算起，保修期外只收配件费，免收人工费。</w:t>
      </w:r>
      <w:r>
        <w:rPr>
          <w:highlight w:val="none"/>
        </w:rPr>
      </w:r>
    </w:p>
    <w:p>
      <w:pPr>
        <w:numPr>
          <w:ilvl w:val="0"/>
          <w:numId w:val="5"/>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售后服务要求：</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1．确保设备保修期内开机率≥9</w:t>
      </w:r>
      <w:r>
        <w:rPr>
          <w:color w:val="auto"/>
          <w:sz w:val="21"/>
          <w:szCs w:val="21"/>
          <w:highlight w:val="none"/>
        </w:rPr>
        <w:t xml:space="preserve">5</w:t>
      </w:r>
      <w:r>
        <w:rPr>
          <w:rFonts w:hint="eastAsia"/>
          <w:color w:val="auto"/>
          <w:sz w:val="21"/>
          <w:szCs w:val="21"/>
          <w:highlight w:val="none"/>
        </w:rPr>
        <w:t xml:space="preserve">%，如设备故障停机率超过</w:t>
      </w:r>
      <w:r>
        <w:rPr>
          <w:color w:val="auto"/>
          <w:sz w:val="21"/>
          <w:szCs w:val="21"/>
          <w:highlight w:val="none"/>
        </w:rPr>
        <w:t xml:space="preserve">5</w:t>
      </w:r>
      <w:r>
        <w:rPr>
          <w:rFonts w:hint="eastAsia"/>
          <w:color w:val="auto"/>
          <w:sz w:val="21"/>
          <w:szCs w:val="21"/>
          <w:highlight w:val="none"/>
        </w:rPr>
        <w:t xml:space="preserve">%（一年按365天计算，每年18天），每超过一天，保修期延长两周。</w:t>
      </w:r>
      <w:r>
        <w:rPr>
          <w:highlight w:val="none"/>
        </w:rPr>
      </w:r>
    </w:p>
    <w:p>
      <w:pPr>
        <w:rPr>
          <w:rFonts w:hint="eastAsia"/>
          <w:b/>
          <w:bCs/>
          <w:color w:val="auto"/>
          <w:sz w:val="21"/>
          <w:szCs w:val="21"/>
          <w:highlight w:val="none"/>
        </w:rPr>
      </w:pPr>
      <w:r>
        <w:rPr>
          <w:rFonts w:hint="eastAsia"/>
          <w:color w:val="auto"/>
          <w:sz w:val="21"/>
          <w:szCs w:val="21"/>
          <w:highlight w:val="none"/>
        </w:rPr>
        <w:t xml:space="preserve">2．</w:t>
      </w:r>
      <w:r>
        <w:rPr>
          <w:rFonts w:hint="eastAsia"/>
          <w:b/>
          <w:bCs/>
          <w:color w:val="auto"/>
          <w:sz w:val="21"/>
          <w:szCs w:val="21"/>
          <w:highlight w:val="none"/>
        </w:rPr>
        <w:t xml:space="preserve">如设备发生故障，乙方在接到甲方报修电话后24小时内予以响应</w:t>
      </w:r>
      <w:r>
        <w:rPr>
          <w:rFonts w:hint="eastAsia"/>
          <w:b/>
          <w:bCs/>
          <w:color w:val="auto"/>
          <w:sz w:val="21"/>
          <w:szCs w:val="21"/>
          <w:highlight w:val="none"/>
          <w:lang w:eastAsia="zh-CN"/>
        </w:rPr>
        <w:t xml:space="preserve">，</w:t>
      </w:r>
      <w:r>
        <w:rPr>
          <w:rFonts w:hint="eastAsia"/>
          <w:b/>
          <w:bCs/>
          <w:color w:val="auto"/>
          <w:sz w:val="21"/>
          <w:szCs w:val="21"/>
          <w:highlight w:val="none"/>
        </w:rPr>
        <w:t xml:space="preserve">如有特殊情况，乙方应立即电话通知甲方不能响应的原因，在获得甲方同意后，才可推迟响应时间</w:t>
      </w:r>
      <w:r>
        <w:rPr>
          <w:rFonts w:hint="eastAsia"/>
          <w:b/>
          <w:bCs/>
          <w:color w:val="auto"/>
          <w:sz w:val="21"/>
          <w:szCs w:val="21"/>
          <w:highlight w:val="none"/>
          <w:lang w:eastAsia="zh-CN"/>
        </w:rPr>
        <w:t xml:space="preserve">，</w:t>
      </w:r>
      <w:r>
        <w:rPr>
          <w:rFonts w:hint="eastAsia"/>
          <w:b/>
          <w:bCs/>
          <w:color w:val="auto"/>
          <w:sz w:val="21"/>
          <w:szCs w:val="21"/>
          <w:highlight w:val="none"/>
        </w:rPr>
        <w:t xml:space="preserve">否则甲方可自行采取必要的措施，</w:t>
      </w:r>
      <w:r>
        <w:rPr>
          <w:rFonts w:hint="eastAsia"/>
          <w:b/>
          <w:bCs/>
          <w:color w:val="auto"/>
          <w:sz w:val="21"/>
          <w:szCs w:val="21"/>
          <w:highlight w:val="none"/>
          <w:lang w:eastAsia="zh-CN"/>
        </w:rPr>
        <w:t xml:space="preserve">自行组织维修，</w:t>
      </w:r>
      <w:r>
        <w:rPr>
          <w:rFonts w:hint="eastAsia"/>
          <w:b/>
          <w:bCs/>
          <w:color w:val="auto"/>
          <w:sz w:val="21"/>
          <w:szCs w:val="21"/>
          <w:highlight w:val="none"/>
        </w:rPr>
        <w:t xml:space="preserve">由此产生的风险和费用由乙方承担</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甲方可在货款和其他应付乙方的款项（关联账户）中扣除，同时扣除一年的维保费用作为处罚。</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无论在保修期内还是保修期外，乙方必须上门维修，乙方工程师来我院维修本设备，必须事先与我院医学装备科取得联系；在维修过程中与甲方工程师共同完成维修工作。否则由此引起的一切责任由乙方负责。</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4．乙方免费提供全套技术资料（维修说明书包括详细电路图、操作说明书及光盘），如技术资料不全，甲方有权不支付货款。</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十、技术培训：</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在安装过程中或安装结束后，乙方工程师或有关人员有义务对甲方工程师和操作人员进行现场维修、保养、</w:t>
      </w:r>
      <w:r>
        <w:rPr>
          <w:rFonts w:hint="eastAsia"/>
          <w:color w:val="auto"/>
          <w:sz w:val="21"/>
          <w:szCs w:val="21"/>
          <w:highlight w:val="none"/>
          <w:lang w:eastAsia="zh-CN"/>
        </w:rPr>
        <w:t xml:space="preserve">注意事项、</w:t>
      </w:r>
      <w:r>
        <w:rPr>
          <w:rFonts w:hint="eastAsia"/>
          <w:color w:val="auto"/>
          <w:sz w:val="21"/>
          <w:szCs w:val="21"/>
          <w:highlight w:val="none"/>
        </w:rPr>
        <w:t xml:space="preserve">操作培训，解答甲方人员提出的问题，并填</w:t>
      </w:r>
      <w:r>
        <w:rPr>
          <w:rFonts w:hint="eastAsia"/>
          <w:color w:val="auto"/>
          <w:sz w:val="21"/>
          <w:szCs w:val="21"/>
          <w:highlight w:val="none"/>
          <w:lang w:eastAsia="zh-CN"/>
        </w:rPr>
        <w:t xml:space="preserve">写培训报告，包含</w:t>
      </w:r>
      <w:r>
        <w:rPr>
          <w:rFonts w:hint="eastAsia"/>
          <w:color w:val="auto"/>
          <w:sz w:val="21"/>
          <w:szCs w:val="21"/>
          <w:highlight w:val="none"/>
        </w:rPr>
        <w:t xml:space="preserve">培训时间、参加培训人员以及培训的具体内容等。</w:t>
      </w:r>
      <w:r>
        <w:rPr>
          <w:highlight w:val="none"/>
        </w:rPr>
      </w:r>
    </w:p>
    <w:p>
      <w:pPr>
        <w:keepLines w:val="0"/>
        <w:keepNext w:val="0"/>
        <w:pageBreakBefore w:val="0"/>
        <w:spacing w:line="440" w:lineRule="exact"/>
        <w:rPr>
          <w:rFonts w:hint="eastAsia" w:eastAsia="宋体"/>
          <w:color w:val="auto"/>
          <w:sz w:val="21"/>
          <w:szCs w:val="21"/>
          <w:highlight w:val="none"/>
        </w:rPr>
      </w:pPr>
      <w:r>
        <w:rPr>
          <w:rFonts w:hint="eastAsia"/>
          <w:color w:val="auto"/>
          <w:sz w:val="21"/>
          <w:szCs w:val="21"/>
          <w:highlight w:val="none"/>
        </w:rPr>
        <w:t xml:space="preserve">十一、廉政</w:t>
      </w:r>
      <w:r>
        <w:rPr>
          <w:rFonts w:hint="eastAsia"/>
          <w:color w:val="auto"/>
          <w:sz w:val="21"/>
          <w:szCs w:val="21"/>
          <w:highlight w:val="none"/>
          <w:lang w:eastAsia="zh-CN"/>
        </w:rPr>
        <w:t xml:space="preserve">条款：</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乙方必须认真执行各项廉政要求，乙方出现违反廉政法律、法规等情况（包括与</w:t>
      </w:r>
      <w:r>
        <w:rPr>
          <w:rFonts w:hint="eastAsia"/>
          <w:color w:val="auto"/>
          <w:sz w:val="21"/>
          <w:szCs w:val="21"/>
          <w:highlight w:val="none"/>
          <w:lang w:eastAsia="zh-CN"/>
        </w:rPr>
        <w:t xml:space="preserve">甲</w:t>
      </w:r>
      <w:r>
        <w:rPr>
          <w:rFonts w:hint="eastAsia"/>
          <w:color w:val="auto"/>
          <w:sz w:val="21"/>
          <w:szCs w:val="21"/>
          <w:highlight w:val="none"/>
        </w:rPr>
        <w:t xml:space="preserve">方聘请的其他服务单位），经纪检监察机关查实确认的，除其他违约责任外，从发现之日起一年内，乙方无条件支付甲方本合同总价的10%作为违约金。 </w:t>
      </w:r>
      <w:r>
        <w:rPr>
          <w:highlight w:val="none"/>
        </w:rPr>
      </w:r>
    </w:p>
    <w:p>
      <w:pPr>
        <w:numPr>
          <w:ilvl w:val="0"/>
          <w:numId w:val="6"/>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lang w:val="en-US" w:eastAsia="zh-CN"/>
        </w:rPr>
        <w:t xml:space="preserve">合同争议:</w:t>
      </w:r>
      <w:r>
        <w:rPr>
          <w:highlight w:val="none"/>
        </w:rPr>
      </w:r>
    </w:p>
    <w:p>
      <w:pPr>
        <w:numPr>
          <w:ilvl w:val="0"/>
          <w:numId w:val="0"/>
        </w:numPr>
        <w:keepLines w:val="0"/>
        <w:keepNext w:val="0"/>
        <w:pageBreakBefore w:val="0"/>
        <w:spacing w:line="440" w:lineRule="exact"/>
        <w:rPr>
          <w:rFonts w:hint="eastAsia" w:eastAsia="宋体"/>
          <w:color w:val="auto"/>
          <w:sz w:val="21"/>
          <w:szCs w:val="21"/>
          <w:highlight w:val="none"/>
        </w:rPr>
      </w:pPr>
      <w:r>
        <w:rPr>
          <w:rFonts w:hint="eastAsia"/>
          <w:color w:val="auto"/>
          <w:sz w:val="21"/>
          <w:szCs w:val="21"/>
          <w:highlight w:val="none"/>
          <w:lang w:val="en-US" w:eastAsia="zh-CN"/>
        </w:rPr>
        <w:t xml:space="preserve">双方如发生争议，不能协商解决，则通过合同执行地人民法院诉讼处理。</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本合同一式四份，甲方执三份，乙方执一份。</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协议签署地点:泰兴</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r>
      <w:r>
        <w:rPr>
          <w:highlight w:val="none"/>
        </w:rP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  乙方：</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甲方代表：                                             乙方代表：</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业务部门代表：                                         业务部门代表：</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经办人:                                                经办人:</w:t>
      </w:r>
      <w:r>
        <w:rPr>
          <w:highlight w:val="none"/>
        </w:rPr>
      </w:r>
    </w:p>
    <w:p>
      <w:pPr>
        <w:keepLines w:val="0"/>
        <w:keepNext w:val="0"/>
        <w:pageBreakBefore w:val="0"/>
        <w:spacing w:line="440" w:lineRule="exact"/>
        <w:rPr>
          <w:rFonts w:hint="default" w:eastAsia="宋体"/>
          <w:color w:val="auto"/>
          <w:sz w:val="21"/>
          <w:szCs w:val="21"/>
          <w:highlight w:val="none"/>
        </w:rPr>
      </w:pPr>
      <w:r>
        <w:rPr>
          <w:rFonts w:hint="eastAsia"/>
          <w:color w:val="auto"/>
          <w:sz w:val="21"/>
          <w:szCs w:val="21"/>
          <w:highlight w:val="none"/>
          <w:lang w:val="en-US" w:eastAsia="zh-CN"/>
        </w:rPr>
        <w:t xml:space="preserve">                                                       联系电话：</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lang w:val="en-US" w:eastAsia="zh-CN"/>
        </w:rPr>
        <w:t xml:space="preserve">                                                       开户行：             </w:t>
      </w:r>
      <w:r>
        <w:rPr>
          <w:highlight w:val="none"/>
        </w:rPr>
      </w:r>
    </w:p>
    <w:p>
      <w:pPr>
        <w:ind w:firstLine="5880"/>
        <w:keepLines w:val="0"/>
        <w:keepNext w:val="0"/>
        <w:pageBreakBefore w:val="0"/>
        <w:spacing w:line="440" w:lineRule="exact"/>
        <w:rPr>
          <w:rFonts w:hint="default"/>
          <w:color w:val="auto"/>
          <w:sz w:val="21"/>
          <w:szCs w:val="21"/>
          <w:highlight w:val="none"/>
        </w:rPr>
      </w:pPr>
      <w:r>
        <w:rPr>
          <w:rFonts w:hint="eastAsia"/>
          <w:color w:val="auto"/>
          <w:sz w:val="21"/>
          <w:szCs w:val="21"/>
          <w:highlight w:val="none"/>
          <w:lang w:val="en-US" w:eastAsia="zh-CN"/>
        </w:rPr>
        <w:t xml:space="preserve">账号：</w:t>
      </w:r>
      <w:r>
        <w:rPr>
          <w:highlight w:val="none"/>
        </w:rP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 </w:t>
      </w:r>
      <w:r>
        <w:rPr>
          <w:highlight w:val="none"/>
        </w:rPr>
      </w:r>
    </w:p>
    <w:p>
      <w:pPr>
        <w:ind w:left="0" w:right="0" w:firstLine="0"/>
        <w:jc w:val="both"/>
        <w:spacing w:before="0" w:after="0"/>
        <w:rPr>
          <w:rFonts w:hint="eastAsia"/>
          <w:color w:val="auto"/>
          <w:sz w:val="21"/>
          <w:szCs w:val="21"/>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olor w:val="auto"/>
          <w:sz w:val="21"/>
          <w:szCs w:val="21"/>
          <w:highlight w:val="none"/>
        </w:rPr>
        <w:t xml:space="preserve">____年__ 月__日                                </w:t>
      </w:r>
      <w:r>
        <w:rPr>
          <w:rFonts w:hint="eastAsia"/>
          <w:color w:val="auto"/>
          <w:sz w:val="21"/>
          <w:szCs w:val="21"/>
          <w:highlight w:val="none"/>
          <w:lang w:val="en-US" w:eastAsia="zh-CN"/>
        </w:rPr>
        <w:t xml:space="preserve">      </w:t>
      </w:r>
      <w:r>
        <w:rPr>
          <w:rFonts w:hint="eastAsia"/>
          <w:color w:val="auto"/>
          <w:sz w:val="21"/>
          <w:szCs w:val="21"/>
          <w:highlight w:val="none"/>
        </w:rPr>
        <w:t xml:space="preserve"> ____年__月__日</w:t>
      </w:r>
      <w:r>
        <w:rPr>
          <w:highlight w:val="none"/>
        </w:rPr>
      </w:r>
    </w:p>
    <w:p>
      <w:pPr>
        <w:jc w:val="center"/>
        <w:keepNext/>
        <w:rPr>
          <w:rFonts w:eastAsia="黑体"/>
          <w:bCs/>
          <w:sz w:val="44"/>
          <w:szCs w:val="28"/>
          <w:highlight w:val="none"/>
        </w:rPr>
        <w:outlineLvl w:val="0"/>
      </w:pPr>
      <w:r>
        <w:rPr>
          <w:rFonts w:hint="eastAsia" w:eastAsia="黑体"/>
          <w:bCs/>
          <w:sz w:val="44"/>
          <w:szCs w:val="28"/>
          <w:highlight w:val="none"/>
        </w:rPr>
        <w:t xml:space="preserve">第六章  投标文件格式 </w:t>
      </w:r>
      <w:r>
        <w:rPr>
          <w:highlight w:val="none"/>
        </w:rPr>
      </w:r>
    </w:p>
    <w:p>
      <w:pPr>
        <w:jc w:val="center"/>
        <w:rPr>
          <w:rFonts w:eastAsia="宋体"/>
          <w:b/>
          <w:sz w:val="72"/>
          <w:szCs w:val="21"/>
          <w:highlight w:val="none"/>
        </w:rPr>
      </w:pPr>
      <w:r>
        <w:rPr>
          <w:highlight w:val="none"/>
        </w:rPr>
      </w:r>
      <w:bookmarkStart w:id="3" w:name="_Hlt26671244"/>
      <w:r>
        <w:rPr>
          <w:highlight w:val="none"/>
        </w:rPr>
      </w:r>
      <w:bookmarkEnd w:id="3"/>
      <w:r>
        <w:rPr>
          <w:highlight w:val="none"/>
        </w:rPr>
      </w:r>
      <w:bookmarkStart w:id="4" w:name="_Hlt26955039"/>
      <w:r>
        <w:rPr>
          <w:highlight w:val="none"/>
        </w:rPr>
      </w:r>
      <w:bookmarkEnd w:id="4"/>
      <w:r>
        <w:rPr>
          <w:highlight w:val="none"/>
        </w:rPr>
      </w:r>
      <w:bookmarkStart w:id="5" w:name="_Toc49090576"/>
      <w:r>
        <w:rPr>
          <w:highlight w:val="none"/>
        </w:rPr>
      </w:r>
      <w:bookmarkStart w:id="6" w:name="_Toc26554094"/>
      <w:r>
        <w:rPr>
          <w:highlight w:val="none"/>
        </w:rPr>
      </w:r>
      <w:bookmarkStart w:id="7" w:name="_Toc120614282"/>
      <w:r>
        <w:rPr>
          <w:highlight w:val="none"/>
        </w:rPr>
      </w:r>
      <w:r>
        <w:rPr>
          <w:highlight w:val="none"/>
        </w:rPr>
      </w:r>
    </w:p>
    <w:p>
      <w:pPr>
        <w:jc w:val="center"/>
        <w:rPr>
          <w:rFonts w:eastAsia="宋体"/>
          <w:b/>
          <w:sz w:val="72"/>
          <w:szCs w:val="21"/>
          <w:highlight w:val="none"/>
        </w:rPr>
      </w:pPr>
      <w:r>
        <w:rPr>
          <w:rFonts w:hint="eastAsia" w:eastAsia="宋体"/>
          <w:b/>
          <w:sz w:val="72"/>
          <w:szCs w:val="21"/>
          <w:highlight w:val="none"/>
        </w:rPr>
        <w:t xml:space="preserve">投  标  文  件</w:t>
      </w:r>
      <w:r>
        <w:rPr>
          <w:highlight w:val="none"/>
        </w:rPr>
      </w:r>
    </w:p>
    <w:p>
      <w:pPr>
        <w:jc w:val="center"/>
        <w:rPr>
          <w:rFonts w:eastAsia="宋体"/>
          <w:b/>
          <w:sz w:val="72"/>
          <w:szCs w:val="21"/>
          <w:highlight w:val="none"/>
        </w:rPr>
      </w:pPr>
      <w:r>
        <w:rPr>
          <w:rFonts w:eastAsia="宋体"/>
          <w:b/>
          <w:sz w:val="72"/>
          <w:szCs w:val="21"/>
          <w:highlight w:val="none"/>
        </w:rPr>
      </w:r>
      <w:r>
        <w:rPr>
          <w:highlight w:val="none"/>
        </w:rPr>
      </w:r>
    </w:p>
    <w:p>
      <w:pPr>
        <w:jc w:val="center"/>
        <w:rPr>
          <w:rFonts w:eastAsia="宋体"/>
          <w:b/>
          <w:sz w:val="72"/>
          <w:szCs w:val="21"/>
          <w:highlight w:val="none"/>
        </w:rPr>
      </w:pPr>
      <w:r>
        <w:rPr>
          <w:rFonts w:eastAsia="宋体"/>
          <w:b/>
          <w:sz w:val="72"/>
          <w:szCs w:val="21"/>
          <w:highlight w:val="none"/>
        </w:rPr>
      </w:r>
      <w:r>
        <w:rPr>
          <w:highlight w:val="none"/>
        </w:rPr>
      </w:r>
    </w:p>
    <w:p>
      <w:pPr>
        <w:jc w:val="center"/>
        <w:rPr>
          <w:rFonts w:eastAsia="宋体"/>
          <w:b/>
          <w:sz w:val="36"/>
          <w:szCs w:val="21"/>
          <w:highlight w:val="none"/>
        </w:rPr>
      </w:pPr>
      <w:r>
        <w:rPr>
          <w:rFonts w:eastAsia="宋体"/>
          <w:b/>
          <w:sz w:val="36"/>
          <w:szCs w:val="21"/>
          <w:highlight w:val="none"/>
        </w:rPr>
      </w:r>
      <w:r>
        <w:rPr>
          <w:highlight w:val="none"/>
        </w:rPr>
      </w:r>
    </w:p>
    <w:p>
      <w:pPr>
        <w:jc w:val="center"/>
        <w:rPr>
          <w:rFonts w:eastAsia="宋体"/>
          <w:b/>
          <w:sz w:val="36"/>
          <w:szCs w:val="21"/>
          <w:highlight w:val="none"/>
        </w:rPr>
      </w:pPr>
      <w:r>
        <w:rPr>
          <w:rFonts w:eastAsia="宋体"/>
          <w:b/>
          <w:sz w:val="36"/>
          <w:szCs w:val="21"/>
          <w:highlight w:val="none"/>
        </w:rPr>
      </w:r>
      <w:r>
        <w:rPr>
          <w:highlight w:val="none"/>
        </w:rPr>
      </w:r>
    </w:p>
    <w:p>
      <w:pPr>
        <w:jc w:val="center"/>
        <w:rPr>
          <w:rFonts w:eastAsia="宋体"/>
          <w:b/>
          <w:sz w:val="36"/>
          <w:szCs w:val="21"/>
          <w:highlight w:val="none"/>
        </w:rPr>
      </w:pPr>
      <w:r>
        <w:rPr>
          <w:rFonts w:eastAsia="宋体"/>
          <w:b/>
          <w:sz w:val="36"/>
          <w:szCs w:val="21"/>
          <w:highlight w:val="none"/>
        </w:rPr>
      </w:r>
      <w:r>
        <w:rPr>
          <w:highlight w:val="none"/>
        </w:rPr>
      </w:r>
    </w:p>
    <w:p>
      <w:pPr>
        <w:ind w:firstLine="1084"/>
        <w:rPr>
          <w:rFonts w:eastAsia="宋体"/>
          <w:b/>
          <w:sz w:val="36"/>
          <w:szCs w:val="21"/>
          <w:highlight w:val="none"/>
        </w:rPr>
      </w:pPr>
      <w:r>
        <w:rPr>
          <w:rFonts w:hint="eastAsia" w:eastAsia="宋体"/>
          <w:b/>
          <w:sz w:val="36"/>
          <w:szCs w:val="21"/>
          <w:highlight w:val="none"/>
        </w:rPr>
        <w:t xml:space="preserve">项 目 名 称：</w:t>
      </w:r>
      <w:r>
        <w:rPr>
          <w:rFonts w:hint="eastAsia" w:eastAsia="宋体"/>
          <w:b/>
          <w:sz w:val="36"/>
          <w:szCs w:val="21"/>
          <w:highlight w:val="none"/>
          <w:u w:val="single"/>
        </w:rPr>
        <w:t xml:space="preserve">               </w:t>
      </w:r>
      <w:r>
        <w:rPr>
          <w:highlight w:val="none"/>
        </w:rPr>
      </w:r>
    </w:p>
    <w:p>
      <w:pPr>
        <w:ind w:firstLine="1084"/>
        <w:rPr>
          <w:rFonts w:eastAsia="宋体"/>
          <w:b/>
          <w:sz w:val="36"/>
          <w:szCs w:val="21"/>
          <w:highlight w:val="none"/>
          <w:u w:val="single"/>
        </w:rPr>
      </w:pPr>
      <w:r>
        <w:rPr>
          <w:rFonts w:hint="eastAsia" w:eastAsia="宋体"/>
          <w:b/>
          <w:sz w:val="36"/>
          <w:szCs w:val="21"/>
          <w:highlight w:val="none"/>
        </w:rPr>
        <w:t xml:space="preserve">项 目 编 号：</w:t>
      </w:r>
      <w:r>
        <w:rPr>
          <w:rFonts w:hint="eastAsia" w:eastAsia="宋体"/>
          <w:b/>
          <w:sz w:val="36"/>
          <w:szCs w:val="21"/>
          <w:highlight w:val="none"/>
          <w:u w:val="single"/>
        </w:rPr>
        <w:t xml:space="preserve">               </w:t>
      </w:r>
      <w:r>
        <w:rPr>
          <w:highlight w:val="none"/>
        </w:rPr>
      </w:r>
    </w:p>
    <w:p>
      <w:pPr>
        <w:rPr>
          <w:rFonts w:eastAsia="宋体"/>
          <w:b/>
          <w:sz w:val="36"/>
          <w:szCs w:val="21"/>
          <w:highlight w:val="none"/>
          <w:u w:val="single"/>
        </w:rPr>
      </w:pPr>
      <w:r>
        <w:rPr>
          <w:rFonts w:hint="eastAsia" w:eastAsia="宋体"/>
          <w:b/>
          <w:sz w:val="36"/>
          <w:szCs w:val="21"/>
          <w:highlight w:val="none"/>
        </w:rPr>
        <w:t xml:space="preserve">      投标人名称 ：</w:t>
      </w:r>
      <w:r>
        <w:rPr>
          <w:rFonts w:hint="eastAsia" w:eastAsia="宋体"/>
          <w:b/>
          <w:sz w:val="36"/>
          <w:szCs w:val="21"/>
          <w:highlight w:val="none"/>
          <w:u w:val="single"/>
        </w:rPr>
        <w:t xml:space="preserve">（加盖CA电子公章）</w:t>
      </w:r>
      <w:r>
        <w:rPr>
          <w:highlight w:val="none"/>
        </w:rPr>
      </w:r>
    </w:p>
    <w:p>
      <w:pPr>
        <w:rPr>
          <w:rFonts w:eastAsia="宋体"/>
          <w:b/>
          <w:sz w:val="36"/>
          <w:szCs w:val="21"/>
          <w:highlight w:val="none"/>
          <w:u w:val="single"/>
        </w:rPr>
      </w:pPr>
      <w:r>
        <w:rPr>
          <w:rFonts w:hint="eastAsia" w:eastAsia="宋体"/>
          <w:b/>
          <w:sz w:val="36"/>
          <w:szCs w:val="21"/>
          <w:highlight w:val="none"/>
        </w:rPr>
        <w:t xml:space="preserve">      日      期 ：</w:t>
      </w:r>
      <w:r>
        <w:rPr>
          <w:rFonts w:hint="eastAsia" w:eastAsia="宋体"/>
          <w:b/>
          <w:sz w:val="36"/>
          <w:szCs w:val="21"/>
          <w:highlight w:val="none"/>
          <w:u w:val="single"/>
        </w:rPr>
        <w:t xml:space="preserve">               </w:t>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sz w:val="36"/>
          <w:szCs w:val="21"/>
          <w:highlight w:val="none"/>
          <w:u w:val="single"/>
        </w:rPr>
      </w:pPr>
      <w:r>
        <w:rPr>
          <w:rFonts w:eastAsia="宋体"/>
          <w:b/>
          <w:sz w:val="36"/>
          <w:szCs w:val="21"/>
          <w:highlight w:val="none"/>
          <w:u w:val="single"/>
        </w:rPr>
      </w:r>
      <w:r>
        <w:rPr>
          <w:highlight w:val="none"/>
        </w:rPr>
      </w:r>
    </w:p>
    <w:p>
      <w:pPr>
        <w:jc w:val="center"/>
        <w:spacing w:line="440" w:lineRule="exact"/>
        <w:rPr>
          <w:rFonts w:eastAsia="宋体"/>
          <w:b/>
          <w:bCs/>
          <w:sz w:val="32"/>
          <w:szCs w:val="32"/>
          <w:highlight w:val="none"/>
        </w:rPr>
      </w:pPr>
      <w:r>
        <w:rPr>
          <w:rFonts w:hint="eastAsia" w:eastAsia="宋体"/>
          <w:b/>
          <w:bCs/>
          <w:sz w:val="32"/>
          <w:szCs w:val="32"/>
          <w:highlight w:val="none"/>
        </w:rPr>
        <w:t xml:space="preserve">投标文件目录</w:t>
      </w:r>
      <w:r>
        <w:rPr>
          <w:highlight w:val="none"/>
        </w:rPr>
      </w:r>
    </w:p>
    <w:p>
      <w:pPr>
        <w:jc w:val="center"/>
        <w:spacing w:line="440" w:lineRule="exact"/>
        <w:rPr>
          <w:rFonts w:eastAsia="宋体"/>
          <w:b/>
          <w:bCs/>
          <w:sz w:val="32"/>
          <w:szCs w:val="32"/>
          <w:highlight w:val="none"/>
        </w:rPr>
      </w:pPr>
      <w:r>
        <w:rPr>
          <w:rFonts w:eastAsia="宋体"/>
          <w:b/>
          <w:bCs/>
          <w:sz w:val="32"/>
          <w:szCs w:val="32"/>
          <w:highlight w:val="none"/>
        </w:rPr>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一、投标声明及承诺函</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二、投标人基本情况</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三、满足特定资格要求的证明文件（如果设置特定资格要求，则需要提供）</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四、法人授权书</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五、开标一览表</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六、投标报价明细表</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七、符合本国产品标准及中小企业声明函</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八、技术要求响应及偏离表</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九、项目组成员</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十、企业业绩</w:t>
      </w:r>
      <w:r>
        <w:rPr>
          <w:highlight w:val="none"/>
        </w:rPr>
      </w:r>
    </w:p>
    <w:p>
      <w:pPr>
        <w:ind w:firstLine="560"/>
        <w:spacing w:line="360" w:lineRule="auto"/>
        <w:rPr>
          <w:rFonts w:eastAsia="宋体" w:cs="宋体"/>
          <w:sz w:val="28"/>
          <w:szCs w:val="28"/>
          <w:highlight w:val="none"/>
        </w:rPr>
      </w:pPr>
      <w:r>
        <w:rPr>
          <w:rFonts w:hint="eastAsia" w:eastAsia="宋体" w:cs="宋体"/>
          <w:sz w:val="28"/>
          <w:szCs w:val="28"/>
          <w:highlight w:val="none"/>
        </w:rPr>
        <w:t xml:space="preserve">十一、投标所需其他材料</w:t>
      </w:r>
      <w:r>
        <w:rPr>
          <w:highlight w:val="none"/>
        </w:rPr>
      </w:r>
    </w:p>
    <w:p>
      <w:pPr>
        <w:pStyle w:val="754"/>
        <w:spacing w:line="360" w:lineRule="auto"/>
        <w:rPr>
          <w:rFonts w:hint="eastAsia" w:asciiTheme="minorEastAsia" w:hAnsiTheme="minorEastAsia" w:eastAsiaTheme="minorEastAsia"/>
          <w:szCs w:val="28"/>
          <w:highlight w:val="none"/>
        </w:rPr>
      </w:pPr>
      <w:r>
        <w:rPr>
          <w:rFonts w:hint="eastAsia"/>
          <w:highlight w:val="none"/>
        </w:rPr>
        <w:t xml:space="preserve">    </w:t>
      </w:r>
      <w:r>
        <w:rPr>
          <w:rFonts w:hint="eastAsia" w:asciiTheme="minorEastAsia" w:hAnsiTheme="minorEastAsia" w:eastAsiaTheme="minorEastAsia"/>
          <w:szCs w:val="28"/>
          <w:highlight w:val="none"/>
        </w:rPr>
        <w:t xml:space="preserve">十二、资格证明文件参考格式</w:t>
      </w:r>
      <w:r>
        <w:rPr>
          <w:highlight w:val="none"/>
        </w:rPr>
      </w:r>
    </w:p>
    <w:p>
      <w:pPr>
        <w:jc w:val="left"/>
        <w:spacing w:before="120" w:after="120" w:line="400" w:lineRule="exact"/>
        <w:tabs>
          <w:tab w:val="right" w:pos="8720" w:leader="dot"/>
        </w:tabs>
        <w:rPr>
          <w:rFonts w:eastAsia="宋体"/>
          <w:sz w:val="24"/>
          <w:szCs w:val="24"/>
          <w:highlight w:val="none"/>
        </w:rPr>
      </w:pPr>
      <w:r>
        <w:rPr>
          <w:rFonts w:eastAsia="宋体"/>
          <w:sz w:val="24"/>
          <w:szCs w:val="24"/>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ind w:firstLine="480"/>
        <w:spacing w:line="440" w:lineRule="exact"/>
        <w:rPr>
          <w:rFonts w:eastAsia="宋体"/>
          <w:sz w:val="24"/>
          <w:szCs w:val="21"/>
          <w:highlight w:val="none"/>
        </w:rPr>
      </w:pPr>
      <w:r>
        <w:rPr>
          <w:rFonts w:eastAsia="宋体"/>
          <w:sz w:val="24"/>
          <w:szCs w:val="21"/>
          <w:highlight w:val="none"/>
        </w:rPr>
      </w:r>
      <w:r>
        <w:rPr>
          <w:highlight w:val="none"/>
        </w:rPr>
      </w:r>
    </w:p>
    <w:p>
      <w:pPr>
        <w:jc w:val="left"/>
        <w:widowControl/>
        <w:rPr>
          <w:rFonts w:eastAsia="Times New Roman"/>
          <w:sz w:val="24"/>
          <w:szCs w:val="24"/>
          <w:highlight w:val="none"/>
        </w:rPr>
      </w:pPr>
      <w:r>
        <w:rPr>
          <w:highlight w:val="none"/>
        </w:rPr>
      </w:r>
      <w:bookmarkStart w:id="8" w:name="_Toc23838"/>
      <w:r>
        <w:rPr>
          <w:highlight w:val="none"/>
        </w:rPr>
      </w:r>
      <w:r>
        <w:rPr>
          <w:highlight w:val="none"/>
        </w:rPr>
      </w:r>
    </w:p>
    <w:p>
      <w:pPr>
        <w:jc w:val="left"/>
        <w:widowControl/>
        <w:rPr>
          <w:rFonts w:eastAsia="Times New Roman"/>
          <w:sz w:val="24"/>
          <w:szCs w:val="24"/>
          <w:highlight w:val="none"/>
        </w:rPr>
      </w:pPr>
      <w:r>
        <w:rPr>
          <w:rFonts w:eastAsia="Times New Roman"/>
          <w:sz w:val="24"/>
          <w:szCs w:val="24"/>
          <w:highlight w:val="none"/>
        </w:rPr>
      </w:r>
      <w:r>
        <w:rPr>
          <w:highlight w:val="none"/>
        </w:rPr>
      </w:r>
    </w:p>
    <w:p>
      <w:pPr>
        <w:jc w:val="left"/>
        <w:widowControl/>
        <w:rPr>
          <w:rFonts w:eastAsia="Times New Roman"/>
          <w:sz w:val="24"/>
          <w:szCs w:val="24"/>
          <w:highlight w:val="none"/>
        </w:rPr>
      </w:pPr>
      <w:r>
        <w:rPr>
          <w:rFonts w:eastAsia="Times New Roman"/>
          <w:sz w:val="24"/>
          <w:szCs w:val="24"/>
          <w:highlight w:val="none"/>
        </w:rPr>
      </w:r>
      <w:r>
        <w:rPr>
          <w:highlight w:val="none"/>
        </w:rPr>
      </w:r>
    </w:p>
    <w:p>
      <w:pPr>
        <w:jc w:val="left"/>
        <w:widowControl/>
        <w:rPr>
          <w:rFonts w:eastAsia="Times New Roman"/>
          <w:sz w:val="24"/>
          <w:szCs w:val="24"/>
          <w:highlight w:val="none"/>
        </w:rPr>
      </w:pPr>
      <w:r>
        <w:rPr>
          <w:rFonts w:eastAsia="Times New Roman"/>
          <w:sz w:val="24"/>
          <w:szCs w:val="24"/>
          <w:highlight w:val="none"/>
        </w:rPr>
        <w:br w:type="page" w:clear="all"/>
      </w:r>
      <w:bookmarkEnd w:id="8"/>
      <w:r>
        <w:rPr>
          <w:highlight w:val="none"/>
        </w:rPr>
      </w:r>
      <w:r>
        <w:rPr>
          <w:highlight w:val="none"/>
        </w:rPr>
      </w:r>
    </w:p>
    <w:p>
      <w:pPr>
        <w:rPr>
          <w:rFonts w:hint="eastAsia" w:ascii="宋体" w:hAnsi="宋体" w:eastAsia="宋体"/>
          <w:b/>
          <w:sz w:val="32"/>
          <w:szCs w:val="32"/>
          <w:highlight w:val="none"/>
        </w:rPr>
      </w:pPr>
      <w:r>
        <w:rPr>
          <w:rFonts w:hint="eastAsia" w:ascii="宋体" w:hAnsi="宋体" w:eastAsia="宋体"/>
          <w:b/>
          <w:sz w:val="32"/>
          <w:szCs w:val="32"/>
          <w:highlight w:val="none"/>
        </w:rPr>
        <w:t xml:space="preserve">一、</w:t>
      </w:r>
      <w:bookmarkEnd w:id="5"/>
      <w:r>
        <w:rPr>
          <w:highlight w:val="none"/>
        </w:rPr>
      </w:r>
      <w:bookmarkEnd w:id="6"/>
      <w:r>
        <w:rPr>
          <w:highlight w:val="none"/>
        </w:rPr>
      </w:r>
      <w:bookmarkEnd w:id="7"/>
      <w:r>
        <w:rPr>
          <w:highlight w:val="none"/>
        </w:rPr>
      </w:r>
      <w:bookmarkStart w:id="9" w:name="_Toc120614284"/>
      <w:r>
        <w:rPr>
          <w:rFonts w:hint="eastAsia" w:ascii="宋体" w:hAnsi="宋体" w:eastAsia="宋体"/>
          <w:b/>
          <w:sz w:val="32"/>
          <w:szCs w:val="32"/>
          <w:highlight w:val="none"/>
        </w:rPr>
        <w:t xml:space="preserve">投标声明及承诺函</w:t>
      </w:r>
      <w:r>
        <w:rPr>
          <w:highlight w:val="none"/>
        </w:rPr>
      </w:r>
    </w:p>
    <w:p>
      <w:pPr>
        <w:jc w:val="left"/>
        <w:spacing w:line="500" w:lineRule="exact"/>
        <w:rPr>
          <w:rFonts w:hint="eastAsia" w:ascii="宋体" w:hAnsi="宋体" w:eastAsia="宋体"/>
          <w:sz w:val="24"/>
          <w:szCs w:val="24"/>
          <w:highlight w:val="none"/>
          <w:u w:val="single"/>
        </w:rPr>
      </w:pPr>
      <w:r>
        <w:rPr>
          <w:rFonts w:hint="eastAsia" w:ascii="宋体" w:hAnsi="宋体" w:eastAsia="宋体"/>
          <w:sz w:val="24"/>
          <w:szCs w:val="24"/>
          <w:highlight w:val="none"/>
          <w:u w:val="single"/>
        </w:rPr>
        <w:t xml:space="preserve">（采购单位名称）：</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根据已收到的项目编号为</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项目的招标文件，我方在参加本项目招投标活动中，特做出如下承诺：</w:t>
      </w:r>
      <w:r>
        <w:rPr>
          <w:highlight w:val="none"/>
        </w:rPr>
      </w:r>
    </w:p>
    <w:p>
      <w:pPr>
        <w:ind w:firstLine="480"/>
        <w:jc w:val="left"/>
        <w:spacing w:line="500" w:lineRule="exact"/>
        <w:rPr>
          <w:rFonts w:hint="eastAsia" w:ascii="宋体" w:hAnsi="宋体" w:eastAsia="宋体"/>
          <w:sz w:val="24"/>
          <w:szCs w:val="22"/>
          <w:highlight w:val="none"/>
        </w:rPr>
      </w:pPr>
      <w:r>
        <w:rPr>
          <w:rFonts w:hint="eastAsia" w:ascii="宋体" w:hAnsi="宋体" w:eastAsia="宋体"/>
          <w:sz w:val="24"/>
          <w:szCs w:val="24"/>
          <w:highlight w:val="none"/>
        </w:rPr>
        <w:t xml:space="preserve">一、我方</w:t>
      </w:r>
      <w:r>
        <w:rPr>
          <w:rFonts w:ascii="宋体" w:hAnsi="宋体" w:eastAsia="宋体"/>
          <w:sz w:val="24"/>
          <w:szCs w:val="22"/>
          <w:highlight w:val="none"/>
        </w:rPr>
        <w:t xml:space="preserve">具备《中华人民共和国政府采购法》第二十二条第一款规定的6项条件；</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三、我方按招标文件要求提交投标文件，响应招标文件规定的投标有效期；</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四、如果我方的投标文件被接受，我方将按《中华人民共和国民法典（第三编合同）》及其他有关法律、法规的规定，按期、按质、按量交付采购单位，全面做到履约守信；</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五、我方若违背本声明及承诺约定，经查实，自愿接受采购人及相关主管部门相应的规定处理，并依法承担相应的法律责任。</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六、我方同意采购人、采购代理机构将本声明及承诺函上网公开。</w:t>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ind w:firstLine="480"/>
        <w:jc w:val="left"/>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投标人名称：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（加盖CA电子公章）</w:t>
      </w:r>
      <w:r>
        <w:rPr>
          <w:highlight w:val="none"/>
        </w:rPr>
      </w:r>
    </w:p>
    <w:p>
      <w:pPr>
        <w:ind w:firstLine="480"/>
        <w:rPr>
          <w:rFonts w:hint="eastAsia" w:ascii="宋体" w:hAnsi="宋体" w:eastAsia="宋体"/>
          <w:sz w:val="21"/>
          <w:szCs w:val="22"/>
          <w:highlight w:val="none"/>
        </w:rPr>
      </w:pPr>
      <w:r>
        <w:rPr>
          <w:rFonts w:hint="eastAsia" w:ascii="宋体" w:hAnsi="宋体" w:eastAsia="宋体"/>
          <w:sz w:val="24"/>
          <w:szCs w:val="24"/>
          <w:highlight w:val="none"/>
        </w:rPr>
        <w:t xml:space="preserve">日期：    年    月   日</w:t>
      </w:r>
      <w:r>
        <w:rPr>
          <w:highlight w:val="none"/>
        </w:rPr>
      </w:r>
    </w:p>
    <w:p>
      <w:pPr>
        <w:jc w:val="left"/>
        <w:widowControl/>
        <w:rPr>
          <w:rFonts w:hint="eastAsia" w:ascii="宋体" w:hAnsi="宋体" w:eastAsia="宋体"/>
          <w:sz w:val="24"/>
          <w:szCs w:val="24"/>
          <w:highlight w:val="none"/>
        </w:rPr>
      </w:pPr>
      <w:r>
        <w:rPr>
          <w:rFonts w:ascii="宋体" w:hAnsi="宋体" w:eastAsia="宋体"/>
          <w:sz w:val="24"/>
          <w:szCs w:val="24"/>
          <w:highlight w:val="none"/>
        </w:rPr>
        <w:br w:type="page" w:clear="all"/>
      </w:r>
      <w:r>
        <w:rPr>
          <w:rFonts w:hint="eastAsia" w:ascii="宋体" w:hAnsi="宋体" w:eastAsia="宋体"/>
          <w:b/>
          <w:sz w:val="32"/>
          <w:szCs w:val="32"/>
          <w:highlight w:val="none"/>
        </w:rPr>
        <w:t xml:space="preserve">二、投标人基本情况</w:t>
      </w:r>
      <w:r>
        <w:rPr>
          <w:highlight w:val="none"/>
        </w:rPr>
      </w:r>
    </w:p>
    <w:p>
      <w:pPr>
        <w:jc w:val="center"/>
        <w:rPr>
          <w:rFonts w:hint="eastAsia" w:ascii="宋体" w:hAnsi="宋体" w:eastAsia="宋体"/>
          <w:sz w:val="44"/>
          <w:szCs w:val="44"/>
          <w:highlight w:val="none"/>
        </w:rPr>
      </w:pPr>
      <w:r>
        <w:rPr>
          <w:rFonts w:hint="eastAsia" w:ascii="宋体" w:hAnsi="宋体" w:eastAsia="宋体"/>
          <w:sz w:val="44"/>
          <w:szCs w:val="44"/>
          <w:highlight w:val="none"/>
        </w:rPr>
        <w:t xml:space="preserve">投标人基本情况表</w:t>
      </w:r>
      <w:r>
        <w:rPr>
          <w:highlight w:val="none"/>
        </w:rP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投标人名称</w:t>
            </w:r>
            <w:r>
              <w:rPr>
                <w:highlight w:val="none"/>
              </w:rP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法定代表人</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注册地区</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地址</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邮政编码</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成立时间</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单位性质</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注册号或社会信用代码</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注册资本（万元）</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投标人类别</w:t>
            </w:r>
            <w:r>
              <w:rPr>
                <w:highlight w:val="none"/>
              </w:rPr>
            </w:r>
          </w:p>
        </w:tc>
        <w:tc>
          <w:tcPr>
            <w:gridSpan w:val="3"/>
            <w:tcW w:w="699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开户银行</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账号</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c>
          <w:tcPr>
            <w:tcW w:w="152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联系人</w:t>
            </w:r>
            <w:r>
              <w:rPr>
                <w:highlight w:val="none"/>
              </w:rPr>
            </w:r>
          </w:p>
        </w:tc>
        <w:tc>
          <w:tcPr>
            <w:tcW w:w="3118"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c>
          <w:tcPr>
            <w:tcW w:w="1276"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联系电话</w:t>
            </w:r>
            <w:r>
              <w:rPr>
                <w:highlight w:val="none"/>
              </w:rPr>
            </w:r>
          </w:p>
        </w:tc>
        <w:tc>
          <w:tcPr>
            <w:tcW w:w="2604" w:type="dxa"/>
            <w:vAlign w:val="center"/>
            <w:textDirection w:val="lrTb"/>
            <w:noWrap w:val="false"/>
          </w:tcPr>
          <w:p>
            <w:pPr>
              <w:jc w:val="center"/>
              <w:spacing w:line="60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经营范围</w:t>
            </w:r>
            <w:r>
              <w:rPr>
                <w:highlight w:val="none"/>
              </w:rPr>
            </w:r>
          </w:p>
        </w:tc>
        <w:tc>
          <w:tcPr>
            <w:gridSpan w:val="3"/>
            <w:tcW w:w="6998" w:type="dxa"/>
            <w:textDirection w:val="lrTb"/>
            <w:noWrap w:val="false"/>
          </w:tcPr>
          <w:p>
            <w:pPr>
              <w:ind w:firstLine="1432"/>
              <w:spacing w:line="560" w:lineRule="exact"/>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备注</w:t>
            </w:r>
            <w:r>
              <w:rPr>
                <w:highlight w:val="none"/>
              </w:rPr>
            </w:r>
          </w:p>
        </w:tc>
        <w:tc>
          <w:tcPr>
            <w:gridSpan w:val="3"/>
            <w:tcW w:w="6998" w:type="dxa"/>
            <w:vAlign w:val="center"/>
            <w:textDirection w:val="lrTb"/>
            <w:noWrap w:val="false"/>
          </w:tcPr>
          <w:p>
            <w:pPr>
              <w:jc w:val="center"/>
              <w:spacing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无需提供营业执照等证明材料</w:t>
            </w:r>
            <w:r>
              <w:rPr>
                <w:highlight w:val="none"/>
              </w:rPr>
            </w:r>
          </w:p>
        </w:tc>
      </w:tr>
    </w:tbl>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p>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p>
    <w:p>
      <w:pPr>
        <w:ind w:firstLine="480"/>
        <w:spacing w:line="440" w:lineRule="exact"/>
        <w:rPr>
          <w:rFonts w:hint="eastAsia" w:ascii="宋体" w:hAnsi="宋体" w:eastAsia="宋体"/>
          <w:sz w:val="24"/>
          <w:szCs w:val="21"/>
          <w:highlight w:val="none"/>
        </w:rPr>
      </w:pPr>
      <w:r>
        <w:rPr>
          <w:rFonts w:hint="eastAsia" w:ascii="宋体" w:hAnsi="宋体" w:eastAsia="宋体"/>
          <w:sz w:val="24"/>
          <w:szCs w:val="21"/>
          <w:highlight w:val="none"/>
        </w:rPr>
      </w:r>
      <w:r>
        <w:rPr>
          <w:highlight w:val="none"/>
        </w:rPr>
      </w:r>
    </w:p>
    <w:p>
      <w:pP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rPr>
          <w:rFonts w:hint="eastAsia" w:ascii="宋体" w:hAnsi="宋体" w:eastAsia="宋体"/>
          <w:i/>
          <w:sz w:val="32"/>
          <w:szCs w:val="32"/>
          <w:highlight w:val="none"/>
          <w:u w:val="single"/>
        </w:rPr>
      </w:pPr>
      <w:r>
        <w:rPr>
          <w:rFonts w:ascii="宋体" w:hAnsi="宋体" w:eastAsia="宋体"/>
          <w:sz w:val="21"/>
          <w:szCs w:val="21"/>
          <w:highlight w:val="none"/>
        </w:rPr>
        <w:br w:type="page" w:clear="all"/>
      </w:r>
      <w:r>
        <w:rPr>
          <w:rFonts w:hint="eastAsia" w:ascii="宋体" w:hAnsi="宋体" w:eastAsia="宋体"/>
          <w:b/>
          <w:sz w:val="32"/>
          <w:szCs w:val="32"/>
          <w:highlight w:val="none"/>
        </w:rPr>
        <w:t xml:space="preserve">三、特定资格要求的证明文件</w:t>
      </w:r>
      <w:r>
        <w:rPr>
          <w:highlight w:val="none"/>
        </w:rPr>
      </w:r>
    </w:p>
    <w:p>
      <w:pPr>
        <w:spacing w:line="460" w:lineRule="exact"/>
        <w:rPr>
          <w:rFonts w:hint="eastAsia" w:ascii="宋体" w:hAnsi="宋体" w:eastAsia="宋体"/>
          <w:bCs/>
          <w:sz w:val="24"/>
          <w:szCs w:val="21"/>
          <w:highlight w:val="none"/>
        </w:rPr>
      </w:pPr>
      <w:r>
        <w:rPr>
          <w:rFonts w:hint="eastAsia" w:ascii="宋体" w:hAnsi="宋体" w:eastAsia="宋体"/>
          <w:sz w:val="24"/>
          <w:szCs w:val="21"/>
          <w:highlight w:val="none"/>
        </w:rPr>
        <w:t xml:space="preserve">    如果本项目申请人的特定资格要求中要求提供的，必须提供。</w:t>
      </w:r>
      <w:r>
        <w:rPr>
          <w:highlight w:val="none"/>
        </w:rPr>
      </w:r>
    </w:p>
    <w:p>
      <w:pPr>
        <w:spacing w:line="460" w:lineRule="exact"/>
        <w:rPr>
          <w:rFonts w:hint="eastAsia" w:ascii="宋体" w:hAnsi="宋体" w:eastAsia="宋体"/>
          <w:bCs/>
          <w:sz w:val="24"/>
          <w:szCs w:val="21"/>
          <w:highlight w:val="none"/>
        </w:rPr>
      </w:pPr>
      <w:r>
        <w:rPr>
          <w:rFonts w:hint="eastAsia" w:ascii="宋体" w:hAnsi="宋体" w:eastAsia="宋体"/>
          <w:bCs/>
          <w:sz w:val="24"/>
          <w:szCs w:val="21"/>
          <w:highlight w:val="non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ind w:firstLine="640"/>
        <w:jc w:val="left"/>
        <w:spacing w:line="560" w:lineRule="exact"/>
        <w:rPr>
          <w:rFonts w:hint="eastAsia" w:ascii="宋体" w:hAnsi="宋体" w:eastAsia="宋体" w:cs="仿宋_GB2312"/>
          <w:i/>
          <w:sz w:val="32"/>
          <w:szCs w:val="32"/>
          <w:highlight w:val="none"/>
          <w:u w:val="single"/>
        </w:rPr>
      </w:pPr>
      <w:r>
        <w:rPr>
          <w:rFonts w:hint="eastAsia" w:ascii="宋体" w:hAnsi="宋体" w:eastAsia="宋体" w:cs="仿宋_GB2312"/>
          <w:i/>
          <w:sz w:val="32"/>
          <w:szCs w:val="32"/>
          <w:highlight w:val="none"/>
          <w:u w:val="single"/>
        </w:rPr>
      </w:r>
      <w:r>
        <w:rPr>
          <w:highlight w:val="none"/>
        </w:rPr>
      </w:r>
    </w:p>
    <w:p>
      <w:pPr>
        <w:ind w:firstLine="640"/>
        <w:jc w:val="left"/>
        <w:spacing w:line="560" w:lineRule="exact"/>
        <w:rPr>
          <w:rFonts w:hint="eastAsia" w:ascii="宋体" w:hAnsi="宋体" w:eastAsia="宋体" w:cs="仿宋_GB2312"/>
          <w:i/>
          <w:sz w:val="32"/>
          <w:szCs w:val="32"/>
          <w:highlight w:val="none"/>
          <w:u w:val="single"/>
        </w:rPr>
      </w:pPr>
      <w:r>
        <w:rPr>
          <w:rFonts w:hint="eastAsia" w:ascii="宋体" w:hAnsi="宋体" w:eastAsia="宋体" w:cs="仿宋_GB2312"/>
          <w:i/>
          <w:sz w:val="32"/>
          <w:szCs w:val="32"/>
          <w:highlight w:val="none"/>
          <w:u w:val="singl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jc w:val="center"/>
        <w:rPr>
          <w:rFonts w:hint="eastAsia" w:asciiTheme="minorEastAsia" w:hAnsiTheme="minorEastAsia" w:eastAsiaTheme="minorEastAsia"/>
          <w:i/>
          <w:sz w:val="32"/>
          <w:szCs w:val="32"/>
          <w:highlight w:val="none"/>
          <w:u w:val="single"/>
        </w:rPr>
      </w:pPr>
      <w:r>
        <w:rPr>
          <w:rFonts w:hint="eastAsia" w:asciiTheme="minorEastAsia" w:hAnsiTheme="minorEastAsia" w:eastAsiaTheme="minorEastAsia"/>
          <w:i/>
          <w:sz w:val="32"/>
          <w:szCs w:val="32"/>
          <w:highlight w:val="none"/>
          <w:u w:val="singl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宋体" w:hAnsi="宋体" w:eastAsia="宋体"/>
          <w:highlight w:val="none"/>
        </w:rPr>
      </w:pPr>
      <w:r>
        <w:rPr>
          <w:rFonts w:hint="eastAsia" w:ascii="宋体" w:hAnsi="宋体" w:eastAsia="宋体"/>
          <w:highlight w:val="none"/>
        </w:rPr>
      </w:r>
      <w:r>
        <w:rPr>
          <w:highlight w:val="none"/>
        </w:rPr>
      </w:r>
    </w:p>
    <w:p>
      <w:pPr>
        <w:jc w:val="center"/>
        <w:rPr>
          <w:rFonts w:hint="eastAsia" w:ascii="宋体" w:hAnsi="宋体" w:eastAsia="宋体"/>
          <w:i/>
          <w:sz w:val="32"/>
          <w:szCs w:val="32"/>
          <w:highlight w:val="none"/>
          <w:u w:val="single"/>
        </w:rPr>
      </w:pPr>
      <w:r>
        <w:rPr>
          <w:rFonts w:hint="eastAsia" w:ascii="宋体" w:hAnsi="宋体" w:eastAsia="宋体"/>
          <w:i/>
          <w:sz w:val="32"/>
          <w:szCs w:val="32"/>
          <w:highlight w:val="none"/>
          <w:u w:val="single"/>
        </w:rPr>
      </w:r>
      <w:r>
        <w:rPr>
          <w:highlight w:val="none"/>
        </w:rPr>
      </w:r>
    </w:p>
    <w:p>
      <w:pPr>
        <w:rPr>
          <w:rFonts w:hint="eastAsia" w:ascii="宋体" w:hAnsi="宋体" w:eastAsia="宋体"/>
          <w:b/>
          <w:sz w:val="32"/>
          <w:szCs w:val="32"/>
          <w:highlight w:val="none"/>
        </w:rPr>
      </w:pPr>
      <w:r>
        <w:rPr>
          <w:rFonts w:hint="eastAsia" w:ascii="宋体" w:hAnsi="宋体" w:eastAsia="宋体"/>
          <w:b/>
          <w:sz w:val="32"/>
          <w:szCs w:val="32"/>
          <w:highlight w:val="none"/>
        </w:rPr>
        <w:t xml:space="preserve">四、法人授权书</w:t>
      </w:r>
      <w:r>
        <w:rPr>
          <w:highlight w:val="none"/>
        </w:rP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本授权书声明：____________（投标人名称）授权________________（被授权人的姓名）为我方就JSZC-</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号项目采购活动的合法代理人，以本单位名义全权处理一切与该项目采购有关的事务。</w:t>
      </w:r>
      <w:r>
        <w:rPr>
          <w:highlight w:val="none"/>
        </w:rP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本授权书于______年____月____日起生效，特此声明。</w:t>
      </w:r>
      <w:r>
        <w:rPr>
          <w:highlight w:val="none"/>
        </w:rPr>
      </w:r>
    </w:p>
    <w:p>
      <w:pPr>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被授权人身份证号码：</w:t>
      </w:r>
      <w:r>
        <w:rPr>
          <w:rFonts w:hint="eastAsia" w:ascii="宋体" w:hAnsi="宋体" w:eastAsia="宋体"/>
          <w:sz w:val="24"/>
          <w:szCs w:val="24"/>
          <w:highlight w:val="none"/>
          <w:u w:val="single"/>
        </w:rPr>
        <w:t xml:space="preserve">                              </w:t>
      </w:r>
      <w:r>
        <w:rPr>
          <w:highlight w:val="none"/>
        </w:rPr>
      </w:r>
    </w:p>
    <w:p>
      <w:pPr>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被授权人联系电话：（手机）</w:t>
      </w:r>
      <w:r>
        <w:rPr>
          <w:rFonts w:hint="eastAsia" w:ascii="宋体" w:hAnsi="宋体" w:eastAsia="宋体"/>
          <w:sz w:val="24"/>
          <w:szCs w:val="24"/>
          <w:highlight w:val="none"/>
          <w:u w:val="single"/>
        </w:rPr>
        <w:t xml:space="preserve">                          </w:t>
      </w:r>
      <w:r>
        <w:rPr>
          <w:highlight w:val="none"/>
        </w:rPr>
      </w:r>
    </w:p>
    <w:p>
      <w:pPr>
        <w:ind w:firstLine="120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授权单位名称：</w:t>
      </w:r>
      <w:r>
        <w:rPr>
          <w:rFonts w:hint="eastAsia" w:ascii="宋体" w:hAnsi="宋体" w:eastAsia="宋体"/>
          <w:sz w:val="24"/>
          <w:szCs w:val="24"/>
          <w:highlight w:val="none"/>
          <w:u w:val="single"/>
        </w:rPr>
        <w:t xml:space="preserve">（加盖CA电子公章）</w:t>
      </w:r>
      <w:r>
        <w:rPr>
          <w:highlight w:val="none"/>
        </w:rPr>
      </w:r>
    </w:p>
    <w:p>
      <w:pPr>
        <w:ind w:firstLine="480"/>
        <w:tabs>
          <w:tab w:val="left" w:pos="360" w:leader="none"/>
        </w:tabs>
        <w:rPr>
          <w:rFonts w:hint="eastAsia" w:ascii="宋体" w:hAnsi="宋体" w:eastAsia="宋体"/>
          <w:sz w:val="24"/>
          <w:szCs w:val="24"/>
          <w:highlight w:val="none"/>
          <w:u w:val="single"/>
        </w:rPr>
      </w:pPr>
      <w:r>
        <w:rPr>
          <w:rFonts w:hint="eastAsia" w:ascii="宋体" w:hAnsi="宋体" w:eastAsia="宋体"/>
          <w:sz w:val="24"/>
          <w:szCs w:val="24"/>
          <w:highlight w:val="none"/>
        </w:rPr>
        <w:t xml:space="preserve">      单位地址：</w:t>
      </w:r>
      <w:r>
        <w:rPr>
          <w:rFonts w:hint="eastAsia" w:ascii="宋体" w:hAnsi="宋体" w:eastAsia="宋体"/>
          <w:sz w:val="24"/>
          <w:szCs w:val="24"/>
          <w:highlight w:val="none"/>
          <w:u w:val="single"/>
        </w:rPr>
        <w:t xml:space="preserve">                                         </w:t>
      </w:r>
      <w:r>
        <w:rPr>
          <w:highlight w:val="none"/>
        </w:rPr>
      </w:r>
    </w:p>
    <w:p>
      <w:pPr>
        <w:ind w:firstLine="480"/>
        <w:tabs>
          <w:tab w:val="left" w:pos="36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      日期：</w:t>
      </w:r>
      <w:bookmarkStart w:id="10" w:name="_格式3__银行出具的资信证明"/>
      <w:r>
        <w:rPr>
          <w:highlight w:val="none"/>
        </w:rPr>
      </w:r>
      <w:bookmarkEnd w:id="10"/>
      <w:r>
        <w:rPr>
          <w:highlight w:val="none"/>
        </w:rPr>
      </w:r>
      <w:bookmarkStart w:id="11" w:name="_Hlt26955070"/>
      <w:r>
        <w:rPr>
          <w:highlight w:val="none"/>
        </w:rPr>
      </w:r>
      <w:bookmarkEnd w:id="11"/>
      <w:r>
        <w:rPr>
          <w:highlight w:val="none"/>
        </w:rPr>
      </w:r>
      <w:bookmarkStart w:id="12" w:name="_Hlt26671380"/>
      <w:r>
        <w:rPr>
          <w:highlight w:val="none"/>
        </w:rPr>
      </w:r>
      <w:bookmarkEnd w:id="12"/>
      <w:r>
        <w:rPr>
          <w:rFonts w:hint="eastAsia" w:ascii="宋体" w:hAnsi="宋体" w:eastAsia="宋体"/>
          <w:sz w:val="24"/>
          <w:szCs w:val="24"/>
          <w:highlight w:val="none"/>
          <w:u w:val="single"/>
        </w:rPr>
        <w:t xml:space="preserve">                                         </w:t>
      </w:r>
      <w:r>
        <w:rPr>
          <w:highlight w:val="none"/>
        </w:rPr>
      </w:r>
    </w:p>
    <w:p>
      <w:pPr>
        <w:ind w:firstLine="420"/>
        <w:rPr>
          <w:rFonts w:hint="eastAsia" w:ascii="宋体" w:hAnsi="宋体" w:eastAsia="宋体"/>
          <w:i/>
          <w:sz w:val="24"/>
          <w:szCs w:val="24"/>
          <w:highlight w:val="none"/>
          <w:u w:val="single"/>
        </w:rPr>
      </w:pPr>
      <w:r>
        <w:rPr>
          <w:rFonts w:hint="eastAsia" w:ascii="宋体" w:hAnsi="宋体" w:eastAsia="宋体"/>
          <w:i/>
          <w:sz w:val="24"/>
          <w:szCs w:val="24"/>
          <w:highlight w:val="none"/>
          <w:u w:val="single"/>
        </w:rPr>
      </w:r>
      <w:r>
        <w:rPr>
          <w:highlight w:val="none"/>
        </w:rPr>
      </w:r>
    </w:p>
    <w:p>
      <w:pPr>
        <w:rPr>
          <w:rFonts w:hint="eastAsia" w:ascii="宋体" w:hAnsi="宋体" w:eastAsia="宋体"/>
          <w:sz w:val="20"/>
          <w:szCs w:val="21"/>
          <w:highlight w:val="none"/>
        </w:rPr>
      </w:pPr>
      <w:r>
        <w:rPr>
          <w:rFonts w:hint="eastAsia" w:ascii="宋体" w:hAnsi="宋体" w:eastAsia="宋体"/>
          <w:sz w:val="20"/>
          <w:szCs w:val="21"/>
          <w:highlight w:val="none"/>
        </w:rPr>
      </w:r>
      <w:r>
        <w:rPr>
          <w:highlight w:val="none"/>
        </w:rPr>
      </w:r>
    </w:p>
    <w:p>
      <w:pPr>
        <w:spacing w:line="460" w:lineRule="exact"/>
        <w:rPr>
          <w:rFonts w:hint="eastAsia" w:ascii="宋体" w:hAnsi="宋体" w:eastAsia="宋体"/>
          <w:bCs/>
          <w:sz w:val="24"/>
          <w:szCs w:val="21"/>
          <w:highlight w:val="none"/>
        </w:rPr>
      </w:pPr>
      <w:r>
        <w:rPr>
          <w:rFonts w:hint="eastAsia" w:ascii="宋体" w:hAnsi="宋体" w:eastAsia="宋体"/>
          <w:bCs/>
          <w:sz w:val="24"/>
          <w:szCs w:val="21"/>
          <w:highlight w:val="none"/>
        </w:rPr>
      </w:r>
      <w:r>
        <w:rPr>
          <w:highlight w:val="none"/>
        </w:rPr>
      </w:r>
    </w:p>
    <w:p>
      <w:pPr>
        <w:jc w:val="center"/>
        <w:rPr>
          <w:rFonts w:hint="eastAsia" w:ascii="宋体" w:hAnsi="宋体" w:eastAsia="宋体"/>
          <w:b/>
          <w:sz w:val="32"/>
          <w:szCs w:val="32"/>
          <w:highlight w:val="none"/>
        </w:rPr>
      </w:pPr>
      <w:r>
        <w:rPr>
          <w:rFonts w:ascii="宋体" w:hAnsi="宋体" w:eastAsia="宋体"/>
          <w:bCs/>
          <w:sz w:val="24"/>
          <w:szCs w:val="21"/>
          <w:highlight w:val="none"/>
        </w:rPr>
        <w:br w:type="page" w:clear="all"/>
      </w:r>
      <w:r>
        <w:rPr>
          <w:rFonts w:hint="eastAsia" w:ascii="宋体" w:hAnsi="宋体" w:eastAsia="宋体"/>
          <w:b/>
          <w:sz w:val="32"/>
          <w:szCs w:val="32"/>
          <w:highlight w:val="none"/>
        </w:rPr>
        <w:t xml:space="preserve">五、开标一览表</w:t>
      </w:r>
      <w:r>
        <w:rPr>
          <w:highlight w:val="none"/>
        </w:rPr>
      </w:r>
    </w:p>
    <w:p>
      <w:pPr>
        <w:jc w:val="center"/>
        <w:rPr>
          <w:rFonts w:hint="eastAsia" w:ascii="宋体" w:hAnsi="宋体" w:eastAsia="宋体"/>
          <w:b/>
          <w:sz w:val="32"/>
          <w:szCs w:val="32"/>
          <w:highlight w:val="none"/>
        </w:rPr>
      </w:pPr>
      <w:r>
        <w:rPr>
          <w:rFonts w:hint="eastAsia" w:ascii="宋体" w:hAnsi="宋体" w:eastAsia="宋体"/>
          <w:b/>
          <w:sz w:val="32"/>
          <w:szCs w:val="32"/>
          <w:highlight w:val="none"/>
        </w:rPr>
      </w:r>
      <w:r>
        <w:rPr>
          <w:highlight w:val="none"/>
        </w:rPr>
      </w:r>
    </w:p>
    <w:p>
      <w:pPr>
        <w:jc w:val="center"/>
        <w:rPr>
          <w:rFonts w:hint="eastAsia" w:ascii="宋体" w:hAnsi="宋体" w:eastAsia="宋体"/>
          <w:b/>
          <w:sz w:val="32"/>
          <w:szCs w:val="32"/>
          <w:highlight w:val="none"/>
        </w:rPr>
      </w:pPr>
      <w:r>
        <w:rPr>
          <w:rFonts w:hint="eastAsia" w:ascii="宋体" w:hAnsi="宋体" w:eastAsia="宋体"/>
          <w:b/>
          <w:sz w:val="32"/>
          <w:szCs w:val="32"/>
          <w:highlight w:val="none"/>
        </w:rPr>
        <w:t xml:space="preserve">直接在苏采云系统里填写</w:t>
      </w:r>
      <w:r>
        <w:rPr>
          <w:highlight w:val="none"/>
        </w:rPr>
      </w:r>
    </w:p>
    <w:p>
      <w:pPr>
        <w:pStyle w:val="754"/>
        <w:rPr>
          <w:highlight w:val="none"/>
        </w:rPr>
      </w:pPr>
      <w:r>
        <w:rPr>
          <w:highlight w:val="none"/>
        </w:rPr>
      </w:r>
      <w:r>
        <w:rPr>
          <w:highlight w:val="none"/>
        </w:rPr>
      </w:r>
    </w:p>
    <w:p>
      <w:pPr>
        <w:pStyle w:val="754"/>
        <w:rPr>
          <w:highlight w:val="none"/>
        </w:rPr>
      </w:pPr>
      <w:r>
        <w:rPr>
          <w:highlight w:val="none"/>
        </w:rPr>
      </w:r>
      <w:r>
        <w:rPr>
          <w:highlight w:val="none"/>
        </w:rPr>
      </w:r>
    </w:p>
    <w:p>
      <w:pPr>
        <w:jc w:val="center"/>
        <w:rPr>
          <w:rFonts w:hint="eastAsia" w:ascii="宋体" w:hAnsi="宋体" w:eastAsia="宋体"/>
          <w:sz w:val="24"/>
          <w:highlight w:val="none"/>
        </w:rPr>
      </w:pPr>
      <w:r>
        <w:rPr>
          <w:rFonts w:hint="eastAsia" w:ascii="宋体" w:hAnsi="宋体" w:eastAsia="宋体"/>
          <w:sz w:val="24"/>
          <w:highlight w:val="none"/>
        </w:rPr>
      </w:r>
      <w:r>
        <w:rPr>
          <w:highlight w:val="none"/>
        </w:rP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ind w:firstLine="480"/>
        <w:rPr>
          <w:rFonts w:hint="eastAsia" w:ascii="宋体" w:hAnsi="宋体" w:eastAsia="宋体"/>
          <w:sz w:val="24"/>
          <w:szCs w:val="24"/>
          <w:highlight w:val="none"/>
        </w:rPr>
      </w:pPr>
      <w:r>
        <w:rPr>
          <w:rFonts w:hint="eastAsia" w:ascii="宋体" w:hAnsi="宋体" w:eastAsia="宋体"/>
          <w:sz w:val="24"/>
          <w:szCs w:val="24"/>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宋体" w:hAnsi="宋体" w:eastAsia="宋体" w:cs="仿宋"/>
          <w:b/>
          <w:bCs/>
          <w:sz w:val="32"/>
          <w:szCs w:val="32"/>
          <w:highlight w:val="none"/>
        </w:rPr>
      </w:pPr>
      <w:r>
        <w:rPr>
          <w:rFonts w:hint="eastAsia" w:ascii="宋体" w:hAnsi="宋体" w:eastAsia="宋体" w:cs="仿宋"/>
          <w:b/>
          <w:bCs/>
          <w:sz w:val="32"/>
          <w:szCs w:val="32"/>
          <w:highlight w:val="none"/>
        </w:rPr>
      </w:r>
      <w:r>
        <w:rPr>
          <w:highlight w:val="none"/>
        </w:rPr>
      </w:r>
    </w:p>
    <w:p>
      <w:pPr>
        <w:rPr>
          <w:rFonts w:hint="eastAsia" w:asciiTheme="minorEastAsia" w:hAnsiTheme="minorEastAsia" w:eastAsiaTheme="minorEastAsia"/>
          <w:bCs/>
          <w:sz w:val="24"/>
          <w:szCs w:val="21"/>
          <w:highlight w:val="none"/>
        </w:rPr>
      </w:pPr>
      <w:r>
        <w:rPr>
          <w:rFonts w:hint="eastAsia" w:asciiTheme="minorEastAsia" w:hAnsiTheme="minorEastAsia" w:eastAsiaTheme="minorEastAsia"/>
          <w:bCs/>
          <w:sz w:val="24"/>
          <w:szCs w:val="21"/>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Theme="minorEastAsia" w:hAnsiTheme="minorEastAsia" w:eastAsiaTheme="minorEastAsia"/>
          <w:highlight w:val="none"/>
        </w:rPr>
      </w:pPr>
      <w:r>
        <w:rPr>
          <w:rFonts w:hint="eastAsia" w:asciiTheme="minorEastAsia" w:hAnsiTheme="minorEastAsia" w:eastAsiaTheme="minorEastAsia"/>
          <w:highlight w:val="none"/>
        </w:rPr>
      </w:r>
      <w:r>
        <w:rPr>
          <w:highlight w:val="none"/>
        </w:rPr>
      </w:r>
    </w:p>
    <w:p>
      <w:pPr>
        <w:pStyle w:val="754"/>
        <w:rPr>
          <w:rFonts w:hint="eastAsia" w:ascii="宋体" w:hAnsi="宋体" w:eastAsia="宋体"/>
          <w:highlight w:val="none"/>
        </w:rPr>
      </w:pPr>
      <w:r>
        <w:rPr>
          <w:rFonts w:hint="eastAsia" w:ascii="宋体" w:hAnsi="宋体" w:eastAsia="宋体"/>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jc w:val="center"/>
        <w:spacing w:line="560" w:lineRule="exact"/>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六、分项报价表（分包号：**）（货物类）</w:t>
      </w:r>
      <w:r>
        <w:rPr>
          <w:highlight w:val="none"/>
        </w:rPr>
      </w:r>
    </w:p>
    <w:p>
      <w:pPr>
        <w:numPr>
          <w:ilvl w:val="0"/>
          <w:numId w:val="0"/>
        </w:numPr>
        <w:jc w:val="both"/>
        <w:spacing w:line="560" w:lineRule="exact"/>
        <w:rPr>
          <w:rFonts w:hint="default" w:ascii="宋体" w:hAnsi="宋体" w:eastAsia="宋体"/>
          <w:b/>
          <w:color w:val="000000"/>
          <w:sz w:val="32"/>
          <w:szCs w:val="32"/>
          <w:highlight w:val="none"/>
        </w:rPr>
      </w:pPr>
      <w:r>
        <w:rPr>
          <w:rFonts w:hint="eastAsia" w:ascii="宋体" w:hAnsi="宋体" w:eastAsia="宋体"/>
          <w:b/>
          <w:color w:val="000000"/>
          <w:sz w:val="32"/>
          <w:szCs w:val="32"/>
          <w:highlight w:val="none"/>
          <w:lang w:val="en-US" w:eastAsia="zh-CN"/>
        </w:rPr>
        <w:t xml:space="preserve">1、设备报价表</w:t>
      </w:r>
      <w:r>
        <w:rPr>
          <w:highlight w:val="none"/>
        </w:rPr>
      </w:r>
    </w:p>
    <w:tbl>
      <w:tblPr>
        <w:tblStyle w:val="74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highlight w:val="none"/>
              </w:rPr>
            </w:r>
          </w:p>
        </w:tc>
        <w:tc>
          <w:tcPr>
            <w:tcW w:w="103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highlight w:val="none"/>
              </w:rPr>
            </w:r>
          </w:p>
        </w:tc>
        <w:tc>
          <w:tcPr>
            <w:tcW w:w="96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highlight w:val="none"/>
              </w:rPr>
            </w:r>
          </w:p>
        </w:tc>
        <w:tc>
          <w:tcPr>
            <w:tcW w:w="141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highlight w:val="none"/>
              </w:rPr>
            </w:r>
          </w:p>
        </w:tc>
        <w:tc>
          <w:tcPr>
            <w:tcW w:w="78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highlight w:val="none"/>
              </w:rPr>
            </w:r>
          </w:p>
        </w:tc>
        <w:tc>
          <w:tcPr>
            <w:tcW w:w="98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highlight w:val="none"/>
              </w:rPr>
            </w:r>
          </w:p>
        </w:tc>
        <w:tc>
          <w:tcPr>
            <w:tcW w:w="72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highlight w:val="none"/>
              </w:rPr>
            </w:r>
          </w:p>
        </w:tc>
        <w:tc>
          <w:tcPr>
            <w:tcW w:w="137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highlight w:val="none"/>
              </w:rPr>
            </w:r>
          </w:p>
        </w:tc>
        <w:tc>
          <w:tcPr>
            <w:tcW w:w="124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highlight w:val="none"/>
              </w:rP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highlight w:val="none"/>
              </w:rPr>
            </w:r>
          </w:p>
        </w:tc>
        <w:tc>
          <w:tcPr>
            <w:tcW w:w="103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p>
        </w:tc>
        <w:tc>
          <w:tcPr>
            <w:tcW w:w="96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品牌</w:t>
            </w:r>
            <w:r>
              <w:rPr>
                <w:highlight w:val="none"/>
              </w:rPr>
            </w:r>
          </w:p>
        </w:tc>
        <w:tc>
          <w:tcPr>
            <w:tcW w:w="141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规格</w:t>
            </w:r>
            <w:r>
              <w:rPr>
                <w:highlight w:val="none"/>
              </w:rP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型号</w:t>
            </w:r>
            <w:r>
              <w:rPr>
                <w:highlight w:val="none"/>
              </w:rPr>
            </w:r>
          </w:p>
        </w:tc>
        <w:tc>
          <w:tcPr>
            <w:tcW w:w="78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产地</w:t>
            </w:r>
            <w:r>
              <w:rPr>
                <w:highlight w:val="none"/>
              </w:rPr>
            </w:r>
          </w:p>
        </w:tc>
        <w:tc>
          <w:tcPr>
            <w:tcW w:w="98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交付期</w:t>
            </w:r>
            <w:r>
              <w:rPr>
                <w:highlight w:val="none"/>
              </w:rPr>
            </w:r>
          </w:p>
        </w:tc>
        <w:tc>
          <w:tcPr>
            <w:tcW w:w="72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数量</w:t>
            </w:r>
            <w:r>
              <w:rPr>
                <w:highlight w:val="none"/>
              </w:rPr>
            </w:r>
          </w:p>
        </w:tc>
        <w:tc>
          <w:tcPr>
            <w:tcW w:w="137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分项单价</w:t>
            </w:r>
            <w:r>
              <w:rPr>
                <w:highlight w:val="none"/>
              </w:rPr>
            </w:r>
          </w:p>
        </w:tc>
        <w:tc>
          <w:tcPr>
            <w:tcW w:w="124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分项总价</w:t>
            </w:r>
            <w:r>
              <w:rPr>
                <w:highlight w:val="none"/>
              </w:rP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highlight w:val="none"/>
              </w:rP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highlight w:val="none"/>
              </w:rP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rPr>
                <w:highlight w:val="none"/>
              </w:rPr>
            </w:r>
          </w:p>
        </w:tc>
        <w:tc>
          <w:tcPr>
            <w:tcW w:w="1036" w:type="dxa"/>
            <w:vAlign w:val="center"/>
            <w:textDirection w:val="lrTb"/>
            <w:noWrap w:val="false"/>
          </w:tcPr>
          <w:p>
            <w:pPr>
              <w:spacing w:line="560" w:lineRule="exact"/>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w:t>
            </w:r>
            <w:r>
              <w:rPr>
                <w:highlight w:val="none"/>
              </w:rPr>
            </w:r>
          </w:p>
        </w:tc>
        <w:tc>
          <w:tcPr>
            <w:tcW w:w="96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41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84"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980"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727"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372"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c>
          <w:tcPr>
            <w:tcW w:w="1246" w:type="dxa"/>
            <w:vAlign w:val="center"/>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总报价（人民币：元）</w:t>
            </w:r>
            <w:r>
              <w:rPr>
                <w:highlight w:val="none"/>
              </w:rPr>
            </w:r>
          </w:p>
        </w:tc>
        <w:tc>
          <w:tcPr>
            <w:tcW w:w="1246" w:type="dxa"/>
            <w:textDirection w:val="lrTb"/>
            <w:noWrap w:val="false"/>
          </w:tcPr>
          <w:p>
            <w:pP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tc>
      </w:tr>
      <w:tr>
        <w:trPr>
          <w:cantSplit/>
          <w:trHeight w:val="1030"/>
        </w:trPr>
        <w:tc>
          <w:tcPr>
            <w:gridSpan w:val="9"/>
            <w:tcW w:w="908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本采购包中提供的符合本国产品标准的产品成本之和占该采购包提供的全部产品成本之和的比例为***%。</w:t>
            </w:r>
            <w:r>
              <w:rPr>
                <w:highlight w:val="none"/>
              </w:rPr>
            </w:r>
          </w:p>
        </w:tc>
      </w:tr>
    </w:tbl>
    <w:p>
      <w:pPr>
        <w:numPr>
          <w:ilvl w:val="0"/>
          <w:numId w:val="7"/>
        </w:numPr>
        <w:jc w:val="left"/>
        <w:keepLines/>
        <w:spacing w:before="120" w:after="120" w:line="416" w:lineRule="auto"/>
        <w:rPr>
          <w:rFonts w:hint="eastAsia" w:eastAsia="黑体"/>
          <w:b/>
          <w:sz w:val="32"/>
          <w:szCs w:val="32"/>
          <w:highlight w:val="none"/>
        </w:rPr>
        <w:outlineLvl w:val="1"/>
      </w:pPr>
      <w:r>
        <w:rPr>
          <w:rFonts w:hint="eastAsia" w:eastAsia="黑体"/>
          <w:b/>
          <w:sz w:val="32"/>
          <w:szCs w:val="32"/>
          <w:highlight w:val="none"/>
          <w:lang w:val="en-US" w:eastAsia="zh-CN"/>
        </w:rPr>
        <w:t xml:space="preserve">主要配件和耗材价格</w:t>
      </w:r>
      <w:r>
        <w:rPr>
          <w:highlight w:val="none"/>
        </w:rPr>
      </w:r>
    </w:p>
    <w:p>
      <w:pPr>
        <w:numPr>
          <w:ilvl w:val="0"/>
          <w:numId w:val="0"/>
        </w:numPr>
        <w:jc w:val="left"/>
        <w:keepLines/>
        <w:spacing w:before="120" w:after="120" w:line="416" w:lineRule="auto"/>
        <w:rPr>
          <w:rFonts w:hint="eastAsia" w:eastAsia="黑体"/>
          <w:b/>
          <w:sz w:val="32"/>
          <w:szCs w:val="32"/>
          <w:highlight w:val="none"/>
        </w:rPr>
        <w:outlineLvl w:val="1"/>
      </w:pPr>
      <w:r>
        <w:rPr>
          <w:rFonts w:hint="eastAsia" w:eastAsia="黑体"/>
          <w:b/>
          <w:sz w:val="32"/>
          <w:szCs w:val="32"/>
          <w:highlight w:val="none"/>
          <w:lang w:val="en-US" w:eastAsia="zh-CN"/>
        </w:rPr>
        <w:t xml:space="preserve">注：主要配件和耗材价格包括(一次性耗材和重复消毒耗材价格)如无耗材，填写无耗材即可。</w:t>
      </w:r>
      <w:r>
        <w:rPr>
          <w:highlight w:val="none"/>
        </w:rPr>
      </w:r>
    </w:p>
    <w:tbl>
      <w:tblPr>
        <w:tblStyle w:val="749"/>
        <w:tblW w:w="7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1077"/>
        <w:gridCol w:w="1001"/>
        <w:gridCol w:w="1133"/>
        <w:gridCol w:w="1044"/>
        <w:gridCol w:w="779"/>
        <w:gridCol w:w="933"/>
      </w:tblGrid>
      <w:tr>
        <w:trPr>
          <w:cantSplit/>
          <w:trHeight w:val="544"/>
        </w:trPr>
        <w:tc>
          <w:tcPr>
            <w:tcW w:w="1241"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highlight w:val="none"/>
              </w:rPr>
            </w:r>
          </w:p>
        </w:tc>
        <w:tc>
          <w:tcPr>
            <w:tcW w:w="107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p>
        </w:tc>
        <w:tc>
          <w:tcPr>
            <w:tcW w:w="100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品牌</w:t>
            </w:r>
            <w:r>
              <w:rPr>
                <w:highlight w:val="none"/>
              </w:rPr>
            </w:r>
          </w:p>
        </w:tc>
        <w:tc>
          <w:tcPr>
            <w:tcW w:w="1133"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规格</w:t>
            </w:r>
            <w:r>
              <w:rPr>
                <w:rFonts w:hint="eastAsia" w:ascii="宋体" w:hAnsi="宋体" w:eastAsia="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型号</w:t>
            </w:r>
            <w:r>
              <w:rPr>
                <w:highlight w:val="none"/>
              </w:rPr>
            </w:r>
          </w:p>
        </w:tc>
        <w:tc>
          <w:tcPr>
            <w:tcW w:w="1044"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数量</w:t>
            </w:r>
            <w:r>
              <w:rPr>
                <w:highlight w:val="none"/>
              </w:rPr>
            </w:r>
          </w:p>
        </w:tc>
        <w:tc>
          <w:tcPr>
            <w:tcW w:w="779"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单价</w:t>
            </w:r>
            <w:r>
              <w:rPr>
                <w:highlight w:val="none"/>
              </w:rPr>
            </w:r>
          </w:p>
        </w:tc>
        <w:tc>
          <w:tcPr>
            <w:tcW w:w="933"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备注</w:t>
            </w:r>
            <w:r>
              <w:rPr>
                <w:highlight w:val="none"/>
              </w:rPr>
            </w:r>
          </w:p>
        </w:tc>
      </w:tr>
      <w:tr>
        <w:trPr>
          <w:cantSplit/>
          <w:trHeight w:val="294"/>
        </w:trPr>
        <w:tc>
          <w:tcPr>
            <w:tcW w:w="124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 </w:t>
            </w:r>
            <w:r>
              <w:rPr>
                <w:highlight w:val="none"/>
              </w:rPr>
            </w:r>
          </w:p>
        </w:tc>
        <w:tc>
          <w:tcPr>
            <w:tcW w:w="1077"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001"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133"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044"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779"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933"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r>
    </w:tbl>
    <w:p>
      <w:pPr>
        <w:numPr>
          <w:ilvl w:val="0"/>
          <w:numId w:val="0"/>
        </w:numPr>
        <w:jc w:val="left"/>
        <w:keepLines/>
        <w:spacing w:before="120" w:after="120" w:line="416" w:lineRule="auto"/>
        <w:rPr>
          <w:rFonts w:hint="default" w:eastAsia="黑体"/>
          <w:b/>
          <w:sz w:val="32"/>
          <w:szCs w:val="32"/>
          <w:highlight w:val="none"/>
        </w:rPr>
        <w:outlineLvl w:val="1"/>
      </w:pPr>
      <w:r>
        <w:rPr>
          <w:rFonts w:hint="default" w:eastAsia="黑体"/>
          <w:b/>
          <w:sz w:val="32"/>
          <w:szCs w:val="32"/>
          <w:highlight w:val="none"/>
          <w:lang w:val="en-US" w:eastAsia="zh-CN"/>
        </w:rPr>
      </w:r>
      <w:r>
        <w:rPr>
          <w:highlight w:val="none"/>
        </w:rPr>
      </w:r>
    </w:p>
    <w:tbl>
      <w:tblPr>
        <w:tblStyle w:val="749"/>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1075"/>
        <w:gridCol w:w="967"/>
        <w:gridCol w:w="1111"/>
        <w:gridCol w:w="1300"/>
        <w:gridCol w:w="1222"/>
        <w:gridCol w:w="1000"/>
        <w:gridCol w:w="1192"/>
      </w:tblGrid>
      <w:tr>
        <w:trPr>
          <w:cantSplit/>
          <w:trHeight w:val="544"/>
        </w:trPr>
        <w:tc>
          <w:tcPr>
            <w:tcW w:w="1255" w:type="dxa"/>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省平台产品编码</w:t>
            </w:r>
            <w:r>
              <w:rPr>
                <w:highlight w:val="none"/>
              </w:rPr>
            </w:r>
          </w:p>
        </w:tc>
        <w:tc>
          <w:tcPr>
            <w:tcW w:w="107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产品</w:t>
            </w:r>
            <w:r>
              <w:rPr>
                <w:highlight w:val="none"/>
              </w:rPr>
            </w:r>
          </w:p>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名称</w:t>
            </w:r>
            <w:r>
              <w:rPr>
                <w:highlight w:val="none"/>
              </w:rPr>
            </w:r>
          </w:p>
        </w:tc>
        <w:tc>
          <w:tcPr>
            <w:tcW w:w="967"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注册证编号</w:t>
            </w:r>
            <w:r>
              <w:rPr>
                <w:highlight w:val="none"/>
              </w:rPr>
            </w:r>
          </w:p>
        </w:tc>
        <w:tc>
          <w:tcPr>
            <w:tcW w:w="1111"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注册证</w:t>
            </w:r>
            <w:r>
              <w:rPr>
                <w:rFonts w:hint="eastAsia" w:ascii="宋体" w:hAnsi="宋体" w:eastAsia="宋体"/>
                <w:color w:val="000000"/>
                <w:sz w:val="24"/>
                <w:szCs w:val="24"/>
                <w:highlight w:val="none"/>
              </w:rPr>
              <w:t xml:space="preserve">名称</w:t>
            </w:r>
            <w:r>
              <w:rPr>
                <w:highlight w:val="none"/>
              </w:rPr>
            </w:r>
          </w:p>
        </w:tc>
        <w:tc>
          <w:tcPr>
            <w:tcW w:w="13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生产企业名称/品牌</w:t>
            </w:r>
            <w:r>
              <w:rPr>
                <w:highlight w:val="none"/>
              </w:rPr>
            </w:r>
          </w:p>
        </w:tc>
        <w:tc>
          <w:tcPr>
            <w:tcW w:w="1222" w:type="dxa"/>
            <w:vAlign w:val="center"/>
            <w:textDirection w:val="lrTb"/>
            <w:noWrap w:val="false"/>
          </w:tcPr>
          <w:p>
            <w:pPr>
              <w:jc w:val="center"/>
              <w:spacing w:line="560" w:lineRule="exact"/>
              <w:tabs>
                <w:tab w:val="left" w:pos="259" w:leader="none"/>
              </w:tabs>
              <w:rPr>
                <w:rFonts w:hint="default"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规格/型号</w:t>
            </w:r>
            <w:r>
              <w:rPr>
                <w:highlight w:val="none"/>
              </w:rPr>
            </w:r>
          </w:p>
        </w:tc>
        <w:tc>
          <w:tcPr>
            <w:tcW w:w="1000"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单价</w:t>
            </w:r>
            <w:r>
              <w:rPr>
                <w:highlight w:val="none"/>
              </w:rPr>
            </w:r>
          </w:p>
        </w:tc>
        <w:tc>
          <w:tcPr>
            <w:tcW w:w="1192"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备注</w:t>
            </w:r>
            <w:r>
              <w:rPr>
                <w:highlight w:val="none"/>
              </w:rPr>
            </w:r>
          </w:p>
        </w:tc>
      </w:tr>
      <w:tr>
        <w:trPr>
          <w:cantSplit/>
          <w:trHeight w:val="294"/>
        </w:trPr>
        <w:tc>
          <w:tcPr>
            <w:tcW w:w="1255" w:type="dxa"/>
            <w:vAlign w:val="center"/>
            <w:textDirection w:val="lrTb"/>
            <w:noWrap w:val="false"/>
          </w:tcPr>
          <w:p>
            <w:pPr>
              <w:jc w:val="center"/>
              <w:spacing w:line="56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 </w:t>
            </w:r>
            <w:r>
              <w:rPr>
                <w:highlight w:val="none"/>
              </w:rPr>
            </w:r>
          </w:p>
        </w:tc>
        <w:tc>
          <w:tcPr>
            <w:tcW w:w="1075"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967"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111"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3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222"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000"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c>
          <w:tcPr>
            <w:tcW w:w="1192" w:type="dxa"/>
            <w:vAlign w:val="center"/>
            <w:textDirection w:val="lrTb"/>
            <w:noWrap w:val="false"/>
          </w:tcPr>
          <w:p>
            <w:pPr>
              <w:jc w:val="center"/>
              <w:spacing w:line="560" w:lineRule="exact"/>
              <w:rPr>
                <w:rFonts w:hint="default" w:ascii="宋体" w:hAnsi="宋体" w:eastAsia="宋体"/>
                <w:color w:val="000000"/>
                <w:sz w:val="24"/>
                <w:szCs w:val="24"/>
                <w:highlight w:val="none"/>
              </w:rPr>
            </w:pPr>
            <w:r>
              <w:rPr>
                <w:rFonts w:hint="default" w:ascii="宋体" w:hAnsi="宋体" w:eastAsia="宋体"/>
                <w:color w:val="000000"/>
                <w:sz w:val="24"/>
                <w:szCs w:val="24"/>
                <w:highlight w:val="none"/>
                <w:lang w:val="en-US"/>
              </w:rPr>
            </w:r>
            <w:r>
              <w:rPr>
                <w:highlight w:val="none"/>
              </w:rPr>
            </w:r>
          </w:p>
        </w:tc>
      </w:tr>
    </w:tbl>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t xml:space="preserve">备注：中标后五个工作日内，耗材需提供耗材目录截图(需在江苏省药品、医用耗材招采管理系统和集采品种范围内)。</w:t>
      </w:r>
      <w:r>
        <w:rPr>
          <w:highlight w:val="none"/>
        </w:rPr>
      </w:r>
    </w:p>
    <w:p>
      <w:pPr>
        <w:rPr>
          <w:rFonts w:hint="eastAsia" w:asciiTheme="minorEastAsia" w:hAnsiTheme="minorEastAsia"/>
          <w:sz w:val="24"/>
          <w:szCs w:val="24"/>
          <w:highlight w:val="none"/>
        </w:rPr>
      </w:pPr>
      <w:r>
        <w:rPr>
          <w:rFonts w:hint="eastAsia" w:asciiTheme="minorEastAsia" w:hAnsiTheme="minorEastAsia"/>
          <w:sz w:val="24"/>
          <w:szCs w:val="24"/>
          <w:highlight w:val="none"/>
          <w:lang w:val="en-US" w:eastAsia="zh-CN"/>
        </w:rPr>
        <w:br w:type="page" w:clear="all"/>
      </w:r>
      <w:r>
        <w:rPr>
          <w:rFonts w:hint="eastAsia" w:ascii="Times New Roman" w:hAnsi="Times New Roman" w:cs="Times New Roman"/>
          <w:b/>
          <w:bCs/>
          <w:iCs/>
          <w:szCs w:val="32"/>
          <w:highlight w:val="none"/>
        </w:rPr>
        <w:t xml:space="preserve">七、符合本国产品标准</w:t>
      </w:r>
      <w:r>
        <w:rPr>
          <w:rFonts w:hint="eastAsia" w:ascii="Times New Roman" w:hAnsi="Times New Roman" w:cs="Times New Roman"/>
          <w:b/>
          <w:bCs/>
          <w:iCs/>
          <w:szCs w:val="32"/>
          <w:highlight w:val="none"/>
          <w:lang w:val="en-US" w:eastAsia="zh-CN"/>
        </w:rPr>
        <w:t xml:space="preserve">及</w:t>
      </w:r>
      <w:r>
        <w:rPr>
          <w:rFonts w:hint="eastAsia" w:ascii="Times New Roman" w:hAnsi="Times New Roman" w:cs="Times New Roman"/>
          <w:b/>
          <w:bCs/>
          <w:iCs/>
          <w:szCs w:val="32"/>
          <w:highlight w:val="none"/>
        </w:rPr>
        <w:t xml:space="preserve">中小企业声明函</w:t>
      </w:r>
      <w:r>
        <w:rPr>
          <w:highlight w:val="none"/>
        </w:rPr>
      </w:r>
    </w:p>
    <w:p>
      <w:pPr>
        <w:pStyle w:val="1015"/>
        <w:jc w:val="center"/>
        <w:rPr>
          <w:rFonts w:hint="eastAsia" w:ascii="宋体" w:hAnsi="宋体"/>
          <w:b/>
          <w:sz w:val="36"/>
          <w:szCs w:val="36"/>
          <w:highlight w:val="none"/>
        </w:rPr>
      </w:pPr>
      <w:r>
        <w:rPr>
          <w:rFonts w:hint="eastAsia" w:ascii="宋体" w:hAnsi="宋体"/>
          <w:b/>
          <w:sz w:val="36"/>
          <w:szCs w:val="36"/>
          <w:highlight w:val="none"/>
        </w:rPr>
        <w:t xml:space="preserve">中小企业声明函（货物）</w:t>
      </w:r>
      <w:r>
        <w:rPr>
          <w:highlight w:val="none"/>
        </w:rPr>
      </w:r>
    </w:p>
    <w:p>
      <w:pPr>
        <w:pStyle w:val="1015"/>
        <w:jc w:val="left"/>
        <w:rPr>
          <w:rFonts w:hint="eastAsia" w:ascii="宋体" w:hAnsi="宋体"/>
          <w:b/>
          <w:sz w:val="32"/>
          <w:szCs w:val="32"/>
          <w:highlight w:val="none"/>
        </w:rPr>
      </w:pPr>
      <w:r>
        <w:rPr>
          <w:rFonts w:hint="eastAsia" w:ascii="宋体" w:hAnsi="宋体"/>
          <w:b/>
          <w:sz w:val="32"/>
          <w:szCs w:val="32"/>
          <w:highlight w:val="none"/>
        </w:rPr>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w:t>
      </w:r>
      <w:r>
        <w:rPr>
          <w:rFonts w:ascii="宋体" w:hAnsi="宋体"/>
          <w:sz w:val="24"/>
          <w:szCs w:val="24"/>
          <w:highlight w:val="none"/>
        </w:rPr>
        <w:t xml:space="preserve">〔2020〕46号）</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 单位名称  </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 采购活动，提供的货物全部由符合政策要求的中小企业制造。相关企业（含联合体中的中小企业、签订分包意向协议的中小企业）的具体情况如下：</w:t>
      </w:r>
      <w:r>
        <w:rPr>
          <w:highlight w:val="none"/>
        </w:rPr>
      </w:r>
    </w:p>
    <w:p>
      <w:pPr>
        <w:pStyle w:val="1015"/>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1.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highlight w:val="none"/>
        </w:rPr>
      </w:r>
    </w:p>
    <w:p>
      <w:pPr>
        <w:pStyle w:val="1015"/>
        <w:ind w:firstLine="480"/>
        <w:jc w:val="left"/>
        <w:spacing w:line="500" w:lineRule="exact"/>
        <w:rPr>
          <w:rFonts w:hint="eastAsia" w:ascii="宋体" w:hAnsi="宋体"/>
          <w:sz w:val="24"/>
          <w:szCs w:val="24"/>
          <w:highlight w:val="none"/>
          <w:u w:val="single"/>
        </w:rPr>
      </w:pPr>
      <w:r>
        <w:rPr>
          <w:rFonts w:hint="eastAsia" w:ascii="宋体" w:hAnsi="宋体"/>
          <w:sz w:val="24"/>
          <w:szCs w:val="24"/>
          <w:highlight w:val="none"/>
        </w:rPr>
        <w:t xml:space="preserve">2. </w:t>
      </w:r>
      <w:r>
        <w:rPr>
          <w:rFonts w:hint="eastAsia" w:ascii="宋体" w:hAnsi="宋体"/>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u w:val="single"/>
        </w:rPr>
        <w:t xml:space="preserve">行业</w:t>
      </w:r>
      <w:r>
        <w:rPr>
          <w:rFonts w:hint="eastAsia" w:ascii="宋体" w:hAnsi="宋体"/>
          <w:sz w:val="24"/>
          <w:szCs w:val="24"/>
          <w:highlight w:val="none"/>
        </w:rPr>
        <w:t xml:space="preserve">；制造商为</w:t>
      </w:r>
      <w:r>
        <w:rPr>
          <w:rFonts w:hint="eastAsia" w:ascii="宋体" w:hAnsi="宋体"/>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 </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rPr>
          <w:highlight w:val="none"/>
        </w:rPr>
      </w:r>
    </w:p>
    <w:p>
      <w:pPr>
        <w:pStyle w:val="1015"/>
        <w:ind w:firstLine="480"/>
        <w:jc w:val="left"/>
        <w:spacing w:line="500" w:lineRule="exact"/>
        <w:rPr>
          <w:rFonts w:hint="eastAsia" w:ascii="宋体" w:hAnsi="宋体"/>
          <w:sz w:val="24"/>
          <w:szCs w:val="24"/>
          <w:highlight w:val="none"/>
        </w:rPr>
      </w:pPr>
      <w:r>
        <w:rPr>
          <w:rFonts w:ascii="宋体" w:hAnsi="宋体"/>
          <w:sz w:val="24"/>
          <w:szCs w:val="24"/>
          <w:highlight w:val="none"/>
        </w:rPr>
        <w:t xml:space="preserve">……</w:t>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p>
    <w:p>
      <w:pPr>
        <w:pStyle w:val="1015"/>
        <w:ind w:firstLine="480"/>
        <w:jc w:val="center"/>
        <w:spacing w:line="500" w:lineRule="exact"/>
        <w:rPr>
          <w:rFonts w:hint="eastAsia" w:ascii="宋体" w:hAnsi="宋体"/>
          <w:sz w:val="24"/>
          <w:szCs w:val="24"/>
          <w:highlight w:val="none"/>
        </w:rPr>
      </w:pPr>
      <w:r>
        <w:rPr>
          <w:rFonts w:hint="eastAsia" w:ascii="宋体" w:hAnsi="宋体"/>
          <w:sz w:val="24"/>
          <w:szCs w:val="24"/>
          <w:highlight w:val="none"/>
        </w:rPr>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highlight w:val="none"/>
        </w:rPr>
      </w:r>
    </w:p>
    <w:p>
      <w:pPr>
        <w:pStyle w:val="1015"/>
        <w:ind w:firstLine="480"/>
        <w:jc w:val="left"/>
        <w:spacing w:line="500" w:lineRule="exact"/>
        <w:rPr>
          <w:rFonts w:hint="eastAsia" w:ascii="宋体" w:hAnsi="宋体"/>
          <w:sz w:val="24"/>
          <w:szCs w:val="24"/>
          <w:highlight w:val="none"/>
        </w:rPr>
      </w:pPr>
      <w:r>
        <w:rPr>
          <w:rFonts w:hint="eastAsia" w:ascii="宋体" w:hAnsi="宋体"/>
          <w:sz w:val="24"/>
          <w:szCs w:val="24"/>
          <w:highlight w:val="none"/>
        </w:rPr>
        <w:t xml:space="preserve">日期：</w:t>
      </w:r>
      <w:r>
        <w:rPr>
          <w:highlight w:val="none"/>
        </w:rPr>
      </w:r>
    </w:p>
    <w:p>
      <w:pPr>
        <w:pStyle w:val="1015"/>
        <w:ind w:firstLine="560"/>
        <w:spacing w:line="560" w:lineRule="exact"/>
        <w:rPr>
          <w:rFonts w:hint="eastAsia" w:ascii="宋体" w:hAnsi="宋体"/>
          <w:sz w:val="28"/>
          <w:szCs w:val="28"/>
          <w:highlight w:val="none"/>
        </w:rPr>
      </w:pPr>
      <w:r>
        <w:rPr>
          <w:rFonts w:hint="eastAsia" w:ascii="宋体" w:hAnsi="宋体"/>
          <w:sz w:val="28"/>
          <w:szCs w:val="28"/>
          <w:highlight w:val="none"/>
        </w:rPr>
      </w:r>
      <w:r>
        <w:rPr>
          <w:highlight w:val="none"/>
        </w:rPr>
      </w:r>
    </w:p>
    <w:p>
      <w:pPr>
        <w:pStyle w:val="1015"/>
        <w:ind w:firstLine="360"/>
        <w:spacing w:line="560" w:lineRule="exact"/>
        <w:rPr>
          <w:rFonts w:hint="eastAsia" w:ascii="宋体" w:hAnsi="宋体"/>
          <w:sz w:val="18"/>
          <w:szCs w:val="18"/>
          <w:highlight w:val="none"/>
        </w:rPr>
      </w:pPr>
      <w:r>
        <w:rPr>
          <w:rFonts w:hint="eastAsia" w:ascii="宋体" w:hAnsi="宋体"/>
          <w:sz w:val="18"/>
          <w:szCs w:val="18"/>
          <w:highlight w:val="none"/>
          <w:vertAlign w:val="superscript"/>
        </w:rPr>
        <w:t xml:space="preserve">1</w:t>
      </w:r>
      <w:r>
        <w:rPr>
          <w:rFonts w:hint="eastAsia" w:ascii="宋体" w:hAnsi="宋体"/>
          <w:sz w:val="18"/>
          <w:szCs w:val="18"/>
          <w:highlight w:val="none"/>
        </w:rPr>
        <w:t xml:space="preserve">从业人员、营业收入、资产总额填报上一年数据，无上一年数据的新成立企业可不填报。</w:t>
      </w:r>
      <w:r>
        <w:rPr>
          <w:highlight w:val="none"/>
        </w:rP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5"/>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5"/>
        <w:jc w:val="center"/>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5"/>
        <w:jc w:val="center"/>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rPr>
          <w:highlight w:val="none"/>
        </w:rPr>
      </w:r>
    </w:p>
    <w:p>
      <w:pPr>
        <w:pStyle w:val="1015"/>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rPr>
          <w:highlight w:val="none"/>
        </w:rPr>
      </w:r>
    </w:p>
    <w:p>
      <w:pPr>
        <w:pStyle w:val="1015"/>
        <w:rPr>
          <w:rFonts w:hint="eastAsia" w:ascii="宋体" w:hAnsi="宋体"/>
          <w:b/>
          <w:sz w:val="36"/>
          <w:szCs w:val="36"/>
          <w:highlight w:val="none"/>
        </w:rPr>
      </w:pPr>
      <w:r>
        <w:rPr>
          <w:rFonts w:hint="eastAsia" w:ascii="宋体" w:hAnsi="宋体"/>
          <w:b/>
          <w:sz w:val="36"/>
          <w:szCs w:val="36"/>
          <w:highlight w:val="none"/>
        </w:rPr>
      </w:r>
      <w:r>
        <w:rPr>
          <w:highlight w:val="none"/>
        </w:rPr>
      </w:r>
    </w:p>
    <w:p>
      <w:pPr>
        <w:pStyle w:val="1017"/>
        <w:jc w:val="center"/>
        <w:spacing w:before="151" w:after="151" w:line="600" w:lineRule="exact"/>
        <w:rPr>
          <w:rFonts w:hint="eastAsia" w:ascii="宋体" w:hAnsi="宋体"/>
          <w:b/>
          <w:bCs/>
          <w:sz w:val="32"/>
          <w:szCs w:val="32"/>
          <w:highlight w:val="none"/>
        </w:rPr>
      </w:pPr>
      <w:r>
        <w:rPr>
          <w:rFonts w:hint="eastAsia" w:ascii="宋体" w:hAnsi="宋体"/>
          <w:b/>
          <w:bCs/>
          <w:sz w:val="32"/>
          <w:szCs w:val="32"/>
          <w:highlight w:val="none"/>
        </w:rPr>
        <w:t xml:space="preserve">残疾人福利性单位声明函</w:t>
      </w:r>
      <w:r>
        <w:rPr>
          <w:highlight w:val="none"/>
        </w:rPr>
      </w:r>
    </w:p>
    <w:p>
      <w:pPr>
        <w:pStyle w:val="1018"/>
        <w:spacing w:line="588" w:lineRule="exact"/>
        <w:rPr>
          <w:rFonts w:hint="eastAsia" w:ascii="宋体" w:hAnsi="宋体"/>
          <w:b/>
          <w:spacing w:val="6"/>
          <w:sz w:val="30"/>
          <w:szCs w:val="30"/>
          <w:highlight w:val="none"/>
        </w:rPr>
      </w:pPr>
      <w:r>
        <w:rPr>
          <w:rFonts w:hint="eastAsia" w:ascii="宋体" w:hAnsi="宋体"/>
          <w:b/>
          <w:spacing w:val="6"/>
          <w:sz w:val="30"/>
          <w:szCs w:val="30"/>
          <w:highlight w:val="none"/>
        </w:rPr>
      </w:r>
      <w:r>
        <w:rPr>
          <w:highlight w:val="none"/>
        </w:rPr>
      </w:r>
    </w:p>
    <w:p>
      <w:pPr>
        <w:pStyle w:val="1017"/>
        <w:ind w:firstLine="480"/>
        <w:spacing w:line="500" w:lineRule="exac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w:t>
      </w:r>
      <w:r>
        <w:rPr>
          <w:rFonts w:hint="eastAsia" w:ascii="宋体" w:hAnsi="宋体"/>
          <w:sz w:val="24"/>
          <w:highlight w:val="none"/>
        </w:rPr>
        <w:t xml:space="preserve">〕</w:t>
      </w:r>
      <w:r>
        <w:rPr>
          <w:rFonts w:ascii="宋体" w:hAnsi="宋体"/>
          <w:sz w:val="24"/>
          <w:highlight w:val="none"/>
        </w:rPr>
        <w:t xml:space="preserve">141</w:t>
      </w:r>
      <w:r>
        <w:rPr>
          <w:rFonts w:hint="eastAsia" w:ascii="宋体" w:hAnsi="宋体"/>
          <w:sz w:val="24"/>
          <w:highlight w:val="none"/>
        </w:rPr>
        <w:t xml:space="preserve">号）的规定，本单位为符合条件的残疾人福利性单位，且本单位参加</w:t>
      </w:r>
      <w:r>
        <w:rPr>
          <w:rFonts w:hint="eastAsia" w:ascii="宋体" w:hAnsi="宋体"/>
          <w:sz w:val="24"/>
          <w:highlight w:val="none"/>
          <w:u w:val="single"/>
        </w:rPr>
        <w:t xml:space="preserve">          </w:t>
      </w:r>
      <w:r>
        <w:rPr>
          <w:rFonts w:hint="eastAsia" w:ascii="宋体" w:hAnsi="宋体"/>
          <w:sz w:val="24"/>
          <w:highlight w:val="none"/>
        </w:rPr>
        <w:t xml:space="preserve">的</w:t>
      </w:r>
      <w:r>
        <w:rPr>
          <w:rFonts w:hint="eastAsia" w:ascii="宋体" w:hAnsi="宋体"/>
          <w:sz w:val="24"/>
          <w:highlight w:val="none"/>
          <w:u w:val="single"/>
        </w:rPr>
        <w:t xml:space="preserve">                  </w:t>
      </w:r>
      <w:r>
        <w:rPr>
          <w:rFonts w:hint="eastAsia" w:ascii="宋体" w:hAnsi="宋体"/>
          <w:sz w:val="24"/>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p>
    <w:p>
      <w:pPr>
        <w:pStyle w:val="1017"/>
        <w:ind w:firstLine="480"/>
        <w:spacing w:line="500" w:lineRule="exact"/>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highlight w:val="none"/>
        </w:rPr>
      </w:r>
    </w:p>
    <w:p>
      <w:pPr>
        <w:pStyle w:val="1019"/>
        <w:ind w:firstLine="3810"/>
        <w:spacing w:line="500" w:lineRule="exact"/>
        <w:rPr>
          <w:rFonts w:hint="eastAsia" w:ascii="宋体" w:hAnsi="宋体"/>
          <w:spacing w:val="6"/>
          <w:sz w:val="24"/>
          <w:szCs w:val="24"/>
          <w:highlight w:val="none"/>
        </w:rPr>
      </w:pPr>
      <w:r>
        <w:rPr>
          <w:rFonts w:hint="eastAsia" w:ascii="宋体" w:hAnsi="宋体"/>
          <w:spacing w:val="6"/>
          <w:sz w:val="24"/>
          <w:szCs w:val="24"/>
          <w:highlight w:val="none"/>
        </w:rPr>
      </w:r>
      <w:r>
        <w:rPr>
          <w:highlight w:val="none"/>
        </w:rPr>
      </w:r>
    </w:p>
    <w:p>
      <w:pPr>
        <w:pStyle w:val="1019"/>
        <w:ind w:firstLine="3629"/>
        <w:jc w:val="left"/>
        <w:spacing w:line="500" w:lineRule="exact"/>
        <w:rPr>
          <w:rFonts w:hint="eastAsia" w:ascii="宋体" w:hAnsi="宋体"/>
          <w:sz w:val="24"/>
          <w:highlight w:val="none"/>
        </w:rPr>
      </w:pPr>
      <w:r>
        <w:rPr>
          <w:rFonts w:hint="eastAsia" w:ascii="宋体" w:hAnsi="宋体"/>
          <w:sz w:val="24"/>
          <w:highlight w:val="none"/>
        </w:rPr>
      </w:r>
      <w:r>
        <w:rPr>
          <w:highlight w:val="none"/>
        </w:rPr>
      </w:r>
    </w:p>
    <w:p>
      <w:pPr>
        <w:pStyle w:val="1019"/>
        <w:ind w:firstLine="480"/>
        <w:jc w:val="left"/>
        <w:spacing w:line="500" w:lineRule="exact"/>
        <w:rPr>
          <w:rFonts w:hint="eastAsia" w:ascii="宋体" w:hAnsi="宋体"/>
          <w:sz w:val="24"/>
          <w:highlight w:val="none"/>
        </w:rPr>
      </w:pPr>
      <w:r>
        <w:rPr>
          <w:rFonts w:hint="eastAsia" w:ascii="宋体" w:hAnsi="宋体"/>
          <w:sz w:val="24"/>
          <w:highlight w:val="none"/>
        </w:rPr>
        <w:t xml:space="preserve">单位名称：</w:t>
      </w:r>
      <w:r>
        <w:rPr>
          <w:rFonts w:hint="eastAsia" w:ascii="宋体" w:hAnsi="宋体"/>
          <w:sz w:val="24"/>
          <w:highlight w:val="none"/>
          <w:u w:val="single"/>
        </w:rPr>
        <w:t xml:space="preserve">              </w:t>
      </w:r>
      <w:r>
        <w:rPr>
          <w:rFonts w:hint="eastAsia" w:ascii="宋体" w:hAnsi="宋体"/>
          <w:sz w:val="24"/>
          <w:highlight w:val="none"/>
        </w:rPr>
        <w:t xml:space="preserve">（加盖CA电子公章）</w:t>
      </w:r>
      <w:r>
        <w:rPr>
          <w:highlight w:val="none"/>
        </w:rPr>
      </w:r>
    </w:p>
    <w:p>
      <w:pPr>
        <w:pStyle w:val="1015"/>
        <w:ind w:firstLine="480"/>
        <w:jc w:val="left"/>
        <w:spacing w:line="500" w:lineRule="exact"/>
        <w:rPr>
          <w:rFonts w:hint="eastAsia" w:ascii="宋体" w:hAnsi="宋体"/>
          <w:sz w:val="24"/>
          <w:szCs w:val="20"/>
          <w:highlight w:val="none"/>
        </w:rPr>
      </w:pPr>
      <w:r>
        <w:rPr>
          <w:rFonts w:hint="eastAsia" w:ascii="宋体" w:hAnsi="宋体"/>
          <w:sz w:val="24"/>
          <w:szCs w:val="20"/>
          <w:highlight w:val="none"/>
        </w:rPr>
        <w:t xml:space="preserve">日期：  年  月  日</w:t>
      </w:r>
      <w:r>
        <w:rPr>
          <w:highlight w:val="none"/>
        </w:rPr>
      </w:r>
    </w:p>
    <w:p>
      <w:pPr>
        <w:pStyle w:val="1018"/>
        <w:ind w:right="1560" w:firstLine="480"/>
        <w:jc w:val="center"/>
        <w:spacing w:line="588" w:lineRule="exact"/>
        <w:tabs>
          <w:tab w:val="left" w:pos="4860" w:leader="none"/>
        </w:tabs>
        <w:rPr>
          <w:rFonts w:hint="eastAsia" w:ascii="宋体" w:hAnsi="宋体" w:cs="Arial"/>
          <w:sz w:val="24"/>
          <w:szCs w:val="24"/>
          <w:highlight w:val="none"/>
        </w:rPr>
      </w:pPr>
      <w:r>
        <w:rPr>
          <w:rFonts w:hint="eastAsia" w:ascii="宋体" w:hAnsi="宋体" w:cs="Arial"/>
          <w:sz w:val="24"/>
          <w:szCs w:val="24"/>
          <w:highlight w:val="none"/>
        </w:rPr>
      </w:r>
      <w:r>
        <w:rPr>
          <w:highlight w:val="none"/>
        </w:rPr>
      </w:r>
    </w:p>
    <w:p>
      <w:pPr>
        <w:pStyle w:val="1020"/>
        <w:ind w:left="357" w:firstLine="0"/>
        <w:spacing w:line="500" w:lineRule="exact"/>
        <w:rPr>
          <w:rFonts w:hint="eastAsia" w:ascii="宋体" w:hAnsi="宋体" w:cs="Arial"/>
          <w:sz w:val="24"/>
          <w:szCs w:val="24"/>
          <w:highlight w:val="none"/>
        </w:rPr>
      </w:pPr>
      <w:r>
        <w:rPr>
          <w:rFonts w:hint="eastAsia" w:ascii="宋体" w:hAnsi="宋体" w:cs="Arial"/>
          <w:sz w:val="24"/>
          <w:szCs w:val="24"/>
          <w:highlight w:val="none"/>
        </w:rPr>
      </w:r>
      <w:r>
        <w:rPr>
          <w:highlight w:val="none"/>
        </w:rPr>
      </w:r>
    </w:p>
    <w:p>
      <w:pPr>
        <w:pStyle w:val="1017"/>
        <w:ind w:firstLine="445"/>
        <w:spacing w:before="151" w:after="151" w:line="240" w:lineRule="atLeast"/>
        <w:rPr>
          <w:rFonts w:hint="eastAsia" w:ascii="宋体" w:hAnsi="宋体"/>
          <w:sz w:val="24"/>
          <w:highlight w:val="none"/>
        </w:rPr>
      </w:pPr>
      <w:r>
        <w:rPr>
          <w:rFonts w:hint="eastAsia" w:ascii="宋体" w:hAnsi="宋体"/>
          <w:sz w:val="24"/>
          <w:highlight w:val="none"/>
        </w:rPr>
        <w:t xml:space="preserve">注：非残疾人福利性单位不需提供此函。</w:t>
      </w:r>
      <w:r>
        <w:rPr>
          <w:highlight w:val="none"/>
        </w:rPr>
      </w:r>
    </w:p>
    <w:p>
      <w:pPr>
        <w:jc w:val="left"/>
        <w:keepLines/>
        <w:spacing w:before="120" w:after="120" w:line="416" w:lineRule="auto"/>
        <w:rPr>
          <w:rFonts w:eastAsia="黑体"/>
          <w:b/>
          <w:sz w:val="32"/>
          <w:szCs w:val="32"/>
          <w:highlight w:val="none"/>
        </w:rPr>
        <w:sectPr>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sz w:val="32"/>
          <w:szCs w:val="32"/>
          <w:highlight w:val="none"/>
        </w:rPr>
      </w:r>
      <w:r>
        <w:rPr>
          <w:highlight w:val="none"/>
        </w:rPr>
      </w:r>
    </w:p>
    <w:p>
      <w:pPr>
        <w:ind w:left="0" w:right="0" w:firstLine="643"/>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关于符合本国产品标准的声明函（采购包号：如有）</w:t>
      </w:r>
      <w:r>
        <w:rPr>
          <w:highlight w:val="none"/>
        </w:rP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p>
    <w:p>
      <w:pPr>
        <w:ind w:left="0" w:right="0" w:firstLine="420"/>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numPr>
          <w:ilvl w:val="0"/>
          <w:numId w:val="8"/>
        </w:numPr>
        <w:spacing w:before="30" w:after="30" w:line="360" w:lineRule="atLeast"/>
        <w:tabs>
          <w:tab w:val="left" w:pos="312" w:leader="none"/>
        </w:tabs>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u w:val="single"/>
        </w:rPr>
        <w:t xml:space="preserve">（产品名称1）</w:t>
      </w:r>
      <w:r>
        <w:rPr>
          <w:rFonts w:ascii="Arial" w:hAnsi="Arial" w:eastAsia="Arial" w:cs="Arial"/>
          <w:color w:val="000000"/>
          <w:sz w:val="20"/>
          <w:highlight w:val="none"/>
          <w:vertAlign w:val="superscript"/>
        </w:rPr>
        <w:t xml:space="preserve">1</w:t>
      </w:r>
      <w:r>
        <w:rPr>
          <w:rFonts w:ascii="Arial" w:hAnsi="Arial" w:eastAsia="Arial" w:cs="Arial"/>
          <w:color w:val="000000"/>
          <w:sz w:val="24"/>
          <w:highlight w:val="none"/>
        </w:rPr>
        <w:t xml:space="preserve">，生产厂为</w:t>
      </w:r>
      <w:r>
        <w:rPr>
          <w:rFonts w:ascii="Arial" w:hAnsi="Arial" w:eastAsia="Arial" w:cs="Arial"/>
          <w:color w:val="000000"/>
          <w:sz w:val="24"/>
          <w:highlight w:val="none"/>
          <w:u w:val="single"/>
        </w:rPr>
        <w:t xml:space="preserve">（厂名）</w:t>
      </w:r>
      <w:r>
        <w:rPr>
          <w:rFonts w:ascii="Arial" w:hAnsi="Arial" w:eastAsia="Arial" w:cs="Arial"/>
          <w:color w:val="000000"/>
          <w:sz w:val="20"/>
          <w:highlight w:val="none"/>
          <w:vertAlign w:val="superscript"/>
        </w:rPr>
        <w:t xml:space="preserve">2</w:t>
      </w:r>
      <w:r>
        <w:rPr>
          <w:rFonts w:ascii="Arial" w:hAnsi="Arial" w:eastAsia="Arial" w:cs="Arial"/>
          <w:color w:val="000000"/>
          <w:sz w:val="24"/>
          <w:highlight w:val="none"/>
        </w:rPr>
        <w:t xml:space="preserve">，厂址为</w:t>
      </w:r>
      <w:r>
        <w:rPr>
          <w:rFonts w:ascii="Arial" w:hAnsi="Arial" w:eastAsia="Arial" w:cs="Arial"/>
          <w:color w:val="000000"/>
          <w:sz w:val="24"/>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 （</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 </w:t>
      </w:r>
      <w:r>
        <w:rPr>
          <w:rFonts w:ascii="Arial" w:hAnsi="Arial" w:eastAsia="Arial" w:cs="Arial"/>
          <w:color w:val="000000"/>
          <w:sz w:val="24"/>
          <w:highlight w:val="none"/>
        </w:rPr>
        <w:t xml:space="preserve">的中国境内生产的组件成本占比≥</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规定比例</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3</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关键组件</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4</w:t>
      </w:r>
      <w:r>
        <w:rPr>
          <w:rFonts w:ascii="Arial" w:hAnsi="Arial" w:eastAsia="Arial" w:cs="Arial"/>
          <w:color w:val="000000"/>
          <w:sz w:val="24"/>
          <w:highlight w:val="none"/>
        </w:rPr>
        <w:t xml:space="preserve">在中国境内生产。</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关键工序</w:t>
      </w:r>
      <w:r>
        <w:rPr>
          <w:rFonts w:ascii="Arial" w:hAnsi="Arial" w:eastAsia="Arial" w:cs="Arial"/>
          <w:color w:val="000000"/>
          <w:sz w:val="24"/>
          <w:highlight w:val="none"/>
          <w:u w:val="single"/>
        </w:rPr>
        <w:t xml:space="preserve">）</w:t>
      </w:r>
      <w:r>
        <w:rPr>
          <w:rFonts w:ascii="Arial" w:hAnsi="Arial" w:eastAsia="Arial" w:cs="Arial"/>
          <w:color w:val="000000"/>
          <w:sz w:val="20"/>
          <w:highlight w:val="none"/>
          <w:vertAlign w:val="superscript"/>
        </w:rPr>
        <w:t xml:space="preserve">5</w:t>
      </w:r>
      <w:r>
        <w:rPr>
          <w:rFonts w:ascii="Arial" w:hAnsi="Arial" w:eastAsia="Arial" w:cs="Arial"/>
          <w:color w:val="000000"/>
          <w:sz w:val="24"/>
          <w:highlight w:val="none"/>
        </w:rPr>
        <w:t xml:space="preserve">在中国境内完成。</w:t>
      </w:r>
      <w:r>
        <w:rPr>
          <w:highlight w:val="none"/>
        </w:rPr>
      </w:r>
    </w:p>
    <w:p>
      <w:pPr>
        <w:ind w:left="0" w:right="0" w:firstLine="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2.</w:t>
      </w:r>
      <w:r>
        <w:rPr>
          <w:rFonts w:ascii="Arial" w:hAnsi="Arial" w:eastAsia="Arial" w:cs="Arial"/>
          <w:color w:val="000000"/>
          <w:sz w:val="24"/>
          <w:highlight w:val="none"/>
          <w:u w:val="single"/>
        </w:rPr>
        <w:t xml:space="preserve">（产品名称2）</w:t>
      </w:r>
      <w:r>
        <w:rPr>
          <w:rFonts w:ascii="Arial" w:hAnsi="Arial" w:eastAsia="Arial" w:cs="Arial"/>
          <w:color w:val="000000"/>
          <w:sz w:val="24"/>
          <w:highlight w:val="none"/>
        </w:rPr>
        <w:t xml:space="preserve">，生产厂为</w:t>
      </w:r>
      <w:r>
        <w:rPr>
          <w:rFonts w:ascii="Arial" w:hAnsi="Arial" w:eastAsia="Arial" w:cs="Arial"/>
          <w:color w:val="000000"/>
          <w:sz w:val="24"/>
          <w:highlight w:val="none"/>
          <w:u w:val="single"/>
        </w:rPr>
        <w:t xml:space="preserve">（厂名）</w:t>
      </w:r>
      <w:r>
        <w:rPr>
          <w:rFonts w:ascii="Arial" w:hAnsi="Arial" w:eastAsia="Arial" w:cs="Arial"/>
          <w:color w:val="000000"/>
          <w:sz w:val="24"/>
          <w:highlight w:val="none"/>
        </w:rPr>
        <w:t xml:space="preserve">，厂址为</w:t>
      </w:r>
      <w:r>
        <w:rPr>
          <w:rFonts w:ascii="Arial" w:hAnsi="Arial" w:eastAsia="Arial" w:cs="Arial"/>
          <w:color w:val="000000"/>
          <w:sz w:val="24"/>
          <w:highlight w:val="none"/>
          <w:u w:val="single"/>
        </w:rPr>
        <w:t xml:space="preserve">（生产厂址）</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产品名称2</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的中国境内生产的组件成本占比≥</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规定比例</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产品名称2</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关键组件</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在中国境内生产。</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产品名称1</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的</w:t>
      </w:r>
      <w:r>
        <w:rPr>
          <w:rFonts w:ascii="Arial" w:hAnsi="Arial" w:eastAsia="Arial" w:cs="Arial"/>
          <w:color w:val="000000"/>
          <w:sz w:val="24"/>
          <w:highlight w:val="none"/>
          <w:u w:val="single"/>
        </w:rPr>
        <w:t xml:space="preserve">（</w:t>
      </w:r>
      <w:r>
        <w:rPr>
          <w:rFonts w:ascii="Arial" w:hAnsi="Arial" w:eastAsia="Arial" w:cs="Arial"/>
          <w:strike/>
          <w:color w:val="000000"/>
          <w:sz w:val="24"/>
          <w:highlight w:val="none"/>
          <w:u w:val="single"/>
        </w:rPr>
        <w:t xml:space="preserve">关键工序</w:t>
      </w:r>
      <w:r>
        <w:rPr>
          <w:rFonts w:ascii="Arial" w:hAnsi="Arial" w:eastAsia="Arial" w:cs="Arial"/>
          <w:color w:val="000000"/>
          <w:sz w:val="24"/>
          <w:highlight w:val="none"/>
          <w:u w:val="single"/>
        </w:rPr>
        <w:t xml:space="preserve">）</w:t>
      </w:r>
      <w:r>
        <w:rPr>
          <w:rFonts w:ascii="Arial" w:hAnsi="Arial" w:eastAsia="Arial" w:cs="Arial"/>
          <w:color w:val="000000"/>
          <w:sz w:val="24"/>
          <w:highlight w:val="none"/>
        </w:rPr>
        <w:t xml:space="preserve">在中国境内完成。</w:t>
      </w:r>
      <w:r>
        <w:rPr>
          <w:highlight w:val="none"/>
        </w:rP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w:t>
      </w:r>
      <w:r>
        <w:rPr>
          <w:highlight w:val="none"/>
        </w:rPr>
      </w:r>
    </w:p>
    <w:p>
      <w:pPr>
        <w:ind w:left="0" w:right="0" w:firstLine="4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本公司（单位）对上述声明内容的真实性负责。如有虚假，愿承担相应法律责任。</w:t>
      </w:r>
      <w:r>
        <w:rPr>
          <w:highlight w:val="none"/>
        </w:rPr>
      </w:r>
    </w:p>
    <w:p>
      <w:pPr>
        <w:ind w:left="0" w:right="0" w:firstLine="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w:t>
      </w:r>
      <w:r>
        <w:rPr>
          <w:highlight w:val="none"/>
        </w:rPr>
      </w:r>
    </w:p>
    <w:p>
      <w:pPr>
        <w:ind w:left="0" w:right="480" w:firstLine="420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公司（单位）名称：　</w:t>
      </w:r>
      <w:r>
        <w:rPr>
          <w:rFonts w:ascii="楷体" w:hAnsi="楷体" w:eastAsia="楷体" w:cs="楷体"/>
          <w:color w:val="000000"/>
          <w:sz w:val="24"/>
          <w:highlight w:val="none"/>
        </w:rPr>
        <w:t xml:space="preserve">（</w:t>
      </w:r>
      <w:r>
        <w:rPr>
          <w:rFonts w:ascii="宋体" w:hAnsi="宋体" w:eastAsia="宋体" w:cs="宋体"/>
          <w:color w:val="000000"/>
          <w:sz w:val="24"/>
          <w:highlight w:val="none"/>
        </w:rPr>
        <w:t xml:space="preserve">加盖CA电子公章</w:t>
      </w:r>
      <w:r>
        <w:rPr>
          <w:rFonts w:ascii="楷体" w:hAnsi="楷体" w:eastAsia="楷体" w:cs="楷体"/>
          <w:color w:val="000000"/>
          <w:sz w:val="24"/>
          <w:highlight w:val="none"/>
        </w:rPr>
        <w:t xml:space="preserve">）</w:t>
      </w:r>
      <w:r>
        <w:rPr>
          <w:highlight w:val="none"/>
        </w:rPr>
      </w:r>
    </w:p>
    <w:p>
      <w:pPr>
        <w:ind w:left="0" w:right="480" w:firstLine="3720"/>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p>
    <w:p>
      <w:pPr>
        <w:ind w:left="0" w:right="0" w:firstLine="0"/>
        <w:jc w:val="center"/>
        <w:spacing w:before="30" w:after="30" w:line="36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                                日期：　   年　  月　  日         </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highlight w:val="none"/>
        </w:rPr>
        <w:t xml:space="preserve">__________________</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1.产品如有型号，请在“产品名称”栏一并填写。</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2.生产厂名与厂址应与生产厂营业执照载明的相关信息保持一致。</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3.该产品的中国境内生产的组件成本占比相关要求实施前，“规定比例”栏可不填，下同。</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4.该产品的关键组件要求实施前，“关键组件”栏可不填，下同。</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5.该产品的关键工序要求实施前，“关键工序”栏可不填，下同。</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6.用横线</w:t>
      </w:r>
      <w:r>
        <w:rPr>
          <w:rFonts w:ascii="Arial" w:hAnsi="Arial" w:eastAsia="Arial" w:cs="Arial"/>
          <w:strike/>
          <w:color w:val="000000"/>
          <w:sz w:val="22"/>
          <w:highlight w:val="none"/>
        </w:rPr>
        <w:t xml:space="preserve">     </w:t>
      </w:r>
      <w:r>
        <w:rPr>
          <w:rFonts w:ascii="Arial" w:hAnsi="Arial" w:eastAsia="Arial" w:cs="Arial"/>
          <w:color w:val="000000"/>
          <w:sz w:val="22"/>
          <w:highlight w:val="none"/>
        </w:rPr>
        <w:t xml:space="preserve">划除的地方无需填写。</w:t>
      </w:r>
      <w:r>
        <w:rPr>
          <w:highlight w:val="none"/>
        </w:rPr>
      </w:r>
    </w:p>
    <w:p>
      <w:pPr>
        <w:ind w:left="0" w:right="0" w:firstLine="0"/>
        <w:spacing w:before="30" w:after="3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t xml:space="preserve"> </w:t>
      </w:r>
      <w:r>
        <w:rPr>
          <w:highlight w:val="none"/>
        </w:rPr>
      </w:r>
    </w:p>
    <w:p>
      <w:pPr>
        <w:jc w:val="left"/>
        <w:keepLines/>
        <w:spacing w:before="120" w:after="120" w:line="416" w:lineRule="auto"/>
        <w:rPr>
          <w:rFonts w:eastAsia="黑体"/>
          <w:b/>
          <w:sz w:val="32"/>
          <w:szCs w:val="32"/>
          <w:highlight w:val="none"/>
        </w:rPr>
        <w:sectPr>
          <w:footnotePr/>
          <w:endnotePr/>
          <w:type w:val="nextPage"/>
          <w:pgSz w:w="11906" w:h="16838" w:orient="portrait"/>
          <w:pgMar w:top="1440" w:right="1803" w:bottom="1440" w:left="1803" w:header="680" w:footer="737" w:gutter="0"/>
          <w:cols w:num="1" w:sep="0" w:space="1701" w:equalWidth="1"/>
          <w:docGrid w:linePitch="360"/>
          <w:titlePg/>
        </w:sectPr>
        <w:outlineLvl w:val="1"/>
      </w:pPr>
      <w:r>
        <w:rPr>
          <w:rFonts w:eastAsia="黑体"/>
          <w:b/>
          <w:sz w:val="32"/>
          <w:szCs w:val="32"/>
          <w:highlight w:val="none"/>
        </w:rPr>
      </w:r>
      <w:r>
        <w:rPr>
          <w:highlight w:val="none"/>
        </w:rPr>
      </w:r>
    </w:p>
    <w:p>
      <w:pPr>
        <w:jc w:val="left"/>
        <w:keepLines/>
        <w:spacing w:before="120" w:after="120" w:line="416" w:lineRule="auto"/>
        <w:rPr>
          <w:rFonts w:eastAsia="黑体"/>
          <w:b/>
          <w:sz w:val="32"/>
          <w:szCs w:val="32"/>
          <w:highlight w:val="none"/>
        </w:rPr>
        <w:outlineLvl w:val="1"/>
      </w:pPr>
      <w:r>
        <w:rPr>
          <w:rFonts w:hint="eastAsia" w:eastAsia="黑体"/>
          <w:b/>
          <w:sz w:val="32"/>
          <w:szCs w:val="32"/>
          <w:highlight w:val="none"/>
        </w:rPr>
        <w:t xml:space="preserve">八、技术及商务要求响应及偏离表（分包号：**）</w:t>
      </w:r>
      <w:r>
        <w:rPr>
          <w:highlight w:val="none"/>
        </w:rPr>
      </w:r>
    </w:p>
    <w:p>
      <w:pPr>
        <w:jc w:val="center"/>
        <w:widowControl/>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 xml:space="preserve">技术要求响应及偏离表</w:t>
      </w:r>
      <w:r>
        <w:rPr>
          <w:highlight w:val="none"/>
        </w:rPr>
      </w:r>
    </w:p>
    <w:tbl>
      <w:tblPr>
        <w:tblStyle w:val="749"/>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39"/>
        <w:gridCol w:w="2619"/>
        <w:gridCol w:w="1252"/>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招标文件要求</w:t>
            </w:r>
            <w:r>
              <w:rPr>
                <w:highlight w:val="none"/>
              </w:rPr>
            </w:r>
          </w:p>
        </w:tc>
        <w:tc>
          <w:tcPr>
            <w:tcBorders>
              <w:top w:val="single" w:color="000000" w:sz="8"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投标响应情况</w:t>
            </w:r>
            <w:r>
              <w:rPr>
                <w:highlight w:val="none"/>
              </w:rPr>
            </w:r>
          </w:p>
        </w:tc>
        <w:tc>
          <w:tcPr>
            <w:tcBorders>
              <w:top w:val="single" w:color="000000" w:sz="8"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rPr>
                <w:highlight w:val="none"/>
              </w:rPr>
            </w:r>
          </w:p>
        </w:tc>
        <w:tc>
          <w:tcPr>
            <w:tcBorders>
              <w:top w:val="single" w:color="000000" w:sz="8"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rPr>
                <w:highlight w:val="none"/>
              </w:rPr>
            </w:r>
          </w:p>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303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highlight w:val="none"/>
              </w:rPr>
            </w:r>
          </w:p>
        </w:tc>
        <w:tc>
          <w:tcPr>
            <w:tcBorders>
              <w:top w:val="none" w:color="000000" w:sz="4" w:space="0"/>
              <w:left w:val="single" w:color="000000" w:sz="8" w:space="0"/>
              <w:bottom w:val="single" w:color="000000" w:sz="8" w:space="0"/>
              <w:right w:val="single" w:color="000000" w:sz="8" w:space="0"/>
            </w:tcBorders>
            <w:tcW w:w="261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252"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bl>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 行数不够，可自行添加。</w:t>
      </w:r>
      <w:r>
        <w:rPr>
          <w:highlight w:val="none"/>
        </w:rPr>
      </w:r>
    </w:p>
    <w:p>
      <w:pPr>
        <w:jc w:val="left"/>
        <w:keepLines/>
        <w:spacing w:before="120" w:after="120" w:line="416" w:lineRule="auto"/>
        <w:rPr>
          <w:rFonts w:eastAsia="宋体"/>
          <w:sz w:val="24"/>
          <w:szCs w:val="21"/>
          <w:highlight w:val="none"/>
        </w:rPr>
        <w:outlineLvl w:val="1"/>
      </w:pPr>
      <w:r>
        <w:rPr>
          <w:rFonts w:eastAsia="宋体"/>
          <w:sz w:val="24"/>
          <w:szCs w:val="21"/>
          <w:highlight w:val="none"/>
        </w:rPr>
        <w:t xml:space="preserve">1.</w:t>
      </w:r>
      <w:r>
        <w:rPr>
          <w:rFonts w:hint="eastAsia" w:eastAsia="宋体"/>
          <w:sz w:val="24"/>
          <w:szCs w:val="21"/>
          <w:highlight w:val="none"/>
        </w:rPr>
        <w:t xml:space="preserve">投标人</w:t>
      </w:r>
      <w:r>
        <w:rPr>
          <w:rFonts w:eastAsia="宋体"/>
          <w:sz w:val="24"/>
          <w:szCs w:val="21"/>
          <w:highlight w:val="none"/>
        </w:rPr>
        <w:t xml:space="preserve">必须对技术要求和商务要求中的实质性要求（加斜体下划线内容或打“</w:t>
      </w:r>
      <w:r>
        <w:rPr>
          <w:rFonts w:hint="eastAsia" w:ascii="宋体" w:hAnsi="宋体" w:eastAsia="宋体" w:cs="宋体"/>
          <w:sz w:val="24"/>
          <w:szCs w:val="21"/>
          <w:highlight w:val="none"/>
        </w:rPr>
        <w:t xml:space="preserve">★</w:t>
      </w:r>
      <w:r>
        <w:rPr>
          <w:rFonts w:eastAsia="宋体"/>
          <w:sz w:val="24"/>
          <w:szCs w:val="21"/>
          <w:highlight w:val="none"/>
        </w:rPr>
        <w:t xml:space="preserve">”内容）做出明确响应，否则作无效响应处理。</w:t>
      </w:r>
      <w:r>
        <w:rPr>
          <w:highlight w:val="none"/>
        </w:rPr>
      </w:r>
    </w:p>
    <w:p>
      <w:pPr>
        <w:spacing w:line="588" w:lineRule="exact"/>
        <w:rPr>
          <w:rFonts w:eastAsia="宋体"/>
          <w:sz w:val="24"/>
          <w:szCs w:val="21"/>
          <w:highlight w:val="none"/>
        </w:rPr>
      </w:pPr>
      <w:r>
        <w:rPr>
          <w:rFonts w:eastAsia="宋体"/>
          <w:sz w:val="24"/>
          <w:szCs w:val="21"/>
          <w:highlight w:val="none"/>
        </w:rPr>
        <w:t xml:space="preserve">2.如果采购文件要求提供证明材料，</w:t>
      </w:r>
      <w:r>
        <w:rPr>
          <w:rFonts w:hint="eastAsia" w:eastAsia="宋体"/>
          <w:sz w:val="24"/>
          <w:szCs w:val="21"/>
          <w:highlight w:val="none"/>
        </w:rPr>
        <w:t xml:space="preserve">投标人</w:t>
      </w:r>
      <w:r>
        <w:rPr>
          <w:rFonts w:eastAsia="宋体"/>
          <w:sz w:val="24"/>
          <w:szCs w:val="21"/>
          <w:highlight w:val="none"/>
        </w:rPr>
        <w:t xml:space="preserve">必须将证明材料列于该表之下。</w:t>
      </w:r>
      <w:r>
        <w:rPr>
          <w:highlight w:val="none"/>
        </w:rPr>
      </w:r>
    </w:p>
    <w:p>
      <w:pPr>
        <w:spacing w:line="588" w:lineRule="exact"/>
        <w:rPr>
          <w:rFonts w:eastAsia="宋体"/>
          <w:sz w:val="24"/>
          <w:szCs w:val="21"/>
          <w:highlight w:val="none"/>
        </w:rPr>
      </w:pPr>
      <w:r>
        <w:rPr>
          <w:rFonts w:eastAsia="宋体"/>
          <w:sz w:val="24"/>
          <w:szCs w:val="21"/>
          <w:highlight w:val="none"/>
        </w:rPr>
        <w:t xml:space="preserve">3.</w:t>
      </w:r>
      <w:r>
        <w:rPr>
          <w:rFonts w:hint="eastAsia" w:eastAsia="宋体"/>
          <w:sz w:val="24"/>
          <w:szCs w:val="21"/>
          <w:highlight w:val="none"/>
        </w:rPr>
        <w:t xml:space="preserve">投标人</w:t>
      </w:r>
      <w:r>
        <w:rPr>
          <w:rFonts w:eastAsia="宋体"/>
          <w:sz w:val="24"/>
          <w:szCs w:val="21"/>
          <w:highlight w:val="none"/>
        </w:rPr>
        <w:t xml:space="preserve">未对实质性要求作出明确响应的，或未按采购文件要求提供证明材料的，该分包作无效响应处理。</w:t>
      </w:r>
      <w:r>
        <w:rPr>
          <w:highlight w:val="none"/>
        </w:rPr>
      </w:r>
    </w:p>
    <w:p>
      <w:pPr>
        <w:spacing w:line="588" w:lineRule="exact"/>
        <w:rPr>
          <w:rFonts w:eastAsia="宋体"/>
          <w:sz w:val="24"/>
          <w:szCs w:val="21"/>
          <w:highlight w:val="none"/>
        </w:rPr>
      </w:pPr>
      <w:r>
        <w:rPr>
          <w:rFonts w:hint="eastAsia" w:eastAsia="宋体"/>
          <w:sz w:val="24"/>
          <w:szCs w:val="21"/>
          <w:highlight w:val="none"/>
        </w:rPr>
        <w:t xml:space="preserve">4.行数不够，可自行添加。</w:t>
      </w:r>
      <w:r>
        <w:rPr>
          <w:highlight w:val="none"/>
        </w:rPr>
      </w:r>
    </w:p>
    <w:p>
      <w:pPr>
        <w:jc w:val="center"/>
        <w:rPr>
          <w:rFonts w:eastAsia="黑体"/>
          <w:b/>
          <w:sz w:val="36"/>
          <w:szCs w:val="21"/>
          <w:highlight w:val="none"/>
        </w:rPr>
      </w:pPr>
      <w:r>
        <w:rPr>
          <w:rFonts w:eastAsia="黑体"/>
          <w:b/>
          <w:sz w:val="36"/>
          <w:szCs w:val="21"/>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pStyle w:val="754"/>
        <w:rPr>
          <w:highlight w:val="none"/>
        </w:rPr>
      </w:pPr>
      <w:r>
        <w:rPr>
          <w:highlight w:val="none"/>
        </w:rPr>
      </w:r>
      <w:r>
        <w:rPr>
          <w:highlight w:val="none"/>
        </w:rPr>
      </w:r>
    </w:p>
    <w:p>
      <w:pPr>
        <w:jc w:val="center"/>
        <w:widowControl/>
        <w:rPr>
          <w:rFonts w:hint="eastAsia" w:ascii="宋体" w:hAnsi="宋体" w:eastAsia="宋体" w:cs="宋体"/>
          <w:sz w:val="24"/>
          <w:szCs w:val="24"/>
          <w:highlight w:val="none"/>
        </w:rPr>
      </w:pPr>
      <w:r>
        <w:rPr>
          <w:rFonts w:hint="eastAsia" w:ascii="黑体" w:hAnsi="黑体" w:eastAsia="黑体" w:cs="宋体"/>
          <w:b/>
          <w:bCs/>
          <w:color w:val="000000"/>
          <w:sz w:val="32"/>
          <w:szCs w:val="32"/>
          <w:highlight w:val="none"/>
        </w:rPr>
        <w:t xml:space="preserve">商务要求响应及偏离表</w:t>
      </w:r>
      <w:r>
        <w:rPr>
          <w:highlight w:val="none"/>
        </w:rPr>
      </w:r>
    </w:p>
    <w:tbl>
      <w:tblPr>
        <w:tblStyle w:val="749"/>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3040"/>
        <w:gridCol w:w="2620"/>
        <w:gridCol w:w="1250"/>
        <w:gridCol w:w="1106"/>
      </w:tblGrid>
      <w:tr>
        <w:trPr>
          <w:tblCellSpacing w:w="0" w:type="dxa"/>
        </w:trPr>
        <w:tc>
          <w:tcPr>
            <w:tcBorders>
              <w:top w:val="single" w:color="000000" w:sz="8"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招标文件要求</w:t>
            </w:r>
            <w:r>
              <w:rPr>
                <w:highlight w:val="none"/>
              </w:rPr>
            </w:r>
          </w:p>
        </w:tc>
        <w:tc>
          <w:tcPr>
            <w:tcBorders>
              <w:top w:val="single" w:color="000000" w:sz="8"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超出、符合或偏离</w:t>
            </w:r>
            <w:r>
              <w:rPr>
                <w:highlight w:val="none"/>
              </w:rPr>
            </w:r>
          </w:p>
        </w:tc>
        <w:tc>
          <w:tcPr>
            <w:tcBorders>
              <w:top w:val="single" w:color="000000" w:sz="8"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证明</w:t>
            </w:r>
            <w:r>
              <w:rPr>
                <w:highlight w:val="none"/>
              </w:rPr>
            </w:r>
          </w:p>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材料</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304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W w:w="262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25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W w:w="110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highlight w:val="none"/>
              </w:rPr>
            </w:r>
          </w:p>
        </w:tc>
      </w:tr>
    </w:tbl>
    <w:p>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注： 行数不够，可自行添加。</w:t>
      </w:r>
      <w:r>
        <w:rPr>
          <w:highlight w:val="none"/>
        </w:rP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p>
    <w:p>
      <w:pPr>
        <w:jc w:val="left"/>
        <w:widowControl/>
        <w:rPr>
          <w:rFonts w:eastAsia="黑体" w:cs="黑体"/>
          <w:b/>
          <w:sz w:val="32"/>
          <w:szCs w:val="24"/>
          <w:highlight w:val="none"/>
        </w:rPr>
        <w:outlineLvl w:val="1"/>
      </w:pPr>
      <w:r>
        <w:rPr>
          <w:rFonts w:eastAsia="黑体" w:cs="黑体"/>
          <w:b/>
          <w:sz w:val="32"/>
          <w:szCs w:val="24"/>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pStyle w:val="754"/>
        <w:rPr>
          <w:highlight w:val="none"/>
        </w:rPr>
      </w:pPr>
      <w:r>
        <w:rPr>
          <w:highlight w:val="none"/>
        </w:rPr>
      </w:r>
      <w:r>
        <w:rPr>
          <w:highlight w:val="none"/>
        </w:rPr>
      </w:r>
    </w:p>
    <w:p>
      <w:pPr>
        <w:jc w:val="left"/>
        <w:widowControl/>
        <w:rPr>
          <w:rFonts w:eastAsia="黑体" w:cs="黑体"/>
          <w:b/>
          <w:sz w:val="32"/>
          <w:szCs w:val="24"/>
          <w:highlight w:val="none"/>
        </w:rPr>
        <w:outlineLvl w:val="1"/>
      </w:pPr>
      <w:r>
        <w:rPr>
          <w:rFonts w:hint="eastAsia" w:eastAsia="黑体" w:cs="黑体"/>
          <w:b/>
          <w:sz w:val="32"/>
          <w:szCs w:val="24"/>
          <w:highlight w:val="none"/>
        </w:rPr>
        <w:t xml:space="preserve">九、</w:t>
      </w:r>
      <w:r>
        <w:rPr>
          <w:rFonts w:eastAsia="黑体" w:cs="黑体"/>
          <w:b/>
          <w:sz w:val="32"/>
          <w:szCs w:val="24"/>
          <w:highlight w:val="none"/>
        </w:rPr>
        <w:t xml:space="preserve">项目组人员</w:t>
      </w:r>
      <w:r>
        <w:rPr>
          <w:rFonts w:hint="eastAsia" w:eastAsia="黑体" w:cs="黑体"/>
          <w:b/>
          <w:sz w:val="32"/>
          <w:szCs w:val="24"/>
          <w:highlight w:val="none"/>
        </w:rPr>
        <w:t xml:space="preserve">（如有）</w:t>
      </w:r>
      <w:r>
        <w:rPr>
          <w:highlight w:val="none"/>
        </w:rPr>
      </w:r>
    </w:p>
    <w:p>
      <w:pPr>
        <w:jc w:val="center"/>
        <w:spacing w:before="100" w:beforeAutospacing="1" w:after="100" w:afterAutospacing="1" w:line="600" w:lineRule="exact"/>
        <w:widowControl/>
        <w:rPr>
          <w:rFonts w:eastAsia="宋体" w:cs="宋体"/>
          <w:b/>
          <w:bCs/>
          <w:sz w:val="32"/>
          <w:szCs w:val="32"/>
          <w:highlight w:val="none"/>
        </w:rPr>
      </w:pPr>
      <w:r>
        <w:rPr>
          <w:rFonts w:hint="eastAsia" w:eastAsia="宋体" w:cs="宋体"/>
          <w:b/>
          <w:bCs/>
          <w:sz w:val="32"/>
          <w:szCs w:val="32"/>
          <w:highlight w:val="none"/>
        </w:rPr>
        <w:t xml:space="preserve">项目组成员</w:t>
      </w:r>
      <w:r>
        <w:rPr>
          <w:highlight w:val="none"/>
        </w:rPr>
      </w:r>
    </w:p>
    <w:tbl>
      <w:tblPr>
        <w:tblStyle w:val="749"/>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姓名</w:t>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职务</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学历</w:t>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身份证号</w:t>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相关证书</w:t>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highlight w:val="none"/>
              </w:rPr>
            </w:pPr>
            <w:r>
              <w:rPr>
                <w:rFonts w:eastAsia="仿宋_GB2312" w:cs="仿宋_GB2312"/>
                <w:sz w:val="28"/>
                <w:szCs w:val="28"/>
                <w:highlight w:val="none"/>
              </w:rPr>
              <w:t xml:space="preserve">备注</w:t>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highlight w:val="none"/>
              </w:rPr>
            </w:pPr>
            <w:r>
              <w:rPr>
                <w:rFonts w:hint="eastAsia" w:eastAsia="仿宋_GB2312" w:cs="仿宋_GB2312"/>
                <w:sz w:val="28"/>
                <w:szCs w:val="28"/>
                <w:highlight w:val="none"/>
              </w:rPr>
              <w:t xml:space="preserve">项目经理</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t xml:space="preserve">......</w:t>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highlight w:val="none"/>
              </w:rPr>
            </w:pPr>
            <w:r>
              <w:rPr>
                <w:rFonts w:eastAsia="仿宋_GB2312" w:cs="仿宋_GB2312"/>
                <w:sz w:val="28"/>
                <w:szCs w:val="28"/>
                <w:highlight w:val="none"/>
              </w:rPr>
            </w:r>
            <w:r>
              <w:rPr>
                <w:highlight w:val="none"/>
              </w:rPr>
            </w:r>
          </w:p>
        </w:tc>
      </w:tr>
    </w:tbl>
    <w:p>
      <w:pPr>
        <w:ind w:firstLine="398"/>
        <w:jc w:val="left"/>
        <w:spacing w:before="100" w:beforeAutospacing="1" w:after="100" w:afterAutospacing="1" w:line="460" w:lineRule="exact"/>
        <w:widowControl/>
        <w:rPr>
          <w:rFonts w:eastAsia="仿宋_GB2312" w:cs="仿宋_GB2312"/>
          <w:sz w:val="24"/>
          <w:szCs w:val="24"/>
          <w:highlight w:val="none"/>
        </w:rPr>
      </w:pPr>
      <w:r>
        <w:rPr>
          <w:rFonts w:eastAsia="仿宋_GB2312" w:cs="仿宋_GB2312"/>
          <w:b/>
          <w:sz w:val="24"/>
          <w:szCs w:val="24"/>
          <w:highlight w:val="none"/>
        </w:rPr>
        <w:t xml:space="preserve">注：如供应商中标，项目组成员必须按本表承诺人员操作，不得随意更换。按投标文件要求附相关人员证书。</w:t>
      </w:r>
      <w:r>
        <w:rPr>
          <w:highlight w:val="none"/>
        </w:rPr>
      </w:r>
    </w:p>
    <w:p>
      <w:pPr>
        <w:ind w:firstLine="280"/>
        <w:jc w:val="left"/>
        <w:spacing w:before="100" w:beforeAutospacing="1" w:after="100" w:afterAutospacing="1" w:line="500" w:lineRule="exact"/>
        <w:widowControl/>
        <w:rPr>
          <w:rFonts w:eastAsia="仿宋_GB2312" w:cs="仿宋_GB2312"/>
          <w:sz w:val="24"/>
          <w:szCs w:val="24"/>
          <w:highlight w:val="none"/>
        </w:rPr>
      </w:pPr>
      <w:r>
        <w:rPr>
          <w:rFonts w:eastAsia="仿宋_GB2312" w:cs="仿宋_GB2312"/>
          <w:sz w:val="24"/>
          <w:szCs w:val="24"/>
          <w:highlight w:val="none"/>
        </w:rPr>
      </w:r>
      <w:r>
        <w:rPr>
          <w:highlight w:val="none"/>
        </w:rPr>
      </w:r>
    </w:p>
    <w:p>
      <w:pPr>
        <w:spacing w:line="500" w:lineRule="exact"/>
        <w:rPr>
          <w:rFonts w:eastAsia="宋体"/>
          <w:sz w:val="21"/>
          <w:szCs w:val="24"/>
          <w:highlight w:val="none"/>
        </w:rPr>
      </w:pPr>
      <w:r>
        <w:rPr>
          <w:rFonts w:eastAsia="宋体"/>
          <w:sz w:val="21"/>
          <w:szCs w:val="24"/>
          <w:highlight w:val="none"/>
        </w:rPr>
        <w:br w:type="page" w:clear="all"/>
      </w:r>
      <w:bookmarkStart w:id="13" w:name="_Toc11176"/>
      <w:r>
        <w:rPr>
          <w:rFonts w:hint="eastAsia" w:eastAsia="黑体" w:cs="黑体"/>
          <w:b/>
          <w:sz w:val="32"/>
          <w:szCs w:val="24"/>
          <w:highlight w:val="none"/>
        </w:rPr>
        <w:t xml:space="preserve">十、</w:t>
      </w:r>
      <w:bookmarkEnd w:id="13"/>
      <w:r>
        <w:rPr>
          <w:rFonts w:hint="eastAsia" w:eastAsia="黑体" w:cs="黑体"/>
          <w:b/>
          <w:sz w:val="32"/>
          <w:szCs w:val="24"/>
          <w:highlight w:val="none"/>
        </w:rPr>
        <w:t xml:space="preserve">企业业绩（如有）</w:t>
      </w:r>
      <w:r>
        <w:rPr>
          <w:highlight w:val="none"/>
        </w:rPr>
      </w:r>
    </w:p>
    <w:p>
      <w:pPr>
        <w:jc w:val="center"/>
        <w:rPr>
          <w:rFonts w:eastAsia="宋体"/>
          <w:b/>
          <w:sz w:val="32"/>
          <w:szCs w:val="32"/>
          <w:highlight w:val="none"/>
        </w:rPr>
      </w:pPr>
      <w:r>
        <w:rPr>
          <w:rFonts w:hint="eastAsia" w:eastAsia="宋体"/>
          <w:b/>
          <w:sz w:val="32"/>
          <w:szCs w:val="32"/>
          <w:highlight w:val="none"/>
        </w:rPr>
        <w:t xml:space="preserve">投标人承担类似项目业绩一览表</w:t>
      </w:r>
      <w:r>
        <w:rPr>
          <w:highlight w:val="none"/>
        </w:rPr>
      </w:r>
    </w:p>
    <w:tbl>
      <w:tblPr>
        <w:tblStyle w:val="74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序号</w:t>
            </w:r>
            <w:r>
              <w:rPr>
                <w:highlight w:val="none"/>
              </w:rPr>
            </w:r>
          </w:p>
        </w:tc>
        <w:tc>
          <w:tcPr>
            <w:tcW w:w="3827"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rPr>
                <w:highlight w:val="none"/>
              </w:rPr>
            </w:r>
          </w:p>
        </w:tc>
        <w:tc>
          <w:tcPr>
            <w:tcW w:w="2433"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rPr>
                <w:highlight w:val="none"/>
              </w:rPr>
            </w:r>
          </w:p>
        </w:tc>
        <w:tc>
          <w:tcPr>
            <w:tcW w:w="1395" w:type="dxa"/>
            <w:vAlign w:val="center"/>
            <w:textDirection w:val="lrTb"/>
            <w:noWrap w:val="false"/>
          </w:tcPr>
          <w:p>
            <w:pPr>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rPr>
                <w:highlight w:val="none"/>
              </w:rP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r>
      <w:tr>
        <w:trPr>
          <w:jc w:val="center"/>
          <w:trHeight w:val="1510"/>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r>
      <w:tr>
        <w:trPr>
          <w:jc w:val="center"/>
          <w:trHeight w:val="1525"/>
        </w:trPr>
        <w:tc>
          <w:tcPr>
            <w:tcW w:w="1229" w:type="dxa"/>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3827"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2433"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c>
          <w:tcPr>
            <w:tcW w:w="1395" w:type="dxa"/>
            <w:vAlign w:val="center"/>
            <w:textDirection w:val="lrTb"/>
            <w:noWrap w:val="false"/>
          </w:tcPr>
          <w:p>
            <w:pPr>
              <w:jc w:val="center"/>
              <w:spacing w:line="560" w:lineRule="exact"/>
              <w:rPr>
                <w:rFonts w:eastAsia="仿宋_GB2312"/>
                <w:sz w:val="28"/>
                <w:szCs w:val="24"/>
                <w:highlight w:val="none"/>
              </w:rPr>
            </w:pPr>
            <w:r>
              <w:rPr>
                <w:rFonts w:eastAsia="仿宋_GB2312"/>
                <w:sz w:val="28"/>
                <w:szCs w:val="24"/>
                <w:highlight w:val="none"/>
              </w:rPr>
            </w:r>
            <w:r>
              <w:rPr>
                <w:highlight w:val="none"/>
              </w:rPr>
            </w:r>
          </w:p>
        </w:tc>
      </w:tr>
    </w:tbl>
    <w:p>
      <w:pPr>
        <w:rPr>
          <w:rFonts w:eastAsia="宋体"/>
          <w:sz w:val="21"/>
          <w:szCs w:val="22"/>
          <w:highlight w:val="none"/>
        </w:rPr>
      </w:pPr>
      <w:r>
        <w:rPr>
          <w:rFonts w:hint="eastAsia" w:eastAsia="仿宋_GB2312"/>
          <w:b/>
          <w:sz w:val="24"/>
          <w:szCs w:val="22"/>
          <w:highlight w:val="none"/>
        </w:rPr>
        <w:t xml:space="preserve">注：请填写此表，并按要求上传业绩资料电子件。</w:t>
      </w:r>
      <w:r>
        <w:rPr>
          <w:highlight w:val="none"/>
        </w:rPr>
      </w:r>
    </w:p>
    <w:p>
      <w:pPr>
        <w:jc w:val="left"/>
        <w:widowControl/>
        <w:rPr>
          <w:rFonts w:eastAsia="黑体" w:cs="黑体"/>
          <w:b/>
          <w:sz w:val="32"/>
          <w:szCs w:val="24"/>
          <w:highlight w:val="none"/>
        </w:rPr>
        <w:outlineLvl w:val="1"/>
      </w:pPr>
      <w:r>
        <w:rPr>
          <w:rFonts w:eastAsia="黑体" w:cs="黑体"/>
          <w:b/>
          <w:sz w:val="32"/>
          <w:szCs w:val="24"/>
          <w:highlight w:val="none"/>
        </w:rPr>
        <w:br w:type="page" w:clear="all"/>
      </w:r>
      <w:bookmarkStart w:id="14" w:name="_Toc28140"/>
      <w:r>
        <w:rPr>
          <w:rFonts w:hint="eastAsia" w:eastAsia="黑体" w:cs="黑体"/>
          <w:b/>
          <w:sz w:val="32"/>
          <w:szCs w:val="24"/>
          <w:highlight w:val="none"/>
        </w:rPr>
        <w:t xml:space="preserve">十一</w:t>
      </w:r>
      <w:r>
        <w:rPr>
          <w:rFonts w:eastAsia="黑体" w:cs="黑体"/>
          <w:b/>
          <w:sz w:val="32"/>
          <w:szCs w:val="24"/>
          <w:highlight w:val="none"/>
        </w:rPr>
        <w:t xml:space="preserve">、投标所需其他材料</w:t>
      </w:r>
      <w:bookmarkEnd w:id="14"/>
      <w:r>
        <w:rPr>
          <w:highlight w:val="none"/>
        </w:rPr>
      </w:r>
      <w:r>
        <w:rPr>
          <w:highlight w:val="none"/>
        </w:rPr>
      </w:r>
    </w:p>
    <w:p>
      <w:pPr>
        <w:ind w:firstLine="560"/>
        <w:spacing w:line="360" w:lineRule="auto"/>
        <w:rPr>
          <w:rFonts w:eastAsia="仿宋_GB2312"/>
          <w:sz w:val="28"/>
          <w:szCs w:val="28"/>
          <w:highlight w:val="none"/>
        </w:rPr>
      </w:pPr>
      <w:r>
        <w:rPr>
          <w:rFonts w:hint="eastAsia"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highlight w:val="none"/>
        </w:rPr>
      </w:r>
    </w:p>
    <w:p>
      <w:pPr>
        <w:rPr>
          <w:rFonts w:eastAsia="宋体"/>
          <w:sz w:val="20"/>
          <w:szCs w:val="21"/>
          <w:highlight w:val="none"/>
        </w:rPr>
      </w:pPr>
      <w:r>
        <w:rPr>
          <w:rFonts w:hint="eastAsia" w:eastAsia="宋体"/>
          <w:sz w:val="20"/>
          <w:szCs w:val="21"/>
          <w:highlight w:val="none"/>
        </w:rPr>
        <w:t xml:space="preserve"> </w:t>
      </w:r>
      <w:r>
        <w:rPr>
          <w:highlight w:val="none"/>
        </w:rPr>
      </w:r>
    </w:p>
    <w:p>
      <w:pPr>
        <w:rPr>
          <w:rFonts w:eastAsia="宋体"/>
          <w:sz w:val="21"/>
          <w:szCs w:val="21"/>
          <w:highlight w:val="none"/>
        </w:rPr>
      </w:pPr>
      <w:r>
        <w:rPr>
          <w:rFonts w:eastAsia="宋体"/>
          <w:sz w:val="21"/>
          <w:szCs w:val="21"/>
          <w:highlight w:val="none"/>
        </w:rPr>
      </w:r>
      <w:r>
        <w:rPr>
          <w:highlight w:val="none"/>
        </w:rPr>
      </w:r>
    </w:p>
    <w:p>
      <w:pPr>
        <w:rPr>
          <w:rFonts w:eastAsia="黑体"/>
          <w:sz w:val="32"/>
          <w:szCs w:val="21"/>
          <w:highlight w:val="none"/>
        </w:rPr>
      </w:pPr>
      <w:r>
        <w:rPr>
          <w:rFonts w:eastAsia="黑体"/>
          <w:sz w:val="32"/>
          <w:szCs w:val="21"/>
          <w:highlight w:val="none"/>
        </w:rPr>
      </w:r>
      <w:bookmarkEnd w:id="9"/>
      <w:r>
        <w:rPr>
          <w:highlight w:val="none"/>
        </w:rPr>
      </w:r>
      <w:r>
        <w:rPr>
          <w:highlight w:val="none"/>
        </w:rPr>
      </w:r>
    </w:p>
    <w:p>
      <w:pPr>
        <w:rPr>
          <w:rFonts w:eastAsia="黑体"/>
          <w:sz w:val="32"/>
          <w:szCs w:val="21"/>
          <w:highlight w:val="none"/>
        </w:rPr>
      </w:pPr>
      <w:r>
        <w:rPr>
          <w:rFonts w:eastAsia="黑体"/>
          <w:sz w:val="32"/>
          <w:szCs w:val="21"/>
          <w:highlight w:val="none"/>
        </w:rPr>
      </w:r>
      <w:r>
        <w:rPr>
          <w:highlight w:val="none"/>
        </w:rPr>
      </w:r>
    </w:p>
    <w:p>
      <w:pPr>
        <w:rPr>
          <w:rFonts w:eastAsia="黑体"/>
          <w:sz w:val="32"/>
          <w:szCs w:val="21"/>
          <w:highlight w:val="none"/>
        </w:rPr>
      </w:pPr>
      <w:r>
        <w:rPr>
          <w:rFonts w:eastAsia="黑体"/>
          <w:sz w:val="32"/>
          <w:szCs w:val="21"/>
          <w:highlight w:val="none"/>
        </w:rPr>
      </w:r>
      <w:r>
        <w:rPr>
          <w:highlight w:val="none"/>
        </w:rPr>
      </w:r>
    </w:p>
    <w:p>
      <w:pPr>
        <w:rPr>
          <w:rFonts w:eastAsia="黑体"/>
          <w:sz w:val="32"/>
          <w:szCs w:val="21"/>
          <w:highlight w:val="none"/>
        </w:rPr>
      </w:pPr>
      <w:r>
        <w:rPr>
          <w:rFonts w:eastAsia="黑体"/>
          <w:sz w:val="32"/>
          <w:szCs w:val="21"/>
          <w:highlight w:val="none"/>
        </w:rPr>
      </w:r>
      <w:r>
        <w:rPr>
          <w:highlight w:val="none"/>
        </w:rPr>
      </w:r>
    </w:p>
    <w:p>
      <w:pPr>
        <w:spacing w:line="480" w:lineRule="auto"/>
        <w:rPr>
          <w:rFonts w:eastAsia="宋体"/>
          <w:sz w:val="24"/>
          <w:szCs w:val="21"/>
          <w:highlight w:val="none"/>
        </w:rPr>
      </w:pPr>
      <w:r>
        <w:rPr>
          <w:rFonts w:eastAsia="宋体"/>
          <w:sz w:val="24"/>
          <w:szCs w:val="21"/>
          <w:highlight w:val="none"/>
        </w:rPr>
      </w:r>
      <w:r>
        <w:rPr>
          <w:highlight w:val="none"/>
        </w:rPr>
      </w:r>
    </w:p>
    <w:p>
      <w:pPr>
        <w:spacing w:line="480" w:lineRule="auto"/>
        <w:rPr>
          <w:rFonts w:eastAsia="宋体"/>
          <w:sz w:val="30"/>
          <w:szCs w:val="21"/>
          <w:highlight w:val="none"/>
        </w:rPr>
      </w:pPr>
      <w:r>
        <w:rPr>
          <w:rFonts w:eastAsia="宋体"/>
          <w:sz w:val="30"/>
          <w:szCs w:val="21"/>
          <w:highlight w:val="none"/>
        </w:rPr>
      </w:r>
      <w:r>
        <w:rPr>
          <w:highlight w:val="none"/>
        </w:rPr>
      </w:r>
    </w:p>
    <w:p>
      <w:pPr>
        <w:rPr>
          <w:rFonts w:eastAsia="宋体"/>
          <w:sz w:val="24"/>
          <w:szCs w:val="21"/>
          <w:highlight w:val="none"/>
        </w:rPr>
      </w:pPr>
      <w:r>
        <w:rPr>
          <w:highlight w:val="none"/>
        </w:rPr>
      </w:r>
      <w:bookmarkStart w:id="15" w:name="_Hlt26671374"/>
      <w:r>
        <w:rPr>
          <w:highlight w:val="none"/>
        </w:rPr>
      </w:r>
      <w:bookmarkEnd w:id="15"/>
      <w:r>
        <w:rPr>
          <w:highlight w:val="none"/>
        </w:rPr>
      </w:r>
      <w:bookmarkStart w:id="16" w:name="_Hlt26609389"/>
      <w:r>
        <w:rPr>
          <w:highlight w:val="none"/>
        </w:rPr>
      </w:r>
      <w:bookmarkEnd w:id="16"/>
      <w:r>
        <w:rPr>
          <w:highlight w:val="none"/>
        </w:rPr>
      </w:r>
      <w:bookmarkStart w:id="17" w:name="_Hlt26955066"/>
      <w:r>
        <w:rPr>
          <w:highlight w:val="none"/>
        </w:rPr>
      </w:r>
      <w:bookmarkEnd w:id="17"/>
      <w:r>
        <w:rPr>
          <w:highlight w:val="none"/>
        </w:rPr>
      </w:r>
      <w:bookmarkStart w:id="18" w:name="_Toc462564146"/>
      <w:r>
        <w:rPr>
          <w:highlight w:val="none"/>
        </w:rPr>
      </w:r>
      <w:r>
        <w:rPr>
          <w:highlight w:val="none"/>
        </w:rPr>
      </w:r>
    </w:p>
    <w:p>
      <w:pPr>
        <w:rPr>
          <w:rFonts w:eastAsia="宋体"/>
          <w:sz w:val="24"/>
          <w:szCs w:val="21"/>
          <w:highlight w:val="none"/>
        </w:rPr>
      </w:pPr>
      <w:r>
        <w:rPr>
          <w:rFonts w:eastAsia="宋体"/>
          <w:sz w:val="24"/>
          <w:szCs w:val="21"/>
          <w:highlight w:val="none"/>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bookmarkEnd w:id="18"/>
      <w:r>
        <w:rPr>
          <w:highlight w:val="none"/>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ind w:firstLine="480"/>
        <w:jc w:val="left"/>
        <w:spacing w:line="560" w:lineRule="exact"/>
        <w:rPr>
          <w:rFonts w:eastAsia="仿宋_GB2312" w:cs="仿宋_GB2312"/>
          <w:sz w:val="24"/>
          <w:szCs w:val="32"/>
          <w:highlight w:val="none"/>
        </w:rPr>
      </w:pPr>
      <w:r>
        <w:rPr>
          <w:rFonts w:eastAsia="仿宋_GB2312" w:cs="仿宋_GB2312"/>
          <w:sz w:val="24"/>
          <w:szCs w:val="32"/>
          <w:highlight w:val="none"/>
          <w:lang w:val="zh-TW"/>
        </w:rPr>
      </w:r>
      <w:r>
        <w:rPr>
          <w:highlight w:val="none"/>
        </w:rPr>
      </w:r>
    </w:p>
    <w:p>
      <w:pPr>
        <w:rPr>
          <w:rFonts w:eastAsia="黑体"/>
          <w:b/>
          <w:sz w:val="32"/>
          <w:szCs w:val="32"/>
          <w:highlight w:val="none"/>
        </w:rPr>
      </w:pPr>
      <w:r>
        <w:rPr>
          <w:highlight w:val="none"/>
        </w:rPr>
      </w:r>
      <w:bookmarkStart w:id="19" w:name="_格式2__法定代表人授权书"/>
      <w:r>
        <w:rPr>
          <w:highlight w:val="none"/>
        </w:rPr>
      </w:r>
      <w:bookmarkEnd w:id="19"/>
      <w:r>
        <w:rPr>
          <w:highlight w:val="none"/>
        </w:rPr>
      </w:r>
      <w:r>
        <w:rPr>
          <w:highlight w:val="none"/>
        </w:rPr>
      </w:r>
    </w:p>
    <w:p>
      <w:pPr>
        <w:rPr>
          <w:rFonts w:eastAsia="黑体"/>
          <w:b/>
          <w:sz w:val="32"/>
          <w:szCs w:val="32"/>
          <w:highlight w:val="none"/>
        </w:rPr>
      </w:pPr>
      <w:r>
        <w:rPr>
          <w:rFonts w:eastAsia="黑体"/>
          <w:b/>
          <w:sz w:val="32"/>
          <w:szCs w:val="32"/>
          <w:highlight w:val="none"/>
        </w:rPr>
      </w:r>
      <w:r>
        <w:rPr>
          <w:highlight w:val="none"/>
        </w:rPr>
      </w:r>
    </w:p>
    <w:p>
      <w:pPr>
        <w:jc w:val="center"/>
        <w:rPr>
          <w:rFonts w:eastAsia="宋体" w:cs="仿宋"/>
          <w:b/>
          <w:bCs/>
          <w:sz w:val="32"/>
          <w:szCs w:val="32"/>
          <w:highlight w:val="none"/>
        </w:rPr>
      </w:pPr>
      <w:r>
        <w:rPr>
          <w:rFonts w:eastAsia="宋体" w:cs="仿宋"/>
          <w:b/>
          <w:bCs/>
          <w:sz w:val="32"/>
          <w:szCs w:val="32"/>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ajorEastAsia" w:hAnsiTheme="majorEastAsia" w:eastAsiaTheme="majorEastAsia"/>
          <w:sz w:val="32"/>
          <w:szCs w:val="32"/>
          <w:highlight w:val="none"/>
        </w:rPr>
      </w:pPr>
      <w:r>
        <w:rPr>
          <w:rFonts w:hint="eastAsia" w:asciiTheme="majorEastAsia" w:hAnsiTheme="majorEastAsia" w:eastAsiaTheme="majorEastAsia"/>
          <w:sz w:val="32"/>
          <w:szCs w:val="32"/>
          <w:highlight w:val="none"/>
        </w:rPr>
        <w:t xml:space="preserve">十二、资格证明文件（参考格式）</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（说明：投标人须按“招标公告”的要求，并按下列格式提供相应的资格证明文件）　　　</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格式一：</w:t>
      </w:r>
      <w:r>
        <w:rPr>
          <w:rFonts w:asciiTheme="minorEastAsia" w:hAnsiTheme="minorEastAsia" w:eastAsiaTheme="minorEastAsia"/>
          <w:sz w:val="24"/>
          <w:szCs w:val="24"/>
          <w:highlight w:val="none"/>
        </w:rPr>
        <w:t xml:space="preserve">法人或者其他组织的营业执照等证明文件，自然人的身份证明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三</w:t>
      </w:r>
      <w:r>
        <w:rPr>
          <w:rFonts w:hint="eastAsia" w:asciiTheme="minorEastAsia" w:hAnsiTheme="minorEastAsia" w:eastAsiaTheme="minorEastAsia"/>
          <w:sz w:val="24"/>
          <w:szCs w:val="24"/>
          <w:highlight w:val="none"/>
        </w:rPr>
        <w:t xml:space="preserve">：具备履行合同所必需的设备和专业技术能力的书面声明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四</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参加政府采购活动前3年内在经营活动中没有重大违法记录的书面声明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格式一</w:t>
      </w:r>
      <w:r>
        <w:rPr>
          <w:highlight w:val="none"/>
        </w:rP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t xml:space="preserve">法人或者其他组织的营业执照等证明文件，自然人的身份证明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二</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具备履行合同所必需的设备和专业技术能力的书面声明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主要设备有：。</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主要专业技术能力有：。</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投标人名称（电子签章）：</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 __年月日</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asciiTheme="minorEastAsia" w:hAnsiTheme="minorEastAsia" w:eastAsiaTheme="minorEastAsia"/>
          <w:sz w:val="24"/>
          <w:szCs w:val="24"/>
          <w:highlight w:val="none"/>
        </w:rPr>
        <w:br w:type="page" w:clear="all"/>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格式</w:t>
      </w:r>
      <w:r>
        <w:rPr>
          <w:rFonts w:hint="eastAsia" w:asciiTheme="minorEastAsia" w:hAnsiTheme="minorEastAsia" w:eastAsiaTheme="minorEastAsia"/>
          <w:sz w:val="24"/>
          <w:szCs w:val="24"/>
          <w:highlight w:val="none"/>
          <w:lang w:val="en-US" w:eastAsia="zh-CN"/>
        </w:rPr>
        <w:t xml:space="preserve">三</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参加政府采购活动前 3 年内在经营活动中没有重大违法记录的书面声明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声  明</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投标人名称（电子签章）：</w:t>
      </w:r>
      <w:r>
        <w:rPr>
          <w:highlight w:val="none"/>
        </w:rPr>
      </w:r>
    </w:p>
    <w:p>
      <w:pPr>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                                      日期：___年月日</w:t>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rFonts w:hint="eastAsia"/>
          <w:highlight w:val="none"/>
        </w:rPr>
      </w:pPr>
      <w:r>
        <w:rPr>
          <w:rFonts w:hint="eastAsia"/>
          <w:highlight w:val="none"/>
        </w:rPr>
      </w:r>
      <w:r>
        <w:rPr>
          <w:highlight w:val="none"/>
        </w:rPr>
      </w:r>
    </w:p>
    <w:p>
      <w:pPr>
        <w:ind w:left="0" w:right="0" w:firstLine="0"/>
        <w:jc w:val="both"/>
        <w:spacing w:before="0" w:after="0"/>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rPr>
      </w:r>
      <w:r>
        <w:rPr>
          <w:highlight w:val="none"/>
        </w:rP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a:effectLst/>
                    </wps:spPr>
                    <wps:txbx>
                      <w:txbxContent>
                        <w:p>
                          <w:r>
                            <w:fldChar w:fldCharType="begin"/>
                          </w:r>
                          <w:r>
                            <w:instrText xml:space="preserve"> PAGE  \* MERGEFORMAT </w:instrText>
                          </w:r>
                          <w:r>
                            <w:fldChar w:fldCharType="separate"/>
                          </w:r>
                          <w:r>
                            <w:t xml:space="preserve">44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2725" cy="17081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12725" cy="170815"/>
                      </a:xfrm>
                      <a:prstGeom prst="rect">
                        <a:avLst/>
                      </a:prstGeom>
                      <a:noFill/>
                      <a:ln w="6350">
                        <a:noFill/>
                      </a:ln>
                    </wps:spPr>
                    <wps:txbx>
                      <w:txbxContent>
                        <w:p>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6.8pt;height:13.4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nothing"/>
      <w:lvlText w:val="（%2）"/>
      <w:lvlJc w:val="left"/>
      <w:pPr>
        <w:ind w:left="360" w:hanging="360"/>
      </w:pPr>
      <w:rPr>
        <w:rFonts w:ascii="宋体" w:hAnsi="宋体" w:eastAsia="宋体" w:cs="宋体"/>
        <w:color w:val="000000"/>
      </w:r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quot;□&quot;"/>
      <w:lvlJc w:val="left"/>
      <w:pPr>
        <w:ind w:left="360" w:hanging="360"/>
      </w:pPr>
      <w:rPr>
        <w:rFonts w:hint="default" w:ascii="Symbol" w:hAnsi="Symbol" w:eastAsia="Symbol" w:cs="Symbol"/>
      </w:rPr>
    </w:lvl>
    <w:lvl w:ilvl="1">
      <w:start w:val="1"/>
      <w:numFmt w:val="bullet"/>
      <w:isLgl w:val="false"/>
      <w:suff w:val="tab"/>
      <w:lvlText w:val="&quot;&quot;"/>
      <w:lvlJc w:val="left"/>
      <w:pPr>
        <w:ind w:left="840" w:hanging="420"/>
      </w:pPr>
      <w:rPr>
        <w:rFonts w:hint="default" w:ascii="Wingdings" w:hAnsi="Wingdings" w:eastAsia="Wingdings" w:cs="Wingdings"/>
      </w:rPr>
    </w:lvl>
    <w:lvl w:ilvl="2">
      <w:start w:val="1"/>
      <w:numFmt w:val="bullet"/>
      <w:isLgl w:val="false"/>
      <w:suff w:val="tab"/>
      <w:lvlText w:val="&quot;&quot;"/>
      <w:lvlJc w:val="left"/>
      <w:pPr>
        <w:ind w:left="1260" w:hanging="420"/>
      </w:pPr>
      <w:rPr>
        <w:rFonts w:hint="default" w:ascii="Wingdings" w:hAnsi="Wingdings" w:eastAsia="Wingdings" w:cs="Wingdings"/>
      </w:rPr>
    </w:lvl>
    <w:lvl w:ilvl="3">
      <w:start w:val="1"/>
      <w:numFmt w:val="bullet"/>
      <w:isLgl w:val="false"/>
      <w:suff w:val="tab"/>
      <w:lvlText w:val="&quot;&quot;"/>
      <w:lvlJc w:val="left"/>
      <w:pPr>
        <w:ind w:left="1680" w:hanging="420"/>
      </w:pPr>
      <w:rPr>
        <w:rFonts w:hint="default" w:ascii="Wingdings" w:hAnsi="Wingdings" w:eastAsia="Wingdings" w:cs="Wingdings"/>
      </w:rPr>
    </w:lvl>
    <w:lvl w:ilvl="4">
      <w:start w:val="1"/>
      <w:numFmt w:val="bullet"/>
      <w:isLgl w:val="false"/>
      <w:suff w:val="tab"/>
      <w:lvlText w:val="&quot;&quot;"/>
      <w:lvlJc w:val="left"/>
      <w:pPr>
        <w:ind w:left="2100" w:hanging="420"/>
      </w:pPr>
      <w:rPr>
        <w:rFonts w:hint="default" w:ascii="Wingdings" w:hAnsi="Wingdings" w:eastAsia="Wingdings" w:cs="Wingdings"/>
      </w:rPr>
    </w:lvl>
    <w:lvl w:ilvl="5">
      <w:start w:val="1"/>
      <w:numFmt w:val="bullet"/>
      <w:isLgl w:val="false"/>
      <w:suff w:val="tab"/>
      <w:lvlText w:val="&quot;&quot;"/>
      <w:lvlJc w:val="left"/>
      <w:pPr>
        <w:ind w:left="2520" w:hanging="420"/>
      </w:pPr>
      <w:rPr>
        <w:rFonts w:hint="default" w:ascii="Wingdings" w:hAnsi="Wingdings" w:eastAsia="Wingdings" w:cs="Wingdings"/>
      </w:rPr>
    </w:lvl>
    <w:lvl w:ilvl="6">
      <w:start w:val="1"/>
      <w:numFmt w:val="bullet"/>
      <w:isLgl w:val="false"/>
      <w:suff w:val="tab"/>
      <w:lvlText w:val="&quot;&quot;"/>
      <w:lvlJc w:val="left"/>
      <w:pPr>
        <w:ind w:left="2940" w:hanging="420"/>
      </w:pPr>
      <w:rPr>
        <w:rFonts w:hint="default" w:ascii="Wingdings" w:hAnsi="Wingdings" w:eastAsia="Wingdings" w:cs="Wingdings"/>
      </w:rPr>
    </w:lvl>
    <w:lvl w:ilvl="7">
      <w:start w:val="1"/>
      <w:numFmt w:val="bullet"/>
      <w:isLgl w:val="false"/>
      <w:suff w:val="tab"/>
      <w:lvlText w:val="&quot;&quot;"/>
      <w:lvlJc w:val="left"/>
      <w:pPr>
        <w:ind w:left="3360" w:hanging="420"/>
      </w:pPr>
      <w:rPr>
        <w:rFonts w:hint="default" w:ascii="Wingdings" w:hAnsi="Wingdings" w:eastAsia="Wingdings" w:cs="Wingdings"/>
      </w:rPr>
    </w:lvl>
    <w:lvl w:ilvl="8">
      <w:start w:val="1"/>
      <w:numFmt w:val="bullet"/>
      <w:isLgl w:val="false"/>
      <w:suff w:val="tab"/>
      <w:lvlText w:val="&quot;&quot;"/>
      <w:lvlJc w:val="left"/>
      <w:pPr>
        <w:ind w:left="3780" w:hanging="42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39">
    <w:name w:val="Heading 1"/>
    <w:basedOn w:val="738"/>
    <w:next w:val="738"/>
    <w:link w:val="833"/>
    <w:uiPriority w:val="0"/>
    <w:qFormat/>
    <w:pPr>
      <w:jc w:val="center"/>
      <w:keepLines/>
      <w:keepNext/>
      <w:spacing w:line="360" w:lineRule="auto"/>
      <w:outlineLvl w:val="0"/>
    </w:pPr>
    <w:rPr>
      <w:rFonts w:eastAsia="宋体"/>
      <w:b/>
      <w:sz w:val="32"/>
    </w:rPr>
  </w:style>
  <w:style w:type="paragraph" w:styleId="740">
    <w:name w:val="Heading 2"/>
    <w:basedOn w:val="738"/>
    <w:next w:val="738"/>
    <w:link w:val="834"/>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35"/>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36"/>
    <w:uiPriority w:val="9"/>
    <w:unhideWhenUsed/>
    <w:qFormat/>
    <w:pPr>
      <w:keepLines/>
      <w:keepNext/>
      <w:spacing w:before="320" w:after="200"/>
      <w:outlineLvl w:val="3"/>
    </w:pPr>
    <w:rPr>
      <w:rFonts w:ascii="Arial" w:hAnsi="Arial" w:eastAsia="Arial" w:cs="Arial"/>
      <w:b/>
      <w:bCs/>
      <w:szCs w:val="26"/>
    </w:rPr>
  </w:style>
  <w:style w:type="paragraph" w:styleId="743">
    <w:name w:val="Heading 5"/>
    <w:basedOn w:val="738"/>
    <w:next w:val="738"/>
    <w:link w:val="837"/>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38"/>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40"/>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41"/>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spacing w:after="57"/>
    </w:pPr>
  </w:style>
  <w:style w:type="paragraph" w:styleId="751">
    <w:name w:val="Normal Indent"/>
    <w:basedOn w:val="738"/>
    <w:next w:val="738"/>
    <w:uiPriority w:val="0"/>
    <w:qFormat/>
    <w:pPr>
      <w:ind w:firstLine="200"/>
    </w:pPr>
  </w:style>
  <w:style w:type="paragraph" w:styleId="752">
    <w:name w:val="Caption"/>
    <w:basedOn w:val="738"/>
    <w:next w:val="738"/>
    <w:uiPriority w:val="35"/>
    <w:unhideWhenUsed/>
    <w:qFormat/>
    <w:pPr>
      <w:spacing w:line="276" w:lineRule="auto"/>
    </w:pPr>
    <w:rPr>
      <w:b/>
      <w:bCs/>
      <w:color w:val="4f81bd"/>
      <w:sz w:val="18"/>
      <w:szCs w:val="18"/>
    </w:rPr>
  </w:style>
  <w:style w:type="paragraph" w:styleId="753">
    <w:name w:val="annotation text"/>
    <w:basedOn w:val="738"/>
    <w:link w:val="1014"/>
    <w:uiPriority w:val="99"/>
    <w:unhideWhenUsed/>
    <w:qFormat/>
    <w:pPr>
      <w:jc w:val="left"/>
    </w:pPr>
  </w:style>
  <w:style w:type="paragraph" w:styleId="754">
    <w:name w:val="Body Text"/>
    <w:basedOn w:val="738"/>
    <w:next w:val="738"/>
    <w:uiPriority w:val="0"/>
    <w:qFormat/>
    <w:rPr>
      <w:rFonts w:ascii="楷体_GB2312" w:hAnsi="Arial"/>
      <w:sz w:val="28"/>
    </w:rPr>
  </w:style>
  <w:style w:type="paragraph" w:styleId="755">
    <w:name w:val="Body Text Indent"/>
    <w:basedOn w:val="738"/>
    <w:next w:val="738"/>
    <w:uiPriority w:val="0"/>
    <w:qFormat/>
    <w:pPr>
      <w:ind w:firstLine="645"/>
    </w:pPr>
    <w:rPr>
      <w:rFonts w:ascii="楷体_GB2312" w:hAnsi="Calibri"/>
      <w:sz w:val="32"/>
      <w:szCs w:val="22"/>
    </w:rPr>
  </w:style>
  <w:style w:type="paragraph" w:styleId="756">
    <w:name w:val="Block Text"/>
    <w:basedOn w:val="738"/>
    <w:uiPriority w:val="0"/>
    <w:qFormat/>
    <w:pPr>
      <w:ind w:left="525" w:right="-1" w:firstLine="525"/>
      <w:spacing w:line="312" w:lineRule="atLeast"/>
    </w:pPr>
    <w:rPr>
      <w:sz w:val="28"/>
      <w:szCs w:val="28"/>
    </w:rPr>
  </w:style>
  <w:style w:type="paragraph" w:styleId="757">
    <w:name w:val="index 4"/>
    <w:basedOn w:val="738"/>
    <w:next w:val="738"/>
    <w:uiPriority w:val="0"/>
    <w:qFormat/>
    <w:pPr>
      <w:ind w:left="600"/>
    </w:pPr>
    <w:rPr>
      <w:rFonts w:ascii="Calibri" w:hAnsi="Calibri"/>
      <w:szCs w:val="22"/>
    </w:rPr>
  </w:style>
  <w:style w:type="paragraph" w:styleId="758">
    <w:name w:val="toc 5"/>
    <w:basedOn w:val="738"/>
    <w:next w:val="738"/>
    <w:uiPriority w:val="39"/>
    <w:unhideWhenUsed/>
    <w:qFormat/>
    <w:pPr>
      <w:ind w:left="1134"/>
      <w:spacing w:after="57"/>
    </w:pPr>
  </w:style>
  <w:style w:type="paragraph" w:styleId="759">
    <w:name w:val="toc 3"/>
    <w:basedOn w:val="738"/>
    <w:next w:val="738"/>
    <w:uiPriority w:val="39"/>
    <w:unhideWhenUsed/>
    <w:qFormat/>
    <w:pPr>
      <w:ind w:left="567"/>
      <w:spacing w:after="57"/>
    </w:pPr>
  </w:style>
  <w:style w:type="paragraph" w:styleId="760">
    <w:name w:val="Plain Text"/>
    <w:basedOn w:val="738"/>
    <w:next w:val="751"/>
    <w:uiPriority w:val="0"/>
    <w:qFormat/>
    <w:rPr>
      <w:rFonts w:ascii="宋体"/>
    </w:rPr>
  </w:style>
  <w:style w:type="paragraph" w:styleId="761">
    <w:name w:val="toc 8"/>
    <w:basedOn w:val="738"/>
    <w:next w:val="738"/>
    <w:uiPriority w:val="39"/>
    <w:unhideWhenUsed/>
    <w:qFormat/>
    <w:pPr>
      <w:ind w:left="1984"/>
      <w:spacing w:after="57"/>
    </w:pPr>
  </w:style>
  <w:style w:type="paragraph" w:styleId="762">
    <w:name w:val="endnote text"/>
    <w:basedOn w:val="738"/>
    <w:link w:val="979"/>
    <w:uiPriority w:val="99"/>
    <w:unhideWhenUsed/>
    <w:qFormat/>
    <w:rPr>
      <w:sz w:val="20"/>
    </w:rPr>
  </w:style>
  <w:style w:type="paragraph" w:styleId="763">
    <w:name w:val="Balloon Text"/>
    <w:basedOn w:val="738"/>
    <w:link w:val="1010"/>
    <w:uiPriority w:val="99"/>
    <w:unhideWhenUsed/>
    <w:qFormat/>
    <w:rPr>
      <w:sz w:val="18"/>
      <w:szCs w:val="18"/>
    </w:rPr>
  </w:style>
  <w:style w:type="paragraph" w:styleId="764">
    <w:name w:val="Footer"/>
    <w:basedOn w:val="738"/>
    <w:link w:val="852"/>
    <w:uiPriority w:val="99"/>
    <w:unhideWhenUsed/>
    <w:qFormat/>
    <w:pPr>
      <w:tabs>
        <w:tab w:val="center" w:pos="7143" w:leader="none"/>
        <w:tab w:val="right" w:pos="14287" w:leader="none"/>
      </w:tabs>
    </w:pPr>
  </w:style>
  <w:style w:type="paragraph" w:styleId="765">
    <w:name w:val="envelope return"/>
    <w:basedOn w:val="766"/>
    <w:uiPriority w:val="99"/>
    <w:unhideWhenUsed/>
    <w:qFormat/>
    <w:rPr>
      <w:rFonts w:ascii="Arial" w:hAnsi="Arial"/>
    </w:rPr>
  </w:style>
  <w:style w:type="paragraph" w:styleId="766" w:customStyle="1">
    <w:name w:val="Normal_19"/>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7" w:customStyle="1">
    <w:name w:val="正文文本缩进1"/>
    <w:basedOn w:val="738"/>
    <w:next w:val="765"/>
    <w:uiPriority w:val="0"/>
    <w:unhideWhenUsed/>
    <w:qFormat/>
    <w:pPr>
      <w:ind w:firstLine="570"/>
    </w:pPr>
    <w:rPr>
      <w:rFonts w:ascii="宋体" w:eastAsia="宋体"/>
      <w:sz w:val="28"/>
    </w:rPr>
  </w:style>
  <w:style w:type="paragraph" w:styleId="768">
    <w:name w:val="Header"/>
    <w:basedOn w:val="738"/>
    <w:link w:val="981"/>
    <w:uiPriority w:val="0"/>
    <w:qFormat/>
    <w:pPr>
      <w:jc w:val="center"/>
      <w:tabs>
        <w:tab w:val="center" w:pos="4153" w:leader="none"/>
        <w:tab w:val="right" w:pos="8306" w:leader="none"/>
      </w:tabs>
    </w:pPr>
    <w:rPr>
      <w:sz w:val="18"/>
      <w:szCs w:val="18"/>
    </w:rPr>
  </w:style>
  <w:style w:type="paragraph" w:styleId="769">
    <w:name w:val="toc 1"/>
    <w:basedOn w:val="738"/>
    <w:next w:val="738"/>
    <w:uiPriority w:val="39"/>
    <w:unhideWhenUsed/>
    <w:qFormat/>
    <w:pPr>
      <w:spacing w:after="57"/>
    </w:pPr>
  </w:style>
  <w:style w:type="paragraph" w:styleId="770">
    <w:name w:val="toc 4"/>
    <w:basedOn w:val="738"/>
    <w:next w:val="738"/>
    <w:uiPriority w:val="39"/>
    <w:unhideWhenUsed/>
    <w:qFormat/>
    <w:pPr>
      <w:ind w:left="850"/>
      <w:spacing w:after="57"/>
    </w:pPr>
  </w:style>
  <w:style w:type="paragraph" w:styleId="771">
    <w:name w:val="Subtitle"/>
    <w:basedOn w:val="738"/>
    <w:next w:val="738"/>
    <w:link w:val="845"/>
    <w:uiPriority w:val="11"/>
    <w:qFormat/>
    <w:pPr>
      <w:spacing w:before="200" w:after="200"/>
    </w:pPr>
    <w:rPr>
      <w:sz w:val="24"/>
      <w:szCs w:val="24"/>
    </w:rPr>
  </w:style>
  <w:style w:type="paragraph" w:styleId="772">
    <w:name w:val="footnote text"/>
    <w:basedOn w:val="738"/>
    <w:link w:val="978"/>
    <w:uiPriority w:val="99"/>
    <w:unhideWhenUsed/>
    <w:qFormat/>
    <w:pPr>
      <w:spacing w:after="40"/>
    </w:pPr>
    <w:rPr>
      <w:sz w:val="18"/>
    </w:rPr>
  </w:style>
  <w:style w:type="paragraph" w:styleId="773">
    <w:name w:val="toc 6"/>
    <w:basedOn w:val="738"/>
    <w:next w:val="738"/>
    <w:uiPriority w:val="39"/>
    <w:unhideWhenUsed/>
    <w:qFormat/>
    <w:pPr>
      <w:ind w:left="1417"/>
      <w:spacing w:after="57"/>
    </w:pPr>
  </w:style>
  <w:style w:type="paragraph" w:styleId="774">
    <w:name w:val="table of figures"/>
    <w:basedOn w:val="738"/>
    <w:next w:val="738"/>
    <w:uiPriority w:val="99"/>
    <w:unhideWhenUsed/>
    <w:qFormat/>
  </w:style>
  <w:style w:type="paragraph" w:styleId="775">
    <w:name w:val="toc 2"/>
    <w:basedOn w:val="738"/>
    <w:next w:val="738"/>
    <w:uiPriority w:val="39"/>
    <w:unhideWhenUsed/>
    <w:qFormat/>
    <w:pPr>
      <w:ind w:left="283"/>
      <w:spacing w:after="57"/>
    </w:pPr>
  </w:style>
  <w:style w:type="paragraph" w:styleId="776">
    <w:name w:val="toc 9"/>
    <w:basedOn w:val="738"/>
    <w:next w:val="738"/>
    <w:uiPriority w:val="39"/>
    <w:unhideWhenUsed/>
    <w:qFormat/>
    <w:pPr>
      <w:ind w:left="2268"/>
      <w:spacing w:after="57"/>
    </w:pPr>
  </w:style>
  <w:style w:type="paragraph" w:styleId="777">
    <w:name w:val="Normal (Web)"/>
    <w:basedOn w:val="738"/>
    <w:uiPriority w:val="99"/>
    <w:qFormat/>
    <w:pPr>
      <w:jc w:val="left"/>
      <w:spacing w:before="100" w:beforeAutospacing="1" w:after="100" w:afterAutospacing="1"/>
      <w:widowControl/>
    </w:pPr>
    <w:rPr>
      <w:rFonts w:ascii="宋体" w:hAnsi="宋体"/>
      <w:color w:val="000000"/>
      <w:sz w:val="24"/>
      <w:szCs w:val="24"/>
    </w:rPr>
  </w:style>
  <w:style w:type="paragraph" w:styleId="778">
    <w:name w:val="Title"/>
    <w:basedOn w:val="738"/>
    <w:next w:val="738"/>
    <w:link w:val="844"/>
    <w:uiPriority w:val="10"/>
    <w:qFormat/>
    <w:pPr>
      <w:contextualSpacing/>
      <w:spacing w:before="300" w:after="200"/>
    </w:pPr>
    <w:rPr>
      <w:sz w:val="48"/>
      <w:szCs w:val="48"/>
    </w:rPr>
  </w:style>
  <w:style w:type="paragraph" w:styleId="779">
    <w:name w:val="Body Text First Indent"/>
    <w:basedOn w:val="754"/>
    <w:next w:val="780"/>
    <w:uiPriority w:val="0"/>
    <w:qFormat/>
    <w:pPr>
      <w:ind w:firstLine="420"/>
    </w:pPr>
  </w:style>
  <w:style w:type="paragraph" w:styleId="780">
    <w:name w:val="Body Text First Indent 2"/>
    <w:basedOn w:val="755"/>
    <w:next w:val="738"/>
    <w:uiPriority w:val="99"/>
    <w:unhideWhenUsed/>
    <w:qFormat/>
    <w:pPr>
      <w:ind w:firstLine="200"/>
    </w:pPr>
  </w:style>
  <w:style w:type="table" w:styleId="781">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unhideWhenUsed/>
    <w:qFormat/>
    <w:rPr>
      <w:vertAlign w:val="superscript"/>
    </w:rPr>
  </w:style>
  <w:style w:type="character" w:styleId="783">
    <w:name w:val="page number"/>
    <w:basedOn w:val="748"/>
    <w:uiPriority w:val="0"/>
    <w:qFormat/>
  </w:style>
  <w:style w:type="character" w:styleId="784">
    <w:name w:val="Emphasis"/>
    <w:uiPriority w:val="0"/>
    <w:qFormat/>
    <w:rPr>
      <w:rFonts w:ascii="Times New Roman" w:hAnsi="Times New Roman" w:eastAsia="宋体" w:cs="Times New Roman"/>
      <w:i/>
    </w:rPr>
  </w:style>
  <w:style w:type="character" w:styleId="785">
    <w:name w:val="Hyperlink"/>
    <w:uiPriority w:val="99"/>
    <w:unhideWhenUsed/>
    <w:qFormat/>
    <w:rPr>
      <w:color w:val="0563c1"/>
      <w:u w:val="single"/>
    </w:rPr>
  </w:style>
  <w:style w:type="character" w:styleId="786">
    <w:name w:val="annotation reference"/>
    <w:basedOn w:val="748"/>
    <w:uiPriority w:val="99"/>
    <w:unhideWhenUsed/>
    <w:qFormat/>
    <w:rPr>
      <w:rFonts w:ascii="Times New Roman" w:hAnsi="Times New Roman" w:eastAsia="楷体_GB2312" w:cs="Times New Roman"/>
      <w:sz w:val="21"/>
      <w:szCs w:val="21"/>
    </w:rPr>
  </w:style>
  <w:style w:type="character" w:styleId="787">
    <w:name w:val="footnote reference"/>
    <w:uiPriority w:val="99"/>
    <w:unhideWhenUsed/>
    <w:qFormat/>
    <w:rPr>
      <w:vertAlign w:val="superscript"/>
    </w:rPr>
  </w:style>
  <w:style w:type="paragraph" w:styleId="788">
    <w:name w:val="List Paragraph"/>
    <w:basedOn w:val="738"/>
    <w:uiPriority w:val="34"/>
    <w:qFormat/>
    <w:pPr>
      <w:contextualSpacing/>
      <w:ind w:left="720"/>
    </w:p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paragraph" w:styleId="790">
    <w:name w:val="Quote"/>
    <w:basedOn w:val="738"/>
    <w:next w:val="738"/>
    <w:uiPriority w:val="29"/>
    <w:qFormat/>
    <w:pPr>
      <w:ind w:left="720" w:right="720"/>
    </w:pPr>
    <w:rPr>
      <w:i/>
    </w:rPr>
  </w:style>
  <w:style w:type="paragraph" w:styleId="791">
    <w:name w:val="Intense Quote"/>
    <w:basedOn w:val="738"/>
    <w:next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2" w:customStyle="1">
    <w:name w:val="TOC Heading"/>
    <w:uiPriority w:val="39"/>
    <w:unhideWhenUsed/>
    <w:qFormat/>
    <w:rPr>
      <w:rFonts w:hint="default" w:ascii="Times New Roman" w:hAnsi="Times New Roman" w:eastAsia="宋体" w:cs="Times New Roman"/>
    </w:rPr>
  </w:style>
  <w:style w:type="paragraph" w:styleId="793" w:customStyle="1">
    <w:name w:val="正文首行缩进 21"/>
    <w:basedOn w:val="794"/>
    <w:next w:val="738"/>
    <w:uiPriority w:val="99"/>
    <w:unhideWhenUsed/>
    <w:qFormat/>
    <w:pPr>
      <w:ind w:firstLine="420"/>
    </w:pPr>
  </w:style>
  <w:style w:type="paragraph" w:styleId="794" w:customStyle="1">
    <w:name w:val="正文文本缩进11"/>
    <w:basedOn w:val="738"/>
    <w:next w:val="795"/>
    <w:uiPriority w:val="0"/>
    <w:unhideWhenUsed/>
    <w:qFormat/>
    <w:pPr>
      <w:ind w:left="420"/>
      <w:spacing w:after="120"/>
    </w:pPr>
  </w:style>
  <w:style w:type="paragraph" w:styleId="795" w:customStyle="1">
    <w:name w:val="寄信人地址1"/>
    <w:basedOn w:val="738"/>
    <w:uiPriority w:val="0"/>
    <w:qFormat/>
    <w:rPr>
      <w:rFonts w:ascii="Arial" w:hAnsi="Arial" w:eastAsia="宋体" w:cs="宋体"/>
    </w:rPr>
  </w:style>
  <w:style w:type="character" w:styleId="796" w:customStyle="1">
    <w:name w:val="Heading 1 Char"/>
    <w:basedOn w:val="748"/>
    <w:uiPriority w:val="9"/>
    <w:qFormat/>
    <w:rPr>
      <w:rFonts w:ascii="Arial" w:hAnsi="Arial" w:eastAsia="Arial" w:cs="Arial"/>
      <w:sz w:val="40"/>
      <w:szCs w:val="40"/>
    </w:rPr>
  </w:style>
  <w:style w:type="character" w:styleId="797" w:customStyle="1">
    <w:name w:val="Heading 2 Char"/>
    <w:basedOn w:val="748"/>
    <w:uiPriority w:val="9"/>
    <w:qFormat/>
    <w:rPr>
      <w:rFonts w:ascii="Arial" w:hAnsi="Arial" w:eastAsia="Arial" w:cs="Arial"/>
      <w:sz w:val="34"/>
    </w:rPr>
  </w:style>
  <w:style w:type="character" w:styleId="798" w:customStyle="1">
    <w:name w:val="Heading 3 Char"/>
    <w:basedOn w:val="748"/>
    <w:uiPriority w:val="9"/>
    <w:qFormat/>
    <w:rPr>
      <w:rFonts w:ascii="Arial" w:hAnsi="Arial" w:eastAsia="Arial" w:cs="Arial"/>
      <w:sz w:val="30"/>
      <w:szCs w:val="30"/>
    </w:rPr>
  </w:style>
  <w:style w:type="character" w:styleId="799" w:customStyle="1">
    <w:name w:val="Heading 4 Char"/>
    <w:basedOn w:val="748"/>
    <w:uiPriority w:val="9"/>
    <w:qFormat/>
    <w:rPr>
      <w:rFonts w:ascii="Arial" w:hAnsi="Arial" w:eastAsia="Arial" w:cs="Arial"/>
      <w:b/>
      <w:bCs/>
      <w:sz w:val="26"/>
      <w:szCs w:val="26"/>
    </w:rPr>
  </w:style>
  <w:style w:type="character" w:styleId="800" w:customStyle="1">
    <w:name w:val="Heading 5 Char"/>
    <w:basedOn w:val="748"/>
    <w:uiPriority w:val="9"/>
    <w:qFormat/>
    <w:rPr>
      <w:rFonts w:ascii="Arial" w:hAnsi="Arial" w:eastAsia="Arial" w:cs="Arial"/>
      <w:b/>
      <w:bCs/>
      <w:sz w:val="24"/>
      <w:szCs w:val="24"/>
    </w:rPr>
  </w:style>
  <w:style w:type="character" w:styleId="801" w:customStyle="1">
    <w:name w:val="Heading 6 Char"/>
    <w:basedOn w:val="748"/>
    <w:uiPriority w:val="9"/>
    <w:qFormat/>
    <w:rPr>
      <w:rFonts w:ascii="Arial" w:hAnsi="Arial" w:eastAsia="Arial" w:cs="Arial"/>
      <w:b/>
      <w:bCs/>
      <w:sz w:val="22"/>
      <w:szCs w:val="22"/>
    </w:rPr>
  </w:style>
  <w:style w:type="character" w:styleId="802" w:customStyle="1">
    <w:name w:val="Heading 7 Char"/>
    <w:basedOn w:val="748"/>
    <w:uiPriority w:val="9"/>
    <w:qFormat/>
    <w:rPr>
      <w:rFonts w:ascii="Arial" w:hAnsi="Arial" w:eastAsia="Arial" w:cs="Arial"/>
      <w:b/>
      <w:bCs/>
      <w:i/>
      <w:iCs/>
      <w:sz w:val="22"/>
      <w:szCs w:val="22"/>
    </w:rPr>
  </w:style>
  <w:style w:type="character" w:styleId="803" w:customStyle="1">
    <w:name w:val="Heading 8 Char"/>
    <w:basedOn w:val="748"/>
    <w:uiPriority w:val="9"/>
    <w:qFormat/>
    <w:rPr>
      <w:rFonts w:ascii="Arial" w:hAnsi="Arial" w:eastAsia="Arial" w:cs="Arial"/>
      <w:i/>
      <w:iCs/>
      <w:sz w:val="22"/>
      <w:szCs w:val="22"/>
    </w:rPr>
  </w:style>
  <w:style w:type="character" w:styleId="804" w:customStyle="1">
    <w:name w:val="Heading 9 Char"/>
    <w:basedOn w:val="748"/>
    <w:uiPriority w:val="9"/>
    <w:qFormat/>
    <w:rPr>
      <w:rFonts w:ascii="Arial" w:hAnsi="Arial" w:eastAsia="Arial" w:cs="Arial"/>
      <w:i/>
      <w:iCs/>
      <w:sz w:val="21"/>
      <w:szCs w:val="21"/>
    </w:rPr>
  </w:style>
  <w:style w:type="character" w:styleId="805" w:customStyle="1">
    <w:name w:val="Title Char"/>
    <w:basedOn w:val="748"/>
    <w:uiPriority w:val="10"/>
    <w:qFormat/>
    <w:rPr>
      <w:sz w:val="48"/>
      <w:szCs w:val="48"/>
    </w:rPr>
  </w:style>
  <w:style w:type="character" w:styleId="806" w:customStyle="1">
    <w:name w:val="Subtitle Char"/>
    <w:basedOn w:val="748"/>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character" w:styleId="809" w:customStyle="1">
    <w:name w:val="Caption Char"/>
    <w:uiPriority w:val="99"/>
    <w:qFormat/>
  </w:style>
  <w:style w:type="table" w:styleId="810"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5 Dark"/>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7 Colorful"/>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5 Dark"/>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
    <w:uiPriority w:val="39"/>
    <w:unhideWhenUsed/>
    <w:qFormat/>
    <w:rPr>
      <w:rFonts w:hint="default" w:ascii="Times New Roman" w:hAnsi="Times New Roman" w:eastAsia="宋体" w:cs="Times New Roman"/>
      <w:lang w:val="en-US" w:eastAsia="zh-CN" w:bidi="ar-SA"/>
    </w:rPr>
  </w:style>
  <w:style w:type="paragraph" w:styleId="832" w:customStyle="1">
    <w:name w:val="标题 31"/>
    <w:basedOn w:val="738"/>
    <w:next w:val="738"/>
    <w:uiPriority w:val="0"/>
    <w:qFormat/>
    <w:pPr>
      <w:keepLines/>
      <w:keepNext/>
      <w:spacing w:before="260" w:after="260" w:line="416" w:lineRule="auto"/>
      <w:outlineLvl w:val="2"/>
    </w:pPr>
    <w:rPr>
      <w:b/>
      <w:bCs/>
      <w:sz w:val="32"/>
      <w:szCs w:val="32"/>
    </w:rPr>
  </w:style>
  <w:style w:type="character" w:styleId="833" w:customStyle="1">
    <w:name w:val="标题 1 Char"/>
    <w:link w:val="739"/>
    <w:uiPriority w:val="0"/>
    <w:qFormat/>
    <w:rPr>
      <w:rFonts w:ascii="Arial" w:hAnsi="Arial" w:eastAsia="Arial" w:cs="Arial"/>
      <w:sz w:val="40"/>
      <w:szCs w:val="40"/>
    </w:rPr>
  </w:style>
  <w:style w:type="character" w:styleId="834" w:customStyle="1">
    <w:name w:val="标题 2 Char"/>
    <w:link w:val="740"/>
    <w:uiPriority w:val="9"/>
    <w:qFormat/>
    <w:rPr>
      <w:rFonts w:ascii="Arial" w:hAnsi="Arial" w:eastAsia="Arial" w:cs="Arial"/>
      <w:sz w:val="34"/>
    </w:rPr>
  </w:style>
  <w:style w:type="character" w:styleId="835" w:customStyle="1">
    <w:name w:val="标题 3 Char"/>
    <w:link w:val="741"/>
    <w:uiPriority w:val="9"/>
    <w:qFormat/>
    <w:rPr>
      <w:rFonts w:ascii="Arial" w:hAnsi="Arial" w:eastAsia="Arial" w:cs="Arial"/>
      <w:sz w:val="30"/>
      <w:szCs w:val="30"/>
    </w:rPr>
  </w:style>
  <w:style w:type="character" w:styleId="836" w:customStyle="1">
    <w:name w:val="标题 4 Char"/>
    <w:link w:val="742"/>
    <w:uiPriority w:val="9"/>
    <w:qFormat/>
    <w:rPr>
      <w:rFonts w:ascii="Arial" w:hAnsi="Arial" w:eastAsia="Arial" w:cs="Arial"/>
      <w:b/>
      <w:bCs/>
      <w:sz w:val="26"/>
      <w:szCs w:val="26"/>
    </w:rPr>
  </w:style>
  <w:style w:type="character" w:styleId="837" w:customStyle="1">
    <w:name w:val="标题 5 Char"/>
    <w:link w:val="743"/>
    <w:uiPriority w:val="9"/>
    <w:qFormat/>
    <w:rPr>
      <w:rFonts w:ascii="Arial" w:hAnsi="Arial" w:eastAsia="Arial" w:cs="Arial"/>
      <w:b/>
      <w:bCs/>
      <w:sz w:val="24"/>
      <w:szCs w:val="24"/>
    </w:rPr>
  </w:style>
  <w:style w:type="character" w:styleId="838" w:customStyle="1">
    <w:name w:val="标题 6 Char"/>
    <w:link w:val="744"/>
    <w:uiPriority w:val="9"/>
    <w:qFormat/>
    <w:rPr>
      <w:rFonts w:ascii="Arial" w:hAnsi="Arial" w:eastAsia="Arial" w:cs="Arial"/>
      <w:b/>
      <w:bCs/>
      <w:sz w:val="22"/>
      <w:szCs w:val="22"/>
    </w:rPr>
  </w:style>
  <w:style w:type="character" w:styleId="839" w:customStyle="1">
    <w:name w:val="标题 7 Char"/>
    <w:link w:val="745"/>
    <w:uiPriority w:val="9"/>
    <w:qFormat/>
    <w:rPr>
      <w:rFonts w:ascii="Arial" w:hAnsi="Arial" w:eastAsia="Arial" w:cs="Arial"/>
      <w:b/>
      <w:bCs/>
      <w:i/>
      <w:iCs/>
      <w:sz w:val="22"/>
      <w:szCs w:val="22"/>
    </w:rPr>
  </w:style>
  <w:style w:type="character" w:styleId="840" w:customStyle="1">
    <w:name w:val="标题 8 Char"/>
    <w:link w:val="746"/>
    <w:uiPriority w:val="9"/>
    <w:qFormat/>
    <w:rPr>
      <w:rFonts w:ascii="Arial" w:hAnsi="Arial" w:eastAsia="Arial" w:cs="Arial"/>
      <w:i/>
      <w:iCs/>
      <w:sz w:val="22"/>
      <w:szCs w:val="22"/>
    </w:rPr>
  </w:style>
  <w:style w:type="character" w:styleId="841" w:customStyle="1">
    <w:name w:val="标题 9 Char"/>
    <w:link w:val="747"/>
    <w:uiPriority w:val="9"/>
    <w:qFormat/>
    <w:rPr>
      <w:rFonts w:ascii="Arial" w:hAnsi="Arial" w:eastAsia="Arial" w:cs="Arial"/>
      <w:i/>
      <w:iCs/>
      <w:sz w:val="21"/>
      <w:szCs w:val="21"/>
    </w:rPr>
  </w:style>
  <w:style w:type="paragraph" w:styleId="842" w:customStyle="1">
    <w:name w:val="列出段落1"/>
    <w:basedOn w:val="738"/>
    <w:uiPriority w:val="0"/>
    <w:qFormat/>
    <w:pPr>
      <w:ind w:firstLine="420"/>
    </w:pPr>
  </w:style>
  <w:style w:type="paragraph" w:styleId="843" w:customStyle="1">
    <w:name w:val="无间隔1"/>
    <w:uiPriority w:val="1"/>
    <w:qFormat/>
    <w:rPr>
      <w:rFonts w:hint="default" w:ascii="Times New Roman" w:hAnsi="Times New Roman" w:eastAsia="宋体" w:cs="Times New Roman"/>
      <w:lang w:val="en-US" w:eastAsia="zh-CN" w:bidi="ar-SA"/>
    </w:rPr>
  </w:style>
  <w:style w:type="character" w:styleId="844" w:customStyle="1">
    <w:name w:val="标题 Char"/>
    <w:link w:val="778"/>
    <w:uiPriority w:val="10"/>
    <w:qFormat/>
    <w:rPr>
      <w:sz w:val="48"/>
      <w:szCs w:val="48"/>
    </w:rPr>
  </w:style>
  <w:style w:type="character" w:styleId="845" w:customStyle="1">
    <w:name w:val="副标题 Char"/>
    <w:link w:val="771"/>
    <w:uiPriority w:val="11"/>
    <w:qFormat/>
    <w:rPr>
      <w:sz w:val="24"/>
      <w:szCs w:val="24"/>
    </w:rPr>
  </w:style>
  <w:style w:type="paragraph" w:styleId="846" w:customStyle="1">
    <w:name w:val="引用1"/>
    <w:basedOn w:val="738"/>
    <w:next w:val="738"/>
    <w:link w:val="847"/>
    <w:uiPriority w:val="29"/>
    <w:qFormat/>
    <w:pPr>
      <w:ind w:left="720" w:right="720"/>
    </w:pPr>
    <w:rPr>
      <w:i/>
    </w:rPr>
  </w:style>
  <w:style w:type="character" w:styleId="847" w:customStyle="1">
    <w:name w:val="引用 字符"/>
    <w:link w:val="846"/>
    <w:uiPriority w:val="29"/>
    <w:qFormat/>
    <w:rPr>
      <w:i/>
    </w:rPr>
  </w:style>
  <w:style w:type="paragraph" w:styleId="848" w:customStyle="1">
    <w:name w:val="明显引用1"/>
    <w:basedOn w:val="738"/>
    <w:next w:val="738"/>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Header Char"/>
    <w:uiPriority w:val="99"/>
    <w:qFormat/>
  </w:style>
  <w:style w:type="character" w:styleId="851" w:customStyle="1">
    <w:name w:val="Footer Char"/>
    <w:uiPriority w:val="99"/>
    <w:qFormat/>
  </w:style>
  <w:style w:type="character" w:styleId="852" w:customStyle="1">
    <w:name w:val="页脚 Char"/>
    <w:link w:val="764"/>
    <w:uiPriority w:val="99"/>
    <w:qFormat/>
  </w:style>
  <w:style w:type="table" w:styleId="8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6" w:customStyle="1">
    <w:name w:val="无格式表格 31"/>
    <w:uiPriority w:val="99"/>
    <w:qFormat/>
    <w:tblPr>
      <w:tblCellMar>
        <w:left w:w="0" w:type="dxa"/>
        <w:top w:w="0" w:type="dxa"/>
        <w:right w:w="0" w:type="dxa"/>
        <w:bottom w:w="0" w:type="dxa"/>
      </w:tblCellMar>
    </w:tblPr>
  </w:style>
  <w:style w:type="table" w:styleId="857" w:customStyle="1">
    <w:name w:val="无格式表格 41"/>
    <w:uiPriority w:val="99"/>
    <w:qFormat/>
    <w:tblPr>
      <w:tblCellMar>
        <w:left w:w="0" w:type="dxa"/>
        <w:top w:w="0" w:type="dxa"/>
        <w:right w:w="0" w:type="dxa"/>
        <w:bottom w:w="0" w:type="dxa"/>
      </w:tblCellMar>
    </w:tblPr>
  </w:style>
  <w:style w:type="table" w:styleId="858" w:customStyle="1">
    <w:name w:val="无格式表格 51"/>
    <w:uiPriority w:val="99"/>
    <w:qFormat/>
    <w:tblPr>
      <w:tblCellMar>
        <w:left w:w="0" w:type="dxa"/>
        <w:top w:w="0" w:type="dxa"/>
        <w:right w:w="0" w:type="dxa"/>
        <w:bottom w:w="0" w:type="dxa"/>
      </w:tblCellMar>
    </w:tblPr>
  </w:style>
  <w:style w:type="table" w:styleId="85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8" w:customStyle="1">
    <w:name w:val="清单表 1 浅色1"/>
    <w:uiPriority w:val="99"/>
    <w:qFormat/>
    <w:tblPr>
      <w:tblCellMar>
        <w:left w:w="0" w:type="dxa"/>
        <w:top w:w="0" w:type="dxa"/>
        <w:right w:w="0" w:type="dxa"/>
        <w:bottom w:w="0" w:type="dxa"/>
      </w:tblCellMar>
    </w:tblPr>
  </w:style>
  <w:style w:type="table" w:styleId="909" w:customStyle="1">
    <w:name w:val="List Table 1 Light - Accent 1"/>
    <w:uiPriority w:val="99"/>
    <w:qFormat/>
    <w:tblPr>
      <w:tblCellMar>
        <w:left w:w="0" w:type="dxa"/>
        <w:top w:w="0" w:type="dxa"/>
        <w:right w:w="0" w:type="dxa"/>
        <w:bottom w:w="0" w:type="dxa"/>
      </w:tblCellMar>
    </w:tblPr>
  </w:style>
  <w:style w:type="table" w:styleId="910" w:customStyle="1">
    <w:name w:val="List Table 1 Light - Accent 2"/>
    <w:uiPriority w:val="99"/>
    <w:qFormat/>
    <w:tblPr>
      <w:tblCellMar>
        <w:left w:w="0" w:type="dxa"/>
        <w:top w:w="0" w:type="dxa"/>
        <w:right w:w="0" w:type="dxa"/>
        <w:bottom w:w="0" w:type="dxa"/>
      </w:tblCellMar>
    </w:tblPr>
  </w:style>
  <w:style w:type="table" w:styleId="911" w:customStyle="1">
    <w:name w:val="List Table 1 Light - Accent 3"/>
    <w:uiPriority w:val="99"/>
    <w:qFormat/>
    <w:tblPr>
      <w:tblCellMar>
        <w:left w:w="0" w:type="dxa"/>
        <w:top w:w="0" w:type="dxa"/>
        <w:right w:w="0" w:type="dxa"/>
        <w:bottom w:w="0" w:type="dxa"/>
      </w:tblCellMar>
    </w:tblPr>
  </w:style>
  <w:style w:type="table" w:styleId="912" w:customStyle="1">
    <w:name w:val="List Table 1 Light - Accent 4"/>
    <w:uiPriority w:val="99"/>
    <w:qFormat/>
    <w:tblPr>
      <w:tblCellMar>
        <w:left w:w="0" w:type="dxa"/>
        <w:top w:w="0" w:type="dxa"/>
        <w:right w:w="0" w:type="dxa"/>
        <w:bottom w:w="0" w:type="dxa"/>
      </w:tblCellMar>
    </w:tblPr>
  </w:style>
  <w:style w:type="table" w:styleId="913" w:customStyle="1">
    <w:name w:val="List Table 1 Light - Accent 5"/>
    <w:uiPriority w:val="99"/>
    <w:qFormat/>
    <w:tblPr>
      <w:tblCellMar>
        <w:left w:w="0" w:type="dxa"/>
        <w:top w:w="0" w:type="dxa"/>
        <w:right w:w="0" w:type="dxa"/>
        <w:bottom w:w="0" w:type="dxa"/>
      </w:tblCellMar>
    </w:tblPr>
  </w:style>
  <w:style w:type="table" w:styleId="914" w:customStyle="1">
    <w:name w:val="List Table 1 Light - Accent 6"/>
    <w:uiPriority w:val="99"/>
    <w:qFormat/>
    <w:tblPr>
      <w:tblCellMar>
        <w:left w:w="0" w:type="dxa"/>
        <w:top w:w="0" w:type="dxa"/>
        <w:right w:w="0" w:type="dxa"/>
        <w:bottom w:w="0" w:type="dxa"/>
      </w:tblCellMar>
    </w:tblPr>
  </w:style>
  <w:style w:type="table" w:styleId="91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7" w:customStyle="1">
    <w:name w:val="Lined - Accent"/>
    <w:uiPriority w:val="99"/>
    <w:qFormat/>
    <w:rPr>
      <w:color w:val="404040"/>
    </w:rPr>
    <w:tblPr>
      <w:tblCellMar>
        <w:left w:w="0" w:type="dxa"/>
        <w:top w:w="0" w:type="dxa"/>
        <w:right w:w="0" w:type="dxa"/>
        <w:bottom w:w="0" w:type="dxa"/>
      </w:tblCellMar>
    </w:tblPr>
  </w:style>
  <w:style w:type="table" w:styleId="958" w:customStyle="1">
    <w:name w:val="Lined - Accent 1"/>
    <w:uiPriority w:val="99"/>
    <w:qFormat/>
    <w:rPr>
      <w:color w:val="404040"/>
    </w:rPr>
    <w:tblPr>
      <w:tblCellMar>
        <w:left w:w="0" w:type="dxa"/>
        <w:top w:w="0" w:type="dxa"/>
        <w:right w:w="0" w:type="dxa"/>
        <w:bottom w:w="0" w:type="dxa"/>
      </w:tblCellMar>
    </w:tblPr>
  </w:style>
  <w:style w:type="table" w:styleId="959" w:customStyle="1">
    <w:name w:val="Lined - Accent 2"/>
    <w:uiPriority w:val="99"/>
    <w:qFormat/>
    <w:rPr>
      <w:color w:val="404040"/>
    </w:rPr>
    <w:tblPr>
      <w:tblCellMar>
        <w:left w:w="0" w:type="dxa"/>
        <w:top w:w="0" w:type="dxa"/>
        <w:right w:w="0" w:type="dxa"/>
        <w:bottom w:w="0" w:type="dxa"/>
      </w:tblCellMar>
    </w:tblPr>
  </w:style>
  <w:style w:type="table" w:styleId="960" w:customStyle="1">
    <w:name w:val="Lined - Accent 3"/>
    <w:uiPriority w:val="99"/>
    <w:qFormat/>
    <w:rPr>
      <w:color w:val="404040"/>
    </w:rPr>
    <w:tblPr>
      <w:tblCellMar>
        <w:left w:w="0" w:type="dxa"/>
        <w:top w:w="0" w:type="dxa"/>
        <w:right w:w="0" w:type="dxa"/>
        <w:bottom w:w="0" w:type="dxa"/>
      </w:tblCellMar>
    </w:tblPr>
  </w:style>
  <w:style w:type="table" w:styleId="961" w:customStyle="1">
    <w:name w:val="Lined - Accent 4"/>
    <w:uiPriority w:val="99"/>
    <w:qFormat/>
    <w:rPr>
      <w:color w:val="404040"/>
    </w:rPr>
    <w:tblPr>
      <w:tblCellMar>
        <w:left w:w="0" w:type="dxa"/>
        <w:top w:w="0" w:type="dxa"/>
        <w:right w:w="0" w:type="dxa"/>
        <w:bottom w:w="0" w:type="dxa"/>
      </w:tblCellMar>
    </w:tblPr>
  </w:style>
  <w:style w:type="table" w:styleId="962" w:customStyle="1">
    <w:name w:val="Lined - Accent 5"/>
    <w:uiPriority w:val="99"/>
    <w:qFormat/>
    <w:rPr>
      <w:color w:val="404040"/>
    </w:rPr>
    <w:tblPr>
      <w:tblCellMar>
        <w:left w:w="0" w:type="dxa"/>
        <w:top w:w="0" w:type="dxa"/>
        <w:right w:w="0" w:type="dxa"/>
        <w:bottom w:w="0" w:type="dxa"/>
      </w:tblCellMar>
    </w:tblPr>
  </w:style>
  <w:style w:type="table" w:styleId="963" w:customStyle="1">
    <w:name w:val="Lined - Accent 6"/>
    <w:uiPriority w:val="99"/>
    <w:qFormat/>
    <w:rPr>
      <w:color w:val="404040"/>
    </w:rPr>
    <w:tblPr>
      <w:tblCellMar>
        <w:left w:w="0" w:type="dxa"/>
        <w:top w:w="0" w:type="dxa"/>
        <w:right w:w="0" w:type="dxa"/>
        <w:bottom w:w="0" w:type="dxa"/>
      </w:tblCellMar>
    </w:tblPr>
  </w:style>
  <w:style w:type="table" w:styleId="96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8" w:customStyle="1">
    <w:name w:val="脚注文本 Char"/>
    <w:link w:val="772"/>
    <w:uiPriority w:val="99"/>
    <w:qFormat/>
    <w:rPr>
      <w:sz w:val="18"/>
    </w:rPr>
  </w:style>
  <w:style w:type="character" w:styleId="979" w:customStyle="1">
    <w:name w:val="尾注文本 Char"/>
    <w:link w:val="762"/>
    <w:uiPriority w:val="99"/>
    <w:qFormat/>
    <w:rPr>
      <w:sz w:val="20"/>
    </w:rPr>
  </w:style>
  <w:style w:type="paragraph" w:styleId="980" w:customStyle="1">
    <w:name w:val="TOC 标题11"/>
    <w:uiPriority w:val="39"/>
    <w:unhideWhenUsed/>
    <w:qFormat/>
    <w:rPr>
      <w:rFonts w:hint="default" w:ascii="Times New Roman" w:hAnsi="Times New Roman" w:eastAsia="宋体" w:cs="Times New Roman"/>
      <w:lang w:val="en-US" w:eastAsia="zh-CN" w:bidi="ar-SA"/>
    </w:rPr>
  </w:style>
  <w:style w:type="character" w:styleId="981" w:customStyle="1">
    <w:name w:val="页眉 Char"/>
    <w:link w:val="768"/>
    <w:uiPriority w:val="0"/>
    <w:qFormat/>
    <w:rPr>
      <w:rFonts w:ascii="Times New Roman" w:hAnsi="Times New Roman" w:eastAsia="楷体_GB2312"/>
      <w:sz w:val="18"/>
      <w:szCs w:val="18"/>
    </w:rPr>
  </w:style>
  <w:style w:type="paragraph" w:styleId="982" w:customStyle="1">
    <w:name w:val="索引 41"/>
    <w:basedOn w:val="738"/>
    <w:next w:val="738"/>
    <w:uiPriority w:val="0"/>
    <w:qFormat/>
    <w:pPr>
      <w:ind w:left="600"/>
    </w:pPr>
    <w:rPr>
      <w:szCs w:val="21"/>
    </w:rPr>
  </w:style>
  <w:style w:type="paragraph" w:styleId="983" w:customStyle="1">
    <w:name w:val="目录 11"/>
    <w:basedOn w:val="738"/>
    <w:next w:val="738"/>
    <w:uiPriority w:val="0"/>
    <w:unhideWhenUsed/>
    <w:qFormat/>
    <w:pPr>
      <w:jc w:val="left"/>
    </w:pPr>
    <w:rPr>
      <w:sz w:val="24"/>
    </w:rPr>
  </w:style>
  <w:style w:type="paragraph" w:styleId="984" w:customStyle="1">
    <w:name w:val="标题 21"/>
    <w:basedOn w:val="738"/>
    <w:next w:val="738"/>
    <w:uiPriority w:val="0"/>
    <w:qFormat/>
    <w:pPr>
      <w:keepLines/>
      <w:keepNext/>
      <w:spacing w:before="260" w:after="260" w:line="416" w:lineRule="auto"/>
      <w:outlineLvl w:val="1"/>
    </w:pPr>
    <w:rPr>
      <w:rFonts w:ascii="Cambria" w:hAnsi="Cambria" w:eastAsia="宋体"/>
      <w:b/>
      <w:bCs/>
      <w:sz w:val="32"/>
      <w:szCs w:val="32"/>
    </w:rPr>
  </w:style>
  <w:style w:type="paragraph" w:styleId="985" w:customStyle="1">
    <w:name w:val="Default"/>
    <w:next w:val="738"/>
    <w:uiPriority w:val="0"/>
    <w:qFormat/>
    <w:pPr>
      <w:widowControl w:val="off"/>
    </w:pPr>
    <w:rPr>
      <w:rFonts w:hint="default" w:ascii="仿宋" w:hAnsi="Times New Roman" w:eastAsia="仿宋" w:cs="仿宋"/>
      <w:color w:val="000000"/>
      <w:sz w:val="24"/>
      <w:szCs w:val="24"/>
      <w:lang w:val="en-US" w:eastAsia="zh-CN" w:bidi="ar-SA"/>
    </w:rPr>
  </w:style>
  <w:style w:type="paragraph" w:styleId="986" w:customStyle="1">
    <w:name w:val="纯文本1111"/>
    <w:basedOn w:val="738"/>
    <w:next w:val="987"/>
    <w:uiPriority w:val="0"/>
    <w:unhideWhenUsed/>
    <w:qFormat/>
    <w:rPr>
      <w:rFonts w:ascii="宋体" w:hAnsi="Courier New"/>
    </w:rPr>
  </w:style>
  <w:style w:type="paragraph" w:styleId="987" w:customStyle="1">
    <w:name w:val="正文缩进1"/>
    <w:basedOn w:val="738"/>
    <w:uiPriority w:val="0"/>
    <w:unhideWhenUsed/>
    <w:qFormat/>
    <w:pPr>
      <w:ind w:firstLine="420"/>
      <w:jc w:val="left"/>
    </w:pPr>
    <w:rPr>
      <w:sz w:val="24"/>
    </w:rPr>
  </w:style>
  <w:style w:type="paragraph" w:styleId="988" w:customStyle="1">
    <w:name w:val="首行缩进"/>
    <w:basedOn w:val="738"/>
    <w:uiPriority w:val="0"/>
    <w:qFormat/>
    <w:pPr>
      <w:ind w:firstLine="480"/>
      <w:spacing w:line="360" w:lineRule="auto"/>
    </w:pPr>
    <w:rPr>
      <w:rFonts w:hAnsi="宋体" w:eastAsia="宋体" w:cs="宋体"/>
      <w:sz w:val="24"/>
      <w:szCs w:val="24"/>
    </w:rPr>
  </w:style>
  <w:style w:type="paragraph" w:styleId="989" w:customStyle="1">
    <w:name w:val="Char"/>
    <w:basedOn w:val="738"/>
    <w:uiPriority w:val="0"/>
    <w:qFormat/>
  </w:style>
  <w:style w:type="paragraph" w:styleId="990" w:customStyle="1">
    <w:name w:val="标题 11"/>
    <w:basedOn w:val="738"/>
    <w:next w:val="738"/>
    <w:uiPriority w:val="0"/>
    <w:qFormat/>
    <w:pPr>
      <w:keepLines/>
      <w:keepNext/>
      <w:spacing w:before="340" w:after="330" w:line="578" w:lineRule="auto"/>
      <w:outlineLvl w:val="0"/>
    </w:pPr>
    <w:rPr>
      <w:b/>
      <w:sz w:val="44"/>
    </w:rPr>
  </w:style>
  <w:style w:type="paragraph" w:styleId="991" w:customStyle="1">
    <w:name w:val="纯文本1"/>
    <w:basedOn w:val="738"/>
    <w:uiPriority w:val="0"/>
    <w:qFormat/>
    <w:rPr>
      <w:rFonts w:ascii="宋体" w:hAnsi="Courier New"/>
    </w:rPr>
  </w:style>
  <w:style w:type="paragraph" w:styleId="992" w:customStyle="1">
    <w:name w:val="正文2"/>
    <w:basedOn w:val="738"/>
    <w:uiPriority w:val="0"/>
    <w:qFormat/>
    <w:pPr>
      <w:ind w:firstLine="510"/>
      <w:spacing w:before="156" w:line="360" w:lineRule="auto"/>
    </w:pPr>
    <w:rPr>
      <w:sz w:val="24"/>
    </w:rPr>
  </w:style>
  <w:style w:type="character" w:styleId="993" w:customStyle="1">
    <w:name w:val="要点1"/>
    <w:uiPriority w:val="0"/>
    <w:qFormat/>
    <w:rPr>
      <w:b/>
      <w:bCs/>
    </w:rPr>
  </w:style>
  <w:style w:type="paragraph" w:styleId="994" w:customStyle="1">
    <w:name w:val="普通(网站)1"/>
    <w:basedOn w:val="738"/>
    <w:uiPriority w:val="0"/>
    <w:unhideWhenUsed/>
    <w:qFormat/>
    <w:pPr>
      <w:jc w:val="left"/>
      <w:spacing w:before="100" w:beforeAutospacing="1" w:after="100" w:afterAutospacing="1"/>
      <w:widowControl/>
    </w:pPr>
    <w:rPr>
      <w:rFonts w:ascii="宋体" w:hAnsi="宋体" w:cs="宋体"/>
      <w:sz w:val="24"/>
    </w:rPr>
  </w:style>
  <w:style w:type="paragraph" w:styleId="995" w:customStyle="1">
    <w:name w:val="正文文本缩进 21"/>
    <w:basedOn w:val="738"/>
    <w:uiPriority w:val="0"/>
    <w:unhideWhenUsed/>
    <w:qFormat/>
    <w:pPr>
      <w:ind w:left="420"/>
      <w:spacing w:after="120" w:line="480" w:lineRule="auto"/>
    </w:pPr>
  </w:style>
  <w:style w:type="paragraph" w:styleId="996" w:customStyle="1">
    <w:name w:val="纯文本11"/>
    <w:basedOn w:val="738"/>
    <w:uiPriority w:val="99"/>
    <w:qFormat/>
    <w:rPr>
      <w:rFonts w:ascii="宋体" w:hAnsi="Courier New"/>
    </w:rPr>
  </w:style>
  <w:style w:type="paragraph" w:styleId="997" w:customStyle="1">
    <w:name w:val="索引 11"/>
    <w:basedOn w:val="738"/>
    <w:next w:val="738"/>
    <w:uiPriority w:val="0"/>
    <w:unhideWhenUsed/>
    <w:qFormat/>
    <w:pPr>
      <w:jc w:val="center"/>
      <w:spacing w:line="220" w:lineRule="exact"/>
    </w:pPr>
    <w:rPr>
      <w:rFonts w:ascii="仿宋_GB2312" w:eastAsia="仿宋_GB2312"/>
      <w:szCs w:val="21"/>
    </w:rPr>
  </w:style>
  <w:style w:type="paragraph" w:styleId="998" w:customStyle="1">
    <w:name w:val="正文文本1"/>
    <w:basedOn w:val="738"/>
    <w:uiPriority w:val="0"/>
    <w:unhideWhenUsed/>
    <w:qFormat/>
    <w:rPr>
      <w:rFonts w:ascii="楷体_GB2312"/>
      <w:b/>
      <w:bCs/>
      <w:sz w:val="28"/>
    </w:rPr>
  </w:style>
  <w:style w:type="paragraph" w:styleId="999" w:customStyle="1">
    <w:name w:val="页眉1"/>
    <w:basedOn w:val="738"/>
    <w:uiPriority w:val="0"/>
    <w:unhideWhenUsed/>
    <w:qFormat/>
    <w:pPr>
      <w:jc w:val="center"/>
      <w:tabs>
        <w:tab w:val="center" w:pos="4153" w:leader="none"/>
        <w:tab w:val="right" w:pos="8306" w:leader="none"/>
      </w:tabs>
      <w:pBdr>
        <w:bottom w:val="single" w:color="000000" w:sz="6" w:space="1"/>
      </w:pBdr>
    </w:pPr>
    <w:rPr>
      <w:sz w:val="18"/>
    </w:rPr>
  </w:style>
  <w:style w:type="paragraph" w:styleId="1000" w:customStyle="1">
    <w:name w:val="页脚1"/>
    <w:basedOn w:val="738"/>
    <w:uiPriority w:val="0"/>
    <w:unhideWhenUsed/>
    <w:qFormat/>
    <w:pPr>
      <w:jc w:val="left"/>
      <w:tabs>
        <w:tab w:val="center" w:pos="4153" w:leader="none"/>
        <w:tab w:val="right" w:pos="8306" w:leader="none"/>
      </w:tabs>
    </w:pPr>
    <w:rPr>
      <w:sz w:val="18"/>
    </w:rPr>
  </w:style>
  <w:style w:type="character" w:styleId="1001" w:customStyle="1">
    <w:name w:val="font81"/>
    <w:uiPriority w:val="0"/>
    <w:qFormat/>
    <w:rPr>
      <w:rFonts w:ascii="Times New Roman" w:hAnsi="Times New Roman" w:cs="Times New Roman"/>
      <w:color w:val="000000"/>
      <w:sz w:val="22"/>
      <w:szCs w:val="22"/>
      <w:u w:val="none"/>
    </w:rPr>
  </w:style>
  <w:style w:type="character" w:styleId="1002" w:customStyle="1">
    <w:name w:val="font11"/>
    <w:uiPriority w:val="0"/>
    <w:qFormat/>
    <w:rPr>
      <w:rFonts w:hint="eastAsia" w:ascii="仿宋" w:hAnsi="仿宋" w:eastAsia="仿宋" w:cs="仿宋"/>
      <w:color w:val="000000"/>
      <w:sz w:val="22"/>
      <w:szCs w:val="22"/>
      <w:u w:val="none"/>
    </w:rPr>
  </w:style>
  <w:style w:type="character" w:styleId="1003" w:customStyle="1">
    <w:name w:val="font101"/>
    <w:uiPriority w:val="0"/>
    <w:qFormat/>
    <w:rPr>
      <w:rFonts w:ascii="Arial" w:hAnsi="Arial" w:cs="Arial"/>
      <w:color w:val="000000"/>
      <w:sz w:val="22"/>
      <w:szCs w:val="22"/>
      <w:u w:val="none"/>
    </w:rPr>
  </w:style>
  <w:style w:type="paragraph" w:styleId="1004" w:customStyle="1">
    <w:name w:val="List Paragraph_f0420307-4c65-4cf4-ac34-e8950b7bacb1"/>
    <w:basedOn w:val="738"/>
    <w:uiPriority w:val="0"/>
    <w:qFormat/>
    <w:pPr>
      <w:ind w:firstLine="420"/>
    </w:pPr>
    <w:rPr>
      <w:rFonts w:eastAsia="宋体"/>
      <w:sz w:val="21"/>
      <w:szCs w:val="21"/>
    </w:rPr>
  </w:style>
  <w:style w:type="character" w:styleId="1005" w:customStyle="1">
    <w:name w:val="font51"/>
    <w:basedOn w:val="748"/>
    <w:uiPriority w:val="0"/>
    <w:qFormat/>
    <w:rPr>
      <w:rFonts w:hint="default" w:ascii="Times New Roman" w:hAnsi="Times New Roman" w:cs="Times New Roman"/>
      <w:color w:val="000000"/>
      <w:sz w:val="21"/>
      <w:szCs w:val="21"/>
      <w:u w:val="none"/>
    </w:rPr>
  </w:style>
  <w:style w:type="character" w:styleId="1006" w:customStyle="1">
    <w:name w:val="font31"/>
    <w:basedOn w:val="748"/>
    <w:uiPriority w:val="0"/>
    <w:qFormat/>
    <w:rPr>
      <w:rFonts w:hint="eastAsia" w:ascii="宋体" w:hAnsi="宋体" w:eastAsia="宋体" w:cs="宋体"/>
      <w:color w:val="000000"/>
      <w:sz w:val="21"/>
      <w:szCs w:val="21"/>
      <w:u w:val="none"/>
    </w:rPr>
  </w:style>
  <w:style w:type="character" w:styleId="1007" w:customStyle="1">
    <w:name w:val="font21"/>
    <w:basedOn w:val="748"/>
    <w:uiPriority w:val="0"/>
    <w:qFormat/>
    <w:rPr>
      <w:rFonts w:hint="default" w:ascii="Times New Roman" w:hAnsi="Times New Roman" w:cs="Times New Roman"/>
      <w:color w:val="000000"/>
      <w:sz w:val="21"/>
      <w:szCs w:val="21"/>
      <w:u w:val="none"/>
    </w:rPr>
  </w:style>
  <w:style w:type="character" w:styleId="1008" w:customStyle="1">
    <w:name w:val="font61"/>
    <w:basedOn w:val="748"/>
    <w:uiPriority w:val="0"/>
    <w:qFormat/>
    <w:rPr>
      <w:rFonts w:hint="eastAsia" w:ascii="宋体" w:hAnsi="宋体" w:eastAsia="宋体" w:cs="宋体"/>
      <w:color w:val="000000"/>
      <w:sz w:val="21"/>
      <w:szCs w:val="21"/>
      <w:u w:val="none"/>
    </w:rPr>
  </w:style>
  <w:style w:type="character" w:styleId="1009" w:customStyle="1">
    <w:name w:val="font41"/>
    <w:basedOn w:val="748"/>
    <w:uiPriority w:val="0"/>
    <w:qFormat/>
    <w:rPr>
      <w:rFonts w:hint="default" w:ascii="Times New Roman" w:hAnsi="Times New Roman" w:cs="Times New Roman"/>
      <w:color w:val="000000"/>
      <w:sz w:val="20"/>
      <w:szCs w:val="20"/>
      <w:u w:val="none"/>
    </w:rPr>
  </w:style>
  <w:style w:type="character" w:styleId="1010" w:customStyle="1">
    <w:name w:val="批注框文本 Char"/>
    <w:basedOn w:val="748"/>
    <w:link w:val="763"/>
    <w:uiPriority w:val="99"/>
    <w:semiHidden/>
    <w:qFormat/>
    <w:rPr>
      <w:rFonts w:eastAsia="楷体_GB2312"/>
      <w:sz w:val="18"/>
      <w:szCs w:val="18"/>
    </w:rPr>
  </w:style>
  <w:style w:type="table" w:styleId="1011" w:customStyle="1">
    <w:name w:val="Table Normal"/>
    <w:uiPriority w:val="0"/>
    <w:unhideWhenUsed/>
    <w:qFormat/>
    <w:tblPr>
      <w:tblCellMar>
        <w:left w:w="0" w:type="dxa"/>
        <w:top w:w="0" w:type="dxa"/>
        <w:right w:w="0" w:type="dxa"/>
        <w:bottom w:w="0" w:type="dxa"/>
      </w:tblCellMar>
    </w:tblPr>
  </w:style>
  <w:style w:type="paragraph" w:styleId="1012" w:customStyle="1">
    <w:name w:val="样式 首行缩进:  2 字符"/>
    <w:basedOn w:val="738"/>
    <w:link w:val="1013"/>
    <w:uiPriority w:val="0"/>
    <w:qFormat/>
    <w:pPr>
      <w:ind w:firstLine="480"/>
      <w:spacing w:line="360" w:lineRule="auto"/>
    </w:pPr>
    <w:rPr>
      <w:rFonts w:eastAsia="宋体"/>
      <w:sz w:val="24"/>
    </w:rPr>
  </w:style>
  <w:style w:type="character" w:styleId="1013" w:customStyle="1">
    <w:name w:val="样式 首行缩进:  2 字符 Char Char"/>
    <w:link w:val="1012"/>
    <w:uiPriority w:val="0"/>
    <w:qFormat/>
    <w:rPr>
      <w:sz w:val="24"/>
    </w:rPr>
  </w:style>
  <w:style w:type="character" w:styleId="1014" w:customStyle="1">
    <w:name w:val="批注文字 Char"/>
    <w:basedOn w:val="748"/>
    <w:link w:val="753"/>
    <w:uiPriority w:val="99"/>
    <w:semiHidden/>
    <w:qFormat/>
    <w:rPr>
      <w:rFonts w:eastAsia="楷体_GB2312"/>
      <w:sz w:val="26"/>
    </w:rPr>
  </w:style>
  <w:style w:type="paragraph" w:styleId="1015"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Normal_16_1"/>
    <w:uiPriority w:val="0"/>
    <w:qFormat/>
    <w:rPr>
      <w:rFonts w:hint="default" w:ascii="宋体" w:hAnsi="宋体" w:eastAsia="宋体" w:cs="Times New Roman"/>
      <w:sz w:val="32"/>
      <w:szCs w:val="24"/>
      <w:lang w:val="en-US" w:eastAsia="zh-CN" w:bidi="ar-SA"/>
    </w:rPr>
  </w:style>
  <w:style w:type="paragraph" w:styleId="1017"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20" w:customStyle="1">
    <w:name w:val="列出段落_2"/>
    <w:basedOn w:val="1018"/>
    <w:uiPriority w:val="34"/>
    <w:qFormat/>
    <w:pPr>
      <w:ind w:firstLine="420"/>
    </w:pPr>
  </w:style>
  <w:style w:type="paragraph" w:styleId="1021" w:customStyle="1">
    <w:name w:val="Other|1"/>
    <w:basedOn w:val="738"/>
    <w:uiPriority w:val="0"/>
    <w:qFormat/>
    <w:rPr>
      <w:rFonts w:ascii="宋体" w:hAnsi="宋体" w:eastAsia="宋体" w:cs="宋体"/>
      <w:sz w:val="21"/>
      <w:lang w:val="zh-TW" w:eastAsia="zh-TW" w:bidi="zh-TW"/>
    </w:rPr>
  </w:style>
  <w:style w:type="paragraph" w:styleId="1022" w:customStyle="1">
    <w:name w:val="列表段落"/>
    <w:basedOn w:val="738"/>
    <w:uiPriority w:val="34"/>
    <w:qFormat/>
    <w:pPr>
      <w:ind w:firstLine="420"/>
    </w:pPr>
  </w:style>
  <w:style w:type="paragraph" w:styleId="1023" w:customStyle="1">
    <w:name w:val="正文文本11"/>
    <w:basedOn w:val="738"/>
    <w:next w:val="738"/>
    <w:uiPriority w:val="0"/>
    <w:qFormat/>
    <w:rPr>
      <w:rFonts w:ascii="仿宋_GB2312" w:eastAsia="仿宋_GB2312"/>
    </w:rPr>
  </w:style>
  <w:style w:type="paragraph" w:styleId="1024" w:customStyle="1">
    <w:name w:val="列出段落11"/>
    <w:basedOn w:val="738"/>
    <w:uiPriority w:val="0"/>
    <w:qFormat/>
    <w:pPr>
      <w:contextualSpacing/>
      <w:ind w:left="720"/>
      <w:jc w:val="left"/>
      <w:widowControl/>
    </w:pPr>
    <w:rPr>
      <w:rFonts w:ascii="Calibri" w:hAnsi="Calibri"/>
      <w:lang w:eastAsia="en-US" w:bidi="en-US"/>
    </w:rPr>
  </w:style>
  <w:style w:type="paragraph" w:styleId="1025" w:customStyle="1">
    <w:name w:val="Normal_10_0"/>
    <w:uiPriority w:val="0"/>
    <w:qFormat/>
    <w:rPr>
      <w:rFonts w:hint="default" w:ascii="黑体" w:hAnsi="黑体" w:eastAsia="黑体" w:cs="Times New Roman"/>
      <w:b/>
      <w:sz w:val="32"/>
      <w:szCs w:val="24"/>
      <w:lang w:val="en-US" w:eastAsia="zh-CN" w:bidi="ar-SA"/>
    </w:rPr>
  </w:style>
  <w:style w:type="paragraph" w:styleId="1026" w:customStyle="1">
    <w:name w:val="Table Text"/>
    <w:basedOn w:val="738"/>
    <w:uiPriority w:val="0"/>
    <w:semiHidden/>
    <w:qFormat/>
    <w:rPr>
      <w:rFonts w:ascii="宋体" w:hAnsi="宋体" w:cs="宋体"/>
      <w:sz w:val="28"/>
      <w:szCs w:val="28"/>
      <w:lang w:eastAsia="en-US"/>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王苏琪</cp:lastModifiedBy>
  <cp:revision>8</cp:revision>
  <dcterms:created xsi:type="dcterms:W3CDTF">2026-08-14T07:04:00Z</dcterms:created>
  <dcterms:modified xsi:type="dcterms:W3CDTF">2026-09-14T10:28:16Z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29FAA6577D4344B8ABD9D9AE1C0843B6_13</vt:lpwstr>
  </property>
  <property fmtid="{D5CDD505-2E9C-101B-9397-08002B2CF9AE}" pid="4" name="KSOTemplateDocerSaveRecord">
    <vt:lpwstr>eyJoZGlkIjoiMjE0MDljMGE0NTFiMjgwNzE0MTFjYTE5MDRjYjY2NTkiLCJ1c2VySWQiOiIyMzI1ODEzMTAifQ==</vt:lpwstr>
  </property>
</Properties>
</file>