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napToGrid w:val="0"/>
        <w:spacing w:line="440" w:lineRule="exact"/>
        <w:ind w:firstLine="562" w:firstLineChars="200"/>
        <w:jc w:val="center"/>
        <w:rPr>
          <w:rFonts w:hAnsi="宋体" w:cs="宋体"/>
          <w:b/>
          <w:bCs/>
          <w:color w:val="auto"/>
          <w:sz w:val="28"/>
          <w:szCs w:val="28"/>
          <w:highlight w:val="none"/>
        </w:rPr>
      </w:pPr>
      <w:bookmarkStart w:id="0" w:name="_GoBack"/>
      <w:bookmarkEnd w:id="0"/>
      <w:r>
        <w:rPr>
          <w:rFonts w:hint="eastAsia" w:hAnsi="宋体" w:cs="宋体"/>
          <w:b/>
          <w:bCs/>
          <w:color w:val="auto"/>
          <w:sz w:val="28"/>
          <w:szCs w:val="28"/>
          <w:highlight w:val="none"/>
        </w:rPr>
        <w:t>政府采购合同（货物)</w:t>
      </w:r>
    </w:p>
    <w:p>
      <w:pPr>
        <w:pStyle w:val="2"/>
        <w:spacing w:line="440" w:lineRule="exact"/>
        <w:rPr>
          <w:rFonts w:ascii="宋体" w:hAnsi="宋体" w:cs="宋体"/>
          <w:color w:val="auto"/>
          <w:szCs w:val="21"/>
          <w:highlight w:val="none"/>
        </w:rPr>
      </w:pPr>
    </w:p>
    <w:p>
      <w:pPr>
        <w:pStyle w:val="14"/>
        <w:spacing w:line="360" w:lineRule="auto"/>
        <w:ind w:firstLine="420"/>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rPr>
        <w:t>项目名称：扬州大学附属医院固体饮料及复配食品添加剂采购项目</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二次</w:t>
      </w:r>
      <w:r>
        <w:rPr>
          <w:rFonts w:hint="eastAsia" w:hAnsi="宋体" w:eastAsia="宋体" w:cs="宋体"/>
          <w:color w:val="auto"/>
          <w:sz w:val="21"/>
          <w:szCs w:val="21"/>
          <w:highlight w:val="none"/>
          <w:lang w:eastAsia="zh-CN"/>
        </w:rPr>
        <w:t>）</w:t>
      </w:r>
    </w:p>
    <w:p>
      <w:pPr>
        <w:pStyle w:val="14"/>
        <w:spacing w:line="360" w:lineRule="auto"/>
        <w:ind w:firstLine="420"/>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rPr>
        <w:t>项目编号：JSZC-320000-YZDC-G2026-0004</w:t>
      </w:r>
      <w:r>
        <w:rPr>
          <w:rFonts w:hint="eastAsia" w:hAnsi="宋体" w:eastAsia="宋体" w:cs="宋体"/>
          <w:color w:val="auto"/>
          <w:sz w:val="21"/>
          <w:szCs w:val="21"/>
          <w:highlight w:val="none"/>
          <w:lang w:val="en-US" w:eastAsia="zh-CN"/>
        </w:rPr>
        <w:t>号</w:t>
      </w:r>
    </w:p>
    <w:p>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审计编号：YDFYCGZX-后勤物资2026026</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甲方：（买方）扬州大学附属医院</w:t>
      </w:r>
    </w:p>
    <w:p>
      <w:pPr>
        <w:pStyle w:val="14"/>
        <w:spacing w:line="360" w:lineRule="auto"/>
        <w:ind w:firstLine="420"/>
        <w:rPr>
          <w:rFonts w:hint="default" w:hAnsi="宋体" w:eastAsia="宋体" w:cs="宋体"/>
          <w:color w:val="auto"/>
          <w:sz w:val="21"/>
          <w:szCs w:val="21"/>
          <w:highlight w:val="none"/>
          <w:u w:val="single"/>
          <w:lang w:val="en-US" w:eastAsia="zh-CN"/>
        </w:rPr>
      </w:pPr>
      <w:r>
        <w:rPr>
          <w:rFonts w:hint="eastAsia" w:hAnsi="宋体" w:eastAsia="宋体" w:cs="宋体"/>
          <w:color w:val="auto"/>
          <w:sz w:val="21"/>
          <w:szCs w:val="21"/>
          <w:highlight w:val="none"/>
        </w:rPr>
        <w:t>乙方：（卖方）</w:t>
      </w:r>
      <w:r>
        <w:rPr>
          <w:rFonts w:hint="eastAsia" w:hAnsi="宋体" w:eastAsia="宋体" w:cs="宋体"/>
          <w:color w:val="auto"/>
          <w:sz w:val="21"/>
          <w:szCs w:val="21"/>
          <w:highlight w:val="none"/>
          <w:u w:val="single"/>
          <w:lang w:val="en-US" w:eastAsia="zh-CN"/>
        </w:rPr>
        <w:t xml:space="preserve">扬州瑞吉医疗科技有限公司 </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甲、乙双方根据</w:t>
      </w:r>
      <w:r>
        <w:rPr>
          <w:rFonts w:hint="eastAsia" w:hAnsi="宋体" w:eastAsia="宋体" w:cs="宋体"/>
          <w:color w:val="auto"/>
          <w:sz w:val="21"/>
          <w:szCs w:val="21"/>
          <w:highlight w:val="none"/>
          <w:lang w:eastAsia="zh-CN"/>
        </w:rPr>
        <w:t>江苏省鼎诚建设工程顾问有限公司</w:t>
      </w:r>
      <w:r>
        <w:rPr>
          <w:rFonts w:hint="eastAsia" w:hAnsi="宋体" w:eastAsia="宋体" w:cs="宋体"/>
          <w:color w:val="auto"/>
          <w:sz w:val="21"/>
          <w:szCs w:val="21"/>
          <w:highlight w:val="none"/>
        </w:rPr>
        <w:t>公开招标的结果，签署本合同。</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一、货物及伴随服务</w:t>
      </w:r>
    </w:p>
    <w:p>
      <w:pPr>
        <w:pStyle w:val="14"/>
        <w:spacing w:line="360" w:lineRule="auto"/>
        <w:ind w:firstLine="420"/>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rPr>
        <w:t>1.1 货物及服务名称：固体饮料及复配食品添加剂</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采购包2：特殊人群固体饮料包</w:t>
      </w:r>
      <w:r>
        <w:rPr>
          <w:rFonts w:hint="eastAsia" w:hAnsi="宋体" w:eastAsia="宋体" w:cs="宋体"/>
          <w:color w:val="auto"/>
          <w:sz w:val="21"/>
          <w:szCs w:val="21"/>
          <w:highlight w:val="none"/>
          <w:lang w:eastAsia="zh-CN"/>
        </w:rPr>
        <w:t>）</w:t>
      </w:r>
    </w:p>
    <w:p>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rPr>
        <w:t>1.2 型号规格：</w:t>
      </w:r>
      <w:r>
        <w:rPr>
          <w:rFonts w:hint="eastAsia" w:hAnsi="宋体" w:eastAsia="宋体" w:cs="宋体"/>
          <w:color w:val="auto"/>
          <w:sz w:val="21"/>
          <w:szCs w:val="21"/>
          <w:highlight w:val="none"/>
          <w:lang w:val="en-US" w:eastAsia="zh-CN"/>
        </w:rPr>
        <w:t>详见投标文件</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 数量（单位）</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二、合同金额</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2.1 本合同金额为（大写）：人民币</w:t>
      </w:r>
      <w:r>
        <w:rPr>
          <w:rFonts w:hint="eastAsia" w:hAnsi="宋体" w:eastAsia="宋体" w:cs="宋体"/>
          <w:color w:val="auto"/>
          <w:sz w:val="21"/>
          <w:szCs w:val="21"/>
          <w:highlight w:val="none"/>
          <w:u w:val="single"/>
          <w:lang w:val="en-US" w:eastAsia="zh-CN"/>
        </w:rPr>
        <w:t>柒拾万壹仟陆佰伍拾贰</w:t>
      </w:r>
      <w:r>
        <w:rPr>
          <w:rFonts w:hint="eastAsia" w:hAnsi="宋体" w:eastAsia="宋体" w:cs="宋体"/>
          <w:color w:val="auto"/>
          <w:sz w:val="21"/>
          <w:szCs w:val="21"/>
          <w:highlight w:val="none"/>
          <w:lang w:val="en-US" w:eastAsia="zh-CN"/>
        </w:rPr>
        <w:t>元整</w:t>
      </w:r>
      <w:r>
        <w:rPr>
          <w:rFonts w:hint="eastAsia" w:hAnsi="宋体" w:eastAsia="宋体" w:cs="宋体"/>
          <w:color w:val="auto"/>
          <w:sz w:val="21"/>
          <w:szCs w:val="21"/>
          <w:highlight w:val="none"/>
        </w:rPr>
        <w:t>（</w:t>
      </w:r>
      <w:r>
        <w:rPr>
          <w:rFonts w:hint="default" w:ascii="Arial" w:hAnsi="Arial" w:eastAsia="宋体" w:cs="Arial"/>
          <w:color w:val="auto"/>
          <w:sz w:val="21"/>
          <w:szCs w:val="21"/>
          <w:highlight w:val="none"/>
        </w:rPr>
        <w:t>¥</w:t>
      </w:r>
      <w:r>
        <w:rPr>
          <w:rFonts w:hint="eastAsia" w:hAnsi="宋体" w:eastAsia="宋体" w:cs="宋体"/>
          <w:color w:val="auto"/>
          <w:sz w:val="21"/>
          <w:szCs w:val="21"/>
          <w:highlight w:val="none"/>
          <w:u w:val="single"/>
          <w:lang w:val="en-US" w:eastAsia="zh-CN"/>
        </w:rPr>
        <w:t>701652.00</w:t>
      </w:r>
      <w:r>
        <w:rPr>
          <w:rFonts w:hint="eastAsia" w:hAnsi="宋体" w:eastAsia="宋体" w:cs="宋体"/>
          <w:color w:val="auto"/>
          <w:sz w:val="21"/>
          <w:szCs w:val="21"/>
          <w:highlight w:val="none"/>
        </w:rPr>
        <w:t>）。</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三、技术资料</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3.1乙方应按招标文件规定的时间向甲方提供使用货物及服务的有关技术资料。</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四、知识产权</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4.1乙方应保证甲方在使用、接受本合同货物及服务或其任何一部分时不受第三方提出侵犯其专利权、版权、商标权和工业设计权等知识产权的起诉。一旦出现侵权，由乙方负全部责任。</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五、产权担保</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5.1 乙方保证所交付的货物及服务的所有权完全属于乙方且无任何抵押、查封等产权瑕疵。</w:t>
      </w:r>
    </w:p>
    <w:p>
      <w:pPr>
        <w:pStyle w:val="14"/>
        <w:spacing w:line="360" w:lineRule="auto"/>
        <w:ind w:firstLine="422"/>
        <w:rPr>
          <w:rFonts w:hAnsi="宋体" w:eastAsia="宋体" w:cs="宋体"/>
          <w:color w:val="auto"/>
          <w:sz w:val="21"/>
          <w:szCs w:val="21"/>
          <w:highlight w:val="none"/>
        </w:rPr>
      </w:pPr>
      <w:r>
        <w:rPr>
          <w:rFonts w:hint="eastAsia" w:hAnsi="宋体" w:eastAsia="宋体" w:cs="宋体"/>
          <w:b/>
          <w:bCs/>
          <w:color w:val="auto"/>
          <w:sz w:val="21"/>
          <w:szCs w:val="21"/>
          <w:highlight w:val="none"/>
        </w:rPr>
        <w:t>六、履约保证金</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6.1乙方在签订合同前须缴纳合同款</w:t>
      </w:r>
      <w:r>
        <w:rPr>
          <w:rFonts w:hint="eastAsia" w:hAnsi="宋体" w:eastAsia="宋体" w:cs="宋体"/>
          <w:color w:val="auto"/>
          <w:sz w:val="21"/>
          <w:szCs w:val="21"/>
          <w:highlight w:val="none"/>
          <w:lang w:val="en-US" w:eastAsia="zh-CN"/>
        </w:rPr>
        <w:t>10</w:t>
      </w:r>
      <w:r>
        <w:rPr>
          <w:rFonts w:hint="eastAsia" w:hAnsi="宋体" w:eastAsia="宋体" w:cs="宋体"/>
          <w:color w:val="auto"/>
          <w:sz w:val="21"/>
          <w:szCs w:val="21"/>
          <w:highlight w:val="none"/>
        </w:rPr>
        <w:t>%作为履约保证金至甲方指定账户。履约保证金用以约束乙方在合同履行中的行为，弥补合同执行中由于自身行为可能给甲方带来的各种损失。如果乙方不同意按照规定去做，甲方有权取消本次采购中标决定。</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6.2履约保证金的退还：履约保证金在合作期满后7个工作日内退还，不计利息。乙方凭甲方人签署的项目验收单或项目验收报告、履约保证金收据原件，前往甲方处办理保证金退还手续。</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6.3有下列情形之一的，履约保证金不予退还:</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（1）签订合同后甲方发现乙方在响应文件中提供虚假材料的；</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（2）乙方与甲方、其他供应商或者采购代理机构恶意串通的；</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（3）将成交项目转让给他人，或者在投标文件中未说明，且未经甲方同意，将成交项目分包给他人的；</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（4）除因不可抗力或招标文件认可的情形以外，中标供应商不与采购人签订合同的；</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（5）签订合同后因乙方原因无法履行合同或者拒绝履行合同义务的。</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七、转包或分包</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7.1本合同范围的货物及服务，应由乙方直接供应，不得转让他人供应；</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7.2 除非得到甲方的书面同意，乙方不得部分分包给他人供应。</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7.3如有转让和未经甲方同意的分包行为，甲方有权给予终止合同。</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八、质保期</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8.1 质保期</w:t>
      </w:r>
      <w:r>
        <w:rPr>
          <w:rFonts w:hint="eastAsia" w:hAnsi="宋体" w:eastAsia="宋体" w:cs="宋体"/>
          <w:color w:val="auto"/>
          <w:sz w:val="21"/>
          <w:szCs w:val="21"/>
          <w:highlight w:val="none"/>
          <w:lang w:val="en-US" w:eastAsia="zh-CN"/>
        </w:rPr>
        <w:t>至少</w:t>
      </w:r>
      <w:r>
        <w:rPr>
          <w:rFonts w:hint="eastAsia" w:hAnsi="宋体" w:eastAsia="宋体" w:cs="宋体"/>
          <w:color w:val="auto"/>
          <w:sz w:val="21"/>
          <w:szCs w:val="21"/>
          <w:highlight w:val="none"/>
        </w:rPr>
        <w:t>1年。（自交货验收合格之日起计）</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九、交付期、交付方式及交付地点</w:t>
      </w:r>
    </w:p>
    <w:p>
      <w:pPr>
        <w:pStyle w:val="14"/>
        <w:spacing w:line="360" w:lineRule="auto"/>
        <w:ind w:firstLine="420"/>
        <w:rPr>
          <w:rFonts w:hAnsi="宋体" w:eastAsia="宋体" w:cs="宋体"/>
          <w:color w:val="auto"/>
          <w:sz w:val="21"/>
          <w:szCs w:val="21"/>
          <w:highlight w:val="none"/>
          <w:u w:val="single"/>
        </w:rPr>
      </w:pPr>
      <w:r>
        <w:rPr>
          <w:rFonts w:hint="eastAsia" w:hAnsi="宋体" w:eastAsia="宋体" w:cs="宋体"/>
          <w:color w:val="auto"/>
          <w:sz w:val="21"/>
          <w:szCs w:val="21"/>
          <w:highlight w:val="none"/>
        </w:rPr>
        <w:t xml:space="preserve">9.1 </w:t>
      </w:r>
      <w:r>
        <w:rPr>
          <w:rFonts w:hint="eastAsia" w:hAnsi="宋体" w:eastAsia="宋体" w:cs="宋体"/>
          <w:color w:val="auto"/>
          <w:sz w:val="21"/>
          <w:szCs w:val="21"/>
          <w:highlight w:val="none"/>
          <w:lang w:eastAsia="zh-CN"/>
        </w:rPr>
        <w:t>合同履行期限：</w:t>
      </w:r>
      <w:r>
        <w:rPr>
          <w:rFonts w:hint="eastAsia" w:hAnsi="宋体" w:eastAsia="宋体" w:cs="宋体"/>
          <w:color w:val="auto"/>
          <w:sz w:val="21"/>
          <w:szCs w:val="21"/>
          <w:highlight w:val="none"/>
          <w:u w:val="single"/>
          <w:lang w:eastAsia="zh-CN"/>
        </w:rPr>
        <w:t>自合同签订之日起至2026年12月31日</w:t>
      </w:r>
    </w:p>
    <w:p>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9.2交货时间：</w:t>
      </w:r>
      <w:r>
        <w:rPr>
          <w:rFonts w:hint="eastAsia" w:hAnsi="宋体" w:eastAsia="宋体" w:cs="宋体"/>
          <w:color w:val="auto"/>
          <w:sz w:val="21"/>
          <w:szCs w:val="21"/>
          <w:highlight w:val="none"/>
          <w:u w:val="single"/>
          <w:lang w:val="en-US" w:eastAsia="zh-CN"/>
        </w:rPr>
        <w:t>医院采购中心发出订货通知5天内。</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9.</w:t>
      </w:r>
      <w:r>
        <w:rPr>
          <w:rFonts w:hint="eastAsia" w:hAnsi="宋体" w:eastAsia="宋体" w:cs="宋体"/>
          <w:color w:val="auto"/>
          <w:sz w:val="21"/>
          <w:szCs w:val="21"/>
          <w:highlight w:val="none"/>
          <w:lang w:val="en-US" w:eastAsia="zh-CN"/>
        </w:rPr>
        <w:t>3</w:t>
      </w:r>
      <w:r>
        <w:rPr>
          <w:rFonts w:hint="eastAsia" w:hAnsi="宋体" w:eastAsia="宋体" w:cs="宋体"/>
          <w:color w:val="auto"/>
          <w:sz w:val="21"/>
          <w:szCs w:val="21"/>
          <w:highlight w:val="none"/>
        </w:rPr>
        <w:t xml:space="preserve"> 交付方式：</w:t>
      </w:r>
      <w:r>
        <w:rPr>
          <w:rFonts w:hint="eastAsia" w:hAnsi="宋体" w:eastAsia="宋体" w:cs="宋体"/>
          <w:color w:val="auto"/>
          <w:sz w:val="21"/>
          <w:szCs w:val="21"/>
          <w:highlight w:val="none"/>
          <w:u w:val="single"/>
        </w:rPr>
        <w:t>甲方指定方式</w:t>
      </w:r>
    </w:p>
    <w:p>
      <w:pPr>
        <w:pStyle w:val="14"/>
        <w:spacing w:line="360" w:lineRule="auto"/>
        <w:ind w:firstLine="420"/>
        <w:rPr>
          <w:rFonts w:hAnsi="宋体" w:eastAsia="宋体" w:cs="宋体"/>
          <w:color w:val="auto"/>
          <w:sz w:val="21"/>
          <w:szCs w:val="21"/>
          <w:highlight w:val="none"/>
          <w:u w:val="single"/>
        </w:rPr>
      </w:pPr>
      <w:r>
        <w:rPr>
          <w:rFonts w:hint="eastAsia" w:hAnsi="宋体" w:eastAsia="宋体" w:cs="宋体"/>
          <w:color w:val="auto"/>
          <w:sz w:val="21"/>
          <w:szCs w:val="21"/>
          <w:highlight w:val="none"/>
        </w:rPr>
        <w:t>9.</w:t>
      </w:r>
      <w:r>
        <w:rPr>
          <w:rFonts w:hint="eastAsia" w:hAnsi="宋体" w:eastAsia="宋体" w:cs="宋体"/>
          <w:color w:val="auto"/>
          <w:sz w:val="21"/>
          <w:szCs w:val="21"/>
          <w:highlight w:val="none"/>
          <w:lang w:val="en-US" w:eastAsia="zh-CN"/>
        </w:rPr>
        <w:t>4</w:t>
      </w:r>
      <w:r>
        <w:rPr>
          <w:rFonts w:hint="eastAsia" w:hAnsi="宋体" w:eastAsia="宋体" w:cs="宋体"/>
          <w:color w:val="auto"/>
          <w:sz w:val="21"/>
          <w:szCs w:val="21"/>
          <w:highlight w:val="none"/>
        </w:rPr>
        <w:t xml:space="preserve"> 交付地点：</w:t>
      </w:r>
      <w:r>
        <w:rPr>
          <w:rFonts w:hint="eastAsia" w:hAnsi="宋体" w:eastAsia="宋体" w:cs="宋体"/>
          <w:color w:val="auto"/>
          <w:sz w:val="21"/>
          <w:szCs w:val="21"/>
          <w:highlight w:val="none"/>
          <w:u w:val="single"/>
        </w:rPr>
        <w:t>甲方指定地点</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十、货款支付</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 xml:space="preserve">10.1 本合同项下所有款项均以人民币支付。 </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10.2 本合同项下的采购资金由甲方支付，付款前乙方向甲方开具发票。</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10.3 甲方付款方式：</w:t>
      </w:r>
    </w:p>
    <w:p>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合同生效后，乙方按甲方需求即时配送，并将商品送到甲方指定地点，经甲方指定人员验收，验收合格的可在一个月内结算费用。每次结算金额以甲方签收入库的供应数量*合同单价计算，乙方必须提供甲方的验收单及开具的正规增值税发票等材料交甲方办理付款手续，甲方凭手续齐全的单据支付该批次货款。</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十一、税费</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11.1本合同执行中相关的一切税费均由乙方负担。</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十二、质量保证及售后服务</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12.1 乙方应按招标文件规定的货物及服务性能、技术要求、质量标准向甲方提供。</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12.2 乙方提供的货物及服务在质量期内因服务及产品本身的质量问题发生故障，乙方应负责免费更换。对达不到技术要求者，根据实际情况，经双方协商，可按以下办法处理：</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⑴更换：由乙方承担所发生的全部费用。</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⑵贬值处理：由甲乙双方合议定价。</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⑶退还处理：乙方应退还甲方支付的合同款，同时应承担该货物及服务的直接费用（运输、保险、检验、款项利息及银行手续费等）。</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12.3 如在使用过程中发生质量问题，乙方在接到甲方通知后在</w:t>
      </w:r>
      <w:r>
        <w:rPr>
          <w:rFonts w:hint="eastAsia" w:hAnsi="宋体" w:eastAsia="宋体" w:cs="宋体"/>
          <w:color w:val="auto"/>
          <w:sz w:val="21"/>
          <w:szCs w:val="21"/>
          <w:highlight w:val="none"/>
          <w:lang w:val="en-US" w:eastAsia="zh-CN"/>
        </w:rPr>
        <w:t>24</w:t>
      </w:r>
      <w:r>
        <w:rPr>
          <w:rFonts w:hint="eastAsia" w:hAnsi="宋体" w:eastAsia="宋体" w:cs="宋体"/>
          <w:color w:val="auto"/>
          <w:sz w:val="21"/>
          <w:szCs w:val="21"/>
          <w:highlight w:val="none"/>
        </w:rPr>
        <w:t>小时内到达甲方现场。</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12.4 在质保期内，乙方应对货物及服务出现的质量及安全问题负责处理解决并承担一切费用。</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12.5上述的货物及服务免费保修期为</w:t>
      </w:r>
      <w:r>
        <w:rPr>
          <w:rFonts w:hint="eastAsia" w:hAnsi="宋体" w:eastAsia="宋体" w:cs="宋体"/>
          <w:color w:val="auto"/>
          <w:sz w:val="21"/>
          <w:szCs w:val="21"/>
          <w:highlight w:val="none"/>
          <w:lang w:val="en-US" w:eastAsia="zh-CN"/>
        </w:rPr>
        <w:t>2</w:t>
      </w:r>
      <w:r>
        <w:rPr>
          <w:rFonts w:hint="eastAsia" w:hAnsi="宋体" w:eastAsia="宋体" w:cs="宋体"/>
          <w:color w:val="auto"/>
          <w:sz w:val="21"/>
          <w:szCs w:val="21"/>
          <w:highlight w:val="none"/>
        </w:rPr>
        <w:t>年，因人为因素出现的故障不在免费保修范围内。超过保修期的机器设备，终生维修，维修时只收部件成本费。</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十三、调试和验收</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13.1 甲方对乙方提交的货物及服务依据招标文件上的技术规格要求和国家有关质量标准进行现场初步验收，外观、说明书符合招标文件技术要求的，给予签收，初步验收不合格的不予签收。交付后，甲方需在五个工作日内验收。</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13.2 乙方交付前应对货物及服务作出全面检查和对验收文件进行整理，并列出清单，作为甲方交付验收和使用的技术条件依据，检验的结果应随货物及服务交甲方。</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13.3 甲方对乙方提供的货物及服务在使用前进行调试时，乙方需负责安装并培训甲方的使用操作人员，并协助甲方一起调试，直到符合技术要求，甲方才做最终验收。</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13.4 对技术复杂的货物及服务，甲方可请国家认可的专业检测机构参与初步验收及最终验收，并由其出具质量检测报告。</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13.5 验收时乙方必须在现场，验收完毕后作出验收结果报告；验收费用由甲乙双方协商解决。</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十四、货物及服务包装、发运及运输</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14.1 乙方应在货物及服务发运前对其进行满足运输距离、防潮、防震、防锈和防破损装卸等要求包装，以保证货物及服务安全运达甲方指定地点。</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14.2 使用说明书、质量检验证明书、随配附件和工具以及清单一并交付甲方。</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14.3 乙方在货物及服务发运手续办理完毕后24小时内或交付到甲方48小时前通知甲方，以准备接受交付。</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14.4 货物在交付甲方前发生的风险均由乙方负责。</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14.5 货物及服务在规定的交付期限内由乙方送达甲方指定的地点视为交付，乙方同时需通知甲方货物及服务已送达。</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十五、违约责任</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15.1 甲方无正当理由拒收货物及服务的，甲方向乙方偿付拒收款项总值的百分之五违约金。</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15.2 甲方无故逾期验收和办理款项支付手续的,甲方应按逾期付款总额每日万分之五向乙方支付违约金。</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15.3 乙方逾期交付货物及服务的，乙方应按逾期交付总额每日千分之六向甲方支付违约金，由甲方从待付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pPr>
        <w:pStyle w:val="14"/>
        <w:spacing w:line="360" w:lineRule="auto"/>
        <w:ind w:firstLine="420"/>
        <w:rPr>
          <w:rFonts w:hint="eastAsia" w:hAnsi="宋体" w:eastAsia="宋体" w:cs="宋体"/>
          <w:color w:val="auto"/>
          <w:sz w:val="21"/>
          <w:szCs w:val="21"/>
          <w:highlight w:val="none"/>
        </w:rPr>
      </w:pPr>
      <w:r>
        <w:rPr>
          <w:rFonts w:hint="eastAsia" w:hAnsi="宋体" w:eastAsia="宋体" w:cs="宋体"/>
          <w:color w:val="auto"/>
          <w:sz w:val="21"/>
          <w:szCs w:val="21"/>
          <w:highlight w:val="none"/>
        </w:rPr>
        <w:t>15.4 乙方所交的货物及服务数量、质量不符合合同规定及招标文件规定标准的，甲方有权拒收该货物及服务，乙方愿意更换货物及服务但逾期交付的，按乙方逾期交付处理。乙方拒绝更换货物及服务的，甲方可单方面解除合同。</w:t>
      </w:r>
    </w:p>
    <w:p>
      <w:pPr>
        <w:pStyle w:val="14"/>
        <w:spacing w:line="360" w:lineRule="auto"/>
        <w:ind w:firstLine="420"/>
        <w:rPr>
          <w:rFonts w:hint="eastAsia" w:hAnsi="宋体" w:eastAsia="宋体" w:cs="宋体"/>
          <w:color w:val="auto"/>
          <w:sz w:val="21"/>
          <w:szCs w:val="21"/>
          <w:highlight w:val="none"/>
        </w:rPr>
      </w:pPr>
      <w:r>
        <w:rPr>
          <w:rFonts w:hint="eastAsia" w:hAnsi="宋体" w:eastAsia="宋体" w:cs="宋体"/>
          <w:color w:val="auto"/>
          <w:sz w:val="21"/>
          <w:szCs w:val="21"/>
          <w:highlight w:val="none"/>
          <w:lang w:val="en-US" w:eastAsia="zh-CN"/>
        </w:rPr>
        <w:t>15.5 乙方应加强工作人员的管理，禁止乙方以各种手段腐蚀、贿赂甲方单位工作人员，并将诚信档案记录的工作人员违规不良行为纳入违约行为,如有违反，甲方将停止履行合同，并追究乙方违约责任。</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十六、不可抗力事件处理</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16.1 在合同有效期内，任何一方因不可抗力事件导致不能履行合同，则合同履行期可延长，其延长期与不可抗力影响期相同。</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16.2 不可抗力事件发生后，应立即通知对方，并寄送有关权威机构出具的证明。</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16.3 不可抗力事件延续120天以上，双方应通过友好协商，确定是否继续履行合同。</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十七、诉讼</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17.1 双方在执行合同中所发生的一切争议，应通过协商解决。如协商不成，可向合同签订地法院起诉，合同签订地在此约定为扬州市。</w:t>
      </w:r>
    </w:p>
    <w:p>
      <w:pPr>
        <w:spacing w:line="360" w:lineRule="auto"/>
        <w:ind w:firstLine="422"/>
        <w:rPr>
          <w:rFonts w:ascii="宋体" w:hAnsi="宋体" w:cs="宋体"/>
          <w:color w:val="auto"/>
          <w:szCs w:val="21"/>
          <w:highlight w:val="none"/>
        </w:rPr>
      </w:pPr>
      <w:r>
        <w:rPr>
          <w:rFonts w:hint="eastAsia" w:ascii="宋体" w:hAnsi="宋体" w:cs="宋体"/>
          <w:b/>
          <w:bCs/>
          <w:color w:val="auto"/>
          <w:szCs w:val="21"/>
          <w:highlight w:val="none"/>
        </w:rPr>
        <w:t>十八、</w:t>
      </w:r>
      <w:r>
        <w:rPr>
          <w:rFonts w:hint="eastAsia" w:ascii="宋体" w:hAnsi="宋体" w:cs="宋体"/>
          <w:bCs/>
          <w:color w:val="auto"/>
          <w:szCs w:val="21"/>
          <w:highlight w:val="none"/>
        </w:rPr>
        <w:t>为落实好政府采购履约资金扶持政策，乙方可凭政府采购合同办理融资贷款，详见江苏政府采购网“政采贷”专栏</w:t>
      </w:r>
      <w:r>
        <w:rPr>
          <w:rFonts w:hint="eastAsia" w:ascii="宋体" w:hAnsi="宋体" w:cs="宋体"/>
          <w:color w:val="auto"/>
          <w:szCs w:val="21"/>
          <w:highlight w:val="none"/>
        </w:rPr>
        <w:t>。</w:t>
      </w:r>
    </w:p>
    <w:p>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十九、合同生效及其它</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19.1 合同经双方法定代表人或授权委托代表人签字并加盖单位公章或合同专用章后生效。</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19.2本合同未尽事宜，遵照《</w:t>
      </w:r>
      <w:r>
        <w:rPr>
          <w:rFonts w:hint="eastAsia" w:hAnsi="宋体" w:eastAsia="宋体" w:cs="宋体"/>
          <w:color w:val="auto"/>
          <w:sz w:val="21"/>
          <w:szCs w:val="21"/>
          <w:highlight w:val="none"/>
          <w:lang w:val="en-US" w:eastAsia="zh-CN"/>
        </w:rPr>
        <w:t>中华人民共和国</w:t>
      </w:r>
      <w:r>
        <w:rPr>
          <w:rFonts w:hint="eastAsia" w:hAnsi="宋体" w:eastAsia="宋体" w:cs="宋体"/>
          <w:color w:val="auto"/>
          <w:sz w:val="21"/>
          <w:szCs w:val="21"/>
          <w:highlight w:val="none"/>
        </w:rPr>
        <w:t>民法典》有关条文执行。</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19.3 本合同正本一式四份，具有同等法律效力，甲方、乙方各执贰份。 </w:t>
      </w:r>
    </w:p>
    <w:p>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 </w:t>
      </w:r>
    </w:p>
    <w:tbl>
      <w:tblPr>
        <w:tblStyle w:val="8"/>
        <w:tblW w:w="8379" w:type="dxa"/>
        <w:tblInd w:w="27" w:type="dxa"/>
        <w:tblLayout w:type="fixed"/>
        <w:tblCellMar>
          <w:top w:w="0" w:type="dxa"/>
          <w:left w:w="108" w:type="dxa"/>
          <w:bottom w:w="0" w:type="dxa"/>
          <w:right w:w="108" w:type="dxa"/>
        </w:tblCellMar>
      </w:tblPr>
      <w:tblGrid>
        <w:gridCol w:w="4212"/>
        <w:gridCol w:w="4167"/>
      </w:tblGrid>
      <w:tr>
        <w:tblPrEx>
          <w:tblLayout w:type="fixed"/>
          <w:tblCellMar>
            <w:top w:w="0" w:type="dxa"/>
            <w:left w:w="108" w:type="dxa"/>
            <w:bottom w:w="0" w:type="dxa"/>
            <w:right w:w="108" w:type="dxa"/>
          </w:tblCellMar>
        </w:tblPrEx>
        <w:trPr>
          <w:trHeight w:val="160" w:hRule="atLeast"/>
        </w:trPr>
        <w:tc>
          <w:tcPr>
            <w:tcW w:w="4212"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甲方：扬州大学附属医院</w:t>
            </w:r>
          </w:p>
        </w:tc>
        <w:tc>
          <w:tcPr>
            <w:tcW w:w="4167"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 xml:space="preserve">乙方： </w:t>
            </w:r>
            <w:r>
              <w:rPr>
                <w:rFonts w:hint="eastAsia" w:hAnsi="宋体" w:eastAsia="宋体" w:cs="宋体"/>
                <w:color w:val="auto"/>
                <w:sz w:val="21"/>
                <w:szCs w:val="21"/>
                <w:highlight w:val="none"/>
                <w:lang w:val="en-US" w:eastAsia="zh-CN"/>
              </w:rPr>
              <w:t>扬州瑞吉医疗科技有限公司</w:t>
            </w:r>
          </w:p>
        </w:tc>
      </w:tr>
      <w:tr>
        <w:tblPrEx>
          <w:tblLayout w:type="fixed"/>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地址：扬州市邗江中路368号</w:t>
            </w:r>
          </w:p>
        </w:tc>
        <w:tc>
          <w:tcPr>
            <w:tcW w:w="4167"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地址：扬州市邗江区扬子江中路757号1幢516室</w:t>
            </w:r>
          </w:p>
        </w:tc>
      </w:tr>
      <w:tr>
        <w:tblPrEx>
          <w:tblLayout w:type="fixed"/>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法定代表人或授权代表：</w:t>
            </w:r>
          </w:p>
        </w:tc>
        <w:tc>
          <w:tcPr>
            <w:tcW w:w="4167"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法定代表人或授权代表：</w:t>
            </w:r>
          </w:p>
        </w:tc>
      </w:tr>
      <w:tr>
        <w:tblPrEx>
          <w:tblLayout w:type="fixed"/>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联系电话：</w:t>
            </w:r>
          </w:p>
        </w:tc>
        <w:tc>
          <w:tcPr>
            <w:tcW w:w="4167"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联系电话：</w:t>
            </w:r>
          </w:p>
        </w:tc>
      </w:tr>
      <w:tr>
        <w:tblPrEx>
          <w:tblLayout w:type="fixed"/>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日期：</w:t>
            </w:r>
            <w:r>
              <w:rPr>
                <w:rFonts w:hint="eastAsia" w:hAnsi="宋体" w:eastAsia="宋体" w:cs="宋体"/>
                <w:color w:val="auto"/>
                <w:sz w:val="21"/>
                <w:szCs w:val="21"/>
                <w:highlight w:val="none"/>
                <w:lang w:val="en-US" w:eastAsia="zh-CN"/>
              </w:rPr>
              <w:t>2026</w:t>
            </w:r>
            <w:r>
              <w:rPr>
                <w:rFonts w:hint="eastAsia"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 xml:space="preserve">   </w:t>
            </w:r>
            <w:r>
              <w:rPr>
                <w:rFonts w:hint="eastAsia" w:hAnsi="宋体" w:eastAsia="宋体" w:cs="宋体"/>
                <w:color w:val="auto"/>
                <w:sz w:val="21"/>
                <w:szCs w:val="21"/>
                <w:highlight w:val="none"/>
              </w:rPr>
              <w:t xml:space="preserve">月    日  </w:t>
            </w:r>
          </w:p>
        </w:tc>
        <w:tc>
          <w:tcPr>
            <w:tcW w:w="4167" w:type="dxa"/>
            <w:tcBorders>
              <w:top w:val="nil"/>
              <w:left w:val="nil"/>
              <w:bottom w:val="nil"/>
              <w:right w:val="nil"/>
            </w:tcBorders>
          </w:tcPr>
          <w:p>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日期：</w:t>
            </w:r>
            <w:r>
              <w:rPr>
                <w:rFonts w:hint="eastAsia" w:hAnsi="宋体" w:eastAsia="宋体" w:cs="宋体"/>
                <w:color w:val="auto"/>
                <w:sz w:val="21"/>
                <w:szCs w:val="21"/>
                <w:highlight w:val="none"/>
                <w:lang w:val="en-US" w:eastAsia="zh-CN"/>
              </w:rPr>
              <w:t>2026</w:t>
            </w:r>
            <w:r>
              <w:rPr>
                <w:rFonts w:hint="eastAsia"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 xml:space="preserve">    </w:t>
            </w:r>
            <w:r>
              <w:rPr>
                <w:rFonts w:hint="eastAsia" w:hAnsi="宋体" w:eastAsia="宋体" w:cs="宋体"/>
                <w:color w:val="auto"/>
                <w:sz w:val="21"/>
                <w:szCs w:val="21"/>
                <w:highlight w:val="none"/>
              </w:rPr>
              <w:t>月    日</w:t>
            </w:r>
          </w:p>
        </w:tc>
      </w:tr>
    </w:tbl>
    <w:p>
      <w:pPr>
        <w:jc w:val="center"/>
      </w:pPr>
    </w:p>
    <w:p/>
    <w:p/>
    <w:p/>
    <w:p/>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p>
    <w:p>
      <w:pPr>
        <w:rPr>
          <w:rFonts w:hint="eastAsia" w:eastAsia="宋体"/>
          <w:lang w:eastAsia="zh-CN"/>
        </w:rPr>
      </w:pPr>
      <w:r>
        <w:rPr>
          <w:rFonts w:hint="eastAsia" w:eastAsia="宋体"/>
          <w:lang w:eastAsia="zh-CN"/>
        </w:rPr>
        <w:drawing>
          <wp:inline distT="0" distB="0" distL="114300" distR="114300">
            <wp:extent cx="5271770" cy="7629525"/>
            <wp:effectExtent l="0" t="0" r="1270" b="5715"/>
            <wp:docPr id="2" name="图片 2" descr="瑞吉分项报价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瑞吉分项报价表"/>
                    <pic:cNvPicPr>
                      <a:picLocks noChangeAspect="1"/>
                    </pic:cNvPicPr>
                  </pic:nvPicPr>
                  <pic:blipFill>
                    <a:blip r:embed="rId10"/>
                    <a:stretch>
                      <a:fillRect/>
                    </a:stretch>
                  </pic:blipFill>
                  <pic:spPr>
                    <a:xfrm>
                      <a:off x="0" y="0"/>
                      <a:ext cx="5271770" cy="7629525"/>
                    </a:xfrm>
                    <a:prstGeom prst="rect">
                      <a:avLst/>
                    </a:prstGeom>
                  </pic:spPr>
                </pic:pic>
              </a:graphicData>
            </a:graphic>
          </wp:inline>
        </w:drawing>
      </w:r>
    </w:p>
    <w:p/>
    <w:p/>
    <w:p>
      <w:pPr>
        <w:pStyle w:val="3"/>
        <w:jc w:val="center"/>
        <w:rPr>
          <w:rFonts w:hint="eastAsia"/>
          <w:b/>
          <w:bCs/>
          <w:sz w:val="44"/>
          <w:szCs w:val="44"/>
        </w:rPr>
      </w:pPr>
    </w:p>
    <w:p>
      <w:pPr>
        <w:pStyle w:val="3"/>
        <w:jc w:val="center"/>
        <w:rPr>
          <w:rFonts w:hint="eastAsia"/>
          <w:b/>
          <w:bCs/>
          <w:sz w:val="44"/>
          <w:szCs w:val="44"/>
        </w:rPr>
      </w:pPr>
      <w:r>
        <w:rPr>
          <w:rFonts w:hint="eastAsia"/>
          <w:b/>
          <w:bCs/>
          <w:sz w:val="44"/>
          <w:szCs w:val="44"/>
        </w:rPr>
        <w:t>廉洁合作协议</w:t>
      </w: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hAnsi="宋体" w:eastAsia="宋体" w:cs="宋体"/>
          <w:color w:val="auto"/>
          <w:sz w:val="21"/>
          <w:szCs w:val="21"/>
          <w:highlight w:val="none"/>
        </w:rPr>
        <w:t>扬州大学附属医院</w:t>
      </w:r>
      <w:r>
        <w:rPr>
          <w:rFonts w:hint="eastAsia"/>
          <w:sz w:val="24"/>
          <w:szCs w:val="24"/>
          <w:lang w:val="en-US" w:eastAsia="zh-CN"/>
        </w:rPr>
        <w:t xml:space="preserve"> </w:t>
      </w: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hAnsi="宋体" w:eastAsia="宋体" w:cs="宋体"/>
          <w:color w:val="auto"/>
          <w:sz w:val="21"/>
          <w:szCs w:val="21"/>
          <w:highlight w:val="none"/>
          <w:lang w:val="en-US" w:eastAsia="zh-CN"/>
        </w:rPr>
        <w:t>扬州瑞吉医疗科技有限公司</w:t>
      </w:r>
      <w:r>
        <w:rPr>
          <w:rFonts w:hint="eastAsia"/>
          <w:sz w:val="24"/>
          <w:szCs w:val="24"/>
          <w:lang w:val="en-US" w:eastAsia="zh-CN"/>
        </w:rPr>
        <w:t xml:space="preserve"> </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Ansi="宋体" w:eastAsia="宋体" w:cs="宋体"/>
          <w:color w:val="auto"/>
          <w:sz w:val="21"/>
          <w:szCs w:val="21"/>
          <w:highlight w:val="none"/>
          <w:lang w:val="en-US" w:eastAsia="zh-CN"/>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hAnsi="宋体" w:eastAsia="宋体" w:cs="宋体"/>
          <w:color w:val="auto"/>
          <w:sz w:val="21"/>
          <w:szCs w:val="21"/>
          <w:highlight w:val="none"/>
        </w:rPr>
        <w:t>扬州大学附属医院</w:t>
      </w:r>
      <w:r>
        <w:rPr>
          <w:rFonts w:hint="eastAsia"/>
          <w:sz w:val="24"/>
          <w:szCs w:val="24"/>
          <w:lang w:val="en-US" w:eastAsia="zh-CN"/>
        </w:rPr>
        <w:t xml:space="preserve">              </w:t>
      </w:r>
      <w:r>
        <w:rPr>
          <w:rFonts w:hint="eastAsia"/>
          <w:sz w:val="24"/>
          <w:szCs w:val="24"/>
        </w:rPr>
        <w:t>乙方：(盖章)</w:t>
      </w:r>
      <w:r>
        <w:rPr>
          <w:rFonts w:hint="eastAsia" w:hAnsi="宋体" w:eastAsia="宋体" w:cs="宋体"/>
          <w:color w:val="auto"/>
          <w:sz w:val="21"/>
          <w:szCs w:val="21"/>
          <w:highlight w:val="none"/>
          <w:lang w:val="en-US" w:eastAsia="zh-CN"/>
        </w:rPr>
        <w:t>扬州瑞吉医疗科技</w:t>
      </w:r>
    </w:p>
    <w:p>
      <w:pPr>
        <w:pStyle w:val="3"/>
        <w:keepNext w:val="0"/>
        <w:keepLines w:val="0"/>
        <w:pageBreakBefore w:val="0"/>
        <w:widowControl w:val="0"/>
        <w:kinsoku/>
        <w:wordWrap/>
        <w:overflowPunct/>
        <w:topLinePunct w:val="0"/>
        <w:autoSpaceDE/>
        <w:autoSpaceDN/>
        <w:bidi w:val="0"/>
        <w:adjustRightInd/>
        <w:snapToGrid/>
        <w:spacing w:line="240" w:lineRule="auto"/>
        <w:ind w:firstLine="6300" w:firstLineChars="3000"/>
        <w:textAlignment w:val="auto"/>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有限公司</w:t>
      </w: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Ansi="宋体" w:eastAsia="宋体" w:cs="宋体"/>
          <w:color w:val="auto"/>
          <w:sz w:val="21"/>
          <w:szCs w:val="21"/>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szCs w:val="21"/>
        </w:rPr>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_x0000_s4100" o:spid="_x0000_s4100"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pict>
        <v:shape id="WordPictureWatermark4600752" o:spid="_x0000_s4101" o:spt="75" type="#_x0000_t75" style="position:absolute;left:0pt;margin-left:-36.25pt;margin-top:374.9pt;height:79.6pt;width:251.15pt;mso-position-horizontal-relative:margin;mso-position-vertical-relative:margin;rotation:-1680064f;z-index:-251655168;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102" o:spid="_x0000_s4102" o:spt="75" type="#_x0000_t75" style="position:absolute;left:0pt;margin-left:174.15pt;margin-top:458.4pt;height:79.4pt;width:250.65pt;mso-position-horizontal-relative:margin;mso-position-vertical-relative:margin;rotation:-1822309f;z-index:-25165312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098" o:spid="_x0000_s4098" o:spt="75" type="#_x0000_t75" style="position:absolute;left:0pt;margin-left:177.9pt;margin-top:151.9pt;height:78.1pt;width:246.5pt;mso-position-horizontal-relative:margin;mso-position-vertical-relative:margin;rotation:-1600287f;z-index:-25165209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099" o:spid="_x0000_s4099" o:spt="75" type="#_x0000_t75" style="position:absolute;left:0pt;margin-left:-59.3pt;margin-top:86.1pt;height:81.1pt;width:256pt;mso-position-horizontal-relative:margin;mso-position-vertical-relative:margin;rotation:-1600287f;z-index:-251654144;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WordPictureWatermark4600751" o:spid="_x0000_s4103" o:spt="75" type="#_x0000_t75" style="position:absolute;left:0pt;height:131.55pt;width:415.2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WordPictureWatermark4600750" o:spid="_x0000_s4097"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dit="forms" w:formatting="1" w:enforcement="1" w:cryptProviderType="rsaFull" w:cryptAlgorithmClass="hash" w:cryptAlgorithmType="typeAny" w:cryptAlgorithmSid="4" w:cryptSpinCount="0" w:hash="bw8RTQvT7eACH2XnTjH+8QSJ9VA=" w:salt="cpwq33T0QsRtATzOQIUHhw=="/>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3CB81C03"/>
    <w:rsid w:val="5643387B"/>
    <w:rsid w:val="6ADE1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3">
    <w:name w:val="Plain Text"/>
    <w:basedOn w:val="1"/>
    <w:qFormat/>
    <w:uiPriority w:val="99"/>
    <w:rPr>
      <w:rFonts w:ascii="宋体" w:hAnsi="Courier New"/>
      <w:kern w:val="0"/>
      <w:sz w:val="20"/>
      <w:szCs w:val="21"/>
    </w:rPr>
  </w:style>
  <w:style w:type="paragraph" w:styleId="4">
    <w:name w:val="Body Text Indent 2"/>
    <w:basedOn w:val="1"/>
    <w:link w:val="12"/>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5">
    <w:name w:val="Balloon Text"/>
    <w:basedOn w:val="1"/>
    <w:link w:val="13"/>
    <w:semiHidden/>
    <w:unhideWhenUsed/>
    <w:qFormat/>
    <w:uiPriority w:val="99"/>
    <w:rPr>
      <w:sz w:val="18"/>
      <w:szCs w:val="18"/>
    </w:rPr>
  </w:style>
  <w:style w:type="paragraph" w:styleId="6">
    <w:name w:val="footer"/>
    <w:basedOn w:val="1"/>
    <w:link w:val="11"/>
    <w:unhideWhenUsed/>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缩进 2 Char"/>
    <w:basedOn w:val="9"/>
    <w:link w:val="4"/>
    <w:qFormat/>
    <w:uiPriority w:val="0"/>
    <w:rPr>
      <w:rFonts w:ascii="Times New Roman" w:hAnsi="Calibri" w:eastAsia="仿宋_GB2312" w:cs="Times New Roman"/>
      <w:kern w:val="0"/>
      <w:sz w:val="32"/>
      <w:szCs w:val="32"/>
    </w:rPr>
  </w:style>
  <w:style w:type="character" w:customStyle="1" w:styleId="13">
    <w:name w:val="批注框文本 Char"/>
    <w:basedOn w:val="9"/>
    <w:link w:val="5"/>
    <w:semiHidden/>
    <w:uiPriority w:val="99"/>
    <w:rPr>
      <w:sz w:val="18"/>
      <w:szCs w:val="18"/>
    </w:rPr>
  </w:style>
  <w:style w:type="paragraph" w:customStyle="1" w:styleId="14">
    <w:name w:val="纯文本1"/>
    <w:basedOn w:val="1"/>
    <w:qFormat/>
    <w:uiPriority w:val="0"/>
    <w:pPr>
      <w:adjustRightInd w:val="0"/>
      <w:textAlignment w:val="baseline"/>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3"/>
    <customShpInfo spid="_x0000_s4097"/>
    <customShpInfo spid="_x0000_s4100" textRotate="1"/>
    <customShpInfo spid="_x0000_s410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0</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刘书洵</cp:lastModifiedBy>
  <dcterms:modified xsi:type="dcterms:W3CDTF">2026-03-10T01:59:18Z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y fmtid="{D5CDD505-2E9C-101B-9397-08002B2CF9AE}" pid="3" name="KSOTemplateDocerSaveRecord">
    <vt:lpwstr>eyJoZGlkIjoiNzIwOTdlODFhOWQ4YmJlMzU2ZTdkMjQ1NzBmNzk3N2EifQ==</vt:lpwstr>
  </property>
  <property fmtid="{D5CDD505-2E9C-101B-9397-08002B2CF9AE}" pid="4" name="ICV">
    <vt:lpwstr>79F3D2C27FC64796B454B9EA9AC6AEB0_12</vt:lpwstr>
  </property>
</Properties>
</file>