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华文中宋" w:hAnsi="华文中宋" w:eastAsia="华文中宋"/>
          <w:b/>
          <w:sz w:val="96"/>
          <w:szCs w:val="96"/>
          <w:lang w:val="zh-CN"/>
        </w:rPr>
      </w:pPr>
      <w:r>
        <w:rPr>
          <w:rFonts w:hint="eastAsia" w:ascii="黑体" w:hAnsi="宋体" w:eastAsia="黑体"/>
          <w:sz w:val="76"/>
          <w:szCs w:val="76"/>
        </w:rPr>
        <w:t xml:space="preserve">竞争性磋商文件</w:t>
      </w:r>
      <w:r/>
    </w:p>
    <w:p>
      <w:pPr>
        <w:rPr>
          <w:rFonts w:ascii="华文中宋" w:hAnsi="华文中宋" w:eastAsia="华文中宋"/>
          <w:b/>
          <w:sz w:val="32"/>
          <w:szCs w:val="32"/>
          <w:lang w:val="zh-CN"/>
        </w:rPr>
      </w:pPr>
      <w:r>
        <w:rPr>
          <w:rFonts w:ascii="华文中宋" w:hAnsi="华文中宋" w:eastAsia="华文中宋"/>
          <w:b/>
          <w:sz w:val="32"/>
          <w:szCs w:val="32"/>
          <w:lang w:val="zh-CN"/>
        </w:rPr>
      </w:r>
      <w:r/>
    </w:p>
    <w:p>
      <w:pPr>
        <w:rPr>
          <w:rFonts w:ascii="华文中宋" w:hAnsi="华文中宋" w:eastAsia="华文中宋"/>
          <w:b/>
          <w:sz w:val="32"/>
          <w:szCs w:val="32"/>
          <w:lang w:val="zh-CN"/>
        </w:rPr>
      </w:pPr>
      <w:r>
        <w:rPr>
          <w:rFonts w:ascii="华文中宋" w:hAnsi="华文中宋" w:eastAsia="华文中宋"/>
          <w:b/>
          <w:sz w:val="32"/>
          <w:szCs w:val="32"/>
          <w:lang w:val="zh-CN"/>
        </w:rPr>
      </w:r>
      <w:r/>
    </w:p>
    <w:p>
      <w:pPr>
        <w:rPr>
          <w:rFonts w:ascii="华文中宋" w:hAnsi="华文中宋" w:eastAsia="华文中宋"/>
          <w:b/>
          <w:sz w:val="32"/>
          <w:szCs w:val="32"/>
          <w:lang w:val="zh-CN"/>
        </w:rPr>
      </w:pPr>
      <w:r>
        <w:rPr>
          <w:rFonts w:ascii="华文中宋" w:hAnsi="华文中宋" w:eastAsia="华文中宋"/>
          <w:b/>
          <w:sz w:val="32"/>
          <w:szCs w:val="32"/>
          <w:lang w:val="zh-CN"/>
        </w:rPr>
      </w:r>
      <w:r/>
    </w:p>
    <w:p>
      <w:pPr>
        <w:pStyle w:val="1014"/>
        <w:ind w:firstLine="641"/>
        <w:rPr>
          <w:rFonts w:ascii="华文中宋" w:hAnsi="华文中宋" w:eastAsia="华文中宋"/>
          <w:b/>
          <w:sz w:val="32"/>
          <w:szCs w:val="32"/>
        </w:rPr>
      </w:pPr>
      <w:r>
        <w:rPr>
          <w:rFonts w:ascii="华文中宋" w:hAnsi="华文中宋" w:eastAsia="华文中宋"/>
          <w:b/>
          <w:sz w:val="32"/>
          <w:szCs w:val="32"/>
        </w:rPr>
      </w:r>
      <w:r/>
    </w:p>
    <w:p>
      <w:pPr>
        <w:pStyle w:val="1014"/>
        <w:ind w:firstLine="641"/>
        <w:rPr>
          <w:rFonts w:ascii="华文中宋" w:hAnsi="华文中宋" w:eastAsia="华文中宋"/>
          <w:b/>
          <w:sz w:val="32"/>
          <w:szCs w:val="32"/>
        </w:rPr>
      </w:pPr>
      <w:r>
        <w:rPr>
          <w:rFonts w:ascii="华文中宋" w:hAnsi="华文中宋" w:eastAsia="华文中宋"/>
          <w:b/>
          <w:sz w:val="32"/>
          <w:szCs w:val="32"/>
        </w:rPr>
      </w:r>
      <w:r/>
    </w:p>
    <w:p>
      <w:pPr>
        <w:rPr>
          <w:rFonts w:ascii="华文中宋" w:hAnsi="华文中宋" w:eastAsia="华文中宋"/>
          <w:b/>
          <w:sz w:val="32"/>
          <w:szCs w:val="32"/>
          <w:lang w:val="zh-CN"/>
        </w:rPr>
      </w:pPr>
      <w:r>
        <w:rPr>
          <w:rFonts w:ascii="华文中宋" w:hAnsi="华文中宋" w:eastAsia="华文中宋"/>
          <w:b/>
          <w:sz w:val="32"/>
          <w:szCs w:val="32"/>
          <w:lang w:val="zh-CN"/>
        </w:rPr>
      </w:r>
      <w:r/>
    </w:p>
    <w:p>
      <w:pPr>
        <w:rPr>
          <w:rFonts w:ascii="华文中宋" w:hAnsi="华文中宋" w:eastAsia="华文中宋"/>
          <w:b/>
          <w:sz w:val="32"/>
          <w:szCs w:val="32"/>
          <w:lang w:val="zh-CN"/>
        </w:rPr>
      </w:pPr>
      <w:r>
        <w:rPr>
          <w:rFonts w:ascii="华文中宋" w:hAnsi="华文中宋" w:eastAsia="华文中宋"/>
          <w:b/>
          <w:sz w:val="32"/>
          <w:szCs w:val="32"/>
          <w:lang w:val="zh-CN"/>
        </w:rPr>
      </w:r>
      <w:r/>
    </w:p>
    <w:p>
      <w:pPr>
        <w:spacing w:line="520" w:lineRule="exact"/>
        <w:rPr>
          <w:rFonts w:hint="eastAsia" w:ascii="黑体" w:hAnsi="黑体" w:eastAsia="黑体" w:cs="黑体"/>
          <w:b/>
          <w:sz w:val="32"/>
          <w:szCs w:val="32"/>
          <w:lang w:eastAsia="zh-CN"/>
        </w:rPr>
      </w:pPr>
      <w:r>
        <w:rPr>
          <w:rFonts w:hint="eastAsia" w:ascii="黑体" w:hAnsi="黑体" w:eastAsia="黑体" w:cs="黑体"/>
          <w:b/>
          <w:sz w:val="32"/>
          <w:szCs w:val="32"/>
          <w:lang w:val="zh-CN"/>
        </w:rPr>
        <w:t xml:space="preserve">项目编号：</w:t>
      </w:r>
      <w:r>
        <w:rPr>
          <w:rFonts w:hint="eastAsia" w:ascii="黑体" w:hAnsi="黑体" w:eastAsia="黑体" w:cs="黑体"/>
          <w:b/>
          <w:sz w:val="32"/>
          <w:szCs w:val="32"/>
        </w:rPr>
        <w:t xml:space="preserve">JSZC-320192-ZXTD-C2026-0007</w:t>
      </w:r>
      <w:r/>
    </w:p>
    <w:p>
      <w:pPr>
        <w:rPr>
          <w:rFonts w:hint="eastAsia" w:ascii="黑体" w:hAnsi="黑体" w:eastAsia="黑体" w:cs="黑体"/>
          <w:b/>
          <w:sz w:val="32"/>
          <w:szCs w:val="32"/>
          <w:lang w:eastAsia="zh-CN"/>
        </w:rPr>
      </w:pPr>
      <w:r>
        <w:rPr>
          <w:rFonts w:hint="eastAsia" w:ascii="黑体" w:hAnsi="黑体" w:eastAsia="黑体" w:cs="黑体"/>
          <w:b/>
          <w:sz w:val="32"/>
          <w:szCs w:val="32"/>
          <w:lang w:val="zh-CN"/>
        </w:rPr>
        <w:t xml:space="preserve">项目名称：</w:t>
      </w:r>
      <w:r>
        <w:rPr>
          <w:rFonts w:hint="eastAsia" w:ascii="黑体" w:hAnsi="黑体" w:eastAsia="黑体" w:cs="黑体"/>
          <w:b/>
          <w:sz w:val="32"/>
          <w:szCs w:val="32"/>
          <w:lang w:eastAsia="zh-CN"/>
        </w:rPr>
        <w:t xml:space="preserve">南京江北新区C-PARK污水预处理站运维服务（2026.9-2029.9）</w:t>
      </w:r>
      <w:r/>
    </w:p>
    <w:p>
      <w:pPr>
        <w:rPr>
          <w:rFonts w:ascii="华文中宋" w:hAnsi="华文中宋" w:eastAsia="华文中宋"/>
          <w:b/>
          <w:sz w:val="32"/>
          <w:szCs w:val="32"/>
          <w:lang w:val="zh-CN"/>
        </w:rPr>
      </w:pPr>
      <w:r>
        <w:rPr>
          <w:rFonts w:hint="eastAsia" w:ascii="华文中宋" w:hAnsi="华文中宋" w:eastAsia="华文中宋"/>
          <w:b/>
          <w:sz w:val="32"/>
          <w:szCs w:val="32"/>
          <w:lang w:val="zh-CN"/>
        </w:rPr>
        <w:t xml:space="preserve">采购单位：南京江北新材料科技园管理办公室</w:t>
      </w:r>
      <w:r/>
    </w:p>
    <w:p>
      <w:pPr>
        <w:rPr>
          <w:rFonts w:ascii="华文中宋" w:hAnsi="华文中宋" w:eastAsia="华文中宋"/>
          <w:b/>
          <w:sz w:val="32"/>
          <w:szCs w:val="32"/>
          <w:lang w:val="zh-CN"/>
        </w:rPr>
      </w:pPr>
      <w:r>
        <w:rPr>
          <w:rFonts w:hint="eastAsia" w:ascii="华文中宋" w:hAnsi="华文中宋" w:eastAsia="华文中宋"/>
          <w:b/>
          <w:sz w:val="32"/>
          <w:szCs w:val="32"/>
          <w:lang w:val="zh-CN"/>
        </w:rPr>
        <w:t xml:space="preserve">项目类别：服务类</w:t>
      </w:r>
      <w:r/>
    </w:p>
    <w:p>
      <w:pPr>
        <w:pStyle w:val="726"/>
        <w:ind w:firstLine="0"/>
        <w:rPr>
          <w:rFonts w:ascii="华文中宋" w:hAnsi="华文中宋" w:eastAsia="华文中宋"/>
          <w:b/>
          <w:sz w:val="32"/>
          <w:szCs w:val="32"/>
          <w:lang w:val="zh-CN" w:eastAsia="zh-CN"/>
        </w:rPr>
      </w:pPr>
      <w:r>
        <w:rPr>
          <w:rFonts w:hint="eastAsia" w:ascii="华文中宋" w:hAnsi="华文中宋" w:eastAsia="华文中宋"/>
          <w:b/>
          <w:sz w:val="32"/>
          <w:szCs w:val="32"/>
          <w:lang w:val="zh-CN" w:eastAsia="zh-CN"/>
        </w:rPr>
        <w:t xml:space="preserve">项目所属行业：其他未列明行业</w:t>
      </w:r>
      <w:r/>
    </w:p>
    <w:p>
      <w:pPr>
        <w:pStyle w:val="726"/>
        <w:ind w:firstLine="0"/>
        <w:rPr>
          <w:rFonts w:ascii="华文中宋" w:hAnsi="华文中宋" w:eastAsia="华文中宋"/>
          <w:b/>
          <w:sz w:val="32"/>
          <w:szCs w:val="32"/>
          <w:lang w:val="zh-CN" w:eastAsia="zh-CN"/>
        </w:rPr>
      </w:pPr>
      <w:r>
        <w:rPr>
          <w:rFonts w:ascii="华文中宋" w:hAnsi="华文中宋" w:eastAsia="华文中宋"/>
          <w:b/>
          <w:sz w:val="32"/>
          <w:szCs w:val="32"/>
          <w:lang w:val="zh-CN" w:eastAsia="zh-CN"/>
        </w:rPr>
      </w:r>
      <w:r/>
    </w:p>
    <w:p>
      <w:pPr>
        <w:pStyle w:val="726"/>
        <w:ind w:firstLine="0"/>
        <w:rPr>
          <w:lang w:val="zh-CN" w:eastAsia="zh-CN"/>
        </w:rPr>
      </w:pPr>
      <w:r>
        <w:rPr>
          <w:lang w:val="zh-CN" w:eastAsia="zh-CN"/>
        </w:rPr>
      </w:r>
      <w:r/>
    </w:p>
    <w:p>
      <w:pPr>
        <w:pStyle w:val="726"/>
        <w:rPr>
          <w:lang w:val="zh-CN" w:eastAsia="zh-CN"/>
        </w:rPr>
      </w:pPr>
      <w:r>
        <w:rPr>
          <w:lang w:val="zh-CN" w:eastAsia="zh-CN"/>
        </w:rPr>
      </w:r>
      <w:r/>
    </w:p>
    <w:p>
      <w:pPr>
        <w:pStyle w:val="726"/>
        <w:rPr>
          <w:lang w:val="zh-CN" w:eastAsia="zh-CN"/>
        </w:rPr>
      </w:pPr>
      <w:r>
        <w:rPr>
          <w:lang w:val="zh-CN" w:eastAsia="zh-CN"/>
        </w:rPr>
      </w:r>
      <w:r/>
    </w:p>
    <w:p>
      <w:pPr>
        <w:pStyle w:val="726"/>
        <w:rPr>
          <w:lang w:val="zh-CN" w:eastAsia="zh-CN"/>
        </w:rPr>
      </w:pPr>
      <w:r>
        <w:rPr>
          <w:lang w:val="zh-CN" w:eastAsia="zh-CN"/>
        </w:rPr>
      </w:r>
      <w:r/>
    </w:p>
    <w:p>
      <w:pPr>
        <w:pStyle w:val="726"/>
        <w:rPr>
          <w:lang w:val="zh-CN" w:eastAsia="zh-CN"/>
        </w:rPr>
      </w:pPr>
      <w:r>
        <w:rPr>
          <w:lang w:val="zh-CN" w:eastAsia="zh-CN"/>
        </w:rPr>
      </w:r>
      <w:r/>
    </w:p>
    <w:p>
      <w:pPr>
        <w:pStyle w:val="726"/>
        <w:rPr>
          <w:lang w:val="zh-CN" w:eastAsia="zh-CN"/>
        </w:rPr>
      </w:pPr>
      <w:r>
        <w:rPr>
          <w:lang w:val="zh-CN" w:eastAsia="zh-CN"/>
        </w:rPr>
      </w:r>
      <w:r/>
    </w:p>
    <w:p>
      <w:pPr>
        <w:pStyle w:val="726"/>
        <w:rPr>
          <w:lang w:val="zh-CN" w:eastAsia="zh-CN"/>
        </w:rPr>
      </w:pPr>
      <w:r>
        <w:rPr>
          <w:lang w:val="zh-CN" w:eastAsia="zh-CN"/>
        </w:rPr>
      </w:r>
      <w:r/>
    </w:p>
    <w:p>
      <w:pPr>
        <w:pStyle w:val="726"/>
        <w:rPr>
          <w:lang w:val="zh-CN" w:eastAsia="zh-CN"/>
        </w:rPr>
      </w:pPr>
      <w:r>
        <w:rPr>
          <w:lang w:val="zh-CN" w:eastAsia="zh-CN"/>
        </w:rPr>
      </w:r>
      <w:r/>
    </w:p>
    <w:p>
      <w:pPr>
        <w:pStyle w:val="726"/>
        <w:tabs>
          <w:tab w:val="left" w:pos="8151" w:leader="none"/>
        </w:tabs>
        <w:rPr>
          <w:lang w:val="zh-CN" w:eastAsia="zh-CN"/>
        </w:rPr>
      </w:pPr>
      <w:r>
        <w:rPr>
          <w:lang w:val="zh-CN" w:eastAsia="zh-CN"/>
        </w:rPr>
        <w:tab/>
      </w:r>
      <w:r/>
    </w:p>
    <w:p>
      <w:pPr>
        <w:jc w:val="center"/>
        <w:rPr>
          <w:rFonts w:ascii="黑体" w:hAnsi="黑体" w:eastAsia="黑体" w:cs="黑体"/>
          <w:b/>
          <w:sz w:val="32"/>
          <w:szCs w:val="32"/>
          <w:lang w:val="zh-CN"/>
        </w:rPr>
      </w:pPr>
      <w:r>
        <w:rPr>
          <w:rFonts w:hint="eastAsia" w:ascii="黑体" w:hAnsi="黑体" w:eastAsia="黑体" w:cs="黑体"/>
          <w:b/>
          <w:sz w:val="32"/>
          <w:szCs w:val="32"/>
          <w:lang w:val="zh-CN"/>
        </w:rPr>
        <w:t xml:space="preserve">江苏泰鼎工程咨询有限公司</w:t>
      </w:r>
      <w:r/>
    </w:p>
    <w:p>
      <w:pPr>
        <w:jc w:val="center"/>
        <w:rPr>
          <w:rFonts w:ascii="黑体" w:hAnsi="黑体" w:eastAsia="黑体" w:cs="黑体"/>
          <w:b/>
          <w:sz w:val="32"/>
          <w:szCs w:val="32"/>
          <w:lang w:val="zh-CN"/>
        </w:rPr>
      </w:pPr>
      <w:r>
        <w:rPr>
          <w:rFonts w:hint="eastAsia" w:ascii="黑体" w:hAnsi="黑体" w:eastAsia="黑体" w:cs="黑体"/>
          <w:b/>
          <w:sz w:val="32"/>
          <w:szCs w:val="32"/>
          <w:lang w:val="zh-CN"/>
        </w:rPr>
        <w:t xml:space="preserve">  </w:t>
      </w:r>
      <w:r/>
    </w:p>
    <w:p>
      <w:pPr>
        <w:jc w:val="center"/>
        <w:rPr>
          <w:rFonts w:ascii="黑体" w:hAnsi="黑体" w:eastAsia="黑体" w:cs="黑体"/>
          <w:b/>
          <w:sz w:val="32"/>
          <w:szCs w:val="32"/>
          <w:lang w:val="zh-CN"/>
        </w:rPr>
      </w:pPr>
      <w:r>
        <w:rPr>
          <w:rFonts w:hint="eastAsia" w:ascii="黑体" w:hAnsi="黑体" w:eastAsia="黑体" w:cs="黑体"/>
          <w:b/>
          <w:sz w:val="32"/>
          <w:szCs w:val="32"/>
          <w:lang w:val="zh-CN"/>
        </w:rPr>
        <w:t xml:space="preserve">二○二</w:t>
      </w:r>
      <w:r>
        <w:rPr>
          <w:rFonts w:hint="eastAsia" w:ascii="黑体" w:hAnsi="黑体" w:eastAsia="黑体" w:cs="黑体"/>
          <w:b/>
          <w:sz w:val="32"/>
          <w:szCs w:val="32"/>
          <w:lang w:eastAsia="zh-CN"/>
        </w:rPr>
        <w:t xml:space="preserve">六</w:t>
      </w:r>
      <w:r>
        <w:rPr>
          <w:rFonts w:hint="eastAsia" w:ascii="黑体" w:hAnsi="黑体" w:eastAsia="黑体" w:cs="黑体"/>
          <w:b/>
          <w:sz w:val="32"/>
          <w:szCs w:val="32"/>
          <w:lang w:val="zh-CN"/>
        </w:rPr>
        <w:t xml:space="preserve">年</w:t>
      </w:r>
      <w:r>
        <w:rPr>
          <w:rFonts w:hint="eastAsia" w:ascii="黑体" w:hAnsi="黑体" w:eastAsia="黑体" w:cs="黑体"/>
          <w:b/>
          <w:sz w:val="32"/>
          <w:szCs w:val="32"/>
        </w:rPr>
        <w:t xml:space="preserve">九</w:t>
      </w:r>
      <w:r>
        <w:rPr>
          <w:rFonts w:hint="eastAsia" w:ascii="黑体" w:hAnsi="黑体" w:eastAsia="黑体" w:cs="黑体"/>
          <w:b/>
          <w:sz w:val="32"/>
          <w:szCs w:val="32"/>
          <w:lang w:val="zh-CN"/>
        </w:rPr>
        <w:t xml:space="preserve">月</w:t>
      </w:r>
      <w:r/>
    </w:p>
    <w:p>
      <w:pPr>
        <w:jc w:val="center"/>
        <w:spacing w:before="120" w:after="120" w:line="360" w:lineRule="auto"/>
        <w:widowControl/>
        <w:rPr>
          <w:rFonts w:ascii="宋体" w:hAnsi="宋体" w:cs="宋体"/>
          <w:b/>
          <w:bCs/>
          <w:position w:val="-10"/>
          <w:sz w:val="32"/>
          <w:szCs w:val="32"/>
        </w:rPr>
      </w:pPr>
      <w:r>
        <w:rPr>
          <w:rFonts w:ascii="宋体" w:hAnsi="宋体" w:cs="宋体"/>
          <w:b/>
          <w:bCs/>
          <w:position w:val="-10"/>
          <w:sz w:val="32"/>
          <w:szCs w:val="32"/>
        </w:rPr>
      </w:r>
      <w:r/>
    </w:p>
    <w:p>
      <w:pPr>
        <w:jc w:val="center"/>
        <w:spacing w:before="120" w:after="120" w:line="360" w:lineRule="auto"/>
        <w:widowControl/>
        <w:rPr>
          <w:rFonts w:ascii="宋体" w:hAnsi="宋体" w:cs="宋体"/>
          <w:b/>
          <w:bCs/>
          <w:position w:val="-10"/>
          <w:sz w:val="32"/>
          <w:szCs w:val="32"/>
        </w:rPr>
      </w:pPr>
      <w:r>
        <w:rPr>
          <w:rFonts w:ascii="宋体" w:hAnsi="宋体" w:cs="宋体"/>
          <w:b/>
          <w:bCs/>
          <w:position w:val="-10"/>
          <w:sz w:val="32"/>
          <w:szCs w:val="32"/>
        </w:rPr>
      </w:r>
      <w:r/>
    </w:p>
    <w:p>
      <w:pPr>
        <w:jc w:val="center"/>
        <w:spacing w:before="120" w:after="120" w:line="360" w:lineRule="auto"/>
        <w:widowControl/>
        <w:rPr>
          <w:rFonts w:ascii="宋体" w:hAnsi="宋体" w:cs="宋体"/>
          <w:b/>
          <w:bCs/>
          <w:position w:val="-10"/>
          <w:sz w:val="32"/>
          <w:szCs w:val="32"/>
        </w:rPr>
      </w:pPr>
      <w:r>
        <w:rPr>
          <w:rFonts w:ascii="宋体" w:hAnsi="宋体" w:cs="宋体"/>
          <w:b/>
          <w:bCs/>
          <w:position w:val="-10"/>
          <w:sz w:val="32"/>
          <w:szCs w:val="32"/>
        </w:rPr>
      </w:r>
      <w:r/>
    </w:p>
    <w:p>
      <w:pPr>
        <w:jc w:val="center"/>
        <w:spacing w:before="120" w:after="120" w:line="360" w:lineRule="auto"/>
        <w:widowControl/>
        <w:rPr>
          <w:rFonts w:ascii="宋体" w:hAnsi="宋体" w:cs="宋体"/>
          <w:b/>
          <w:bCs/>
          <w:position w:val="-10"/>
          <w:sz w:val="32"/>
          <w:szCs w:val="32"/>
        </w:rPr>
      </w:pPr>
      <w:r>
        <w:rPr>
          <w:rFonts w:ascii="宋体" w:hAnsi="宋体" w:cs="宋体"/>
          <w:b/>
          <w:bCs/>
          <w:position w:val="-10"/>
          <w:sz w:val="32"/>
          <w:szCs w:val="32"/>
        </w:rPr>
      </w:r>
      <w:r/>
    </w:p>
    <w:p>
      <w:pPr>
        <w:ind w:firstLine="3755"/>
        <w:spacing w:before="120" w:after="120" w:line="360" w:lineRule="auto"/>
        <w:rPr>
          <w:rFonts w:ascii="Times New Roman" w:hAnsi="Times New Roman"/>
          <w:sz w:val="24"/>
          <w:szCs w:val="24"/>
        </w:rPr>
      </w:pPr>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Times New Roman" w:hAnsi="Times New Roman" w:eastAsia="黑体"/>
          <w:b/>
          <w:sz w:val="44"/>
          <w:szCs w:val="21"/>
        </w:rPr>
        <w:t xml:space="preserve">总  目  录</w:t>
      </w:r>
      <w:r/>
    </w:p>
    <w:p>
      <w:pPr>
        <w:spacing w:line="480" w:lineRule="auto"/>
        <w:rPr>
          <w:rFonts w:ascii="Times New Roman" w:hAnsi="Times New Roman" w:eastAsia="仿宋_GB2312"/>
          <w:b/>
          <w:sz w:val="28"/>
          <w:szCs w:val="21"/>
        </w:rPr>
      </w:pPr>
      <w:r>
        <w:rPr>
          <w:rFonts w:ascii="Times New Roman" w:hAnsi="Times New Roman" w:eastAsia="仿宋_GB2312"/>
          <w:b/>
          <w:sz w:val="28"/>
          <w:szCs w:val="21"/>
        </w:rPr>
      </w:r>
      <w:r/>
    </w:p>
    <w:p>
      <w:pPr>
        <w:numPr>
          <w:ilvl w:val="0"/>
          <w:numId w:val="4"/>
        </w:numPr>
        <w:spacing w:line="480" w:lineRule="auto"/>
        <w:rPr>
          <w:rFonts w:ascii="Times New Roman" w:hAnsi="Times New Roman" w:eastAsia="黑体"/>
          <w:sz w:val="32"/>
          <w:szCs w:val="21"/>
        </w:rPr>
        <w:outlineLvl w:val="0"/>
      </w:pPr>
      <w:r>
        <w:rPr>
          <w:rFonts w:hint="eastAsia" w:ascii="Times New Roman" w:hAnsi="Times New Roman" w:eastAsia="黑体"/>
          <w:sz w:val="36"/>
          <w:szCs w:val="21"/>
        </w:rPr>
        <w:t xml:space="preserve">磋商邀请…………………………………… 3</w:t>
      </w:r>
      <w:r/>
    </w:p>
    <w:p>
      <w:pPr>
        <w:numPr>
          <w:ilvl w:val="0"/>
          <w:numId w:val="4"/>
        </w:numPr>
        <w:spacing w:line="480" w:lineRule="auto"/>
        <w:rPr>
          <w:rFonts w:ascii="Times New Roman" w:hAnsi="Times New Roman" w:eastAsia="黑体"/>
          <w:sz w:val="36"/>
          <w:szCs w:val="21"/>
        </w:rPr>
        <w:outlineLvl w:val="0"/>
      </w:pPr>
      <w:r>
        <w:rPr>
          <w:rFonts w:hint="eastAsia" w:ascii="Times New Roman" w:hAnsi="Times New Roman" w:eastAsia="黑体"/>
          <w:bCs/>
          <w:sz w:val="36"/>
          <w:szCs w:val="36"/>
        </w:rPr>
        <w:t xml:space="preserve">供应商须知</w:t>
      </w:r>
      <w:r>
        <w:rPr>
          <w:rFonts w:hint="eastAsia" w:ascii="Times New Roman" w:hAnsi="Times New Roman" w:eastAsia="黑体"/>
          <w:sz w:val="36"/>
          <w:szCs w:val="36"/>
        </w:rPr>
        <w:t xml:space="preserve">…</w:t>
      </w:r>
      <w:r>
        <w:rPr>
          <w:rFonts w:hint="eastAsia" w:ascii="Times New Roman" w:hAnsi="Times New Roman" w:eastAsia="黑体"/>
          <w:sz w:val="36"/>
          <w:szCs w:val="21"/>
        </w:rPr>
        <w:t xml:space="preserve">……………………………… 8</w:t>
      </w:r>
      <w:r/>
    </w:p>
    <w:p>
      <w:pPr>
        <w:numPr>
          <w:ilvl w:val="0"/>
          <w:numId w:val="4"/>
        </w:numPr>
        <w:spacing w:line="480" w:lineRule="auto"/>
        <w:rPr>
          <w:rFonts w:ascii="Times New Roman" w:hAnsi="Times New Roman" w:eastAsia="黑体"/>
          <w:sz w:val="36"/>
          <w:szCs w:val="21"/>
        </w:rPr>
        <w:outlineLvl w:val="0"/>
      </w:pPr>
      <w:r>
        <w:rPr>
          <w:rFonts w:hint="eastAsia" w:ascii="Times New Roman" w:hAnsi="Times New Roman" w:eastAsia="黑体"/>
          <w:sz w:val="36"/>
          <w:szCs w:val="21"/>
        </w:rPr>
        <w:t xml:space="preserve">合同文本……………………………………2</w:t>
      </w:r>
      <w:r>
        <w:rPr>
          <w:rFonts w:ascii="Times New Roman" w:hAnsi="Times New Roman" w:eastAsia="黑体"/>
          <w:sz w:val="36"/>
          <w:szCs w:val="21"/>
        </w:rPr>
        <w:t xml:space="preserve">4</w:t>
      </w:r>
      <w:r/>
    </w:p>
    <w:p>
      <w:pPr>
        <w:numPr>
          <w:ilvl w:val="0"/>
          <w:numId w:val="4"/>
        </w:numPr>
        <w:spacing w:line="480" w:lineRule="auto"/>
        <w:rPr>
          <w:rFonts w:ascii="Times New Roman" w:hAnsi="Times New Roman" w:eastAsia="黑体"/>
          <w:sz w:val="36"/>
          <w:szCs w:val="21"/>
        </w:rPr>
        <w:outlineLvl w:val="0"/>
      </w:pPr>
      <w:r>
        <w:rPr>
          <w:rFonts w:hint="eastAsia" w:ascii="Times New Roman" w:hAnsi="Times New Roman" w:eastAsia="黑体"/>
          <w:sz w:val="36"/>
          <w:szCs w:val="21"/>
        </w:rPr>
        <w:t xml:space="preserve">采购需求……………………………………</w:t>
      </w:r>
      <w:r>
        <w:rPr>
          <w:rFonts w:ascii="Times New Roman" w:hAnsi="Times New Roman" w:eastAsia="黑体"/>
          <w:sz w:val="36"/>
          <w:szCs w:val="21"/>
        </w:rPr>
        <w:t xml:space="preserve">39</w:t>
      </w:r>
      <w:r/>
    </w:p>
    <w:p>
      <w:pPr>
        <w:numPr>
          <w:ilvl w:val="0"/>
          <w:numId w:val="4"/>
        </w:numPr>
        <w:spacing w:line="480" w:lineRule="auto"/>
        <w:rPr>
          <w:rFonts w:ascii="Times New Roman" w:hAnsi="Times New Roman" w:eastAsia="黑体"/>
          <w:sz w:val="36"/>
          <w:szCs w:val="21"/>
        </w:rPr>
        <w:outlineLvl w:val="0"/>
      </w:pPr>
      <w:r>
        <w:rPr>
          <w:rFonts w:hint="eastAsia" w:ascii="Times New Roman" w:hAnsi="Times New Roman" w:eastAsia="黑体"/>
          <w:bCs/>
          <w:sz w:val="36"/>
          <w:szCs w:val="36"/>
        </w:rPr>
        <w:t xml:space="preserve">评审方法与评审标准</w:t>
      </w:r>
      <w:r>
        <w:rPr>
          <w:rFonts w:hint="eastAsia" w:ascii="Times New Roman" w:hAnsi="Times New Roman" w:eastAsia="黑体"/>
          <w:sz w:val="36"/>
          <w:szCs w:val="21"/>
        </w:rPr>
        <w:t xml:space="preserve">………………………</w:t>
      </w:r>
      <w:r>
        <w:rPr>
          <w:rFonts w:ascii="Times New Roman" w:hAnsi="Times New Roman" w:eastAsia="黑体"/>
          <w:sz w:val="36"/>
          <w:szCs w:val="21"/>
        </w:rPr>
        <w:t xml:space="preserve">42</w:t>
      </w:r>
      <w:r/>
    </w:p>
    <w:p>
      <w:pPr>
        <w:numPr>
          <w:ilvl w:val="0"/>
          <w:numId w:val="4"/>
        </w:numPr>
        <w:spacing w:line="480" w:lineRule="auto"/>
        <w:rPr>
          <w:rFonts w:ascii="Times New Roman" w:hAnsi="Times New Roman" w:eastAsia="黑体"/>
          <w:sz w:val="36"/>
          <w:szCs w:val="21"/>
        </w:rPr>
        <w:outlineLvl w:val="0"/>
      </w:pPr>
      <w:r>
        <w:rPr>
          <w:rFonts w:hint="eastAsia" w:ascii="Times New Roman" w:hAnsi="Times New Roman" w:eastAsia="黑体"/>
          <w:sz w:val="36"/>
          <w:szCs w:val="21"/>
        </w:rPr>
        <w:t xml:space="preserve">响应文件格式………………………………</w:t>
      </w:r>
      <w:r>
        <w:rPr>
          <w:rFonts w:ascii="Times New Roman" w:hAnsi="Times New Roman" w:eastAsia="黑体"/>
          <w:sz w:val="36"/>
          <w:szCs w:val="21"/>
        </w:rPr>
        <w:t xml:space="preserve">46</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rPr>
          <w:rFonts w:ascii="Times New Roman" w:hAnsi="Times New Roman" w:eastAsia="黑体"/>
          <w:bCs/>
          <w:sz w:val="44"/>
          <w:szCs w:val="44"/>
        </w:rPr>
        <w:outlineLvl w:val="0"/>
      </w:pPr>
      <w:r>
        <w:rPr>
          <w:rFonts w:hint="eastAsia" w:ascii="Times New Roman" w:hAnsi="Times New Roman" w:eastAsia="黑体"/>
          <w:sz w:val="44"/>
          <w:szCs w:val="44"/>
        </w:rPr>
        <w:t xml:space="preserve">第一章  </w:t>
      </w:r>
      <w:bookmarkEnd w:id="0"/>
      <w:r>
        <w:rPr>
          <w:rFonts w:hint="eastAsia" w:ascii="Times New Roman" w:hAnsi="Times New Roman" w:eastAsia="黑体"/>
          <w:sz w:val="44"/>
          <w:szCs w:val="44"/>
        </w:rPr>
        <w:t xml:space="preserve">磋商邀请</w:t>
      </w:r>
      <w:r/>
    </w:p>
    <w:p>
      <w:pPr>
        <w:ind w:firstLine="480"/>
        <w:spacing w:line="360" w:lineRule="auto"/>
        <w:rPr>
          <w:rFonts w:ascii="Times New Roman" w:hAnsi="Times New Roman"/>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sz w:val="24"/>
          <w:szCs w:val="24"/>
        </w:rPr>
        <w:t xml:space="preserve">项目概况</w:t>
      </w:r>
      <w:r/>
    </w:p>
    <w:p>
      <w:pPr>
        <w:ind w:firstLine="480"/>
        <w:spacing w:line="360" w:lineRule="auto"/>
        <w:rPr>
          <w:rFonts w:ascii="Times New Roman" w:hAnsi="Times New Roman"/>
          <w:sz w:val="24"/>
          <w:szCs w:val="24"/>
          <w:u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sz w:val="24"/>
          <w:szCs w:val="24"/>
          <w:u w:val="none"/>
          <w:lang w:eastAsia="zh-CN"/>
        </w:rPr>
        <w:t xml:space="preserve">南京江北新区C-PARK污水预处理站运维服务（2026.9-2029.9）采购项目</w:t>
      </w:r>
      <w:r>
        <w:rPr>
          <w:rFonts w:hint="eastAsia" w:ascii="Times New Roman" w:hAnsi="Times New Roman"/>
          <w:sz w:val="24"/>
          <w:szCs w:val="24"/>
          <w:u w:val="none"/>
        </w:rPr>
        <w:t xml:space="preserve">的潜在供应商</w:t>
      </w:r>
      <w:r>
        <w:rPr>
          <w:rFonts w:hint="eastAsia" w:ascii="Times New Roman" w:hAnsi="Times New Roman"/>
          <w:sz w:val="24"/>
          <w:szCs w:val="24"/>
          <w:u w:val="none"/>
          <w:lang w:eastAsia="zh-CN"/>
        </w:rPr>
        <w:t xml:space="preserve">应</w:t>
      </w:r>
      <w:r>
        <w:rPr>
          <w:rFonts w:hint="eastAsia" w:ascii="Times New Roman" w:hAnsi="Times New Roman"/>
          <w:sz w:val="24"/>
          <w:szCs w:val="24"/>
          <w:u w:val="none"/>
        </w:rPr>
        <w:t xml:space="preserve">在“江苏政府采购</w:t>
      </w:r>
      <w:r>
        <w:rPr>
          <w:rFonts w:hint="eastAsia" w:ascii="Times New Roman" w:hAnsi="Times New Roman"/>
          <w:sz w:val="24"/>
          <w:szCs w:val="24"/>
          <w:u w:val="none"/>
          <w:lang w:eastAsia="zh-CN"/>
        </w:rPr>
        <w:t xml:space="preserve">网自行免费下载获取采购</w:t>
      </w:r>
      <w:r>
        <w:rPr>
          <w:rFonts w:hint="eastAsia" w:ascii="Times New Roman" w:hAnsi="Times New Roman"/>
          <w:sz w:val="24"/>
          <w:szCs w:val="24"/>
          <w:u w:val="none"/>
        </w:rPr>
        <w:t xml:space="preserve">文件，并于</w:t>
      </w:r>
      <w:r>
        <w:rPr>
          <w:rFonts w:ascii="Times New Roman" w:hAnsi="Times New Roman"/>
          <w:sz w:val="24"/>
          <w:szCs w:val="24"/>
          <w:u w:val="none"/>
        </w:rPr>
        <w:t xml:space="preserve">202</w:t>
      </w:r>
      <w:r>
        <w:rPr>
          <w:rFonts w:hint="eastAsia" w:ascii="Times New Roman" w:hAnsi="Times New Roman"/>
          <w:sz w:val="24"/>
          <w:szCs w:val="24"/>
          <w:u w:val="none"/>
          <w:lang w:val="en-US" w:eastAsia="zh-CN"/>
        </w:rPr>
        <w:t xml:space="preserve">6</w:t>
      </w:r>
      <w:r>
        <w:rPr>
          <w:rFonts w:hint="eastAsia" w:ascii="Times New Roman" w:hAnsi="Times New Roman"/>
          <w:bCs/>
          <w:sz w:val="24"/>
          <w:szCs w:val="24"/>
          <w:u w:val="none"/>
        </w:rPr>
        <w:t xml:space="preserve">年</w:t>
      </w:r>
      <w:r>
        <w:rPr>
          <w:rFonts w:ascii="Times New Roman" w:hAnsi="Times New Roman"/>
          <w:bCs/>
          <w:sz w:val="24"/>
          <w:szCs w:val="24"/>
          <w:u w:val="none"/>
        </w:rPr>
        <w:t xml:space="preserve">9</w:t>
      </w:r>
      <w:r>
        <w:rPr>
          <w:rFonts w:hint="eastAsia" w:ascii="Times New Roman" w:hAnsi="Times New Roman"/>
          <w:bCs/>
          <w:sz w:val="24"/>
          <w:szCs w:val="24"/>
          <w:u w:val="none"/>
        </w:rPr>
        <w:t xml:space="preserve">月</w:t>
      </w:r>
      <w:r>
        <w:rPr>
          <w:rFonts w:hint="eastAsia" w:ascii="Times New Roman" w:hAnsi="Times New Roman"/>
          <w:bCs/>
          <w:sz w:val="24"/>
          <w:szCs w:val="24"/>
          <w:u w:val="none"/>
          <w:lang w:val="en-US" w:eastAsia="zh-CN"/>
        </w:rPr>
        <w:t xml:space="preserve">18</w:t>
      </w:r>
      <w:r>
        <w:rPr>
          <w:rFonts w:hint="eastAsia" w:ascii="Times New Roman" w:hAnsi="Times New Roman"/>
          <w:bCs/>
          <w:sz w:val="24"/>
          <w:szCs w:val="24"/>
          <w:u w:val="none"/>
        </w:rPr>
        <w:t xml:space="preserve">日</w:t>
      </w:r>
      <w:r>
        <w:rPr>
          <w:rFonts w:ascii="Times New Roman" w:hAnsi="Times New Roman"/>
          <w:bCs/>
          <w:sz w:val="24"/>
          <w:szCs w:val="24"/>
          <w:u w:val="none"/>
        </w:rPr>
        <w:t xml:space="preserve">14</w:t>
      </w:r>
      <w:r>
        <w:rPr>
          <w:rFonts w:hint="eastAsia" w:ascii="Times New Roman" w:hAnsi="Times New Roman"/>
          <w:bCs/>
          <w:sz w:val="24"/>
          <w:szCs w:val="24"/>
          <w:u w:val="none"/>
        </w:rPr>
        <w:t xml:space="preserve">点</w:t>
      </w:r>
      <w:r>
        <w:rPr>
          <w:rFonts w:ascii="Times New Roman" w:hAnsi="Times New Roman"/>
          <w:bCs/>
          <w:sz w:val="24"/>
          <w:szCs w:val="24"/>
          <w:u w:val="none"/>
        </w:rPr>
        <w:t xml:space="preserve">3</w:t>
      </w:r>
      <w:r>
        <w:rPr>
          <w:rFonts w:hint="eastAsia" w:ascii="Times New Roman" w:hAnsi="Times New Roman"/>
          <w:bCs/>
          <w:sz w:val="24"/>
          <w:szCs w:val="24"/>
          <w:u w:val="none"/>
        </w:rPr>
        <w:t xml:space="preserve">0分（北京时间）前</w:t>
      </w:r>
      <w:r>
        <w:rPr>
          <w:rFonts w:hint="eastAsia" w:ascii="Times New Roman" w:hAnsi="Times New Roman"/>
          <w:bCs/>
          <w:sz w:val="24"/>
          <w:szCs w:val="24"/>
          <w:u w:val="none"/>
          <w:lang w:eastAsia="zh-CN"/>
        </w:rPr>
        <w:t xml:space="preserve">提交</w:t>
      </w:r>
      <w:r>
        <w:rPr>
          <w:rFonts w:hint="eastAsia" w:ascii="Times New Roman" w:hAnsi="Times New Roman"/>
          <w:bCs/>
          <w:sz w:val="24"/>
          <w:szCs w:val="24"/>
          <w:u w:val="none"/>
        </w:rPr>
        <w:t xml:space="preserve">响应文件</w:t>
      </w:r>
      <w:r>
        <w:rPr>
          <w:rFonts w:hint="eastAsia" w:ascii="Times New Roman" w:hAnsi="Times New Roman"/>
          <w:sz w:val="24"/>
          <w:szCs w:val="24"/>
          <w:u w:val="none"/>
        </w:rPr>
        <w:t xml:space="preserve">。</w:t>
      </w:r>
      <w:r/>
    </w:p>
    <w:p>
      <w:pPr>
        <w:keepLines/>
        <w:keepNext/>
        <w:spacing w:before="156" w:after="156" w:line="360" w:lineRule="auto"/>
        <w:rPr>
          <w:rFonts w:ascii="Times New Roman" w:hAnsi="Times New Roman"/>
          <w:b/>
          <w:bCs/>
          <w:sz w:val="32"/>
          <w:szCs w:val="32"/>
        </w:rPr>
        <w:outlineLvl w:val="2"/>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spacing w:line="360" w:lineRule="auto"/>
        <w:rPr>
          <w:rFonts w:hint="eastAsia" w:ascii="Times New Roman" w:hAnsi="Times New Roman" w:eastAsia="宋体"/>
          <w:sz w:val="24"/>
          <w:szCs w:val="24"/>
          <w:lang w:eastAsia="zh-CN"/>
        </w:rPr>
      </w:pPr>
      <w:r>
        <w:rPr>
          <w:rFonts w:hint="eastAsia" w:ascii="Times New Roman" w:hAnsi="Times New Roman"/>
          <w:sz w:val="24"/>
          <w:szCs w:val="24"/>
        </w:rPr>
        <w:t xml:space="preserve">项目编号：JSZC-320192-ZXTD-C2026-0007</w:t>
      </w:r>
      <w:bookmarkStart w:id="202" w:name="_GoBack"/>
      <w:r/>
      <w:bookmarkEnd w:id="202"/>
      <w:r/>
      <w:r/>
    </w:p>
    <w:p>
      <w:pPr>
        <w:spacing w:line="360" w:lineRule="auto"/>
        <w:rPr>
          <w:rFonts w:ascii="Times New Roman" w:hAnsi="Times New Roman"/>
          <w:sz w:val="24"/>
          <w:szCs w:val="24"/>
        </w:rPr>
      </w:pPr>
      <w:r>
        <w:rPr>
          <w:rFonts w:hint="eastAsia" w:ascii="Times New Roman" w:hAnsi="Times New Roman"/>
          <w:sz w:val="24"/>
          <w:szCs w:val="24"/>
        </w:rPr>
        <w:t xml:space="preserve">项目名称：</w:t>
      </w:r>
      <w:r>
        <w:rPr>
          <w:rFonts w:hint="eastAsia" w:ascii="Times New Roman" w:hAnsi="Times New Roman"/>
          <w:sz w:val="24"/>
          <w:szCs w:val="24"/>
          <w:lang w:eastAsia="zh-CN"/>
        </w:rPr>
        <w:t xml:space="preserve">南京江北新区C-PARK污水预处理站运维服务（2026.9-2029.9）</w:t>
      </w:r>
      <w:r>
        <w:rPr>
          <w:rFonts w:hint="eastAsia" w:ascii="Times New Roman" w:hAnsi="Times New Roman"/>
          <w:sz w:val="24"/>
          <w:szCs w:val="24"/>
        </w:rPr>
        <w:t xml:space="preserve"> </w:t>
      </w:r>
      <w:bookmarkEnd w:id="11"/>
      <w:r/>
      <w:r/>
    </w:p>
    <w:p>
      <w:pPr>
        <w:spacing w:line="360" w:lineRule="auto"/>
        <w:rPr>
          <w:rFonts w:ascii="Times New Roman" w:hAnsi="Times New Roman"/>
          <w:sz w:val="24"/>
          <w:szCs w:val="24"/>
        </w:rPr>
      </w:pPr>
      <w:r/>
      <w:bookmarkStart w:id="12" w:name="_Toc38985264"/>
      <w:r/>
      <w:bookmarkStart w:id="13" w:name="_Toc35393622"/>
      <w:r/>
      <w:bookmarkStart w:id="14" w:name="_Toc35393791"/>
      <w:r/>
      <w:bookmarkStart w:id="15" w:name="_Toc28359003"/>
      <w:r/>
      <w:bookmarkStart w:id="16" w:name="_Toc28359080"/>
      <w:r>
        <w:rPr>
          <w:rFonts w:hint="eastAsia" w:ascii="Times New Roman" w:hAnsi="Times New Roman"/>
          <w:sz w:val="24"/>
          <w:szCs w:val="24"/>
        </w:rPr>
        <w:t xml:space="preserve">采购方式：竞争性磋商 </w:t>
      </w:r>
      <w:r/>
    </w:p>
    <w:p>
      <w:pPr>
        <w:spacing w:line="360" w:lineRule="auto"/>
        <w:rPr>
          <w:rFonts w:ascii="Times New Roman" w:hAnsi="Times New Roman"/>
          <w:sz w:val="24"/>
          <w:szCs w:val="24"/>
        </w:rPr>
      </w:pPr>
      <w:r>
        <w:rPr>
          <w:rFonts w:hint="eastAsia" w:ascii="Times New Roman" w:hAnsi="Times New Roman"/>
          <w:sz w:val="24"/>
          <w:szCs w:val="24"/>
        </w:rPr>
        <w:t xml:space="preserve">预算金额：</w:t>
      </w:r>
      <w:r>
        <w:rPr>
          <w:rFonts w:hint="eastAsia" w:ascii="Times New Roman" w:hAnsi="Times New Roman"/>
          <w:sz w:val="24"/>
          <w:szCs w:val="24"/>
          <w:lang w:val="en-US" w:eastAsia="zh-CN"/>
        </w:rPr>
        <w:t xml:space="preserve">210</w:t>
      </w:r>
      <w:r>
        <w:rPr>
          <w:rFonts w:hint="eastAsia" w:ascii="Times New Roman" w:hAnsi="Times New Roman"/>
          <w:sz w:val="24"/>
          <w:szCs w:val="24"/>
        </w:rPr>
        <w:t xml:space="preserve">万元</w:t>
      </w:r>
      <w:r/>
    </w:p>
    <w:p>
      <w:pPr>
        <w:spacing w:line="360" w:lineRule="auto"/>
        <w:rPr>
          <w:rFonts w:hint="eastAsia" w:ascii="Times New Roman" w:hAnsi="Times New Roman"/>
          <w:sz w:val="24"/>
          <w:szCs w:val="24"/>
          <w:lang w:val="en-US" w:eastAsia="zh-CN"/>
        </w:rPr>
      </w:pPr>
      <w:r>
        <w:rPr>
          <w:rFonts w:hint="eastAsia" w:ascii="Times New Roman" w:hAnsi="Times New Roman"/>
          <w:sz w:val="24"/>
          <w:szCs w:val="24"/>
        </w:rPr>
        <w:t xml:space="preserve">最高限价（如有）：</w:t>
      </w:r>
      <w:r>
        <w:rPr>
          <w:rFonts w:hint="eastAsia" w:ascii="Times New Roman" w:hAnsi="Times New Roman"/>
          <w:sz w:val="24"/>
          <w:szCs w:val="24"/>
          <w:lang w:val="en-US" w:eastAsia="zh-CN"/>
        </w:rPr>
        <w:t xml:space="preserve">70万元/年（三年210万元）</w:t>
      </w:r>
      <w:r/>
    </w:p>
    <w:p>
      <w:pPr>
        <w:spacing w:line="360" w:lineRule="auto"/>
        <w:rPr>
          <w:rFonts w:hint="eastAsia" w:ascii="Times New Roman" w:hAnsi="Times New Roman"/>
          <w:sz w:val="24"/>
          <w:szCs w:val="24"/>
        </w:rPr>
      </w:pPr>
      <w:r>
        <w:rPr>
          <w:rFonts w:hint="eastAsia" w:ascii="Times New Roman" w:hAnsi="Times New Roman"/>
          <w:sz w:val="24"/>
          <w:szCs w:val="24"/>
        </w:rPr>
        <w:t xml:space="preserve">采购需求：</w:t>
      </w:r>
      <w:r/>
    </w:p>
    <w:p>
      <w:pPr>
        <w:spacing w:line="360" w:lineRule="auto"/>
        <w:rPr>
          <w:rFonts w:ascii="Times New Roman" w:hAnsi="Times New Roman"/>
          <w:sz w:val="24"/>
          <w:szCs w:val="24"/>
        </w:rPr>
      </w:pPr>
      <w:r>
        <w:rPr>
          <w:rFonts w:hint="eastAsia" w:ascii="Times New Roman" w:hAnsi="Times New Roman"/>
          <w:sz w:val="24"/>
          <w:szCs w:val="24"/>
        </w:rPr>
        <w:t xml:space="preserve">供应商需配备合格的专职操作、维修人员，服务于污水站日常运营，包括但不限于设备维修和设备保养，以保证污水处理站的正常运行和污水达标排放；污水站水处理系统日常运营药剂的配备；负责C-PARK综合服务区污水收集罐及相关设施的维护和运营</w:t>
      </w:r>
      <w:r>
        <w:rPr>
          <w:rFonts w:hint="eastAsia" w:ascii="Times New Roman" w:hAnsi="Times New Roman"/>
          <w:sz w:val="24"/>
          <w:szCs w:val="24"/>
          <w:lang w:eastAsia="zh-CN"/>
        </w:rPr>
        <w:t xml:space="preserve">。</w:t>
      </w:r>
      <w:r>
        <w:rPr>
          <w:rFonts w:hint="eastAsia" w:ascii="Times New Roman" w:hAnsi="Times New Roman"/>
          <w:sz w:val="24"/>
          <w:szCs w:val="24"/>
        </w:rPr>
        <w:t xml:space="preserve">其他详见竞争性</w:t>
      </w:r>
      <w:r>
        <w:rPr>
          <w:rFonts w:ascii="Times New Roman" w:hAnsi="Times New Roman"/>
          <w:sz w:val="24"/>
          <w:szCs w:val="24"/>
        </w:rPr>
        <w:t xml:space="preserve">磋商</w:t>
      </w:r>
      <w:r>
        <w:rPr>
          <w:rFonts w:hint="eastAsia" w:ascii="Times New Roman" w:hAnsi="Times New Roman"/>
          <w:sz w:val="24"/>
          <w:szCs w:val="24"/>
        </w:rPr>
        <w:t xml:space="preserve">文件。</w:t>
      </w:r>
      <w:r/>
    </w:p>
    <w:p>
      <w:pPr>
        <w:spacing w:line="360" w:lineRule="auto"/>
        <w:rPr>
          <w:rFonts w:hint="eastAsia" w:ascii="Times New Roman" w:hAnsi="Times New Roman" w:eastAsia="宋体"/>
          <w:sz w:val="24"/>
          <w:szCs w:val="24"/>
          <w:lang w:eastAsia="zh-CN"/>
        </w:rPr>
      </w:pPr>
      <w:r>
        <w:rPr>
          <w:rFonts w:hint="eastAsia" w:ascii="Times New Roman" w:hAnsi="Times New Roman"/>
          <w:sz w:val="24"/>
          <w:szCs w:val="24"/>
        </w:rPr>
        <w:t xml:space="preserve">合同履行期限：合同生效之日起三年，合同一年一签，每年服务期满</w:t>
      </w:r>
      <w:r>
        <w:rPr>
          <w:rFonts w:hint="eastAsia" w:ascii="Times New Roman" w:hAnsi="Times New Roman"/>
          <w:sz w:val="24"/>
          <w:szCs w:val="24"/>
          <w:lang w:eastAsia="zh-CN"/>
        </w:rPr>
        <w:t xml:space="preserve">一年，通过考核后方可续签下一年度合同。</w:t>
      </w:r>
      <w:r/>
    </w:p>
    <w:p>
      <w:pPr>
        <w:spacing w:line="360" w:lineRule="auto"/>
        <w:rPr>
          <w:rFonts w:ascii="Times New Roman" w:hAnsi="Times New Roman"/>
          <w:sz w:val="24"/>
          <w:szCs w:val="24"/>
        </w:rPr>
      </w:pPr>
      <w:r>
        <w:rPr>
          <w:rFonts w:hint="eastAsia" w:ascii="Times New Roman" w:hAnsi="Times New Roman"/>
          <w:sz w:val="24"/>
          <w:szCs w:val="24"/>
        </w:rPr>
        <w:t xml:space="preserve">本项目（是/否）接受联合体：否</w:t>
      </w:r>
      <w:r/>
    </w:p>
    <w:p>
      <w:pPr>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二、申请人的资格要求：</w:t>
      </w:r>
      <w:bookmarkEnd w:id="12"/>
      <w:r/>
      <w:bookmarkEnd w:id="13"/>
      <w:r/>
      <w:bookmarkEnd w:id="14"/>
      <w:r/>
      <w:bookmarkEnd w:id="15"/>
      <w:r/>
      <w:bookmarkEnd w:id="16"/>
      <w:r/>
      <w:bookmarkStart w:id="17" w:name="_Toc28359004"/>
      <w:r/>
      <w:bookmarkStart w:id="18" w:name="_Toc35393623"/>
      <w:r/>
      <w:bookmarkStart w:id="19" w:name="_Toc35393792"/>
      <w:r/>
      <w:bookmarkStart w:id="20" w:name="_Toc38985265"/>
      <w:r/>
      <w:bookmarkStart w:id="21" w:name="_Toc28359081"/>
      <w:r/>
      <w:r/>
    </w:p>
    <w:p>
      <w:pPr>
        <w:spacing w:line="360" w:lineRule="auto"/>
        <w:rPr>
          <w:rFonts w:hint="eastAsia" w:ascii="Times New Roman" w:hAnsi="Times New Roman"/>
          <w:sz w:val="24"/>
          <w:szCs w:val="24"/>
        </w:rPr>
      </w:pPr>
      <w:r>
        <w:rPr>
          <w:rFonts w:hint="eastAsia" w:ascii="Times New Roman" w:hAnsi="Times New Roman"/>
          <w:sz w:val="24"/>
          <w:szCs w:val="24"/>
        </w:rPr>
        <w:t xml:space="preserve">（一）满足《中华人民共和国政府采购法》第二十二条规定：</w:t>
      </w:r>
      <w:r/>
    </w:p>
    <w:p>
      <w:pPr>
        <w:spacing w:line="360" w:lineRule="auto"/>
        <w:rPr>
          <w:rFonts w:hint="eastAsia" w:ascii="Times New Roman" w:hAnsi="Times New Roman"/>
          <w:sz w:val="24"/>
          <w:szCs w:val="24"/>
          <w:lang w:eastAsia="zh-CN"/>
        </w:rPr>
      </w:pPr>
      <w:r>
        <w:rPr>
          <w:rFonts w:hint="eastAsia" w:ascii="Times New Roman" w:hAnsi="Times New Roman"/>
          <w:sz w:val="24"/>
          <w:szCs w:val="24"/>
        </w:rPr>
        <w:t xml:space="preserve">1.</w:t>
      </w:r>
      <w:r>
        <w:rPr>
          <w:rFonts w:hint="eastAsia" w:ascii="Times New Roman" w:hAnsi="Times New Roman"/>
          <w:sz w:val="24"/>
          <w:szCs w:val="24"/>
          <w:lang w:eastAsia="zh-CN"/>
        </w:rPr>
        <w:t xml:space="preserve">提供《南京市政府采购供应商信用承诺书》（格式详见第六章）</w:t>
      </w:r>
      <w:r/>
    </w:p>
    <w:p>
      <w:pPr>
        <w:spacing w:line="360" w:lineRule="auto"/>
        <w:rPr>
          <w:rFonts w:ascii="Times New Roman" w:hAnsi="Times New Roman"/>
          <w:sz w:val="24"/>
          <w:szCs w:val="24"/>
        </w:rPr>
      </w:pPr>
      <w:r>
        <w:rPr>
          <w:rFonts w:hint="eastAsia" w:ascii="Times New Roman" w:hAnsi="Times New Roman"/>
          <w:sz w:val="24"/>
          <w:szCs w:val="24"/>
        </w:rPr>
        <w:t xml:space="preserve">（二）落实政府采购政策需满足的资格要求：本项目专门面向中小微企业采购，供应商应为中小微企业、监狱戒毒企业、残疾人福利性单位。须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ascii="Times New Roman" w:hAnsi="Times New Roman"/>
          <w:sz w:val="24"/>
          <w:szCs w:val="24"/>
        </w:rPr>
        <w:t xml:space="preserve"> </w:t>
      </w:r>
      <w:r/>
    </w:p>
    <w:p>
      <w:pPr>
        <w:spacing w:line="360" w:lineRule="auto"/>
        <w:rPr>
          <w:rFonts w:hint="eastAsia" w:ascii="Times New Roman" w:hAnsi="Times New Roman"/>
          <w:sz w:val="24"/>
          <w:szCs w:val="24"/>
          <w:lang w:eastAsia="zh-CN"/>
        </w:rPr>
      </w:pPr>
      <w:r>
        <w:rPr>
          <w:rFonts w:hint="eastAsia" w:ascii="Times New Roman" w:hAnsi="Times New Roman"/>
          <w:sz w:val="24"/>
          <w:szCs w:val="24"/>
        </w:rPr>
        <w:t xml:space="preserve">（三）本项目的特定资格要求：</w:t>
      </w:r>
      <w:r>
        <w:rPr>
          <w:rFonts w:hint="eastAsia" w:ascii="Times New Roman" w:hAnsi="Times New Roman"/>
          <w:sz w:val="24"/>
          <w:szCs w:val="24"/>
          <w:lang w:eastAsia="zh-CN"/>
        </w:rPr>
        <w:t xml:space="preserve">无。</w:t>
      </w:r>
      <w:r/>
    </w:p>
    <w:p>
      <w:pPr>
        <w:spacing w:line="360" w:lineRule="auto"/>
        <w:rPr>
          <w:rFonts w:hint="eastAsia" w:ascii="Times New Roman" w:hAnsi="Times New Roman"/>
          <w:sz w:val="24"/>
          <w:szCs w:val="24"/>
          <w:lang w:eastAsia="zh-CN"/>
        </w:rPr>
      </w:pPr>
      <w:r>
        <w:rPr>
          <w:rFonts w:hint="eastAsia" w:ascii="Times New Roman" w:hAnsi="Times New Roman"/>
          <w:sz w:val="24"/>
          <w:szCs w:val="24"/>
        </w:rPr>
        <w:t xml:space="preserve">（四）拒绝下述供应商参加本次采购活动：</w:t>
      </w:r>
      <w:r/>
    </w:p>
    <w:p>
      <w:pPr>
        <w:spacing w:line="360" w:lineRule="auto"/>
        <w:rPr>
          <w:rFonts w:ascii="宋体" w:hAnsi="宋体"/>
          <w:sz w:val="24"/>
          <w:szCs w:val="24"/>
        </w:rPr>
      </w:pPr>
      <w:r>
        <w:rPr>
          <w:rFonts w:hint="eastAsia" w:ascii="宋体" w:hAnsi="宋体"/>
          <w:sz w:val="24"/>
          <w:szCs w:val="24"/>
        </w:rPr>
        <w:t xml:space="preserve">1、拒绝下述供应商参加本次采购活动（提供</w:t>
      </w:r>
      <w:r>
        <w:rPr>
          <w:rFonts w:ascii="宋体" w:hAnsi="宋体"/>
          <w:sz w:val="24"/>
          <w:szCs w:val="24"/>
        </w:rPr>
        <w:t xml:space="preserve">承诺书，格式详见第六章</w:t>
      </w:r>
      <w:r>
        <w:rPr>
          <w:rFonts w:hint="eastAsia"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（1）供应商单位负责人为同一人或者存在直接控股、管理关系的不同供应商，不得参加同一合同项下的政府采购活动；</w:t>
      </w:r>
      <w:r/>
    </w:p>
    <w:p>
      <w:pPr>
        <w:spacing w:line="360"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jc w:val="left"/>
        <w:spacing w:line="360"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（3）供应商被“信用中国”网站（www.creditchina.gov.cn）、“中国政府采购网”(www.ccgp.gov.cn)列入失信被执行人、重大税收违法失信主体、政府采购严重违法失信行为记录名单。</w:t>
      </w:r>
      <w:r/>
    </w:p>
    <w:p>
      <w:pPr>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采购文件</w:t>
      </w:r>
      <w:r/>
    </w:p>
    <w:p>
      <w:pPr>
        <w:spacing w:line="360" w:lineRule="auto"/>
        <w:rPr>
          <w:rFonts w:ascii="宋体" w:hAnsi="宋体"/>
          <w:sz w:val="24"/>
          <w:szCs w:val="24"/>
        </w:rPr>
      </w:pPr>
      <w:r>
        <w:rPr>
          <w:rFonts w:hint="eastAsia" w:ascii="宋体" w:hAnsi="宋体"/>
          <w:sz w:val="24"/>
          <w:szCs w:val="24"/>
        </w:rPr>
        <w:t xml:space="preserve">时间：自磋商文件公告发布之日起5个工作日 </w:t>
      </w:r>
      <w:r/>
    </w:p>
    <w:p>
      <w:pPr>
        <w:spacing w:line="360" w:lineRule="auto"/>
        <w:rPr>
          <w:rFonts w:ascii="宋体" w:hAnsi="宋体"/>
          <w:sz w:val="24"/>
          <w:szCs w:val="24"/>
        </w:rPr>
      </w:pPr>
      <w:r>
        <w:rPr>
          <w:rFonts w:hint="eastAsia" w:ascii="宋体" w:hAnsi="宋体"/>
          <w:sz w:val="24"/>
          <w:szCs w:val="24"/>
        </w:rPr>
        <w:t xml:space="preserve">地点：江苏政府采购网 </w:t>
      </w:r>
      <w:r/>
    </w:p>
    <w:p>
      <w:pPr>
        <w:spacing w:line="360" w:lineRule="auto"/>
        <w:rPr>
          <w:rFonts w:hint="eastAsia" w:ascii="宋体" w:hAnsi="宋体"/>
          <w:sz w:val="24"/>
          <w:szCs w:val="24"/>
          <w:lang w:eastAsia="zh-CN"/>
        </w:rPr>
      </w:pPr>
      <w:r>
        <w:rPr>
          <w:rFonts w:hint="eastAsia" w:ascii="宋体" w:hAnsi="宋体"/>
          <w:sz w:val="24"/>
          <w:szCs w:val="24"/>
        </w:rPr>
        <w:t xml:space="preserve">方式：</w:t>
      </w:r>
      <w:r>
        <w:rPr>
          <w:rFonts w:hint="eastAsia" w:ascii="宋体" w:hAnsi="宋体"/>
          <w:sz w:val="24"/>
          <w:szCs w:val="24"/>
          <w:lang w:eastAsia="zh-CN"/>
        </w:rPr>
        <w:t xml:space="preserve">网上自行下载</w:t>
      </w:r>
      <w:r/>
    </w:p>
    <w:p>
      <w:pPr>
        <w:spacing w:line="360" w:lineRule="auto"/>
        <w:rPr>
          <w:rFonts w:ascii="宋体" w:hAnsi="宋体"/>
          <w:sz w:val="24"/>
          <w:szCs w:val="24"/>
        </w:rPr>
      </w:pPr>
      <w:r>
        <w:rPr>
          <w:rFonts w:hint="eastAsia" w:ascii="宋体" w:hAnsi="宋体"/>
          <w:sz w:val="24"/>
          <w:szCs w:val="24"/>
        </w:rPr>
        <w:t xml:space="preserve">售价：0.00元</w:t>
      </w:r>
      <w:r/>
    </w:p>
    <w:p>
      <w:pPr>
        <w:keepLines/>
        <w:keepNext/>
        <w:spacing w:before="156" w:after="156" w:line="360" w:lineRule="auto"/>
        <w:rPr>
          <w:rFonts w:ascii="Times New Roman" w:hAnsi="Times New Roman"/>
          <w:b/>
          <w:bCs/>
          <w:sz w:val="32"/>
          <w:szCs w:val="32"/>
        </w:rPr>
        <w:outlineLvl w:val="2"/>
      </w:pPr>
      <w:r/>
      <w:bookmarkStart w:id="22" w:name="_Toc28359005"/>
      <w:r/>
      <w:bookmarkStart w:id="23" w:name="_Toc28359082"/>
      <w:r/>
      <w:bookmarkStart w:id="24" w:name="_Toc35393793"/>
      <w:r/>
      <w:bookmarkStart w:id="25" w:name="_Toc35393624"/>
      <w:r/>
      <w:bookmarkStart w:id="26" w:name="_Toc38985266"/>
      <w:r>
        <w:rPr>
          <w:rFonts w:hint="eastAsia" w:ascii="Times New Roman" w:hAnsi="Times New Roman"/>
          <w:b/>
          <w:bCs/>
          <w:sz w:val="32"/>
          <w:szCs w:val="32"/>
        </w:rPr>
        <w:t xml:space="preserve">四、</w:t>
      </w:r>
      <w:bookmarkEnd w:id="22"/>
      <w:r/>
      <w:bookmarkEnd w:id="23"/>
      <w:r>
        <w:rPr>
          <w:rFonts w:hint="eastAsia" w:ascii="Times New Roman" w:hAnsi="Times New Roman"/>
          <w:b/>
          <w:bCs/>
          <w:sz w:val="32"/>
          <w:szCs w:val="32"/>
        </w:rPr>
        <w:t xml:space="preserve">响应文件</w:t>
      </w:r>
      <w:bookmarkEnd w:id="24"/>
      <w:r/>
      <w:bookmarkEnd w:id="25"/>
      <w:r/>
      <w:bookmarkEnd w:id="26"/>
      <w:r>
        <w:rPr>
          <w:rFonts w:hint="eastAsia" w:ascii="Times New Roman" w:hAnsi="Times New Roman"/>
          <w:b/>
          <w:bCs/>
          <w:sz w:val="32"/>
          <w:szCs w:val="32"/>
        </w:rPr>
        <w:t xml:space="preserve">提交</w:t>
      </w:r>
      <w:r/>
    </w:p>
    <w:p>
      <w:pPr>
        <w:spacing w:line="360" w:lineRule="auto"/>
        <w:rPr>
          <w:rFonts w:ascii="宋体" w:hAnsi="宋体"/>
          <w:sz w:val="24"/>
          <w:szCs w:val="24"/>
        </w:rPr>
      </w:pPr>
      <w:r/>
      <w:bookmarkStart w:id="27" w:name="_Toc35393794"/>
      <w:r/>
      <w:bookmarkStart w:id="28" w:name="_Toc28359084"/>
      <w:r/>
      <w:bookmarkStart w:id="29" w:name="_Toc35393625"/>
      <w:r/>
      <w:bookmarkStart w:id="30" w:name="_Toc28359007"/>
      <w:r/>
      <w:bookmarkStart w:id="31" w:name="_Toc38985267"/>
      <w:r>
        <w:rPr>
          <w:rFonts w:hint="eastAsia" w:ascii="宋体" w:hAnsi="宋体"/>
          <w:sz w:val="24"/>
          <w:szCs w:val="24"/>
        </w:rPr>
        <w:t xml:space="preserve">截止时间</w:t>
      </w:r>
      <w:r>
        <w:rPr>
          <w:rFonts w:hint="eastAsia" w:ascii="宋体" w:hAnsi="宋体"/>
          <w:sz w:val="24"/>
          <w:szCs w:val="24"/>
          <w:lang w:eastAsia="zh-CN"/>
        </w:rPr>
        <w:t xml:space="preserve">：</w:t>
      </w:r>
      <w:r>
        <w:rPr>
          <w:rFonts w:hint="eastAsia" w:ascii="宋体" w:hAnsi="宋体"/>
          <w:sz w:val="24"/>
          <w:szCs w:val="24"/>
        </w:rPr>
        <w:t xml:space="preserve">202</w:t>
      </w:r>
      <w:r>
        <w:rPr>
          <w:rFonts w:hint="eastAsia" w:ascii="宋体" w:hAnsi="宋体"/>
          <w:sz w:val="24"/>
          <w:szCs w:val="24"/>
          <w:lang w:val="en-US" w:eastAsia="zh-CN"/>
        </w:rPr>
        <w:t xml:space="preserve">6</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w:t>
      </w:r>
      <w:r>
        <w:rPr>
          <w:rFonts w:hint="eastAsia" w:ascii="宋体" w:hAnsi="宋体"/>
          <w:sz w:val="24"/>
          <w:szCs w:val="24"/>
          <w:lang w:val="en-US" w:eastAsia="zh-CN"/>
        </w:rPr>
        <w:t xml:space="preserve">18</w:t>
      </w:r>
      <w:r>
        <w:rPr>
          <w:rFonts w:ascii="宋体" w:hAnsi="宋体"/>
          <w:sz w:val="24"/>
          <w:szCs w:val="24"/>
        </w:rPr>
        <w:t xml:space="preserve"> 14</w:t>
      </w:r>
      <w:r>
        <w:rPr>
          <w:rFonts w:hint="eastAsia" w:ascii="宋体" w:hAnsi="宋体"/>
          <w:sz w:val="24"/>
          <w:szCs w:val="24"/>
        </w:rPr>
        <w:t xml:space="preserve">:30 （北京时间）</w:t>
      </w:r>
      <w:r/>
    </w:p>
    <w:p>
      <w:pPr>
        <w:spacing w:line="360" w:lineRule="auto"/>
        <w:rPr>
          <w:rFonts w:ascii="宋体" w:hAnsi="宋体"/>
          <w:sz w:val="24"/>
          <w:szCs w:val="24"/>
        </w:rPr>
      </w:pPr>
      <w:r>
        <w:rPr>
          <w:rFonts w:hint="eastAsia" w:ascii="宋体" w:hAnsi="宋体"/>
          <w:sz w:val="24"/>
          <w:szCs w:val="24"/>
        </w:rPr>
        <w:t xml:space="preserve">地点：苏采云”政府采购交易系统</w:t>
      </w:r>
      <w:bookmarkEnd w:id="27"/>
      <w:r/>
      <w:bookmarkEnd w:id="28"/>
      <w:r/>
      <w:bookmarkEnd w:id="29"/>
      <w:r/>
      <w:bookmarkEnd w:id="30"/>
      <w:r/>
      <w:bookmarkEnd w:id="31"/>
      <w:r/>
      <w:r/>
    </w:p>
    <w:p>
      <w:pPr>
        <w:pStyle w:val="716"/>
        <w:jc w:val="left"/>
        <w:spacing w:before="0" w:after="0"/>
        <w:shd w:val="clear" w:color="auto" w:fill="ffffff"/>
        <w:rPr>
          <w:rFonts w:ascii="Times New Roman" w:hAnsi="Times New Roman" w:eastAsia="宋体"/>
          <w:sz w:val="32"/>
          <w:szCs w:val="32"/>
          <w:lang w:eastAsia="zh-CN"/>
        </w:rPr>
      </w:pPr>
      <w:r/>
      <w:bookmarkStart w:id="32" w:name="_Toc120614211"/>
      <w:r>
        <w:rPr>
          <w:rFonts w:hint="eastAsia" w:ascii="Times New Roman" w:hAnsi="Times New Roman" w:eastAsia="宋体"/>
          <w:sz w:val="32"/>
          <w:szCs w:val="32"/>
          <w:lang w:eastAsia="zh-CN"/>
        </w:rPr>
        <w:t xml:space="preserve">五、开启</w:t>
      </w:r>
      <w:r/>
    </w:p>
    <w:p>
      <w:pPr>
        <w:pStyle w:val="757"/>
        <w:spacing w:before="0" w:beforeAutospacing="0" w:after="0" w:afterAutospacing="0" w:line="360" w:lineRule="auto"/>
        <w:shd w:val="clear" w:color="auto" w:fill="ffffff"/>
        <w:rPr>
          <w:rFonts w:cs="Times New Roman"/>
        </w:rPr>
      </w:pPr>
      <w:r>
        <w:rPr>
          <w:rFonts w:hint="eastAsia" w:cs="Times New Roman"/>
        </w:rPr>
        <w:t xml:space="preserve">时间：</w:t>
      </w:r>
      <w:r>
        <w:rPr>
          <w:rFonts w:hint="eastAsia" w:ascii="宋体" w:hAnsi="宋体"/>
          <w:sz w:val="24"/>
          <w:szCs w:val="24"/>
        </w:rPr>
        <w:t xml:space="preserve">202</w:t>
      </w:r>
      <w:r>
        <w:rPr>
          <w:rFonts w:hint="eastAsia" w:ascii="宋体" w:hAnsi="宋体"/>
          <w:sz w:val="24"/>
          <w:szCs w:val="24"/>
          <w:lang w:val="en-US" w:eastAsia="zh-CN"/>
        </w:rPr>
        <w:t xml:space="preserve">6</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w:t>
      </w:r>
      <w:r>
        <w:rPr>
          <w:rFonts w:hint="eastAsia"/>
          <w:sz w:val="24"/>
          <w:szCs w:val="24"/>
          <w:lang w:val="en-US" w:eastAsia="zh-CN"/>
        </w:rPr>
        <w:t xml:space="preserve">18</w:t>
      </w:r>
      <w:r>
        <w:rPr>
          <w:rFonts w:ascii="宋体" w:hAnsi="宋体"/>
          <w:sz w:val="24"/>
          <w:szCs w:val="24"/>
        </w:rPr>
        <w:t xml:space="preserve"> 14</w:t>
      </w:r>
      <w:r>
        <w:rPr>
          <w:rFonts w:hint="eastAsia" w:ascii="宋体" w:hAnsi="宋体"/>
          <w:sz w:val="24"/>
          <w:szCs w:val="24"/>
        </w:rPr>
        <w:t xml:space="preserve">:30 </w:t>
      </w:r>
      <w:r>
        <w:rPr>
          <w:rFonts w:hint="eastAsia" w:cs="Times New Roman"/>
        </w:rPr>
        <w:t xml:space="preserve">（北京时间）</w:t>
      </w:r>
      <w:r/>
    </w:p>
    <w:p>
      <w:pPr>
        <w:pStyle w:val="757"/>
        <w:spacing w:before="0" w:beforeAutospacing="0" w:after="0" w:afterAutospacing="0" w:line="360" w:lineRule="auto"/>
        <w:shd w:val="clear" w:color="auto" w:fill="ffffff"/>
        <w:rPr>
          <w:rFonts w:cs="Times New Roman"/>
        </w:rPr>
      </w:pPr>
      <w:r>
        <w:rPr>
          <w:rFonts w:hint="eastAsia" w:cs="Times New Roman"/>
        </w:rPr>
        <w:t xml:space="preserve">地点：</w:t>
      </w:r>
      <w:r>
        <w:rPr>
          <w:rFonts w:hint="eastAsia" w:ascii="宋体" w:hAnsi="宋体"/>
          <w:sz w:val="24"/>
          <w:szCs w:val="24"/>
        </w:rPr>
        <w:t xml:space="preserve">苏采云”政府采购交易系统</w:t>
      </w:r>
      <w:r/>
    </w:p>
    <w:p>
      <w:pPr>
        <w:keepLines/>
        <w:keepNext/>
        <w:spacing w:before="156" w:after="156" w:line="360" w:lineRule="auto"/>
        <w:rPr>
          <w:rFonts w:ascii="Times New Roman" w:hAnsi="Times New Roman"/>
          <w:b/>
          <w:bCs/>
          <w:sz w:val="32"/>
          <w:szCs w:val="32"/>
        </w:rPr>
        <w:outlineLvl w:val="2"/>
      </w:pPr>
      <w:r>
        <w:rPr>
          <w:rFonts w:hint="eastAsia" w:ascii="Times New Roman" w:hAnsi="Times New Roman"/>
          <w:b/>
          <w:sz w:val="32"/>
          <w:szCs w:val="32"/>
        </w:rPr>
        <w:t xml:space="preserve">六、公告期限</w:t>
      </w:r>
      <w:r/>
    </w:p>
    <w:p>
      <w:pPr>
        <w:spacing w:line="360" w:lineRule="auto"/>
        <w:rPr>
          <w:rFonts w:ascii="宋体" w:hAnsi="宋体"/>
          <w:sz w:val="24"/>
          <w:szCs w:val="24"/>
        </w:rPr>
      </w:pPr>
      <w:r>
        <w:rPr>
          <w:rFonts w:hint="eastAsia" w:ascii="宋体" w:hAnsi="宋体"/>
          <w:sz w:val="24"/>
          <w:szCs w:val="24"/>
        </w:rPr>
        <w:t xml:space="preserve">自本公告发布之日起3个工作日。</w:t>
      </w:r>
      <w:r/>
    </w:p>
    <w:p>
      <w:pPr>
        <w:pStyle w:val="716"/>
        <w:jc w:val="left"/>
        <w:spacing w:before="0" w:after="0"/>
        <w:shd w:val="clear" w:color="auto" w:fill="ffffff"/>
        <w:rPr>
          <w:rFonts w:ascii="Times New Roman" w:hAnsi="Times New Roman" w:eastAsia="宋体"/>
          <w:sz w:val="32"/>
          <w:szCs w:val="32"/>
          <w:lang w:eastAsia="zh-CN"/>
        </w:rPr>
      </w:pPr>
      <w:r>
        <w:rPr>
          <w:rFonts w:hint="eastAsia" w:ascii="Times New Roman" w:hAnsi="Times New Roman" w:eastAsia="宋体"/>
          <w:sz w:val="32"/>
          <w:szCs w:val="32"/>
          <w:lang w:eastAsia="zh-CN"/>
        </w:rPr>
        <w:t xml:space="preserve">七、其他补充事宜</w:t>
      </w:r>
      <w:r/>
    </w:p>
    <w:p>
      <w:pPr>
        <w:spacing w:line="360" w:lineRule="auto"/>
        <w:rPr>
          <w:rFonts w:hint="eastAsia" w:ascii="宋体" w:hAnsi="宋体" w:eastAsia="宋体"/>
          <w:sz w:val="24"/>
          <w:szCs w:val="24"/>
          <w:lang w:eastAsia="zh-CN"/>
        </w:rPr>
      </w:pPr>
      <w:r>
        <w:rPr>
          <w:rFonts w:hint="eastAsia" w:ascii="宋体" w:hAnsi="宋体"/>
          <w:sz w:val="24"/>
          <w:szCs w:val="24"/>
        </w:rPr>
        <w:t xml:space="preserve">7.1 </w:t>
      </w:r>
      <w:r>
        <w:rPr>
          <w:rFonts w:hint="eastAsia" w:ascii="宋体" w:hAnsi="宋体"/>
          <w:sz w:val="24"/>
          <w:szCs w:val="24"/>
          <w:lang w:eastAsia="zh-CN"/>
        </w:rPr>
        <w:t xml:space="preserve">污水预处理站地址：南京市江北新区罐区南路88号。</w:t>
      </w:r>
      <w:r/>
    </w:p>
    <w:p>
      <w:pPr>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2</w:t>
      </w:r>
      <w:r>
        <w:rPr>
          <w:rFonts w:hint="eastAsia" w:ascii="宋体" w:hAnsi="宋体"/>
          <w:sz w:val="24"/>
          <w:szCs w:val="24"/>
        </w:rPr>
        <w:t xml:space="preserve">政府采购信用承诺</w:t>
      </w:r>
      <w:r/>
    </w:p>
    <w:p>
      <w:pPr>
        <w:spacing w:line="360" w:lineRule="auto"/>
        <w:rPr>
          <w:rFonts w:ascii="宋体" w:hAnsi="宋体"/>
          <w:sz w:val="24"/>
          <w:szCs w:val="24"/>
        </w:rPr>
      </w:pPr>
      <w:r>
        <w:rPr>
          <w:rFonts w:hint="eastAsia" w:ascii="宋体" w:hAnsi="宋体"/>
          <w:sz w:val="24"/>
          <w:szCs w:val="24"/>
        </w:rPr>
        <w:t xml:space="preserve">根据《关于在政府采购活动中推行信用承诺制的通知》宁财购通〔2021〕5号规定，参加南京地区政府采购活动的供应商，应向采购人或政府采购代理机构作出信用承诺。信用承诺以《南京市政府采购供应商信用承诺书》体现。</w:t>
      </w:r>
      <w:r/>
    </w:p>
    <w:p>
      <w:pPr>
        <w:spacing w:line="360" w:lineRule="auto"/>
        <w:rPr>
          <w:rFonts w:ascii="宋体" w:hAnsi="宋体"/>
          <w:sz w:val="24"/>
          <w:szCs w:val="24"/>
        </w:rPr>
      </w:pPr>
      <w:r>
        <w:rPr>
          <w:rFonts w:hint="eastAsia" w:ascii="宋体" w:hAnsi="宋体"/>
          <w:sz w:val="24"/>
          <w:szCs w:val="24"/>
        </w:rPr>
        <w:t xml:space="preserve">供应商仅提供信用承诺书而未提供《中华人民共和国政府采购法》第二十二条规定中涉及的证明材料的，须在</w:t>
      </w:r>
      <w:r>
        <w:rPr>
          <w:rFonts w:hint="eastAsia" w:ascii="宋体" w:hAnsi="宋体"/>
          <w:sz w:val="24"/>
          <w:szCs w:val="24"/>
          <w:lang w:eastAsia="zh-CN"/>
        </w:rPr>
        <w:t xml:space="preserve">成交</w:t>
      </w:r>
      <w:r>
        <w:rPr>
          <w:rFonts w:hint="eastAsia" w:ascii="宋体" w:hAnsi="宋体"/>
          <w:sz w:val="24"/>
          <w:szCs w:val="24"/>
        </w:rPr>
        <w:t xml:space="preserve">后另行提供上述由信用承诺书替代的证明材料（一式三份），材料须加盖公章并按采购文件要求胶装提交采购人或采购代理机构核验。经核验无误后，由采购人或采购代理机构发出中标通知书。</w:t>
      </w:r>
      <w:r/>
    </w:p>
    <w:p>
      <w:pPr>
        <w:spacing w:line="360" w:lineRule="auto"/>
        <w:rPr>
          <w:rFonts w:ascii="宋体" w:hAnsi="宋体"/>
          <w:sz w:val="24"/>
          <w:szCs w:val="24"/>
        </w:rPr>
      </w:pPr>
      <w:r>
        <w:rPr>
          <w:rFonts w:hint="eastAsia" w:ascii="宋体" w:hAnsi="宋体"/>
          <w:sz w:val="24"/>
          <w:szCs w:val="24"/>
        </w:rPr>
        <w:t xml:space="preserve">在政府采购资格审查环节，供应商只需提供《</w:t>
      </w:r>
      <w:r>
        <w:rPr>
          <w:rFonts w:hint="eastAsia" w:ascii="宋体" w:hAnsi="宋体"/>
          <w:sz w:val="24"/>
          <w:szCs w:val="24"/>
          <w:lang w:eastAsia="zh-CN"/>
        </w:rPr>
        <w:t xml:space="preserve">南京市政府采购供应商信用承诺书</w:t>
      </w:r>
      <w:r>
        <w:rPr>
          <w:rFonts w:hint="eastAsia" w:ascii="宋体" w:hAnsi="宋体"/>
          <w:sz w:val="24"/>
          <w:szCs w:val="24"/>
        </w:rPr>
        <w:t xml:space="preserve">》，即可替代以下证明材料：</w:t>
      </w:r>
      <w:r/>
    </w:p>
    <w:p>
      <w:pPr>
        <w:spacing w:line="360" w:lineRule="auto"/>
        <w:rPr>
          <w:rFonts w:ascii="宋体" w:hAnsi="宋体"/>
          <w:sz w:val="24"/>
          <w:szCs w:val="24"/>
        </w:rPr>
      </w:pPr>
      <w:r>
        <w:rPr>
          <w:rFonts w:hint="eastAsia" w:ascii="宋体" w:hAnsi="宋体"/>
          <w:sz w:val="24"/>
          <w:szCs w:val="24"/>
        </w:rPr>
        <w:t xml:space="preserve">（1）符合国家相关规定的财务状况报告；</w:t>
      </w:r>
      <w:r/>
    </w:p>
    <w:p>
      <w:pPr>
        <w:spacing w:line="360" w:lineRule="auto"/>
        <w:rPr>
          <w:rFonts w:ascii="宋体" w:hAnsi="宋体"/>
          <w:sz w:val="24"/>
          <w:szCs w:val="24"/>
        </w:rPr>
      </w:pPr>
      <w:r>
        <w:rPr>
          <w:rFonts w:hint="eastAsia" w:ascii="宋体" w:hAnsi="宋体"/>
          <w:sz w:val="24"/>
          <w:szCs w:val="24"/>
        </w:rPr>
        <w:t xml:space="preserve">（2）依法缴纳税收的证明材料；</w:t>
      </w:r>
      <w:r/>
    </w:p>
    <w:p>
      <w:pPr>
        <w:spacing w:line="360" w:lineRule="auto"/>
        <w:rPr>
          <w:rFonts w:ascii="宋体" w:hAnsi="宋体"/>
          <w:sz w:val="24"/>
          <w:szCs w:val="24"/>
        </w:rPr>
      </w:pPr>
      <w:r>
        <w:rPr>
          <w:rFonts w:hint="eastAsia" w:ascii="宋体" w:hAnsi="宋体"/>
          <w:sz w:val="24"/>
          <w:szCs w:val="24"/>
        </w:rPr>
        <w:t xml:space="preserve">（3）依法缴纳社会保障资金的证明材料；</w:t>
      </w:r>
      <w:r/>
    </w:p>
    <w:p>
      <w:pPr>
        <w:spacing w:line="360" w:lineRule="auto"/>
        <w:rPr>
          <w:rFonts w:ascii="宋体" w:hAnsi="宋体"/>
          <w:sz w:val="24"/>
          <w:szCs w:val="24"/>
        </w:rPr>
      </w:pPr>
      <w:r>
        <w:rPr>
          <w:rFonts w:hint="eastAsia" w:ascii="宋体" w:hAnsi="宋体"/>
          <w:sz w:val="24"/>
          <w:szCs w:val="24"/>
        </w:rPr>
        <w:t xml:space="preserve">（4）具备履行政府采购合同所必需的设备和专业技术能力的证明材料；</w:t>
      </w:r>
      <w:r/>
    </w:p>
    <w:p>
      <w:pPr>
        <w:spacing w:line="360" w:lineRule="auto"/>
        <w:rPr>
          <w:rFonts w:ascii="宋体" w:hAnsi="宋体"/>
          <w:sz w:val="24"/>
          <w:szCs w:val="24"/>
        </w:rPr>
      </w:pPr>
      <w:r>
        <w:rPr>
          <w:rFonts w:hint="eastAsia" w:ascii="宋体" w:hAnsi="宋体"/>
          <w:sz w:val="24"/>
          <w:szCs w:val="24"/>
        </w:rPr>
        <w:t xml:space="preserve">（5）参加政府采购活动前三年内在经营活动中没有重大违法记录的证明材料。</w:t>
      </w:r>
      <w:r/>
    </w:p>
    <w:p>
      <w:pPr>
        <w:spacing w:line="360" w:lineRule="auto"/>
        <w:rPr>
          <w:rFonts w:ascii="宋体" w:hAnsi="宋体"/>
          <w:sz w:val="24"/>
          <w:szCs w:val="24"/>
        </w:rPr>
      </w:pPr>
      <w:r>
        <w:rPr>
          <w:rFonts w:hint="eastAsia" w:ascii="宋体" w:hAnsi="宋体"/>
          <w:sz w:val="24"/>
          <w:szCs w:val="24"/>
        </w:rPr>
        <w:t xml:space="preserve">供应商涉及以下情形的，不适用信用承诺，仍须提供上述证明材料：</w:t>
      </w:r>
      <w:r/>
    </w:p>
    <w:p>
      <w:pPr>
        <w:spacing w:line="360" w:lineRule="auto"/>
        <w:rPr>
          <w:rFonts w:ascii="宋体" w:hAnsi="宋体"/>
          <w:sz w:val="24"/>
          <w:szCs w:val="24"/>
        </w:rPr>
      </w:pPr>
      <w:r>
        <w:rPr>
          <w:rFonts w:hint="eastAsia" w:ascii="宋体" w:hAnsi="宋体"/>
          <w:sz w:val="24"/>
          <w:szCs w:val="24"/>
        </w:rPr>
        <w:t xml:space="preserve">（1）供应商被列入严重失信主体名单；</w:t>
      </w:r>
      <w:r/>
    </w:p>
    <w:p>
      <w:pPr>
        <w:spacing w:line="360" w:lineRule="auto"/>
        <w:rPr>
          <w:rFonts w:ascii="宋体" w:hAnsi="宋体"/>
          <w:sz w:val="24"/>
          <w:szCs w:val="24"/>
        </w:rPr>
      </w:pPr>
      <w:r>
        <w:rPr>
          <w:rFonts w:hint="eastAsia" w:ascii="宋体" w:hAnsi="宋体"/>
          <w:sz w:val="24"/>
          <w:szCs w:val="24"/>
        </w:rPr>
        <w:t xml:space="preserve">（2）被相关监管部门作出行政处罚且尚在处罚有效期内；</w:t>
      </w:r>
      <w:r/>
    </w:p>
    <w:p>
      <w:pPr>
        <w:spacing w:line="360" w:lineRule="auto"/>
        <w:rPr>
          <w:rFonts w:ascii="宋体" w:hAnsi="宋体"/>
          <w:sz w:val="24"/>
          <w:szCs w:val="24"/>
        </w:rPr>
      </w:pPr>
      <w:r>
        <w:rPr>
          <w:rFonts w:hint="eastAsia" w:ascii="宋体" w:hAnsi="宋体"/>
          <w:sz w:val="24"/>
          <w:szCs w:val="24"/>
        </w:rPr>
        <w:t xml:space="preserve">（3）其他法律、行政法规规定的不适用信用承诺的情形。</w:t>
      </w:r>
      <w:r/>
    </w:p>
    <w:p>
      <w:pPr>
        <w:spacing w:line="360" w:lineRule="auto"/>
        <w:rPr>
          <w:rFonts w:ascii="宋体" w:hAnsi="宋体"/>
          <w:sz w:val="24"/>
          <w:szCs w:val="24"/>
        </w:rPr>
      </w:pPr>
      <w:r>
        <w:rPr>
          <w:rFonts w:hint="eastAsia" w:ascii="宋体" w:hAnsi="宋体"/>
          <w:sz w:val="24"/>
          <w:szCs w:val="24"/>
        </w:rPr>
        <w:t xml:space="preserve">供应商对信用承诺内容的真实性、合法性、有效性负责。如作出虚假信用承诺，视同为“提供虚假材料谋取中标、成交”的违法行为。</w:t>
      </w:r>
      <w:r/>
    </w:p>
    <w:p>
      <w:pPr>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3</w:t>
      </w:r>
      <w:r>
        <w:rPr>
          <w:rFonts w:hint="eastAsia" w:ascii="宋体" w:hAnsi="宋体"/>
          <w:sz w:val="24"/>
          <w:szCs w:val="24"/>
        </w:rPr>
        <w:t xml:space="preserve">采购项目需要落实的政府采购政策：</w:t>
      </w:r>
      <w:r/>
    </w:p>
    <w:p>
      <w:pPr>
        <w:spacing w:line="360" w:lineRule="auto"/>
        <w:rPr>
          <w:rFonts w:ascii="宋体" w:hAnsi="宋体"/>
          <w:sz w:val="24"/>
          <w:szCs w:val="24"/>
        </w:rPr>
      </w:pPr>
      <w:r>
        <w:rPr>
          <w:rFonts w:hint="eastAsia" w:ascii="宋体" w:hAnsi="宋体"/>
          <w:sz w:val="24"/>
          <w:szCs w:val="24"/>
        </w:rPr>
        <w:t xml:space="preserve">（1）政府采购促进中小企业发展</w:t>
      </w:r>
      <w:r/>
    </w:p>
    <w:p>
      <w:pPr>
        <w:spacing w:line="360" w:lineRule="auto"/>
        <w:rPr>
          <w:rFonts w:ascii="宋体" w:hAnsi="宋体"/>
          <w:sz w:val="24"/>
          <w:szCs w:val="24"/>
        </w:rPr>
      </w:pPr>
      <w:r>
        <w:rPr>
          <w:rFonts w:hint="eastAsia" w:ascii="宋体" w:hAnsi="宋体"/>
          <w:sz w:val="24"/>
          <w:szCs w:val="24"/>
        </w:rPr>
        <w:t xml:space="preserve">（2）政府采购支持监狱企业发展</w:t>
      </w:r>
      <w:r/>
    </w:p>
    <w:p>
      <w:pPr>
        <w:spacing w:line="360" w:lineRule="auto"/>
        <w:rPr>
          <w:rFonts w:ascii="宋体" w:hAnsi="宋体"/>
          <w:sz w:val="24"/>
          <w:szCs w:val="24"/>
        </w:rPr>
      </w:pPr>
      <w:r>
        <w:rPr>
          <w:rFonts w:hint="eastAsia" w:ascii="宋体" w:hAnsi="宋体"/>
          <w:sz w:val="24"/>
          <w:szCs w:val="24"/>
        </w:rPr>
        <w:t xml:space="preserve">（3）政府采购促进残疾人就业</w:t>
      </w:r>
      <w:r/>
    </w:p>
    <w:p>
      <w:pPr>
        <w:spacing w:line="360" w:lineRule="auto"/>
        <w:rPr>
          <w:rFonts w:ascii="宋体" w:hAnsi="宋体"/>
          <w:sz w:val="24"/>
          <w:szCs w:val="24"/>
        </w:rPr>
      </w:pPr>
      <w:r>
        <w:rPr>
          <w:rFonts w:hint="eastAsia" w:ascii="宋体" w:hAnsi="宋体"/>
          <w:sz w:val="24"/>
          <w:szCs w:val="24"/>
        </w:rPr>
        <w:t xml:space="preserve">（4）政府采购鼓励采购节能环保产品</w:t>
      </w:r>
      <w:r/>
    </w:p>
    <w:p>
      <w:pPr>
        <w:jc w:val="left"/>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4</w:t>
      </w:r>
      <w:r>
        <w:rPr>
          <w:rFonts w:hint="eastAsia" w:ascii="宋体" w:hAnsi="宋体"/>
          <w:sz w:val="24"/>
          <w:szCs w:val="24"/>
          <w:lang w:eastAsia="zh-CN"/>
        </w:rPr>
        <w:t xml:space="preserve">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jc w:val="left"/>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5</w:t>
      </w:r>
      <w:r>
        <w:rPr>
          <w:rFonts w:hint="eastAsia"/>
        </w:rPr>
        <w:t xml:space="preserve"> </w:t>
      </w:r>
      <w:r>
        <w:rPr>
          <w:rFonts w:hint="eastAsia" w:ascii="宋体" w:hAnsi="宋体"/>
          <w:sz w:val="24"/>
          <w:szCs w:val="24"/>
        </w:rPr>
        <w:t xml:space="preserve">本公告在江苏政府采购网发布。若有关本次招标存在的变动或修改，敬请各供应商及时关注江苏政府采购网发布的关于本项目的信息更正公告。</w:t>
      </w:r>
      <w:r/>
    </w:p>
    <w:p>
      <w:pPr>
        <w:pStyle w:val="716"/>
        <w:jc w:val="left"/>
        <w:spacing w:before="0" w:after="0"/>
        <w:shd w:val="clear" w:color="auto" w:fill="ffffff"/>
        <w:rPr>
          <w:rFonts w:ascii="Times New Roman" w:hAnsi="Times New Roman" w:eastAsia="宋体"/>
          <w:sz w:val="32"/>
          <w:szCs w:val="32"/>
          <w:lang w:eastAsia="zh-CN"/>
        </w:rPr>
      </w:pPr>
      <w:r>
        <w:rPr>
          <w:rFonts w:hint="eastAsia" w:ascii="Times New Roman" w:hAnsi="Times New Roman" w:eastAsia="宋体"/>
          <w:sz w:val="32"/>
          <w:szCs w:val="32"/>
          <w:lang w:eastAsia="zh-CN"/>
        </w:rPr>
        <w:t xml:space="preserve">八、凡对本次采购提出询问，请按以下方式联系。</w:t>
      </w:r>
      <w:r/>
    </w:p>
    <w:p>
      <w:pPr>
        <w:pStyle w:val="757"/>
        <w:spacing w:before="0" w:beforeAutospacing="0" w:after="0" w:afterAutospacing="0" w:line="360" w:lineRule="auto"/>
        <w:shd w:val="clear" w:color="auto" w:fill="ffffff"/>
        <w:rPr>
          <w:rFonts w:cs="Segoe UI"/>
        </w:rPr>
      </w:pPr>
      <w:r>
        <w:rPr>
          <w:rFonts w:hint="eastAsia" w:cs="Segoe UI"/>
        </w:rPr>
        <w:t xml:space="preserve">1.采购人信息</w:t>
      </w:r>
      <w:r/>
    </w:p>
    <w:p>
      <w:pPr>
        <w:pStyle w:val="757"/>
        <w:spacing w:before="0" w:beforeAutospacing="0" w:after="0" w:afterAutospacing="0" w:line="360" w:lineRule="auto"/>
        <w:shd w:val="clear" w:color="auto" w:fill="ffffff"/>
      </w:pPr>
      <w:r>
        <w:rPr>
          <w:rFonts w:hint="eastAsia"/>
        </w:rPr>
        <w:t xml:space="preserve">单位名称：南京江北新材料科技园管理办公室</w:t>
      </w:r>
      <w:r/>
    </w:p>
    <w:p>
      <w:pPr>
        <w:pStyle w:val="757"/>
        <w:spacing w:before="0" w:beforeAutospacing="0" w:after="0" w:afterAutospacing="0" w:line="360" w:lineRule="auto"/>
        <w:shd w:val="clear" w:color="auto" w:fill="ffffff"/>
      </w:pPr>
      <w:r>
        <w:rPr>
          <w:rFonts w:hint="eastAsia"/>
        </w:rPr>
        <w:t xml:space="preserve">单位地址：南京六合区方水路168号</w:t>
      </w:r>
      <w:r/>
    </w:p>
    <w:p>
      <w:pPr>
        <w:pStyle w:val="757"/>
        <w:spacing w:before="0" w:beforeAutospacing="0" w:after="0" w:afterAutospacing="0" w:line="360" w:lineRule="auto"/>
        <w:shd w:val="clear" w:color="auto" w:fill="ffffff"/>
      </w:pPr>
      <w:r>
        <w:rPr>
          <w:rFonts w:hint="eastAsia"/>
        </w:rPr>
        <w:t xml:space="preserve">联系人：陈工</w:t>
      </w:r>
      <w:r/>
    </w:p>
    <w:p>
      <w:pPr>
        <w:pStyle w:val="757"/>
        <w:spacing w:before="0" w:beforeAutospacing="0" w:after="0" w:afterAutospacing="0" w:line="360" w:lineRule="auto"/>
        <w:shd w:val="clear" w:color="auto" w:fill="ffffff"/>
      </w:pPr>
      <w:r>
        <w:rPr>
          <w:rFonts w:hint="eastAsia"/>
        </w:rPr>
        <w:t xml:space="preserve">联系电话：</w:t>
      </w:r>
      <w:r>
        <w:t xml:space="preserve">025-58394722</w:t>
      </w:r>
      <w:r/>
    </w:p>
    <w:p>
      <w:pPr>
        <w:pStyle w:val="757"/>
        <w:spacing w:before="0" w:beforeAutospacing="0" w:after="0" w:afterAutospacing="0" w:line="360" w:lineRule="auto"/>
        <w:shd w:val="clear" w:color="auto" w:fill="ffffff"/>
        <w:rPr>
          <w:rFonts w:cs="Segoe UI"/>
        </w:rPr>
      </w:pPr>
      <w:r>
        <w:rPr>
          <w:rFonts w:hint="eastAsia" w:cs="Segoe UI"/>
        </w:rPr>
        <w:t xml:space="preserve">2.采购代理机构信息（如有）</w:t>
      </w:r>
      <w:r/>
    </w:p>
    <w:p>
      <w:pPr>
        <w:pStyle w:val="757"/>
        <w:spacing w:before="0" w:beforeAutospacing="0" w:after="0" w:afterAutospacing="0" w:line="360" w:lineRule="auto"/>
        <w:shd w:val="clear" w:color="auto" w:fill="ffffff"/>
      </w:pPr>
      <w:r>
        <w:rPr>
          <w:rFonts w:hint="eastAsia"/>
        </w:rPr>
        <w:t xml:space="preserve">单位名称：江苏泰鼎工程咨询有限公司</w:t>
      </w:r>
      <w:r/>
    </w:p>
    <w:p>
      <w:pPr>
        <w:pStyle w:val="757"/>
        <w:spacing w:before="0" w:beforeAutospacing="0" w:after="0" w:afterAutospacing="0" w:line="360" w:lineRule="auto"/>
        <w:shd w:val="clear" w:color="auto" w:fill="ffffff"/>
      </w:pPr>
      <w:r>
        <w:rPr>
          <w:rFonts w:hint="eastAsia"/>
        </w:rPr>
        <w:t xml:space="preserve">单位地址：南京万达广场万达中心C座13楼1301-1303室（南京市建邺区江东中路108号）</w:t>
      </w:r>
      <w:r/>
    </w:p>
    <w:p>
      <w:pPr>
        <w:pStyle w:val="757"/>
        <w:spacing w:before="0" w:beforeAutospacing="0" w:after="0" w:afterAutospacing="0" w:line="360" w:lineRule="auto"/>
        <w:shd w:val="clear" w:color="auto" w:fill="ffffff"/>
      </w:pPr>
      <w:r>
        <w:rPr>
          <w:rFonts w:hint="eastAsia"/>
        </w:rPr>
        <w:t xml:space="preserve">联系人：肖金</w:t>
      </w:r>
      <w:r/>
    </w:p>
    <w:p>
      <w:pPr>
        <w:pStyle w:val="757"/>
        <w:spacing w:before="0" w:beforeAutospacing="0" w:after="0" w:afterAutospacing="0" w:line="360" w:lineRule="auto"/>
        <w:shd w:val="clear" w:color="auto" w:fill="ffffff"/>
        <w:rPr>
          <w:rFonts w:hint="default" w:eastAsia="宋体"/>
          <w:lang w:val="en-US" w:eastAsia="zh-CN"/>
        </w:rPr>
      </w:pPr>
      <w:r>
        <w:rPr>
          <w:rFonts w:hint="eastAsia"/>
        </w:rPr>
        <w:t xml:space="preserve">联系电话：</w:t>
      </w:r>
      <w:r>
        <w:rPr>
          <w:rFonts w:hint="eastAsia"/>
          <w:lang w:val="en-US" w:eastAsia="zh-CN"/>
        </w:rPr>
        <w:t xml:space="preserve">18013979198</w:t>
      </w:r>
      <w:r/>
    </w:p>
    <w:p>
      <w:pPr>
        <w:pStyle w:val="757"/>
        <w:spacing w:before="0" w:beforeAutospacing="0" w:after="0" w:afterAutospacing="0" w:line="360" w:lineRule="auto"/>
        <w:shd w:val="clear" w:color="auto" w:fill="ffffff"/>
        <w:rPr>
          <w:rFonts w:cs="Segoe UI"/>
        </w:rPr>
      </w:pPr>
      <w:r>
        <w:rPr>
          <w:rFonts w:hint="eastAsia" w:cs="Segoe UI"/>
        </w:rPr>
        <w:t xml:space="preserve">3.项目联系方式</w:t>
      </w:r>
      <w:r/>
    </w:p>
    <w:p>
      <w:pPr>
        <w:pStyle w:val="757"/>
        <w:spacing w:before="0" w:beforeAutospacing="0" w:after="0" w:afterAutospacing="0" w:line="360" w:lineRule="auto"/>
        <w:shd w:val="clear" w:color="auto" w:fill="ffffff"/>
      </w:pPr>
      <w:r>
        <w:rPr>
          <w:rFonts w:hint="eastAsia"/>
        </w:rPr>
        <w:t xml:space="preserve">项目联系人：肖金</w:t>
      </w:r>
      <w:r/>
    </w:p>
    <w:p>
      <w:pPr>
        <w:pStyle w:val="757"/>
        <w:spacing w:before="0" w:beforeAutospacing="0" w:after="0" w:afterAutospacing="0" w:line="360" w:lineRule="auto"/>
        <w:shd w:val="clear" w:color="auto" w:fill="ffffff"/>
      </w:pPr>
      <w:r>
        <w:rPr>
          <w:rFonts w:hint="eastAsia"/>
        </w:rPr>
        <w:t xml:space="preserve">电话：</w:t>
      </w:r>
      <w:r>
        <w:rPr>
          <w:rFonts w:hint="eastAsia"/>
          <w:lang w:val="en-US" w:eastAsia="zh-CN"/>
        </w:rPr>
        <w:t xml:space="preserve">18013979198</w:t>
      </w:r>
      <w:r/>
    </w:p>
    <w:p>
      <w:pPr>
        <w:jc w:val="left"/>
        <w:spacing w:line="360" w:lineRule="auto"/>
        <w:rPr>
          <w:rFonts w:ascii="宋体" w:hAnsi="宋体"/>
          <w:sz w:val="24"/>
          <w:szCs w:val="24"/>
        </w:rPr>
      </w:pPr>
      <w:r>
        <w:rPr>
          <w:rFonts w:ascii="宋体" w:hAnsi="宋体"/>
          <w:sz w:val="24"/>
          <w:szCs w:val="24"/>
        </w:rPr>
      </w:r>
      <w:r/>
    </w:p>
    <w:p>
      <w:pPr>
        <w:jc w:val="center"/>
        <w:spacing w:line="360" w:lineRule="auto"/>
        <w:rPr>
          <w:rFonts w:ascii="Times New Roman" w:hAnsi="Times New Roman" w:eastAsia="黑体" w:cs="Arial"/>
          <w:b/>
          <w:bCs/>
          <w:sz w:val="44"/>
          <w:szCs w:val="44"/>
        </w:rPr>
      </w:pPr>
      <w:r>
        <w:rPr>
          <w:rFonts w:hint="eastAsia" w:ascii="宋体" w:hAnsi="宋体"/>
          <w:sz w:val="24"/>
          <w:szCs w:val="24"/>
        </w:rPr>
        <w:br w:type="page" w:clear="all"/>
      </w:r>
      <w:r>
        <w:rPr>
          <w:rFonts w:hint="eastAsia" w:ascii="Times New Roman" w:hAnsi="Times New Roman" w:eastAsia="黑体" w:cs="Arial"/>
          <w:b/>
          <w:bCs/>
          <w:sz w:val="44"/>
          <w:szCs w:val="44"/>
        </w:rPr>
        <w:t xml:space="preserve">第二章  </w:t>
      </w:r>
      <w:bookmarkEnd w:id="1"/>
      <w:r/>
      <w:bookmarkEnd w:id="2"/>
      <w:r/>
      <w:bookmarkEnd w:id="3"/>
      <w:r/>
      <w:bookmarkEnd w:id="4"/>
      <w:r/>
      <w:bookmarkEnd w:id="5"/>
      <w:r/>
      <w:bookmarkEnd w:id="32"/>
      <w:r>
        <w:rPr>
          <w:rFonts w:hint="eastAsia" w:ascii="Times New Roman" w:hAnsi="Times New Roman" w:eastAsia="黑体" w:cs="Arial"/>
          <w:b/>
          <w:bCs/>
          <w:sz w:val="44"/>
          <w:szCs w:val="44"/>
        </w:rPr>
        <w:t xml:space="preserve">供应商须知</w:t>
      </w:r>
      <w:r/>
    </w:p>
    <w:p>
      <w:pPr>
        <w:ind w:firstLine="498"/>
        <w:keepLines/>
        <w:keepNext/>
        <w:spacing w:line="560" w:lineRule="exact"/>
        <w:rPr>
          <w:rFonts w:ascii="Times New Roman" w:hAnsi="Times New Roman"/>
          <w:b/>
          <w:bCs/>
          <w:sz w:val="32"/>
          <w:szCs w:val="32"/>
        </w:rPr>
        <w:outlineLvl w:val="2"/>
      </w:pPr>
      <w:r/>
      <w:bookmarkStart w:id="33" w:name="_Toc20823275"/>
      <w:r/>
      <w:bookmarkStart w:id="34" w:name="_Toc120614214"/>
      <w:r/>
      <w:bookmarkStart w:id="35" w:name="_Toc16938519"/>
      <w:r/>
      <w:bookmarkStart w:id="36" w:name="_Toc513029203"/>
      <w:r>
        <w:rPr>
          <w:rFonts w:hint="eastAsia" w:ascii="Times New Roman" w:hAnsi="Times New Roman"/>
          <w:b/>
          <w:bCs/>
          <w:sz w:val="32"/>
          <w:szCs w:val="32"/>
        </w:rPr>
        <w:t xml:space="preserve">一、总则</w:t>
      </w:r>
      <w:bookmarkEnd w:id="33"/>
      <w:r/>
      <w:bookmarkEnd w:id="34"/>
      <w:r/>
      <w:bookmarkEnd w:id="35"/>
      <w:r/>
      <w:bookmarkEnd w:id="36"/>
      <w:r/>
      <w:r/>
    </w:p>
    <w:p>
      <w:pPr>
        <w:ind w:firstLine="420"/>
        <w:keepLines/>
        <w:keepNext/>
        <w:spacing w:line="560" w:lineRule="exact"/>
        <w:rPr>
          <w:rFonts w:ascii="Times New Roman" w:hAnsi="Times New Roman" w:eastAsia="黑体" w:cs="Arial"/>
          <w:sz w:val="28"/>
          <w:szCs w:val="28"/>
        </w:rPr>
        <w:outlineLvl w:val="3"/>
      </w:pPr>
      <w:r/>
      <w:bookmarkStart w:id="37" w:name="_Hlt16619475"/>
      <w:r/>
      <w:bookmarkEnd w:id="37"/>
      <w:r/>
      <w:bookmarkStart w:id="38" w:name="_Toc458694821"/>
      <w:r/>
      <w:bookmarkStart w:id="39" w:name="_Toc513029204"/>
      <w:r/>
      <w:bookmarkStart w:id="40" w:name="_Toc20823276"/>
      <w:r/>
      <w:bookmarkStart w:id="41" w:name="_Toc16938520"/>
      <w:r>
        <w:rPr>
          <w:rFonts w:hint="eastAsia" w:ascii="Times New Roman" w:hAnsi="Times New Roman" w:eastAsia="黑体" w:cs="Arial"/>
          <w:sz w:val="28"/>
          <w:szCs w:val="28"/>
        </w:rPr>
        <w:t xml:space="preserve">1</w:t>
      </w:r>
      <w:bookmarkEnd w:id="38"/>
      <w:r>
        <w:rPr>
          <w:rFonts w:hint="eastAsia" w:ascii="Times New Roman" w:hAnsi="Times New Roman" w:eastAsia="黑体" w:cs="Arial"/>
          <w:sz w:val="28"/>
          <w:szCs w:val="28"/>
        </w:rPr>
        <w:t xml:space="preserve">、采购方式</w:t>
      </w:r>
      <w:bookmarkEnd w:id="39"/>
      <w:r/>
      <w:bookmarkEnd w:id="40"/>
      <w:r/>
      <w:bookmarkEnd w:id="41"/>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1.1 本次政府采购活动采取竞争性磋商(以下简称磋商)方式，本磋商文件仅适用于磋商公告中所述项目。</w:t>
      </w:r>
      <w:r/>
    </w:p>
    <w:p>
      <w:pPr>
        <w:ind w:firstLine="420"/>
        <w:keepLines/>
        <w:keepNext/>
        <w:spacing w:line="560" w:lineRule="exact"/>
        <w:rPr>
          <w:rFonts w:ascii="Times New Roman" w:hAnsi="Times New Roman" w:eastAsia="黑体" w:cs="Arial"/>
          <w:sz w:val="28"/>
          <w:szCs w:val="28"/>
        </w:rPr>
        <w:outlineLvl w:val="3"/>
      </w:pPr>
      <w:r/>
      <w:bookmarkStart w:id="42" w:name="_Toc513029205"/>
      <w:r/>
      <w:bookmarkStart w:id="43" w:name="_Toc20823277"/>
      <w:r/>
      <w:bookmarkStart w:id="44" w:name="_Toc16938521"/>
      <w:r>
        <w:rPr>
          <w:rFonts w:hint="eastAsia" w:ascii="Times New Roman" w:hAnsi="Times New Roman" w:eastAsia="黑体" w:cs="Arial"/>
          <w:sz w:val="28"/>
          <w:szCs w:val="28"/>
        </w:rPr>
        <w:t xml:space="preserve">2、合格的</w:t>
      </w:r>
      <w:bookmarkEnd w:id="42"/>
      <w:r/>
      <w:bookmarkEnd w:id="43"/>
      <w:r/>
      <w:bookmarkEnd w:id="44"/>
      <w:r>
        <w:rPr>
          <w:rFonts w:hint="eastAsia" w:ascii="Times New Roman" w:hAnsi="Times New Roman" w:eastAsia="黑体" w:cs="Arial"/>
          <w:sz w:val="28"/>
          <w:szCs w:val="28"/>
        </w:rPr>
        <w:t xml:space="preserve">供应商</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2.1满足磋商公告中供应商资格要求的规定。</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2.2 满足本磋商文件实质性要求和条件的规定。</w:t>
      </w:r>
      <w:r/>
    </w:p>
    <w:p>
      <w:pPr>
        <w:ind w:firstLine="420"/>
        <w:keepLines/>
        <w:keepNext/>
        <w:spacing w:line="560" w:lineRule="exact"/>
        <w:rPr>
          <w:rFonts w:ascii="Times New Roman" w:hAnsi="Times New Roman" w:eastAsia="黑体" w:cs="Arial"/>
          <w:sz w:val="28"/>
          <w:szCs w:val="28"/>
        </w:rPr>
        <w:outlineLvl w:val="3"/>
      </w:pPr>
      <w:r/>
      <w:bookmarkStart w:id="45" w:name="_Toc513029206"/>
      <w:r/>
      <w:bookmarkStart w:id="46" w:name="_Toc16938522"/>
      <w:r/>
      <w:bookmarkStart w:id="47" w:name="_Toc20823278"/>
      <w:r>
        <w:rPr>
          <w:rFonts w:hint="eastAsia" w:ascii="Times New Roman" w:hAnsi="Times New Roman" w:eastAsia="黑体" w:cs="Arial"/>
          <w:sz w:val="28"/>
          <w:szCs w:val="28"/>
        </w:rPr>
        <w:t xml:space="preserve">3、适用法律</w:t>
      </w:r>
      <w:bookmarkEnd w:id="45"/>
      <w:r/>
      <w:bookmarkEnd w:id="46"/>
      <w:r/>
      <w:bookmarkEnd w:id="47"/>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3.1 本次磋商及由此产生的合同受中华人民共和国有关的法律法规制约和保护。</w:t>
      </w:r>
      <w:r/>
    </w:p>
    <w:p>
      <w:pPr>
        <w:ind w:firstLine="420"/>
        <w:keepLines/>
        <w:keepNext/>
        <w:spacing w:line="560" w:lineRule="exact"/>
        <w:rPr>
          <w:rFonts w:ascii="Times New Roman" w:hAnsi="Times New Roman" w:eastAsia="黑体" w:cs="Arial"/>
          <w:sz w:val="28"/>
          <w:szCs w:val="28"/>
        </w:rPr>
        <w:outlineLvl w:val="3"/>
      </w:pPr>
      <w:r/>
      <w:bookmarkStart w:id="48" w:name="_Toc16938523"/>
      <w:r/>
      <w:bookmarkStart w:id="49" w:name="_Toc513029207"/>
      <w:r/>
      <w:bookmarkStart w:id="50" w:name="_Toc462564067"/>
      <w:r/>
      <w:bookmarkStart w:id="51" w:name="_Toc20823279"/>
      <w:r>
        <w:rPr>
          <w:rFonts w:hint="eastAsia" w:ascii="Times New Roman" w:hAnsi="Times New Roman" w:eastAsia="黑体" w:cs="Arial"/>
          <w:sz w:val="28"/>
          <w:szCs w:val="28"/>
        </w:rPr>
        <w:t xml:space="preserve">4、磋商费用</w:t>
      </w:r>
      <w:bookmarkEnd w:id="48"/>
      <w:r/>
      <w:bookmarkEnd w:id="49"/>
      <w:r/>
      <w:bookmarkEnd w:id="50"/>
      <w:r/>
      <w:bookmarkEnd w:id="51"/>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4.2代理费用收取方式及标准：按以下第</w:t>
      </w:r>
      <w:r>
        <w:rPr>
          <w:rFonts w:ascii="Times New Roman" w:hAnsi="Times New Roman"/>
          <w:sz w:val="24"/>
          <w:szCs w:val="21"/>
          <w:u w:val="single"/>
        </w:rPr>
        <w:t xml:space="preserve">4.2.2</w:t>
      </w:r>
      <w:r>
        <w:rPr>
          <w:rFonts w:hint="eastAsia" w:ascii="Times New Roman" w:hAnsi="Times New Roman"/>
          <w:sz w:val="24"/>
          <w:szCs w:val="21"/>
        </w:rPr>
        <w:t xml:space="preserve">种方式执行 </w:t>
      </w:r>
      <w:r/>
    </w:p>
    <w:p>
      <w:pPr>
        <w:ind w:firstLine="480"/>
        <w:spacing w:line="560" w:lineRule="exact"/>
        <w:rPr>
          <w:rFonts w:ascii="Times New Roman" w:hAnsi="Times New Roman"/>
          <w:sz w:val="24"/>
          <w:szCs w:val="21"/>
          <w:lang w:val="zh-CN"/>
        </w:rPr>
      </w:pPr>
      <w:r>
        <w:rPr>
          <w:rFonts w:hint="eastAsia" w:ascii="Times New Roman" w:hAnsi="Times New Roman"/>
          <w:sz w:val="24"/>
          <w:szCs w:val="21"/>
          <w:lang w:val="zh-CN"/>
        </w:rPr>
        <w:t xml:space="preserve">4.2.1无需支付；</w:t>
      </w:r>
      <w:r/>
    </w:p>
    <w:p>
      <w:pPr>
        <w:ind w:firstLine="480"/>
        <w:spacing w:line="560" w:lineRule="exact"/>
        <w:rPr>
          <w:rFonts w:hint="eastAsia" w:ascii="Times New Roman" w:hAnsi="Times New Roman"/>
          <w:bCs/>
          <w:sz w:val="24"/>
          <w:szCs w:val="21"/>
          <w:u w:val="single"/>
        </w:rPr>
      </w:pPr>
      <w:r>
        <w:rPr>
          <w:rFonts w:hint="eastAsia" w:ascii="Times New Roman" w:hAnsi="Times New Roman"/>
          <w:sz w:val="24"/>
          <w:szCs w:val="21"/>
          <w:lang w:val="zh-CN"/>
        </w:rPr>
        <w:t xml:space="preserve">4.2.2成交供应商支付，具体方式及标准为：</w:t>
      </w:r>
      <w:r>
        <w:rPr>
          <w:rFonts w:hint="eastAsia" w:ascii="Times New Roman" w:hAnsi="Times New Roman"/>
          <w:bCs/>
          <w:sz w:val="24"/>
          <w:szCs w:val="21"/>
          <w:u w:val="single"/>
        </w:rPr>
        <w:t xml:space="preserve">根据关于进一步规范政府采购活动相关费用管理的通知（苏财规[2026]1号）相关要求，本项目采购代理服务费已含在采购预算中。采购代理服务费参照计价格[2002]1980号文收费标准的60%计取（计算基数为三年中标价合计金额），由中标供应商领取《中标通知书》前支付给采购代理机构，专家评审费由采购人支付。  </w:t>
      </w:r>
      <w:r/>
    </w:p>
    <w:p>
      <w:pPr>
        <w:ind w:firstLine="480"/>
        <w:spacing w:line="560" w:lineRule="exact"/>
        <w:rPr>
          <w:rFonts w:ascii="Times New Roman" w:hAnsi="Times New Roman" w:eastAsia="黑体" w:cs="Arial"/>
          <w:sz w:val="28"/>
          <w:szCs w:val="28"/>
        </w:rPr>
      </w:pPr>
      <w:r>
        <w:rPr>
          <w:rFonts w:hint="eastAsia" w:ascii="Times New Roman" w:hAnsi="Times New Roman" w:eastAsia="黑体" w:cs="Arial"/>
          <w:b/>
          <w:bCs/>
          <w:sz w:val="30"/>
          <w:szCs w:val="28"/>
        </w:rPr>
        <w:t xml:space="preserve">5、</w:t>
      </w:r>
      <w:r>
        <w:rPr>
          <w:rFonts w:hint="eastAsia" w:ascii="Times New Roman" w:hAnsi="Times New Roman" w:eastAsia="黑体" w:cs="Arial"/>
          <w:sz w:val="28"/>
          <w:szCs w:val="28"/>
        </w:rPr>
        <w:t xml:space="preserve">磋商文件的约束力</w:t>
      </w:r>
      <w:r/>
    </w:p>
    <w:p>
      <w:pPr>
        <w:ind w:firstLine="480"/>
        <w:spacing w:line="560" w:lineRule="exact"/>
        <w:rPr>
          <w:rFonts w:ascii="Times New Roman" w:hAnsi="Times New Roman"/>
          <w:sz w:val="24"/>
          <w:szCs w:val="24"/>
        </w:rPr>
      </w:pPr>
      <w:r>
        <w:rPr>
          <w:rFonts w:hint="eastAsia" w:ascii="Times New Roman" w:hAnsi="Times New Roman"/>
          <w:bCs/>
          <w:sz w:val="24"/>
          <w:szCs w:val="24"/>
        </w:rPr>
        <w:t xml:space="preserve">5.1</w:t>
      </w:r>
      <w:r>
        <w:rPr>
          <w:rFonts w:hint="eastAsia" w:ascii="Times New Roman" w:hAnsi="Times New Roman"/>
          <w:sz w:val="24"/>
          <w:szCs w:val="24"/>
        </w:rPr>
        <w:t xml:space="preserve">供应商一旦参加本项目采购活动，即被认为接受了本磋商文件的规定和约束。</w:t>
      </w:r>
      <w:r/>
    </w:p>
    <w:p>
      <w:pPr>
        <w:ind w:firstLine="321"/>
        <w:keepLines/>
        <w:keepNext/>
        <w:spacing w:line="560" w:lineRule="exact"/>
        <w:rPr>
          <w:rFonts w:ascii="Times New Roman" w:hAnsi="Times New Roman"/>
          <w:b/>
          <w:bCs/>
          <w:sz w:val="32"/>
          <w:szCs w:val="32"/>
        </w:rPr>
        <w:outlineLvl w:val="2"/>
      </w:pPr>
      <w:r/>
      <w:bookmarkStart w:id="52" w:name="_Toc120614215"/>
      <w:r/>
      <w:bookmarkStart w:id="53" w:name="_Toc16938525"/>
      <w:r/>
      <w:bookmarkStart w:id="54" w:name="_Toc20823281"/>
      <w:r/>
      <w:bookmarkStart w:id="55" w:name="_Toc513029209"/>
      <w:r>
        <w:rPr>
          <w:rFonts w:hint="eastAsia" w:ascii="Times New Roman" w:hAnsi="Times New Roman"/>
          <w:b/>
          <w:bCs/>
          <w:sz w:val="32"/>
          <w:szCs w:val="32"/>
        </w:rPr>
        <w:t xml:space="preserve">二、</w:t>
      </w:r>
      <w:bookmarkEnd w:id="52"/>
      <w:r/>
      <w:bookmarkEnd w:id="53"/>
      <w:r/>
      <w:bookmarkEnd w:id="54"/>
      <w:r/>
      <w:bookmarkEnd w:id="55"/>
      <w:r>
        <w:rPr>
          <w:rFonts w:hint="eastAsia" w:ascii="Times New Roman" w:hAnsi="Times New Roman"/>
          <w:b/>
          <w:bCs/>
          <w:sz w:val="32"/>
          <w:szCs w:val="32"/>
        </w:rPr>
        <w:t xml:space="preserve">磋商文件</w:t>
      </w:r>
      <w:r/>
    </w:p>
    <w:p>
      <w:pPr>
        <w:ind w:firstLine="420"/>
        <w:keepLines/>
        <w:keepNext/>
        <w:spacing w:line="560" w:lineRule="exact"/>
        <w:rPr>
          <w:rFonts w:ascii="Times New Roman" w:hAnsi="Times New Roman" w:eastAsia="黑体" w:cs="Arial"/>
          <w:sz w:val="28"/>
          <w:szCs w:val="28"/>
        </w:rPr>
        <w:outlineLvl w:val="3"/>
      </w:pPr>
      <w:r/>
      <w:bookmarkStart w:id="56" w:name="_Toc513029210"/>
      <w:r/>
      <w:bookmarkStart w:id="57" w:name="_Toc16938526"/>
      <w:r/>
      <w:bookmarkStart w:id="58" w:name="_Toc20823282"/>
      <w:r>
        <w:rPr>
          <w:rFonts w:hint="eastAsia" w:ascii="Times New Roman" w:hAnsi="Times New Roman" w:eastAsia="黑体" w:cs="Arial"/>
          <w:sz w:val="28"/>
          <w:szCs w:val="28"/>
        </w:rPr>
        <w:t xml:space="preserve">6、磋商文件构成</w:t>
      </w:r>
      <w:bookmarkEnd w:id="56"/>
      <w:r/>
      <w:bookmarkEnd w:id="57"/>
      <w:r/>
      <w:bookmarkEnd w:id="58"/>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6.1磋商文件由以下部分组成：</w:t>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（1）磋商邀请</w:t>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（2）供应商须知</w:t>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（3）合同文本</w:t>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（4）采购需求</w:t>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（5）评审方法与评审标准</w:t>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（6）响应文件格式</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请仔细检查磋商文件是否齐全，如有缺漏请立即与采购代理机构联系解决。</w:t>
      </w:r>
      <w:r/>
    </w:p>
    <w:p>
      <w:pPr>
        <w:ind w:firstLine="480"/>
        <w:spacing w:line="560" w:lineRule="exact"/>
        <w:rPr>
          <w:rFonts w:ascii="Times New Roman" w:hAnsi="Times New Roman"/>
          <w:sz w:val="24"/>
          <w:szCs w:val="21"/>
        </w:rPr>
      </w:pPr>
      <w:r>
        <w:rPr>
          <w:rFonts w:hint="eastAsia" w:ascii="Times New Roman" w:hAnsi="Times New Roman"/>
          <w:bCs/>
          <w:sz w:val="24"/>
          <w:szCs w:val="21"/>
        </w:rPr>
        <w:t xml:space="preserve">6.2</w:t>
      </w:r>
      <w:r>
        <w:rPr>
          <w:rFonts w:hint="eastAsia" w:ascii="Times New Roman" w:hAnsi="Times New Roman"/>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60" w:lineRule="exact"/>
        <w:rPr>
          <w:rFonts w:ascii="Times New Roman" w:hAnsi="Times New Roman" w:eastAsia="黑体" w:cs="Arial"/>
          <w:sz w:val="28"/>
          <w:szCs w:val="28"/>
        </w:rPr>
        <w:outlineLvl w:val="3"/>
      </w:pPr>
      <w:r/>
      <w:bookmarkStart w:id="59" w:name="_Toc462564070"/>
      <w:r/>
      <w:bookmarkStart w:id="60" w:name="_Toc20823283"/>
      <w:r/>
      <w:bookmarkStart w:id="61" w:name="_Toc513029211"/>
      <w:r/>
      <w:bookmarkStart w:id="62" w:name="_Toc16938527"/>
      <w:r>
        <w:rPr>
          <w:rFonts w:hint="eastAsia" w:ascii="Times New Roman" w:hAnsi="Times New Roman" w:eastAsia="黑体" w:cs="Arial"/>
          <w:sz w:val="28"/>
          <w:szCs w:val="28"/>
        </w:rPr>
        <w:t xml:space="preserve">7、磋商文件的澄清</w:t>
      </w:r>
      <w:bookmarkEnd w:id="59"/>
      <w:r/>
      <w:bookmarkEnd w:id="60"/>
      <w:r/>
      <w:bookmarkEnd w:id="61"/>
      <w:r/>
      <w:bookmarkEnd w:id="62"/>
      <w:r/>
      <w:r/>
    </w:p>
    <w:p>
      <w:pPr>
        <w:ind w:firstLine="480"/>
        <w:spacing w:line="560" w:lineRule="exact"/>
        <w:rPr>
          <w:rFonts w:ascii="Times New Roman" w:hAnsi="Times New Roman"/>
          <w:sz w:val="24"/>
          <w:szCs w:val="24"/>
        </w:rPr>
      </w:pPr>
      <w:r>
        <w:rPr>
          <w:rFonts w:hint="eastAsia" w:ascii="Times New Roman" w:hAnsi="Times New Roman"/>
          <w:bCs/>
          <w:sz w:val="24"/>
          <w:szCs w:val="21"/>
        </w:rPr>
        <w:t xml:space="preserve">7.1</w:t>
      </w:r>
      <w:r>
        <w:rPr>
          <w:rFonts w:hint="eastAsia" w:ascii="Times New Roman" w:hAnsi="Times New Roman"/>
          <w:sz w:val="24"/>
          <w:szCs w:val="21"/>
        </w:rPr>
        <w:t xml:space="preserve">任何要求对磋商文件进行澄清的供应商，应在磋商截止期5日</w:t>
      </w:r>
      <w:r>
        <w:rPr>
          <w:rFonts w:hint="eastAsia" w:ascii="Times New Roman" w:hAnsi="Times New Roman"/>
          <w:sz w:val="24"/>
          <w:szCs w:val="24"/>
        </w:rPr>
        <w:t xml:space="preserve">前</w:t>
      </w:r>
      <w:r>
        <w:rPr>
          <w:rFonts w:hint="eastAsia" w:ascii="Times New Roman" w:hAnsi="Times New Roman"/>
          <w:sz w:val="24"/>
          <w:szCs w:val="21"/>
        </w:rPr>
        <w:t xml:space="preserve">按磋商公告中的通讯地址，以书面形式通知采购代理机构。</w:t>
      </w:r>
      <w:r/>
    </w:p>
    <w:p>
      <w:pPr>
        <w:ind w:firstLine="560"/>
        <w:keepLines/>
        <w:keepNext/>
        <w:spacing w:line="560" w:lineRule="exact"/>
        <w:rPr>
          <w:rFonts w:ascii="Times New Roman" w:hAnsi="Times New Roman" w:eastAsia="黑体" w:cs="Arial"/>
          <w:sz w:val="28"/>
          <w:szCs w:val="28"/>
        </w:rPr>
        <w:outlineLvl w:val="3"/>
      </w:pPr>
      <w:r/>
      <w:bookmarkStart w:id="63" w:name="_Toc20823284"/>
      <w:r/>
      <w:bookmarkStart w:id="64" w:name="_Toc513029212"/>
      <w:r/>
      <w:bookmarkStart w:id="65" w:name="_Toc462564071"/>
      <w:r/>
      <w:bookmarkStart w:id="66" w:name="_Toc16938528"/>
      <w:r>
        <w:rPr>
          <w:rFonts w:hint="eastAsia" w:ascii="Times New Roman" w:hAnsi="Times New Roman" w:eastAsia="黑体" w:cs="Arial"/>
          <w:sz w:val="28"/>
          <w:szCs w:val="28"/>
        </w:rPr>
        <w:t xml:space="preserve">8、磋商文件的澄清和修改</w:t>
      </w:r>
      <w:bookmarkEnd w:id="63"/>
      <w:r/>
      <w:bookmarkEnd w:id="64"/>
      <w:r/>
      <w:bookmarkEnd w:id="65"/>
      <w:r/>
      <w:bookmarkEnd w:id="66"/>
      <w:r/>
      <w:r/>
    </w:p>
    <w:p>
      <w:pPr>
        <w:ind w:firstLine="480"/>
        <w:spacing w:line="560" w:lineRule="exact"/>
        <w:rPr>
          <w:rFonts w:ascii="Times New Roman" w:hAnsi="Times New Roman"/>
          <w:bCs/>
          <w:sz w:val="24"/>
        </w:rPr>
      </w:pPr>
      <w:r>
        <w:rPr>
          <w:rFonts w:hint="eastAsia" w:ascii="Times New Roman" w:hAnsi="Times New Roman"/>
          <w:bCs/>
          <w:sz w:val="24"/>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sz w:val="24"/>
          <w:szCs w:val="21"/>
        </w:rPr>
        <w:t xml:space="preserve">提交首次响应文件截止时间</w:t>
      </w:r>
      <w:r>
        <w:rPr>
          <w:rFonts w:hint="eastAsia" w:ascii="Times New Roman" w:hAnsi="Times New Roman"/>
          <w:bCs/>
          <w:sz w:val="24"/>
        </w:rPr>
        <w:t xml:space="preserve">至少</w:t>
      </w:r>
      <w:r>
        <w:rPr>
          <w:rFonts w:ascii="Times New Roman" w:hAnsi="Times New Roman"/>
          <w:bCs/>
          <w:sz w:val="24"/>
        </w:rPr>
        <w:t xml:space="preserve">5</w:t>
      </w:r>
      <w:r>
        <w:rPr>
          <w:rFonts w:hint="eastAsia" w:ascii="Times New Roman" w:hAnsi="Times New Roman"/>
          <w:bCs/>
          <w:sz w:val="24"/>
        </w:rPr>
        <w:t xml:space="preserve">日前发出；不足</w:t>
      </w:r>
      <w:r>
        <w:rPr>
          <w:rFonts w:ascii="Times New Roman" w:hAnsi="Times New Roman"/>
          <w:bCs/>
          <w:sz w:val="24"/>
        </w:rPr>
        <w:t xml:space="preserve">5</w:t>
      </w:r>
      <w:r>
        <w:rPr>
          <w:rFonts w:hint="eastAsia" w:ascii="Times New Roman" w:hAnsi="Times New Roman"/>
          <w:bCs/>
          <w:sz w:val="24"/>
        </w:rPr>
        <w:t xml:space="preserve">日的，采购代理机构应当顺延</w:t>
      </w:r>
      <w:r>
        <w:rPr>
          <w:rFonts w:hint="eastAsia" w:ascii="Times New Roman" w:hAnsi="Times New Roman"/>
          <w:sz w:val="24"/>
          <w:szCs w:val="21"/>
        </w:rPr>
        <w:t xml:space="preserve">提交首次响应文件截止时间</w:t>
      </w:r>
      <w:r>
        <w:rPr>
          <w:rFonts w:hint="eastAsia" w:ascii="Times New Roman" w:hAnsi="Times New Roman"/>
          <w:bCs/>
          <w:sz w:val="24"/>
        </w:rPr>
        <w:t xml:space="preserve">。</w:t>
      </w:r>
      <w:r/>
    </w:p>
    <w:p>
      <w:pPr>
        <w:ind w:firstLine="480"/>
        <w:spacing w:line="560" w:lineRule="exact"/>
        <w:rPr>
          <w:rFonts w:ascii="Times New Roman" w:hAnsi="Times New Roman"/>
          <w:bCs/>
          <w:sz w:val="24"/>
        </w:rPr>
      </w:pPr>
      <w:r>
        <w:rPr>
          <w:rFonts w:hint="eastAsia" w:ascii="Times New Roman" w:hAnsi="Times New Roman"/>
          <w:bCs/>
          <w:sz w:val="24"/>
        </w:rPr>
        <w:t xml:space="preserve">8.2</w:t>
      </w:r>
      <w:r>
        <w:rPr>
          <w:rFonts w:hint="eastAsia" w:ascii="Times New Roman" w:hAnsi="Times New Roman"/>
          <w:sz w:val="24"/>
          <w:szCs w:val="21"/>
        </w:rPr>
        <w:t xml:space="preserve">在响应文件提交截止时间前</w:t>
      </w:r>
      <w:r>
        <w:rPr>
          <w:rFonts w:hint="eastAsia" w:ascii="Times New Roman" w:hAnsi="Times New Roman"/>
          <w:bCs/>
          <w:sz w:val="24"/>
        </w:rPr>
        <w:t xml:space="preserve">，采购代理机构可以对磋商文件进行修改。</w:t>
      </w:r>
      <w:r/>
    </w:p>
    <w:p>
      <w:pPr>
        <w:ind w:firstLine="480"/>
        <w:spacing w:line="560" w:lineRule="exact"/>
        <w:rPr>
          <w:rFonts w:ascii="Times New Roman" w:hAnsi="Times New Roman"/>
          <w:bCs/>
          <w:sz w:val="24"/>
        </w:rPr>
      </w:pPr>
      <w:r>
        <w:rPr>
          <w:rFonts w:hint="eastAsia" w:ascii="Times New Roman" w:hAnsi="Times New Roman"/>
          <w:bCs/>
          <w:sz w:val="24"/>
        </w:rPr>
        <w:t xml:space="preserve">8.3采购代理机构有权按照法定的要求推迟响应文件递交截止日期和磋商日期。</w:t>
      </w:r>
      <w:r/>
    </w:p>
    <w:p>
      <w:pPr>
        <w:ind w:firstLine="480"/>
        <w:spacing w:line="560" w:lineRule="exact"/>
        <w:rPr>
          <w:rFonts w:ascii="Times New Roman" w:hAnsi="Times New Roman"/>
          <w:bCs/>
          <w:sz w:val="24"/>
        </w:rPr>
      </w:pPr>
      <w:r>
        <w:rPr>
          <w:rFonts w:hint="eastAsia" w:ascii="Times New Roman" w:hAnsi="Times New Roman"/>
          <w:bCs/>
          <w:sz w:val="24"/>
        </w:rPr>
        <w:t xml:space="preserve">8.4磋商文件的修改将在原公告媒体上发布更正公告，</w:t>
      </w:r>
      <w:r>
        <w:rPr>
          <w:rFonts w:hint="eastAsia" w:ascii="Times New Roman" w:hAnsi="Times New Roman"/>
          <w:sz w:val="24"/>
          <w:szCs w:val="21"/>
        </w:rPr>
        <w:t xml:space="preserve">更正公告内容将作为磋商文件的组成部分</w:t>
      </w:r>
      <w:r>
        <w:rPr>
          <w:rFonts w:hint="eastAsia" w:ascii="Times New Roman" w:hAnsi="Times New Roman"/>
          <w:bCs/>
          <w:sz w:val="24"/>
        </w:rPr>
        <w:t xml:space="preserve">，并对供应商具有约束力，发布的更正公告视同为以书面形式通知所有获取招标文件的潜在投标人。</w:t>
      </w:r>
      <w:r/>
    </w:p>
    <w:p>
      <w:pPr>
        <w:ind w:firstLine="480"/>
        <w:spacing w:line="560" w:lineRule="exact"/>
        <w:rPr>
          <w:rFonts w:ascii="Times New Roman" w:hAnsi="Times New Roman"/>
          <w:bCs/>
          <w:sz w:val="24"/>
        </w:rPr>
      </w:pPr>
      <w:r>
        <w:rPr>
          <w:rFonts w:hint="eastAsia" w:ascii="Times New Roman" w:hAnsi="Times New Roman"/>
          <w:bCs/>
          <w:sz w:val="24"/>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ascii="Times New Roman" w:hAnsi="Times New Roman"/>
          <w:b/>
          <w:bCs/>
          <w:sz w:val="32"/>
          <w:szCs w:val="32"/>
        </w:rPr>
        <w:outlineLvl w:val="2"/>
      </w:pPr>
      <w:r/>
      <w:bookmarkStart w:id="67" w:name="_Toc462564072"/>
      <w:r/>
      <w:bookmarkStart w:id="68" w:name="_Toc513029213"/>
      <w:r/>
      <w:bookmarkStart w:id="69" w:name="_Toc16938529"/>
      <w:r/>
      <w:bookmarkStart w:id="70" w:name="_Toc120614216"/>
      <w:r/>
      <w:bookmarkStart w:id="71" w:name="_Toc20823285"/>
      <w:r>
        <w:rPr>
          <w:rFonts w:hint="eastAsia" w:ascii="Times New Roman" w:hAnsi="Times New Roman"/>
          <w:b/>
          <w:bCs/>
          <w:sz w:val="32"/>
          <w:szCs w:val="32"/>
        </w:rPr>
        <w:t xml:space="preserve">三、响应文件的编制</w:t>
      </w:r>
      <w:bookmarkEnd w:id="67"/>
      <w:r/>
      <w:bookmarkEnd w:id="68"/>
      <w:r/>
      <w:bookmarkEnd w:id="69"/>
      <w:r/>
      <w:bookmarkEnd w:id="70"/>
      <w:r/>
      <w:bookmarkEnd w:id="71"/>
      <w:r/>
      <w:r/>
    </w:p>
    <w:p>
      <w:pPr>
        <w:ind w:firstLine="560"/>
        <w:keepLines/>
        <w:keepNext/>
        <w:spacing w:line="560" w:lineRule="exact"/>
        <w:rPr>
          <w:rFonts w:ascii="Times New Roman" w:hAnsi="Times New Roman" w:eastAsia="黑体" w:cs="Arial"/>
          <w:b/>
          <w:sz w:val="28"/>
          <w:szCs w:val="28"/>
        </w:rPr>
        <w:outlineLvl w:val="3"/>
      </w:pPr>
      <w:r/>
      <w:bookmarkStart w:id="72" w:name="_Toc16938530"/>
      <w:r/>
      <w:bookmarkStart w:id="73" w:name="_Toc513029214"/>
      <w:r/>
      <w:bookmarkStart w:id="74" w:name="_Toc20823286"/>
      <w:r/>
      <w:bookmarkStart w:id="75" w:name="_Toc462564073"/>
      <w:r>
        <w:rPr>
          <w:rFonts w:hint="eastAsia" w:ascii="Times New Roman" w:hAnsi="Times New Roman" w:eastAsia="黑体" w:cs="Arial"/>
          <w:sz w:val="28"/>
          <w:szCs w:val="28"/>
        </w:rPr>
        <w:t xml:space="preserve">9、响应文件的语言及度量衡单位</w:t>
      </w:r>
      <w:bookmarkEnd w:id="72"/>
      <w:r/>
      <w:bookmarkEnd w:id="73"/>
      <w:r/>
      <w:bookmarkEnd w:id="74"/>
      <w:r/>
      <w:bookmarkEnd w:id="75"/>
      <w:r/>
      <w:r/>
    </w:p>
    <w:p>
      <w:pPr>
        <w:ind w:firstLine="480"/>
        <w:spacing w:line="560" w:lineRule="exact"/>
        <w:rPr>
          <w:rFonts w:ascii="Times New Roman" w:hAnsi="Times New Roman"/>
          <w:sz w:val="24"/>
          <w:szCs w:val="21"/>
        </w:rPr>
      </w:pPr>
      <w:r>
        <w:rPr>
          <w:rFonts w:hint="eastAsia" w:ascii="Times New Roman" w:hAnsi="Times New Roman"/>
          <w:bCs/>
          <w:sz w:val="24"/>
          <w:szCs w:val="21"/>
        </w:rPr>
        <w:t xml:space="preserve">9.1</w:t>
      </w:r>
      <w:r>
        <w:rPr>
          <w:rFonts w:hint="eastAsia" w:ascii="Times New Roman" w:hAnsi="Times New Roman"/>
          <w:sz w:val="24"/>
          <w:szCs w:val="21"/>
        </w:rPr>
        <w:t xml:space="preserve">供应商提交的响应文件以及供应商与采购代理机构就有关磋商的所有来往通知、函件和文件均应使用</w:t>
      </w:r>
      <w:r>
        <w:rPr>
          <w:rFonts w:hint="eastAsia" w:ascii="Times New Roman" w:hAnsi="Times New Roman"/>
          <w:b/>
          <w:bCs/>
          <w:sz w:val="24"/>
          <w:szCs w:val="21"/>
        </w:rPr>
        <w:t xml:space="preserve">简体中文</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hint="eastAsia" w:ascii="Times New Roman" w:hAnsi="Times New Roman"/>
          <w:bCs/>
          <w:sz w:val="24"/>
          <w:szCs w:val="21"/>
        </w:rPr>
        <w:t xml:space="preserve">9.2</w:t>
      </w:r>
      <w:r>
        <w:rPr>
          <w:rFonts w:hint="eastAsia" w:ascii="Times New Roman" w:hAnsi="Times New Roman"/>
          <w:sz w:val="24"/>
          <w:szCs w:val="21"/>
        </w:rPr>
        <w:t xml:space="preserve"> 除技术性能另有规定外，响应文件所使用的度量衡单位，均须采用国家法定计量单位。</w:t>
      </w:r>
      <w:r/>
    </w:p>
    <w:p>
      <w:pPr>
        <w:ind w:firstLine="420"/>
        <w:keepLines/>
        <w:keepNext/>
        <w:spacing w:line="560" w:lineRule="exact"/>
        <w:rPr>
          <w:rFonts w:ascii="Times New Roman" w:hAnsi="Times New Roman" w:eastAsia="黑体" w:cs="Arial"/>
          <w:sz w:val="28"/>
          <w:szCs w:val="28"/>
        </w:rPr>
        <w:outlineLvl w:val="3"/>
      </w:pPr>
      <w:r/>
      <w:bookmarkStart w:id="76" w:name="_Toc513029215"/>
      <w:r/>
      <w:bookmarkStart w:id="77" w:name="_Toc20823287"/>
      <w:r/>
      <w:bookmarkStart w:id="78" w:name="_Toc16938531"/>
      <w:r/>
      <w:bookmarkStart w:id="79" w:name="_Toc462564074"/>
      <w:r>
        <w:rPr>
          <w:rFonts w:hint="eastAsia" w:ascii="Times New Roman" w:hAnsi="Times New Roman" w:eastAsia="黑体" w:cs="Arial"/>
          <w:sz w:val="28"/>
          <w:szCs w:val="28"/>
        </w:rPr>
        <w:t xml:space="preserve">10、响应文件构成</w:t>
      </w:r>
      <w:bookmarkEnd w:id="76"/>
      <w:r/>
      <w:bookmarkEnd w:id="77"/>
      <w:r/>
      <w:bookmarkEnd w:id="78"/>
      <w:r/>
      <w:bookmarkEnd w:id="79"/>
      <w:r/>
      <w:r/>
    </w:p>
    <w:p>
      <w:pPr>
        <w:ind w:firstLine="480"/>
        <w:spacing w:line="560" w:lineRule="exact"/>
        <w:rPr>
          <w:rFonts w:ascii="Times New Roman" w:hAnsi="Times New Roman"/>
          <w:bCs/>
          <w:sz w:val="24"/>
        </w:rPr>
      </w:pPr>
      <w:r>
        <w:rPr>
          <w:rFonts w:hint="eastAsia" w:ascii="Times New Roman" w:hAnsi="Times New Roman"/>
          <w:bCs/>
          <w:sz w:val="24"/>
          <w:szCs w:val="21"/>
        </w:rPr>
        <w:t xml:space="preserve">10.1</w:t>
      </w:r>
      <w:r>
        <w:rPr>
          <w:rFonts w:hint="eastAsia" w:ascii="Times New Roman" w:hAnsi="Times New Roman"/>
          <w:bCs/>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ascii="Times New Roman" w:hAnsi="Times New Roman"/>
          <w:sz w:val="24"/>
          <w:szCs w:val="21"/>
        </w:rPr>
      </w:pPr>
      <w:r>
        <w:rPr>
          <w:rFonts w:hint="eastAsia" w:ascii="Times New Roman" w:hAnsi="Times New Roman"/>
          <w:bCs/>
          <w:sz w:val="24"/>
          <w:lang w:val="zh-CN"/>
        </w:rPr>
        <w:t xml:space="preserve">各供应商在编制</w:t>
      </w:r>
      <w:r>
        <w:rPr>
          <w:rFonts w:hint="eastAsia" w:ascii="Times New Roman" w:hAnsi="Times New Roman"/>
          <w:bCs/>
          <w:sz w:val="24"/>
        </w:rPr>
        <w:t xml:space="preserve">响应文件</w:t>
      </w:r>
      <w:r>
        <w:rPr>
          <w:rFonts w:hint="eastAsia" w:ascii="Times New Roman" w:hAnsi="Times New Roman"/>
          <w:bCs/>
          <w:sz w:val="24"/>
          <w:lang w:val="zh-CN"/>
        </w:rPr>
        <w:t xml:space="preserve">时请按照磋商文件第六</w:t>
      </w:r>
      <w:r>
        <w:rPr>
          <w:rFonts w:hint="eastAsia" w:ascii="Times New Roman" w:hAnsi="Times New Roman"/>
          <w:bCs/>
          <w:sz w:val="24"/>
        </w:rPr>
        <w:t xml:space="preserve">章</w:t>
      </w:r>
      <w:r>
        <w:rPr>
          <w:rFonts w:hint="eastAsia" w:ascii="Times New Roman" w:hAnsi="Times New Roman"/>
          <w:bCs/>
          <w:sz w:val="24"/>
          <w:lang w:val="zh-CN"/>
        </w:rPr>
        <w:t xml:space="preserve">规定的格式进行，混乱的编排导致</w:t>
      </w:r>
      <w:r>
        <w:rPr>
          <w:rFonts w:hint="eastAsia" w:ascii="Times New Roman" w:hAnsi="Times New Roman"/>
          <w:bCs/>
          <w:sz w:val="24"/>
        </w:rPr>
        <w:t xml:space="preserve">响应</w:t>
      </w:r>
      <w:r>
        <w:rPr>
          <w:rFonts w:hint="eastAsia" w:ascii="Times New Roman" w:hAnsi="Times New Roman"/>
          <w:bCs/>
          <w:sz w:val="24"/>
          <w:lang w:val="zh-CN"/>
        </w:rPr>
        <w:t xml:space="preserve">文件被误读或磋商小组查找不到有效文件是供应商的风险。</w:t>
      </w:r>
      <w:r/>
    </w:p>
    <w:p>
      <w:pPr>
        <w:ind w:firstLine="480"/>
        <w:spacing w:line="560" w:lineRule="exact"/>
        <w:rPr>
          <w:rFonts w:ascii="Times New Roman" w:hAnsi="Times New Roman"/>
          <w:sz w:val="24"/>
        </w:rPr>
      </w:pPr>
      <w:r>
        <w:rPr>
          <w:rFonts w:hint="eastAsia" w:ascii="Times New Roman" w:hAnsi="Times New Roman"/>
          <w:sz w:val="24"/>
          <w:szCs w:val="21"/>
        </w:rPr>
        <w:t xml:space="preserve">10.2</w:t>
      </w:r>
      <w:r>
        <w:rPr>
          <w:rFonts w:hint="eastAsia" w:ascii="Times New Roman" w:hAnsi="Times New Roman"/>
          <w:sz w:val="24"/>
        </w:rPr>
        <w:t xml:space="preserve">供应商编写的响应文件应包括资格证明文件、分项报价表、响应及偏离表、其他证明文件、磋商申请及声明函、开标一览表等部分。</w:t>
      </w:r>
      <w:r/>
    </w:p>
    <w:p>
      <w:pPr>
        <w:ind w:firstLine="480"/>
        <w:spacing w:line="560" w:lineRule="exact"/>
        <w:rPr>
          <w:rFonts w:ascii="Times New Roman" w:hAnsi="Times New Roman"/>
          <w:bCs/>
          <w:sz w:val="24"/>
        </w:rPr>
      </w:pPr>
      <w:r>
        <w:rPr>
          <w:rFonts w:hint="eastAsia" w:ascii="Times New Roman" w:hAnsi="Times New Roman"/>
          <w:bCs/>
          <w:sz w:val="24"/>
        </w:rPr>
        <w:t xml:space="preserve">10.3响应文件须加盖电子签章之处，应按要求加盖</w:t>
      </w:r>
      <w:r>
        <w:rPr>
          <w:rFonts w:hint="eastAsia" w:ascii="Times New Roman" w:hAnsi="Times New Roman"/>
          <w:bCs/>
          <w:sz w:val="24"/>
          <w:lang w:val="zh-CN"/>
        </w:rPr>
        <w:t xml:space="preserve">供应商</w:t>
      </w:r>
      <w:r>
        <w:rPr>
          <w:rFonts w:hint="eastAsia" w:ascii="Times New Roman" w:hAnsi="Times New Roman"/>
          <w:bCs/>
          <w:sz w:val="24"/>
        </w:rPr>
        <w:t xml:space="preserve">数字证书的电子签章。其他需要盖章但未明确要求电子签章的，</w:t>
      </w:r>
      <w:r>
        <w:rPr>
          <w:rFonts w:hint="eastAsia" w:ascii="Times New Roman" w:hAnsi="Times New Roman"/>
          <w:bCs/>
          <w:sz w:val="24"/>
          <w:lang w:val="zh-CN"/>
        </w:rPr>
        <w:t xml:space="preserve">供应商</w:t>
      </w:r>
      <w:r>
        <w:rPr>
          <w:rFonts w:hint="eastAsia" w:ascii="Times New Roman" w:hAnsi="Times New Roman"/>
          <w:bCs/>
          <w:sz w:val="24"/>
        </w:rPr>
        <w:t xml:space="preserve">可按要求加盖公章后上传材料电子件或直接加盖电子签章。 </w:t>
      </w:r>
      <w:r/>
    </w:p>
    <w:p>
      <w:pPr>
        <w:ind w:firstLine="480"/>
        <w:spacing w:line="560" w:lineRule="exact"/>
        <w:rPr>
          <w:rFonts w:ascii="Times New Roman" w:hAnsi="Times New Roman"/>
          <w:bCs/>
          <w:sz w:val="24"/>
        </w:rPr>
      </w:pPr>
      <w:r>
        <w:rPr>
          <w:rFonts w:hint="eastAsia" w:ascii="Times New Roman" w:hAnsi="Times New Roman"/>
          <w:bCs/>
          <w:sz w:val="24"/>
        </w:rPr>
        <w:t xml:space="preserve">10.4本项目通过“苏采云”系统进行电子招标投标，即</w:t>
      </w:r>
      <w:r>
        <w:rPr>
          <w:rFonts w:hint="eastAsia" w:ascii="Times New Roman" w:hAnsi="Times New Roman"/>
          <w:bCs/>
          <w:sz w:val="24"/>
          <w:lang w:val="zh-CN"/>
        </w:rPr>
        <w:t xml:space="preserve">供应商</w:t>
      </w:r>
      <w:r>
        <w:rPr>
          <w:rFonts w:hint="eastAsia" w:ascii="Times New Roman" w:hAnsi="Times New Roman"/>
          <w:bCs/>
          <w:sz w:val="24"/>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sz w:val="24"/>
          <w:lang w:val="zh-CN"/>
        </w:rPr>
        <w:t xml:space="preserve">供应商</w:t>
      </w:r>
      <w:r>
        <w:rPr>
          <w:rFonts w:hint="eastAsia" w:ascii="Times New Roman" w:hAnsi="Times New Roman"/>
          <w:bCs/>
          <w:sz w:val="24"/>
        </w:rPr>
        <w:t xml:space="preserve">，按照无效响应处理(因“苏采云”系统导致解密失败的除外)。</w:t>
      </w:r>
      <w:r/>
    </w:p>
    <w:p>
      <w:pPr>
        <w:ind w:firstLine="480"/>
        <w:spacing w:line="560" w:lineRule="exact"/>
        <w:rPr>
          <w:rFonts w:ascii="Times New Roman" w:hAnsi="Times New Roman"/>
          <w:bCs/>
          <w:sz w:val="24"/>
        </w:rPr>
      </w:pPr>
      <w:r>
        <w:rPr>
          <w:rFonts w:hint="eastAsia" w:ascii="Times New Roman" w:hAnsi="Times New Roman"/>
          <w:bCs/>
          <w:sz w:val="24"/>
        </w:rPr>
        <w:t xml:space="preserve">10.5如标书制作工具中格式和内容与“江苏省政府采购网”发布的磋商文件不一致，请以“江苏省政府采购网”发布的磋商文件为准。</w:t>
      </w:r>
      <w:r/>
    </w:p>
    <w:p>
      <w:pPr>
        <w:ind w:firstLine="480"/>
        <w:spacing w:line="560" w:lineRule="exact"/>
        <w:rPr>
          <w:rFonts w:ascii="Times New Roman" w:hAnsi="Times New Roman"/>
          <w:bCs/>
          <w:sz w:val="24"/>
        </w:rPr>
      </w:pPr>
      <w:r>
        <w:rPr>
          <w:rFonts w:hint="eastAsia" w:ascii="Times New Roman" w:hAnsi="Times New Roman"/>
          <w:bCs/>
          <w:sz w:val="24"/>
        </w:rPr>
        <w:t xml:space="preserve">10.6成交后按相关要求提供与电子响应文件一致的纸质响应文件2份。 </w:t>
      </w:r>
      <w:r/>
    </w:p>
    <w:p>
      <w:pPr>
        <w:ind w:firstLine="480"/>
        <w:spacing w:line="560" w:lineRule="exact"/>
        <w:rPr>
          <w:rFonts w:ascii="Times New Roman" w:hAnsi="Times New Roman"/>
          <w:sz w:val="24"/>
        </w:rPr>
      </w:pPr>
      <w:r/>
      <w:bookmarkStart w:id="80" w:name="EBc50e2bb832bb43068403b10c1cce6141"/>
      <w:r>
        <w:rPr>
          <w:rFonts w:hint="eastAsia" w:ascii="Times New Roman" w:hAnsi="Times New Roman"/>
          <w:bCs/>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80"/>
      <w:r/>
      <w:r/>
    </w:p>
    <w:p>
      <w:pPr>
        <w:ind w:firstLine="420"/>
        <w:keepLines/>
        <w:keepNext/>
        <w:spacing w:line="560" w:lineRule="exact"/>
        <w:rPr>
          <w:rFonts w:ascii="Times New Roman" w:hAnsi="Times New Roman" w:eastAsia="黑体" w:cs="Arial"/>
          <w:sz w:val="28"/>
          <w:szCs w:val="28"/>
        </w:rPr>
        <w:outlineLvl w:val="3"/>
      </w:pPr>
      <w:r/>
      <w:bookmarkStart w:id="81" w:name="_Hlt26670360"/>
      <w:r/>
      <w:bookmarkEnd w:id="81"/>
      <w:r/>
      <w:bookmarkStart w:id="82" w:name="_Hlt26954838"/>
      <w:r/>
      <w:bookmarkEnd w:id="82"/>
      <w:r/>
      <w:bookmarkStart w:id="83" w:name="_Hlt26668975"/>
      <w:r/>
      <w:bookmarkEnd w:id="83"/>
      <w:r/>
      <w:bookmarkStart w:id="84" w:name="_Toc49090507"/>
      <w:r/>
      <w:bookmarkStart w:id="85" w:name="_Toc513029219"/>
      <w:r/>
      <w:bookmarkStart w:id="86" w:name="_Toc513029216"/>
      <w:r/>
      <w:bookmarkStart w:id="87" w:name="_Toc49090509"/>
      <w:r/>
      <w:bookmarkStart w:id="88" w:name="_Toc14577357"/>
      <w:r/>
      <w:bookmarkStart w:id="89" w:name="_Toc14577354"/>
      <w:r/>
      <w:bookmarkStart w:id="90" w:name="_Toc14577355"/>
      <w:r/>
      <w:bookmarkStart w:id="91" w:name="_Toc49090508"/>
      <w:r>
        <w:rPr>
          <w:rFonts w:hint="eastAsia" w:ascii="Times New Roman" w:hAnsi="Times New Roman" w:eastAsia="黑体" w:cs="Arial"/>
          <w:sz w:val="28"/>
          <w:szCs w:val="28"/>
        </w:rPr>
        <w:t xml:space="preserve">11、证明磋商响应标的符合磋商文件规定的文件</w:t>
      </w:r>
      <w:bookmarkEnd w:id="84"/>
      <w:r/>
      <w:bookmarkEnd w:id="85"/>
      <w:r/>
      <w:bookmarkEnd w:id="86"/>
      <w:r/>
      <w:bookmarkEnd w:id="87"/>
      <w:r/>
      <w:bookmarkEnd w:id="88"/>
      <w:r/>
      <w:bookmarkEnd w:id="89"/>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11.1供应商应按照磋商文件要求提交证明文件，证明其及磋商响应标的符合磋商文件规定。</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11.2磋商文件对证明文件无明确形式要求的，证明文件可以以文字资料、图纸和数据等形式提交。</w:t>
      </w:r>
      <w:bookmarkEnd w:id="90"/>
      <w:r/>
      <w:bookmarkEnd w:id="91"/>
      <w:r/>
      <w:r/>
    </w:p>
    <w:p>
      <w:pPr>
        <w:ind w:firstLine="420"/>
        <w:keepLines/>
        <w:keepNext/>
        <w:spacing w:line="560" w:lineRule="exact"/>
        <w:rPr>
          <w:rFonts w:ascii="Times New Roman" w:hAnsi="Times New Roman" w:eastAsia="黑体" w:cs="Arial"/>
          <w:sz w:val="28"/>
          <w:szCs w:val="28"/>
        </w:rPr>
        <w:outlineLvl w:val="3"/>
      </w:pPr>
      <w:r>
        <w:rPr>
          <w:rFonts w:hint="eastAsia" w:ascii="Times New Roman" w:hAnsi="Times New Roman" w:eastAsia="黑体" w:cs="Arial"/>
          <w:sz w:val="28"/>
          <w:szCs w:val="28"/>
        </w:rPr>
        <w:t xml:space="preserve">12、分项报价表</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12.1</w:t>
      </w:r>
      <w:r>
        <w:rPr>
          <w:rFonts w:hint="eastAsia" w:ascii="Times New Roman" w:hAnsi="Times New Roman"/>
          <w:sz w:val="24"/>
          <w:szCs w:val="21"/>
        </w:rPr>
        <w:t xml:space="preserve">供应商应按照磋商文件规定格式填报分项报价表（如有的话）</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12.2</w:t>
      </w:r>
      <w:r>
        <w:rPr>
          <w:rFonts w:hint="eastAsia" w:ascii="Times New Roman" w:hAnsi="Times New Roman"/>
          <w:bCs/>
          <w:sz w:val="24"/>
          <w:szCs w:val="21"/>
        </w:rPr>
        <w:t xml:space="preserve">磋商货币。响应文件中的单价和总价无特殊规定的采用人民币报价，以元为单位标注。</w:t>
      </w:r>
      <w:r>
        <w:rPr>
          <w:rFonts w:hint="eastAsia" w:ascii="Times New Roman" w:hAnsi="Times New Roman"/>
          <w:sz w:val="24"/>
          <w:szCs w:val="21"/>
        </w:rPr>
        <w:t xml:space="preserve">磋商文件中另有规定的按规定执行。</w:t>
      </w:r>
      <w:r/>
    </w:p>
    <w:p>
      <w:pPr>
        <w:ind w:firstLine="480"/>
        <w:spacing w:line="560" w:lineRule="exact"/>
        <w:rPr>
          <w:rFonts w:ascii="Times New Roman" w:hAnsi="Times New Roman"/>
          <w:bCs/>
          <w:sz w:val="24"/>
          <w:szCs w:val="21"/>
        </w:rPr>
      </w:pPr>
      <w:r>
        <w:rPr>
          <w:rFonts w:hint="eastAsia" w:ascii="Times New Roman" w:hAnsi="Times New Roman"/>
          <w:bCs/>
          <w:sz w:val="24"/>
        </w:rPr>
        <w:t xml:space="preserve">12.3本项目不接受备选的投标方案或有选择的报价，只允许有一个报价。供应商响应文件中的报价作为首次报价，不公开；以最后报价作为评审价。投标报价内容包括：完成本项目所涉及到的一切相关费用。</w:t>
      </w:r>
      <w:r/>
    </w:p>
    <w:p>
      <w:pPr>
        <w:ind w:firstLine="420"/>
        <w:keepLines/>
        <w:keepNext/>
        <w:spacing w:line="560" w:lineRule="exact"/>
        <w:rPr>
          <w:rFonts w:ascii="Times New Roman" w:hAnsi="Times New Roman" w:eastAsia="黑体" w:cs="Arial"/>
          <w:sz w:val="28"/>
          <w:szCs w:val="28"/>
        </w:rPr>
        <w:outlineLvl w:val="3"/>
      </w:pPr>
      <w:r/>
      <w:bookmarkStart w:id="92" w:name="_Hlt26954846"/>
      <w:r/>
      <w:bookmarkEnd w:id="92"/>
      <w:r/>
      <w:bookmarkStart w:id="93" w:name="_Hlt26670482"/>
      <w:r/>
      <w:bookmarkEnd w:id="93"/>
      <w:r/>
      <w:bookmarkStart w:id="94" w:name="_Hlt26670486"/>
      <w:r/>
      <w:bookmarkEnd w:id="94"/>
      <w:r/>
      <w:bookmarkStart w:id="95" w:name="_Hlt26954848"/>
      <w:r/>
      <w:bookmarkEnd w:id="95"/>
      <w:r/>
      <w:bookmarkStart w:id="96" w:name="_Hlt26954731"/>
      <w:r/>
      <w:bookmarkEnd w:id="96"/>
      <w:r>
        <w:rPr>
          <w:rFonts w:hint="eastAsia" w:ascii="Times New Roman" w:hAnsi="Times New Roman" w:eastAsia="黑体" w:cs="Arial"/>
          <w:sz w:val="28"/>
          <w:szCs w:val="28"/>
        </w:rPr>
        <w:t xml:space="preserve">13、技术要求响应及偏离表、商务要求响应及偏离表</w:t>
      </w:r>
      <w:r/>
    </w:p>
    <w:p>
      <w:pPr>
        <w:ind w:firstLine="480"/>
        <w:spacing w:line="560" w:lineRule="exact"/>
        <w:rPr>
          <w:rFonts w:ascii="Times New Roman" w:hAnsi="Times New Roman" w:cs="宋体"/>
          <w:sz w:val="24"/>
          <w:szCs w:val="21"/>
          <w:lang w:val="zh-CN"/>
        </w:rPr>
      </w:pPr>
      <w:r>
        <w:rPr>
          <w:rFonts w:ascii="Times New Roman" w:hAnsi="Times New Roman" w:cs="宋体"/>
          <w:bCs/>
          <w:sz w:val="24"/>
          <w:szCs w:val="21"/>
          <w:lang w:val="zh-CN"/>
        </w:rPr>
        <w:t xml:space="preserve">1</w:t>
      </w:r>
      <w:r>
        <w:rPr>
          <w:rFonts w:hint="eastAsia" w:ascii="Times New Roman" w:hAnsi="Times New Roman" w:cs="宋体"/>
          <w:bCs/>
          <w:sz w:val="24"/>
          <w:szCs w:val="21"/>
          <w:lang w:val="zh-CN"/>
        </w:rPr>
        <w:t xml:space="preserve">3</w:t>
      </w:r>
      <w:r>
        <w:rPr>
          <w:rFonts w:ascii="Times New Roman" w:hAnsi="Times New Roman" w:cs="宋体"/>
          <w:bCs/>
          <w:sz w:val="24"/>
          <w:szCs w:val="21"/>
          <w:lang w:val="zh-CN"/>
        </w:rPr>
        <w:t xml:space="preserve">.1</w:t>
      </w:r>
      <w:r>
        <w:rPr>
          <w:rFonts w:hint="eastAsia" w:ascii="Times New Roman" w:hAnsi="Times New Roman" w:cs="宋体"/>
          <w:sz w:val="24"/>
          <w:szCs w:val="21"/>
          <w:lang w:val="zh-CN"/>
        </w:rPr>
        <w:t xml:space="preserve">供应商需对磋商文件中的技术要求与商务要求逐项作出响应或偏离，并说明原因。</w:t>
      </w:r>
      <w:r/>
    </w:p>
    <w:p>
      <w:pPr>
        <w:ind w:firstLine="480"/>
        <w:spacing w:line="560" w:lineRule="exact"/>
        <w:rPr>
          <w:rFonts w:ascii="Times New Roman" w:hAnsi="Times New Roman" w:cs="宋体"/>
          <w:sz w:val="24"/>
          <w:szCs w:val="21"/>
          <w:lang w:val="zh-CN"/>
        </w:rPr>
      </w:pPr>
      <w:r>
        <w:rPr>
          <w:rFonts w:hint="eastAsia" w:ascii="Times New Roman" w:hAnsi="Times New Roman" w:cs="宋体"/>
          <w:sz w:val="24"/>
          <w:szCs w:val="21"/>
          <w:lang w:val="zh-CN"/>
        </w:rPr>
        <w:t xml:space="preserve">13.2供应商可在响应文件中提供认为需要的其他技术文件或说明。</w:t>
      </w:r>
      <w:r/>
    </w:p>
    <w:p>
      <w:pPr>
        <w:ind w:firstLine="420"/>
        <w:keepLines/>
        <w:keepNext/>
        <w:spacing w:line="560" w:lineRule="exact"/>
        <w:rPr>
          <w:rFonts w:ascii="Times New Roman" w:hAnsi="Times New Roman" w:eastAsia="黑体" w:cs="Arial"/>
          <w:sz w:val="28"/>
          <w:szCs w:val="28"/>
        </w:rPr>
        <w:outlineLvl w:val="3"/>
      </w:pPr>
      <w:r>
        <w:rPr>
          <w:rFonts w:hint="eastAsia" w:ascii="Times New Roman" w:hAnsi="Times New Roman" w:eastAsia="黑体" w:cs="Arial"/>
          <w:sz w:val="28"/>
          <w:szCs w:val="28"/>
        </w:rPr>
        <w:t xml:space="preserve">14、服务承诺、培训计划、人员安排及其他</w:t>
      </w:r>
      <w:r/>
    </w:p>
    <w:p>
      <w:pPr>
        <w:ind w:firstLine="480"/>
        <w:spacing w:line="560" w:lineRule="exact"/>
        <w:rPr>
          <w:rFonts w:ascii="Times New Roman" w:hAnsi="Times New Roman"/>
          <w:sz w:val="24"/>
          <w:szCs w:val="24"/>
        </w:rPr>
      </w:pPr>
      <w:r>
        <w:rPr>
          <w:rFonts w:hint="eastAsia" w:ascii="Times New Roman" w:hAnsi="Times New Roman"/>
          <w:bCs/>
          <w:sz w:val="24"/>
          <w:szCs w:val="24"/>
        </w:rPr>
        <w:t xml:space="preserve">14.1</w:t>
      </w:r>
      <w:r>
        <w:rPr>
          <w:rFonts w:hint="eastAsia" w:ascii="Times New Roman" w:hAnsi="Times New Roman"/>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14.2供应商需根据磋商文件要求提供培训计划。</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14.3供应商需根据磋商文件要求提供</w:t>
      </w:r>
      <w:r>
        <w:rPr>
          <w:rFonts w:hint="eastAsia" w:ascii="Times New Roman" w:hAnsi="Times New Roman" w:cs="宋体"/>
          <w:sz w:val="24"/>
          <w:szCs w:val="21"/>
          <w:lang w:val="zh-CN"/>
        </w:rPr>
        <w:t xml:space="preserve">磋商响应标的的主要组成部分、功能设计、实现思路及关键技术等。</w:t>
      </w:r>
      <w:r/>
    </w:p>
    <w:p>
      <w:pPr>
        <w:ind w:firstLine="420"/>
        <w:keepLines/>
        <w:keepNext/>
        <w:spacing w:line="560" w:lineRule="exact"/>
        <w:rPr>
          <w:rFonts w:ascii="Times New Roman" w:hAnsi="Times New Roman" w:eastAsia="黑体" w:cs="Arial"/>
          <w:sz w:val="28"/>
          <w:szCs w:val="28"/>
        </w:rPr>
        <w:outlineLvl w:val="3"/>
      </w:pPr>
      <w:r/>
      <w:bookmarkStart w:id="97" w:name="_Toc49090510"/>
      <w:r/>
      <w:bookmarkStart w:id="98" w:name="_Toc14577359"/>
      <w:r>
        <w:rPr>
          <w:rFonts w:hint="eastAsia" w:ascii="Times New Roman" w:hAnsi="Times New Roman" w:eastAsia="黑体" w:cs="Arial"/>
          <w:sz w:val="28"/>
          <w:szCs w:val="28"/>
        </w:rPr>
        <w:t xml:space="preserve">15、磋商响应函</w:t>
      </w:r>
      <w:r/>
    </w:p>
    <w:p>
      <w:pPr>
        <w:ind w:firstLine="480"/>
        <w:spacing w:line="560" w:lineRule="exact"/>
        <w:rPr>
          <w:rFonts w:ascii="Times New Roman" w:hAnsi="Times New Roman"/>
          <w:sz w:val="24"/>
          <w:szCs w:val="21"/>
        </w:rPr>
      </w:pPr>
      <w:r>
        <w:rPr>
          <w:rFonts w:hint="eastAsia" w:ascii="Times New Roman" w:hAnsi="Times New Roman"/>
          <w:bCs/>
          <w:sz w:val="24"/>
          <w:szCs w:val="21"/>
        </w:rPr>
        <w:t xml:space="preserve">15.1</w:t>
      </w:r>
      <w:r>
        <w:rPr>
          <w:rFonts w:hint="eastAsia" w:ascii="Times New Roman" w:hAnsi="Times New Roman"/>
          <w:sz w:val="24"/>
          <w:szCs w:val="21"/>
        </w:rPr>
        <w:t xml:space="preserve">供应商应按照磋商文件中提供的格式完整、正确填写磋商响应函。</w:t>
      </w:r>
      <w:bookmarkEnd w:id="97"/>
      <w:r/>
      <w:bookmarkEnd w:id="98"/>
      <w:r/>
      <w:r/>
    </w:p>
    <w:p>
      <w:pPr>
        <w:ind w:firstLine="420"/>
        <w:keepLines/>
        <w:keepNext/>
        <w:spacing w:line="560" w:lineRule="exact"/>
        <w:rPr>
          <w:rFonts w:ascii="Times New Roman" w:hAnsi="Times New Roman" w:eastAsia="黑体" w:cs="Arial"/>
          <w:sz w:val="28"/>
          <w:szCs w:val="28"/>
        </w:rPr>
        <w:outlineLvl w:val="3"/>
      </w:pPr>
      <w:r/>
      <w:bookmarkStart w:id="99" w:name="_Toc49090511"/>
      <w:r/>
      <w:bookmarkStart w:id="100" w:name="_Toc14577360"/>
      <w:r>
        <w:rPr>
          <w:rFonts w:hint="eastAsia" w:ascii="Times New Roman" w:hAnsi="Times New Roman" w:eastAsia="黑体" w:cs="Arial"/>
          <w:sz w:val="28"/>
          <w:szCs w:val="28"/>
        </w:rPr>
        <w:t xml:space="preserve">16、磋商有效期</w:t>
      </w:r>
      <w:bookmarkEnd w:id="99"/>
      <w:r/>
      <w:bookmarkEnd w:id="100"/>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16.1磋商有效期为提交递交响应文件截止时间（即开启响应文件时间）</w:t>
      </w:r>
      <w:r>
        <w:rPr>
          <w:rFonts w:hint="eastAsia" w:ascii="Times New Roman" w:hAnsi="Times New Roman"/>
          <w:bCs/>
          <w:sz w:val="24"/>
          <w:szCs w:val="21"/>
          <w:u w:val="single"/>
        </w:rPr>
        <w:t xml:space="preserve">90日历天内</w:t>
      </w:r>
      <w:r>
        <w:rPr>
          <w:rFonts w:hint="eastAsia" w:ascii="Times New Roman" w:hAnsi="Times New Roman"/>
          <w:bCs/>
          <w:sz w:val="24"/>
          <w:szCs w:val="21"/>
        </w:rPr>
        <w:t xml:space="preserve">。磋商有效期比规定短的将被视为非实质性响应磋商文件而予以拒绝。</w:t>
      </w:r>
      <w:r/>
    </w:p>
    <w:p>
      <w:pPr>
        <w:ind w:firstLine="420"/>
        <w:keepLines/>
        <w:keepNext/>
        <w:spacing w:line="560" w:lineRule="exact"/>
        <w:rPr>
          <w:rFonts w:ascii="Times New Roman" w:hAnsi="Times New Roman" w:eastAsia="黑体" w:cs="Arial"/>
          <w:sz w:val="28"/>
          <w:szCs w:val="28"/>
        </w:rPr>
        <w:outlineLvl w:val="3"/>
      </w:pPr>
      <w:r>
        <w:rPr>
          <w:rFonts w:hint="eastAsia" w:ascii="Times New Roman" w:hAnsi="Times New Roman" w:eastAsia="黑体" w:cs="Arial"/>
          <w:sz w:val="28"/>
          <w:szCs w:val="28"/>
        </w:rPr>
        <w:t xml:space="preserve">1</w:t>
      </w:r>
      <w:r>
        <w:rPr>
          <w:rFonts w:ascii="Times New Roman" w:hAnsi="Times New Roman" w:eastAsia="黑体" w:cs="Arial"/>
          <w:sz w:val="28"/>
          <w:szCs w:val="28"/>
        </w:rPr>
        <w:t xml:space="preserve">7</w:t>
      </w:r>
      <w:r>
        <w:rPr>
          <w:rFonts w:hint="eastAsia" w:ascii="Times New Roman" w:hAnsi="Times New Roman" w:eastAsia="黑体" w:cs="Arial"/>
          <w:sz w:val="28"/>
          <w:szCs w:val="28"/>
        </w:rPr>
        <w:t xml:space="preserve">、磋商有效期的延长</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17.1在特殊情况下，</w:t>
      </w:r>
      <w:r>
        <w:rPr>
          <w:rFonts w:hint="eastAsia" w:ascii="Times New Roman" w:hAnsi="Times New Roman"/>
          <w:sz w:val="24"/>
          <w:szCs w:val="21"/>
        </w:rPr>
        <w:t xml:space="preserve">采购代理机构</w:t>
      </w:r>
      <w:r>
        <w:rPr>
          <w:rFonts w:hint="eastAsia" w:ascii="Times New Roman" w:hAnsi="Times New Roman"/>
          <w:bCs/>
          <w:sz w:val="24"/>
          <w:szCs w:val="21"/>
        </w:rPr>
        <w:t xml:space="preserve">于原磋商有效期满之前，可向供应商提出延长磋商有效期的要求。这种要求与答复均应采用书面形式。供应商可以拒绝</w:t>
      </w:r>
      <w:r>
        <w:rPr>
          <w:rFonts w:hint="eastAsia" w:ascii="Times New Roman" w:hAnsi="Times New Roman"/>
          <w:sz w:val="24"/>
          <w:szCs w:val="21"/>
        </w:rPr>
        <w:t xml:space="preserve">采购代理机构</w:t>
      </w:r>
      <w:r>
        <w:rPr>
          <w:rFonts w:hint="eastAsia" w:ascii="Times New Roman" w:hAnsi="Times New Roman"/>
          <w:bCs/>
          <w:sz w:val="24"/>
          <w:szCs w:val="21"/>
        </w:rPr>
        <w:t xml:space="preserve">的这一要求而放弃磋商，同意延长磋商有效期的供应商既不能要求也不允许修改其响应文件。</w:t>
      </w:r>
      <w:r>
        <w:rPr>
          <w:rFonts w:hint="eastAsia" w:ascii="Times New Roman" w:hAnsi="Times New Roman"/>
          <w:sz w:val="24"/>
          <w:szCs w:val="24"/>
        </w:rPr>
        <w:t xml:space="preserve">受磋商有效期约束的所有权利与义务均延长至新的有效期</w:t>
      </w:r>
      <w:r>
        <w:rPr>
          <w:rFonts w:hint="eastAsia" w:ascii="Times New Roman" w:hAnsi="Times New Roman"/>
          <w:bCs/>
          <w:sz w:val="24"/>
          <w:szCs w:val="21"/>
        </w:rPr>
        <w:t xml:space="preserve">。</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1</w:t>
      </w:r>
      <w:r>
        <w:rPr>
          <w:rFonts w:ascii="Times New Roman" w:hAnsi="Times New Roman"/>
          <w:bCs/>
          <w:sz w:val="24"/>
          <w:szCs w:val="21"/>
        </w:rPr>
        <w:t xml:space="preserve">7.2</w:t>
      </w:r>
      <w:r>
        <w:rPr>
          <w:rFonts w:hint="eastAsia" w:ascii="Times New Roman" w:hAnsi="Times New Roman"/>
          <w:sz w:val="24"/>
        </w:rPr>
        <w:t xml:space="preserve">成交人的响应文件作为项目合同的附件，其有效期至成交人全部合同义务履行完毕为止。</w:t>
      </w:r>
      <w:r/>
    </w:p>
    <w:p>
      <w:pPr>
        <w:ind w:firstLine="482"/>
        <w:keepLines/>
        <w:keepNext/>
        <w:spacing w:line="560" w:lineRule="exact"/>
        <w:rPr>
          <w:rFonts w:ascii="Times New Roman" w:hAnsi="Times New Roman"/>
          <w:b/>
          <w:bCs/>
          <w:sz w:val="32"/>
          <w:szCs w:val="32"/>
        </w:rPr>
        <w:outlineLvl w:val="2"/>
      </w:pPr>
      <w:r/>
      <w:bookmarkStart w:id="101" w:name="_Hlt26954739"/>
      <w:r/>
      <w:bookmarkEnd w:id="101"/>
      <w:r/>
      <w:bookmarkStart w:id="102" w:name="_Hlt26954852"/>
      <w:r/>
      <w:bookmarkEnd w:id="102"/>
      <w:r/>
      <w:bookmarkStart w:id="103" w:name="_Toc16938540"/>
      <w:r/>
      <w:bookmarkStart w:id="104" w:name="_Toc513029224"/>
      <w:r/>
      <w:bookmarkStart w:id="105" w:name="_Toc120614217"/>
      <w:r/>
      <w:bookmarkStart w:id="106" w:name="_Toc20823296"/>
      <w:r>
        <w:rPr>
          <w:rFonts w:hint="eastAsia" w:ascii="Times New Roman" w:hAnsi="Times New Roman"/>
          <w:b/>
          <w:bCs/>
          <w:sz w:val="32"/>
          <w:szCs w:val="32"/>
        </w:rPr>
        <w:t xml:space="preserve">四、响应文件的递交</w:t>
      </w:r>
      <w:bookmarkEnd w:id="103"/>
      <w:r/>
      <w:bookmarkEnd w:id="104"/>
      <w:r/>
      <w:bookmarkEnd w:id="105"/>
      <w:r/>
      <w:bookmarkEnd w:id="106"/>
      <w:r/>
      <w:r/>
    </w:p>
    <w:p>
      <w:pPr>
        <w:ind w:firstLine="560"/>
        <w:keepLines/>
        <w:keepNext/>
        <w:spacing w:line="560" w:lineRule="exact"/>
        <w:rPr>
          <w:rFonts w:ascii="Times New Roman" w:hAnsi="Times New Roman" w:eastAsia="黑体" w:cs="Arial"/>
          <w:sz w:val="28"/>
          <w:szCs w:val="28"/>
        </w:rPr>
        <w:outlineLvl w:val="3"/>
      </w:pPr>
      <w:r/>
      <w:bookmarkStart w:id="107" w:name="_Toc513029225"/>
      <w:r/>
      <w:bookmarkStart w:id="108" w:name="_Toc20823297"/>
      <w:r/>
      <w:bookmarkStart w:id="109" w:name="_Toc16938541"/>
      <w:r/>
      <w:bookmarkStart w:id="110" w:name="_Toc462564084"/>
      <w:r>
        <w:rPr>
          <w:rFonts w:hint="eastAsia" w:ascii="Times New Roman" w:hAnsi="Times New Roman" w:eastAsia="黑体" w:cs="Arial"/>
          <w:sz w:val="28"/>
          <w:szCs w:val="28"/>
        </w:rPr>
        <w:t xml:space="preserve">1</w:t>
      </w:r>
      <w:r>
        <w:rPr>
          <w:rFonts w:ascii="Times New Roman" w:hAnsi="Times New Roman" w:eastAsia="黑体" w:cs="Arial"/>
          <w:sz w:val="28"/>
          <w:szCs w:val="28"/>
        </w:rPr>
        <w:t xml:space="preserve">8</w:t>
      </w:r>
      <w:r>
        <w:rPr>
          <w:rFonts w:hint="eastAsia" w:ascii="Times New Roman" w:hAnsi="Times New Roman" w:eastAsia="黑体" w:cs="Arial"/>
          <w:sz w:val="28"/>
          <w:szCs w:val="28"/>
        </w:rPr>
        <w:t xml:space="preserve">、电子磋商</w:t>
      </w:r>
      <w:bookmarkEnd w:id="107"/>
      <w:r/>
      <w:bookmarkEnd w:id="108"/>
      <w:r/>
      <w:bookmarkEnd w:id="109"/>
      <w:r/>
      <w:bookmarkEnd w:id="110"/>
      <w:r>
        <w:rPr>
          <w:rFonts w:hint="eastAsia" w:ascii="Times New Roman" w:hAnsi="Times New Roman" w:eastAsia="黑体" w:cs="Arial"/>
          <w:sz w:val="28"/>
          <w:szCs w:val="28"/>
        </w:rPr>
        <w:t xml:space="preserve">响应文件的递交</w:t>
      </w:r>
      <w:r/>
    </w:p>
    <w:p>
      <w:pPr>
        <w:ind w:firstLine="600"/>
        <w:spacing w:line="560" w:lineRule="exact"/>
        <w:rPr>
          <w:rFonts w:ascii="Times New Roman" w:hAnsi="Times New Roman"/>
          <w:bCs/>
          <w:sz w:val="24"/>
          <w:szCs w:val="21"/>
        </w:rPr>
      </w:pPr>
      <w:r>
        <w:rPr>
          <w:rFonts w:hint="eastAsia" w:ascii="Times New Roman" w:hAnsi="Times New Roman"/>
          <w:bCs/>
          <w:sz w:val="24"/>
          <w:szCs w:val="21"/>
        </w:rPr>
        <w:t xml:space="preserve">18.1供应商应当按照《操作手册》规定，在提交响应文件截止时间前</w:t>
      </w:r>
      <w:r>
        <w:rPr>
          <w:rFonts w:ascii="Times New Roman" w:hAnsi="Times New Roman"/>
          <w:bCs/>
          <w:sz w:val="24"/>
          <w:szCs w:val="21"/>
        </w:rPr>
        <w:t xml:space="preserve">制作</w:t>
      </w:r>
      <w:r>
        <w:rPr>
          <w:rFonts w:hint="eastAsia" w:ascii="Times New Roman" w:hAnsi="Times New Roman"/>
          <w:bCs/>
          <w:sz w:val="24"/>
          <w:szCs w:val="21"/>
        </w:rPr>
        <w:t xml:space="preserve">并上传电子响应文件。</w:t>
      </w:r>
      <w:bookmarkStart w:id="111" w:name="_Toc16938542"/>
      <w:r/>
      <w:bookmarkStart w:id="112" w:name="_Toc513029226"/>
      <w:r/>
      <w:bookmarkStart w:id="113" w:name="_Toc20823298"/>
      <w:r/>
      <w:r/>
    </w:p>
    <w:p>
      <w:pPr>
        <w:ind w:firstLine="480"/>
        <w:jc w:val="left"/>
        <w:spacing w:line="560" w:lineRule="exact"/>
        <w:rPr>
          <w:rFonts w:ascii="Times New Roman" w:hAnsi="Times New Roman"/>
          <w:sz w:val="24"/>
        </w:rPr>
      </w:pPr>
      <w:r>
        <w:rPr>
          <w:rFonts w:hint="eastAsia" w:ascii="Times New Roman" w:hAnsi="Times New Roman"/>
          <w:sz w:val="24"/>
        </w:rPr>
        <w:t xml:space="preserve">1</w:t>
      </w:r>
      <w:r>
        <w:rPr>
          <w:rFonts w:ascii="Times New Roman" w:hAnsi="Times New Roman"/>
          <w:sz w:val="24"/>
        </w:rPr>
        <w:t xml:space="preserve">8.2</w:t>
      </w:r>
      <w:r>
        <w:rPr>
          <w:rFonts w:hint="eastAsia" w:ascii="Times New Roman" w:hAnsi="Times New Roman"/>
          <w:sz w:val="24"/>
        </w:rPr>
        <w:t xml:space="preserve">投标人通过“苏采云”系统不见面开标大厅在线参与开标活动。（具体操作详见《“苏采云”系统投标人操作手册》，网址链接http://www.ccgp-jiangsu.gov.cn//webfile/jiangsu/202311/1699268553318052447.pdf）</w:t>
      </w:r>
      <w:r/>
    </w:p>
    <w:p>
      <w:pPr>
        <w:ind w:firstLine="560"/>
        <w:keepLines/>
        <w:keepNext/>
        <w:spacing w:line="560" w:lineRule="exact"/>
        <w:rPr>
          <w:rFonts w:ascii="Times New Roman" w:hAnsi="Times New Roman" w:eastAsia="黑体" w:cs="Arial"/>
          <w:bCs/>
          <w:sz w:val="24"/>
          <w:szCs w:val="28"/>
        </w:rPr>
        <w:outlineLvl w:val="3"/>
      </w:pPr>
      <w:r>
        <w:rPr>
          <w:rFonts w:ascii="Times New Roman" w:hAnsi="Times New Roman" w:eastAsia="黑体" w:cs="Arial"/>
          <w:bCs/>
          <w:sz w:val="28"/>
          <w:szCs w:val="28"/>
        </w:rPr>
        <w:t xml:space="preserve">19</w:t>
      </w:r>
      <w:r>
        <w:rPr>
          <w:rFonts w:hint="eastAsia" w:ascii="Times New Roman" w:hAnsi="Times New Roman" w:eastAsia="黑体" w:cs="Arial"/>
          <w:bCs/>
          <w:sz w:val="28"/>
          <w:szCs w:val="28"/>
        </w:rPr>
        <w:t xml:space="preserve">、提交响应文件截止时间</w:t>
      </w:r>
      <w:bookmarkEnd w:id="111"/>
      <w:r/>
      <w:bookmarkEnd w:id="112"/>
      <w:r/>
      <w:bookmarkEnd w:id="113"/>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19.1供应商上传电子响应文件的时间不得迟于磋商公告中规定的提交响应文件截止时间。</w:t>
      </w:r>
      <w:r/>
    </w:p>
    <w:p>
      <w:pPr>
        <w:ind w:firstLine="480"/>
        <w:spacing w:line="560" w:lineRule="exact"/>
        <w:rPr>
          <w:rFonts w:ascii="Times New Roman" w:hAnsi="Times New Roman"/>
          <w:bCs/>
          <w:sz w:val="24"/>
          <w:szCs w:val="21"/>
        </w:rPr>
      </w:pPr>
      <w:r>
        <w:rPr>
          <w:rFonts w:ascii="Times New Roman" w:hAnsi="Times New Roman"/>
          <w:sz w:val="24"/>
          <w:szCs w:val="21"/>
        </w:rPr>
        <w:t xml:space="preserve">19</w:t>
      </w:r>
      <w:r>
        <w:rPr>
          <w:rFonts w:hint="eastAsia" w:ascii="Times New Roman" w:hAnsi="Times New Roman"/>
          <w:sz w:val="24"/>
          <w:szCs w:val="21"/>
        </w:rPr>
        <w:t xml:space="preserve">.2采购代理机构</w:t>
      </w:r>
      <w:r>
        <w:rPr>
          <w:rFonts w:hint="eastAsia" w:ascii="Times New Roman" w:hAnsi="Times New Roman"/>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Times New Roman" w:hAnsi="Times New Roman" w:eastAsia="黑体" w:cs="Arial"/>
          <w:sz w:val="28"/>
          <w:szCs w:val="28"/>
        </w:rPr>
        <w:outlineLvl w:val="3"/>
      </w:pPr>
      <w:r/>
      <w:bookmarkStart w:id="114" w:name="_Toc513029227"/>
      <w:r/>
      <w:bookmarkStart w:id="115" w:name="_Toc16938543"/>
      <w:r/>
      <w:bookmarkStart w:id="116" w:name="_Toc20823299"/>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0</w:t>
      </w:r>
      <w:r>
        <w:rPr>
          <w:rFonts w:hint="eastAsia" w:ascii="Times New Roman" w:hAnsi="Times New Roman" w:eastAsia="黑体" w:cs="Arial"/>
          <w:sz w:val="28"/>
          <w:szCs w:val="28"/>
        </w:rPr>
        <w:t xml:space="preserve">、响应文件</w:t>
      </w:r>
      <w:bookmarkEnd w:id="114"/>
      <w:r/>
      <w:bookmarkEnd w:id="115"/>
      <w:r/>
      <w:bookmarkEnd w:id="116"/>
      <w:r>
        <w:rPr>
          <w:rFonts w:hint="eastAsia" w:ascii="Times New Roman" w:hAnsi="Times New Roman" w:eastAsia="黑体" w:cs="Arial"/>
          <w:sz w:val="28"/>
          <w:szCs w:val="28"/>
        </w:rPr>
        <w:t xml:space="preserve">的拒收</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20.1 </w:t>
      </w:r>
      <w:r>
        <w:rPr>
          <w:rFonts w:hint="eastAsia" w:ascii="Times New Roman" w:hAnsi="Times New Roman"/>
          <w:sz w:val="24"/>
          <w:szCs w:val="21"/>
        </w:rPr>
        <w:t xml:space="preserve">采购代理机构</w:t>
      </w:r>
      <w:r>
        <w:rPr>
          <w:rFonts w:hint="eastAsia" w:ascii="Times New Roman" w:hAnsi="Times New Roman"/>
          <w:bCs/>
          <w:sz w:val="24"/>
          <w:szCs w:val="21"/>
        </w:rPr>
        <w:t xml:space="preserve">拒绝接收在其规定的提交响应文件截止时间后上传的任何电子响应文件。</w:t>
      </w:r>
      <w:r>
        <w:rPr>
          <w:rFonts w:hint="eastAsia" w:ascii="Times New Roman" w:hAnsi="Times New Roman"/>
          <w:bCs/>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560" w:lineRule="exact"/>
        <w:rPr>
          <w:rFonts w:ascii="Times New Roman" w:hAnsi="Times New Roman" w:eastAsia="黑体" w:cs="Arial"/>
          <w:sz w:val="28"/>
          <w:szCs w:val="28"/>
        </w:rPr>
        <w:outlineLvl w:val="3"/>
      </w:pPr>
      <w:r/>
      <w:bookmarkStart w:id="117" w:name="_Toc20823300"/>
      <w:r/>
      <w:bookmarkStart w:id="118" w:name="_Toc16938544"/>
      <w:r/>
      <w:bookmarkStart w:id="119" w:name="_Toc513029228"/>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1</w:t>
      </w:r>
      <w:r>
        <w:rPr>
          <w:rFonts w:hint="eastAsia" w:ascii="Times New Roman" w:hAnsi="Times New Roman" w:eastAsia="黑体" w:cs="Arial"/>
          <w:sz w:val="28"/>
          <w:szCs w:val="28"/>
        </w:rPr>
        <w:t xml:space="preserve">、响应文件的撤回和修改</w:t>
      </w:r>
      <w:bookmarkEnd w:id="117"/>
      <w:r/>
      <w:bookmarkEnd w:id="118"/>
      <w:r/>
      <w:bookmarkEnd w:id="119"/>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2</w:t>
      </w:r>
      <w:r>
        <w:rPr>
          <w:rFonts w:ascii="Times New Roman" w:hAnsi="Times New Roman"/>
          <w:sz w:val="24"/>
          <w:szCs w:val="21"/>
        </w:rPr>
        <w:t xml:space="preserve">1</w:t>
      </w:r>
      <w:r>
        <w:rPr>
          <w:rFonts w:hint="eastAsia" w:ascii="Times New Roman" w:hAnsi="Times New Roman"/>
          <w:sz w:val="24"/>
          <w:szCs w:val="21"/>
        </w:rPr>
        <w:t xml:space="preserve">.1响应文件的撤回</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2</w:t>
      </w:r>
      <w:r>
        <w:rPr>
          <w:rFonts w:ascii="Times New Roman" w:hAnsi="Times New Roman"/>
          <w:sz w:val="24"/>
          <w:szCs w:val="21"/>
        </w:rPr>
        <w:t xml:space="preserve">1</w:t>
      </w:r>
      <w:r>
        <w:rPr>
          <w:rFonts w:hint="eastAsia" w:ascii="Times New Roman" w:hAnsi="Times New Roman"/>
          <w:sz w:val="24"/>
          <w:szCs w:val="21"/>
        </w:rPr>
        <w:t xml:space="preserve">.1.1电子响应文件的撤回</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截止时间前，撤回其电子响应文件，具体操作方法见《操作手册》。</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1</w:t>
      </w: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供应商撤回电子响应文件，则认为其不再参与本项目磋商活动。</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1</w:t>
      </w:r>
      <w:r>
        <w:rPr>
          <w:rFonts w:hint="eastAsia" w:ascii="Times New Roman" w:hAnsi="Times New Roman"/>
          <w:sz w:val="24"/>
          <w:szCs w:val="24"/>
        </w:rPr>
        <w:t xml:space="preserve">.2响应文件的修改</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2</w:t>
      </w:r>
      <w:r>
        <w:rPr>
          <w:rFonts w:ascii="Times New Roman" w:hAnsi="Times New Roman"/>
          <w:sz w:val="24"/>
          <w:szCs w:val="21"/>
        </w:rPr>
        <w:t xml:space="preserve">1</w:t>
      </w:r>
      <w:r>
        <w:rPr>
          <w:rFonts w:hint="eastAsia" w:ascii="Times New Roman" w:hAnsi="Times New Roman"/>
          <w:sz w:val="24"/>
          <w:szCs w:val="21"/>
        </w:rPr>
        <w:t xml:space="preserve">.2.1供应商可在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截止时间前，对其电子响应文件进行修改，具体操作方法见《操作手册》。</w:t>
      </w:r>
      <w:r/>
    </w:p>
    <w:p>
      <w:pPr>
        <w:ind w:firstLine="480"/>
        <w:spacing w:line="560" w:lineRule="exact"/>
        <w:rPr>
          <w:rFonts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1</w:t>
      </w:r>
      <w:r>
        <w:rPr>
          <w:rFonts w:hint="eastAsia" w:ascii="Times New Roman" w:hAnsi="Times New Roman"/>
          <w:sz w:val="24"/>
          <w:szCs w:val="21"/>
        </w:rPr>
        <w:t xml:space="preserve">.2.2</w:t>
      </w:r>
      <w:r>
        <w:rPr>
          <w:rFonts w:hint="eastAsia" w:ascii="Times New Roman" w:hAnsi="Times New Roman"/>
          <w:bCs/>
          <w:sz w:val="24"/>
          <w:szCs w:val="21"/>
        </w:rPr>
        <w:t xml:space="preserve">在提交响应文件截止时间之后，供应商不得对其电子响应文件作任何修改。</w:t>
      </w:r>
      <w:r/>
    </w:p>
    <w:p>
      <w:pPr>
        <w:ind w:firstLine="480"/>
        <w:spacing w:line="560" w:lineRule="exact"/>
        <w:rPr>
          <w:rFonts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1</w:t>
      </w:r>
      <w:r>
        <w:rPr>
          <w:rFonts w:hint="eastAsia" w:ascii="Times New Roman" w:hAnsi="Times New Roman"/>
          <w:sz w:val="24"/>
          <w:szCs w:val="21"/>
        </w:rPr>
        <w:t xml:space="preserve">.3</w:t>
      </w:r>
      <w:r>
        <w:rPr>
          <w:rFonts w:hint="eastAsia" w:ascii="Times New Roman" w:hAnsi="Times New Roman"/>
          <w:bCs/>
          <w:sz w:val="24"/>
          <w:szCs w:val="21"/>
        </w:rPr>
        <w:t xml:space="preserve">在提交响应文件截止时间至磋商文件中规定的磋商有效期满之间的这段时间内，供应商不得撤回其响应文件。</w:t>
      </w:r>
      <w:r/>
    </w:p>
    <w:p>
      <w:pPr>
        <w:ind w:firstLine="482"/>
        <w:keepLines/>
        <w:keepNext/>
        <w:spacing w:line="560" w:lineRule="exact"/>
        <w:rPr>
          <w:rFonts w:ascii="Times New Roman" w:hAnsi="Times New Roman"/>
          <w:b/>
          <w:bCs/>
          <w:sz w:val="32"/>
          <w:szCs w:val="32"/>
        </w:rPr>
        <w:outlineLvl w:val="2"/>
      </w:pPr>
      <w:r/>
      <w:bookmarkStart w:id="120" w:name="_Toc120614218"/>
      <w:r/>
      <w:bookmarkStart w:id="121" w:name="_Toc20823301"/>
      <w:r/>
      <w:bookmarkStart w:id="122" w:name="_Toc513029229"/>
      <w:r/>
      <w:bookmarkStart w:id="123" w:name="_Toc16938545"/>
      <w:r>
        <w:rPr>
          <w:rFonts w:hint="eastAsia" w:ascii="Times New Roman" w:hAnsi="Times New Roman"/>
          <w:b/>
          <w:bCs/>
          <w:sz w:val="32"/>
          <w:szCs w:val="32"/>
        </w:rPr>
        <w:t xml:space="preserve">五、响应文件的解密与评审</w:t>
      </w:r>
      <w:bookmarkEnd w:id="120"/>
      <w:r/>
      <w:bookmarkEnd w:id="121"/>
      <w:r/>
      <w:bookmarkEnd w:id="122"/>
      <w:r/>
      <w:bookmarkEnd w:id="123"/>
      <w:r/>
      <w:r/>
    </w:p>
    <w:p>
      <w:pPr>
        <w:ind w:firstLine="420"/>
        <w:keepLines/>
        <w:keepNext/>
        <w:spacing w:line="560" w:lineRule="exact"/>
        <w:rPr>
          <w:rFonts w:ascii="Times New Roman" w:hAnsi="Times New Roman" w:eastAsia="黑体" w:cs="Arial"/>
          <w:sz w:val="28"/>
          <w:szCs w:val="28"/>
        </w:rPr>
        <w:outlineLvl w:val="3"/>
      </w:pPr>
      <w:r/>
      <w:bookmarkStart w:id="124" w:name="_Toc20823302"/>
      <w:r/>
      <w:bookmarkStart w:id="125" w:name="_Toc513029230"/>
      <w:r/>
      <w:bookmarkStart w:id="126" w:name="_Toc16938546"/>
      <w:r>
        <w:rPr>
          <w:rFonts w:hint="eastAsia" w:ascii="Times New Roman" w:hAnsi="Times New Roman" w:eastAsia="黑体" w:cs="Arial"/>
          <w:sz w:val="28"/>
          <w:szCs w:val="28"/>
        </w:rPr>
        <w:t xml:space="preserve">22、</w:t>
      </w:r>
      <w:bookmarkEnd w:id="124"/>
      <w:r/>
      <w:bookmarkEnd w:id="125"/>
      <w:r/>
      <w:bookmarkEnd w:id="126"/>
      <w:r>
        <w:rPr>
          <w:rFonts w:hint="eastAsia" w:ascii="Times New Roman" w:hAnsi="Times New Roman" w:eastAsia="黑体" w:cs="Arial"/>
          <w:sz w:val="28"/>
          <w:szCs w:val="28"/>
        </w:rPr>
        <w:t xml:space="preserve">响应文件解密</w:t>
      </w:r>
      <w:r/>
    </w:p>
    <w:p>
      <w:pPr>
        <w:ind w:firstLine="360"/>
        <w:spacing w:line="560" w:lineRule="exact"/>
        <w:rPr>
          <w:rFonts w:ascii="Times New Roman" w:hAnsi="Times New Roman"/>
          <w:szCs w:val="21"/>
        </w:rPr>
      </w:pPr>
      <w:r>
        <w:rPr>
          <w:rFonts w:hint="eastAsia" w:ascii="Times New Roman" w:hAnsi="Times New Roman"/>
          <w:sz w:val="24"/>
          <w:szCs w:val="21"/>
        </w:rPr>
        <w:t xml:space="preserve">2</w:t>
      </w:r>
      <w:r>
        <w:rPr>
          <w:rFonts w:ascii="Times New Roman" w:hAnsi="Times New Roman"/>
          <w:sz w:val="24"/>
          <w:szCs w:val="21"/>
        </w:rPr>
        <w:t xml:space="preserve">2</w:t>
      </w:r>
      <w:r>
        <w:rPr>
          <w:rFonts w:hint="eastAsia" w:ascii="Times New Roman" w:hAnsi="Times New Roman"/>
          <w:sz w:val="24"/>
          <w:szCs w:val="21"/>
        </w:rPr>
        <w:t xml:space="preserve">.1</w:t>
      </w:r>
      <w:r>
        <w:rPr>
          <w:rFonts w:hint="eastAsia" w:ascii="Times New Roman" w:hAnsi="Times New Roman"/>
          <w:sz w:val="24"/>
          <w:szCs w:val="24"/>
        </w:rPr>
        <w:t xml:space="preserve">供应商应当</w:t>
      </w:r>
      <w:r>
        <w:rPr>
          <w:rFonts w:hint="eastAsia" w:ascii="Times New Roman" w:hAnsi="Times New Roman"/>
          <w:sz w:val="24"/>
          <w:szCs w:val="21"/>
        </w:rPr>
        <w:t xml:space="preserve">按照《“苏采云”系统供应商操作手册》规定</w:t>
      </w:r>
      <w:r>
        <w:rPr>
          <w:rFonts w:hint="eastAsia" w:ascii="Times New Roman" w:hAnsi="Times New Roman"/>
          <w:sz w:val="24"/>
          <w:szCs w:val="24"/>
        </w:rPr>
        <w:t xml:space="preserve">，参加磋商活动和在苏采云系统规定的时间内对磋商响应文件进行解密。</w:t>
      </w:r>
      <w:r/>
    </w:p>
    <w:p>
      <w:pPr>
        <w:ind w:firstLine="420"/>
        <w:keepLines/>
        <w:keepNext/>
        <w:spacing w:line="560" w:lineRule="exact"/>
        <w:rPr>
          <w:rFonts w:ascii="Times New Roman" w:hAnsi="Times New Roman" w:eastAsia="黑体" w:cs="Arial"/>
          <w:sz w:val="28"/>
          <w:szCs w:val="28"/>
        </w:rPr>
        <w:outlineLvl w:val="3"/>
      </w:pPr>
      <w:r/>
      <w:bookmarkStart w:id="127" w:name="_Toc513029231"/>
      <w:r/>
      <w:bookmarkStart w:id="128" w:name="_Toc16938547"/>
      <w:r/>
      <w:bookmarkStart w:id="129" w:name="_Toc20823303"/>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3</w:t>
      </w:r>
      <w:r>
        <w:rPr>
          <w:rFonts w:hint="eastAsia" w:ascii="Times New Roman" w:hAnsi="Times New Roman" w:eastAsia="黑体" w:cs="Arial"/>
          <w:sz w:val="28"/>
          <w:szCs w:val="28"/>
        </w:rPr>
        <w:t xml:space="preserve">、磋商小组</w:t>
      </w:r>
      <w:r/>
    </w:p>
    <w:p>
      <w:pPr>
        <w:ind w:firstLine="480"/>
        <w:spacing w:line="560" w:lineRule="exact"/>
        <w:rPr>
          <w:rFonts w:ascii="Times New Roman" w:hAnsi="Times New Roman"/>
          <w:b/>
          <w:sz w:val="24"/>
          <w:szCs w:val="24"/>
        </w:rPr>
      </w:pPr>
      <w:r>
        <w:rPr>
          <w:rFonts w:hint="eastAsia" w:ascii="Times New Roman" w:hAnsi="Times New Roman"/>
          <w:sz w:val="24"/>
          <w:szCs w:val="24"/>
        </w:rPr>
        <w:t xml:space="preserve">2</w:t>
      </w:r>
      <w:r>
        <w:rPr>
          <w:rFonts w:ascii="Times New Roman" w:hAnsi="Times New Roman"/>
          <w:sz w:val="24"/>
          <w:szCs w:val="24"/>
        </w:rPr>
        <w:t xml:space="preserve">3</w:t>
      </w:r>
      <w:r>
        <w:rPr>
          <w:rFonts w:hint="eastAsia" w:ascii="Times New Roman" w:hAnsi="Times New Roman"/>
          <w:sz w:val="24"/>
          <w:szCs w:val="24"/>
        </w:rPr>
        <w:t xml:space="preserve">.1</w:t>
      </w:r>
      <w:r>
        <w:rPr>
          <w:rFonts w:hint="eastAsia" w:ascii="Times New Roman" w:hAnsi="Times New Roman"/>
          <w:sz w:val="24"/>
          <w:szCs w:val="21"/>
        </w:rPr>
        <w:t xml:space="preserve">采购代理机构</w:t>
      </w:r>
      <w:r>
        <w:rPr>
          <w:rFonts w:hint="eastAsia" w:ascii="Times New Roman" w:hAnsi="Times New Roman"/>
          <w:sz w:val="24"/>
          <w:szCs w:val="24"/>
        </w:rPr>
        <w:t xml:space="preserve">将组织磋商小组对响应文件进行评审。磋商小组由采购人代表（如有）和有关技术、经济等方面的专家组成，且人员构成符合政府采购有关规定。其中有关技术、经济等方面的专家从</w:t>
      </w:r>
      <w:r>
        <w:rPr>
          <w:rFonts w:ascii="Times New Roman" w:hAnsi="Times New Roman"/>
          <w:sz w:val="24"/>
          <w:szCs w:val="24"/>
        </w:rPr>
        <w:t xml:space="preserve">江苏省政府采购网</w:t>
      </w:r>
      <w:r>
        <w:rPr>
          <w:rFonts w:hint="eastAsia" w:ascii="Times New Roman" w:hAnsi="Times New Roman"/>
          <w:sz w:val="24"/>
          <w:szCs w:val="24"/>
        </w:rPr>
        <w:t xml:space="preserve">评审专家</w:t>
      </w:r>
      <w:r>
        <w:rPr>
          <w:rFonts w:ascii="Times New Roman" w:hAnsi="Times New Roman"/>
          <w:sz w:val="24"/>
          <w:szCs w:val="24"/>
        </w:rPr>
        <w:t xml:space="preserve">库随机抽取产生。</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3</w:t>
      </w:r>
      <w:r>
        <w:rPr>
          <w:rFonts w:hint="eastAsia" w:ascii="Times New Roman" w:hAnsi="Times New Roman"/>
          <w:sz w:val="24"/>
          <w:szCs w:val="24"/>
        </w:rPr>
        <w:t xml:space="preserve">.2磋商小组独立工作，负责评审所有响应文件并确定成交</w:t>
      </w:r>
      <w:r>
        <w:rPr>
          <w:rFonts w:hint="eastAsia" w:ascii="Times New Roman" w:hAnsi="Times New Roman"/>
          <w:sz w:val="24"/>
          <w:szCs w:val="24"/>
          <w:lang w:eastAsia="zh-CN"/>
        </w:rPr>
        <w:t xml:space="preserve">候</w:t>
      </w:r>
      <w:r>
        <w:rPr>
          <w:rFonts w:hint="eastAsia" w:ascii="Times New Roman" w:hAnsi="Times New Roman"/>
          <w:sz w:val="24"/>
          <w:szCs w:val="24"/>
        </w:rPr>
        <w:t xml:space="preserve">选人。</w:t>
      </w:r>
      <w:r/>
    </w:p>
    <w:p>
      <w:pPr>
        <w:ind w:firstLine="420"/>
        <w:keepLines/>
        <w:keepNext/>
        <w:spacing w:line="560" w:lineRule="exact"/>
        <w:rPr>
          <w:rFonts w:ascii="Times New Roman" w:hAnsi="Times New Roman" w:eastAsia="黑体" w:cs="Arial"/>
          <w:sz w:val="28"/>
          <w:szCs w:val="28"/>
        </w:rPr>
        <w:outlineLvl w:val="3"/>
      </w:pPr>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4</w:t>
      </w:r>
      <w:r>
        <w:rPr>
          <w:rFonts w:hint="eastAsia" w:ascii="Times New Roman" w:hAnsi="Times New Roman" w:eastAsia="黑体" w:cs="Arial"/>
          <w:sz w:val="28"/>
          <w:szCs w:val="28"/>
        </w:rPr>
        <w:t xml:space="preserve">、评审过程的保密与公正</w:t>
      </w:r>
      <w:bookmarkEnd w:id="127"/>
      <w:r/>
      <w:bookmarkEnd w:id="128"/>
      <w:r/>
      <w:bookmarkEnd w:id="129"/>
      <w:r/>
      <w:r/>
    </w:p>
    <w:p>
      <w:pPr>
        <w:ind w:firstLine="480"/>
        <w:spacing w:line="560" w:lineRule="exact"/>
        <w:rPr>
          <w:rFonts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4</w:t>
      </w:r>
      <w:r>
        <w:rPr>
          <w:rFonts w:hint="eastAsia" w:ascii="Times New Roman" w:hAnsi="Times New Roman"/>
          <w:sz w:val="24"/>
          <w:szCs w:val="21"/>
        </w:rPr>
        <w:t xml:space="preserve">.1</w:t>
      </w:r>
      <w:r>
        <w:rPr>
          <w:rFonts w:hint="eastAsia" w:ascii="Times New Roman" w:hAnsi="Times New Roman"/>
          <w:bCs/>
          <w:sz w:val="24"/>
          <w:szCs w:val="21"/>
        </w:rPr>
        <w:t xml:space="preserve">磋商小组、采购人和</w:t>
      </w:r>
      <w:r>
        <w:rPr>
          <w:rFonts w:hint="eastAsia" w:ascii="Times New Roman" w:hAnsi="Times New Roman"/>
          <w:sz w:val="24"/>
          <w:szCs w:val="21"/>
        </w:rPr>
        <w:t xml:space="preserve">采购代理机构</w:t>
      </w:r>
      <w:r>
        <w:rPr>
          <w:rFonts w:hint="eastAsia" w:ascii="Times New Roman" w:hAnsi="Times New Roman"/>
          <w:bCs/>
          <w:sz w:val="24"/>
          <w:szCs w:val="21"/>
        </w:rPr>
        <w:t xml:space="preserve">工作人员、相关监督人员等与评审工作有关的人员，对评审情况以及在评审过程中获悉的国家秘密、商业秘密负有保密责任。</w:t>
      </w:r>
      <w:r/>
    </w:p>
    <w:p>
      <w:pPr>
        <w:ind w:firstLine="480"/>
        <w:spacing w:line="560" w:lineRule="exact"/>
        <w:rPr>
          <w:rFonts w:ascii="Times New Roman" w:hAnsi="Times New Roman"/>
          <w:sz w:val="24"/>
          <w:szCs w:val="24"/>
        </w:rPr>
      </w:pPr>
      <w:r>
        <w:rPr>
          <w:rFonts w:hint="eastAsia" w:ascii="Times New Roman" w:hAnsi="Times New Roman"/>
          <w:sz w:val="24"/>
          <w:szCs w:val="21"/>
        </w:rPr>
        <w:t xml:space="preserve">2</w:t>
      </w:r>
      <w:r>
        <w:rPr>
          <w:rFonts w:ascii="Times New Roman" w:hAnsi="Times New Roman"/>
          <w:sz w:val="24"/>
          <w:szCs w:val="21"/>
        </w:rPr>
        <w:t xml:space="preserve">4</w:t>
      </w:r>
      <w:r>
        <w:rPr>
          <w:rFonts w:hint="eastAsia" w:ascii="Times New Roman" w:hAnsi="Times New Roman"/>
          <w:sz w:val="24"/>
          <w:szCs w:val="21"/>
        </w:rPr>
        <w:t xml:space="preserve">.2</w:t>
      </w:r>
      <w:r>
        <w:rPr>
          <w:rFonts w:hint="eastAsia" w:ascii="Times New Roman" w:hAnsi="Times New Roman"/>
          <w:sz w:val="24"/>
          <w:szCs w:val="24"/>
        </w:rPr>
        <w:t xml:space="preserve">在评审过程中，供应商不得以任何行为影响磋商评审过程，否则其响应文件将被作为无效响应文件。</w:t>
      </w:r>
      <w:r/>
    </w:p>
    <w:p>
      <w:pPr>
        <w:ind w:firstLine="480"/>
        <w:spacing w:line="560" w:lineRule="exact"/>
        <w:rPr>
          <w:rFonts w:ascii="Times New Roman" w:hAnsi="Times New Roman"/>
          <w:sz w:val="24"/>
          <w:szCs w:val="24"/>
        </w:rPr>
      </w:pPr>
      <w:r>
        <w:rPr>
          <w:rFonts w:hint="eastAsia" w:ascii="Times New Roman" w:hAnsi="Times New Roman"/>
          <w:sz w:val="24"/>
          <w:szCs w:val="21"/>
        </w:rPr>
        <w:t xml:space="preserve">2</w:t>
      </w:r>
      <w:r>
        <w:rPr>
          <w:rFonts w:ascii="Times New Roman" w:hAnsi="Times New Roman"/>
          <w:sz w:val="24"/>
          <w:szCs w:val="21"/>
        </w:rPr>
        <w:t xml:space="preserve">4</w:t>
      </w:r>
      <w:r>
        <w:rPr>
          <w:rFonts w:hint="eastAsia" w:ascii="Times New Roman" w:hAnsi="Times New Roman"/>
          <w:sz w:val="24"/>
          <w:szCs w:val="21"/>
        </w:rPr>
        <w:t xml:space="preserve">.3</w:t>
      </w:r>
      <w:r>
        <w:rPr>
          <w:rFonts w:hint="eastAsia" w:ascii="Times New Roman" w:hAnsi="Times New Roman"/>
          <w:sz w:val="24"/>
          <w:szCs w:val="24"/>
        </w:rPr>
        <w:t xml:space="preserve">在项目评审期间，</w:t>
      </w:r>
      <w:r>
        <w:rPr>
          <w:rFonts w:hint="eastAsia" w:ascii="Times New Roman" w:hAnsi="Times New Roman"/>
          <w:sz w:val="24"/>
          <w:szCs w:val="21"/>
        </w:rPr>
        <w:t xml:space="preserve">采购代理机构</w:t>
      </w:r>
      <w:r>
        <w:rPr>
          <w:rFonts w:hint="eastAsia" w:ascii="Times New Roman" w:hAnsi="Times New Roman"/>
          <w:sz w:val="24"/>
          <w:szCs w:val="24"/>
        </w:rPr>
        <w:t xml:space="preserve">将设专门人员与供应商联系。</w:t>
      </w:r>
      <w:r/>
    </w:p>
    <w:p>
      <w:pPr>
        <w:ind w:firstLine="480"/>
        <w:spacing w:line="560" w:lineRule="exact"/>
        <w:rPr>
          <w:rFonts w:ascii="Times New Roman" w:hAnsi="Times New Roman"/>
          <w:sz w:val="24"/>
          <w:szCs w:val="24"/>
        </w:rPr>
      </w:pPr>
      <w:r>
        <w:rPr>
          <w:rFonts w:ascii="Times New Roman" w:hAnsi="Times New Roman"/>
          <w:sz w:val="24"/>
          <w:szCs w:val="24"/>
        </w:rPr>
        <w:t xml:space="preserve">24</w:t>
      </w:r>
      <w:r>
        <w:rPr>
          <w:rFonts w:hint="eastAsia" w:ascii="Times New Roman" w:hAnsi="Times New Roman"/>
          <w:sz w:val="24"/>
          <w:szCs w:val="24"/>
        </w:rPr>
        <w:t xml:space="preserve">.4 </w:t>
      </w:r>
      <w:r>
        <w:rPr>
          <w:rFonts w:hint="eastAsia" w:ascii="Times New Roman" w:hAnsi="Times New Roman"/>
          <w:sz w:val="24"/>
          <w:szCs w:val="21"/>
        </w:rPr>
        <w:t xml:space="preserve">采购代理机构</w:t>
      </w:r>
      <w:r>
        <w:rPr>
          <w:rFonts w:hint="eastAsia" w:ascii="Times New Roman" w:hAnsi="Times New Roman"/>
          <w:sz w:val="24"/>
          <w:szCs w:val="24"/>
        </w:rPr>
        <w:t xml:space="preserve">和磋商小组不向未成交的供应商解释未成交原因，也不公布评审过程中的相关细节。</w:t>
      </w:r>
      <w:r/>
    </w:p>
    <w:p>
      <w:pPr>
        <w:ind w:firstLine="420"/>
        <w:keepLines/>
        <w:keepNext/>
        <w:spacing w:line="560" w:lineRule="exact"/>
        <w:rPr>
          <w:rFonts w:ascii="Times New Roman" w:hAnsi="Times New Roman" w:eastAsia="黑体" w:cs="Arial"/>
          <w:sz w:val="28"/>
          <w:szCs w:val="28"/>
        </w:rPr>
        <w:outlineLvl w:val="3"/>
      </w:pPr>
      <w:r/>
      <w:bookmarkStart w:id="130" w:name="_Toc20823304"/>
      <w:r/>
      <w:bookmarkStart w:id="131" w:name="_Toc16938548"/>
      <w:r/>
      <w:bookmarkStart w:id="132" w:name="_Toc513029232"/>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5</w:t>
      </w:r>
      <w:r>
        <w:rPr>
          <w:rFonts w:hint="eastAsia" w:ascii="Times New Roman" w:hAnsi="Times New Roman" w:eastAsia="黑体" w:cs="Arial"/>
          <w:sz w:val="28"/>
          <w:szCs w:val="28"/>
        </w:rPr>
        <w:t xml:space="preserve">、评审过程中的的澄清</w:t>
      </w:r>
      <w:bookmarkEnd w:id="130"/>
      <w:r/>
      <w:bookmarkEnd w:id="131"/>
      <w:r/>
      <w:bookmarkEnd w:id="132"/>
      <w:r/>
      <w:r/>
    </w:p>
    <w:p>
      <w:pPr>
        <w:ind w:firstLine="480"/>
        <w:spacing w:line="560" w:lineRule="exact"/>
        <w:rPr>
          <w:rFonts w:ascii="Times New Roman" w:hAnsi="Times New Roman" w:cs="宋体"/>
          <w:sz w:val="24"/>
          <w:szCs w:val="24"/>
        </w:rPr>
      </w:pPr>
      <w:r>
        <w:rPr>
          <w:rFonts w:hint="eastAsia" w:ascii="Times New Roman" w:hAnsi="Times New Roman"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ascii="Times New Roman" w:hAnsi="Times New Roman" w:cs="宋体"/>
          <w:sz w:val="24"/>
          <w:szCs w:val="24"/>
        </w:rPr>
      </w:pPr>
      <w:r>
        <w:rPr>
          <w:rFonts w:hint="eastAsia" w:ascii="Times New Roman" w:hAnsi="Times New Roman" w:cs="宋体"/>
          <w:sz w:val="24"/>
          <w:szCs w:val="24"/>
        </w:rPr>
        <w:t xml:space="preserve">磋商小组并非对每个供应商都作澄清要求。</w:t>
      </w:r>
      <w:r/>
    </w:p>
    <w:p>
      <w:pPr>
        <w:ind w:firstLine="480"/>
        <w:spacing w:line="560" w:lineRule="exact"/>
        <w:rPr>
          <w:rFonts w:ascii="Times New Roman" w:hAnsi="Times New Roman" w:cs="宋体"/>
          <w:sz w:val="24"/>
          <w:szCs w:val="24"/>
        </w:rPr>
      </w:pPr>
      <w:r>
        <w:rPr>
          <w:rFonts w:hint="eastAsia" w:ascii="Times New Roman" w:hAnsi="Times New Roman" w:cs="宋体"/>
          <w:sz w:val="24"/>
          <w:szCs w:val="24"/>
        </w:rPr>
        <w:t xml:space="preserve">2</w:t>
      </w:r>
      <w:r>
        <w:rPr>
          <w:rFonts w:ascii="Times New Roman" w:hAnsi="Times New Roman" w:cs="宋体"/>
          <w:sz w:val="24"/>
          <w:szCs w:val="24"/>
        </w:rPr>
        <w:t xml:space="preserve">5</w:t>
      </w:r>
      <w:r>
        <w:rPr>
          <w:rFonts w:hint="eastAsia" w:ascii="Times New Roman" w:hAnsi="Times New Roman" w:cs="宋体"/>
          <w:sz w:val="24"/>
          <w:szCs w:val="24"/>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imes New Roman" w:hAnsi="Times New Roman" w:cs="宋体"/>
          <w:sz w:val="24"/>
          <w:szCs w:val="24"/>
        </w:rPr>
        <w:t xml:space="preserve">操作</w:t>
      </w:r>
      <w:r>
        <w:rPr>
          <w:rFonts w:hint="eastAsia" w:ascii="Times New Roman" w:hAnsi="Times New Roman" w:cs="宋体"/>
          <w:sz w:val="24"/>
          <w:szCs w:val="24"/>
        </w:rPr>
        <w:t xml:space="preserve">方式</w:t>
      </w:r>
      <w:r>
        <w:rPr>
          <w:rFonts w:ascii="Times New Roman" w:hAnsi="Times New Roman" w:cs="宋体"/>
          <w:sz w:val="24"/>
          <w:szCs w:val="24"/>
        </w:rPr>
        <w:t xml:space="preserve">见</w:t>
      </w:r>
      <w:r>
        <w:rPr>
          <w:rFonts w:hint="eastAsia" w:ascii="Times New Roman" w:hAnsi="Times New Roman" w:cs="宋体"/>
          <w:sz w:val="24"/>
          <w:szCs w:val="24"/>
        </w:rPr>
        <w:t xml:space="preserve">《操作手册》。</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5</w:t>
      </w:r>
      <w:r>
        <w:rPr>
          <w:rFonts w:hint="eastAsia" w:ascii="Times New Roman" w:hAnsi="Times New Roman"/>
          <w:sz w:val="24"/>
          <w:szCs w:val="24"/>
        </w:rPr>
        <w:t xml:space="preserve">.3 接到磋商小组澄清、说明和更正要求的供应商如未按规定做出澄清、说明和 更正，其风险由供应商自行承担。</w:t>
      </w:r>
      <w:r/>
    </w:p>
    <w:p>
      <w:pPr>
        <w:ind w:firstLine="420"/>
        <w:keepLines/>
        <w:keepNext/>
        <w:spacing w:line="560" w:lineRule="exact"/>
        <w:rPr>
          <w:rFonts w:ascii="Times New Roman" w:hAnsi="Times New Roman" w:eastAsia="黑体" w:cs="Arial"/>
          <w:sz w:val="28"/>
          <w:szCs w:val="28"/>
        </w:rPr>
        <w:outlineLvl w:val="3"/>
      </w:pPr>
      <w:r/>
      <w:bookmarkStart w:id="133" w:name="_Toc16938549"/>
      <w:r/>
      <w:bookmarkStart w:id="134" w:name="_Toc20823305"/>
      <w:r/>
      <w:bookmarkStart w:id="135" w:name="_Toc513029233"/>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6</w:t>
      </w:r>
      <w:r>
        <w:rPr>
          <w:rFonts w:hint="eastAsia" w:ascii="Times New Roman" w:hAnsi="Times New Roman" w:eastAsia="黑体" w:cs="Arial"/>
          <w:sz w:val="28"/>
          <w:szCs w:val="28"/>
        </w:rPr>
        <w:t xml:space="preserve">、对响应文件的审</w:t>
      </w:r>
      <w:bookmarkEnd w:id="133"/>
      <w:r/>
      <w:bookmarkEnd w:id="134"/>
      <w:r/>
      <w:bookmarkEnd w:id="135"/>
      <w:r>
        <w:rPr>
          <w:rFonts w:hint="eastAsia" w:ascii="Times New Roman" w:hAnsi="Times New Roman" w:eastAsia="黑体" w:cs="Arial"/>
          <w:sz w:val="28"/>
          <w:szCs w:val="28"/>
        </w:rPr>
        <w:t xml:space="preserve">查</w:t>
      </w:r>
      <w:r/>
    </w:p>
    <w:p>
      <w:pPr>
        <w:ind w:firstLine="480"/>
        <w:spacing w:line="560" w:lineRule="exact"/>
        <w:rPr>
          <w:rFonts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.1</w:t>
      </w:r>
      <w:r>
        <w:rPr>
          <w:rFonts w:hint="eastAsia" w:ascii="Times New Roman" w:hAnsi="Times New Roman"/>
          <w:bCs/>
          <w:sz w:val="24"/>
          <w:szCs w:val="21"/>
        </w:rPr>
        <w:t xml:space="preserve">响应文件审查分为资格审查和符合性审查。</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6</w:t>
      </w:r>
      <w:r>
        <w:rPr>
          <w:rFonts w:hint="eastAsia" w:ascii="Times New Roman" w:hAnsi="Times New Roman"/>
          <w:bCs/>
          <w:sz w:val="24"/>
          <w:szCs w:val="21"/>
        </w:rPr>
        <w:t xml:space="preserve">.1.1 资格审查：由磋商小组依据法律法规和磋商文件的规定，对响应文件中的资格证明文件进行审查，以确定供应商是否具备参加磋商的资格。</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6</w:t>
      </w:r>
      <w:r>
        <w:rPr>
          <w:rFonts w:hint="eastAsia" w:ascii="Times New Roman" w:hAnsi="Times New Roman"/>
          <w:bCs/>
          <w:sz w:val="24"/>
          <w:szCs w:val="21"/>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6</w:t>
      </w:r>
      <w:r>
        <w:rPr>
          <w:rFonts w:hint="eastAsia" w:ascii="Times New Roman" w:hAnsi="Times New Roman"/>
          <w:bCs/>
          <w:sz w:val="24"/>
          <w:szCs w:val="21"/>
        </w:rPr>
        <w:t xml:space="preserve">.1.3 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560" w:lineRule="exact"/>
        <w:rPr>
          <w:rFonts w:ascii="Times New Roman" w:hAnsi="Times New Roman"/>
          <w:sz w:val="24"/>
          <w:szCs w:val="24"/>
        </w:rPr>
      </w:pPr>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.2</w:t>
      </w:r>
      <w:r>
        <w:rPr>
          <w:rFonts w:hint="eastAsia" w:ascii="Times New Roman" w:hAnsi="Times New Roman"/>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所谓重大偏离或保留是指与磋商文件规定的实质性要求存在负偏离，或者在实质上与磋商文件不一致，而且限制了合同中买方和</w:t>
      </w:r>
      <w:r>
        <w:rPr>
          <w:rFonts w:hint="eastAsia" w:ascii="Times New Roman" w:hAnsi="Times New Roman"/>
          <w:sz w:val="24"/>
          <w:szCs w:val="21"/>
        </w:rPr>
        <w:t xml:space="preserve">采购代理机构</w:t>
      </w:r>
      <w:r>
        <w:rPr>
          <w:rFonts w:hint="eastAsia" w:ascii="Times New Roman" w:hAnsi="Times New Roman"/>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26.3未实质性响应磋商文件的情形</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26.3.1供应商在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规定的时间内未成功解密电子响应文件的。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26.3.2供应商未按照磋商文件要求上传电子响应文件的。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26.3.3同一供应商提交两个（含两个）以上不同的响应文件或者最后报价的。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26.3.4供应商不具备磋商文件中规定资格要求的。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26.3.5供应商的最后报价超过了采购预算。</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26.3.6不符合磋商文件中规定的实质性要求和条件的</w:t>
      </w:r>
      <w:r>
        <w:rPr>
          <w:rFonts w:hint="eastAsia" w:ascii="Times New Roman" w:hAnsi="Times New Roman"/>
          <w:bCs/>
          <w:sz w:val="24"/>
        </w:rPr>
        <w:t xml:space="preserve">（</w:t>
      </w:r>
      <w:r>
        <w:rPr>
          <w:rFonts w:hint="eastAsia" w:ascii="Times New Roman" w:hAnsi="Times New Roman"/>
          <w:bCs/>
          <w:i/>
          <w:sz w:val="24"/>
          <w:u w:val="single"/>
        </w:rPr>
        <w:t xml:space="preserve">加斜体下划线内容或打“★”内容</w:t>
      </w:r>
      <w:r>
        <w:rPr>
          <w:rFonts w:hint="eastAsia"/>
          <w:bCs/>
          <w:i/>
          <w:sz w:val="24"/>
          <w:u w:val="single"/>
        </w:rPr>
        <w:t xml:space="preserve">为实质性</w:t>
      </w:r>
      <w:r>
        <w:rPr>
          <w:rFonts w:hint="eastAsia" w:ascii="Times New Roman" w:hAnsi="Times New Roman"/>
          <w:bCs/>
          <w:i/>
          <w:sz w:val="24"/>
          <w:u w:val="single"/>
        </w:rPr>
        <w:t xml:space="preserve">要求和条件）。</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26.3.8响应文件含有采购人不能接受的附加条件的。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26.3.10响应文件未按照磋商文件要求加盖CA电子公章的。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26.4未实质性响应磋商文件的响应文件按无效响应处理。</w:t>
      </w:r>
      <w:r/>
    </w:p>
    <w:p>
      <w:pPr>
        <w:ind w:firstLine="480"/>
        <w:spacing w:line="560" w:lineRule="exact"/>
        <w:rPr>
          <w:rFonts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.5</w:t>
      </w:r>
      <w:r>
        <w:rPr>
          <w:rFonts w:hint="eastAsia" w:ascii="Times New Roman" w:hAnsi="Times New Roman"/>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60" w:lineRule="exact"/>
        <w:rPr>
          <w:rFonts w:ascii="Times New Roman" w:hAnsi="Times New Roman"/>
          <w:sz w:val="24"/>
          <w:szCs w:val="21"/>
        </w:rPr>
      </w:pPr>
      <w:r/>
      <w:bookmarkStart w:id="136" w:name="_Toc16938550"/>
      <w:r/>
      <w:bookmarkStart w:id="137" w:name="_Toc513029234"/>
      <w:r/>
      <w:bookmarkStart w:id="138" w:name="_Toc20823306"/>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.6供应商在项目评审全过程中应保持通讯畅通，并安排专人与采购代理机构及磋商小组联系。</w:t>
      </w:r>
      <w:r/>
    </w:p>
    <w:p>
      <w:pPr>
        <w:ind w:firstLine="420"/>
        <w:keepLines/>
        <w:keepNext/>
        <w:spacing w:line="560" w:lineRule="exact"/>
        <w:rPr>
          <w:rFonts w:ascii="Times New Roman" w:hAnsi="Times New Roman" w:eastAsia="黑体" w:cs="Arial"/>
          <w:sz w:val="28"/>
          <w:szCs w:val="28"/>
        </w:rPr>
        <w:outlineLvl w:val="3"/>
      </w:pPr>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7</w:t>
      </w:r>
      <w:r>
        <w:rPr>
          <w:rFonts w:hint="eastAsia" w:ascii="Times New Roman" w:hAnsi="Times New Roman" w:eastAsia="黑体" w:cs="Arial"/>
          <w:sz w:val="28"/>
          <w:szCs w:val="28"/>
        </w:rPr>
        <w:t xml:space="preserve">、</w:t>
      </w:r>
      <w:bookmarkEnd w:id="136"/>
      <w:r/>
      <w:bookmarkEnd w:id="137"/>
      <w:r/>
      <w:bookmarkEnd w:id="138"/>
      <w:r>
        <w:rPr>
          <w:rFonts w:hint="eastAsia" w:ascii="Times New Roman" w:hAnsi="Times New Roman" w:eastAsia="黑体" w:cs="Arial"/>
          <w:sz w:val="28"/>
          <w:szCs w:val="28"/>
        </w:rPr>
        <w:t xml:space="preserve">磋商程序及评审方法和评审标准</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27.1磋商程序</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27.1.2</w:t>
      </w:r>
      <w:r>
        <w:rPr>
          <w:rFonts w:ascii="Times New Roman" w:hAnsi="Times New Roman"/>
          <w:sz w:val="24"/>
          <w:szCs w:val="24"/>
        </w:rPr>
        <w:t xml:space="preserve">磋商文件能够详细列明采购标的的技术、服务要求的，磋商结束后，磋商小组</w:t>
      </w:r>
      <w:r>
        <w:rPr>
          <w:rFonts w:hint="eastAsia" w:ascii="Times New Roman" w:hAnsi="Times New Roman"/>
          <w:sz w:val="24"/>
          <w:szCs w:val="24"/>
        </w:rPr>
        <w:t xml:space="preserve">将在苏采云系统向所有</w:t>
      </w:r>
      <w:r>
        <w:rPr>
          <w:rFonts w:ascii="Times New Roman" w:hAnsi="Times New Roman"/>
          <w:sz w:val="24"/>
          <w:szCs w:val="24"/>
        </w:rPr>
        <w:t xml:space="preserve">实质性响应的供应商</w:t>
      </w:r>
      <w:r>
        <w:rPr>
          <w:rFonts w:hint="eastAsia" w:ascii="Times New Roman" w:hAnsi="Times New Roman"/>
          <w:sz w:val="24"/>
          <w:szCs w:val="24"/>
        </w:rPr>
        <w:t xml:space="preserve">发布“最后报价要求函”及最后报价格式表，</w:t>
      </w:r>
      <w:r>
        <w:rPr>
          <w:rFonts w:ascii="Times New Roman" w:hAnsi="Times New Roman"/>
          <w:sz w:val="24"/>
          <w:szCs w:val="24"/>
        </w:rPr>
        <w:t xml:space="preserve">要求所有实质性响应的供应商在规定时间内提交最后报价。</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60" w:lineRule="exact"/>
        <w:tabs>
          <w:tab w:val="left" w:pos="900" w:leader="none"/>
        </w:tabs>
        <w:rPr>
          <w:rFonts w:hint="eastAsia" w:ascii="宋体" w:hAnsi="宋体"/>
          <w:sz w:val="24"/>
          <w:szCs w:val="24"/>
        </w:rPr>
      </w:pPr>
      <w:r>
        <w:rPr>
          <w:rFonts w:hint="eastAsia" w:ascii="Times New Roman" w:hAnsi="Times New Roman"/>
          <w:sz w:val="24"/>
          <w:szCs w:val="24"/>
        </w:rPr>
        <w:t xml:space="preserve">最后报价是供应商响应文件的有效组成部分。符合《政府采购竞争性磋商采购方式理暂行办法》第三条第一款第四项及</w:t>
      </w:r>
      <w:r>
        <w:rPr>
          <w:rFonts w:hint="eastAsia" w:ascii="宋体" w:hAnsi="宋体"/>
          <w:sz w:val="24"/>
        </w:rPr>
        <w:t xml:space="preserve">根据财政部关于印发《政府采购竞争性磋商采购方式管理暂行办法》的通知（财库〔2014〕214号）、《财政部关于政府采购竞争性磋商采购方式管理暂行办法有关问题的补充通知》（财库〔2015〕124号）等相关法律法规规定，如磋商采购项目属政府购买服务项目（含政府和社会资本合作项目）在采购过程中，</w:t>
      </w:r>
      <w:r>
        <w:rPr>
          <w:rFonts w:hint="eastAsia" w:ascii="宋体" w:hAnsi="宋体"/>
          <w:b/>
          <w:bCs/>
          <w:sz w:val="24"/>
        </w:rPr>
        <w:t xml:space="preserve">符合资格条件的供应商不少于3家，但磋商过程中符合采购人技术等方面要求的供应商仅有2家时，磋商活动可以继续进行，由这2家供应商提出报价，采购人或者采购代理机构确定最终成交的供应商。</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sz w:val="24"/>
          <w:szCs w:val="24"/>
        </w:rPr>
        <w:t xml:space="preserve">已提交响应文件的供应商，在提交最后报价之前，可以根据磋商情况退出磋商</w:t>
      </w:r>
      <w:r>
        <w:rPr>
          <w:rFonts w:hint="eastAsia" w:ascii="Times New Roman" w:hAnsi="Times New Roman"/>
          <w:sz w:val="24"/>
          <w:szCs w:val="24"/>
        </w:rPr>
        <w:t xml:space="preserve">，并在苏采云系统中提交“退出磋商函”并加盖CA电子公章</w:t>
      </w:r>
      <w:r>
        <w:rPr>
          <w:rFonts w:ascii="Times New Roman" w:hAnsi="Times New Roman"/>
          <w:sz w:val="24"/>
          <w:szCs w:val="24"/>
        </w:rPr>
        <w:t xml:space="preserve">。</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27.2 评审方法和评审标准</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27.2.2评审标准</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见本磋商文件第五章规定。</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27.3采购活动终止的情况</w:t>
      </w:r>
      <w:r/>
    </w:p>
    <w:p>
      <w:pPr>
        <w:ind w:firstLine="360"/>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出现下列情形之一的，本次竞争性磋商采购活动将被终止：</w:t>
      </w:r>
      <w:r/>
    </w:p>
    <w:p>
      <w:pPr>
        <w:ind w:firstLine="360"/>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27.3.1因情况变化，不再符合规定的竞争性磋商采购方式适用情形的。</w:t>
      </w:r>
      <w:r/>
    </w:p>
    <w:p>
      <w:pPr>
        <w:ind w:firstLine="360"/>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27.3.2出现影响采购公正的违法、违规行为的。</w:t>
      </w:r>
      <w:r/>
    </w:p>
    <w:p>
      <w:pPr>
        <w:ind w:firstLine="360"/>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27.3.3除本磋商文件第二章第27.1.2条第三款规定的情形外，在采购过程中符合要求的供应商或者最后报价未超过采购预算的供应商不足3家的。</w:t>
      </w:r>
      <w:r/>
    </w:p>
    <w:p>
      <w:pPr>
        <w:ind w:firstLine="360"/>
        <w:spacing w:line="560" w:lineRule="exact"/>
        <w:tabs>
          <w:tab w:val="left" w:pos="900" w:leader="none"/>
        </w:tabs>
        <w:rPr>
          <w:rFonts w:ascii="Times New Roman" w:hAnsi="Times New Roman" w:cs="宋体"/>
          <w:sz w:val="24"/>
          <w:szCs w:val="24"/>
        </w:rPr>
      </w:pPr>
      <w:r>
        <w:rPr>
          <w:rFonts w:hint="eastAsia" w:ascii="Times New Roman" w:hAnsi="Times New Roman" w:cs="宋体"/>
          <w:sz w:val="24"/>
          <w:szCs w:val="24"/>
        </w:rPr>
        <w:t xml:space="preserve">27.3.4在</w:t>
      </w:r>
      <w:r>
        <w:rPr>
          <w:rFonts w:hint="eastAsia" w:ascii="Times New Roman" w:hAnsi="Times New Roman"/>
          <w:sz w:val="24"/>
          <w:szCs w:val="24"/>
        </w:rPr>
        <w:t xml:space="preserve">苏采云系统</w:t>
      </w:r>
      <w:r>
        <w:rPr>
          <w:rFonts w:hint="eastAsia" w:ascii="Times New Roman" w:hAnsi="Times New Roman" w:cs="宋体"/>
          <w:sz w:val="24"/>
          <w:szCs w:val="24"/>
        </w:rPr>
        <w:t xml:space="preserve">规定时间内成功解密电子响应文件的供应商不足3家的。</w:t>
      </w:r>
      <w:r/>
    </w:p>
    <w:p>
      <w:pPr>
        <w:ind w:firstLine="482"/>
        <w:keepLines/>
        <w:keepNext/>
        <w:spacing w:line="560" w:lineRule="exact"/>
        <w:rPr>
          <w:rFonts w:ascii="Times New Roman" w:hAnsi="Times New Roman"/>
          <w:b/>
          <w:bCs/>
          <w:sz w:val="32"/>
          <w:szCs w:val="32"/>
        </w:rPr>
        <w:outlineLvl w:val="2"/>
      </w:pPr>
      <w:r/>
      <w:bookmarkStart w:id="139" w:name="_Toc16938551"/>
      <w:r/>
      <w:bookmarkStart w:id="140" w:name="_Toc20823307"/>
      <w:r/>
      <w:bookmarkStart w:id="141" w:name="_Toc120614219"/>
      <w:r/>
      <w:bookmarkStart w:id="142" w:name="_Toc513029235"/>
      <w:r>
        <w:rPr>
          <w:rFonts w:hint="eastAsia" w:ascii="Times New Roman" w:hAnsi="Times New Roman"/>
          <w:b/>
          <w:bCs/>
          <w:sz w:val="32"/>
          <w:szCs w:val="32"/>
        </w:rPr>
        <w:t xml:space="preserve">六、</w:t>
      </w:r>
      <w:bookmarkEnd w:id="139"/>
      <w:r/>
      <w:bookmarkEnd w:id="140"/>
      <w:r/>
      <w:bookmarkEnd w:id="141"/>
      <w:r/>
      <w:bookmarkEnd w:id="142"/>
      <w:r>
        <w:rPr>
          <w:rFonts w:hint="eastAsia" w:ascii="Times New Roman" w:hAnsi="Times New Roman"/>
          <w:b/>
          <w:bCs/>
          <w:sz w:val="32"/>
          <w:szCs w:val="32"/>
        </w:rPr>
        <w:t xml:space="preserve">成交</w:t>
      </w:r>
      <w:r/>
    </w:p>
    <w:p>
      <w:pPr>
        <w:ind w:firstLine="600"/>
        <w:keepLines/>
        <w:keepNext/>
        <w:spacing w:line="560" w:lineRule="exact"/>
        <w:rPr>
          <w:rFonts w:ascii="Times New Roman" w:hAnsi="Times New Roman" w:eastAsia="黑体"/>
          <w:bCs/>
          <w:sz w:val="30"/>
          <w:szCs w:val="30"/>
        </w:rPr>
        <w:outlineLvl w:val="3"/>
      </w:pPr>
      <w:r/>
      <w:bookmarkStart w:id="143" w:name="_Toc513029238"/>
      <w:r/>
      <w:bookmarkStart w:id="144" w:name="_Toc16938554"/>
      <w:r/>
      <w:bookmarkStart w:id="145" w:name="_Toc20823310"/>
      <w:r>
        <w:rPr>
          <w:rFonts w:hint="eastAsia" w:ascii="Times New Roman" w:hAnsi="Times New Roman" w:eastAsia="黑体"/>
          <w:bCs/>
          <w:sz w:val="30"/>
          <w:szCs w:val="30"/>
        </w:rPr>
        <w:t xml:space="preserve">2</w:t>
      </w:r>
      <w:r>
        <w:rPr>
          <w:rFonts w:ascii="Times New Roman" w:hAnsi="Times New Roman" w:eastAsia="黑体"/>
          <w:bCs/>
          <w:sz w:val="30"/>
          <w:szCs w:val="30"/>
        </w:rPr>
        <w:t xml:space="preserve">8</w:t>
      </w:r>
      <w:r>
        <w:rPr>
          <w:rFonts w:hint="eastAsia" w:ascii="Times New Roman" w:hAnsi="Times New Roman" w:eastAsia="黑体"/>
          <w:bCs/>
          <w:sz w:val="30"/>
          <w:szCs w:val="30"/>
        </w:rPr>
        <w:t xml:space="preserve">、</w:t>
      </w:r>
      <w:bookmarkEnd w:id="143"/>
      <w:r>
        <w:rPr>
          <w:rFonts w:hint="eastAsia" w:ascii="Times New Roman" w:hAnsi="Times New Roman" w:eastAsia="黑体"/>
          <w:bCs/>
          <w:sz w:val="30"/>
          <w:szCs w:val="30"/>
        </w:rPr>
        <w:t xml:space="preserve">确定</w:t>
      </w:r>
      <w:bookmarkEnd w:id="144"/>
      <w:r/>
      <w:bookmarkEnd w:id="145"/>
      <w:r>
        <w:rPr>
          <w:rFonts w:hint="eastAsia" w:ascii="Times New Roman" w:hAnsi="Times New Roman" w:eastAsia="黑体"/>
          <w:bCs/>
          <w:sz w:val="30"/>
          <w:szCs w:val="30"/>
        </w:rPr>
        <w:t xml:space="preserve">成交单位</w:t>
      </w:r>
      <w:r/>
    </w:p>
    <w:p>
      <w:pPr>
        <w:ind w:firstLine="478"/>
        <w:spacing w:line="560" w:lineRule="exact"/>
        <w:tabs>
          <w:tab w:val="left" w:pos="900" w:leader="none"/>
        </w:tabs>
        <w:rPr>
          <w:rFonts w:ascii="Times New Roman" w:hAnsi="Times New Roman"/>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8</w:t>
      </w:r>
      <w:r>
        <w:rPr>
          <w:rFonts w:hint="eastAsia" w:ascii="Times New Roman" w:hAnsi="Times New Roman"/>
          <w:bCs/>
          <w:sz w:val="24"/>
          <w:szCs w:val="21"/>
        </w:rPr>
        <w:t xml:space="preserve">.1</w:t>
      </w:r>
      <w:r>
        <w:rPr>
          <w:rFonts w:hint="eastAsia" w:ascii="Times New Roman" w:hAnsi="Times New Roman"/>
          <w:sz w:val="24"/>
          <w:szCs w:val="21"/>
        </w:rPr>
        <w:t xml:space="preserve">成交候选供应商的确定原则和数量见磋商文件第五章。</w:t>
      </w:r>
      <w:r/>
    </w:p>
    <w:p>
      <w:pPr>
        <w:ind w:firstLine="478"/>
        <w:spacing w:line="560" w:lineRule="exact"/>
        <w:tabs>
          <w:tab w:val="left" w:pos="900" w:leader="none"/>
        </w:tabs>
        <w:rPr>
          <w:rFonts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8</w:t>
      </w:r>
      <w:r>
        <w:rPr>
          <w:rFonts w:hint="eastAsia" w:ascii="Times New Roman" w:hAnsi="Times New Roman"/>
          <w:bCs/>
          <w:sz w:val="24"/>
          <w:szCs w:val="21"/>
        </w:rPr>
        <w:t xml:space="preserve">.2</w:t>
      </w:r>
      <w:r>
        <w:rPr>
          <w:rFonts w:ascii="Times New Roman" w:hAnsi="Times New Roman"/>
          <w:bCs/>
          <w:sz w:val="24"/>
          <w:szCs w:val="21"/>
        </w:rPr>
        <w:t xml:space="preserve"> </w:t>
      </w:r>
      <w:r>
        <w:rPr>
          <w:rFonts w:hint="eastAsia" w:ascii="Times New Roman" w:hAnsi="Times New Roman"/>
          <w:bCs/>
          <w:sz w:val="24"/>
          <w:lang w:val="zh-CN"/>
        </w:rPr>
        <w:t xml:space="preserve">按以下第</w:t>
      </w:r>
      <w:r>
        <w:rPr>
          <w:rFonts w:hint="eastAsia" w:ascii="Times New Roman" w:hAnsi="Times New Roman"/>
          <w:bCs/>
          <w:sz w:val="24"/>
          <w:u w:val="single"/>
          <w:lang w:val="zh-CN"/>
        </w:rPr>
        <w:t xml:space="preserve">（</w:t>
      </w:r>
      <w:r>
        <w:rPr>
          <w:rFonts w:hint="eastAsia" w:ascii="Times New Roman" w:hAnsi="Times New Roman"/>
          <w:bCs/>
          <w:sz w:val="24"/>
          <w:u w:val="single"/>
          <w:lang w:val="en-US" w:eastAsia="zh-CN"/>
        </w:rPr>
        <w:t xml:space="preserve">2</w:t>
      </w:r>
      <w:r>
        <w:rPr>
          <w:rFonts w:hint="eastAsia" w:ascii="Times New Roman" w:hAnsi="Times New Roman"/>
          <w:bCs/>
          <w:sz w:val="24"/>
          <w:u w:val="single"/>
          <w:lang w:val="zh-CN"/>
        </w:rPr>
        <w:t xml:space="preserve">）</w:t>
      </w:r>
      <w:r>
        <w:rPr>
          <w:rFonts w:hint="eastAsia" w:ascii="Times New Roman" w:hAnsi="Times New Roman"/>
          <w:bCs/>
          <w:sz w:val="24"/>
          <w:lang w:val="zh-CN"/>
        </w:rPr>
        <w:t xml:space="preserve">种方式确定成交供应商</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（1）磋商小组直接确定排名第一的</w:t>
      </w:r>
      <w:r>
        <w:rPr>
          <w:rFonts w:hint="eastAsia" w:ascii="Times New Roman" w:hAnsi="Times New Roman"/>
          <w:bCs/>
          <w:sz w:val="24"/>
          <w:szCs w:val="21"/>
        </w:rPr>
        <w:t xml:space="preserve">成交候选供应商</w:t>
      </w:r>
      <w:r>
        <w:rPr>
          <w:rFonts w:hint="eastAsia" w:ascii="Times New Roman" w:hAnsi="Times New Roman"/>
          <w:bCs/>
          <w:sz w:val="24"/>
          <w:lang w:val="zh-CN"/>
        </w:rPr>
        <w:t xml:space="preserve">为成交供应商；</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（2）采购人</w:t>
      </w:r>
      <w:r>
        <w:rPr>
          <w:rFonts w:hint="eastAsia" w:ascii="Times New Roman" w:hAnsi="Times New Roman"/>
          <w:bCs/>
          <w:sz w:val="24"/>
          <w:szCs w:val="21"/>
        </w:rPr>
        <w:t xml:space="preserve">从评审报告提出</w:t>
      </w:r>
      <w:r>
        <w:rPr>
          <w:rFonts w:hint="eastAsia" w:ascii="Times New Roman" w:hAnsi="Times New Roman"/>
          <w:bCs/>
          <w:sz w:val="24"/>
          <w:lang w:val="zh-CN"/>
        </w:rPr>
        <w:t xml:space="preserve">的</w:t>
      </w:r>
      <w:r>
        <w:rPr>
          <w:rFonts w:hint="eastAsia" w:ascii="Times New Roman" w:hAnsi="Times New Roman"/>
          <w:bCs/>
          <w:sz w:val="24"/>
          <w:szCs w:val="21"/>
        </w:rPr>
        <w:t xml:space="preserve">成交候选供应商</w:t>
      </w:r>
      <w:r>
        <w:rPr>
          <w:rFonts w:hint="eastAsia" w:ascii="Times New Roman" w:hAnsi="Times New Roman"/>
          <w:bCs/>
          <w:sz w:val="24"/>
          <w:lang w:val="zh-CN"/>
        </w:rPr>
        <w:t xml:space="preserve">中按顺序确定成交供应商。</w:t>
      </w:r>
      <w:r/>
    </w:p>
    <w:p>
      <w:pPr>
        <w:ind w:firstLine="478"/>
        <w:spacing w:line="560" w:lineRule="exact"/>
        <w:tabs>
          <w:tab w:val="left" w:pos="900" w:leader="none"/>
        </w:tabs>
        <w:rPr>
          <w:rFonts w:ascii="Times New Roman" w:hAnsi="Times New Roman"/>
          <w:bCs/>
          <w:sz w:val="24"/>
          <w:szCs w:val="21"/>
        </w:rPr>
      </w:pPr>
      <w:r>
        <w:rPr>
          <w:rFonts w:hint="eastAsia" w:ascii="Times New Roman" w:hAnsi="Times New Roman"/>
          <w:bCs/>
          <w:sz w:val="24"/>
          <w:lang w:val="zh-CN"/>
        </w:rPr>
        <w:t xml:space="preserve">按第</w:t>
      </w:r>
      <w:r>
        <w:rPr>
          <w:rFonts w:hint="eastAsia" w:ascii="Times New Roman" w:hAnsi="Times New Roman"/>
          <w:bCs/>
          <w:sz w:val="24"/>
        </w:rPr>
        <w:t xml:space="preserve">2</w:t>
      </w:r>
      <w:r>
        <w:rPr>
          <w:rFonts w:hint="eastAsia" w:ascii="Times New Roman" w:hAnsi="Times New Roman"/>
          <w:bCs/>
          <w:sz w:val="24"/>
          <w:lang w:val="zh-CN"/>
        </w:rPr>
        <w:t xml:space="preserve">种方式确定成交供应商的，</w:t>
      </w:r>
      <w:r>
        <w:rPr>
          <w:rFonts w:hint="eastAsia" w:ascii="Times New Roman" w:hAnsi="Times New Roman"/>
          <w:bCs/>
          <w:sz w:val="24"/>
        </w:rPr>
        <w:t xml:space="preserve">采购代理机构</w:t>
      </w:r>
      <w:r>
        <w:rPr>
          <w:rFonts w:hint="eastAsia" w:ascii="Times New Roman" w:hAnsi="Times New Roman"/>
          <w:bCs/>
          <w:sz w:val="24"/>
          <w:lang w:val="zh-CN"/>
        </w:rPr>
        <w:t xml:space="preserve">自评审结束之日起两个工作日内将评审报告送交采购人，采购人自收到评审报告之日起五个工作日内在评审报告推荐的</w:t>
      </w:r>
      <w:r>
        <w:rPr>
          <w:rFonts w:hint="eastAsia" w:ascii="Times New Roman" w:hAnsi="Times New Roman"/>
          <w:bCs/>
          <w:sz w:val="24"/>
          <w:szCs w:val="21"/>
        </w:rPr>
        <w:t xml:space="preserve">成交候选供应商</w:t>
      </w:r>
      <w:r>
        <w:rPr>
          <w:rFonts w:hint="eastAsia" w:ascii="Times New Roman" w:hAnsi="Times New Roman"/>
          <w:bCs/>
          <w:sz w:val="24"/>
          <w:lang w:val="zh-CN"/>
        </w:rPr>
        <w:t xml:space="preserve">中按顺序确定成交供应商。</w:t>
      </w:r>
      <w:r/>
    </w:p>
    <w:p>
      <w:pPr>
        <w:ind w:firstLine="478"/>
        <w:spacing w:line="560" w:lineRule="exact"/>
        <w:tabs>
          <w:tab w:val="left" w:pos="900" w:leader="none"/>
        </w:tabs>
        <w:rPr>
          <w:rFonts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8.3</w:t>
      </w:r>
      <w:r>
        <w:rPr>
          <w:rFonts w:hint="eastAsia" w:ascii="Times New Roman" w:hAnsi="Times New Roman"/>
          <w:bCs/>
          <w:sz w:val="24"/>
          <w:szCs w:val="21"/>
        </w:rPr>
        <w:t xml:space="preserve">成交供应商确定后，采购代理机构将在“江苏省政府采购网”发布成交结果公告，公告期限为1个工作日。</w:t>
      </w:r>
      <w:r/>
    </w:p>
    <w:p>
      <w:pPr>
        <w:ind w:firstLine="478"/>
        <w:spacing w:line="560" w:lineRule="exact"/>
        <w:tabs>
          <w:tab w:val="left" w:pos="900" w:leader="none"/>
        </w:tabs>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若有充分证据证明，成交供应商出现下列情况之一的，一经查实，将被取消成交资格：</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.1提供虚假材料谋取成交的。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.2与评审专家、采购人、其他供应商或者</w:t>
      </w:r>
      <w:r>
        <w:rPr>
          <w:rFonts w:hint="eastAsia" w:ascii="Times New Roman" w:hAnsi="Times New Roman"/>
          <w:sz w:val="24"/>
          <w:szCs w:val="21"/>
        </w:rPr>
        <w:t xml:space="preserve">采购代理机构</w:t>
      </w:r>
      <w:r>
        <w:rPr>
          <w:rFonts w:hint="eastAsia" w:ascii="Times New Roman" w:hAnsi="Times New Roman"/>
          <w:bCs/>
          <w:sz w:val="24"/>
          <w:szCs w:val="21"/>
        </w:rPr>
        <w:t xml:space="preserve">工作人员恶意串通的。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.3向评审专家、采购人或</w:t>
      </w:r>
      <w:r>
        <w:rPr>
          <w:rFonts w:hint="eastAsia" w:ascii="Times New Roman" w:hAnsi="Times New Roman"/>
          <w:sz w:val="24"/>
          <w:szCs w:val="21"/>
        </w:rPr>
        <w:t xml:space="preserve">采购代理机构</w:t>
      </w:r>
      <w:r>
        <w:rPr>
          <w:rFonts w:hint="eastAsia" w:ascii="Times New Roman" w:hAnsi="Times New Roman"/>
          <w:bCs/>
          <w:sz w:val="24"/>
          <w:szCs w:val="21"/>
        </w:rPr>
        <w:t xml:space="preserve">工作人员行贿或者提供其他不正当利益的。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.4恶意竞争，最后报价明显低于其自身合理成本且又无法提供证明的。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.5不满足本磋商文件规定的实质性要求，但在评审过程中又未被磋商小组发现的。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.6成交后无正当理由拒不与采购人签订政府采购合同或者未按照磋商文件确定的事项签订政府采购合同的。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.7将政府采购合同转包的。</w:t>
      </w:r>
      <w:r/>
    </w:p>
    <w:p>
      <w:pPr>
        <w:ind w:firstLine="600"/>
        <w:keepLines/>
        <w:keepNext/>
        <w:spacing w:line="560" w:lineRule="exact"/>
        <w:rPr>
          <w:rFonts w:ascii="Times New Roman" w:hAnsi="Times New Roman" w:eastAsia="黑体"/>
          <w:bCs/>
          <w:sz w:val="30"/>
          <w:szCs w:val="30"/>
        </w:rPr>
        <w:outlineLvl w:val="3"/>
      </w:pPr>
      <w:r/>
      <w:bookmarkStart w:id="146" w:name="_Toc200451960"/>
      <w:r>
        <w:rPr>
          <w:rFonts w:ascii="Times New Roman" w:hAnsi="Times New Roman" w:eastAsia="黑体"/>
          <w:bCs/>
          <w:sz w:val="30"/>
          <w:szCs w:val="30"/>
        </w:rPr>
        <w:t xml:space="preserve">29</w:t>
      </w:r>
      <w:r>
        <w:rPr>
          <w:rFonts w:hint="eastAsia" w:ascii="Times New Roman" w:hAnsi="Times New Roman" w:eastAsia="黑体"/>
          <w:bCs/>
          <w:sz w:val="30"/>
          <w:szCs w:val="30"/>
        </w:rPr>
        <w:t xml:space="preserve">、质疑处理</w:t>
      </w:r>
      <w:bookmarkEnd w:id="146"/>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.1 提出质疑的供应商应当是参与所质疑项目采购活动的供应商。潜在供应商依法获取其可质疑的采购文件的，可以对采购文件提出质疑。</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ascii="Times New Roman" w:hAnsi="Times New Roman" w:cs="宋体"/>
          <w:sz w:val="24"/>
          <w:szCs w:val="24"/>
        </w:rPr>
      </w:pPr>
      <w:r>
        <w:rPr>
          <w:rFonts w:ascii="Times New Roman" w:hAnsi="Times New Roman"/>
          <w:sz w:val="24"/>
          <w:szCs w:val="24"/>
        </w:rPr>
        <w:t xml:space="preserve">29</w:t>
      </w:r>
      <w:r>
        <w:rPr>
          <w:rFonts w:hint="eastAsia" w:ascii="Times New Roman" w:hAnsi="Times New Roman"/>
          <w:sz w:val="24"/>
          <w:szCs w:val="24"/>
        </w:rPr>
        <w:t xml:space="preserve">.2.1</w:t>
      </w:r>
      <w:r>
        <w:rPr>
          <w:rFonts w:ascii="Times New Roman" w:hAnsi="Times New Roman" w:cs="宋体"/>
          <w:sz w:val="24"/>
          <w:szCs w:val="24"/>
        </w:rPr>
        <w:t xml:space="preserve">对可以质疑的采购文件提出质疑的，为收到采购文件之日或者采购文件公告期限届满之日</w:t>
      </w:r>
      <w:r>
        <w:rPr>
          <w:rFonts w:hint="eastAsia" w:ascii="Times New Roman" w:hAnsi="Times New Roman" w:cs="宋体"/>
          <w:sz w:val="24"/>
          <w:szCs w:val="24"/>
        </w:rPr>
        <w:t xml:space="preserve">。</w:t>
      </w:r>
      <w:r/>
    </w:p>
    <w:p>
      <w:pPr>
        <w:ind w:firstLine="480"/>
        <w:spacing w:line="560" w:lineRule="exact"/>
        <w:rPr>
          <w:rFonts w:ascii="Times New Roman" w:hAnsi="Times New Roman" w:cs="宋体"/>
          <w:sz w:val="24"/>
          <w:szCs w:val="24"/>
        </w:rPr>
      </w:pPr>
      <w:r>
        <w:rPr>
          <w:rFonts w:ascii="Times New Roman" w:hAnsi="Times New Roman"/>
          <w:sz w:val="24"/>
          <w:szCs w:val="24"/>
        </w:rPr>
        <w:t xml:space="preserve">29</w:t>
      </w:r>
      <w:r>
        <w:rPr>
          <w:rFonts w:hint="eastAsia" w:ascii="Times New Roman" w:hAnsi="Times New Roman"/>
          <w:sz w:val="24"/>
          <w:szCs w:val="24"/>
        </w:rPr>
        <w:t xml:space="preserve">.2.2</w:t>
      </w:r>
      <w:r>
        <w:rPr>
          <w:rFonts w:ascii="Times New Roman" w:hAnsi="Times New Roman" w:cs="宋体"/>
          <w:sz w:val="24"/>
          <w:szCs w:val="24"/>
        </w:rPr>
        <w:t xml:space="preserve">对采购过程提出质疑的，为各采购程序环节结束之日</w:t>
      </w:r>
      <w:r>
        <w:rPr>
          <w:rFonts w:hint="eastAsia" w:ascii="Times New Roman" w:hAnsi="Times New Roman" w:cs="宋体"/>
          <w:sz w:val="24"/>
          <w:szCs w:val="24"/>
        </w:rPr>
        <w:t xml:space="preserve">。</w:t>
      </w:r>
      <w:r/>
    </w:p>
    <w:p>
      <w:pPr>
        <w:ind w:firstLine="480"/>
        <w:spacing w:line="560" w:lineRule="exact"/>
        <w:rPr>
          <w:rFonts w:ascii="Times New Roman" w:hAnsi="Times New Roman" w:cs="宋体"/>
          <w:sz w:val="24"/>
          <w:szCs w:val="24"/>
        </w:rPr>
      </w:pPr>
      <w:r>
        <w:rPr>
          <w:rFonts w:ascii="Times New Roman" w:hAnsi="Times New Roman"/>
          <w:sz w:val="24"/>
          <w:szCs w:val="24"/>
        </w:rPr>
        <w:t xml:space="preserve">29</w:t>
      </w:r>
      <w:r>
        <w:rPr>
          <w:rFonts w:hint="eastAsia" w:ascii="Times New Roman" w:hAnsi="Times New Roman"/>
          <w:sz w:val="24"/>
          <w:szCs w:val="24"/>
        </w:rPr>
        <w:t xml:space="preserve">.2.3</w:t>
      </w:r>
      <w:r>
        <w:rPr>
          <w:rFonts w:ascii="Times New Roman" w:hAnsi="Times New Roman" w:cs="宋体"/>
          <w:sz w:val="24"/>
          <w:szCs w:val="24"/>
        </w:rPr>
        <w:t xml:space="preserve">对成交结果提出质疑的，为成交结果公告期限届满之日。</w:t>
      </w:r>
      <w:r/>
    </w:p>
    <w:p>
      <w:pPr>
        <w:ind w:firstLine="480"/>
        <w:spacing w:line="560" w:lineRule="exact"/>
        <w:rPr>
          <w:rFonts w:ascii="Times New Roman" w:hAnsi="Times New Roman" w:cs="宋体"/>
          <w:sz w:val="24"/>
          <w:szCs w:val="24"/>
        </w:rPr>
      </w:pPr>
      <w:r>
        <w:rPr>
          <w:rFonts w:hint="eastAsia" w:ascii="Times New Roman" w:hAnsi="Times New Roman"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sz w:val="24"/>
          <w:szCs w:val="21"/>
        </w:rPr>
        <w:t xml:space="preserve">采购代理机构</w:t>
      </w:r>
      <w:r>
        <w:rPr>
          <w:rFonts w:hint="eastAsia" w:ascii="Times New Roman" w:hAnsi="Times New Roman" w:cs="宋体"/>
          <w:sz w:val="24"/>
          <w:szCs w:val="24"/>
        </w:rPr>
        <w:t xml:space="preserve">、</w:t>
      </w:r>
      <w:r>
        <w:rPr>
          <w:rFonts w:ascii="Times New Roman" w:hAnsi="Times New Roman" w:cs="宋体"/>
          <w:sz w:val="24"/>
          <w:szCs w:val="24"/>
        </w:rPr>
        <w:t xml:space="preserve">采购人</w:t>
      </w:r>
      <w:r>
        <w:rPr>
          <w:rFonts w:hint="eastAsia" w:ascii="Times New Roman" w:hAnsi="Times New Roman" w:cs="宋体"/>
          <w:sz w:val="24"/>
          <w:szCs w:val="24"/>
        </w:rPr>
        <w:t xml:space="preserve">将只对供应商第一次质疑作出答复。</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.4 供应商应以书面形式向采购人或者其委托的采购代理机构提出质疑。质疑超出采购机构代理范围的，供应商应当向采购人提出。</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接收质疑函的方式：现场接收或邮寄接收。</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联系部门：江苏泰鼎工程咨询有限公司</w:t>
      </w:r>
      <w:r/>
    </w:p>
    <w:p>
      <w:pPr>
        <w:ind w:firstLine="480"/>
        <w:spacing w:line="560" w:lineRule="exact"/>
        <w:rPr>
          <w:rFonts w:hint="eastAsia" w:ascii="Times New Roman" w:hAnsi="Times New Roman" w:eastAsia="宋体"/>
          <w:sz w:val="24"/>
          <w:szCs w:val="24"/>
          <w:lang w:eastAsia="zh-CN"/>
        </w:rPr>
      </w:pPr>
      <w:r>
        <w:rPr>
          <w:rFonts w:hint="eastAsia" w:ascii="Times New Roman" w:hAnsi="Times New Roman"/>
          <w:sz w:val="24"/>
          <w:szCs w:val="24"/>
        </w:rPr>
        <w:t xml:space="preserve">联系电话：</w:t>
      </w:r>
      <w:r>
        <w:rPr>
          <w:rFonts w:hint="eastAsia" w:ascii="Times New Roman" w:hAnsi="Times New Roman"/>
          <w:sz w:val="24"/>
          <w:szCs w:val="24"/>
          <w:lang w:eastAsia="zh-CN"/>
        </w:rPr>
        <w:t xml:space="preserve">18013979198</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通讯地址：南京万达广场万达中心C座13楼1301-1303室（南京市建邺区江东中路108号）</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 以下情形的质疑不予受理</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.5.1 内容不符合《政府采购质疑和投诉办法》第十二条规定的质疑。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.5.2 超出政府采购法定期限的质疑。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.5.3 以传真、电子邮件等方式递交的非原件形式的质疑。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.5.4 未参加磋商活动的供应商或在磋商活动中自身权益未受到损害的供应商所提出的质疑。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.5.5供应商组成联合体参加磋商，联合体中任何一方或多方未按要求签字、盖章、加盖公章的质疑。</w:t>
      </w:r>
      <w:r/>
    </w:p>
    <w:p>
      <w:pPr>
        <w:ind w:firstLine="468"/>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.6  供应商提出书面质疑必须有理、有据，不得捏造事实、提供虚假材料进行恶意质疑。否则，一经查实，</w:t>
      </w:r>
      <w:r>
        <w:rPr>
          <w:rFonts w:hint="eastAsia" w:ascii="Times New Roman" w:hAnsi="Times New Roman"/>
          <w:sz w:val="24"/>
          <w:szCs w:val="21"/>
        </w:rPr>
        <w:t xml:space="preserve">采购代理机构</w:t>
      </w:r>
      <w:r>
        <w:rPr>
          <w:rFonts w:hint="eastAsia" w:ascii="Times New Roman" w:hAnsi="Times New Roman"/>
          <w:sz w:val="24"/>
          <w:szCs w:val="24"/>
        </w:rPr>
        <w:t xml:space="preserve">有权依据政府采购的有关规定，报请政府采购监管部门对该供应商进行相应的行政处罚和记录该供应商的失信信息。</w:t>
      </w:r>
      <w:r/>
    </w:p>
    <w:p>
      <w:pPr>
        <w:ind w:firstLine="468"/>
        <w:spacing w:line="560" w:lineRule="exact"/>
        <w:rPr>
          <w:rFonts w:ascii="Times New Roman" w:hAnsi="Times New Roman"/>
          <w:sz w:val="24"/>
          <w:szCs w:val="24"/>
        </w:rPr>
      </w:pPr>
      <w:r>
        <w:rPr>
          <w:rFonts w:ascii="Times New Roman" w:hAnsi="Times New Roman"/>
          <w:sz w:val="24"/>
          <w:szCs w:val="24"/>
        </w:rPr>
        <w:t xml:space="preserve">29.7</w:t>
      </w:r>
      <w:r>
        <w:rPr>
          <w:rFonts w:hint="eastAsia" w:ascii="Times New Roman" w:hAnsi="Times New Roman"/>
          <w:sz w:val="24"/>
          <w:szCs w:val="24"/>
        </w:rPr>
        <w:t xml:space="preserve">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560" w:lineRule="exact"/>
        <w:rPr>
          <w:rFonts w:ascii="Times New Roman" w:hAnsi="Times New Roman" w:eastAsia="黑体"/>
          <w:bCs/>
          <w:sz w:val="30"/>
          <w:szCs w:val="30"/>
        </w:rPr>
        <w:outlineLvl w:val="3"/>
      </w:pPr>
      <w:r>
        <w:rPr>
          <w:rFonts w:hint="eastAsia" w:ascii="Times New Roman" w:hAnsi="Times New Roman" w:eastAsia="黑体"/>
          <w:bCs/>
          <w:sz w:val="30"/>
          <w:szCs w:val="30"/>
        </w:rPr>
        <w:t xml:space="preserve">3</w:t>
      </w:r>
      <w:r>
        <w:rPr>
          <w:rFonts w:ascii="Times New Roman" w:hAnsi="Times New Roman" w:eastAsia="黑体"/>
          <w:bCs/>
          <w:sz w:val="30"/>
          <w:szCs w:val="30"/>
        </w:rPr>
        <w:t xml:space="preserve">0</w:t>
      </w:r>
      <w:r>
        <w:rPr>
          <w:rFonts w:hint="eastAsia" w:ascii="Times New Roman" w:hAnsi="Times New Roman" w:eastAsia="黑体"/>
          <w:bCs/>
          <w:sz w:val="30"/>
          <w:szCs w:val="30"/>
        </w:rPr>
        <w:t xml:space="preserve">、成交通知书</w:t>
      </w:r>
      <w:r/>
    </w:p>
    <w:p>
      <w:pPr>
        <w:ind w:firstLine="600"/>
        <w:spacing w:line="56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0</w:t>
      </w:r>
      <w:r>
        <w:rPr>
          <w:rFonts w:ascii="Times New Roman" w:hAnsi="Times New Roman"/>
          <w:sz w:val="24"/>
          <w:szCs w:val="24"/>
        </w:rPr>
        <w:t xml:space="preserve">.1</w:t>
      </w:r>
      <w:r>
        <w:rPr>
          <w:rFonts w:hint="eastAsia" w:ascii="Times New Roman" w:hAnsi="Times New Roman"/>
          <w:sz w:val="24"/>
          <w:szCs w:val="24"/>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0</w:t>
      </w:r>
      <w:r>
        <w:rPr>
          <w:rFonts w:hint="eastAsia" w:ascii="Times New Roman" w:hAnsi="Times New Roman"/>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ascii="Times New Roman" w:hAnsi="Times New Roman"/>
          <w:b/>
          <w:bCs/>
          <w:sz w:val="32"/>
          <w:szCs w:val="32"/>
        </w:rPr>
        <w:outlineLvl w:val="2"/>
      </w:pPr>
      <w:r/>
      <w:bookmarkStart w:id="147" w:name="_Toc120614220"/>
      <w:r/>
      <w:bookmarkStart w:id="148" w:name="_Toc513029236"/>
      <w:r/>
      <w:bookmarkStart w:id="149" w:name="_Toc20823308"/>
      <w:r/>
      <w:bookmarkStart w:id="150" w:name="_Toc16938552"/>
      <w:r>
        <w:rPr>
          <w:rFonts w:hint="eastAsia" w:ascii="Times New Roman" w:hAnsi="Times New Roman"/>
          <w:b/>
          <w:bCs/>
          <w:sz w:val="32"/>
          <w:szCs w:val="32"/>
        </w:rPr>
        <w:t xml:space="preserve">七、授予合同</w:t>
      </w:r>
      <w:bookmarkEnd w:id="147"/>
      <w:r/>
      <w:bookmarkEnd w:id="148"/>
      <w:r/>
      <w:bookmarkEnd w:id="149"/>
      <w:r/>
      <w:bookmarkEnd w:id="150"/>
      <w:r/>
      <w:r/>
    </w:p>
    <w:p>
      <w:pPr>
        <w:ind w:firstLine="600"/>
        <w:keepLines/>
        <w:keepNext/>
        <w:spacing w:line="560" w:lineRule="exact"/>
        <w:rPr>
          <w:rFonts w:ascii="Times New Roman" w:hAnsi="Times New Roman" w:eastAsia="黑体"/>
          <w:bCs/>
          <w:sz w:val="30"/>
          <w:szCs w:val="30"/>
        </w:rPr>
        <w:outlineLvl w:val="3"/>
      </w:pPr>
      <w:r/>
      <w:bookmarkStart w:id="151" w:name="_Toc16938553"/>
      <w:r/>
      <w:bookmarkStart w:id="152" w:name="_Toc513029237"/>
      <w:r/>
      <w:bookmarkStart w:id="153" w:name="_Toc20823309"/>
      <w:r>
        <w:rPr>
          <w:rFonts w:hint="eastAsia" w:ascii="Times New Roman" w:hAnsi="Times New Roman" w:eastAsia="黑体"/>
          <w:bCs/>
          <w:sz w:val="30"/>
          <w:szCs w:val="30"/>
        </w:rPr>
        <w:t xml:space="preserve">3</w:t>
      </w:r>
      <w:r>
        <w:rPr>
          <w:rFonts w:ascii="Times New Roman" w:hAnsi="Times New Roman" w:eastAsia="黑体"/>
          <w:bCs/>
          <w:sz w:val="30"/>
          <w:szCs w:val="30"/>
        </w:rPr>
        <w:t xml:space="preserve">1</w:t>
      </w:r>
      <w:r>
        <w:rPr>
          <w:rFonts w:hint="eastAsia" w:ascii="Times New Roman" w:hAnsi="Times New Roman" w:eastAsia="黑体"/>
          <w:bCs/>
          <w:sz w:val="30"/>
          <w:szCs w:val="30"/>
        </w:rPr>
        <w:t xml:space="preserve">. 签订合同</w:t>
      </w:r>
      <w:r/>
    </w:p>
    <w:p>
      <w:pPr>
        <w:ind w:firstLine="600"/>
        <w:spacing w:line="560" w:lineRule="exact"/>
        <w:rPr>
          <w:rFonts w:ascii="Times New Roman" w:hAnsi="Times New Roman"/>
          <w:sz w:val="24"/>
          <w:szCs w:val="24"/>
        </w:rPr>
      </w:pPr>
      <w:r>
        <w:rPr>
          <w:rFonts w:hint="eastAsia" w:ascii="Times New Roman" w:hAnsi="Times New Roman"/>
          <w:bCs/>
          <w:sz w:val="24"/>
          <w:szCs w:val="24"/>
        </w:rPr>
        <w:t xml:space="preserve">3</w:t>
      </w:r>
      <w:r>
        <w:rPr>
          <w:rFonts w:ascii="Times New Roman" w:hAnsi="Times New Roman"/>
          <w:bCs/>
          <w:sz w:val="24"/>
          <w:szCs w:val="24"/>
        </w:rPr>
        <w:t xml:space="preserve">1</w:t>
      </w:r>
      <w:r>
        <w:rPr>
          <w:rFonts w:hint="eastAsia" w:ascii="Times New Roman" w:hAnsi="Times New Roman"/>
          <w:sz w:val="24"/>
          <w:szCs w:val="24"/>
        </w:rPr>
        <w:t xml:space="preserve">.l成交供应商应当在成交通知书发出之日起</w:t>
      </w:r>
      <w:r>
        <w:rPr>
          <w:rFonts w:ascii="Times New Roman" w:hAnsi="Times New Roman"/>
          <w:sz w:val="24"/>
          <w:szCs w:val="24"/>
        </w:rPr>
        <w:t xml:space="preserve">30</w:t>
      </w:r>
      <w:r>
        <w:rPr>
          <w:rFonts w:hint="eastAsia" w:ascii="Times New Roman" w:hAnsi="Times New Roman"/>
          <w:sz w:val="24"/>
          <w:szCs w:val="24"/>
        </w:rPr>
        <w:t xml:space="preserve">日内，按照磋商文件确定的事项与采购人签订政府采购合同。</w:t>
      </w:r>
      <w:r/>
    </w:p>
    <w:p>
      <w:pPr>
        <w:ind w:firstLine="600"/>
        <w:spacing w:line="56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1</w:t>
      </w:r>
      <w:r>
        <w:rPr>
          <w:rFonts w:hint="eastAsia" w:ascii="Times New Roman" w:hAnsi="Times New Roman"/>
          <w:sz w:val="24"/>
          <w:szCs w:val="24"/>
        </w:rPr>
        <w:t xml:space="preserve">.2磋商文件、成交供应商的响应文件及磋商过程中有关澄清、承诺文件均应作为合同附件。</w:t>
      </w:r>
      <w:r/>
    </w:p>
    <w:p>
      <w:pPr>
        <w:ind w:firstLine="600"/>
        <w:spacing w:line="56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1</w:t>
      </w:r>
      <w:r>
        <w:rPr>
          <w:rFonts w:hint="eastAsia" w:ascii="Times New Roman" w:hAnsi="Times New Roman"/>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ascii="Times New Roman" w:hAnsi="Times New Roman"/>
          <w:sz w:val="24"/>
          <w:szCs w:val="24"/>
        </w:rPr>
      </w:pPr>
      <w:r>
        <w:rPr>
          <w:rFonts w:hint="eastAsia" w:ascii="Times New Roman" w:hAnsi="Times New Roman"/>
          <w:sz w:val="24"/>
          <w:szCs w:val="24"/>
        </w:rPr>
        <w:t xml:space="preserve">31.4本项目的非主体、非关键性工作是否允许分包按以下第</w:t>
      </w:r>
      <w:r>
        <w:rPr>
          <w:rFonts w:ascii="Times New Roman" w:hAnsi="Times New Roman"/>
          <w:sz w:val="24"/>
          <w:szCs w:val="24"/>
          <w:u w:val="single"/>
        </w:rPr>
        <w:t xml:space="preserve">2</w:t>
      </w:r>
      <w:r>
        <w:rPr>
          <w:rFonts w:hint="eastAsia" w:ascii="Times New Roman" w:hAnsi="Times New Roman"/>
          <w:sz w:val="24"/>
          <w:szCs w:val="24"/>
          <w:u w:val="single"/>
        </w:rPr>
        <w:t xml:space="preserve"> </w:t>
      </w:r>
      <w:r>
        <w:rPr>
          <w:rFonts w:hint="eastAsia" w:ascii="Times New Roman" w:hAnsi="Times New Roman"/>
          <w:sz w:val="24"/>
          <w:szCs w:val="24"/>
        </w:rPr>
        <w:t xml:space="preserve">种方式确定：</w:t>
      </w:r>
      <w:r/>
    </w:p>
    <w:p>
      <w:pPr>
        <w:ind w:firstLine="720"/>
        <w:spacing w:line="560" w:lineRule="exact"/>
        <w:rPr>
          <w:rFonts w:ascii="Times New Roman" w:hAnsi="Times New Roman"/>
          <w:sz w:val="24"/>
          <w:szCs w:val="24"/>
          <w:u w:val="single"/>
        </w:rPr>
      </w:pPr>
      <w:r>
        <w:rPr>
          <w:rFonts w:hint="eastAsia" w:ascii="Times New Roman" w:hAnsi="Times New Roman"/>
          <w:sz w:val="24"/>
          <w:szCs w:val="24"/>
        </w:rPr>
        <w:t xml:space="preserve">1.允许分包，允许大中型企业向一家或者多家小微企业分包，分包具体内容、金额或比例：</w:t>
      </w:r>
      <w:r>
        <w:rPr>
          <w:rFonts w:hint="eastAsia" w:ascii="Times New Roman" w:hAnsi="Times New Roman"/>
          <w:sz w:val="24"/>
          <w:szCs w:val="24"/>
          <w:u w:val="single"/>
        </w:rPr>
        <w:t xml:space="preserve">             </w:t>
      </w:r>
      <w:r>
        <w:rPr>
          <w:rFonts w:hint="eastAsia" w:ascii="Times New Roman" w:hAnsi="Times New Roman"/>
          <w:sz w:val="24"/>
          <w:szCs w:val="24"/>
        </w:rPr>
        <w:t xml:space="preserve">；</w:t>
      </w:r>
      <w:r/>
    </w:p>
    <w:p>
      <w:pPr>
        <w:ind w:firstLine="600"/>
        <w:spacing w:line="560" w:lineRule="exact"/>
        <w:rPr>
          <w:rFonts w:ascii="Times New Roman" w:hAnsi="Times New Roman"/>
          <w:sz w:val="24"/>
          <w:szCs w:val="24"/>
        </w:rPr>
      </w:pPr>
      <w:r>
        <w:rPr>
          <w:rFonts w:hint="eastAsia" w:ascii="Times New Roman" w:hAnsi="Times New Roman"/>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ascii="Times New Roman" w:hAnsi="Times New Roman"/>
          <w:bCs/>
          <w:sz w:val="24"/>
        </w:rPr>
      </w:pPr>
      <w:r>
        <w:rPr>
          <w:rFonts w:hint="eastAsia" w:ascii="Times New Roman" w:hAnsi="Times New Roman"/>
          <w:bCs/>
          <w:sz w:val="24"/>
        </w:rPr>
        <w:t xml:space="preserve">31.</w:t>
      </w:r>
      <w:r>
        <w:rPr>
          <w:rFonts w:ascii="Times New Roman" w:hAnsi="Times New Roman"/>
          <w:bCs/>
          <w:sz w:val="24"/>
        </w:rPr>
        <w:t xml:space="preserve">5</w:t>
      </w:r>
      <w:r>
        <w:rPr>
          <w:rFonts w:hint="eastAsia" w:ascii="Times New Roman" w:hAnsi="Times New Roman"/>
          <w:bCs/>
          <w:sz w:val="24"/>
        </w:rPr>
        <w:t xml:space="preserve">履约保证金</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按照以下第</w:t>
      </w:r>
      <w:r>
        <w:rPr>
          <w:rFonts w:hint="eastAsia" w:ascii="Times New Roman" w:hAnsi="Times New Roman"/>
          <w:bCs/>
          <w:sz w:val="24"/>
          <w:u w:val="single"/>
        </w:rPr>
        <w:t xml:space="preserve">1</w:t>
      </w:r>
      <w:r>
        <w:rPr>
          <w:rFonts w:hint="eastAsia" w:ascii="Times New Roman" w:hAnsi="Times New Roman"/>
          <w:bCs/>
          <w:sz w:val="24"/>
          <w:lang w:val="zh-CN"/>
        </w:rPr>
        <w:t xml:space="preserve">方式确定履约保证收取方式。</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(1)不收取履约保证金。</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(2)履约保证金应在采购合同签订前提交，履约保证金的金额</w:t>
      </w:r>
      <w:r>
        <w:rPr>
          <w:rFonts w:hint="eastAsia" w:ascii="Times New Roman" w:hAnsi="Times New Roman"/>
          <w:bCs/>
          <w:sz w:val="24"/>
          <w:u w:val="single"/>
        </w:rPr>
        <w:t xml:space="preserve">     </w:t>
      </w:r>
      <w:r>
        <w:rPr>
          <w:rFonts w:hint="eastAsia" w:ascii="Times New Roman" w:hAnsi="Times New Roman"/>
          <w:bCs/>
          <w:sz w:val="24"/>
        </w:rPr>
        <w:t xml:space="preserve">，</w:t>
      </w:r>
      <w:r>
        <w:rPr>
          <w:rFonts w:hint="eastAsia" w:ascii="Times New Roman" w:hAnsi="Times New Roman"/>
          <w:bCs/>
          <w:sz w:val="24"/>
          <w:lang w:val="zh-CN"/>
        </w:rPr>
        <w:t xml:space="preserve">除银行电汇、网上银行、数字人民币外，供应商还可选用银行保函、担保公司的保证担保或保险公司的保证保险等多种形式向采购人缴纳；</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履约保证金退还的条件：按以下第 b 种方式实行：</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a、货物类项目，项目验收合格，出具验收报告及履约保证金收据申请退付；</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b、服务类项目，项目履约期满评价合格，出具履约评价报告及履约保证金收据申请退付；</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c、工程类项目，项目完工验收合格，出具完工证明及履约保证金收据申请退付；</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履约保证金退还时间：采购单位收到供应商退付申请后5个工作日内退还；</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600"/>
        <w:spacing w:line="560" w:lineRule="exact"/>
        <w:rPr>
          <w:rFonts w:ascii="Times New Roman" w:hAnsi="Times New Roman"/>
          <w:sz w:val="24"/>
          <w:szCs w:val="24"/>
        </w:rPr>
      </w:pPr>
      <w:r>
        <w:rPr>
          <w:rFonts w:ascii="Times New Roman" w:hAnsi="Times New Roman"/>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600"/>
        <w:keepLines/>
        <w:keepNext/>
        <w:spacing w:line="560" w:lineRule="exact"/>
        <w:rPr>
          <w:rFonts w:ascii="Times New Roman" w:hAnsi="Times New Roman" w:eastAsia="黑体"/>
          <w:bCs/>
          <w:sz w:val="30"/>
          <w:szCs w:val="30"/>
        </w:rPr>
        <w:outlineLvl w:val="3"/>
      </w:pPr>
      <w:r>
        <w:rPr>
          <w:rFonts w:hint="eastAsia" w:ascii="Times New Roman" w:hAnsi="Times New Roman" w:eastAsia="黑体"/>
          <w:bCs/>
          <w:sz w:val="30"/>
          <w:szCs w:val="30"/>
        </w:rPr>
        <w:t xml:space="preserve">3</w:t>
      </w:r>
      <w:r>
        <w:rPr>
          <w:rFonts w:ascii="Times New Roman" w:hAnsi="Times New Roman" w:eastAsia="黑体"/>
          <w:bCs/>
          <w:sz w:val="30"/>
          <w:szCs w:val="30"/>
        </w:rPr>
        <w:t xml:space="preserve">2</w:t>
      </w:r>
      <w:r>
        <w:rPr>
          <w:rFonts w:hint="eastAsia" w:ascii="Times New Roman" w:hAnsi="Times New Roman" w:eastAsia="黑体"/>
          <w:bCs/>
          <w:sz w:val="30"/>
          <w:szCs w:val="30"/>
        </w:rPr>
        <w:t xml:space="preserve">、标的物的追加</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1"/>
      <w:r/>
      <w:bookmarkEnd w:id="152"/>
      <w:r/>
      <w:bookmarkEnd w:id="153"/>
      <w:r/>
      <w:r/>
    </w:p>
    <w:p>
      <w:pPr>
        <w:ind w:firstLine="600"/>
        <w:keepLines/>
        <w:keepNext/>
        <w:spacing w:line="560" w:lineRule="exact"/>
        <w:rPr>
          <w:rFonts w:ascii="Times New Roman" w:hAnsi="Times New Roman" w:eastAsia="黑体"/>
          <w:bCs/>
          <w:sz w:val="30"/>
          <w:szCs w:val="30"/>
        </w:rPr>
        <w:outlineLvl w:val="3"/>
      </w:pPr>
      <w:r/>
      <w:bookmarkStart w:id="154" w:name="_Toc513029242"/>
      <w:r/>
      <w:bookmarkStart w:id="155" w:name="_Toc16938558"/>
      <w:r/>
      <w:bookmarkStart w:id="156" w:name="_Toc20823314"/>
      <w:r/>
      <w:bookmarkStart w:id="157" w:name="_Toc479757207"/>
      <w:r/>
      <w:bookmarkStart w:id="158" w:name="_Toc120614221"/>
      <w:r>
        <w:rPr>
          <w:rFonts w:hint="eastAsia" w:ascii="Times New Roman" w:hAnsi="Times New Roman" w:eastAsia="黑体"/>
          <w:bCs/>
          <w:sz w:val="30"/>
          <w:szCs w:val="30"/>
        </w:rPr>
        <w:t xml:space="preserve">3</w:t>
      </w:r>
      <w:r>
        <w:rPr>
          <w:rFonts w:ascii="Times New Roman" w:hAnsi="Times New Roman" w:eastAsia="黑体"/>
          <w:bCs/>
          <w:sz w:val="30"/>
          <w:szCs w:val="30"/>
        </w:rPr>
        <w:t xml:space="preserve">3</w:t>
      </w:r>
      <w:r>
        <w:rPr>
          <w:rFonts w:hint="eastAsia" w:ascii="Times New Roman" w:hAnsi="Times New Roman" w:eastAsia="黑体"/>
          <w:bCs/>
          <w:sz w:val="30"/>
          <w:szCs w:val="30"/>
        </w:rPr>
        <w:t xml:space="preserve">、政府采购履约资金扶持政策</w:t>
      </w:r>
      <w:r/>
    </w:p>
    <w:p>
      <w:pPr>
        <w:ind w:firstLine="420"/>
        <w:spacing w:line="560" w:lineRule="exact"/>
        <w:rPr>
          <w:rFonts w:ascii="Times New Roman" w:hAnsi="Times New Roman"/>
          <w:szCs w:val="21"/>
        </w:rPr>
      </w:pPr>
      <w:r>
        <w:rPr>
          <w:rFonts w:hint="eastAsia" w:ascii="Times New Roman" w:hAnsi="Times New Roman"/>
          <w:bCs/>
          <w:sz w:val="24"/>
        </w:rPr>
        <w:t xml:space="preserve">33.1依</w:t>
      </w:r>
      <w:r>
        <w:rPr>
          <w:rFonts w:hint="eastAsia" w:ascii="Times New Roman" w:hAnsi="Times New Roman"/>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718"/>
        <w:ind w:firstLine="602"/>
        <w:spacing w:before="0" w:after="0" w:line="560" w:lineRule="exact"/>
        <w:rPr>
          <w:rFonts w:ascii="Times New Roman" w:hAnsi="Times New Roman"/>
          <w:b w:val="0"/>
          <w:sz w:val="30"/>
          <w:szCs w:val="30"/>
          <w:lang w:eastAsia="zh-CN"/>
        </w:rPr>
      </w:pPr>
      <w:r>
        <w:rPr>
          <w:rFonts w:hint="eastAsia" w:ascii="Times New Roman" w:hAnsi="Times New Roman"/>
          <w:b w:val="0"/>
          <w:sz w:val="30"/>
          <w:szCs w:val="30"/>
          <w:lang w:eastAsia="zh-CN"/>
        </w:rPr>
        <w:t xml:space="preserve">3</w:t>
      </w:r>
      <w:r>
        <w:rPr>
          <w:rFonts w:ascii="Times New Roman" w:hAnsi="Times New Roman"/>
          <w:b w:val="0"/>
          <w:sz w:val="30"/>
          <w:szCs w:val="30"/>
          <w:lang w:eastAsia="zh-CN"/>
        </w:rPr>
        <w:t xml:space="preserve">4</w:t>
      </w:r>
      <w:r>
        <w:rPr>
          <w:rFonts w:hint="eastAsia" w:ascii="Times New Roman" w:hAnsi="Times New Roman"/>
          <w:b w:val="0"/>
          <w:sz w:val="30"/>
          <w:szCs w:val="30"/>
          <w:lang w:eastAsia="zh-CN"/>
        </w:rPr>
        <w:t xml:space="preserve">、验收及付款</w:t>
      </w:r>
      <w:r/>
    </w:p>
    <w:p>
      <w:pPr>
        <w:ind w:firstLine="482"/>
        <w:spacing w:line="560" w:lineRule="exact"/>
        <w:rPr>
          <w:rFonts w:ascii="Times New Roman" w:hAnsi="Times New Roman"/>
          <w:bCs/>
          <w:sz w:val="24"/>
        </w:rPr>
      </w:pPr>
      <w:r>
        <w:rPr>
          <w:rFonts w:hint="eastAsia" w:ascii="Times New Roman" w:hAnsi="Times New Roman"/>
          <w:bCs/>
          <w:sz w:val="24"/>
        </w:rPr>
        <w:t xml:space="preserve">3</w:t>
      </w:r>
      <w:r>
        <w:rPr>
          <w:rFonts w:ascii="Times New Roman" w:hAnsi="Times New Roman"/>
          <w:bCs/>
          <w:sz w:val="24"/>
        </w:rPr>
        <w:t xml:space="preserve">4</w:t>
      </w:r>
      <w:r>
        <w:rPr>
          <w:rFonts w:hint="eastAsia" w:ascii="Times New Roman" w:hAnsi="Times New Roman"/>
          <w:bCs/>
          <w:sz w:val="24"/>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imes New Roman" w:hAnsi="Times New Roman"/>
          <w:bCs/>
          <w:sz w:val="24"/>
        </w:rPr>
      </w:pPr>
      <w:r>
        <w:rPr>
          <w:rFonts w:hint="eastAsia" w:ascii="Times New Roman" w:hAnsi="Times New Roman"/>
          <w:bCs/>
          <w:sz w:val="24"/>
        </w:rPr>
        <w:t xml:space="preserve">3</w:t>
      </w:r>
      <w:r>
        <w:rPr>
          <w:rFonts w:ascii="Times New Roman" w:hAnsi="Times New Roman"/>
          <w:bCs/>
          <w:sz w:val="24"/>
        </w:rPr>
        <w:t xml:space="preserve">4</w:t>
      </w:r>
      <w:r>
        <w:rPr>
          <w:rFonts w:hint="eastAsia" w:ascii="Times New Roman" w:hAnsi="Times New Roman"/>
          <w:bCs/>
          <w:sz w:val="24"/>
        </w:rPr>
        <w:t xml:space="preserve">.2采购人可以邀请参加本项目的其他供应商或者第三方机构参与验收。参与验收的供应商或者第三方机构的意见作为验收书的参考资料一并存档。</w:t>
      </w:r>
      <w:r/>
    </w:p>
    <w:p>
      <w:pPr>
        <w:ind w:firstLine="482"/>
        <w:spacing w:line="560" w:lineRule="exact"/>
        <w:rPr>
          <w:rFonts w:ascii="Times New Roman" w:hAnsi="Times New Roman"/>
          <w:bCs/>
          <w:sz w:val="24"/>
        </w:rPr>
      </w:pPr>
      <w:r>
        <w:rPr>
          <w:rFonts w:hint="eastAsia" w:ascii="Times New Roman" w:hAnsi="Times New Roman"/>
          <w:bCs/>
          <w:sz w:val="24"/>
        </w:rPr>
        <w:t xml:space="preserve">3</w:t>
      </w:r>
      <w:r>
        <w:rPr>
          <w:rFonts w:ascii="Times New Roman" w:hAnsi="Times New Roman"/>
          <w:bCs/>
          <w:sz w:val="24"/>
        </w:rPr>
        <w:t xml:space="preserve">4</w:t>
      </w:r>
      <w:r>
        <w:rPr>
          <w:rFonts w:hint="eastAsia" w:ascii="Times New Roman" w:hAnsi="Times New Roman"/>
          <w:bCs/>
          <w:sz w:val="24"/>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Times New Roman" w:hAnsi="Times New Roman" w:cs="宋体"/>
          <w:sz w:val="24"/>
        </w:rPr>
      </w:pPr>
      <w:r>
        <w:rPr>
          <w:rFonts w:hint="eastAsia" w:ascii="Times New Roman" w:hAnsi="Times New Roman"/>
          <w:bCs/>
          <w:sz w:val="24"/>
        </w:rPr>
        <w:t xml:space="preserve">3</w:t>
      </w:r>
      <w:r>
        <w:rPr>
          <w:rFonts w:ascii="Times New Roman" w:hAnsi="Times New Roman"/>
          <w:bCs/>
          <w:sz w:val="24"/>
        </w:rPr>
        <w:t xml:space="preserve">4</w:t>
      </w:r>
      <w:r>
        <w:rPr>
          <w:rFonts w:hint="eastAsia" w:ascii="Times New Roman" w:hAnsi="Times New Roman"/>
          <w:bCs/>
          <w:sz w:val="24"/>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360" w:lineRule="auto"/>
        <w:rPr>
          <w:rFonts w:ascii="Times New Roman" w:hAnsi="Times New Roman" w:eastAsia="黑体"/>
          <w:bCs/>
          <w:sz w:val="30"/>
          <w:szCs w:val="30"/>
        </w:rPr>
      </w:pPr>
      <w:r>
        <w:rPr>
          <w:rFonts w:hint="eastAsia" w:ascii="Times New Roman" w:hAnsi="Times New Roman" w:eastAsia="黑体"/>
          <w:bCs/>
          <w:sz w:val="30"/>
          <w:szCs w:val="30"/>
        </w:rPr>
        <w:t xml:space="preserve">3</w:t>
      </w:r>
      <w:r>
        <w:rPr>
          <w:rFonts w:ascii="Times New Roman" w:hAnsi="Times New Roman" w:eastAsia="黑体"/>
          <w:bCs/>
          <w:sz w:val="30"/>
          <w:szCs w:val="30"/>
        </w:rPr>
        <w:t xml:space="preserve">5</w:t>
      </w:r>
      <w:r>
        <w:rPr>
          <w:rFonts w:hint="eastAsia" w:ascii="Times New Roman" w:hAnsi="Times New Roman" w:eastAsia="黑体"/>
          <w:bCs/>
          <w:sz w:val="30"/>
          <w:szCs w:val="30"/>
        </w:rPr>
        <w:t xml:space="preserve">、付款</w:t>
      </w:r>
      <w:r/>
    </w:p>
    <w:p>
      <w:pPr>
        <w:ind w:firstLine="482"/>
        <w:spacing w:line="360" w:lineRule="auto"/>
        <w:rPr>
          <w:rFonts w:ascii="宋体" w:hAnsi="宋体" w:cs="宋体"/>
          <w:bCs/>
          <w:sz w:val="24"/>
        </w:rPr>
      </w:pPr>
      <w:r>
        <w:rPr>
          <w:rFonts w:hint="eastAsia" w:ascii="宋体" w:hAnsi="宋体" w:cs="宋体"/>
          <w:bCs/>
          <w:sz w:val="24"/>
        </w:rPr>
        <w:t xml:space="preserve"> </w:t>
      </w:r>
      <w:bookmarkStart w:id="159" w:name="EBf1f8b954f7504a2cb44cef25707c76a6"/>
      <w:r/>
      <w:bookmarkEnd w:id="159"/>
      <w:r>
        <w:rPr>
          <w:rFonts w:hint="eastAsia" w:ascii="宋体" w:hAnsi="宋体"/>
          <w:sz w:val="24"/>
        </w:rPr>
        <w:t xml:space="preserve">详见</w:t>
      </w:r>
      <w:r>
        <w:rPr>
          <w:rFonts w:ascii="宋体" w:hAnsi="宋体"/>
          <w:sz w:val="24"/>
        </w:rPr>
        <w:t xml:space="preserve">第三章合同文本</w:t>
      </w:r>
      <w:r>
        <w:rPr>
          <w:rFonts w:hint="eastAsia" w:ascii="宋体" w:hAnsi="宋体"/>
          <w:sz w:val="24"/>
        </w:rPr>
        <w:t xml:space="preserve">。</w:t>
      </w:r>
      <w:r/>
    </w:p>
    <w:p>
      <w:pPr>
        <w:ind w:firstLine="2640"/>
        <w:keepNext/>
        <w:rPr>
          <w:rFonts w:ascii="Times New Roman" w:hAnsi="Times New Roman" w:eastAsia="黑体"/>
          <w:bCs/>
          <w:sz w:val="44"/>
          <w:szCs w:val="28"/>
        </w:rPr>
        <w:outlineLvl w:val="0"/>
      </w:pPr>
      <w:r>
        <w:rPr>
          <w:rFonts w:hint="eastAsia" w:ascii="Times New Roman" w:hAnsi="Times New Roman" w:eastAsia="黑体"/>
          <w:bCs/>
          <w:sz w:val="44"/>
          <w:szCs w:val="28"/>
        </w:rPr>
        <w:br w:type="page" w:clear="all"/>
      </w:r>
      <w:bookmarkEnd w:id="154"/>
      <w:r/>
      <w:bookmarkEnd w:id="155"/>
      <w:r/>
      <w:bookmarkEnd w:id="156"/>
      <w:r/>
      <w:bookmarkEnd w:id="157"/>
      <w:r/>
      <w:bookmarkEnd w:id="158"/>
      <w:r/>
      <w:bookmarkStart w:id="160" w:name="_Toc20823315"/>
      <w:r/>
      <w:bookmarkStart w:id="161" w:name="_Toc513029243"/>
      <w:r/>
      <w:bookmarkStart w:id="162" w:name="_Toc16938559"/>
      <w:r>
        <w:rPr>
          <w:rFonts w:hint="eastAsia" w:ascii="Times New Roman" w:hAnsi="Times New Roman" w:eastAsia="黑体"/>
          <w:bCs/>
          <w:sz w:val="44"/>
          <w:szCs w:val="28"/>
        </w:rPr>
        <w:t xml:space="preserve">第三章  合同文本</w:t>
      </w:r>
      <w:r/>
    </w:p>
    <w:p>
      <w:pPr>
        <w:jc w:val="center"/>
        <w:spacing w:line="360" w:lineRule="auto"/>
        <w:rPr>
          <w:rFonts w:eastAsia="黑体"/>
          <w:sz w:val="52"/>
        </w:rPr>
      </w:pPr>
      <w:r>
        <w:rPr>
          <w:rFonts w:hint="eastAsia" w:eastAsia="黑体"/>
          <w:sz w:val="52"/>
        </w:rPr>
        <w:t xml:space="preserve">南京市政府采购合同</w:t>
      </w:r>
      <w:r/>
    </w:p>
    <w:p>
      <w:pPr>
        <w:spacing w:line="360" w:lineRule="auto"/>
        <w:rPr>
          <w:rFonts w:ascii="仿宋_GB2312" w:eastAsia="仿宋_GB2312"/>
          <w:b/>
          <w:sz w:val="32"/>
        </w:rPr>
      </w:pPr>
      <w:r>
        <w:rPr>
          <w:rFonts w:hint="eastAsia" w:ascii="仿宋_GB2312" w:eastAsia="仿宋_GB2312"/>
          <w:b/>
          <w:sz w:val="32"/>
        </w:rPr>
        <w:t xml:space="preserve">            </w:t>
      </w:r>
      <w:r>
        <w:rPr>
          <w:rFonts w:hint="eastAsia" w:ascii="仿宋_GB2312" w:eastAsia="仿宋_GB2312"/>
          <w:sz w:val="32"/>
        </w:rPr>
        <w:t xml:space="preserve">  </w:t>
      </w:r>
      <w:r/>
    </w:p>
    <w:p>
      <w:pPr>
        <w:pStyle w:val="757"/>
        <w:ind w:firstLine="723"/>
        <w:rPr>
          <w:rFonts w:ascii="黑体" w:hAnsi="Times New Roman" w:eastAsia="黑体"/>
          <w:b/>
          <w:sz w:val="36"/>
        </w:rPr>
      </w:pPr>
      <w:r>
        <w:rPr>
          <w:rFonts w:ascii="黑体" w:hAnsi="Times New Roman" w:eastAsia="黑体"/>
          <w:b/>
          <w:sz w:val="36"/>
        </w:rPr>
      </w:r>
      <w:r/>
    </w:p>
    <w:p>
      <w:pPr>
        <w:pStyle w:val="757"/>
        <w:ind w:firstLine="723"/>
        <w:rPr>
          <w:rFonts w:ascii="黑体" w:hAnsi="Times New Roman" w:eastAsia="黑体"/>
          <w:b/>
          <w:sz w:val="36"/>
        </w:rPr>
      </w:pPr>
      <w:r>
        <w:rPr>
          <w:rFonts w:ascii="黑体" w:hAnsi="Times New Roman" w:eastAsia="黑体"/>
          <w:b/>
          <w:sz w:val="36"/>
        </w:rPr>
      </w:r>
      <w:r/>
    </w:p>
    <w:p>
      <w:pPr>
        <w:pStyle w:val="757"/>
        <w:ind w:firstLine="723"/>
        <w:rPr>
          <w:rFonts w:ascii="黑体" w:hAnsi="Times New Roman" w:eastAsia="黑体"/>
          <w:b/>
          <w:sz w:val="36"/>
        </w:rPr>
      </w:pPr>
      <w:r>
        <w:rPr>
          <w:rFonts w:ascii="黑体" w:hAnsi="Times New Roman" w:eastAsia="黑体"/>
          <w:b/>
          <w:sz w:val="36"/>
        </w:rPr>
      </w:r>
      <w:r/>
    </w:p>
    <w:p>
      <w:pPr>
        <w:ind w:firstLine="708"/>
        <w:spacing w:line="360" w:lineRule="auto"/>
        <w:rPr>
          <w:rFonts w:ascii="黑体" w:eastAsia="黑体"/>
          <w:b/>
          <w:sz w:val="36"/>
        </w:rPr>
      </w:pPr>
      <w:r>
        <w:rPr>
          <w:rFonts w:hint="eastAsia" w:ascii="黑体" w:eastAsia="黑体"/>
          <w:b/>
          <w:sz w:val="36"/>
        </w:rPr>
        <w:t xml:space="preserve">合同编号 ：</w:t>
      </w:r>
      <w:r>
        <w:rPr>
          <w:rFonts w:hint="eastAsia" w:ascii="黑体" w:eastAsia="黑体"/>
          <w:b/>
          <w:sz w:val="36"/>
          <w:u w:val="single"/>
        </w:rPr>
        <w:t xml:space="preserve">                    </w:t>
      </w:r>
      <w:r/>
    </w:p>
    <w:p>
      <w:pPr>
        <w:ind w:firstLine="708"/>
        <w:spacing w:line="360" w:lineRule="auto"/>
        <w:rPr>
          <w:rFonts w:ascii="黑体" w:eastAsia="黑体"/>
          <w:b/>
          <w:sz w:val="36"/>
          <w:u w:val="single"/>
        </w:rPr>
      </w:pPr>
      <w:r>
        <w:rPr>
          <w:rFonts w:hint="eastAsia" w:ascii="黑体" w:eastAsia="黑体"/>
          <w:b/>
          <w:sz w:val="36"/>
        </w:rPr>
        <w:t xml:space="preserve">项目名称 ：</w:t>
      </w:r>
      <w:r>
        <w:rPr>
          <w:rFonts w:hint="eastAsia" w:ascii="黑体" w:eastAsia="黑体"/>
          <w:b/>
          <w:sz w:val="36"/>
          <w:u w:val="single"/>
        </w:rPr>
        <w:t xml:space="preserve">                    </w:t>
      </w:r>
      <w:r/>
    </w:p>
    <w:p>
      <w:pPr>
        <w:ind w:firstLine="708"/>
        <w:spacing w:line="360" w:lineRule="auto"/>
        <w:rPr>
          <w:rFonts w:ascii="黑体" w:eastAsia="黑体"/>
          <w:b/>
          <w:sz w:val="36"/>
          <w:u w:val="single"/>
        </w:rPr>
      </w:pPr>
      <w:r>
        <w:rPr>
          <w:rFonts w:hint="eastAsia" w:ascii="黑体" w:eastAsia="黑体"/>
          <w:b/>
          <w:sz w:val="36"/>
        </w:rPr>
        <w:t xml:space="preserve">使用单位 ：</w:t>
      </w:r>
      <w:r>
        <w:rPr>
          <w:rFonts w:hint="eastAsia" w:ascii="黑体" w:eastAsia="黑体"/>
          <w:b/>
          <w:sz w:val="36"/>
          <w:u w:val="single"/>
        </w:rPr>
        <w:t xml:space="preserve">                    </w:t>
      </w:r>
      <w:r/>
    </w:p>
    <w:p>
      <w:pPr>
        <w:ind w:firstLine="708"/>
        <w:spacing w:line="360" w:lineRule="auto"/>
        <w:rPr>
          <w:rFonts w:ascii="黑体" w:eastAsia="黑体"/>
          <w:b/>
          <w:sz w:val="36"/>
        </w:rPr>
      </w:pPr>
      <w:r>
        <w:rPr>
          <w:rFonts w:hint="eastAsia" w:ascii="黑体" w:eastAsia="黑体"/>
          <w:b/>
          <w:sz w:val="36"/>
        </w:rPr>
        <w:t xml:space="preserve">供货单位 ：</w:t>
      </w:r>
      <w:r>
        <w:rPr>
          <w:rFonts w:hint="eastAsia" w:ascii="黑体" w:eastAsia="黑体"/>
          <w:b/>
          <w:sz w:val="36"/>
          <w:u w:val="single"/>
        </w:rPr>
        <w:t xml:space="preserve">                    </w:t>
      </w:r>
      <w:r/>
    </w:p>
    <w:p>
      <w:pPr>
        <w:ind w:firstLine="708"/>
        <w:spacing w:line="360" w:lineRule="auto"/>
        <w:rPr>
          <w:rFonts w:ascii="黑体" w:eastAsia="黑体"/>
          <w:b/>
          <w:sz w:val="36"/>
          <w:u w:val="single"/>
        </w:rPr>
      </w:pPr>
      <w:r>
        <w:rPr>
          <w:rFonts w:hint="eastAsia" w:ascii="黑体" w:eastAsia="黑体"/>
          <w:b/>
          <w:sz w:val="36"/>
        </w:rPr>
        <w:t xml:space="preserve">签订日期 ：</w:t>
      </w:r>
      <w:r>
        <w:rPr>
          <w:rFonts w:hint="eastAsia" w:ascii="黑体" w:eastAsia="黑体"/>
          <w:b/>
          <w:sz w:val="36"/>
          <w:u w:val="single"/>
        </w:rPr>
        <w:t xml:space="preserve">     </w:t>
      </w:r>
      <w:r/>
    </w:p>
    <w:p>
      <w:r/>
      <w:r/>
    </w:p>
    <w:p>
      <w:r/>
      <w:r/>
    </w:p>
    <w:p>
      <w:pPr>
        <w:jc w:val="center"/>
        <w:shd w:val="clear" w:color="auto" w:fill="ffffff"/>
        <w:widowControl/>
        <w:rPr>
          <w:rFonts w:ascii="Helvetica" w:hAnsi="Helvetica" w:cs="Helvetica"/>
          <w:sz w:val="24"/>
        </w:rPr>
      </w:pPr>
      <w:r>
        <w:rPr>
          <w:rFonts w:hint="eastAsia" w:ascii="Helvetica" w:hAnsi="Helvetica" w:cs="Helvetica"/>
          <w:b/>
          <w:bCs/>
          <w:sz w:val="36"/>
        </w:rPr>
        <w:t xml:space="preserve">南京市工商行政管理局</w:t>
      </w:r>
      <w:r/>
    </w:p>
    <w:p>
      <w:pPr>
        <w:jc w:val="center"/>
        <w:shd w:val="clear" w:color="auto" w:fill="ffffff"/>
        <w:widowControl/>
        <w:rPr>
          <w:rFonts w:ascii="Helvetica" w:hAnsi="Helvetica" w:cs="Helvetica"/>
          <w:sz w:val="24"/>
        </w:rPr>
      </w:pPr>
      <w:r>
        <w:rPr>
          <w:rFonts w:ascii="Helvetica" w:hAnsi="Helvetica" w:cs="Helvetica"/>
          <w:sz w:val="24"/>
        </w:rPr>
      </w:r>
      <w:r/>
    </w:p>
    <w:p>
      <w:pPr>
        <w:jc w:val="center"/>
        <w:shd w:val="clear" w:color="auto" w:fill="ffffff"/>
        <w:widowControl/>
        <w:rPr>
          <w:rFonts w:ascii="Helvetica" w:hAnsi="Helvetica" w:cs="Helvetica"/>
          <w:sz w:val="24"/>
        </w:rPr>
      </w:pPr>
      <w:r>
        <w:rPr>
          <w:rFonts w:hint="eastAsia" w:ascii="Helvetica" w:hAnsi="Helvetica" w:cs="Helvetica"/>
          <w:b/>
          <w:bCs/>
          <w:sz w:val="36"/>
        </w:rPr>
        <w:t xml:space="preserve">南</w:t>
      </w:r>
      <w:r>
        <w:rPr>
          <w:rFonts w:ascii="Helvetica" w:hAnsi="Helvetica" w:cs="Helvetica"/>
          <w:b/>
          <w:bCs/>
          <w:sz w:val="36"/>
        </w:rPr>
        <w:t xml:space="preserve"> </w:t>
      </w:r>
      <w:r>
        <w:rPr>
          <w:rFonts w:hint="eastAsia" w:ascii="Helvetica" w:hAnsi="Helvetica" w:cs="Helvetica"/>
          <w:b/>
          <w:bCs/>
          <w:sz w:val="36"/>
        </w:rPr>
        <w:t xml:space="preserve">京</w:t>
      </w:r>
      <w:r>
        <w:rPr>
          <w:rFonts w:ascii="Helvetica" w:hAnsi="Helvetica" w:cs="Helvetica"/>
          <w:b/>
          <w:bCs/>
          <w:sz w:val="36"/>
        </w:rPr>
        <w:t xml:space="preserve"> </w:t>
      </w:r>
      <w:r>
        <w:rPr>
          <w:rFonts w:hint="eastAsia" w:ascii="Helvetica" w:hAnsi="Helvetica" w:cs="Helvetica"/>
          <w:b/>
          <w:bCs/>
          <w:sz w:val="36"/>
        </w:rPr>
        <w:t xml:space="preserve">市</w:t>
      </w:r>
      <w:r>
        <w:rPr>
          <w:rFonts w:ascii="Helvetica" w:hAnsi="Helvetica" w:cs="Helvetica"/>
          <w:b/>
          <w:bCs/>
          <w:sz w:val="36"/>
        </w:rPr>
        <w:t xml:space="preserve"> </w:t>
      </w:r>
      <w:r>
        <w:rPr>
          <w:rFonts w:hint="eastAsia" w:ascii="Helvetica" w:hAnsi="Helvetica" w:cs="Helvetica"/>
          <w:b/>
          <w:bCs/>
          <w:sz w:val="36"/>
        </w:rPr>
        <w:t xml:space="preserve">财</w:t>
      </w:r>
      <w:r>
        <w:rPr>
          <w:rFonts w:ascii="Helvetica" w:hAnsi="Helvetica" w:cs="Helvetica"/>
          <w:b/>
          <w:bCs/>
          <w:sz w:val="36"/>
        </w:rPr>
        <w:t xml:space="preserve"> </w:t>
      </w:r>
      <w:r>
        <w:rPr>
          <w:rFonts w:hint="eastAsia" w:ascii="Helvetica" w:hAnsi="Helvetica" w:cs="Helvetica"/>
          <w:b/>
          <w:bCs/>
          <w:sz w:val="36"/>
        </w:rPr>
        <w:t xml:space="preserve">政</w:t>
      </w:r>
      <w:r>
        <w:rPr>
          <w:rFonts w:ascii="Helvetica" w:hAnsi="Helvetica" w:cs="Helvetica"/>
          <w:b/>
          <w:bCs/>
          <w:sz w:val="36"/>
        </w:rPr>
        <w:t xml:space="preserve"> </w:t>
      </w:r>
      <w:r>
        <w:rPr>
          <w:rFonts w:hint="eastAsia" w:ascii="Helvetica" w:hAnsi="Helvetica" w:cs="Helvetica"/>
          <w:b/>
          <w:bCs/>
          <w:sz w:val="36"/>
        </w:rPr>
        <w:t xml:space="preserve">局</w:t>
      </w:r>
      <w:r>
        <w:rPr>
          <w:rFonts w:ascii="Helvetica" w:hAnsi="Helvetica" w:cs="Helvetica"/>
          <w:b/>
          <w:bCs/>
          <w:sz w:val="36"/>
        </w:rPr>
        <w:t xml:space="preserve"> </w:t>
      </w:r>
      <w:r>
        <w:rPr>
          <w:rFonts w:hint="eastAsia" w:ascii="Helvetica" w:hAnsi="Helvetica" w:cs="Helvetica"/>
          <w:b/>
          <w:bCs/>
          <w:sz w:val="36"/>
        </w:rPr>
        <w:t xml:space="preserve">监制</w:t>
      </w:r>
      <w:r/>
    </w:p>
    <w:p>
      <w:pPr>
        <w:spacing w:line="360" w:lineRule="auto"/>
        <w:rPr>
          <w:rFonts w:ascii="黑体" w:eastAsia="黑体"/>
          <w:b/>
          <w:sz w:val="36"/>
        </w:rPr>
      </w:pPr>
      <w:r>
        <w:rPr>
          <w:rFonts w:ascii="黑体" w:eastAsia="黑体"/>
          <w:b/>
          <w:sz w:val="36"/>
        </w:rPr>
      </w:r>
      <w:r/>
    </w:p>
    <w:p>
      <w:pPr>
        <w:jc w:val="center"/>
        <w:spacing w:line="360" w:lineRule="auto"/>
        <w:rPr>
          <w:rFonts w:ascii="黑体" w:hAnsi="Verdana" w:eastAsia="黑体"/>
          <w:sz w:val="36"/>
          <w:szCs w:val="36"/>
        </w:rPr>
      </w:pPr>
      <w:r>
        <w:rPr>
          <w:rFonts w:hint="eastAsia" w:ascii="黑体" w:hAnsi="Verdana" w:eastAsia="黑体"/>
          <w:sz w:val="36"/>
          <w:szCs w:val="36"/>
        </w:rPr>
        <w:br w:type="page" w:clear="all"/>
      </w:r>
      <w:r>
        <w:rPr>
          <w:rFonts w:hint="eastAsia" w:ascii="黑体" w:hAnsi="Verdana" w:eastAsia="黑体"/>
          <w:sz w:val="36"/>
          <w:szCs w:val="36"/>
        </w:rPr>
        <w:t xml:space="preserve">合同草案条款</w:t>
      </w:r>
      <w:r/>
    </w:p>
    <w:p>
      <w:pPr>
        <w:spacing w:line="440" w:lineRule="exact"/>
        <w:shd w:val="clear" w:color="auto" w:fill="ffffff"/>
        <w:rPr>
          <w:rFonts w:eastAsia="Calibri"/>
          <w:sz w:val="20"/>
          <w:lang w:val="zh-CN"/>
        </w:rPr>
      </w:pPr>
      <w:r>
        <w:rPr>
          <w:rFonts w:eastAsia="Calibri"/>
          <w:sz w:val="20"/>
          <w:szCs w:val="20"/>
          <w:lang w:val="zh-CN"/>
        </w:rPr>
        <w:t xml:space="preserve">合同编号</w:t>
      </w:r>
      <w:r>
        <w:rPr>
          <w:sz w:val="20"/>
          <w:szCs w:val="20"/>
          <w:lang w:val="zh-CN"/>
        </w:rPr>
        <w:t xml:space="preserve">：</w:t>
      </w:r>
      <w:r/>
    </w:p>
    <w:p>
      <w:pPr>
        <w:spacing w:line="440" w:lineRule="exact"/>
        <w:shd w:val="clear" w:color="auto" w:fill="ffffff"/>
        <w:rPr>
          <w:rFonts w:eastAsia="Calibri"/>
          <w:sz w:val="20"/>
          <w:lang w:val="zh-CN"/>
        </w:rPr>
      </w:pPr>
      <w:r>
        <w:rPr>
          <w:rFonts w:eastAsia="Calibri"/>
          <w:sz w:val="20"/>
          <w:szCs w:val="20"/>
          <w:lang w:val="zh-CN"/>
        </w:rPr>
        <w:t xml:space="preserve">政府采购计划号</w:t>
      </w:r>
      <w:r>
        <w:rPr>
          <w:sz w:val="20"/>
          <w:szCs w:val="20"/>
          <w:lang w:val="zh-CN"/>
        </w:rPr>
        <w:t xml:space="preserve">：</w:t>
      </w:r>
      <w:r/>
    </w:p>
    <w:tbl>
      <w:tblPr>
        <w:tblStyle w:val="725"/>
        <w:tblW w:w="4998" w:type="pct"/>
        <w:tblInd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5201"/>
        <w:gridCol w:w="4983"/>
      </w:tblGrid>
      <w:tr>
        <w:trPr/>
        <w:tc>
          <w:tcPr>
            <w:shd w:val="clear" w:color="auto" w:fill="ffffff"/>
            <w:tcMar>
              <w:left w:w="108" w:type="dxa"/>
              <w:top w:w="0" w:type="dxa"/>
              <w:right w:w="108" w:type="dxa"/>
              <w:bottom w:w="0" w:type="dxa"/>
            </w:tcMar>
            <w:tcW w:w="2553" w:type="pct"/>
            <w:textDirection w:val="lrTb"/>
            <w:noWrap w:val="false"/>
          </w:tcPr>
          <w:p>
            <w:pPr>
              <w:jc w:val="left"/>
              <w:spacing w:line="440" w:lineRule="exact"/>
              <w:rPr>
                <w:rFonts w:ascii="宋体" w:hAnsi="宋体"/>
                <w:sz w:val="20"/>
                <w:lang w:val="zh-CN"/>
              </w:rPr>
            </w:pPr>
            <w:r>
              <w:rPr>
                <w:rFonts w:hint="eastAsia" w:ascii="宋体" w:hAnsi="宋体" w:cs="微软雅黑"/>
                <w:sz w:val="20"/>
                <w:szCs w:val="20"/>
                <w:lang w:val="zh-CN"/>
              </w:rPr>
              <w:t xml:space="preserve">采购人（以下称甲方）：</w:t>
            </w:r>
            <w:r>
              <w:rPr>
                <w:rFonts w:ascii="宋体" w:hAnsi="宋体"/>
                <w:sz w:val="20"/>
                <w:lang w:val="zh-CN"/>
              </w:rPr>
              <w:t xml:space="preserve"> </w:t>
            </w:r>
            <w:r/>
          </w:p>
        </w:tc>
        <w:tc>
          <w:tcPr>
            <w:shd w:val="clear" w:color="auto" w:fill="ffffff"/>
            <w:tcMar>
              <w:left w:w="108" w:type="dxa"/>
              <w:top w:w="0" w:type="dxa"/>
              <w:right w:w="108" w:type="dxa"/>
              <w:bottom w:w="0" w:type="dxa"/>
            </w:tcMar>
            <w:tcW w:w="2446" w:type="pct"/>
            <w:textDirection w:val="lrTb"/>
            <w:noWrap w:val="false"/>
          </w:tcPr>
          <w:p>
            <w:pPr>
              <w:jc w:val="left"/>
              <w:spacing w:line="440" w:lineRule="exact"/>
              <w:rPr>
                <w:rFonts w:ascii="宋体" w:hAnsi="宋体"/>
                <w:sz w:val="20"/>
                <w:szCs w:val="20"/>
                <w:lang w:val="zh-CN"/>
              </w:rPr>
            </w:pPr>
            <w:r>
              <w:rPr>
                <w:rFonts w:hint="eastAsia" w:ascii="宋体" w:hAnsi="宋体" w:cs="微软雅黑"/>
                <w:sz w:val="20"/>
                <w:szCs w:val="20"/>
                <w:lang w:val="zh-CN"/>
              </w:rPr>
              <w:t xml:space="preserve">供应商（以下称乙方）：</w:t>
            </w:r>
            <w:r>
              <w:rPr>
                <w:rFonts w:ascii="宋体" w:hAnsi="宋体"/>
                <w:sz w:val="20"/>
                <w:szCs w:val="20"/>
                <w:lang w:val="zh-CN"/>
              </w:rPr>
              <w:t xml:space="preserve"> </w:t>
            </w:r>
            <w:r/>
          </w:p>
        </w:tc>
      </w:tr>
      <w:tr>
        <w:trPr/>
        <w:tc>
          <w:tcPr>
            <w:shd w:val="clear" w:color="auto" w:fill="ffffff"/>
            <w:tcMar>
              <w:left w:w="108" w:type="dxa"/>
              <w:top w:w="0" w:type="dxa"/>
              <w:right w:w="108" w:type="dxa"/>
              <w:bottom w:w="0" w:type="dxa"/>
            </w:tcMar>
            <w:tcW w:w="2553" w:type="pct"/>
            <w:textDirection w:val="lrTb"/>
            <w:noWrap w:val="false"/>
          </w:tcPr>
          <w:p>
            <w:pPr>
              <w:jc w:val="left"/>
              <w:spacing w:line="440" w:lineRule="exact"/>
              <w:rPr>
                <w:rFonts w:ascii="宋体" w:hAnsi="宋体"/>
                <w:sz w:val="20"/>
                <w:lang w:val="zh-CN"/>
              </w:rPr>
            </w:pPr>
            <w:r>
              <w:rPr>
                <w:rFonts w:hint="eastAsia" w:ascii="宋体" w:hAnsi="宋体" w:cs="微软雅黑"/>
                <w:sz w:val="20"/>
                <w:szCs w:val="20"/>
                <w:lang w:val="zh-CN"/>
              </w:rPr>
              <w:t xml:space="preserve">住所地：</w:t>
            </w:r>
            <w:r>
              <w:rPr>
                <w:rFonts w:ascii="宋体" w:hAnsi="宋体"/>
                <w:sz w:val="20"/>
                <w:lang w:val="zh-CN"/>
              </w:rPr>
              <w:t xml:space="preserve"> </w:t>
            </w:r>
            <w:r/>
          </w:p>
        </w:tc>
        <w:tc>
          <w:tcPr>
            <w:shd w:val="clear" w:color="auto" w:fill="ffffff"/>
            <w:tcMar>
              <w:left w:w="108" w:type="dxa"/>
              <w:top w:w="0" w:type="dxa"/>
              <w:right w:w="108" w:type="dxa"/>
              <w:bottom w:w="0" w:type="dxa"/>
            </w:tcMar>
            <w:tcW w:w="2446" w:type="pct"/>
            <w:textDirection w:val="lrTb"/>
            <w:noWrap w:val="false"/>
          </w:tcPr>
          <w:p>
            <w:pPr>
              <w:jc w:val="left"/>
              <w:spacing w:line="440" w:lineRule="exact"/>
              <w:rPr>
                <w:rFonts w:ascii="宋体" w:hAnsi="宋体"/>
                <w:sz w:val="20"/>
                <w:szCs w:val="20"/>
                <w:lang w:val="zh-CN"/>
              </w:rPr>
            </w:pPr>
            <w:r>
              <w:rPr>
                <w:rFonts w:hint="eastAsia" w:ascii="宋体" w:hAnsi="宋体" w:cs="微软雅黑"/>
                <w:sz w:val="20"/>
                <w:szCs w:val="20"/>
                <w:lang w:val="zh-CN"/>
              </w:rPr>
              <w:t xml:space="preserve">住所地：</w:t>
            </w:r>
            <w:r>
              <w:rPr>
                <w:rFonts w:ascii="宋体" w:hAnsi="宋体"/>
                <w:sz w:val="20"/>
                <w:szCs w:val="20"/>
                <w:lang w:val="zh-CN"/>
              </w:rPr>
              <w:t xml:space="preserve"> </w:t>
            </w:r>
            <w:r/>
          </w:p>
        </w:tc>
      </w:tr>
    </w:tbl>
    <w:p>
      <w:pPr>
        <w:ind w:firstLine="420"/>
        <w:jc w:val="left"/>
        <w:spacing w:line="440" w:lineRule="exact"/>
        <w:shd w:val="clear" w:color="auto" w:fill="ffffff"/>
        <w:rPr>
          <w:rFonts w:eastAsia="Calibri"/>
          <w:sz w:val="20"/>
          <w:lang w:val="zh-CN"/>
        </w:rPr>
      </w:pPr>
      <w:r>
        <w:rPr>
          <w:rFonts w:eastAsia="Calibri"/>
          <w:sz w:val="20"/>
          <w:szCs w:val="20"/>
          <w:lang w:val="zh-CN"/>
        </w:rPr>
        <w:t xml:space="preserve">根据《中华人民共和国政府采购法》、《中华人民共和国民法典》等法律法规的规定，甲乙双方按照招标结果签订本合同。</w:t>
      </w:r>
      <w:r/>
    </w:p>
    <w:p>
      <w:pPr>
        <w:ind w:firstLine="422"/>
        <w:spacing w:line="440" w:lineRule="exact"/>
        <w:shd w:val="clear" w:color="auto" w:fill="ffffff"/>
        <w:rPr>
          <w:rFonts w:eastAsia="Calibri"/>
          <w:sz w:val="20"/>
          <w:lang w:val="zh-CN"/>
        </w:rPr>
      </w:pPr>
      <w:r>
        <w:rPr>
          <w:rFonts w:eastAsia="Calibri"/>
          <w:b/>
          <w:bCs/>
          <w:sz w:val="20"/>
          <w:szCs w:val="20"/>
          <w:lang w:val="zh-CN"/>
        </w:rPr>
        <w:t xml:space="preserve">第一条合同标的</w:t>
      </w:r>
      <w:r>
        <w:rPr>
          <w:rFonts w:eastAsia="Calibri"/>
          <w:sz w:val="20"/>
          <w:szCs w:val="20"/>
          <w:lang w:val="zh-CN"/>
        </w:rPr>
        <w:t xml:space="preserve"> </w:t>
      </w:r>
      <w:r/>
    </w:p>
    <w:p>
      <w:pPr>
        <w:ind w:firstLine="422"/>
        <w:spacing w:line="440" w:lineRule="exact"/>
        <w:shd w:val="clear" w:color="auto" w:fill="ffffff"/>
        <w:rPr>
          <w:sz w:val="20"/>
          <w:lang w:val="zh-CN"/>
        </w:rPr>
      </w:pPr>
      <w:r>
        <w:rPr>
          <w:rFonts w:eastAsia="Calibri"/>
          <w:sz w:val="20"/>
          <w:szCs w:val="20"/>
          <w:lang w:val="zh-CN"/>
        </w:rPr>
        <w:t xml:space="preserve">乙方根据甲方要求提供下列服务：</w:t>
      </w:r>
      <w:r>
        <w:rPr>
          <w:rFonts w:hint="eastAsia" w:ascii="宋体" w:hAnsi="宋体" w:cs="宋体"/>
          <w:sz w:val="20"/>
          <w:szCs w:val="20"/>
          <w:u w:val="single"/>
          <w:lang w:eastAsia="zh-CN"/>
        </w:rPr>
        <w:t xml:space="preserve">南京江北新区C-PARK污水预处理站运维服务（2026.9-2029.9）</w:t>
      </w:r>
      <w:r>
        <w:rPr>
          <w:rFonts w:ascii="宋体" w:hAnsi="宋体"/>
          <w:sz w:val="20"/>
          <w:szCs w:val="20"/>
          <w:lang w:val="zh-CN"/>
        </w:rPr>
        <w:t xml:space="preserve">内</w:t>
      </w:r>
      <w:r>
        <w:rPr>
          <w:rFonts w:eastAsia="Calibri"/>
          <w:sz w:val="20"/>
          <w:szCs w:val="20"/>
          <w:lang w:val="zh-CN"/>
        </w:rPr>
        <w:t xml:space="preserve">容详见乙方响应性文件等</w:t>
      </w:r>
      <w:r>
        <w:rPr>
          <w:sz w:val="20"/>
          <w:szCs w:val="20"/>
          <w:lang w:val="zh-CN"/>
        </w:rPr>
        <w:t xml:space="preserve">。</w:t>
      </w:r>
      <w:r/>
    </w:p>
    <w:p>
      <w:pPr>
        <w:ind w:firstLine="422"/>
        <w:spacing w:line="440" w:lineRule="exact"/>
        <w:shd w:val="clear" w:color="auto" w:fill="ffffff"/>
        <w:rPr>
          <w:rFonts w:hint="eastAsia" w:eastAsia="Calibri"/>
          <w:sz w:val="20"/>
          <w:szCs w:val="20"/>
        </w:rPr>
      </w:pPr>
      <w:r>
        <w:rPr>
          <w:rFonts w:eastAsia="Calibri"/>
          <w:sz w:val="20"/>
          <w:szCs w:val="20"/>
        </w:rPr>
        <w:t xml:space="preserve">1、甲方将江北新区C-Park污水处理系统日常运营维护委托乙方负责，</w:t>
      </w:r>
      <w:r>
        <w:rPr>
          <w:rFonts w:hint="eastAsia" w:eastAsia="Calibri"/>
          <w:color w:val="ff0000"/>
          <w:sz w:val="20"/>
          <w:szCs w:val="20"/>
        </w:rPr>
        <w:t xml:space="preserve">服务期限为合同生效之日起三年，合同一年一签，每年服务期满一年，通过考核后方可续签下一年度合同</w:t>
      </w:r>
      <w:r>
        <w:rPr>
          <w:rFonts w:hint="eastAsia" w:eastAsia="Calibri"/>
          <w:sz w:val="20"/>
          <w:szCs w:val="20"/>
        </w:rPr>
        <w:t xml:space="preserve">。</w:t>
      </w:r>
      <w:r>
        <w:rPr>
          <w:rFonts w:eastAsia="Calibri"/>
          <w:sz w:val="20"/>
          <w:szCs w:val="20"/>
        </w:rPr>
        <w:t xml:space="preserve">主要工作包含：为处理站设备提供</w:t>
      </w:r>
      <w:bookmarkStart w:id="163" w:name="bookmark14"/>
      <w:r>
        <w:rPr>
          <w:rFonts w:hint="eastAsia" w:eastAsia="Calibri"/>
          <w:sz w:val="20"/>
          <w:szCs w:val="20"/>
        </w:rPr>
        <w:t xml:space="preserve">合格的专职操作、维修人员，服务于污水站日常运营，包括但不限于设备维修和设备保养，以保证污水处理站的正常运行和污水达标排放；污水站水处理系统日常运营药剂的配备；负责C-PARK综合服务区污水收集罐及相关设施的维护和运营。</w:t>
      </w:r>
      <w:r/>
    </w:p>
    <w:p>
      <w:pPr>
        <w:ind w:firstLine="422"/>
        <w:spacing w:line="440" w:lineRule="exact"/>
        <w:shd w:val="clear" w:color="auto" w:fill="ffffff"/>
        <w:rPr>
          <w:rFonts w:ascii="宋体" w:hAnsi="宋体"/>
          <w:sz w:val="20"/>
          <w:lang w:val="zh-TW"/>
        </w:rPr>
      </w:pPr>
      <w:r>
        <w:rPr>
          <w:rFonts w:eastAsia="Calibri"/>
          <w:sz w:val="20"/>
          <w:szCs w:val="20"/>
          <w:lang w:val="zh-TW"/>
        </w:rPr>
        <w:t xml:space="preserve">2</w:t>
      </w:r>
      <w:bookmarkEnd w:id="163"/>
      <w:r>
        <w:rPr>
          <w:rFonts w:ascii="宋体" w:hAnsi="宋体"/>
          <w:sz w:val="20"/>
          <w:szCs w:val="20"/>
          <w:lang w:val="zh-TW"/>
        </w:rPr>
        <w:t xml:space="preserve">、污水处理站设计处理规模:总水量≤</w:t>
      </w:r>
      <w:r>
        <w:rPr>
          <w:rFonts w:ascii="宋体" w:hAnsi="宋体"/>
          <w:sz w:val="20"/>
          <w:szCs w:val="20"/>
        </w:rPr>
        <w:t xml:space="preserve">100</w:t>
      </w:r>
      <w:r>
        <w:rPr>
          <w:rFonts w:ascii="宋体" w:hAnsi="宋体"/>
          <w:sz w:val="20"/>
          <w:szCs w:val="20"/>
          <w:lang w:val="zh-TW"/>
        </w:rPr>
        <w:t xml:space="preserve">吨/日。其中实验室废水≤</w:t>
      </w:r>
      <w:r>
        <w:rPr>
          <w:rFonts w:ascii="宋体" w:hAnsi="宋体"/>
          <w:sz w:val="20"/>
          <w:szCs w:val="20"/>
        </w:rPr>
        <w:t xml:space="preserve">6</w:t>
      </w:r>
      <w:r>
        <w:rPr>
          <w:rFonts w:ascii="宋体" w:hAnsi="宋体"/>
          <w:sz w:val="20"/>
          <w:szCs w:val="20"/>
          <w:lang w:val="zh-TW"/>
        </w:rPr>
        <w:t xml:space="preserve">0吨/日,生活污水</w:t>
      </w:r>
      <w:r>
        <w:rPr>
          <w:rFonts w:ascii="宋体" w:hAnsi="宋体"/>
          <w:sz w:val="20"/>
          <w:szCs w:val="20"/>
        </w:rPr>
        <w:t xml:space="preserve">≤4</w:t>
      </w:r>
      <w:r>
        <w:rPr>
          <w:rFonts w:ascii="宋体" w:hAnsi="宋体"/>
          <w:sz w:val="20"/>
          <w:szCs w:val="20"/>
          <w:lang w:val="zh-TW"/>
        </w:rPr>
        <w:t xml:space="preserve">0吨/日。</w:t>
      </w:r>
      <w:r/>
    </w:p>
    <w:p>
      <w:pPr>
        <w:ind w:firstLine="422"/>
        <w:spacing w:line="440" w:lineRule="exact"/>
        <w:shd w:val="clear" w:color="auto" w:fill="ffffff"/>
        <w:rPr>
          <w:rFonts w:ascii="宋体" w:hAnsi="宋体" w:cs="黑体"/>
          <w:sz w:val="20"/>
          <w:szCs w:val="20"/>
        </w:rPr>
      </w:pPr>
      <w:r/>
      <w:bookmarkStart w:id="164" w:name="bookmark15"/>
      <w:r>
        <w:rPr>
          <w:rFonts w:ascii="宋体" w:hAnsi="宋体"/>
          <w:sz w:val="20"/>
          <w:szCs w:val="20"/>
          <w:lang w:val="zh-TW"/>
        </w:rPr>
        <w:t xml:space="preserve">3</w:t>
      </w:r>
      <w:bookmarkEnd w:id="164"/>
      <w:r>
        <w:rPr>
          <w:rFonts w:ascii="宋体" w:hAnsi="宋体"/>
          <w:sz w:val="20"/>
          <w:szCs w:val="20"/>
          <w:lang w:val="zh-TW"/>
        </w:rPr>
        <w:t xml:space="preserve">、污水处理</w:t>
      </w:r>
      <w:r>
        <w:rPr>
          <w:rFonts w:hint="eastAsia" w:ascii="宋体" w:hAnsi="宋体"/>
          <w:sz w:val="20"/>
          <w:szCs w:val="20"/>
        </w:rPr>
        <w:t xml:space="preserve">出</w:t>
      </w:r>
      <w:r>
        <w:rPr>
          <w:rFonts w:ascii="宋体" w:hAnsi="宋体"/>
          <w:sz w:val="20"/>
          <w:szCs w:val="20"/>
          <w:lang w:val="zh-TW"/>
        </w:rPr>
        <w:t xml:space="preserve">水水质标准</w:t>
      </w:r>
      <w:r>
        <w:rPr>
          <w:rFonts w:hint="eastAsia" w:ascii="宋体" w:hAnsi="宋体"/>
          <w:sz w:val="20"/>
          <w:szCs w:val="20"/>
        </w:rPr>
        <w:t xml:space="preserve">：</w:t>
      </w:r>
      <w:r>
        <w:rPr>
          <w:rFonts w:hint="eastAsia" w:ascii="宋体" w:hAnsi="宋体" w:cs="黑体"/>
          <w:sz w:val="20"/>
          <w:szCs w:val="20"/>
        </w:rPr>
        <w:t xml:space="preserve">出水水质达到《南京江北新材料科技园企业污水排放管理规定》（宁新区新科办发[2020]73号）标准（详见合同附件1）</w:t>
      </w:r>
      <w:r/>
    </w:p>
    <w:p>
      <w:pPr>
        <w:ind w:firstLine="422"/>
        <w:spacing w:line="440" w:lineRule="exact"/>
        <w:shd w:val="clear" w:color="auto" w:fill="ffffff"/>
        <w:rPr>
          <w:rFonts w:ascii="宋体" w:hAnsi="宋体"/>
          <w:sz w:val="20"/>
        </w:rPr>
      </w:pPr>
      <w:r>
        <w:rPr>
          <w:rFonts w:ascii="宋体" w:hAnsi="宋体"/>
          <w:sz w:val="20"/>
          <w:szCs w:val="20"/>
        </w:rPr>
        <w:t xml:space="preserve">4</w:t>
      </w:r>
      <w:r>
        <w:rPr>
          <w:rFonts w:hint="eastAsia" w:ascii="宋体" w:hAnsi="宋体" w:cs="微软雅黑"/>
          <w:sz w:val="20"/>
          <w:szCs w:val="20"/>
        </w:rPr>
        <w:t xml:space="preserve">、处理工艺：物化</w:t>
      </w:r>
      <w:r>
        <w:rPr>
          <w:rFonts w:ascii="宋体" w:hAnsi="宋体"/>
          <w:sz w:val="20"/>
          <w:szCs w:val="20"/>
        </w:rPr>
        <w:t xml:space="preserve">+</w:t>
      </w:r>
      <w:r>
        <w:rPr>
          <w:rFonts w:hint="eastAsia" w:ascii="宋体" w:hAnsi="宋体" w:cs="微软雅黑"/>
          <w:sz w:val="20"/>
          <w:szCs w:val="20"/>
        </w:rPr>
        <w:t xml:space="preserve">生化法等</w:t>
      </w:r>
      <w:r/>
    </w:p>
    <w:p>
      <w:pPr>
        <w:ind w:firstLine="420"/>
        <w:jc w:val="left"/>
        <w:spacing w:line="440" w:lineRule="exact"/>
        <w:shd w:val="clear" w:color="auto" w:fill="ffffff"/>
        <w:rPr>
          <w:rFonts w:eastAsia="Calibri"/>
          <w:sz w:val="20"/>
          <w:lang w:val="zh-CN"/>
        </w:rPr>
      </w:pPr>
      <w:r>
        <w:rPr>
          <w:rFonts w:hint="eastAsia" w:ascii="微软雅黑" w:hAnsi="微软雅黑" w:eastAsia="微软雅黑" w:cs="微软雅黑"/>
          <w:b/>
          <w:bCs/>
          <w:sz w:val="20"/>
          <w:szCs w:val="20"/>
          <w:lang w:val="zh-CN"/>
        </w:rPr>
        <w:t xml:space="preserve">第</w:t>
      </w:r>
      <w:r>
        <w:rPr>
          <w:rFonts w:eastAsia="Calibri"/>
          <w:b/>
          <w:bCs/>
          <w:sz w:val="20"/>
          <w:szCs w:val="20"/>
          <w:lang w:val="zh-CN"/>
        </w:rPr>
        <w:t xml:space="preserve">二条合同总价款</w:t>
      </w:r>
      <w:r>
        <w:rPr>
          <w:rFonts w:eastAsia="Calibri"/>
          <w:sz w:val="20"/>
          <w:szCs w:val="20"/>
          <w:lang w:val="zh-CN"/>
        </w:rPr>
        <w:t xml:space="preserve"> </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本合同项下服务总价款为</w:t>
      </w:r>
      <w:r>
        <w:rPr>
          <w:rFonts w:eastAsia="Calibri"/>
          <w:sz w:val="20"/>
          <w:szCs w:val="20"/>
          <w:u w:val="single"/>
        </w:rPr>
        <w:t xml:space="preserve">    </w:t>
      </w:r>
      <w:r>
        <w:rPr>
          <w:rFonts w:hint="eastAsia" w:eastAsia="Calibri"/>
          <w:sz w:val="20"/>
          <w:szCs w:val="20"/>
          <w:u w:val="single"/>
        </w:rPr>
        <w:t xml:space="preserve">万</w:t>
      </w:r>
      <w:r>
        <w:rPr>
          <w:rFonts w:eastAsia="Calibri"/>
          <w:sz w:val="20"/>
          <w:szCs w:val="20"/>
          <w:u w:val="single"/>
        </w:rPr>
        <w:t xml:space="preserve">元（</w:t>
      </w:r>
      <w:r>
        <w:rPr>
          <w:rFonts w:hint="eastAsia"/>
          <w:sz w:val="20"/>
          <w:szCs w:val="20"/>
          <w:u w:val="single"/>
        </w:rPr>
        <w:t xml:space="preserve"> </w:t>
      </w:r>
      <w:r>
        <w:rPr>
          <w:sz w:val="20"/>
          <w:szCs w:val="20"/>
          <w:u w:val="single"/>
        </w:rPr>
        <w:t xml:space="preserve">   </w:t>
      </w:r>
      <w:r>
        <w:rPr>
          <w:rFonts w:hint="eastAsia" w:eastAsia="Calibri"/>
          <w:sz w:val="20"/>
          <w:szCs w:val="20"/>
          <w:u w:val="single"/>
        </w:rPr>
        <w:t xml:space="preserve">）</w:t>
      </w:r>
      <w:r>
        <w:rPr>
          <w:rFonts w:eastAsia="Calibri"/>
          <w:sz w:val="20"/>
          <w:szCs w:val="20"/>
          <w:u w:val="single"/>
          <w:lang w:val="zh-CN"/>
        </w:rPr>
        <w:t xml:space="preserve">人民币</w:t>
      </w:r>
      <w:r>
        <w:rPr>
          <w:rFonts w:eastAsia="Calibri"/>
          <w:sz w:val="20"/>
          <w:szCs w:val="20"/>
          <w:lang w:val="zh-CN"/>
        </w:rPr>
        <w:t xml:space="preserve">，分项价款在“分项报价表”中有明确规定</w:t>
      </w:r>
      <w:r>
        <w:rPr>
          <w:sz w:val="20"/>
          <w:szCs w:val="20"/>
          <w:lang w:val="zh-CN"/>
        </w:rPr>
        <w:t xml:space="preserve">。</w:t>
      </w:r>
      <w:r/>
    </w:p>
    <w:p>
      <w:pPr>
        <w:ind w:firstLine="420"/>
        <w:jc w:val="left"/>
        <w:spacing w:line="440" w:lineRule="exact"/>
        <w:shd w:val="clear" w:color="auto" w:fill="ffffff"/>
        <w:rPr>
          <w:rFonts w:eastAsia="Calibri"/>
          <w:sz w:val="20"/>
          <w:lang w:val="zh-TW"/>
        </w:rPr>
      </w:pPr>
      <w:r/>
      <w:bookmarkStart w:id="165" w:name="bookmark20"/>
      <w:r>
        <w:rPr>
          <w:rFonts w:eastAsia="Calibri"/>
          <w:sz w:val="20"/>
          <w:szCs w:val="20"/>
          <w:lang w:val="zh-TW"/>
        </w:rPr>
        <w:t xml:space="preserve">1</w:t>
      </w:r>
      <w:bookmarkEnd w:id="165"/>
      <w:r>
        <w:rPr>
          <w:rFonts w:eastAsia="Calibri"/>
          <w:sz w:val="20"/>
          <w:szCs w:val="20"/>
          <w:lang w:val="zh-TW"/>
        </w:rPr>
        <w:t xml:space="preserve">、甲方按照合同规定及时向乙方支付服务费用。</w:t>
      </w:r>
      <w:r/>
    </w:p>
    <w:p>
      <w:pPr>
        <w:ind w:firstLine="420"/>
        <w:jc w:val="left"/>
        <w:spacing w:line="440" w:lineRule="exact"/>
        <w:shd w:val="clear" w:color="auto" w:fill="ffffff"/>
        <w:rPr>
          <w:rFonts w:eastAsia="Calibri"/>
          <w:sz w:val="20"/>
        </w:rPr>
      </w:pPr>
      <w:r/>
      <w:bookmarkStart w:id="166" w:name="bookmark21"/>
      <w:r>
        <w:rPr>
          <w:rFonts w:eastAsia="Calibri"/>
          <w:sz w:val="20"/>
          <w:szCs w:val="20"/>
          <w:lang w:val="zh-TW"/>
        </w:rPr>
        <w:t xml:space="preserve">2</w:t>
      </w:r>
      <w:bookmarkEnd w:id="166"/>
      <w:r>
        <w:rPr>
          <w:rFonts w:eastAsia="Calibri"/>
          <w:sz w:val="20"/>
          <w:szCs w:val="20"/>
          <w:lang w:val="zh-TW"/>
        </w:rPr>
        <w:t xml:space="preserve">、乙方在运营期间</w:t>
      </w:r>
      <w:r>
        <w:rPr>
          <w:rFonts w:hint="eastAsia"/>
          <w:sz w:val="20"/>
          <w:szCs w:val="20"/>
          <w:lang w:val="zh-TW" w:eastAsia="zh-CN"/>
        </w:rPr>
        <w:t xml:space="preserve">，</w:t>
      </w:r>
      <w:r>
        <w:rPr>
          <w:rFonts w:eastAsia="Calibri"/>
          <w:sz w:val="20"/>
          <w:szCs w:val="20"/>
          <w:lang w:val="zh-TW"/>
        </w:rPr>
        <w:t xml:space="preserve">必须严格按污水处理站设备操作规程、安全操作规程进行操作，确保污水处理达标排放(污水处理不能超出设计规模及进水水质标准</w:t>
      </w:r>
      <w:r>
        <w:rPr>
          <w:rFonts w:eastAsia="Calibri"/>
          <w:sz w:val="20"/>
          <w:szCs w:val="20"/>
        </w:rPr>
        <w:t xml:space="preserve">)。</w:t>
      </w:r>
      <w:r/>
    </w:p>
    <w:p>
      <w:pPr>
        <w:ind w:firstLine="420"/>
        <w:jc w:val="left"/>
        <w:spacing w:line="440" w:lineRule="exact"/>
        <w:shd w:val="clear" w:color="auto" w:fill="ffffff"/>
        <w:rPr>
          <w:rFonts w:eastAsia="Calibri"/>
          <w:sz w:val="20"/>
        </w:rPr>
      </w:pPr>
      <w:r/>
      <w:bookmarkStart w:id="167" w:name="bookmark22"/>
      <w:r>
        <w:rPr>
          <w:rFonts w:eastAsia="Calibri"/>
          <w:sz w:val="20"/>
          <w:szCs w:val="20"/>
          <w:lang w:val="zh-TW"/>
        </w:rPr>
        <w:t xml:space="preserve">3</w:t>
      </w:r>
      <w:bookmarkEnd w:id="167"/>
      <w:r>
        <w:rPr>
          <w:rFonts w:eastAsia="Calibri"/>
          <w:sz w:val="20"/>
          <w:szCs w:val="20"/>
          <w:lang w:val="zh-TW"/>
        </w:rPr>
        <w:t xml:space="preserve">、污水处理站的运行日志、监测记录、维修记录、固体废弃物处理台账、污水排放记录表等必须由乙方详实记录并妥善保存，当合同期满后,完整移交给甲方。在运营期内，乙方有义务配合甲方做好上级部门的监督检查工作，并提供相关材料。</w:t>
      </w:r>
      <w:r/>
    </w:p>
    <w:p>
      <w:pPr>
        <w:ind w:firstLine="420"/>
        <w:jc w:val="left"/>
        <w:spacing w:line="440" w:lineRule="exact"/>
        <w:shd w:val="clear" w:color="auto" w:fill="ffffff"/>
        <w:rPr>
          <w:rFonts w:eastAsia="Calibri"/>
          <w:sz w:val="20"/>
          <w:lang w:val="zh-TW"/>
        </w:rPr>
      </w:pPr>
      <w:r>
        <w:rPr>
          <w:rFonts w:eastAsia="Calibri"/>
          <w:sz w:val="20"/>
          <w:szCs w:val="20"/>
        </w:rPr>
        <w:t xml:space="preserve">4</w:t>
      </w:r>
      <w:r>
        <w:rPr>
          <w:rFonts w:eastAsia="Calibri"/>
          <w:sz w:val="20"/>
          <w:szCs w:val="20"/>
          <w:lang w:val="zh-TW"/>
        </w:rPr>
        <w:t xml:space="preserve">、乙方承担污水站运维人员所产生的工资福利等费用。</w:t>
      </w:r>
      <w:r/>
    </w:p>
    <w:p>
      <w:pPr>
        <w:ind w:firstLine="420"/>
        <w:jc w:val="left"/>
        <w:spacing w:line="440" w:lineRule="exact"/>
        <w:shd w:val="clear" w:color="auto" w:fill="ffffff"/>
        <w:rPr>
          <w:rFonts w:eastAsia="Calibri"/>
          <w:sz w:val="20"/>
          <w:lang w:val="zh-TW"/>
        </w:rPr>
      </w:pPr>
      <w:r>
        <w:rPr>
          <w:rFonts w:eastAsia="Calibri"/>
          <w:sz w:val="20"/>
          <w:szCs w:val="20"/>
        </w:rPr>
        <w:t xml:space="preserve">5</w:t>
      </w:r>
      <w:r>
        <w:rPr>
          <w:rFonts w:eastAsia="Calibri"/>
          <w:sz w:val="20"/>
          <w:szCs w:val="20"/>
          <w:lang w:val="zh-TW"/>
        </w:rPr>
        <w:t xml:space="preserve">、乙方承担污水站安全生产责任。</w:t>
      </w:r>
      <w:r/>
    </w:p>
    <w:p>
      <w:pPr>
        <w:ind w:firstLine="420"/>
        <w:jc w:val="left"/>
        <w:spacing w:line="440" w:lineRule="exact"/>
        <w:shd w:val="clear" w:color="auto" w:fill="ffffff"/>
        <w:rPr>
          <w:rFonts w:eastAsia="Calibri"/>
          <w:sz w:val="20"/>
          <w:lang w:val="zh-TW"/>
        </w:rPr>
      </w:pPr>
      <w:r>
        <w:rPr>
          <w:rFonts w:eastAsia="Calibri"/>
          <w:sz w:val="20"/>
          <w:szCs w:val="20"/>
        </w:rPr>
        <w:t xml:space="preserve">6</w:t>
      </w:r>
      <w:r>
        <w:rPr>
          <w:rFonts w:eastAsia="Calibri"/>
          <w:sz w:val="20"/>
          <w:szCs w:val="20"/>
          <w:lang w:val="zh-TW"/>
        </w:rPr>
        <w:t xml:space="preserve">、乙方负责污水站</w:t>
      </w:r>
      <w:r>
        <w:rPr>
          <w:rFonts w:hint="eastAsia"/>
        </w:rPr>
        <w:t xml:space="preserve">及污水收集系统</w:t>
      </w:r>
      <w:r>
        <w:rPr>
          <w:rFonts w:eastAsia="Calibri"/>
          <w:sz w:val="20"/>
          <w:szCs w:val="20"/>
          <w:lang w:val="zh-TW"/>
        </w:rPr>
        <w:t xml:space="preserve">设施、设备、仪器、仪表的维护、保养、调试、突发故障维护维修等工作。中小型维修（市场价格在人民币2000元以内的配件及配品）由乙方承担；大型维修（市场价格超过人民币2000元的配件及配品），替换所需的配件及配品价格经甲方确认后，由甲方承担</w:t>
      </w:r>
      <w:r>
        <w:rPr>
          <w:rFonts w:hint="eastAsia"/>
        </w:rPr>
        <w:t xml:space="preserve">，具体费用以审计结算为准</w:t>
      </w:r>
      <w:r>
        <w:rPr>
          <w:rFonts w:eastAsia="Calibri"/>
          <w:sz w:val="20"/>
          <w:szCs w:val="20"/>
          <w:lang w:val="zh-TW"/>
        </w:rPr>
        <w:t xml:space="preserve">。</w:t>
      </w:r>
      <w:r/>
    </w:p>
    <w:p>
      <w:pPr>
        <w:ind w:firstLine="420"/>
        <w:jc w:val="left"/>
        <w:spacing w:line="440" w:lineRule="exact"/>
        <w:shd w:val="clear" w:color="auto" w:fill="ffffff"/>
        <w:rPr>
          <w:rFonts w:eastAsia="Calibri"/>
          <w:sz w:val="20"/>
          <w:lang w:val="zh-TW"/>
        </w:rPr>
      </w:pPr>
      <w:r>
        <w:rPr>
          <w:rFonts w:hint="eastAsia"/>
          <w:sz w:val="20"/>
          <w:szCs w:val="20"/>
          <w:lang w:val="en-US" w:eastAsia="zh-CN"/>
        </w:rPr>
        <w:t xml:space="preserve">7</w:t>
      </w:r>
      <w:r>
        <w:rPr>
          <w:rFonts w:eastAsia="Calibri"/>
          <w:sz w:val="20"/>
          <w:szCs w:val="20"/>
          <w:lang w:val="zh-TW"/>
        </w:rPr>
        <w:t xml:space="preserve">、以下费用由甲方承担：</w:t>
      </w:r>
      <w:r/>
    </w:p>
    <w:p>
      <w:pPr>
        <w:ind w:firstLine="420"/>
        <w:jc w:val="left"/>
        <w:spacing w:line="440" w:lineRule="exact"/>
        <w:shd w:val="clear" w:color="auto" w:fill="ffffff"/>
        <w:rPr>
          <w:rFonts w:eastAsia="Calibri"/>
          <w:sz w:val="20"/>
          <w:lang w:val="zh-TW"/>
        </w:rPr>
      </w:pPr>
      <w:r/>
      <w:bookmarkStart w:id="168" w:name="bookmark24"/>
      <w:r/>
      <w:bookmarkEnd w:id="168"/>
      <w:r>
        <w:rPr>
          <w:rFonts w:eastAsia="Calibri"/>
          <w:sz w:val="20"/>
          <w:szCs w:val="20"/>
          <w:lang w:val="zh-TW"/>
        </w:rPr>
        <w:t xml:space="preserve">（1）污泥处置费</w:t>
      </w:r>
      <w:r>
        <w:rPr>
          <w:rFonts w:eastAsia="Calibri"/>
          <w:sz w:val="20"/>
          <w:szCs w:val="20"/>
        </w:rPr>
        <w:t xml:space="preserve">等危废处置费用</w:t>
      </w:r>
      <w:r>
        <w:rPr>
          <w:rFonts w:eastAsia="Calibri"/>
          <w:sz w:val="20"/>
          <w:szCs w:val="20"/>
          <w:lang w:val="zh-TW"/>
        </w:rPr>
        <w:t xml:space="preserve">；</w:t>
      </w:r>
      <w:r/>
    </w:p>
    <w:p>
      <w:pPr>
        <w:ind w:firstLine="420"/>
        <w:jc w:val="left"/>
        <w:spacing w:line="440" w:lineRule="exact"/>
        <w:shd w:val="clear" w:color="auto" w:fill="ffffff"/>
        <w:rPr>
          <w:rFonts w:eastAsia="Calibri"/>
          <w:sz w:val="20"/>
          <w:lang w:val="zh-TW"/>
        </w:rPr>
      </w:pPr>
      <w:r/>
      <w:bookmarkStart w:id="169" w:name="bookmark25"/>
      <w:r/>
      <w:bookmarkEnd w:id="169"/>
      <w:r/>
      <w:bookmarkStart w:id="170" w:name="bookmark26"/>
      <w:r/>
      <w:bookmarkEnd w:id="170"/>
      <w:r>
        <w:rPr>
          <w:rFonts w:eastAsia="Calibri"/>
          <w:sz w:val="20"/>
          <w:szCs w:val="20"/>
          <w:lang w:val="zh-TW"/>
        </w:rPr>
        <w:t xml:space="preserve">（2）</w:t>
      </w:r>
      <w:r>
        <w:rPr>
          <w:rFonts w:eastAsia="Calibri"/>
          <w:sz w:val="20"/>
          <w:szCs w:val="20"/>
        </w:rPr>
        <w:t xml:space="preserve">电费、水费</w:t>
      </w:r>
      <w:r>
        <w:rPr>
          <w:rFonts w:eastAsia="Calibri"/>
          <w:sz w:val="20"/>
          <w:szCs w:val="20"/>
          <w:lang w:val="zh-TW"/>
        </w:rPr>
        <w:t xml:space="preserve">；</w:t>
      </w:r>
      <w:r/>
    </w:p>
    <w:p>
      <w:pPr>
        <w:ind w:firstLine="420"/>
        <w:jc w:val="left"/>
        <w:spacing w:line="440" w:lineRule="exact"/>
        <w:shd w:val="clear" w:color="auto" w:fill="ffffff"/>
        <w:rPr>
          <w:rFonts w:eastAsia="Calibri"/>
          <w:sz w:val="20"/>
          <w:lang w:val="zh-TW"/>
        </w:rPr>
      </w:pPr>
      <w:r>
        <w:rPr>
          <w:rFonts w:eastAsia="Calibri"/>
          <w:sz w:val="20"/>
          <w:szCs w:val="20"/>
          <w:lang w:val="zh-TW"/>
        </w:rPr>
        <w:t xml:space="preserve">（3）</w:t>
      </w:r>
      <w:r>
        <w:rPr>
          <w:rFonts w:hint="eastAsia" w:ascii="宋体" w:hAnsi="宋体" w:cs="宋体"/>
          <w:sz w:val="20"/>
          <w:szCs w:val="20"/>
          <w:lang w:val="zh-TW"/>
        </w:rPr>
        <w:t xml:space="preserve">大型维修（市场价格超过人民币</w:t>
      </w:r>
      <w:r>
        <w:rPr>
          <w:rFonts w:hint="eastAsia" w:eastAsia="Calibri"/>
          <w:sz w:val="20"/>
          <w:szCs w:val="20"/>
          <w:lang w:val="zh-TW"/>
        </w:rPr>
        <w:t xml:space="preserve">2000</w:t>
      </w:r>
      <w:r>
        <w:rPr>
          <w:rFonts w:hint="eastAsia" w:ascii="宋体" w:hAnsi="宋体" w:cs="宋体"/>
          <w:sz w:val="20"/>
          <w:szCs w:val="20"/>
          <w:lang w:val="zh-TW"/>
        </w:rPr>
        <w:t xml:space="preserve">元的配件及配品等），以及系统设备定期更换费用（如风机：</w:t>
      </w:r>
      <w:r>
        <w:rPr>
          <w:rFonts w:hint="eastAsia" w:eastAsia="Calibri"/>
          <w:sz w:val="20"/>
          <w:szCs w:val="20"/>
          <w:lang w:val="zh-TW"/>
        </w:rPr>
        <w:t xml:space="preserve">5</w:t>
      </w:r>
      <w:r>
        <w:rPr>
          <w:rFonts w:hint="eastAsia" w:ascii="宋体" w:hAnsi="宋体" w:cs="宋体"/>
          <w:sz w:val="20"/>
          <w:szCs w:val="20"/>
          <w:lang w:val="zh-TW"/>
        </w:rPr>
        <w:t xml:space="preserve">年；生物挂膜填料：</w:t>
      </w:r>
      <w:r>
        <w:rPr>
          <w:rFonts w:hint="eastAsia" w:eastAsia="Calibri"/>
          <w:sz w:val="20"/>
          <w:szCs w:val="20"/>
          <w:lang w:val="zh-TW"/>
        </w:rPr>
        <w:t xml:space="preserve">5</w:t>
      </w:r>
      <w:r>
        <w:rPr>
          <w:rFonts w:hint="eastAsia" w:ascii="宋体" w:hAnsi="宋体" w:cs="宋体"/>
          <w:sz w:val="20"/>
          <w:szCs w:val="20"/>
          <w:lang w:val="zh-TW"/>
        </w:rPr>
        <w:t xml:space="preserve">年；曝气罗茨风机：</w:t>
      </w:r>
      <w:r>
        <w:rPr>
          <w:rFonts w:hint="eastAsia" w:eastAsia="Calibri"/>
          <w:sz w:val="20"/>
          <w:szCs w:val="20"/>
          <w:lang w:val="zh-TW"/>
        </w:rPr>
        <w:t xml:space="preserve">5</w:t>
      </w:r>
      <w:r>
        <w:rPr>
          <w:rFonts w:hint="eastAsia" w:ascii="宋体" w:hAnsi="宋体" w:cs="宋体"/>
          <w:sz w:val="20"/>
          <w:szCs w:val="20"/>
          <w:lang w:val="zh-TW"/>
        </w:rPr>
        <w:t xml:space="preserve">年；微电解铁碳填料、斜管填料：</w:t>
      </w:r>
      <w:r>
        <w:rPr>
          <w:rFonts w:hint="eastAsia" w:eastAsia="Calibri"/>
          <w:sz w:val="20"/>
          <w:szCs w:val="20"/>
          <w:lang w:val="zh-TW"/>
        </w:rPr>
        <w:t xml:space="preserve">2</w:t>
      </w:r>
      <w:r>
        <w:rPr>
          <w:rFonts w:hint="eastAsia" w:ascii="宋体" w:hAnsi="宋体" w:cs="宋体"/>
          <w:sz w:val="20"/>
          <w:szCs w:val="20"/>
          <w:lang w:val="zh-TW"/>
        </w:rPr>
        <w:t xml:space="preserve">年；除臭装置填料：</w:t>
      </w:r>
      <w:r>
        <w:rPr>
          <w:rFonts w:hint="eastAsia" w:eastAsia="Calibri"/>
          <w:sz w:val="20"/>
          <w:szCs w:val="20"/>
          <w:lang w:val="zh-TW"/>
        </w:rPr>
        <w:t xml:space="preserve">2</w:t>
      </w:r>
      <w:r>
        <w:rPr>
          <w:rFonts w:hint="eastAsia" w:ascii="宋体" w:hAnsi="宋体" w:cs="宋体"/>
          <w:sz w:val="20"/>
          <w:szCs w:val="20"/>
          <w:lang w:val="zh-TW"/>
        </w:rPr>
        <w:t xml:space="preserve">年等。具体以设备清单说明为准）等。</w:t>
      </w:r>
      <w:r/>
    </w:p>
    <w:p>
      <w:pPr>
        <w:ind w:firstLine="420"/>
        <w:jc w:val="left"/>
        <w:spacing w:line="440" w:lineRule="exact"/>
        <w:shd w:val="clear" w:color="auto" w:fill="ffffff"/>
        <w:rPr>
          <w:sz w:val="20"/>
          <w:szCs w:val="20"/>
          <w:lang w:val="zh-TW"/>
        </w:rPr>
      </w:pPr>
      <w:r>
        <w:rPr>
          <w:rFonts w:eastAsia="Calibri"/>
          <w:sz w:val="20"/>
          <w:szCs w:val="20"/>
          <w:lang w:val="zh-TW"/>
        </w:rPr>
        <w:t xml:space="preserve">（4）污水处理厂收取的污水排放费。</w:t>
      </w:r>
      <w:r/>
    </w:p>
    <w:p>
      <w:pPr>
        <w:ind w:firstLine="420"/>
        <w:jc w:val="left"/>
        <w:spacing w:line="440" w:lineRule="exact"/>
        <w:shd w:val="clear" w:color="auto" w:fill="ffffff"/>
        <w:rPr>
          <w:lang w:val="zh-TW"/>
        </w:rPr>
      </w:pPr>
      <w:r>
        <w:rPr>
          <w:rFonts w:hint="eastAsia" w:ascii="宋体" w:hAnsi="宋体" w:cs="宋体"/>
          <w:sz w:val="20"/>
          <w:szCs w:val="20"/>
          <w:lang w:val="zh-TW"/>
        </w:rPr>
        <w:t xml:space="preserve">（</w:t>
      </w:r>
      <w:r>
        <w:rPr>
          <w:rFonts w:eastAsia="PMingLiU"/>
          <w:sz w:val="20"/>
          <w:szCs w:val="20"/>
          <w:lang w:val="zh-TW"/>
        </w:rPr>
        <w:t xml:space="preserve">5</w:t>
      </w:r>
      <w:r>
        <w:rPr>
          <w:rFonts w:hint="eastAsia" w:ascii="宋体" w:hAnsi="宋体" w:cs="宋体"/>
          <w:sz w:val="20"/>
          <w:szCs w:val="20"/>
          <w:lang w:val="zh-TW"/>
        </w:rPr>
        <w:t xml:space="preserve">）以当天次进</w:t>
      </w:r>
      <w:r>
        <w:rPr>
          <w:rFonts w:eastAsia="Calibri"/>
          <w:sz w:val="20"/>
          <w:szCs w:val="20"/>
        </w:rPr>
        <w:t xml:space="preserve">60</w:t>
      </w:r>
      <w:r>
        <w:rPr>
          <w:rFonts w:hint="eastAsia" w:ascii="宋体" w:hAnsi="宋体" w:cs="宋体"/>
          <w:sz w:val="20"/>
          <w:szCs w:val="20"/>
          <w:lang w:val="zh-TW"/>
        </w:rPr>
        <w:t xml:space="preserve">吨实验室废水计</w:t>
      </w:r>
      <w:r>
        <w:rPr>
          <w:rFonts w:hint="eastAsia"/>
          <w:sz w:val="20"/>
          <w:szCs w:val="20"/>
          <w:lang w:eastAsia="zh-CN"/>
        </w:rPr>
        <w:t xml:space="preserve">：</w:t>
      </w:r>
      <w:r>
        <w:rPr>
          <w:rFonts w:hint="eastAsia" w:ascii="宋体" w:hAnsi="宋体" w:cs="宋体"/>
          <w:sz w:val="20"/>
          <w:szCs w:val="20"/>
          <w:lang w:val="zh-TW"/>
        </w:rPr>
        <w:t xml:space="preserve">如果进水氨氮及总氮浓度低于</w:t>
      </w:r>
      <w:r>
        <w:rPr>
          <w:rFonts w:eastAsia="Calibri"/>
          <w:sz w:val="20"/>
          <w:szCs w:val="20"/>
          <w:lang w:val="zh-TW"/>
        </w:rPr>
        <w:t xml:space="preserve">100</w:t>
      </w:r>
      <w:r>
        <w:rPr>
          <w:rFonts w:hint="eastAsia" w:ascii="宋体" w:hAnsi="宋体" w:cs="宋体"/>
          <w:sz w:val="20"/>
          <w:szCs w:val="20"/>
          <w:lang w:val="zh-TW"/>
        </w:rPr>
        <w:t xml:space="preserve">，不另外收费。如果进水氨氮或总氮浓度</w:t>
      </w:r>
      <w:r>
        <w:rPr>
          <w:rFonts w:eastAsia="Calibri"/>
          <w:sz w:val="20"/>
          <w:szCs w:val="20"/>
          <w:lang w:val="zh-TW"/>
        </w:rPr>
        <w:t xml:space="preserve">100-300</w:t>
      </w:r>
      <w:r>
        <w:rPr>
          <w:rFonts w:hint="eastAsia" w:ascii="宋体" w:hAnsi="宋体" w:cs="宋体"/>
          <w:sz w:val="20"/>
          <w:szCs w:val="20"/>
          <w:lang w:val="zh-TW"/>
        </w:rPr>
        <w:t xml:space="preserve">，每吨水增加药剂等投入</w:t>
      </w:r>
      <w:r>
        <w:rPr>
          <w:rFonts w:eastAsia="Calibri"/>
          <w:sz w:val="20"/>
          <w:szCs w:val="20"/>
          <w:lang w:val="zh-TW"/>
        </w:rPr>
        <w:t xml:space="preserve">50</w:t>
      </w:r>
      <w:r>
        <w:rPr>
          <w:rFonts w:hint="eastAsia" w:ascii="宋体" w:hAnsi="宋体" w:cs="宋体"/>
          <w:sz w:val="20"/>
          <w:szCs w:val="20"/>
          <w:lang w:val="zh-TW"/>
        </w:rPr>
        <w:t xml:space="preserve">元，共计</w:t>
      </w:r>
      <w:r>
        <w:rPr>
          <w:rFonts w:eastAsia="Calibri"/>
          <w:sz w:val="20"/>
          <w:szCs w:val="20"/>
        </w:rPr>
        <w:t xml:space="preserve">3</w:t>
      </w:r>
      <w:r>
        <w:rPr>
          <w:rFonts w:eastAsia="Calibri"/>
          <w:sz w:val="20"/>
          <w:szCs w:val="20"/>
          <w:lang w:val="zh-TW"/>
        </w:rPr>
        <w:t xml:space="preserve">000</w:t>
      </w:r>
      <w:r>
        <w:rPr>
          <w:rFonts w:hint="eastAsia" w:ascii="宋体" w:hAnsi="宋体" w:cs="宋体"/>
          <w:sz w:val="20"/>
          <w:szCs w:val="20"/>
          <w:lang w:val="zh-TW"/>
        </w:rPr>
        <w:t xml:space="preserve">元。如果进水氨氮或总氮浓度</w:t>
      </w:r>
      <w:r>
        <w:rPr>
          <w:rFonts w:eastAsia="Calibri"/>
          <w:sz w:val="20"/>
          <w:szCs w:val="20"/>
          <w:lang w:val="zh-TW"/>
        </w:rPr>
        <w:t xml:space="preserve">300</w:t>
      </w:r>
      <w:r>
        <w:rPr>
          <w:rFonts w:hint="eastAsia" w:ascii="宋体" w:hAnsi="宋体" w:cs="宋体"/>
          <w:sz w:val="20"/>
          <w:szCs w:val="20"/>
          <w:lang w:val="zh-TW"/>
        </w:rPr>
        <w:t xml:space="preserve">以上，每吨水增加药剂等投入</w:t>
      </w:r>
      <w:r>
        <w:rPr>
          <w:rFonts w:eastAsia="Calibri"/>
          <w:sz w:val="20"/>
          <w:szCs w:val="20"/>
          <w:lang w:val="zh-TW"/>
        </w:rPr>
        <w:t xml:space="preserve">80</w:t>
      </w:r>
      <w:r>
        <w:rPr>
          <w:rFonts w:hint="eastAsia" w:ascii="宋体" w:hAnsi="宋体" w:cs="宋体"/>
          <w:sz w:val="20"/>
          <w:szCs w:val="20"/>
          <w:lang w:val="zh-TW"/>
        </w:rPr>
        <w:t xml:space="preserve">元，共计</w:t>
      </w:r>
      <w:r>
        <w:rPr>
          <w:rFonts w:eastAsia="Calibri"/>
          <w:sz w:val="20"/>
          <w:szCs w:val="20"/>
        </w:rPr>
        <w:t xml:space="preserve">48</w:t>
      </w:r>
      <w:r>
        <w:rPr>
          <w:rFonts w:eastAsia="Calibri"/>
          <w:sz w:val="20"/>
          <w:szCs w:val="20"/>
          <w:lang w:val="zh-TW"/>
        </w:rPr>
        <w:t xml:space="preserve">00</w:t>
      </w:r>
      <w:r>
        <w:rPr>
          <w:rFonts w:hint="eastAsia" w:ascii="宋体" w:hAnsi="宋体" w:cs="宋体"/>
          <w:sz w:val="20"/>
          <w:szCs w:val="20"/>
          <w:lang w:val="zh-TW"/>
        </w:rPr>
        <w:t xml:space="preserve">元。</w:t>
      </w:r>
      <w:r/>
    </w:p>
    <w:p>
      <w:pPr>
        <w:ind w:firstLine="392"/>
        <w:spacing w:line="440" w:lineRule="exact"/>
        <w:shd w:val="clear" w:color="auto" w:fill="ffffff"/>
        <w:rPr>
          <w:rFonts w:eastAsia="Calibri"/>
          <w:sz w:val="20"/>
          <w:lang w:val="zh-CN"/>
        </w:rPr>
      </w:pPr>
      <w:r>
        <w:rPr>
          <w:rFonts w:eastAsia="Calibri"/>
          <w:b/>
          <w:bCs/>
          <w:sz w:val="20"/>
          <w:szCs w:val="20"/>
          <w:lang w:val="zh-CN"/>
        </w:rPr>
        <w:t xml:space="preserve">第三条 组成本合同的有关文件</w:t>
      </w:r>
      <w:r>
        <w:rPr>
          <w:rFonts w:eastAsia="Calibri"/>
          <w:sz w:val="20"/>
          <w:szCs w:val="20"/>
          <w:lang w:val="zh-CN"/>
        </w:rPr>
        <w:t xml:space="preserve">  </w:t>
      </w:r>
      <w:r/>
    </w:p>
    <w:p>
      <w:pPr>
        <w:ind w:firstLine="392"/>
        <w:spacing w:line="440" w:lineRule="exact"/>
        <w:shd w:val="clear" w:color="auto" w:fill="ffffff"/>
        <w:rPr>
          <w:rFonts w:eastAsia="Calibri"/>
          <w:sz w:val="20"/>
          <w:lang w:val="zh-CN"/>
        </w:rPr>
      </w:pPr>
      <w:r>
        <w:rPr>
          <w:rFonts w:eastAsia="Calibri"/>
          <w:sz w:val="20"/>
          <w:szCs w:val="20"/>
          <w:lang w:val="zh-CN"/>
        </w:rPr>
        <w:t xml:space="preserve">招标文件和有关附件是本合同不可分割的组成部分，与本合同具有同等法律效力</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b/>
          <w:bCs/>
          <w:sz w:val="20"/>
          <w:szCs w:val="20"/>
          <w:lang w:val="zh-CN"/>
        </w:rPr>
        <w:t xml:space="preserve">第四条 权利保</w:t>
      </w:r>
      <w:r>
        <w:rPr>
          <w:b/>
          <w:bCs/>
          <w:sz w:val="20"/>
          <w:szCs w:val="20"/>
          <w:lang w:val="zh-CN"/>
        </w:rPr>
        <w:t xml:space="preserve">证</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乙方应保证为甲方提供货物和服务任何一部分时不受第三方提出侵犯其专利权、版权、商标权或其他权利的起诉。一旦出现侵权，乙方应承担全部责任</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b/>
          <w:bCs/>
          <w:sz w:val="20"/>
          <w:szCs w:val="20"/>
          <w:lang w:val="zh-CN"/>
        </w:rPr>
        <w:t xml:space="preserve">第五条 质量保</w:t>
      </w:r>
      <w:r>
        <w:rPr>
          <w:b/>
          <w:bCs/>
          <w:sz w:val="20"/>
          <w:szCs w:val="20"/>
          <w:lang w:val="zh-CN"/>
        </w:rPr>
        <w:t xml:space="preserve">证</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乙方提供的服务必须全部达到采购文件各项要求，国家或行业有规定的，还要符合相应规定</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b/>
          <w:bCs/>
          <w:sz w:val="20"/>
          <w:szCs w:val="20"/>
          <w:lang w:val="zh-CN"/>
        </w:rPr>
        <w:t xml:space="preserve">第六条 交付使用和验</w:t>
      </w:r>
      <w:r>
        <w:rPr>
          <w:b/>
          <w:bCs/>
          <w:sz w:val="20"/>
          <w:szCs w:val="20"/>
          <w:lang w:val="zh-CN"/>
        </w:rPr>
        <w:t xml:space="preserve">收</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1、乙方应当在合同签订后</w:t>
      </w:r>
      <w:r>
        <w:rPr>
          <w:rFonts w:eastAsia="Calibri"/>
          <w:sz w:val="20"/>
          <w:szCs w:val="20"/>
        </w:rPr>
        <w:t xml:space="preserve">1年</w:t>
      </w:r>
      <w:r>
        <w:rPr>
          <w:rFonts w:eastAsia="Calibri"/>
          <w:sz w:val="20"/>
          <w:szCs w:val="20"/>
          <w:lang w:val="zh-CN"/>
        </w:rPr>
        <w:t xml:space="preserve">内完成采购文件规定的项目并交付甲方使用。采购文件有约定的，从其约定</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2、甲方自行组织或视情邀请相关专家或国家认可的质量检测机构参加验收，乙方提供的服务不符合采购文件和合同规定的，甲方有权拒收，</w:t>
      </w:r>
      <w:r>
        <w:rPr>
          <w:rFonts w:hint="eastAsia" w:eastAsia="Calibri"/>
          <w:sz w:val="20"/>
          <w:szCs w:val="20"/>
          <w:lang w:val="zh-CN"/>
        </w:rPr>
        <w:t xml:space="preserve">同时乙方</w:t>
      </w:r>
      <w:r>
        <w:rPr>
          <w:rFonts w:eastAsia="Calibri"/>
          <w:sz w:val="20"/>
          <w:szCs w:val="20"/>
          <w:lang w:val="zh-CN"/>
        </w:rPr>
        <w:t xml:space="preserve">承担验收费用等</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b/>
          <w:bCs/>
          <w:sz w:val="20"/>
          <w:szCs w:val="20"/>
          <w:lang w:val="zh-CN"/>
        </w:rPr>
        <w:t xml:space="preserve">第</w:t>
      </w:r>
      <w:r>
        <w:rPr>
          <w:rFonts w:eastAsia="Calibri"/>
          <w:b/>
          <w:bCs/>
          <w:sz w:val="20"/>
          <w:szCs w:val="20"/>
        </w:rPr>
        <w:t xml:space="preserve">七</w:t>
      </w:r>
      <w:r>
        <w:rPr>
          <w:rFonts w:eastAsia="Calibri"/>
          <w:b/>
          <w:bCs/>
          <w:sz w:val="20"/>
          <w:szCs w:val="20"/>
          <w:lang w:val="zh-CN"/>
        </w:rPr>
        <w:t xml:space="preserve">条 合同款支</w:t>
      </w:r>
      <w:r>
        <w:rPr>
          <w:b/>
          <w:bCs/>
          <w:sz w:val="20"/>
          <w:szCs w:val="20"/>
          <w:lang w:val="zh-CN"/>
        </w:rPr>
        <w:t xml:space="preserve">付</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1、本合同项下所有款项均以人民币支付</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2、本合同项下的采购资金由甲方自行支付，乙方向甲方开具发票</w:t>
      </w:r>
      <w:r>
        <w:rPr>
          <w:sz w:val="20"/>
          <w:szCs w:val="20"/>
          <w:lang w:val="zh-CN"/>
        </w:rPr>
        <w:t xml:space="preserve">。</w:t>
      </w:r>
      <w:r/>
    </w:p>
    <w:p>
      <w:pPr>
        <w:ind w:firstLine="420"/>
        <w:spacing w:line="440" w:lineRule="exact"/>
        <w:shd w:val="clear" w:color="auto" w:fill="ffffff"/>
        <w:rPr>
          <w:rFonts w:ascii="宋体" w:hAnsi="宋体"/>
          <w:sz w:val="20"/>
          <w:lang w:val="zh-CN"/>
        </w:rPr>
      </w:pPr>
      <w:r>
        <w:rPr>
          <w:rFonts w:ascii="宋体" w:hAnsi="宋体"/>
          <w:sz w:val="20"/>
          <w:szCs w:val="20"/>
          <w:lang w:val="zh-CN"/>
        </w:rPr>
        <w:t xml:space="preserve">3、付款方式：</w:t>
      </w:r>
      <w:r>
        <w:rPr>
          <w:rFonts w:hint="eastAsia" w:ascii="宋体" w:hAnsi="宋体" w:cs="微软雅黑"/>
          <w:sz w:val="20"/>
          <w:szCs w:val="20"/>
          <w:lang w:val="zh-CN"/>
        </w:rPr>
        <w:t xml:space="preserve">合同签订后乙方正式启动运维服务后的</w:t>
      </w:r>
      <w:r>
        <w:rPr>
          <w:rFonts w:hint="eastAsia" w:ascii="宋体" w:hAnsi="宋体"/>
          <w:sz w:val="20"/>
          <w:szCs w:val="20"/>
          <w:lang w:val="zh-CN"/>
        </w:rPr>
        <w:t xml:space="preserve">(</w:t>
      </w:r>
      <w:r>
        <w:rPr>
          <w:rFonts w:hint="eastAsia" w:ascii="宋体" w:hAnsi="宋体" w:cs="微软雅黑"/>
          <w:sz w:val="20"/>
          <w:szCs w:val="20"/>
          <w:lang w:val="zh-CN"/>
        </w:rPr>
        <w:t xml:space="preserve">以交接单日期为准）</w:t>
      </w:r>
      <w:r>
        <w:rPr>
          <w:rFonts w:hint="eastAsia" w:ascii="宋体" w:hAnsi="宋体"/>
          <w:sz w:val="20"/>
          <w:szCs w:val="20"/>
          <w:lang w:val="zh-CN"/>
        </w:rPr>
        <w:t xml:space="preserve">30</w:t>
      </w:r>
      <w:r>
        <w:rPr>
          <w:rFonts w:hint="eastAsia" w:ascii="宋体" w:hAnsi="宋体" w:cs="微软雅黑"/>
          <w:sz w:val="20"/>
          <w:szCs w:val="20"/>
          <w:lang w:val="zh-CN"/>
        </w:rPr>
        <w:t xml:space="preserve">天内甲方支付第一笔费用，费用为合同价款的</w:t>
      </w:r>
      <w:r>
        <w:rPr>
          <w:rFonts w:hint="eastAsia" w:ascii="宋体" w:hAnsi="宋体"/>
          <w:sz w:val="20"/>
          <w:szCs w:val="20"/>
          <w:lang w:val="zh-CN"/>
        </w:rPr>
        <w:t xml:space="preserve">30%</w:t>
      </w:r>
      <w:r>
        <w:rPr>
          <w:rFonts w:hint="eastAsia" w:ascii="宋体" w:hAnsi="宋体" w:cs="微软雅黑"/>
          <w:sz w:val="20"/>
          <w:szCs w:val="20"/>
          <w:lang w:val="zh-CN"/>
        </w:rPr>
        <w:t xml:space="preserve">；乙方运维满半年后，支付第二笔费用，费用为合同价款</w:t>
      </w:r>
      <w:r>
        <w:rPr>
          <w:rFonts w:hint="eastAsia" w:ascii="宋体" w:hAnsi="宋体"/>
          <w:sz w:val="20"/>
          <w:szCs w:val="20"/>
          <w:lang w:val="zh-CN"/>
        </w:rPr>
        <w:t xml:space="preserve">30%</w:t>
      </w:r>
      <w:r>
        <w:rPr>
          <w:rFonts w:hint="eastAsia" w:ascii="宋体" w:hAnsi="宋体" w:cs="微软雅黑"/>
          <w:sz w:val="20"/>
          <w:szCs w:val="20"/>
          <w:lang w:val="zh-CN"/>
        </w:rPr>
        <w:t xml:space="preserve">；剩余合同价款</w:t>
      </w:r>
      <w:r>
        <w:rPr>
          <w:rFonts w:hint="eastAsia" w:ascii="宋体" w:hAnsi="宋体"/>
          <w:sz w:val="20"/>
          <w:szCs w:val="20"/>
          <w:lang w:val="zh-CN"/>
        </w:rPr>
        <w:t xml:space="preserve">40%</w:t>
      </w:r>
      <w:r>
        <w:rPr>
          <w:rFonts w:hint="eastAsia" w:ascii="宋体" w:hAnsi="宋体" w:cs="微软雅黑"/>
          <w:sz w:val="20"/>
          <w:szCs w:val="20"/>
          <w:lang w:val="zh-CN"/>
        </w:rPr>
        <w:t xml:space="preserve">费用，待乙方运营期满提供年度台账及运维总结报告并经甲方认可后，由甲方付清。甲方付款前，乙方应向甲方开具等额增值税普通发票。否则，甲方有权拒绝付款</w:t>
      </w:r>
      <w:r>
        <w:rPr>
          <w:rFonts w:ascii="宋体" w:hAnsi="宋体"/>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b/>
          <w:bCs/>
          <w:sz w:val="20"/>
          <w:szCs w:val="20"/>
          <w:lang w:val="zh-CN"/>
        </w:rPr>
        <w:t xml:space="preserve">第</w:t>
      </w:r>
      <w:r>
        <w:rPr>
          <w:rFonts w:eastAsia="Calibri"/>
          <w:b/>
          <w:bCs/>
          <w:sz w:val="20"/>
          <w:szCs w:val="20"/>
        </w:rPr>
        <w:t xml:space="preserve">八</w:t>
      </w:r>
      <w:r>
        <w:rPr>
          <w:rFonts w:eastAsia="Calibri"/>
          <w:b/>
          <w:bCs/>
          <w:sz w:val="20"/>
          <w:szCs w:val="20"/>
          <w:lang w:val="zh-CN"/>
        </w:rPr>
        <w:t xml:space="preserve">条 违约责任  </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1、甲方无正当理由拒绝验收或拒付款的，甲方向乙方偿付合同总价的5%违约金</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2、甲方未按合同规定的期限向乙方支付合同款的，每逾期1天甲方向乙方偿付欠款总额的5‰滞纳金，但累计滞纳金总额不超过欠款总额的5% </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3、如乙方不能按期交付服务的，甲方有权扣留全部履约保证金；同时乙方应向甲方支付合同总价5%的违约金</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sz w:val="20"/>
          <w:szCs w:val="20"/>
        </w:rPr>
        <w:t xml:space="preserve">4</w:t>
      </w:r>
      <w:r>
        <w:rPr>
          <w:rFonts w:eastAsia="Calibri"/>
          <w:sz w:val="20"/>
          <w:szCs w:val="20"/>
          <w:lang w:val="zh-CN"/>
        </w:rPr>
        <w:t xml:space="preserve">、乙方所交付的服务不符合合同规定的，甲方有权拒收。甲方拒收的，乙方应向甲方支付合同总款5%的违约金</w:t>
      </w:r>
      <w:r>
        <w:rPr>
          <w:sz w:val="20"/>
          <w:szCs w:val="20"/>
          <w:lang w:val="zh-CN"/>
        </w:rPr>
        <w:t xml:space="preserve">。</w:t>
      </w:r>
      <w:r/>
    </w:p>
    <w:p>
      <w:pPr>
        <w:ind w:firstLine="420"/>
        <w:jc w:val="left"/>
        <w:spacing w:line="440" w:lineRule="exact"/>
        <w:shd w:val="clear" w:color="auto" w:fill="ffffff"/>
        <w:rPr>
          <w:rFonts w:eastAsia="黑体"/>
          <w:sz w:val="20"/>
          <w:lang w:val="zh-CN"/>
        </w:rPr>
      </w:pPr>
      <w:r>
        <w:rPr>
          <w:rFonts w:eastAsia="Calibri"/>
          <w:sz w:val="20"/>
          <w:szCs w:val="20"/>
        </w:rPr>
        <w:t xml:space="preserve">5</w:t>
      </w:r>
      <w:r>
        <w:rPr>
          <w:rFonts w:eastAsia="Calibri"/>
          <w:sz w:val="20"/>
          <w:szCs w:val="20"/>
          <w:lang w:val="zh-CN"/>
        </w:rPr>
        <w:t xml:space="preserve">、乙方在承担上述3-</w:t>
      </w:r>
      <w:r>
        <w:rPr>
          <w:rFonts w:eastAsia="Calibri"/>
          <w:sz w:val="20"/>
          <w:szCs w:val="20"/>
        </w:rPr>
        <w:t xml:space="preserve">4</w:t>
      </w:r>
      <w:r>
        <w:rPr>
          <w:rFonts w:eastAsia="Calibri"/>
          <w:sz w:val="20"/>
          <w:szCs w:val="20"/>
          <w:lang w:val="zh-CN"/>
        </w:rPr>
        <w:t xml:space="preserve">款一项或多项违约责任后，仍应继续履行合同规定的义务（甲方解除合同的除外）。甲方未能及时追究乙方的任何一项违约责任并不表明甲方放弃追究乙方该项或其他违约责任</w:t>
      </w:r>
      <w:r>
        <w:rPr>
          <w:sz w:val="20"/>
          <w:szCs w:val="20"/>
          <w:lang w:val="zh-CN"/>
        </w:rPr>
        <w:t xml:space="preserve">。</w:t>
      </w:r>
      <w:r/>
    </w:p>
    <w:p>
      <w:pPr>
        <w:ind w:firstLine="420"/>
        <w:jc w:val="left"/>
        <w:spacing w:line="440" w:lineRule="exact"/>
        <w:shd w:val="clear" w:color="auto" w:fill="ffffff"/>
        <w:rPr>
          <w:sz w:val="20"/>
          <w:lang w:val="zh-CN"/>
        </w:rPr>
      </w:pPr>
      <w:r>
        <w:rPr>
          <w:rFonts w:eastAsia="Calibri"/>
          <w:sz w:val="20"/>
          <w:szCs w:val="20"/>
        </w:rPr>
        <w:t xml:space="preserve">6</w:t>
      </w:r>
      <w:r>
        <w:rPr>
          <w:rFonts w:eastAsia="Calibri"/>
          <w:sz w:val="20"/>
          <w:szCs w:val="20"/>
          <w:lang w:val="zh-CN"/>
        </w:rPr>
        <w:t xml:space="preserve">、乙方投标属虚假承诺，或经权威部门监测提供的服务不能满足招标文件要求，或是由于乙方的过错造成合同无法继续履行的，乙方应退还已支付的服务费，并向甲方支付不少于合同总价30%赔偿金</w:t>
      </w:r>
      <w:r>
        <w:rPr>
          <w:sz w:val="20"/>
          <w:szCs w:val="20"/>
          <w:lang w:val="zh-CN"/>
        </w:rPr>
        <w:t xml:space="preserve">。</w:t>
      </w:r>
      <w:r/>
    </w:p>
    <w:p>
      <w:pPr>
        <w:ind w:firstLine="420"/>
        <w:jc w:val="left"/>
        <w:spacing w:line="440" w:lineRule="exact"/>
        <w:shd w:val="clear" w:color="auto" w:fill="ffffff"/>
        <w:rPr>
          <w:rFonts w:eastAsia="Calibri"/>
          <w:sz w:val="20"/>
          <w:lang w:val="zh-TW"/>
        </w:rPr>
      </w:pPr>
      <w:r>
        <w:rPr>
          <w:sz w:val="20"/>
          <w:szCs w:val="20"/>
        </w:rPr>
        <w:t xml:space="preserve">7</w:t>
      </w:r>
      <w:r>
        <w:rPr>
          <w:rFonts w:eastAsia="Calibri"/>
          <w:sz w:val="20"/>
          <w:szCs w:val="20"/>
          <w:lang w:val="zh-TW"/>
        </w:rPr>
        <w:t xml:space="preserve">、乙方运营期间保证甲方的设备设施正常运行，严格按照处理工艺执行,保证污水处理达标。如因乙方原因造成损坏，须在甲方规定的时间内整改，费用由乙方承担。</w:t>
      </w:r>
      <w:r/>
    </w:p>
    <w:p>
      <w:pPr>
        <w:ind w:firstLine="420"/>
        <w:jc w:val="left"/>
        <w:spacing w:line="440" w:lineRule="exact"/>
        <w:shd w:val="clear" w:color="auto" w:fill="ffffff"/>
        <w:rPr>
          <w:rFonts w:eastAsia="Calibri"/>
          <w:sz w:val="20"/>
          <w:lang w:val="zh-TW"/>
        </w:rPr>
      </w:pPr>
      <w:r>
        <w:rPr>
          <w:sz w:val="20"/>
          <w:szCs w:val="20"/>
        </w:rPr>
        <w:t xml:space="preserve">8</w:t>
      </w:r>
      <w:r>
        <w:rPr>
          <w:rFonts w:eastAsia="Calibri"/>
          <w:sz w:val="20"/>
          <w:szCs w:val="20"/>
          <w:lang w:val="zh-TW"/>
        </w:rPr>
        <w:t xml:space="preserve">、如果甲方水、电供应不及时，所造成的损失由甲方承担。</w:t>
      </w:r>
      <w:r/>
    </w:p>
    <w:p>
      <w:pPr>
        <w:ind w:firstLine="420"/>
        <w:jc w:val="left"/>
        <w:spacing w:line="440" w:lineRule="exact"/>
        <w:shd w:val="clear" w:color="auto" w:fill="ffffff"/>
        <w:rPr>
          <w:rFonts w:eastAsia="Calibri"/>
          <w:sz w:val="20"/>
          <w:lang w:val="zh-TW"/>
        </w:rPr>
      </w:pPr>
      <w:r>
        <w:rPr>
          <w:sz w:val="20"/>
          <w:szCs w:val="20"/>
        </w:rPr>
        <w:t xml:space="preserve">9</w:t>
      </w:r>
      <w:r>
        <w:rPr>
          <w:rFonts w:eastAsia="Calibri"/>
          <w:sz w:val="20"/>
          <w:szCs w:val="20"/>
          <w:lang w:val="zh-TW"/>
        </w:rPr>
        <w:t xml:space="preserve">、其他违约按《中华人民共和国民法典》及本合同的有关条款执行。</w:t>
      </w:r>
      <w:r/>
    </w:p>
    <w:p>
      <w:pPr>
        <w:ind w:firstLine="420"/>
        <w:jc w:val="left"/>
        <w:spacing w:line="440" w:lineRule="exact"/>
        <w:shd w:val="clear" w:color="auto" w:fill="ffffff"/>
        <w:rPr>
          <w:rFonts w:eastAsia="Calibri"/>
          <w:sz w:val="20"/>
          <w:lang w:val="zh-TW"/>
        </w:rPr>
      </w:pPr>
      <w:r>
        <w:rPr>
          <w:sz w:val="20"/>
          <w:szCs w:val="20"/>
        </w:rPr>
        <w:t xml:space="preserve">10</w:t>
      </w:r>
      <w:r>
        <w:rPr>
          <w:rFonts w:eastAsia="Calibri"/>
          <w:sz w:val="20"/>
          <w:szCs w:val="20"/>
          <w:lang w:val="zh-TW"/>
        </w:rPr>
        <w:t xml:space="preserve">、污水超标排放而导致的罚款由乙方支付。</w:t>
      </w:r>
      <w:r/>
    </w:p>
    <w:p>
      <w:pPr>
        <w:ind w:firstLine="420"/>
        <w:jc w:val="left"/>
        <w:spacing w:line="440" w:lineRule="exact"/>
        <w:shd w:val="clear" w:color="auto" w:fill="ffffff"/>
        <w:rPr>
          <w:rFonts w:eastAsia="Calibri"/>
          <w:sz w:val="20"/>
          <w:lang w:val="zh-TW"/>
        </w:rPr>
      </w:pPr>
      <w:r>
        <w:rPr>
          <w:sz w:val="20"/>
          <w:szCs w:val="20"/>
        </w:rPr>
        <w:t xml:space="preserve">11</w:t>
      </w:r>
      <w:r>
        <w:rPr>
          <w:rFonts w:eastAsia="Calibri"/>
          <w:sz w:val="20"/>
          <w:szCs w:val="20"/>
          <w:lang w:val="zh-TW"/>
        </w:rPr>
        <w:t xml:space="preserve">、甲方保证由于国家或地方污水排放标准发生变化，引起乙方处理成本发生变化时，甲乙双方将另行商定污水处理单价。</w:t>
      </w:r>
      <w:r/>
    </w:p>
    <w:p>
      <w:pPr>
        <w:ind w:firstLine="420"/>
        <w:jc w:val="left"/>
        <w:spacing w:line="440" w:lineRule="exact"/>
        <w:shd w:val="clear" w:color="auto" w:fill="ffffff"/>
        <w:rPr>
          <w:rFonts w:eastAsia="Calibri"/>
          <w:sz w:val="20"/>
          <w:lang w:val="zh-CN"/>
        </w:rPr>
      </w:pPr>
      <w:r>
        <w:rPr>
          <w:rFonts w:eastAsia="Calibri"/>
          <w:b/>
          <w:bCs/>
          <w:sz w:val="20"/>
          <w:szCs w:val="20"/>
          <w:lang w:val="zh-CN"/>
        </w:rPr>
        <w:t xml:space="preserve">第</w:t>
      </w:r>
      <w:r>
        <w:rPr>
          <w:rFonts w:eastAsia="Calibri"/>
          <w:b/>
          <w:bCs/>
          <w:sz w:val="20"/>
          <w:szCs w:val="20"/>
        </w:rPr>
        <w:t xml:space="preserve">九</w:t>
      </w:r>
      <w:r>
        <w:rPr>
          <w:rFonts w:eastAsia="Calibri"/>
          <w:b/>
          <w:bCs/>
          <w:sz w:val="20"/>
          <w:szCs w:val="20"/>
          <w:lang w:val="zh-CN"/>
        </w:rPr>
        <w:t xml:space="preserve">条 合同的变更和终</w:t>
      </w:r>
      <w:r>
        <w:rPr>
          <w:b/>
          <w:bCs/>
          <w:sz w:val="20"/>
          <w:szCs w:val="20"/>
          <w:lang w:val="zh-CN"/>
        </w:rPr>
        <w:t xml:space="preserve">止</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1、除《政府采购法》第50条第二款规定的情形外，本合同一经签订，甲乙双方不得擅自变更、中止或终止合同</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2、除发生法律规定的不能预见、不能避免并不能克服的客观情况外，甲乙双方不得放弃或拒绝履行合同。乙方放弃或拒绝履行合同，保证金不予退还，在三年内不得参加组织的政府采购活动</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b/>
          <w:bCs/>
          <w:sz w:val="20"/>
          <w:szCs w:val="20"/>
          <w:lang w:val="zh-CN"/>
        </w:rPr>
        <w:t xml:space="preserve">第十条 合同的转</w:t>
      </w:r>
      <w:r>
        <w:rPr>
          <w:b/>
          <w:bCs/>
          <w:sz w:val="20"/>
          <w:szCs w:val="20"/>
          <w:lang w:val="zh-CN"/>
        </w:rPr>
        <w:t xml:space="preserve">让</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乙方不得擅自部分或全部转让其应履行的合同义务</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b/>
          <w:bCs/>
          <w:sz w:val="20"/>
          <w:szCs w:val="20"/>
          <w:lang w:val="zh-CN"/>
        </w:rPr>
        <w:t xml:space="preserve">第十</w:t>
      </w:r>
      <w:r>
        <w:rPr>
          <w:rFonts w:eastAsia="Calibri"/>
          <w:b/>
          <w:bCs/>
          <w:sz w:val="20"/>
          <w:szCs w:val="20"/>
        </w:rPr>
        <w:t xml:space="preserve">一</w:t>
      </w:r>
      <w:r>
        <w:rPr>
          <w:rFonts w:eastAsia="Calibri"/>
          <w:b/>
          <w:bCs/>
          <w:sz w:val="20"/>
          <w:szCs w:val="20"/>
          <w:lang w:val="zh-CN"/>
        </w:rPr>
        <w:t xml:space="preserve">条 争议的解</w:t>
      </w:r>
      <w:r>
        <w:rPr>
          <w:b/>
          <w:bCs/>
          <w:sz w:val="20"/>
          <w:szCs w:val="20"/>
          <w:lang w:val="zh-CN"/>
        </w:rPr>
        <w:t xml:space="preserve">决</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1、因履行本合同引起的或与本合同有关的争议，甲、乙双方应首先通过友好协商解决，如果协商不能解决争议，则采取以下第（</w:t>
      </w:r>
      <w:r>
        <w:rPr>
          <w:rFonts w:hint="eastAsia" w:eastAsia="Calibri"/>
          <w:sz w:val="20"/>
          <w:szCs w:val="20"/>
        </w:rPr>
        <w:t xml:space="preserve">1</w:t>
      </w:r>
      <w:r>
        <w:rPr>
          <w:rFonts w:eastAsia="Calibri"/>
          <w:sz w:val="20"/>
          <w:szCs w:val="20"/>
          <w:lang w:val="zh-CN"/>
        </w:rPr>
        <w:t xml:space="preserve">）种方式解决争议</w:t>
      </w:r>
      <w:r>
        <w:rPr>
          <w:sz w:val="20"/>
          <w:szCs w:val="20"/>
          <w:lang w:val="zh-CN"/>
        </w:rPr>
        <w:t xml:space="preserve">：</w:t>
      </w:r>
      <w:r/>
    </w:p>
    <w:p>
      <w:pPr>
        <w:jc w:val="left"/>
        <w:spacing w:line="440" w:lineRule="exact"/>
        <w:shd w:val="clear" w:color="auto" w:fill="ffffff"/>
        <w:rPr>
          <w:rFonts w:eastAsia="Calibri"/>
          <w:sz w:val="20"/>
          <w:lang w:val="zh-CN"/>
        </w:rPr>
      </w:pPr>
      <w:r>
        <w:rPr>
          <w:rFonts w:eastAsia="Calibri"/>
          <w:sz w:val="20"/>
          <w:szCs w:val="20"/>
          <w:lang w:val="zh-CN"/>
        </w:rPr>
        <w:t xml:space="preserve">（1）向甲方所在地有管辖权的人民法院提起诉讼</w:t>
      </w:r>
      <w:r>
        <w:rPr>
          <w:sz w:val="20"/>
          <w:szCs w:val="20"/>
          <w:lang w:val="zh-CN"/>
        </w:rPr>
        <w:t xml:space="preserve">；</w:t>
      </w:r>
      <w:r/>
    </w:p>
    <w:p>
      <w:pPr>
        <w:jc w:val="left"/>
        <w:spacing w:line="440" w:lineRule="exact"/>
        <w:shd w:val="clear" w:color="auto" w:fill="ffffff"/>
        <w:rPr>
          <w:rFonts w:eastAsia="Calibri"/>
          <w:sz w:val="20"/>
          <w:lang w:val="zh-CN"/>
        </w:rPr>
      </w:pPr>
      <w:r>
        <w:rPr>
          <w:rFonts w:eastAsia="Calibri"/>
          <w:sz w:val="20"/>
          <w:szCs w:val="20"/>
          <w:lang w:val="zh-CN"/>
        </w:rPr>
        <w:t xml:space="preserve">（2）向南京仲裁委员会按其仲裁规则申请仲裁</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hint="eastAsia" w:eastAsia="Calibri"/>
          <w:sz w:val="20"/>
          <w:szCs w:val="20"/>
        </w:rPr>
        <w:t xml:space="preserve">2</w:t>
      </w:r>
      <w:r>
        <w:rPr>
          <w:rFonts w:eastAsia="Calibri"/>
          <w:sz w:val="20"/>
          <w:szCs w:val="20"/>
          <w:lang w:val="zh-CN"/>
        </w:rPr>
        <w:t xml:space="preserve">、在仲裁期间，本合同应继续履行</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b/>
          <w:bCs/>
          <w:sz w:val="20"/>
          <w:szCs w:val="20"/>
          <w:lang w:val="zh-CN"/>
        </w:rPr>
        <w:t xml:space="preserve">第十</w:t>
      </w:r>
      <w:r>
        <w:rPr>
          <w:rFonts w:eastAsia="Calibri"/>
          <w:b/>
          <w:bCs/>
          <w:sz w:val="20"/>
          <w:szCs w:val="20"/>
        </w:rPr>
        <w:t xml:space="preserve">二</w:t>
      </w:r>
      <w:r>
        <w:rPr>
          <w:rFonts w:eastAsia="Calibri"/>
          <w:b/>
          <w:bCs/>
          <w:sz w:val="20"/>
          <w:szCs w:val="20"/>
          <w:lang w:val="zh-CN"/>
        </w:rPr>
        <w:t xml:space="preserve">条 诚实信</w:t>
      </w:r>
      <w:r>
        <w:rPr>
          <w:b/>
          <w:bCs/>
          <w:sz w:val="20"/>
          <w:szCs w:val="20"/>
          <w:lang w:val="zh-CN"/>
        </w:rPr>
        <w:t xml:space="preserve">用</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乙方应诚实信用，严格按照采购文件要求和承诺履行合同，不向甲方进行商业贿赂或者提供不正当利益</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b/>
          <w:bCs/>
          <w:sz w:val="20"/>
          <w:szCs w:val="20"/>
          <w:lang w:val="zh-CN"/>
        </w:rPr>
        <w:t xml:space="preserve">第十</w:t>
      </w:r>
      <w:r>
        <w:rPr>
          <w:rFonts w:eastAsia="Calibri"/>
          <w:b/>
          <w:bCs/>
          <w:sz w:val="20"/>
          <w:szCs w:val="20"/>
        </w:rPr>
        <w:t xml:space="preserve">三</w:t>
      </w:r>
      <w:r>
        <w:rPr>
          <w:rFonts w:eastAsia="Calibri"/>
          <w:b/>
          <w:bCs/>
          <w:sz w:val="20"/>
          <w:szCs w:val="20"/>
          <w:lang w:val="zh-CN"/>
        </w:rPr>
        <w:t xml:space="preserve">条 合同生效及其</w:t>
      </w:r>
      <w:r>
        <w:rPr>
          <w:b/>
          <w:bCs/>
          <w:sz w:val="20"/>
          <w:szCs w:val="20"/>
          <w:lang w:val="zh-CN"/>
        </w:rPr>
        <w:t xml:space="preserve">他</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1、本合同自签订之日起生效</w:t>
      </w:r>
      <w:r>
        <w:rPr>
          <w:sz w:val="20"/>
          <w:szCs w:val="20"/>
          <w:lang w:val="zh-CN"/>
        </w:rPr>
        <w:t xml:space="preserve">。</w:t>
      </w:r>
      <w:r/>
    </w:p>
    <w:p>
      <w:pPr>
        <w:ind w:firstLine="420"/>
        <w:jc w:val="left"/>
        <w:spacing w:line="440" w:lineRule="exact"/>
        <w:shd w:val="clear" w:color="auto" w:fill="ffffff"/>
        <w:rPr>
          <w:rFonts w:eastAsia="Calibri"/>
          <w:sz w:val="20"/>
          <w:lang w:val="zh-CN"/>
        </w:rPr>
      </w:pPr>
      <w:r>
        <w:rPr>
          <w:rFonts w:eastAsia="Calibri"/>
          <w:sz w:val="20"/>
          <w:szCs w:val="20"/>
          <w:lang w:val="zh-CN"/>
        </w:rPr>
        <w:t xml:space="preserve">2、本合同一式柒份，甲乙双方各执叁份，一份交招标机构存档</w:t>
      </w:r>
      <w:r>
        <w:rPr>
          <w:sz w:val="20"/>
          <w:szCs w:val="20"/>
          <w:lang w:val="zh-CN"/>
        </w:rPr>
        <w:t xml:space="preserve">。</w:t>
      </w:r>
      <w:r/>
    </w:p>
    <w:p>
      <w:pPr>
        <w:ind w:firstLine="420"/>
        <w:jc w:val="left"/>
        <w:spacing w:line="440" w:lineRule="exact"/>
        <w:shd w:val="clear" w:color="auto" w:fill="ffffff"/>
        <w:rPr>
          <w:sz w:val="20"/>
          <w:szCs w:val="20"/>
          <w:lang w:val="zh-CN"/>
        </w:rPr>
      </w:pPr>
      <w:r>
        <w:rPr>
          <w:rFonts w:eastAsia="Calibri"/>
          <w:sz w:val="20"/>
          <w:szCs w:val="20"/>
          <w:lang w:val="zh-CN"/>
        </w:rPr>
        <w:t xml:space="preserve">3、本合同应按照中华人民共和国的现行法律进行解释</w:t>
      </w:r>
      <w:r>
        <w:rPr>
          <w:sz w:val="20"/>
          <w:szCs w:val="20"/>
          <w:lang w:val="zh-CN"/>
        </w:rPr>
        <w:t xml:space="preserve">。</w:t>
      </w:r>
      <w:r/>
    </w:p>
    <w:p>
      <w:pPr>
        <w:ind w:firstLine="420"/>
        <w:jc w:val="left"/>
        <w:spacing w:line="440" w:lineRule="exact"/>
        <w:shd w:val="clear" w:color="auto" w:fill="ffffff"/>
        <w:rPr>
          <w:sz w:val="20"/>
          <w:szCs w:val="20"/>
          <w:lang w:val="zh-CN"/>
        </w:rPr>
      </w:pPr>
      <w:r>
        <w:rPr>
          <w:sz w:val="20"/>
          <w:szCs w:val="20"/>
          <w:lang w:val="zh-CN"/>
        </w:rPr>
      </w:r>
      <w:r/>
    </w:p>
    <w:p>
      <w:pPr>
        <w:pStyle w:val="733"/>
        <w:rPr>
          <w:rFonts w:hint="eastAsia" w:ascii="Calibri" w:hAnsi="Calibri" w:eastAsia="Calibri" w:cs="Times New Roman"/>
          <w:sz w:val="20"/>
          <w:szCs w:val="20"/>
          <w:lang w:val="zh-CN" w:eastAsia="zh-CN" w:bidi="ar-SA"/>
        </w:rPr>
      </w:pPr>
      <w:r>
        <w:rPr>
          <w:rFonts w:hint="eastAsia" w:ascii="Calibri" w:hAnsi="Calibri" w:eastAsia="Calibri" w:cs="Times New Roman"/>
          <w:sz w:val="20"/>
          <w:szCs w:val="20"/>
          <w:lang w:val="zh-CN" w:eastAsia="zh-CN" w:bidi="ar-SA"/>
        </w:rPr>
        <w:t xml:space="preserve">附件1《南京江北新材料科技园企业污水排放管理规定（2020年版）》</w:t>
      </w:r>
      <w:r/>
    </w:p>
    <w:p>
      <w:pPr>
        <w:pStyle w:val="733"/>
        <w:rPr>
          <w:rFonts w:hint="default" w:ascii="Calibri" w:hAnsi="Calibri" w:eastAsia="Calibri" w:cs="Times New Roman"/>
          <w:sz w:val="20"/>
          <w:szCs w:val="20"/>
          <w:lang w:val="en-US" w:eastAsia="zh-CN" w:bidi="ar-SA"/>
        </w:rPr>
      </w:pPr>
      <w:r>
        <w:rPr>
          <w:rFonts w:hint="eastAsia" w:ascii="Calibri" w:hAnsi="Calibri" w:eastAsia="Calibri" w:cs="Times New Roman"/>
          <w:sz w:val="20"/>
          <w:szCs w:val="20"/>
          <w:lang w:val="zh-CN" w:eastAsia="zh-CN" w:bidi="ar-SA"/>
        </w:rPr>
        <w:t xml:space="preserve">附件</w:t>
      </w:r>
      <w:r>
        <w:rPr>
          <w:rFonts w:hint="eastAsia" w:ascii="Calibri" w:hAnsi="Calibri" w:eastAsia="Calibri" w:cs="Times New Roman"/>
          <w:sz w:val="20"/>
          <w:szCs w:val="20"/>
          <w:lang w:val="en-US" w:eastAsia="zh-CN" w:bidi="ar-SA"/>
        </w:rPr>
        <w:t xml:space="preserve">2：半年考核标准</w:t>
      </w:r>
      <w:r/>
    </w:p>
    <w:p>
      <w:pPr>
        <w:rPr>
          <w:lang w:val="zh-CN" w:bidi="en-US"/>
        </w:rPr>
      </w:pPr>
      <w:r>
        <w:rPr>
          <w:lang w:val="zh-CN" w:bidi="en-US"/>
        </w:rPr>
      </w:r>
      <w:r/>
    </w:p>
    <w:tbl>
      <w:tblPr>
        <w:tblStyle w:val="72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W w:w="4643" w:type="dxa"/>
            <w:vAlign w:val="center"/>
            <w:textDirection w:val="lrTb"/>
            <w:noWrap w:val="false"/>
          </w:tcPr>
          <w:p>
            <w:pPr>
              <w:jc w:val="left"/>
              <w:spacing w:line="440" w:lineRule="exact"/>
              <w:rPr>
                <w:sz w:val="20"/>
                <w:lang w:val="zh-CN" w:bidi="en-US"/>
              </w:rPr>
            </w:pPr>
            <w:r>
              <w:rPr>
                <w:sz w:val="20"/>
                <w:szCs w:val="20"/>
                <w:lang w:val="zh-CN" w:bidi="en-US"/>
              </w:rPr>
              <w:t xml:space="preserve">甲方（委托方）：（盖章）</w:t>
            </w:r>
            <w:r/>
          </w:p>
        </w:tc>
        <w:tc>
          <w:tcPr>
            <w:tcW w:w="4643" w:type="dxa"/>
            <w:vAlign w:val="center"/>
            <w:textDirection w:val="lrTb"/>
            <w:noWrap w:val="false"/>
          </w:tcPr>
          <w:p>
            <w:pPr>
              <w:jc w:val="left"/>
              <w:spacing w:line="440" w:lineRule="exact"/>
              <w:rPr>
                <w:sz w:val="20"/>
                <w:lang w:val="zh-CN" w:bidi="en-US"/>
              </w:rPr>
            </w:pPr>
            <w:r>
              <w:rPr>
                <w:sz w:val="20"/>
                <w:szCs w:val="20"/>
                <w:lang w:val="zh-CN" w:bidi="en-US"/>
              </w:rPr>
              <w:t xml:space="preserve">乙方：（盖章）</w:t>
            </w:r>
            <w:r/>
          </w:p>
        </w:tc>
      </w:tr>
      <w:tr>
        <w:trPr>
          <w:trHeight w:val="362"/>
        </w:trPr>
        <w:tc>
          <w:tcPr>
            <w:tcW w:w="4643" w:type="dxa"/>
            <w:vAlign w:val="center"/>
            <w:textDirection w:val="lrTb"/>
            <w:noWrap w:val="false"/>
          </w:tcPr>
          <w:p>
            <w:pPr>
              <w:jc w:val="left"/>
              <w:spacing w:line="440" w:lineRule="exact"/>
              <w:rPr>
                <w:sz w:val="20"/>
                <w:lang w:val="zh-CN" w:bidi="en-US"/>
              </w:rPr>
            </w:pPr>
            <w:r>
              <w:rPr>
                <w:sz w:val="20"/>
                <w:szCs w:val="20"/>
                <w:lang w:val="zh-CN" w:bidi="en-US"/>
              </w:rPr>
              <w:t xml:space="preserve">法定或委托代表人：</w:t>
            </w:r>
            <w:r/>
          </w:p>
        </w:tc>
        <w:tc>
          <w:tcPr>
            <w:tcW w:w="4643" w:type="dxa"/>
            <w:vAlign w:val="center"/>
            <w:textDirection w:val="lrTb"/>
            <w:noWrap w:val="false"/>
          </w:tcPr>
          <w:p>
            <w:pPr>
              <w:jc w:val="left"/>
              <w:spacing w:line="440" w:lineRule="exact"/>
              <w:rPr>
                <w:sz w:val="20"/>
                <w:lang w:val="zh-CN" w:bidi="en-US"/>
              </w:rPr>
            </w:pPr>
            <w:r>
              <w:rPr>
                <w:sz w:val="20"/>
                <w:szCs w:val="20"/>
                <w:lang w:val="zh-CN" w:bidi="en-US"/>
              </w:rPr>
              <w:t xml:space="preserve">法定或委托代表人：</w:t>
            </w:r>
            <w:r/>
          </w:p>
        </w:tc>
      </w:tr>
      <w:tr>
        <w:trPr>
          <w:trHeight w:val="251"/>
        </w:trPr>
        <w:tc>
          <w:tcPr>
            <w:tcW w:w="4643" w:type="dxa"/>
            <w:vAlign w:val="center"/>
            <w:textDirection w:val="lrTb"/>
            <w:noWrap w:val="false"/>
          </w:tcPr>
          <w:p>
            <w:pPr>
              <w:jc w:val="left"/>
              <w:spacing w:line="440" w:lineRule="exact"/>
              <w:rPr>
                <w:sz w:val="20"/>
                <w:lang w:val="zh-CN" w:bidi="en-US"/>
              </w:rPr>
            </w:pPr>
            <w:r>
              <w:rPr>
                <w:sz w:val="20"/>
                <w:szCs w:val="20"/>
                <w:lang w:val="zh-CN" w:bidi="en-US"/>
              </w:rPr>
              <w:t xml:space="preserve">电话：</w:t>
            </w:r>
            <w:r/>
          </w:p>
        </w:tc>
        <w:tc>
          <w:tcPr>
            <w:tcW w:w="4643" w:type="dxa"/>
            <w:vAlign w:val="center"/>
            <w:textDirection w:val="lrTb"/>
            <w:noWrap w:val="false"/>
          </w:tcPr>
          <w:p>
            <w:pPr>
              <w:jc w:val="left"/>
              <w:spacing w:line="440" w:lineRule="exact"/>
              <w:rPr>
                <w:sz w:val="20"/>
                <w:lang w:val="zh-CN" w:bidi="en-US"/>
              </w:rPr>
            </w:pPr>
            <w:r>
              <w:rPr>
                <w:sz w:val="20"/>
                <w:szCs w:val="20"/>
                <w:lang w:val="zh-CN" w:bidi="en-US"/>
              </w:rPr>
              <w:t xml:space="preserve">电话：</w:t>
            </w:r>
            <w:r/>
          </w:p>
        </w:tc>
      </w:tr>
      <w:tr>
        <w:trPr>
          <w:trHeight w:val="283"/>
        </w:trPr>
        <w:tc>
          <w:tcPr>
            <w:tcW w:w="4643" w:type="dxa"/>
            <w:vAlign w:val="center"/>
            <w:textDirection w:val="lrTb"/>
            <w:noWrap w:val="false"/>
          </w:tcPr>
          <w:p>
            <w:pPr>
              <w:jc w:val="left"/>
              <w:spacing w:line="440" w:lineRule="exact"/>
              <w:rPr>
                <w:sz w:val="20"/>
                <w:lang w:val="zh-CN" w:bidi="en-US"/>
              </w:rPr>
            </w:pPr>
            <w:r>
              <w:rPr>
                <w:sz w:val="20"/>
                <w:szCs w:val="20"/>
                <w:lang w:val="zh-CN" w:bidi="en-US"/>
              </w:rPr>
              <w:t xml:space="preserve">开户银行：</w:t>
            </w:r>
            <w:r/>
          </w:p>
        </w:tc>
        <w:tc>
          <w:tcPr>
            <w:tcW w:w="4643" w:type="dxa"/>
            <w:vAlign w:val="center"/>
            <w:textDirection w:val="lrTb"/>
            <w:noWrap w:val="false"/>
          </w:tcPr>
          <w:p>
            <w:pPr>
              <w:jc w:val="left"/>
              <w:spacing w:line="440" w:lineRule="exact"/>
              <w:rPr>
                <w:sz w:val="20"/>
                <w:lang w:val="zh-CN" w:bidi="en-US"/>
              </w:rPr>
            </w:pPr>
            <w:r>
              <w:rPr>
                <w:sz w:val="20"/>
                <w:szCs w:val="20"/>
                <w:lang w:val="zh-CN" w:bidi="en-US"/>
              </w:rPr>
              <w:t xml:space="preserve">开户银行：</w:t>
            </w:r>
            <w:r>
              <w:rPr>
                <w:sz w:val="20"/>
                <w:lang w:val="zh-CN" w:bidi="en-US"/>
              </w:rPr>
              <w:t xml:space="preserve"> </w:t>
            </w:r>
            <w:r/>
          </w:p>
        </w:tc>
      </w:tr>
      <w:tr>
        <w:trPr>
          <w:trHeight w:val="315"/>
        </w:trPr>
        <w:tc>
          <w:tcPr>
            <w:tcW w:w="4643" w:type="dxa"/>
            <w:vAlign w:val="center"/>
            <w:textDirection w:val="lrTb"/>
            <w:noWrap w:val="false"/>
          </w:tcPr>
          <w:p>
            <w:pPr>
              <w:jc w:val="left"/>
              <w:spacing w:line="440" w:lineRule="exact"/>
              <w:rPr>
                <w:sz w:val="20"/>
                <w:lang w:val="zh-CN" w:bidi="en-US"/>
              </w:rPr>
            </w:pPr>
            <w:r>
              <w:rPr>
                <w:sz w:val="20"/>
                <w:szCs w:val="20"/>
                <w:lang w:val="zh-CN" w:bidi="en-US"/>
              </w:rPr>
              <w:t xml:space="preserve">账号：</w:t>
            </w:r>
            <w:r/>
          </w:p>
        </w:tc>
        <w:tc>
          <w:tcPr>
            <w:tcW w:w="4643" w:type="dxa"/>
            <w:vAlign w:val="center"/>
            <w:textDirection w:val="lrTb"/>
            <w:noWrap w:val="false"/>
          </w:tcPr>
          <w:p>
            <w:pPr>
              <w:jc w:val="left"/>
              <w:spacing w:line="440" w:lineRule="exact"/>
              <w:rPr>
                <w:sz w:val="20"/>
                <w:lang w:val="zh-CN" w:bidi="en-US"/>
              </w:rPr>
            </w:pPr>
            <w:r>
              <w:rPr>
                <w:sz w:val="20"/>
                <w:szCs w:val="20"/>
                <w:lang w:val="zh-CN" w:bidi="en-US"/>
              </w:rPr>
              <w:t xml:space="preserve">账号：</w:t>
            </w:r>
            <w:r/>
          </w:p>
        </w:tc>
      </w:tr>
      <w:tr>
        <w:trPr>
          <w:trHeight w:val="572"/>
        </w:trPr>
        <w:tc>
          <w:tcPr>
            <w:tcW w:w="4643" w:type="dxa"/>
            <w:vAlign w:val="center"/>
            <w:textDirection w:val="lrTb"/>
            <w:noWrap w:val="false"/>
          </w:tcPr>
          <w:p>
            <w:pPr>
              <w:jc w:val="left"/>
              <w:spacing w:line="440" w:lineRule="exact"/>
              <w:rPr>
                <w:sz w:val="20"/>
                <w:lang w:val="zh-CN" w:bidi="en-US"/>
              </w:rPr>
            </w:pPr>
            <w:r>
              <w:rPr>
                <w:sz w:val="20"/>
                <w:szCs w:val="20"/>
                <w:lang w:val="zh-CN" w:bidi="en-US"/>
              </w:rPr>
              <w:t xml:space="preserve">日期：</w:t>
            </w:r>
            <w:r>
              <w:rPr>
                <w:sz w:val="20"/>
                <w:szCs w:val="20"/>
                <w:lang w:bidi="en-US"/>
              </w:rPr>
              <w:t xml:space="preserve"> </w:t>
            </w:r>
            <w:r>
              <w:rPr>
                <w:rFonts w:hint="eastAsia"/>
                <w:sz w:val="20"/>
                <w:szCs w:val="20"/>
                <w:lang w:bidi="en-US"/>
              </w:rPr>
              <w:t xml:space="preserve">202</w:t>
            </w:r>
            <w:r>
              <w:rPr>
                <w:rFonts w:hint="eastAsia"/>
                <w:sz w:val="20"/>
                <w:szCs w:val="20"/>
                <w:lang w:val="en-US" w:eastAsia="zh-CN" w:bidi="en-US"/>
              </w:rPr>
              <w:t xml:space="preserve">6</w:t>
            </w:r>
            <w:r>
              <w:rPr>
                <w:sz w:val="20"/>
                <w:szCs w:val="20"/>
                <w:lang w:bidi="en-US"/>
              </w:rPr>
              <w:t xml:space="preserve">   </w:t>
            </w:r>
            <w:r>
              <w:rPr>
                <w:sz w:val="20"/>
                <w:szCs w:val="20"/>
                <w:lang w:val="zh-CN" w:bidi="en-US"/>
              </w:rPr>
              <w:t xml:space="preserve">年</w:t>
            </w:r>
            <w:r>
              <w:rPr>
                <w:sz w:val="20"/>
                <w:szCs w:val="20"/>
                <w:lang w:bidi="en-US"/>
              </w:rPr>
              <w:t xml:space="preserve">     </w:t>
            </w:r>
            <w:r>
              <w:rPr>
                <w:sz w:val="20"/>
                <w:szCs w:val="20"/>
                <w:lang w:val="zh-CN" w:bidi="en-US"/>
              </w:rPr>
              <w:t xml:space="preserve">月</w:t>
            </w:r>
            <w:r>
              <w:rPr>
                <w:sz w:val="20"/>
                <w:szCs w:val="20"/>
                <w:lang w:bidi="en-US"/>
              </w:rPr>
              <w:t xml:space="preserve">     </w:t>
            </w:r>
            <w:r>
              <w:rPr>
                <w:sz w:val="20"/>
                <w:szCs w:val="20"/>
                <w:lang w:val="zh-CN" w:bidi="en-US"/>
              </w:rPr>
              <w:t xml:space="preserve">日</w:t>
            </w:r>
            <w:r/>
          </w:p>
        </w:tc>
        <w:tc>
          <w:tcPr>
            <w:tcW w:w="4643" w:type="dxa"/>
            <w:vAlign w:val="center"/>
            <w:textDirection w:val="lrTb"/>
            <w:noWrap w:val="false"/>
          </w:tcPr>
          <w:p>
            <w:pPr>
              <w:jc w:val="left"/>
              <w:spacing w:line="440" w:lineRule="exact"/>
              <w:rPr>
                <w:sz w:val="20"/>
                <w:lang w:val="zh-CN" w:bidi="en-US"/>
              </w:rPr>
            </w:pPr>
            <w:r>
              <w:rPr>
                <w:sz w:val="20"/>
                <w:szCs w:val="20"/>
                <w:lang w:val="zh-CN" w:bidi="en-US"/>
              </w:rPr>
              <w:t xml:space="preserve">日期：</w:t>
            </w:r>
            <w:r>
              <w:rPr>
                <w:rFonts w:hint="eastAsia"/>
                <w:sz w:val="20"/>
                <w:szCs w:val="20"/>
                <w:lang w:bidi="en-US"/>
              </w:rPr>
              <w:t xml:space="preserve">202</w:t>
            </w:r>
            <w:r>
              <w:rPr>
                <w:rFonts w:hint="eastAsia"/>
                <w:sz w:val="20"/>
                <w:szCs w:val="20"/>
                <w:lang w:val="en-US" w:eastAsia="zh-CN" w:bidi="en-US"/>
              </w:rPr>
              <w:t xml:space="preserve">6</w:t>
            </w:r>
            <w:r>
              <w:rPr>
                <w:sz w:val="20"/>
                <w:szCs w:val="20"/>
                <w:lang w:bidi="en-US"/>
              </w:rPr>
              <w:t xml:space="preserve">    </w:t>
            </w:r>
            <w:r>
              <w:rPr>
                <w:sz w:val="20"/>
                <w:szCs w:val="20"/>
                <w:lang w:val="zh-CN" w:bidi="en-US"/>
              </w:rPr>
              <w:t xml:space="preserve">年</w:t>
            </w:r>
            <w:r>
              <w:rPr>
                <w:sz w:val="20"/>
                <w:szCs w:val="20"/>
                <w:lang w:bidi="en-US"/>
              </w:rPr>
              <w:t xml:space="preserve">    </w:t>
            </w:r>
            <w:r>
              <w:rPr>
                <w:sz w:val="20"/>
                <w:szCs w:val="20"/>
                <w:lang w:val="zh-CN" w:bidi="en-US"/>
              </w:rPr>
              <w:t xml:space="preserve">月</w:t>
            </w:r>
            <w:r>
              <w:rPr>
                <w:sz w:val="20"/>
                <w:szCs w:val="20"/>
                <w:lang w:bidi="en-US"/>
              </w:rPr>
              <w:t xml:space="preserve">    </w:t>
            </w:r>
            <w:r>
              <w:rPr>
                <w:sz w:val="20"/>
                <w:szCs w:val="20"/>
                <w:lang w:val="zh-CN" w:bidi="en-US"/>
              </w:rPr>
              <w:t xml:space="preserve">日</w:t>
            </w:r>
            <w:r/>
          </w:p>
        </w:tc>
      </w:tr>
    </w:tbl>
    <w:p>
      <w:pPr>
        <w:ind w:firstLine="420"/>
        <w:spacing w:line="360" w:lineRule="auto"/>
        <w:rPr>
          <w:rFonts w:ascii="宋体" w:hAnsi="宋体" w:cs="宋体"/>
          <w:szCs w:val="21"/>
        </w:rPr>
      </w:pPr>
      <w:r>
        <w:rPr>
          <w:rFonts w:ascii="宋体" w:hAnsi="宋体" w:cs="宋体"/>
          <w:szCs w:val="21"/>
        </w:rPr>
      </w:r>
      <w:r/>
    </w:p>
    <w:p>
      <w:pPr>
        <w:ind w:firstLine="422"/>
        <w:jc w:val="left"/>
        <w:pageBreakBefore/>
        <w:spacing w:line="360" w:lineRule="auto"/>
        <w:rPr>
          <w:rFonts w:ascii="宋体" w:hAnsi="宋体"/>
          <w:b/>
          <w:bCs/>
          <w:szCs w:val="21"/>
        </w:rPr>
      </w:pPr>
      <w:r>
        <w:rPr>
          <w:rFonts w:hint="eastAsia" w:ascii="宋体" w:hAnsi="宋体"/>
          <w:b/>
          <w:bCs/>
          <w:szCs w:val="21"/>
        </w:rPr>
        <w:t xml:space="preserve">附件1《南京江北新材料科技园企业污水排放管理规定（2020年版）》</w:t>
      </w:r>
      <w:r/>
    </w:p>
    <w:p>
      <w:pPr>
        <w:pStyle w:val="733"/>
        <w:rPr>
          <w:rFonts w:hint="eastAsia"/>
          <w:lang w:eastAsia="zh-CN"/>
        </w:rPr>
      </w:pPr>
      <w:r>
        <w:rPr>
          <w:rFonts w:hint="eastAsia"/>
          <w:lang w:eastAsia="zh-CN"/>
        </w:rPr>
        <mc:AlternateContent>
          <mc:Choice Requires="wpg">
            <w:drawing>
              <wp:inline xmlns:wp="http://schemas.openxmlformats.org/drawingml/2006/wordprocessingDrawing" distT="0" distB="0" distL="0" distR="0">
                <wp:extent cx="5604510" cy="7937500"/>
                <wp:effectExtent l="0" t="0" r="15240" b="6350"/>
                <wp:docPr id="1" name="图片 4" descr="宁新区新科办发【2020】73号《南京江北新材料科技园企业污水排放管理规定（2020年版）》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宁新区新科办发【2020】73号《南京江北新材料科技园企业污水排放管理规定（2020年版）》_00"/>
                        <pic:cNvPicPr>
                          <a:picLocks noChangeAspect="1"/>
                        </pic:cNvPicPr>
                        <pic:nvPr/>
                      </pic:nvPicPr>
                      <pic:blipFill>
                        <a:blip r:embed="rId14"/>
                        <a:stretch/>
                      </pic:blipFill>
                      <pic:spPr bwMode="auto">
                        <a:xfrm>
                          <a:off x="0" y="0"/>
                          <a:ext cx="5604510" cy="7937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1.3pt;height:625.0pt;mso-wrap-distance-left:0.0pt;mso-wrap-distance-top:0.0pt;mso-wrap-distance-right:0.0pt;mso-wrap-distance-bottom:0.0pt;" stroked="f">
                <v:path textboxrect="0,0,0,0"/>
                <v:imagedata r:id="rId14" o:title=""/>
              </v:shape>
            </w:pict>
          </mc:Fallback>
        </mc:AlternateContent>
      </w:r>
      <w:r>
        <w:rPr>
          <w:rFonts w:hint="eastAsia"/>
          <w:lang w:eastAsia="zh-CN"/>
        </w:rPr>
        <mc:AlternateContent>
          <mc:Choice Requires="wpg">
            <w:drawing>
              <wp:inline xmlns:wp="http://schemas.openxmlformats.org/drawingml/2006/wordprocessingDrawing" distT="0" distB="0" distL="0" distR="0">
                <wp:extent cx="5905500" cy="8362950"/>
                <wp:effectExtent l="0" t="0" r="0" b="0"/>
                <wp:docPr id="2" name="图片 5" descr="宁新区新科办发【2020】73号《南京江北新材料科技园企业污水排放管理规定（2020年版）》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宁新区新科办发【2020】73号《南京江北新材料科技园企业污水排放管理规定（2020年版）》_01"/>
                        <pic:cNvPicPr>
                          <a:picLocks noChangeAspect="1"/>
                        </pic:cNvPicPr>
                        <pic:nvPr/>
                      </pic:nvPicPr>
                      <pic:blipFill>
                        <a:blip r:embed="rId15"/>
                        <a:stretch/>
                      </pic:blipFill>
                      <pic:spPr bwMode="auto">
                        <a:xfrm>
                          <a:off x="0" y="0"/>
                          <a:ext cx="5905500" cy="836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5.0pt;height:658.5pt;mso-wrap-distance-left:0.0pt;mso-wrap-distance-top:0.0pt;mso-wrap-distance-right:0.0pt;mso-wrap-distance-bottom:0.0pt;" stroked="f">
                <v:path textboxrect="0,0,0,0"/>
                <v:imagedata r:id="rId15" o:title=""/>
              </v:shape>
            </w:pict>
          </mc:Fallback>
        </mc:AlternateContent>
      </w:r>
      <w:r>
        <w:rPr>
          <w:rFonts w:hint="eastAsia"/>
          <w:lang w:eastAsia="zh-CN"/>
        </w:rPr>
        <mc:AlternateContent>
          <mc:Choice Requires="wpg">
            <w:drawing>
              <wp:inline xmlns:wp="http://schemas.openxmlformats.org/drawingml/2006/wordprocessingDrawing" distT="0" distB="0" distL="0" distR="0">
                <wp:extent cx="5905500" cy="8362950"/>
                <wp:effectExtent l="0" t="0" r="0" b="0"/>
                <wp:docPr id="3" name="图片 3" descr="宁新区新科办发【2020】73号《南京江北新材料科技园企业污水排放管理规定（2020年版）》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宁新区新科办发【2020】73号《南京江北新材料科技园企业污水排放管理规定（2020年版）》_02"/>
                        <pic:cNvPicPr>
                          <a:picLocks noChangeAspect="1"/>
                        </pic:cNvPicPr>
                        <pic:nvPr/>
                      </pic:nvPicPr>
                      <pic:blipFill>
                        <a:blip r:embed="rId16"/>
                        <a:stretch/>
                      </pic:blipFill>
                      <pic:spPr bwMode="auto">
                        <a:xfrm>
                          <a:off x="0" y="0"/>
                          <a:ext cx="5905500" cy="836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5.0pt;height:658.5pt;mso-wrap-distance-left:0.0pt;mso-wrap-distance-top:0.0pt;mso-wrap-distance-right:0.0pt;mso-wrap-distance-bottom:0.0pt;" stroked="f">
                <v:path textboxrect="0,0,0,0"/>
                <v:imagedata r:id="rId16" o:title=""/>
              </v:shape>
            </w:pict>
          </mc:Fallback>
        </mc:AlternateContent>
      </w:r>
      <w:r>
        <w:rPr>
          <w:rFonts w:hint="eastAsia"/>
          <w:lang w:eastAsia="zh-CN"/>
        </w:rPr>
        <mc:AlternateContent>
          <mc:Choice Requires="wpg">
            <w:drawing>
              <wp:inline xmlns:wp="http://schemas.openxmlformats.org/drawingml/2006/wordprocessingDrawing" distT="0" distB="0" distL="0" distR="0">
                <wp:extent cx="5905500" cy="8362950"/>
                <wp:effectExtent l="0" t="0" r="0" b="0"/>
                <wp:docPr id="4" name="图片 1" descr="宁新区新科办发【2020】73号《南京江北新材料科技园企业污水排放管理规定（2020年版）》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宁新区新科办发【2020】73号《南京江北新材料科技园企业污水排放管理规定（2020年版）》_03"/>
                        <pic:cNvPicPr>
                          <a:picLocks noChangeAspect="1"/>
                        </pic:cNvPicPr>
                        <pic:nvPr/>
                      </pic:nvPicPr>
                      <pic:blipFill>
                        <a:blip r:embed="rId17"/>
                        <a:stretch/>
                      </pic:blipFill>
                      <pic:spPr bwMode="auto">
                        <a:xfrm>
                          <a:off x="0" y="0"/>
                          <a:ext cx="5905500" cy="836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5.0pt;height:658.5pt;mso-wrap-distance-left:0.0pt;mso-wrap-distance-top:0.0pt;mso-wrap-distance-right:0.0pt;mso-wrap-distance-bottom:0.0pt;" stroked="f">
                <v:path textboxrect="0,0,0,0"/>
                <v:imagedata r:id="rId17" o:title=""/>
              </v:shape>
            </w:pict>
          </mc:Fallback>
        </mc:AlternateContent>
      </w:r>
      <w:r>
        <w:rPr>
          <w:rFonts w:hint="eastAsia"/>
          <w:lang w:eastAsia="zh-CN"/>
        </w:rPr>
        <mc:AlternateContent>
          <mc:Choice Requires="wpg">
            <w:drawing>
              <wp:inline xmlns:wp="http://schemas.openxmlformats.org/drawingml/2006/wordprocessingDrawing" distT="0" distB="0" distL="0" distR="0">
                <wp:extent cx="5905500" cy="8362950"/>
                <wp:effectExtent l="0" t="0" r="0" b="0"/>
                <wp:docPr id="5" name="图片 2" descr="宁新区新科办发【2020】73号《南京江北新材料科技园企业污水排放管理规定（2020年版）》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宁新区新科办发【2020】73号《南京江北新材料科技园企业污水排放管理规定（2020年版）》_04"/>
                        <pic:cNvPicPr>
                          <a:picLocks noChangeAspect="1"/>
                        </pic:cNvPicPr>
                        <pic:nvPr/>
                      </pic:nvPicPr>
                      <pic:blipFill>
                        <a:blip r:embed="rId18"/>
                        <a:stretch/>
                      </pic:blipFill>
                      <pic:spPr bwMode="auto">
                        <a:xfrm>
                          <a:off x="0" y="0"/>
                          <a:ext cx="5905500" cy="836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5.0pt;height:658.5pt;mso-wrap-distance-left:0.0pt;mso-wrap-distance-top:0.0pt;mso-wrap-distance-right:0.0pt;mso-wrap-distance-bottom:0.0pt;" stroked="f">
                <v:path textboxrect="0,0,0,0"/>
                <v:imagedata r:id="rId18" o:title=""/>
              </v:shape>
            </w:pict>
          </mc:Fallback>
        </mc:AlternateContent>
      </w:r>
      <w:r>
        <w:rPr>
          <w:rFonts w:hint="eastAsia"/>
          <w:lang w:eastAsia="zh-CN"/>
        </w:rPr>
        <mc:AlternateContent>
          <mc:Choice Requires="wpg">
            <w:drawing>
              <wp:inline xmlns:wp="http://schemas.openxmlformats.org/drawingml/2006/wordprocessingDrawing" distT="0" distB="0" distL="0" distR="0">
                <wp:extent cx="5905500" cy="8362950"/>
                <wp:effectExtent l="0" t="0" r="0" b="0"/>
                <wp:docPr id="6" name="图片 6" descr="宁新区新科办发【2020】73号《南京江北新材料科技园企业污水排放管理规定（2020年版）》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宁新区新科办发【2020】73号《南京江北新材料科技园企业污水排放管理规定（2020年版）》_05"/>
                        <pic:cNvPicPr>
                          <a:picLocks noChangeAspect="1"/>
                        </pic:cNvPicPr>
                        <pic:nvPr/>
                      </pic:nvPicPr>
                      <pic:blipFill>
                        <a:blip r:embed="rId19"/>
                        <a:stretch/>
                      </pic:blipFill>
                      <pic:spPr bwMode="auto">
                        <a:xfrm>
                          <a:off x="0" y="0"/>
                          <a:ext cx="5905500" cy="836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5.0pt;height:658.5pt;mso-wrap-distance-left:0.0pt;mso-wrap-distance-top:0.0pt;mso-wrap-distance-right:0.0pt;mso-wrap-distance-bottom:0.0pt;" stroked="f">
                <v:path textboxrect="0,0,0,0"/>
                <v:imagedata r:id="rId19" o:title=""/>
              </v:shape>
            </w:pict>
          </mc:Fallback>
        </mc:AlternateContent>
      </w:r>
      <w:r>
        <w:rPr>
          <w:rFonts w:hint="eastAsia"/>
          <w:lang w:eastAsia="zh-CN"/>
        </w:rPr>
        <mc:AlternateContent>
          <mc:Choice Requires="wpg">
            <w:drawing>
              <wp:inline xmlns:wp="http://schemas.openxmlformats.org/drawingml/2006/wordprocessingDrawing" distT="0" distB="0" distL="0" distR="0">
                <wp:extent cx="5905500" cy="8362950"/>
                <wp:effectExtent l="0" t="0" r="0" b="0"/>
                <wp:docPr id="7" name="图片 7" descr="宁新区新科办发【2020】73号《南京江北新材料科技园企业污水排放管理规定（2020年版）》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宁新区新科办发【2020】73号《南京江北新材料科技园企业污水排放管理规定（2020年版）》_06"/>
                        <pic:cNvPicPr>
                          <a:picLocks noChangeAspect="1"/>
                        </pic:cNvPicPr>
                        <pic:nvPr/>
                      </pic:nvPicPr>
                      <pic:blipFill>
                        <a:blip r:embed="rId20"/>
                        <a:stretch/>
                      </pic:blipFill>
                      <pic:spPr bwMode="auto">
                        <a:xfrm>
                          <a:off x="0" y="0"/>
                          <a:ext cx="5905500" cy="836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5.0pt;height:658.5pt;mso-wrap-distance-left:0.0pt;mso-wrap-distance-top:0.0pt;mso-wrap-distance-right:0.0pt;mso-wrap-distance-bottom:0.0pt;" stroked="f">
                <v:path textboxrect="0,0,0,0"/>
                <v:imagedata r:id="rId20" o:title=""/>
              </v:shape>
            </w:pict>
          </mc:Fallback>
        </mc:AlternateContent>
      </w:r>
      <w:r>
        <w:rPr>
          <w:rFonts w:hint="eastAsia"/>
          <w:lang w:eastAsia="zh-CN"/>
        </w:rPr>
        <mc:AlternateContent>
          <mc:Choice Requires="wpg">
            <w:drawing>
              <wp:inline xmlns:wp="http://schemas.openxmlformats.org/drawingml/2006/wordprocessingDrawing" distT="0" distB="0" distL="0" distR="0">
                <wp:extent cx="5905500" cy="8362950"/>
                <wp:effectExtent l="0" t="0" r="0" b="0"/>
                <wp:docPr id="8" name="图片 8" descr="宁新区新科办发【2020】73号《南京江北新材料科技园企业污水排放管理规定（2020年版）》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宁新区新科办发【2020】73号《南京江北新材料科技园企业污水排放管理规定（2020年版）》_07"/>
                        <pic:cNvPicPr>
                          <a:picLocks noChangeAspect="1"/>
                        </pic:cNvPicPr>
                        <pic:nvPr/>
                      </pic:nvPicPr>
                      <pic:blipFill>
                        <a:blip r:embed="rId21"/>
                        <a:stretch/>
                      </pic:blipFill>
                      <pic:spPr bwMode="auto">
                        <a:xfrm>
                          <a:off x="0" y="0"/>
                          <a:ext cx="5905500" cy="836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5.0pt;height:658.5pt;mso-wrap-distance-left:0.0pt;mso-wrap-distance-top:0.0pt;mso-wrap-distance-right:0.0pt;mso-wrap-distance-bottom:0.0pt;" stroked="f">
                <v:path textboxrect="0,0,0,0"/>
                <v:imagedata r:id="rId21" o:title=""/>
              </v:shape>
            </w:pict>
          </mc:Fallback>
        </mc:AlternateContent>
      </w:r>
      <w:r>
        <w:rPr>
          <w:rFonts w:hint="eastAsia"/>
          <w:lang w:eastAsia="zh-CN"/>
        </w:rPr>
        <mc:AlternateContent>
          <mc:Choice Requires="wpg">
            <w:drawing>
              <wp:inline xmlns:wp="http://schemas.openxmlformats.org/drawingml/2006/wordprocessingDrawing" distT="0" distB="0" distL="0" distR="0">
                <wp:extent cx="5905500" cy="8362950"/>
                <wp:effectExtent l="0" t="0" r="0" b="0"/>
                <wp:docPr id="9" name="图片 9" descr="宁新区新科办发【2020】73号《南京江北新材料科技园企业污水排放管理规定（2020年版）》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宁新区新科办发【2020】73号《南京江北新材料科技园企业污水排放管理规定（2020年版）》_08"/>
                        <pic:cNvPicPr>
                          <a:picLocks noChangeAspect="1"/>
                        </pic:cNvPicPr>
                        <pic:nvPr/>
                      </pic:nvPicPr>
                      <pic:blipFill>
                        <a:blip r:embed="rId22"/>
                        <a:stretch/>
                      </pic:blipFill>
                      <pic:spPr bwMode="auto">
                        <a:xfrm>
                          <a:off x="0" y="0"/>
                          <a:ext cx="5905500" cy="836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0pt;height:658.5pt;mso-wrap-distance-left:0.0pt;mso-wrap-distance-top:0.0pt;mso-wrap-distance-right:0.0pt;mso-wrap-distance-bottom:0.0pt;" stroked="f">
                <v:path textboxrect="0,0,0,0"/>
                <v:imagedata r:id="rId22" o:title=""/>
              </v:shape>
            </w:pict>
          </mc:Fallback>
        </mc:AlternateContent>
      </w:r>
      <w:r/>
    </w:p>
    <w:p>
      <w:pPr>
        <w:pStyle w:val="733"/>
        <w:rPr>
          <w:rFonts w:hint="eastAsia"/>
          <w:lang w:eastAsia="zh-CN"/>
        </w:rPr>
      </w:pPr>
      <w:r>
        <w:rPr>
          <w:rFonts w:hint="eastAsia"/>
          <w:lang w:eastAsia="zh-CN"/>
        </w:rPr>
      </w:r>
      <w:r/>
    </w:p>
    <w:p>
      <w:pPr>
        <w:ind w:firstLine="422"/>
        <w:jc w:val="left"/>
        <w:pageBreakBefore/>
        <w:spacing w:line="360" w:lineRule="auto"/>
        <w:rPr>
          <w:rFonts w:hint="eastAsia" w:ascii="宋体" w:hAnsi="宋体"/>
          <w:b/>
          <w:bCs/>
          <w:szCs w:val="21"/>
        </w:rPr>
      </w:pPr>
      <w:r>
        <w:rPr>
          <w:rFonts w:hint="eastAsia" w:ascii="宋体" w:hAnsi="宋体"/>
          <w:b/>
          <w:bCs/>
          <w:szCs w:val="21"/>
        </w:rPr>
        <w:t xml:space="preserve">附件</w:t>
      </w:r>
      <w:r>
        <w:rPr>
          <w:rFonts w:hint="eastAsia" w:ascii="宋体" w:hAnsi="宋体"/>
          <w:b/>
          <w:bCs/>
          <w:szCs w:val="21"/>
          <w:lang w:val="en-US" w:eastAsia="zh-CN"/>
        </w:rPr>
        <w:t xml:space="preserve">2</w:t>
      </w:r>
      <w:r>
        <w:rPr>
          <w:rFonts w:hint="eastAsia" w:ascii="宋体" w:hAnsi="宋体"/>
          <w:b/>
          <w:bCs/>
          <w:szCs w:val="21"/>
        </w:rPr>
        <w:t xml:space="preserve">《</w:t>
      </w:r>
      <w:r>
        <w:rPr>
          <w:rFonts w:hint="eastAsia" w:ascii="宋体" w:hAnsi="宋体"/>
          <w:b/>
          <w:bCs/>
          <w:szCs w:val="21"/>
          <w:lang w:eastAsia="zh-CN"/>
        </w:rPr>
        <w:t xml:space="preserve">半年考核标准</w:t>
      </w:r>
      <w:r>
        <w:rPr>
          <w:rFonts w:hint="eastAsia" w:ascii="宋体" w:hAnsi="宋体"/>
          <w:b/>
          <w:bCs/>
          <w:szCs w:val="21"/>
        </w:rPr>
        <w:t xml:space="preserve">》</w:t>
      </w:r>
      <w:r/>
    </w:p>
    <w:tbl>
      <w:tblPr>
        <w:tblStyle w:val="1016"/>
        <w:tblW w:w="102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00"/>
        <w:gridCol w:w="1313"/>
        <w:gridCol w:w="5475"/>
        <w:gridCol w:w="700"/>
        <w:gridCol w:w="812"/>
        <w:gridCol w:w="963"/>
      </w:tblGrid>
      <w:tr>
        <w:trPr>
          <w:jc w:val="center"/>
          <w:trHeight w:val="464"/>
        </w:trPr>
        <w:tc>
          <w:tcPr>
            <w:tcW w:w="1000" w:type="dxa"/>
            <w:vAlign w:val="center"/>
            <w:textDirection w:val="lrTb"/>
            <w:noWrap w:val="false"/>
          </w:tcPr>
          <w:p>
            <w:pPr>
              <w:jc w:val="center"/>
              <w:spacing w:line="240" w:lineRule="exact"/>
              <w:rPr>
                <w:rFonts w:ascii="黑体" w:hAnsi="黑体" w:eastAsia="黑体" w:cs="黑体"/>
                <w:color w:val="auto"/>
                <w:sz w:val="20"/>
                <w:szCs w:val="20"/>
              </w:rPr>
            </w:pPr>
            <w:r>
              <w:rPr>
                <w:rFonts w:ascii="黑体" w:hAnsi="黑体" w:eastAsia="黑体" w:cs="黑体"/>
                <w:color w:val="auto"/>
                <w:spacing w:val="3"/>
                <w:sz w:val="20"/>
                <w:szCs w:val="20"/>
              </w:rPr>
              <w:t xml:space="preserve">类别</w:t>
            </w:r>
            <w:r/>
          </w:p>
        </w:tc>
        <w:tc>
          <w:tcPr>
            <w:tcW w:w="1313" w:type="dxa"/>
            <w:vAlign w:val="center"/>
            <w:textDirection w:val="lrTb"/>
            <w:noWrap w:val="false"/>
          </w:tcPr>
          <w:p>
            <w:pPr>
              <w:jc w:val="center"/>
              <w:spacing w:line="240" w:lineRule="exact"/>
              <w:rPr>
                <w:rFonts w:ascii="黑体" w:hAnsi="黑体" w:eastAsia="黑体" w:cs="黑体"/>
                <w:color w:val="auto"/>
                <w:sz w:val="20"/>
                <w:szCs w:val="20"/>
              </w:rPr>
            </w:pPr>
            <w:r>
              <w:rPr>
                <w:rFonts w:ascii="黑体" w:hAnsi="黑体" w:eastAsia="黑体" w:cs="黑体"/>
                <w:color w:val="auto"/>
                <w:spacing w:val="7"/>
                <w:sz w:val="20"/>
                <w:szCs w:val="20"/>
              </w:rPr>
              <w:t xml:space="preserve">项目</w:t>
            </w:r>
            <w:r/>
          </w:p>
        </w:tc>
        <w:tc>
          <w:tcPr>
            <w:tcW w:w="5475" w:type="dxa"/>
            <w:vAlign w:val="center"/>
            <w:textDirection w:val="lrTb"/>
            <w:noWrap w:val="false"/>
          </w:tcPr>
          <w:p>
            <w:pPr>
              <w:jc w:val="center"/>
              <w:spacing w:line="240" w:lineRule="exact"/>
              <w:rPr>
                <w:rFonts w:ascii="黑体" w:hAnsi="黑体" w:eastAsia="黑体" w:cs="黑体"/>
                <w:color w:val="auto"/>
                <w:sz w:val="20"/>
                <w:szCs w:val="20"/>
              </w:rPr>
            </w:pPr>
            <w:r>
              <w:rPr>
                <w:rFonts w:ascii="黑体" w:hAnsi="黑体" w:eastAsia="黑体" w:cs="黑体"/>
                <w:color w:val="auto"/>
                <w:spacing w:val="-3"/>
                <w:sz w:val="20"/>
                <w:szCs w:val="20"/>
              </w:rPr>
              <w:t xml:space="preserve">考核内容</w:t>
            </w:r>
            <w:r/>
          </w:p>
        </w:tc>
        <w:tc>
          <w:tcPr>
            <w:tcW w:w="700" w:type="dxa"/>
            <w:vAlign w:val="center"/>
            <w:textDirection w:val="lrTb"/>
            <w:noWrap w:val="false"/>
          </w:tcPr>
          <w:p>
            <w:pPr>
              <w:jc w:val="center"/>
              <w:spacing w:line="240" w:lineRule="exact"/>
              <w:rPr>
                <w:rFonts w:ascii="黑体" w:hAnsi="黑体" w:eastAsia="黑体" w:cs="黑体"/>
                <w:color w:val="auto"/>
                <w:sz w:val="20"/>
                <w:szCs w:val="20"/>
              </w:rPr>
            </w:pPr>
            <w:r>
              <w:rPr>
                <w:rFonts w:ascii="黑体" w:hAnsi="黑体" w:eastAsia="黑体" w:cs="黑体"/>
                <w:color w:val="auto"/>
                <w:spacing w:val="10"/>
                <w:sz w:val="20"/>
                <w:szCs w:val="20"/>
              </w:rPr>
              <w:t xml:space="preserve">标准分</w:t>
            </w:r>
            <w:r/>
          </w:p>
        </w:tc>
        <w:tc>
          <w:tcPr>
            <w:tcW w:w="812" w:type="dxa"/>
            <w:vAlign w:val="center"/>
            <w:textDirection w:val="lrTb"/>
            <w:noWrap w:val="false"/>
          </w:tcPr>
          <w:p>
            <w:pPr>
              <w:jc w:val="center"/>
              <w:spacing w:line="240" w:lineRule="exact"/>
              <w:rPr>
                <w:rFonts w:ascii="黑体" w:hAnsi="黑体" w:eastAsia="黑体" w:cs="黑体"/>
                <w:color w:val="auto"/>
                <w:sz w:val="20"/>
                <w:szCs w:val="20"/>
              </w:rPr>
            </w:pPr>
            <w:r>
              <w:rPr>
                <w:rFonts w:ascii="黑体" w:hAnsi="黑体" w:eastAsia="黑体" w:cs="黑体"/>
                <w:color w:val="auto"/>
                <w:sz w:val="20"/>
                <w:szCs w:val="20"/>
              </w:rPr>
              <w:t xml:space="preserve">自评分</w:t>
            </w:r>
            <w:r/>
          </w:p>
        </w:tc>
        <w:tc>
          <w:tcPr>
            <w:tcW w:w="963" w:type="dxa"/>
            <w:vAlign w:val="center"/>
            <w:textDirection w:val="lrTb"/>
            <w:noWrap w:val="false"/>
          </w:tcPr>
          <w:p>
            <w:pPr>
              <w:jc w:val="center"/>
              <w:spacing w:line="240" w:lineRule="exact"/>
              <w:rPr>
                <w:rFonts w:ascii="黑体" w:hAnsi="黑体" w:eastAsia="黑体" w:cs="黑体"/>
                <w:color w:val="auto"/>
                <w:sz w:val="20"/>
                <w:szCs w:val="20"/>
              </w:rPr>
            </w:pPr>
            <w:r>
              <w:rPr>
                <w:rFonts w:hint="eastAsia" w:ascii="黑体" w:hAnsi="黑体" w:eastAsia="黑体" w:cs="黑体"/>
                <w:color w:val="auto"/>
                <w:spacing w:val="9"/>
                <w:sz w:val="20"/>
                <w:szCs w:val="20"/>
                <w:lang w:eastAsia="zh-CN"/>
              </w:rPr>
              <w:t xml:space="preserve">甲方</w:t>
            </w:r>
            <w:r>
              <w:rPr>
                <w:rFonts w:ascii="黑体" w:hAnsi="黑体" w:eastAsia="黑体" w:cs="黑体"/>
                <w:color w:val="auto"/>
                <w:spacing w:val="9"/>
                <w:sz w:val="20"/>
                <w:szCs w:val="20"/>
              </w:rPr>
              <w:t xml:space="preserve">评分</w:t>
            </w:r>
            <w:r/>
          </w:p>
        </w:tc>
      </w:tr>
      <w:tr>
        <w:trPr>
          <w:jc w:val="center"/>
          <w:trHeight w:val="1189"/>
        </w:trPr>
        <w:tc>
          <w:tcPr>
            <w:tcBorders>
              <w:top w:val="none" w:color="000000" w:sz="4" w:space="0"/>
            </w:tcBorders>
            <w:tcW w:w="1000" w:type="dxa"/>
            <w:vAlign w:val="center"/>
            <w:textDirection w:val="lrTb"/>
            <w:noWrap w:val="false"/>
          </w:tcPr>
          <w:p>
            <w:pPr>
              <w:pStyle w:val="1010"/>
              <w:jc w:val="center"/>
              <w:spacing w:line="240" w:lineRule="exact"/>
              <w:widowControl w:val="off"/>
              <w:rPr>
                <w:rFonts w:hint="eastAsia" w:eastAsia="宋体"/>
                <w:color w:val="auto"/>
                <w:sz w:val="24"/>
                <w:szCs w:val="24"/>
                <w:lang w:eastAsia="zh-CN"/>
              </w:rPr>
            </w:pPr>
            <w:r>
              <w:rPr>
                <w:rFonts w:hint="eastAsia" w:ascii="宋体" w:hAnsi="宋体" w:eastAsia="宋体" w:cs="宋体"/>
                <w:color w:val="auto"/>
                <w:spacing w:val="8"/>
                <w:sz w:val="20"/>
                <w:szCs w:val="20"/>
                <w:lang w:val="en-US" w:eastAsia="zh-CN" w:bidi="ar-SA"/>
              </w:rPr>
              <w:t xml:space="preserve">环境（</w:t>
            </w:r>
            <w:r>
              <w:rPr>
                <w:rFonts w:hint="eastAsia" w:cs="宋体"/>
                <w:color w:val="auto"/>
                <w:spacing w:val="8"/>
                <w:sz w:val="20"/>
                <w:szCs w:val="20"/>
                <w:lang w:val="en-US" w:eastAsia="zh-CN" w:bidi="ar-SA"/>
              </w:rPr>
              <w:t xml:space="preserve">16</w:t>
            </w:r>
            <w:r>
              <w:rPr>
                <w:rFonts w:hint="eastAsia" w:ascii="宋体" w:hAnsi="宋体" w:eastAsia="宋体" w:cs="宋体"/>
                <w:color w:val="auto"/>
                <w:spacing w:val="8"/>
                <w:sz w:val="20"/>
                <w:szCs w:val="20"/>
                <w:lang w:val="en-US" w:eastAsia="zh-CN" w:bidi="ar-SA"/>
              </w:rPr>
              <w:t xml:space="preserve">分）</w:t>
            </w:r>
            <w:r/>
          </w:p>
        </w:tc>
        <w:tc>
          <w:tcPr>
            <w:tcW w:w="1313" w:type="dxa"/>
            <w:vAlign w:val="center"/>
            <w:textDirection w:val="lrTb"/>
            <w:noWrap w:val="false"/>
          </w:tcPr>
          <w:p>
            <w:pPr>
              <w:jc w:val="center"/>
              <w:spacing w:line="240" w:lineRule="exact"/>
              <w:rPr>
                <w:rFonts w:ascii="宋体" w:hAnsi="宋体" w:eastAsia="宋体" w:cs="宋体"/>
                <w:color w:val="auto"/>
                <w:sz w:val="19"/>
                <w:szCs w:val="19"/>
              </w:rPr>
            </w:pPr>
            <w:r>
              <w:rPr>
                <w:rFonts w:ascii="宋体" w:hAnsi="宋体" w:eastAsia="宋体" w:cs="宋体"/>
                <w:color w:val="auto"/>
                <w:spacing w:val="9"/>
                <w:sz w:val="19"/>
                <w:szCs w:val="19"/>
              </w:rPr>
              <w:t xml:space="preserve">站容站貌</w:t>
            </w:r>
            <w:r/>
          </w:p>
        </w:tc>
        <w:tc>
          <w:tcPr>
            <w:tcW w:w="5475" w:type="dxa"/>
            <w:vAlign w:val="center"/>
            <w:textDirection w:val="lrTb"/>
            <w:noWrap w:val="false"/>
          </w:tcPr>
          <w:p>
            <w:pPr>
              <w:jc w:val="left"/>
              <w:spacing w:line="200" w:lineRule="exact"/>
              <w:rPr>
                <w:rFonts w:hint="eastAsia" w:ascii="仿宋" w:hAnsi="仿宋" w:eastAsia="仿宋" w:cs="仿宋"/>
                <w:color w:val="auto"/>
                <w:spacing w:val="7"/>
                <w:sz w:val="19"/>
                <w:szCs w:val="19"/>
                <w:lang w:val="en-US" w:eastAsia="zh-CN"/>
              </w:rPr>
            </w:pPr>
            <w:r>
              <w:rPr>
                <w:rFonts w:hint="eastAsia" w:ascii="仿宋" w:hAnsi="仿宋" w:eastAsia="仿宋" w:cs="仿宋"/>
                <w:color w:val="auto"/>
                <w:spacing w:val="7"/>
                <w:sz w:val="19"/>
                <w:szCs w:val="19"/>
                <w:lang w:eastAsia="zh-CN"/>
              </w:rPr>
              <w:t xml:space="preserve">（</w:t>
            </w:r>
            <w:r>
              <w:rPr>
                <w:rFonts w:hint="eastAsia" w:ascii="仿宋" w:hAnsi="仿宋" w:eastAsia="仿宋" w:cs="仿宋"/>
                <w:color w:val="auto"/>
                <w:spacing w:val="7"/>
                <w:sz w:val="19"/>
                <w:szCs w:val="19"/>
                <w:lang w:val="en-US" w:eastAsia="zh-CN"/>
              </w:rPr>
              <w:t xml:space="preserve">1</w:t>
            </w:r>
            <w:r>
              <w:rPr>
                <w:rFonts w:hint="eastAsia" w:ascii="仿宋" w:hAnsi="仿宋" w:eastAsia="仿宋" w:cs="仿宋"/>
                <w:color w:val="auto"/>
                <w:spacing w:val="7"/>
                <w:sz w:val="19"/>
                <w:szCs w:val="19"/>
                <w:lang w:eastAsia="zh-CN"/>
              </w:rPr>
              <w:t xml:space="preserve">）污水站</w:t>
            </w:r>
            <w:r>
              <w:rPr>
                <w:rFonts w:ascii="仿宋" w:hAnsi="仿宋" w:eastAsia="仿宋" w:cs="仿宋"/>
                <w:color w:val="auto"/>
                <w:spacing w:val="7"/>
                <w:sz w:val="19"/>
                <w:szCs w:val="19"/>
              </w:rPr>
              <w:t xml:space="preserve">管理范围整洁有序，无杂物堆放，无垃圾，得</w:t>
            </w:r>
            <w:r>
              <w:rPr>
                <w:rFonts w:hint="eastAsia" w:ascii="仿宋" w:hAnsi="仿宋" w:eastAsia="仿宋" w:cs="仿宋"/>
                <w:color w:val="auto"/>
                <w:spacing w:val="7"/>
                <w:sz w:val="19"/>
                <w:szCs w:val="19"/>
                <w:lang w:val="en-US" w:eastAsia="zh-CN"/>
              </w:rPr>
              <w:t xml:space="preserve">12</w:t>
            </w:r>
            <w:r>
              <w:rPr>
                <w:rFonts w:ascii="仿宋" w:hAnsi="仿宋" w:eastAsia="仿宋" w:cs="仿宋"/>
                <w:color w:val="auto"/>
                <w:spacing w:val="7"/>
                <w:sz w:val="19"/>
                <w:szCs w:val="19"/>
              </w:rPr>
              <w:t xml:space="preserve">分</w:t>
            </w:r>
            <w:r>
              <w:rPr>
                <w:rFonts w:hint="eastAsia" w:ascii="仿宋" w:hAnsi="仿宋" w:eastAsia="仿宋" w:cs="仿宋"/>
                <w:color w:val="auto"/>
                <w:spacing w:val="7"/>
                <w:sz w:val="19"/>
                <w:szCs w:val="19"/>
                <w:lang w:eastAsia="zh-CN"/>
              </w:rPr>
              <w:t xml:space="preserve">；每有一处不满足要求扣</w:t>
            </w:r>
            <w:r>
              <w:rPr>
                <w:rFonts w:hint="eastAsia" w:ascii="仿宋" w:hAnsi="仿宋" w:eastAsia="仿宋" w:cs="仿宋"/>
                <w:color w:val="auto"/>
                <w:spacing w:val="7"/>
                <w:sz w:val="19"/>
                <w:szCs w:val="19"/>
                <w:lang w:val="en-US" w:eastAsia="zh-CN"/>
              </w:rPr>
              <w:t xml:space="preserve">2分，扣完为止。</w:t>
            </w:r>
            <w:r/>
          </w:p>
          <w:p>
            <w:pPr>
              <w:jc w:val="left"/>
              <w:spacing w:line="200" w:lineRule="exact"/>
              <w:rPr>
                <w:rFonts w:hint="default" w:ascii="仿宋" w:hAnsi="仿宋" w:eastAsia="仿宋" w:cs="仿宋"/>
                <w:color w:val="auto"/>
                <w:sz w:val="19"/>
                <w:szCs w:val="19"/>
                <w:lang w:val="en-US" w:eastAsia="zh-CN"/>
              </w:rPr>
            </w:pPr>
            <w:r>
              <w:rPr>
                <w:rFonts w:hint="eastAsia" w:ascii="仿宋" w:hAnsi="仿宋" w:eastAsia="仿宋" w:cs="仿宋"/>
                <w:color w:val="auto"/>
                <w:spacing w:val="7"/>
                <w:sz w:val="19"/>
                <w:szCs w:val="19"/>
                <w:lang w:val="en-US" w:eastAsia="zh-CN"/>
              </w:rPr>
              <w:t xml:space="preserve">（2）相关标识标牌需张贴全面，内容准确，得4分，否则不得分。</w:t>
            </w:r>
            <w:r/>
          </w:p>
        </w:tc>
        <w:tc>
          <w:tcPr>
            <w:tcW w:w="700" w:type="dxa"/>
            <w:vAlign w:val="center"/>
            <w:textDirection w:val="lrTb"/>
            <w:noWrap w:val="false"/>
          </w:tcPr>
          <w:p>
            <w:pPr>
              <w:jc w:val="center"/>
              <w:spacing w:line="240" w:lineRule="exact"/>
              <w:rPr>
                <w:rFonts w:hint="default" w:ascii="仿宋" w:hAnsi="仿宋" w:eastAsia="仿宋" w:cs="仿宋"/>
                <w:color w:val="auto"/>
                <w:sz w:val="19"/>
                <w:szCs w:val="19"/>
                <w:lang w:val="en-US" w:eastAsia="zh-CN"/>
              </w:rPr>
            </w:pPr>
            <w:r>
              <w:rPr>
                <w:rFonts w:hint="eastAsia" w:ascii="仿宋" w:hAnsi="仿宋" w:eastAsia="仿宋" w:cs="仿宋"/>
                <w:color w:val="auto"/>
                <w:spacing w:val="-2"/>
                <w:sz w:val="19"/>
                <w:szCs w:val="19"/>
                <w:lang w:val="en-US" w:eastAsia="zh-CN"/>
              </w:rPr>
              <w:t xml:space="preserve">16</w:t>
            </w:r>
            <w:r/>
          </w:p>
        </w:tc>
        <w:tc>
          <w:tcPr>
            <w:tcW w:w="812"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963"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r>
      <w:tr>
        <w:trPr>
          <w:jc w:val="center"/>
          <w:trHeight w:val="555"/>
        </w:trPr>
        <w:tc>
          <w:tcPr>
            <w:tcBorders>
              <w:bottom w:val="none" w:color="000000" w:sz="4" w:space="0"/>
            </w:tcBorders>
            <w:tcW w:w="1000" w:type="dxa"/>
            <w:vAlign w:val="center"/>
            <w:vMerge w:val="restart"/>
            <w:textDirection w:val="lrTb"/>
            <w:noWrap w:val="false"/>
          </w:tcPr>
          <w:p>
            <w:pPr>
              <w:ind w:right="113" w:hanging="2"/>
              <w:jc w:val="center"/>
              <w:spacing w:line="240" w:lineRule="exact"/>
              <w:rPr>
                <w:rFonts w:ascii="宋体" w:hAnsi="宋体" w:eastAsia="宋体" w:cs="宋体"/>
                <w:color w:val="auto"/>
                <w:spacing w:val="8"/>
                <w:sz w:val="20"/>
                <w:szCs w:val="20"/>
              </w:rPr>
            </w:pPr>
            <w:r>
              <w:rPr>
                <w:rFonts w:ascii="宋体" w:hAnsi="宋体" w:eastAsia="宋体" w:cs="宋体"/>
                <w:color w:val="auto"/>
                <w:spacing w:val="8"/>
                <w:sz w:val="20"/>
                <w:szCs w:val="20"/>
              </w:rPr>
              <w:t xml:space="preserve">制度建设</w:t>
            </w:r>
            <w:r/>
          </w:p>
          <w:p>
            <w:pPr>
              <w:ind w:right="113" w:hanging="2"/>
              <w:jc w:val="center"/>
              <w:spacing w:line="240" w:lineRule="exact"/>
              <w:rPr>
                <w:rFonts w:ascii="宋体" w:hAnsi="宋体" w:eastAsia="宋体" w:cs="宋体"/>
                <w:color w:val="auto"/>
                <w:sz w:val="20"/>
                <w:szCs w:val="20"/>
              </w:rPr>
            </w:pPr>
            <w:r>
              <w:rPr>
                <w:rFonts w:ascii="宋体" w:hAnsi="宋体" w:eastAsia="宋体" w:cs="宋体"/>
                <w:color w:val="auto"/>
                <w:spacing w:val="4"/>
                <w:sz w:val="20"/>
                <w:szCs w:val="20"/>
              </w:rPr>
              <w:t xml:space="preserve">（2</w:t>
            </w:r>
            <w:r>
              <w:rPr>
                <w:rFonts w:hint="eastAsia" w:ascii="宋体" w:hAnsi="宋体" w:eastAsia="宋体" w:cs="宋体"/>
                <w:color w:val="auto"/>
                <w:spacing w:val="4"/>
                <w:sz w:val="20"/>
                <w:szCs w:val="20"/>
              </w:rPr>
              <w:t xml:space="preserve">2</w:t>
            </w:r>
            <w:r>
              <w:rPr>
                <w:rFonts w:ascii="宋体" w:hAnsi="宋体" w:eastAsia="宋体" w:cs="宋体"/>
                <w:color w:val="auto"/>
                <w:spacing w:val="4"/>
                <w:sz w:val="20"/>
                <w:szCs w:val="20"/>
              </w:rPr>
              <w:t xml:space="preserve">分）</w:t>
            </w:r>
            <w:r/>
          </w:p>
        </w:tc>
        <w:tc>
          <w:tcPr>
            <w:tcW w:w="1313" w:type="dxa"/>
            <w:vAlign w:val="center"/>
            <w:textDirection w:val="lrTb"/>
            <w:noWrap w:val="false"/>
          </w:tcPr>
          <w:p>
            <w:pPr>
              <w:jc w:val="center"/>
              <w:spacing w:line="240" w:lineRule="exact"/>
              <w:rPr>
                <w:rFonts w:ascii="宋体" w:hAnsi="宋体" w:eastAsia="宋体" w:cs="宋体"/>
                <w:color w:val="auto"/>
                <w:sz w:val="19"/>
                <w:szCs w:val="19"/>
              </w:rPr>
            </w:pPr>
            <w:r>
              <w:rPr>
                <w:rFonts w:ascii="宋体" w:hAnsi="宋体" w:eastAsia="宋体" w:cs="宋体"/>
                <w:color w:val="auto"/>
                <w:spacing w:val="4"/>
                <w:sz w:val="19"/>
                <w:szCs w:val="19"/>
              </w:rPr>
              <w:t xml:space="preserve">岗位责任</w:t>
            </w:r>
            <w:r/>
          </w:p>
        </w:tc>
        <w:tc>
          <w:tcPr>
            <w:tcW w:w="5475" w:type="dxa"/>
            <w:vAlign w:val="center"/>
            <w:textDirection w:val="lrTb"/>
            <w:noWrap w:val="false"/>
          </w:tcPr>
          <w:p>
            <w:pPr>
              <w:jc w:val="left"/>
              <w:spacing w:line="200" w:lineRule="exact"/>
              <w:rPr>
                <w:rFonts w:hint="eastAsia" w:ascii="仿宋" w:hAnsi="仿宋" w:eastAsia="仿宋" w:cs="仿宋"/>
                <w:color w:val="auto"/>
                <w:spacing w:val="7"/>
                <w:sz w:val="19"/>
                <w:szCs w:val="19"/>
                <w:lang w:eastAsia="zh-CN"/>
              </w:rPr>
            </w:pPr>
            <w:r>
              <w:rPr>
                <w:rFonts w:hint="eastAsia" w:ascii="仿宋" w:hAnsi="仿宋" w:eastAsia="仿宋" w:cs="仿宋"/>
                <w:color w:val="auto"/>
                <w:spacing w:val="7"/>
                <w:sz w:val="19"/>
                <w:szCs w:val="19"/>
              </w:rPr>
              <w:t xml:space="preserve">项</w:t>
            </w:r>
            <w:r>
              <w:rPr>
                <w:rFonts w:ascii="仿宋" w:hAnsi="仿宋" w:eastAsia="仿宋" w:cs="仿宋"/>
                <w:color w:val="auto"/>
                <w:spacing w:val="7"/>
                <w:sz w:val="19"/>
                <w:szCs w:val="19"/>
              </w:rPr>
              <w:t xml:space="preserve">目负责人责任制，得2分；运行人员责任制，得2分；安全生产管理员责任制，得2分</w:t>
            </w:r>
            <w:r>
              <w:rPr>
                <w:rFonts w:hint="eastAsia" w:ascii="仿宋" w:hAnsi="仿宋" w:eastAsia="仿宋" w:cs="仿宋"/>
                <w:color w:val="auto"/>
                <w:spacing w:val="7"/>
                <w:sz w:val="19"/>
                <w:szCs w:val="19"/>
                <w:lang w:eastAsia="zh-CN"/>
              </w:rPr>
              <w:t xml:space="preserve">；不满足不得分。</w:t>
            </w:r>
            <w:r/>
          </w:p>
        </w:tc>
        <w:tc>
          <w:tcPr>
            <w:tcW w:w="700" w:type="dxa"/>
            <w:vAlign w:val="center"/>
            <w:textDirection w:val="lrTb"/>
            <w:noWrap w:val="false"/>
          </w:tcPr>
          <w:p>
            <w:pPr>
              <w:jc w:val="center"/>
              <w:spacing w:line="240" w:lineRule="exact"/>
              <w:rPr>
                <w:rFonts w:ascii="仿宋" w:hAnsi="仿宋" w:eastAsia="仿宋" w:cs="仿宋"/>
                <w:color w:val="auto"/>
                <w:sz w:val="19"/>
                <w:szCs w:val="19"/>
              </w:rPr>
            </w:pPr>
            <w:r>
              <w:rPr>
                <w:rFonts w:ascii="仿宋" w:hAnsi="仿宋" w:eastAsia="仿宋" w:cs="仿宋"/>
                <w:color w:val="auto"/>
                <w:sz w:val="19"/>
                <w:szCs w:val="19"/>
              </w:rPr>
              <w:t xml:space="preserve">6</w:t>
            </w:r>
            <w:r/>
          </w:p>
        </w:tc>
        <w:tc>
          <w:tcPr>
            <w:tcW w:w="812"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963"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r>
      <w:tr>
        <w:trPr>
          <w:jc w:val="center"/>
          <w:trHeight w:val="556"/>
        </w:trPr>
        <w:tc>
          <w:tcPr>
            <w:tcBorders>
              <w:top w:val="none" w:color="000000" w:sz="4" w:space="0"/>
              <w:bottom w:val="none" w:color="000000" w:sz="4" w:space="0"/>
            </w:tcBorders>
            <w:tcW w:w="1000" w:type="dxa"/>
            <w:vAlign w:val="center"/>
            <w:vMerge w:val="continue"/>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1313" w:type="dxa"/>
            <w:vAlign w:val="center"/>
            <w:textDirection w:val="lrTb"/>
            <w:noWrap w:val="false"/>
          </w:tcPr>
          <w:p>
            <w:pPr>
              <w:jc w:val="center"/>
              <w:spacing w:line="240" w:lineRule="exact"/>
              <w:rPr>
                <w:rFonts w:ascii="宋体" w:hAnsi="宋体" w:eastAsia="宋体" w:cs="宋体"/>
                <w:color w:val="auto"/>
                <w:sz w:val="19"/>
                <w:szCs w:val="19"/>
              </w:rPr>
            </w:pPr>
            <w:r>
              <w:rPr>
                <w:rFonts w:ascii="宋体" w:hAnsi="宋体" w:eastAsia="宋体" w:cs="宋体"/>
                <w:color w:val="auto"/>
                <w:spacing w:val="9"/>
                <w:sz w:val="19"/>
                <w:szCs w:val="19"/>
              </w:rPr>
              <w:t xml:space="preserve">管理制度</w:t>
            </w:r>
            <w:r/>
          </w:p>
        </w:tc>
        <w:tc>
          <w:tcPr>
            <w:tcW w:w="5475" w:type="dxa"/>
            <w:vAlign w:val="center"/>
            <w:textDirection w:val="lrTb"/>
            <w:noWrap w:val="false"/>
          </w:tcPr>
          <w:p>
            <w:pPr>
              <w:jc w:val="left"/>
              <w:spacing w:line="200" w:lineRule="exact"/>
              <w:rPr>
                <w:rFonts w:ascii="仿宋" w:hAnsi="仿宋" w:eastAsia="仿宋" w:cs="仿宋"/>
                <w:color w:val="auto"/>
                <w:spacing w:val="7"/>
                <w:sz w:val="19"/>
                <w:szCs w:val="19"/>
              </w:rPr>
            </w:pPr>
            <w:r>
              <w:rPr>
                <w:rFonts w:ascii="仿宋" w:hAnsi="仿宋" w:eastAsia="仿宋" w:cs="仿宋"/>
                <w:color w:val="auto"/>
                <w:spacing w:val="7"/>
                <w:sz w:val="19"/>
                <w:szCs w:val="19"/>
              </w:rPr>
              <w:t xml:space="preserve">安全保卫制度，得2分；养护维修制度，得2分；运行值班制度，得2分</w:t>
            </w:r>
            <w:r>
              <w:rPr>
                <w:rFonts w:hint="eastAsia" w:ascii="仿宋" w:hAnsi="仿宋" w:eastAsia="仿宋" w:cs="仿宋"/>
                <w:color w:val="auto"/>
                <w:spacing w:val="7"/>
                <w:sz w:val="19"/>
                <w:szCs w:val="19"/>
                <w:lang w:eastAsia="zh-CN"/>
              </w:rPr>
              <w:t xml:space="preserve">；不满足不得分。</w:t>
            </w:r>
            <w:r/>
          </w:p>
        </w:tc>
        <w:tc>
          <w:tcPr>
            <w:tcW w:w="700" w:type="dxa"/>
            <w:vAlign w:val="center"/>
            <w:textDirection w:val="lrTb"/>
            <w:noWrap w:val="false"/>
          </w:tcPr>
          <w:p>
            <w:pPr>
              <w:jc w:val="center"/>
              <w:spacing w:line="240" w:lineRule="exact"/>
              <w:rPr>
                <w:rFonts w:ascii="仿宋" w:hAnsi="仿宋" w:eastAsia="仿宋" w:cs="仿宋"/>
                <w:color w:val="auto"/>
                <w:sz w:val="19"/>
                <w:szCs w:val="19"/>
              </w:rPr>
            </w:pPr>
            <w:r>
              <w:rPr>
                <w:rFonts w:ascii="仿宋" w:hAnsi="仿宋" w:eastAsia="仿宋" w:cs="仿宋"/>
                <w:color w:val="auto"/>
                <w:sz w:val="19"/>
                <w:szCs w:val="19"/>
              </w:rPr>
              <w:t xml:space="preserve">6</w:t>
            </w:r>
            <w:r/>
          </w:p>
        </w:tc>
        <w:tc>
          <w:tcPr>
            <w:tcW w:w="812"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963"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r>
      <w:tr>
        <w:trPr>
          <w:jc w:val="center"/>
          <w:trHeight w:val="642"/>
        </w:trPr>
        <w:tc>
          <w:tcPr>
            <w:tcBorders>
              <w:top w:val="none" w:color="000000" w:sz="4" w:space="0"/>
            </w:tcBorders>
            <w:tcW w:w="1000" w:type="dxa"/>
            <w:vAlign w:val="center"/>
            <w:vMerge w:val="continue"/>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1313" w:type="dxa"/>
            <w:vAlign w:val="center"/>
            <w:textDirection w:val="lrTb"/>
            <w:noWrap w:val="false"/>
          </w:tcPr>
          <w:p>
            <w:pPr>
              <w:jc w:val="center"/>
              <w:spacing w:line="240" w:lineRule="exact"/>
              <w:rPr>
                <w:rFonts w:ascii="宋体" w:hAnsi="宋体" w:eastAsia="宋体" w:cs="宋体"/>
                <w:color w:val="auto"/>
                <w:sz w:val="19"/>
                <w:szCs w:val="19"/>
              </w:rPr>
            </w:pPr>
            <w:r>
              <w:rPr>
                <w:rFonts w:ascii="宋体" w:hAnsi="宋体" w:eastAsia="宋体" w:cs="宋体"/>
                <w:color w:val="auto"/>
                <w:spacing w:val="9"/>
                <w:sz w:val="19"/>
                <w:szCs w:val="19"/>
              </w:rPr>
              <w:t xml:space="preserve">操作规程及运行</w:t>
            </w:r>
            <w:r/>
          </w:p>
        </w:tc>
        <w:tc>
          <w:tcPr>
            <w:tcW w:w="5475" w:type="dxa"/>
            <w:vAlign w:val="center"/>
            <w:textDirection w:val="lrTb"/>
            <w:noWrap w:val="false"/>
          </w:tcPr>
          <w:p>
            <w:pPr>
              <w:jc w:val="left"/>
              <w:widowControl/>
              <w:rPr>
                <w:rFonts w:ascii="仿宋" w:hAnsi="仿宋" w:eastAsia="仿宋" w:cs="仿宋"/>
                <w:color w:val="auto"/>
                <w:spacing w:val="7"/>
                <w:sz w:val="19"/>
                <w:szCs w:val="19"/>
              </w:rPr>
            </w:pPr>
            <w:r>
              <w:rPr>
                <w:rFonts w:hint="eastAsia" w:ascii="仿宋" w:hAnsi="仿宋" w:eastAsia="仿宋" w:cs="仿宋"/>
                <w:color w:val="auto"/>
                <w:spacing w:val="7"/>
                <w:sz w:val="19"/>
                <w:szCs w:val="19"/>
                <w:lang w:eastAsia="zh-CN"/>
              </w:rPr>
              <w:t xml:space="preserve">污水收集系统设施、设备、仪器、仪表</w:t>
            </w:r>
            <w:r>
              <w:rPr>
                <w:rFonts w:ascii="仿宋" w:hAnsi="仿宋" w:eastAsia="仿宋" w:cs="仿宋"/>
                <w:color w:val="auto"/>
                <w:spacing w:val="7"/>
                <w:sz w:val="19"/>
                <w:szCs w:val="19"/>
              </w:rPr>
              <w:t xml:space="preserve">操作规程，得2分；电机操作规程，得2分；配电设备操作规程，得2分；其它辅助设备</w:t>
            </w:r>
            <w:r>
              <w:rPr>
                <w:rFonts w:hint="eastAsia" w:ascii="仿宋" w:hAnsi="仿宋" w:eastAsia="仿宋" w:cs="仿宋"/>
                <w:color w:val="auto"/>
                <w:spacing w:val="7"/>
                <w:sz w:val="19"/>
                <w:szCs w:val="19"/>
              </w:rPr>
              <w:t xml:space="preserve">操作规程，得</w:t>
            </w:r>
            <w:r>
              <w:rPr>
                <w:rFonts w:ascii="仿宋" w:hAnsi="仿宋" w:eastAsia="仿宋" w:cs="仿宋"/>
                <w:color w:val="auto"/>
                <w:spacing w:val="7"/>
                <w:sz w:val="19"/>
                <w:szCs w:val="19"/>
              </w:rPr>
              <w:t xml:space="preserve">2</w:t>
            </w:r>
            <w:r>
              <w:rPr>
                <w:rFonts w:hint="eastAsia" w:ascii="仿宋" w:hAnsi="仿宋" w:eastAsia="仿宋" w:cs="仿宋"/>
                <w:color w:val="auto"/>
                <w:spacing w:val="7"/>
                <w:sz w:val="19"/>
                <w:szCs w:val="19"/>
              </w:rPr>
              <w:t xml:space="preserve">分；</w:t>
            </w:r>
            <w:r>
              <w:rPr>
                <w:rFonts w:ascii="仿宋" w:hAnsi="仿宋" w:eastAsia="仿宋" w:cs="仿宋"/>
                <w:color w:val="auto"/>
                <w:spacing w:val="7"/>
                <w:sz w:val="19"/>
                <w:szCs w:val="19"/>
              </w:rPr>
              <w:t xml:space="preserve">操作现场有规范的运行日志，得</w:t>
            </w:r>
            <w:r>
              <w:rPr>
                <w:rFonts w:hint="eastAsia" w:ascii="仿宋" w:hAnsi="仿宋" w:eastAsia="仿宋" w:cs="仿宋"/>
                <w:color w:val="auto"/>
                <w:spacing w:val="7"/>
                <w:sz w:val="19"/>
                <w:szCs w:val="19"/>
              </w:rPr>
              <w:t xml:space="preserve">2</w:t>
            </w:r>
            <w:r>
              <w:rPr>
                <w:rFonts w:ascii="仿宋" w:hAnsi="仿宋" w:eastAsia="仿宋" w:cs="仿宋"/>
                <w:color w:val="auto"/>
                <w:spacing w:val="7"/>
                <w:sz w:val="19"/>
                <w:szCs w:val="19"/>
              </w:rPr>
              <w:t xml:space="preserve">分；</w:t>
            </w:r>
            <w:r>
              <w:rPr>
                <w:rFonts w:hint="eastAsia" w:ascii="仿宋" w:hAnsi="仿宋" w:eastAsia="仿宋" w:cs="仿宋"/>
                <w:color w:val="auto"/>
                <w:spacing w:val="7"/>
                <w:sz w:val="19"/>
                <w:szCs w:val="19"/>
                <w:lang w:eastAsia="zh-CN"/>
              </w:rPr>
              <w:t xml:space="preserve">不满足不得分。</w:t>
            </w:r>
            <w:r/>
          </w:p>
        </w:tc>
        <w:tc>
          <w:tcPr>
            <w:tcW w:w="700" w:type="dxa"/>
            <w:vAlign w:val="center"/>
            <w:textDirection w:val="lrTb"/>
            <w:noWrap w:val="false"/>
          </w:tcPr>
          <w:p>
            <w:pPr>
              <w:jc w:val="center"/>
              <w:spacing w:line="240" w:lineRule="exact"/>
              <w:rPr>
                <w:rFonts w:ascii="仿宋" w:hAnsi="仿宋" w:eastAsia="仿宋" w:cs="仿宋"/>
                <w:color w:val="auto"/>
                <w:sz w:val="19"/>
                <w:szCs w:val="19"/>
              </w:rPr>
            </w:pPr>
            <w:r>
              <w:rPr>
                <w:rFonts w:hint="eastAsia" w:ascii="仿宋" w:hAnsi="仿宋" w:eastAsia="仿宋" w:cs="仿宋"/>
                <w:color w:val="auto"/>
                <w:sz w:val="19"/>
                <w:szCs w:val="19"/>
              </w:rPr>
              <w:t xml:space="preserve">10</w:t>
            </w:r>
            <w:r/>
          </w:p>
        </w:tc>
        <w:tc>
          <w:tcPr>
            <w:tcW w:w="812"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963"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r>
      <w:tr>
        <w:trPr>
          <w:jc w:val="center"/>
          <w:trHeight w:val="1130"/>
        </w:trPr>
        <w:tc>
          <w:tcPr>
            <w:tcW w:w="1000" w:type="dxa"/>
            <w:vAlign w:val="center"/>
            <w:vMerge w:val="restart"/>
            <w:textDirection w:val="lrTb"/>
            <w:noWrap w:val="false"/>
          </w:tcPr>
          <w:p>
            <w:pPr>
              <w:ind w:right="113" w:hanging="4"/>
              <w:jc w:val="center"/>
              <w:spacing w:line="240" w:lineRule="exact"/>
              <w:rPr>
                <w:rFonts w:ascii="宋体" w:hAnsi="宋体" w:eastAsia="宋体" w:cs="宋体"/>
                <w:color w:val="auto"/>
                <w:spacing w:val="9"/>
                <w:sz w:val="20"/>
                <w:szCs w:val="20"/>
              </w:rPr>
            </w:pPr>
            <w:r>
              <w:rPr>
                <w:rFonts w:ascii="宋体" w:hAnsi="宋体" w:eastAsia="宋体" w:cs="宋体"/>
                <w:color w:val="auto"/>
                <w:spacing w:val="9"/>
                <w:sz w:val="20"/>
                <w:szCs w:val="20"/>
              </w:rPr>
              <w:t xml:space="preserve">现场管理</w:t>
            </w:r>
            <w:r/>
          </w:p>
          <w:p>
            <w:pPr>
              <w:ind w:right="113" w:hanging="4"/>
              <w:jc w:val="center"/>
              <w:spacing w:line="240" w:lineRule="exact"/>
              <w:rPr>
                <w:rFonts w:ascii="宋体" w:hAnsi="宋体" w:eastAsia="宋体" w:cs="宋体"/>
                <w:color w:val="auto"/>
                <w:sz w:val="20"/>
                <w:szCs w:val="20"/>
              </w:rPr>
            </w:pPr>
            <w:r>
              <w:rPr>
                <w:rFonts w:ascii="宋体" w:hAnsi="宋体" w:eastAsia="宋体" w:cs="宋体"/>
                <w:color w:val="auto"/>
                <w:spacing w:val="4"/>
                <w:sz w:val="20"/>
                <w:szCs w:val="20"/>
              </w:rPr>
              <w:t xml:space="preserve">（</w:t>
            </w:r>
            <w:r>
              <w:rPr>
                <w:rFonts w:hint="eastAsia" w:ascii="宋体" w:hAnsi="宋体" w:cs="宋体"/>
                <w:color w:val="auto"/>
                <w:spacing w:val="4"/>
                <w:sz w:val="20"/>
                <w:szCs w:val="20"/>
                <w:lang w:val="en-US" w:eastAsia="zh-CN"/>
              </w:rPr>
              <w:t xml:space="preserve">42</w:t>
            </w:r>
            <w:r>
              <w:rPr>
                <w:rFonts w:ascii="宋体" w:hAnsi="宋体" w:eastAsia="宋体" w:cs="宋体"/>
                <w:color w:val="auto"/>
                <w:spacing w:val="4"/>
                <w:sz w:val="20"/>
                <w:szCs w:val="20"/>
              </w:rPr>
              <w:t xml:space="preserve">分）</w:t>
            </w:r>
            <w:r/>
          </w:p>
        </w:tc>
        <w:tc>
          <w:tcPr>
            <w:tcW w:w="1313" w:type="dxa"/>
            <w:vAlign w:val="center"/>
            <w:textDirection w:val="lrTb"/>
            <w:noWrap w:val="false"/>
          </w:tcPr>
          <w:p>
            <w:pPr>
              <w:jc w:val="center"/>
              <w:spacing w:line="240" w:lineRule="exact"/>
              <w:rPr>
                <w:rFonts w:hint="eastAsia" w:ascii="宋体" w:hAnsi="宋体" w:eastAsia="宋体" w:cs="宋体"/>
                <w:color w:val="auto"/>
                <w:sz w:val="19"/>
                <w:szCs w:val="19"/>
                <w:lang w:eastAsia="zh-CN"/>
              </w:rPr>
            </w:pPr>
            <w:r>
              <w:rPr>
                <w:rFonts w:hint="eastAsia" w:ascii="宋体" w:hAnsi="宋体" w:cs="宋体"/>
                <w:color w:val="auto"/>
                <w:spacing w:val="7"/>
                <w:sz w:val="19"/>
                <w:szCs w:val="19"/>
                <w:lang w:eastAsia="zh-CN"/>
              </w:rPr>
              <w:t xml:space="preserve">运维养护</w:t>
            </w:r>
            <w:r/>
          </w:p>
        </w:tc>
        <w:tc>
          <w:tcPr>
            <w:tcW w:w="5475" w:type="dxa"/>
            <w:vAlign w:val="center"/>
            <w:textDirection w:val="lrTb"/>
            <w:noWrap w:val="false"/>
          </w:tcPr>
          <w:p>
            <w:pPr>
              <w:jc w:val="left"/>
              <w:spacing w:line="200" w:lineRule="exact"/>
              <w:rPr>
                <w:rFonts w:ascii="仿宋" w:hAnsi="仿宋" w:eastAsia="仿宋" w:cs="仿宋"/>
                <w:color w:val="auto"/>
                <w:spacing w:val="7"/>
                <w:sz w:val="19"/>
                <w:szCs w:val="19"/>
              </w:rPr>
            </w:pPr>
            <w:r>
              <w:rPr>
                <w:rFonts w:hint="eastAsia" w:ascii="仿宋" w:hAnsi="仿宋" w:eastAsia="仿宋" w:cs="仿宋"/>
                <w:color w:val="auto"/>
                <w:spacing w:val="7"/>
                <w:sz w:val="19"/>
                <w:szCs w:val="19"/>
                <w:lang w:eastAsia="zh-CN"/>
              </w:rPr>
              <w:t xml:space="preserve">每日运维</w:t>
            </w:r>
            <w:r>
              <w:rPr>
                <w:rFonts w:ascii="仿宋" w:hAnsi="仿宋" w:eastAsia="仿宋" w:cs="仿宋"/>
                <w:color w:val="auto"/>
                <w:spacing w:val="7"/>
                <w:sz w:val="19"/>
                <w:szCs w:val="19"/>
              </w:rPr>
              <w:t xml:space="preserve">单位对各</w:t>
            </w:r>
            <w:r>
              <w:rPr>
                <w:rFonts w:hint="eastAsia" w:ascii="仿宋" w:hAnsi="仿宋" w:eastAsia="仿宋" w:cs="仿宋"/>
                <w:color w:val="auto"/>
                <w:spacing w:val="7"/>
                <w:sz w:val="19"/>
                <w:szCs w:val="19"/>
                <w:lang w:eastAsia="zh-CN"/>
              </w:rPr>
              <w:t xml:space="preserve">设备</w:t>
            </w:r>
            <w:r>
              <w:rPr>
                <w:rFonts w:ascii="仿宋" w:hAnsi="仿宋" w:eastAsia="仿宋" w:cs="仿宋"/>
                <w:color w:val="auto"/>
                <w:spacing w:val="7"/>
                <w:sz w:val="19"/>
                <w:szCs w:val="19"/>
              </w:rPr>
              <w:t xml:space="preserve">及各项设施进行</w:t>
            </w:r>
            <w:r>
              <w:rPr>
                <w:rFonts w:hint="eastAsia" w:ascii="仿宋" w:hAnsi="仿宋" w:eastAsia="仿宋" w:cs="仿宋"/>
                <w:color w:val="auto"/>
                <w:spacing w:val="7"/>
                <w:sz w:val="19"/>
                <w:szCs w:val="19"/>
                <w:lang w:eastAsia="zh-CN"/>
              </w:rPr>
              <w:t xml:space="preserve">巡查维护，巡查维护</w:t>
            </w:r>
            <w:r>
              <w:rPr>
                <w:rFonts w:ascii="仿宋" w:hAnsi="仿宋" w:eastAsia="仿宋" w:cs="仿宋"/>
                <w:color w:val="auto"/>
                <w:spacing w:val="7"/>
                <w:sz w:val="19"/>
                <w:szCs w:val="19"/>
              </w:rPr>
              <w:t xml:space="preserve">记录规范、内容齐全</w:t>
            </w:r>
            <w:r>
              <w:rPr>
                <w:rFonts w:hint="eastAsia" w:ascii="仿宋" w:hAnsi="仿宋" w:eastAsia="仿宋" w:cs="仿宋"/>
                <w:color w:val="auto"/>
                <w:spacing w:val="7"/>
                <w:sz w:val="19"/>
                <w:szCs w:val="19"/>
                <w:lang w:eastAsia="zh-CN"/>
              </w:rPr>
              <w:t xml:space="preserve">，具有值班记录完备</w:t>
            </w:r>
            <w:r>
              <w:rPr>
                <w:rFonts w:ascii="仿宋" w:hAnsi="仿宋" w:eastAsia="仿宋" w:cs="仿宋"/>
                <w:color w:val="auto"/>
                <w:spacing w:val="7"/>
                <w:sz w:val="19"/>
                <w:szCs w:val="19"/>
              </w:rPr>
              <w:t xml:space="preserve">，得</w:t>
            </w:r>
            <w:r>
              <w:rPr>
                <w:rFonts w:hint="eastAsia" w:ascii="仿宋" w:hAnsi="仿宋" w:eastAsia="仿宋" w:cs="仿宋"/>
                <w:color w:val="auto"/>
                <w:spacing w:val="7"/>
                <w:sz w:val="19"/>
                <w:szCs w:val="19"/>
                <w:lang w:val="en-US" w:eastAsia="zh-CN"/>
              </w:rPr>
              <w:t xml:space="preserve">3</w:t>
            </w:r>
            <w:r>
              <w:rPr>
                <w:rFonts w:ascii="仿宋" w:hAnsi="仿宋" w:eastAsia="仿宋" w:cs="仿宋"/>
                <w:color w:val="auto"/>
                <w:spacing w:val="7"/>
                <w:sz w:val="19"/>
                <w:szCs w:val="19"/>
              </w:rPr>
              <w:t xml:space="preserve">分</w:t>
            </w:r>
            <w:r>
              <w:rPr>
                <w:rFonts w:hint="eastAsia" w:ascii="仿宋" w:hAnsi="仿宋" w:eastAsia="仿宋" w:cs="仿宋"/>
                <w:color w:val="auto"/>
                <w:spacing w:val="7"/>
                <w:sz w:val="19"/>
                <w:szCs w:val="19"/>
                <w:lang w:val="en-US" w:eastAsia="zh-CN"/>
              </w:rPr>
              <w:t xml:space="preserve">/月，满分18分。</w:t>
            </w:r>
            <w:r/>
          </w:p>
        </w:tc>
        <w:tc>
          <w:tcPr>
            <w:tcW w:w="700" w:type="dxa"/>
            <w:vAlign w:val="center"/>
            <w:textDirection w:val="lrTb"/>
            <w:noWrap w:val="false"/>
          </w:tcPr>
          <w:p>
            <w:pPr>
              <w:jc w:val="center"/>
              <w:spacing w:line="240" w:lineRule="exact"/>
              <w:rPr>
                <w:rFonts w:hint="default" w:ascii="仿宋" w:hAnsi="仿宋" w:eastAsia="仿宋" w:cs="仿宋"/>
                <w:color w:val="auto"/>
                <w:sz w:val="19"/>
                <w:szCs w:val="19"/>
                <w:lang w:val="en-US" w:eastAsia="zh-CN"/>
              </w:rPr>
            </w:pPr>
            <w:r>
              <w:rPr>
                <w:rFonts w:hint="eastAsia" w:ascii="仿宋" w:hAnsi="仿宋" w:eastAsia="仿宋" w:cs="仿宋"/>
                <w:color w:val="auto"/>
                <w:spacing w:val="-2"/>
                <w:sz w:val="19"/>
                <w:szCs w:val="19"/>
                <w:lang w:val="en-US" w:eastAsia="zh-CN"/>
              </w:rPr>
              <w:t xml:space="preserve">18</w:t>
            </w:r>
            <w:r/>
          </w:p>
        </w:tc>
        <w:tc>
          <w:tcPr>
            <w:tcW w:w="812"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963"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r>
      <w:tr>
        <w:trPr>
          <w:jc w:val="center"/>
          <w:trHeight w:val="1130"/>
        </w:trPr>
        <w:tc>
          <w:tcPr>
            <w:tcW w:w="1000" w:type="dxa"/>
            <w:vAlign w:val="center"/>
            <w:vMerge w:val="continue"/>
            <w:textDirection w:val="lrTb"/>
            <w:noWrap w:val="false"/>
          </w:tcPr>
          <w:p>
            <w:pPr>
              <w:ind w:right="113" w:hanging="4"/>
              <w:jc w:val="center"/>
              <w:spacing w:line="240" w:lineRule="exact"/>
              <w:rPr>
                <w:rFonts w:ascii="宋体" w:hAnsi="宋体" w:eastAsia="宋体" w:cs="宋体"/>
                <w:color w:val="auto"/>
                <w:spacing w:val="4"/>
                <w:sz w:val="20"/>
                <w:szCs w:val="20"/>
              </w:rPr>
            </w:pPr>
            <w:r>
              <w:rPr>
                <w:rFonts w:ascii="宋体" w:hAnsi="宋体" w:eastAsia="宋体" w:cs="宋体"/>
                <w:color w:val="auto"/>
                <w:spacing w:val="4"/>
                <w:sz w:val="20"/>
                <w:szCs w:val="20"/>
              </w:rPr>
            </w:r>
            <w:r/>
          </w:p>
        </w:tc>
        <w:tc>
          <w:tcPr>
            <w:tcW w:w="1313" w:type="dxa"/>
            <w:vAlign w:val="center"/>
            <w:textDirection w:val="lrTb"/>
            <w:noWrap w:val="false"/>
          </w:tcPr>
          <w:p>
            <w:pPr>
              <w:jc w:val="center"/>
              <w:spacing w:line="240" w:lineRule="exact"/>
              <w:rPr>
                <w:rFonts w:hint="eastAsia" w:ascii="宋体" w:hAnsi="宋体" w:cs="宋体"/>
                <w:color w:val="auto"/>
                <w:spacing w:val="7"/>
                <w:sz w:val="19"/>
                <w:szCs w:val="19"/>
                <w:lang w:eastAsia="zh-CN"/>
              </w:rPr>
            </w:pPr>
            <w:r>
              <w:rPr>
                <w:rFonts w:hint="eastAsia" w:ascii="宋体" w:hAnsi="宋体" w:cs="宋体"/>
                <w:color w:val="auto"/>
                <w:spacing w:val="7"/>
                <w:sz w:val="19"/>
                <w:szCs w:val="19"/>
                <w:lang w:eastAsia="zh-CN"/>
              </w:rPr>
              <w:t xml:space="preserve">危废库管理</w:t>
            </w:r>
            <w:r/>
          </w:p>
        </w:tc>
        <w:tc>
          <w:tcPr>
            <w:tcW w:w="5475" w:type="dxa"/>
            <w:vAlign w:val="center"/>
            <w:textDirection w:val="lrTb"/>
            <w:noWrap w:val="false"/>
          </w:tcPr>
          <w:p>
            <w:pPr>
              <w:jc w:val="left"/>
              <w:spacing w:line="200" w:lineRule="exact"/>
              <w:rPr>
                <w:rFonts w:hint="eastAsia" w:ascii="仿宋" w:hAnsi="仿宋" w:eastAsia="仿宋" w:cs="仿宋"/>
                <w:color w:val="auto"/>
                <w:spacing w:val="7"/>
                <w:sz w:val="19"/>
                <w:szCs w:val="19"/>
                <w:lang w:eastAsia="zh-CN"/>
              </w:rPr>
            </w:pPr>
            <w:r>
              <w:rPr>
                <w:rFonts w:hint="eastAsia" w:ascii="仿宋" w:hAnsi="仿宋" w:eastAsia="仿宋" w:cs="仿宋"/>
                <w:color w:val="auto"/>
                <w:spacing w:val="7"/>
                <w:sz w:val="19"/>
                <w:szCs w:val="19"/>
                <w:lang w:eastAsia="zh-CN"/>
              </w:rPr>
              <w:t xml:space="preserve">管理维护规范、台账内容齐全，得</w:t>
            </w:r>
            <w:r>
              <w:rPr>
                <w:rFonts w:hint="eastAsia" w:ascii="仿宋" w:hAnsi="仿宋" w:eastAsia="仿宋" w:cs="仿宋"/>
                <w:color w:val="auto"/>
                <w:spacing w:val="7"/>
                <w:sz w:val="19"/>
                <w:szCs w:val="19"/>
                <w:lang w:val="en-US" w:eastAsia="zh-CN"/>
              </w:rPr>
              <w:t xml:space="preserve">2</w:t>
            </w:r>
            <w:r>
              <w:rPr>
                <w:rFonts w:hint="eastAsia" w:ascii="仿宋" w:hAnsi="仿宋" w:eastAsia="仿宋" w:cs="仿宋"/>
                <w:color w:val="auto"/>
                <w:spacing w:val="7"/>
                <w:sz w:val="19"/>
                <w:szCs w:val="19"/>
                <w:lang w:eastAsia="zh-CN"/>
              </w:rPr>
              <w:t xml:space="preserve">分</w:t>
            </w:r>
            <w:r>
              <w:rPr>
                <w:rFonts w:hint="eastAsia" w:ascii="仿宋" w:hAnsi="仿宋" w:eastAsia="仿宋" w:cs="仿宋"/>
                <w:color w:val="auto"/>
                <w:spacing w:val="7"/>
                <w:sz w:val="19"/>
                <w:szCs w:val="19"/>
                <w:lang w:val="en-US" w:eastAsia="zh-CN"/>
              </w:rPr>
              <w:t xml:space="preserve">/月，满分12分。</w:t>
            </w:r>
            <w:r/>
          </w:p>
        </w:tc>
        <w:tc>
          <w:tcPr>
            <w:tcW w:w="700" w:type="dxa"/>
            <w:vAlign w:val="center"/>
            <w:textDirection w:val="lrTb"/>
            <w:noWrap w:val="false"/>
          </w:tcPr>
          <w:p>
            <w:pPr>
              <w:jc w:val="center"/>
              <w:spacing w:line="240" w:lineRule="exact"/>
              <w:rPr>
                <w:rFonts w:hint="default" w:ascii="仿宋" w:hAnsi="仿宋" w:eastAsia="仿宋" w:cs="仿宋"/>
                <w:color w:val="auto"/>
                <w:spacing w:val="-2"/>
                <w:sz w:val="19"/>
                <w:szCs w:val="19"/>
                <w:lang w:val="en-US" w:eastAsia="zh-CN"/>
              </w:rPr>
            </w:pPr>
            <w:r>
              <w:rPr>
                <w:rFonts w:hint="eastAsia" w:ascii="仿宋" w:hAnsi="仿宋" w:eastAsia="仿宋" w:cs="仿宋"/>
                <w:color w:val="auto"/>
                <w:spacing w:val="-2"/>
                <w:sz w:val="19"/>
                <w:szCs w:val="19"/>
                <w:lang w:val="en-US" w:eastAsia="zh-CN"/>
              </w:rPr>
              <w:t xml:space="preserve">12</w:t>
            </w:r>
            <w:r/>
          </w:p>
        </w:tc>
        <w:tc>
          <w:tcPr>
            <w:tcW w:w="812"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963"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r>
      <w:tr>
        <w:trPr>
          <w:jc w:val="center"/>
          <w:trHeight w:val="1130"/>
        </w:trPr>
        <w:tc>
          <w:tcPr>
            <w:tcBorders>
              <w:bottom w:val="none" w:color="000000" w:sz="4" w:space="0"/>
            </w:tcBorders>
            <w:tcW w:w="1000" w:type="dxa"/>
            <w:vAlign w:val="center"/>
            <w:vMerge w:val="continue"/>
            <w:textDirection w:val="lrTb"/>
            <w:noWrap w:val="false"/>
          </w:tcPr>
          <w:p>
            <w:pPr>
              <w:ind w:right="113" w:hanging="4"/>
              <w:jc w:val="center"/>
              <w:spacing w:line="240" w:lineRule="exact"/>
              <w:rPr>
                <w:rFonts w:ascii="宋体" w:hAnsi="宋体" w:eastAsia="宋体" w:cs="宋体"/>
                <w:color w:val="auto"/>
                <w:spacing w:val="4"/>
                <w:sz w:val="20"/>
                <w:szCs w:val="20"/>
              </w:rPr>
            </w:pPr>
            <w:r>
              <w:rPr>
                <w:rFonts w:ascii="宋体" w:hAnsi="宋体" w:eastAsia="宋体" w:cs="宋体"/>
                <w:color w:val="auto"/>
                <w:spacing w:val="4"/>
                <w:sz w:val="20"/>
                <w:szCs w:val="20"/>
              </w:rPr>
            </w:r>
            <w:r/>
          </w:p>
        </w:tc>
        <w:tc>
          <w:tcPr>
            <w:tcW w:w="1313" w:type="dxa"/>
            <w:vAlign w:val="center"/>
            <w:textDirection w:val="lrTb"/>
            <w:noWrap w:val="false"/>
          </w:tcPr>
          <w:p>
            <w:pPr>
              <w:jc w:val="center"/>
              <w:spacing w:line="240" w:lineRule="exact"/>
              <w:rPr>
                <w:rFonts w:hint="eastAsia" w:ascii="宋体" w:hAnsi="宋体" w:cs="宋体"/>
                <w:color w:val="auto"/>
                <w:spacing w:val="7"/>
                <w:sz w:val="19"/>
                <w:szCs w:val="19"/>
                <w:lang w:eastAsia="zh-CN"/>
              </w:rPr>
            </w:pPr>
            <w:r>
              <w:rPr>
                <w:rFonts w:hint="eastAsia" w:ascii="宋体" w:hAnsi="宋体" w:cs="宋体"/>
                <w:color w:val="auto"/>
                <w:spacing w:val="7"/>
                <w:sz w:val="19"/>
                <w:szCs w:val="19"/>
                <w:lang w:eastAsia="zh-CN"/>
              </w:rPr>
              <w:t xml:space="preserve">配合管理</w:t>
            </w:r>
            <w:r/>
          </w:p>
        </w:tc>
        <w:tc>
          <w:tcPr>
            <w:tcW w:w="5475" w:type="dxa"/>
            <w:vAlign w:val="center"/>
            <w:textDirection w:val="lrTb"/>
            <w:noWrap w:val="false"/>
          </w:tcPr>
          <w:p>
            <w:pPr>
              <w:jc w:val="left"/>
              <w:spacing w:line="200" w:lineRule="exact"/>
              <w:rPr>
                <w:rFonts w:hint="eastAsia" w:ascii="仿宋" w:hAnsi="仿宋" w:eastAsia="仿宋" w:cs="仿宋"/>
                <w:color w:val="auto"/>
                <w:spacing w:val="7"/>
                <w:sz w:val="19"/>
                <w:szCs w:val="19"/>
                <w:lang w:eastAsia="zh-CN"/>
              </w:rPr>
            </w:pPr>
            <w:r>
              <w:rPr>
                <w:rFonts w:hint="eastAsia" w:ascii="仿宋" w:hAnsi="仿宋" w:eastAsia="仿宋" w:cs="仿宋"/>
                <w:color w:val="auto"/>
                <w:spacing w:val="7"/>
                <w:sz w:val="19"/>
                <w:szCs w:val="19"/>
                <w:lang w:eastAsia="zh-CN"/>
              </w:rPr>
              <w:t xml:space="preserve">运维单位与在线监测运维单位工作配合度，配合度高得12分，配合度一般扣6分，扣完为止，不配合不得分。</w:t>
            </w:r>
            <w:r/>
          </w:p>
        </w:tc>
        <w:tc>
          <w:tcPr>
            <w:tcW w:w="700" w:type="dxa"/>
            <w:vAlign w:val="center"/>
            <w:textDirection w:val="lrTb"/>
            <w:noWrap w:val="false"/>
          </w:tcPr>
          <w:p>
            <w:pPr>
              <w:jc w:val="center"/>
              <w:spacing w:line="240" w:lineRule="exact"/>
              <w:rPr>
                <w:rFonts w:hint="default" w:ascii="仿宋" w:hAnsi="仿宋" w:eastAsia="仿宋" w:cs="仿宋"/>
                <w:color w:val="auto"/>
                <w:spacing w:val="-2"/>
                <w:sz w:val="19"/>
                <w:szCs w:val="19"/>
                <w:lang w:val="en-US" w:eastAsia="zh-CN"/>
              </w:rPr>
            </w:pPr>
            <w:r>
              <w:rPr>
                <w:rFonts w:hint="eastAsia" w:ascii="仿宋" w:hAnsi="仿宋" w:eastAsia="仿宋" w:cs="仿宋"/>
                <w:color w:val="auto"/>
                <w:spacing w:val="-2"/>
                <w:sz w:val="19"/>
                <w:szCs w:val="19"/>
                <w:lang w:val="en-US" w:eastAsia="zh-CN"/>
              </w:rPr>
              <w:t xml:space="preserve">12</w:t>
            </w:r>
            <w:r/>
          </w:p>
        </w:tc>
        <w:tc>
          <w:tcPr>
            <w:tcW w:w="812"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963"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r>
      <w:tr>
        <w:trPr>
          <w:jc w:val="center"/>
          <w:trHeight w:val="531"/>
        </w:trPr>
        <w:tc>
          <w:tcPr>
            <w:tcBorders>
              <w:bottom w:val="none" w:color="000000" w:sz="4" w:space="0"/>
            </w:tcBorders>
            <w:tcW w:w="1000" w:type="dxa"/>
            <w:vAlign w:val="center"/>
            <w:vMerge w:val="restart"/>
            <w:textDirection w:val="lrTb"/>
            <w:noWrap w:val="false"/>
          </w:tcPr>
          <w:p>
            <w:pPr>
              <w:ind w:right="113" w:hanging="3"/>
              <w:jc w:val="center"/>
              <w:spacing w:line="240" w:lineRule="exact"/>
              <w:rPr>
                <w:rFonts w:ascii="宋体" w:hAnsi="宋体" w:eastAsia="宋体" w:cs="宋体"/>
                <w:color w:val="auto"/>
                <w:sz w:val="20"/>
                <w:szCs w:val="20"/>
              </w:rPr>
            </w:pPr>
            <w:r>
              <w:rPr>
                <w:rFonts w:ascii="宋体" w:hAnsi="宋体" w:eastAsia="宋体" w:cs="宋体"/>
                <w:color w:val="auto"/>
                <w:spacing w:val="9"/>
                <w:sz w:val="20"/>
                <w:szCs w:val="20"/>
              </w:rPr>
              <w:t xml:space="preserve">检查考核</w:t>
            </w:r>
            <w:r>
              <w:rPr>
                <w:rFonts w:ascii="宋体" w:hAnsi="宋体" w:eastAsia="宋体" w:cs="宋体"/>
                <w:color w:val="auto"/>
                <w:spacing w:val="4"/>
                <w:sz w:val="20"/>
                <w:szCs w:val="20"/>
              </w:rPr>
              <w:t xml:space="preserve">（</w:t>
            </w:r>
            <w:r>
              <w:rPr>
                <w:rFonts w:hint="eastAsia" w:ascii="宋体" w:hAnsi="宋体" w:cs="宋体"/>
                <w:color w:val="auto"/>
                <w:spacing w:val="4"/>
                <w:sz w:val="20"/>
                <w:szCs w:val="20"/>
                <w:lang w:val="en-US" w:eastAsia="zh-CN"/>
              </w:rPr>
              <w:t xml:space="preserve">20</w:t>
            </w:r>
            <w:r>
              <w:rPr>
                <w:rFonts w:ascii="宋体" w:hAnsi="宋体" w:eastAsia="宋体" w:cs="宋体"/>
                <w:color w:val="auto"/>
                <w:spacing w:val="4"/>
                <w:sz w:val="20"/>
                <w:szCs w:val="20"/>
              </w:rPr>
              <w:t xml:space="preserve">分）</w:t>
            </w:r>
            <w:r/>
          </w:p>
        </w:tc>
        <w:tc>
          <w:tcPr>
            <w:tcW w:w="1313" w:type="dxa"/>
            <w:vAlign w:val="center"/>
            <w:textDirection w:val="lrTb"/>
            <w:noWrap w:val="false"/>
          </w:tcPr>
          <w:p>
            <w:pPr>
              <w:jc w:val="center"/>
              <w:spacing w:line="240" w:lineRule="exact"/>
              <w:rPr>
                <w:rFonts w:ascii="宋体" w:hAnsi="宋体" w:eastAsia="宋体" w:cs="宋体"/>
                <w:color w:val="auto"/>
                <w:sz w:val="19"/>
                <w:szCs w:val="19"/>
              </w:rPr>
            </w:pPr>
            <w:r>
              <w:rPr>
                <w:rFonts w:ascii="宋体" w:hAnsi="宋体" w:eastAsia="宋体" w:cs="宋体"/>
                <w:color w:val="auto"/>
                <w:sz w:val="19"/>
                <w:szCs w:val="19"/>
              </w:rPr>
              <w:t xml:space="preserve">自查考核</w:t>
            </w:r>
            <w:r/>
          </w:p>
        </w:tc>
        <w:tc>
          <w:tcPr>
            <w:tcW w:w="5475" w:type="dxa"/>
            <w:vAlign w:val="center"/>
            <w:textDirection w:val="lrTb"/>
            <w:noWrap w:val="false"/>
          </w:tcPr>
          <w:p>
            <w:pPr>
              <w:jc w:val="left"/>
              <w:spacing w:line="200" w:lineRule="exact"/>
              <w:rPr>
                <w:rFonts w:ascii="仿宋" w:hAnsi="仿宋" w:eastAsia="仿宋" w:cs="仿宋"/>
                <w:color w:val="auto"/>
                <w:spacing w:val="7"/>
                <w:sz w:val="19"/>
                <w:szCs w:val="19"/>
              </w:rPr>
            </w:pPr>
            <w:r>
              <w:rPr>
                <w:rFonts w:hint="eastAsia" w:ascii="仿宋" w:hAnsi="仿宋" w:eastAsia="仿宋" w:cs="仿宋"/>
                <w:color w:val="auto"/>
                <w:spacing w:val="7"/>
                <w:sz w:val="19"/>
                <w:szCs w:val="19"/>
                <w:lang w:eastAsia="zh-CN"/>
              </w:rPr>
              <w:t xml:space="preserve">运维</w:t>
            </w:r>
            <w:r>
              <w:rPr>
                <w:rFonts w:hint="eastAsia" w:ascii="仿宋" w:hAnsi="仿宋" w:eastAsia="仿宋" w:cs="仿宋"/>
                <w:color w:val="auto"/>
                <w:spacing w:val="7"/>
                <w:sz w:val="19"/>
                <w:szCs w:val="19"/>
              </w:rPr>
              <w:t xml:space="preserve">单位</w:t>
            </w:r>
            <w:r>
              <w:rPr>
                <w:rFonts w:ascii="仿宋" w:hAnsi="仿宋" w:eastAsia="仿宋" w:cs="仿宋"/>
                <w:color w:val="auto"/>
                <w:spacing w:val="7"/>
                <w:sz w:val="19"/>
                <w:szCs w:val="19"/>
              </w:rPr>
              <w:t xml:space="preserve">对</w:t>
            </w:r>
            <w:r>
              <w:rPr>
                <w:rFonts w:hint="eastAsia" w:ascii="仿宋" w:hAnsi="仿宋" w:eastAsia="仿宋" w:cs="仿宋"/>
                <w:color w:val="auto"/>
                <w:spacing w:val="7"/>
                <w:sz w:val="19"/>
                <w:szCs w:val="19"/>
                <w:lang w:eastAsia="zh-CN"/>
              </w:rPr>
              <w:t xml:space="preserve">污水处理站</w:t>
            </w:r>
            <w:r>
              <w:rPr>
                <w:rFonts w:ascii="仿宋" w:hAnsi="仿宋" w:eastAsia="仿宋" w:cs="仿宋"/>
                <w:color w:val="auto"/>
                <w:spacing w:val="7"/>
                <w:sz w:val="19"/>
                <w:szCs w:val="19"/>
              </w:rPr>
              <w:t xml:space="preserve">运维和看管人员考核要求完整、合理，得</w:t>
            </w:r>
            <w:r>
              <w:rPr>
                <w:rFonts w:hint="eastAsia" w:ascii="仿宋" w:hAnsi="仿宋" w:eastAsia="仿宋" w:cs="仿宋"/>
                <w:color w:val="auto"/>
                <w:spacing w:val="7"/>
                <w:sz w:val="19"/>
                <w:szCs w:val="19"/>
                <w:lang w:val="en-US" w:eastAsia="zh-CN"/>
              </w:rPr>
              <w:t xml:space="preserve">3</w:t>
            </w:r>
            <w:r>
              <w:rPr>
                <w:rFonts w:ascii="仿宋" w:hAnsi="仿宋" w:eastAsia="仿宋" w:cs="仿宋"/>
                <w:color w:val="auto"/>
                <w:spacing w:val="7"/>
                <w:sz w:val="19"/>
                <w:szCs w:val="19"/>
              </w:rPr>
              <w:t xml:space="preserve">分；</w:t>
            </w:r>
            <w:r>
              <w:rPr>
                <w:rFonts w:hint="eastAsia" w:ascii="仿宋" w:hAnsi="仿宋" w:eastAsia="仿宋" w:cs="仿宋"/>
                <w:color w:val="auto"/>
                <w:spacing w:val="7"/>
                <w:sz w:val="19"/>
                <w:szCs w:val="19"/>
              </w:rPr>
              <w:t xml:space="preserve">相</w:t>
            </w:r>
            <w:r>
              <w:rPr>
                <w:rFonts w:ascii="仿宋" w:hAnsi="仿宋" w:eastAsia="仿宋" w:cs="仿宋"/>
                <w:color w:val="auto"/>
                <w:spacing w:val="7"/>
                <w:sz w:val="19"/>
                <w:szCs w:val="19"/>
              </w:rPr>
              <w:t xml:space="preserve">关</w:t>
            </w:r>
            <w:r>
              <w:rPr>
                <w:rFonts w:hint="eastAsia" w:ascii="仿宋" w:hAnsi="仿宋" w:eastAsia="仿宋" w:cs="仿宋"/>
                <w:color w:val="auto"/>
                <w:spacing w:val="7"/>
                <w:sz w:val="19"/>
                <w:szCs w:val="19"/>
              </w:rPr>
              <w:t xml:space="preserve">台账</w:t>
            </w:r>
            <w:r>
              <w:rPr>
                <w:rFonts w:ascii="仿宋" w:hAnsi="仿宋" w:eastAsia="仿宋" w:cs="仿宋"/>
                <w:color w:val="auto"/>
                <w:spacing w:val="7"/>
                <w:sz w:val="19"/>
                <w:szCs w:val="19"/>
              </w:rPr>
              <w:t xml:space="preserve">规范、完整，得</w:t>
            </w:r>
            <w:r>
              <w:rPr>
                <w:rFonts w:hint="eastAsia" w:ascii="仿宋" w:hAnsi="仿宋" w:eastAsia="仿宋" w:cs="仿宋"/>
                <w:color w:val="auto"/>
                <w:spacing w:val="7"/>
                <w:sz w:val="19"/>
                <w:szCs w:val="19"/>
                <w:lang w:val="en-US" w:eastAsia="zh-CN"/>
              </w:rPr>
              <w:t xml:space="preserve">3</w:t>
            </w:r>
            <w:r>
              <w:rPr>
                <w:rFonts w:ascii="仿宋" w:hAnsi="仿宋" w:eastAsia="仿宋" w:cs="仿宋"/>
                <w:color w:val="auto"/>
                <w:spacing w:val="7"/>
                <w:sz w:val="19"/>
                <w:szCs w:val="19"/>
              </w:rPr>
              <w:t xml:space="preserve">分。</w:t>
            </w:r>
            <w:r/>
          </w:p>
        </w:tc>
        <w:tc>
          <w:tcPr>
            <w:tcW w:w="700" w:type="dxa"/>
            <w:vAlign w:val="center"/>
            <w:textDirection w:val="lrTb"/>
            <w:noWrap w:val="false"/>
          </w:tcPr>
          <w:p>
            <w:pPr>
              <w:jc w:val="center"/>
              <w:spacing w:line="240" w:lineRule="exact"/>
              <w:rPr>
                <w:rFonts w:hint="default" w:ascii="仿宋" w:hAnsi="仿宋" w:eastAsia="仿宋" w:cs="仿宋"/>
                <w:color w:val="auto"/>
                <w:sz w:val="19"/>
                <w:szCs w:val="19"/>
                <w:lang w:val="en-US" w:eastAsia="zh-CN"/>
              </w:rPr>
            </w:pPr>
            <w:r>
              <w:rPr>
                <w:rFonts w:hint="eastAsia" w:ascii="仿宋" w:hAnsi="仿宋" w:eastAsia="仿宋" w:cs="仿宋"/>
                <w:color w:val="auto"/>
                <w:sz w:val="19"/>
                <w:szCs w:val="19"/>
                <w:lang w:val="en-US" w:eastAsia="zh-CN"/>
              </w:rPr>
              <w:t xml:space="preserve">6</w:t>
            </w:r>
            <w:r/>
          </w:p>
        </w:tc>
        <w:tc>
          <w:tcPr>
            <w:tcW w:w="812"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963"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r>
      <w:tr>
        <w:trPr>
          <w:jc w:val="center"/>
          <w:trHeight w:val="711"/>
        </w:trPr>
        <w:tc>
          <w:tcPr>
            <w:tcBorders>
              <w:top w:val="none" w:color="000000" w:sz="4" w:space="0"/>
              <w:bottom w:val="none" w:color="000000" w:sz="4" w:space="0"/>
            </w:tcBorders>
            <w:tcW w:w="1000" w:type="dxa"/>
            <w:vAlign w:val="center"/>
            <w:vMerge w:val="continue"/>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1313" w:type="dxa"/>
            <w:vAlign w:val="center"/>
            <w:textDirection w:val="lrTb"/>
            <w:noWrap w:val="false"/>
          </w:tcPr>
          <w:p>
            <w:pPr>
              <w:jc w:val="center"/>
              <w:spacing w:line="240" w:lineRule="exact"/>
              <w:rPr>
                <w:rFonts w:ascii="宋体" w:hAnsi="宋体" w:eastAsia="宋体" w:cs="宋体"/>
                <w:color w:val="auto"/>
                <w:sz w:val="19"/>
                <w:szCs w:val="19"/>
              </w:rPr>
            </w:pPr>
            <w:r>
              <w:rPr>
                <w:rFonts w:ascii="宋体" w:hAnsi="宋体" w:eastAsia="宋体" w:cs="宋体"/>
                <w:color w:val="auto"/>
                <w:spacing w:val="9"/>
                <w:sz w:val="19"/>
                <w:szCs w:val="19"/>
              </w:rPr>
              <w:t xml:space="preserve">人员培训</w:t>
            </w:r>
            <w:r/>
          </w:p>
        </w:tc>
        <w:tc>
          <w:tcPr>
            <w:tcW w:w="5475" w:type="dxa"/>
            <w:vAlign w:val="center"/>
            <w:textDirection w:val="lrTb"/>
            <w:noWrap w:val="false"/>
          </w:tcPr>
          <w:p>
            <w:pPr>
              <w:jc w:val="left"/>
              <w:spacing w:line="200" w:lineRule="exact"/>
              <w:rPr>
                <w:rFonts w:ascii="仿宋" w:hAnsi="仿宋" w:eastAsia="仿宋" w:cs="仿宋"/>
                <w:color w:val="auto"/>
                <w:spacing w:val="7"/>
                <w:sz w:val="19"/>
                <w:szCs w:val="19"/>
              </w:rPr>
            </w:pPr>
            <w:r>
              <w:rPr>
                <w:rFonts w:ascii="仿宋" w:hAnsi="仿宋" w:eastAsia="仿宋" w:cs="仿宋"/>
                <w:color w:val="auto"/>
                <w:spacing w:val="7"/>
                <w:sz w:val="19"/>
                <w:szCs w:val="19"/>
              </w:rPr>
              <w:t xml:space="preserve">每</w:t>
            </w:r>
            <w:r>
              <w:rPr>
                <w:rFonts w:hint="eastAsia" w:ascii="仿宋" w:hAnsi="仿宋" w:eastAsia="仿宋" w:cs="仿宋"/>
                <w:color w:val="auto"/>
                <w:spacing w:val="7"/>
                <w:sz w:val="19"/>
                <w:szCs w:val="19"/>
                <w:lang w:eastAsia="zh-CN"/>
              </w:rPr>
              <w:t xml:space="preserve">月</w:t>
            </w:r>
            <w:r>
              <w:rPr>
                <w:rFonts w:ascii="仿宋" w:hAnsi="仿宋" w:eastAsia="仿宋" w:cs="仿宋"/>
                <w:color w:val="auto"/>
                <w:spacing w:val="7"/>
                <w:sz w:val="19"/>
                <w:szCs w:val="19"/>
              </w:rPr>
              <w:t xml:space="preserve">组织相关人员进行</w:t>
            </w:r>
            <w:r>
              <w:rPr>
                <w:rFonts w:hint="eastAsia" w:ascii="仿宋" w:hAnsi="仿宋" w:eastAsia="仿宋" w:cs="仿宋"/>
                <w:color w:val="auto"/>
                <w:spacing w:val="7"/>
                <w:sz w:val="19"/>
                <w:szCs w:val="19"/>
                <w:lang w:val="en-US" w:eastAsia="zh-CN"/>
              </w:rPr>
              <w:t xml:space="preserve">业务</w:t>
            </w:r>
            <w:r>
              <w:rPr>
                <w:rFonts w:ascii="仿宋" w:hAnsi="仿宋" w:eastAsia="仿宋" w:cs="仿宋"/>
                <w:color w:val="auto"/>
                <w:spacing w:val="7"/>
                <w:sz w:val="19"/>
                <w:szCs w:val="19"/>
              </w:rPr>
              <w:t xml:space="preserve">培训</w:t>
            </w:r>
            <w:r>
              <w:rPr>
                <w:rFonts w:hint="eastAsia" w:ascii="仿宋" w:hAnsi="仿宋" w:eastAsia="仿宋" w:cs="仿宋"/>
                <w:color w:val="auto"/>
                <w:spacing w:val="7"/>
                <w:sz w:val="19"/>
                <w:szCs w:val="19"/>
                <w:lang w:eastAsia="zh-CN"/>
              </w:rPr>
              <w:t xml:space="preserve">（</w:t>
            </w:r>
            <w:r>
              <w:rPr>
                <w:rFonts w:hint="eastAsia" w:ascii="仿宋" w:hAnsi="仿宋" w:eastAsia="仿宋" w:cs="仿宋"/>
                <w:color w:val="auto"/>
                <w:spacing w:val="7"/>
                <w:sz w:val="19"/>
                <w:szCs w:val="19"/>
                <w:lang w:val="en-US" w:eastAsia="zh-CN"/>
              </w:rPr>
              <w:t xml:space="preserve">含安全生产培训</w:t>
            </w:r>
            <w:r>
              <w:rPr>
                <w:rFonts w:hint="eastAsia" w:ascii="仿宋" w:hAnsi="仿宋" w:eastAsia="仿宋" w:cs="仿宋"/>
                <w:color w:val="auto"/>
                <w:spacing w:val="7"/>
                <w:sz w:val="19"/>
                <w:szCs w:val="19"/>
                <w:lang w:eastAsia="zh-CN"/>
              </w:rPr>
              <w:t xml:space="preserve">）</w:t>
            </w:r>
            <w:r>
              <w:rPr>
                <w:rFonts w:ascii="仿宋" w:hAnsi="仿宋" w:eastAsia="仿宋" w:cs="仿宋"/>
                <w:color w:val="auto"/>
                <w:spacing w:val="7"/>
                <w:sz w:val="19"/>
                <w:szCs w:val="19"/>
              </w:rPr>
              <w:t xml:space="preserve">，且计划周密，实用性强，得</w:t>
            </w:r>
            <w:r>
              <w:rPr>
                <w:rFonts w:hint="eastAsia" w:ascii="仿宋" w:hAnsi="仿宋" w:eastAsia="仿宋" w:cs="仿宋"/>
                <w:color w:val="auto"/>
                <w:spacing w:val="7"/>
                <w:sz w:val="19"/>
                <w:szCs w:val="19"/>
                <w:lang w:val="en-US" w:eastAsia="zh-CN"/>
              </w:rPr>
              <w:t xml:space="preserve">3</w:t>
            </w:r>
            <w:r>
              <w:rPr>
                <w:rFonts w:ascii="仿宋" w:hAnsi="仿宋" w:eastAsia="仿宋" w:cs="仿宋"/>
                <w:color w:val="auto"/>
                <w:spacing w:val="7"/>
                <w:sz w:val="19"/>
                <w:szCs w:val="19"/>
              </w:rPr>
              <w:t xml:space="preserve">分；</w:t>
            </w:r>
            <w:r/>
          </w:p>
          <w:p>
            <w:pPr>
              <w:jc w:val="left"/>
              <w:spacing w:line="200" w:lineRule="exact"/>
              <w:rPr>
                <w:rFonts w:ascii="仿宋" w:hAnsi="仿宋" w:eastAsia="仿宋" w:cs="仿宋"/>
                <w:color w:val="auto"/>
                <w:spacing w:val="7"/>
                <w:sz w:val="19"/>
                <w:szCs w:val="19"/>
              </w:rPr>
            </w:pPr>
            <w:r>
              <w:rPr>
                <w:rFonts w:ascii="仿宋" w:hAnsi="仿宋" w:eastAsia="仿宋" w:cs="仿宋"/>
                <w:color w:val="auto"/>
                <w:spacing w:val="7"/>
                <w:sz w:val="19"/>
                <w:szCs w:val="19"/>
              </w:rPr>
              <w:t xml:space="preserve">培训通知、记录等资料完整，得</w:t>
            </w:r>
            <w:r>
              <w:rPr>
                <w:rFonts w:hint="eastAsia" w:ascii="仿宋" w:hAnsi="仿宋" w:eastAsia="仿宋" w:cs="仿宋"/>
                <w:color w:val="auto"/>
                <w:spacing w:val="7"/>
                <w:sz w:val="19"/>
                <w:szCs w:val="19"/>
                <w:lang w:val="en-US" w:eastAsia="zh-CN"/>
              </w:rPr>
              <w:t xml:space="preserve">3</w:t>
            </w:r>
            <w:r>
              <w:rPr>
                <w:rFonts w:ascii="仿宋" w:hAnsi="仿宋" w:eastAsia="仿宋" w:cs="仿宋"/>
                <w:color w:val="auto"/>
                <w:spacing w:val="7"/>
                <w:sz w:val="19"/>
                <w:szCs w:val="19"/>
              </w:rPr>
              <w:t xml:space="preserve">分。</w:t>
            </w:r>
            <w:r/>
          </w:p>
        </w:tc>
        <w:tc>
          <w:tcPr>
            <w:tcW w:w="700" w:type="dxa"/>
            <w:vAlign w:val="center"/>
            <w:textDirection w:val="lrTb"/>
            <w:noWrap w:val="false"/>
          </w:tcPr>
          <w:p>
            <w:pPr>
              <w:jc w:val="center"/>
              <w:spacing w:line="240" w:lineRule="exact"/>
              <w:rPr>
                <w:rFonts w:hint="default" w:ascii="仿宋" w:hAnsi="仿宋" w:eastAsia="仿宋" w:cs="仿宋"/>
                <w:color w:val="auto"/>
                <w:sz w:val="19"/>
                <w:szCs w:val="19"/>
                <w:lang w:val="en-US" w:eastAsia="zh-CN"/>
              </w:rPr>
            </w:pPr>
            <w:r>
              <w:rPr>
                <w:rFonts w:hint="eastAsia" w:ascii="仿宋" w:hAnsi="仿宋" w:eastAsia="仿宋" w:cs="仿宋"/>
                <w:color w:val="auto"/>
                <w:sz w:val="19"/>
                <w:szCs w:val="19"/>
                <w:lang w:val="en-US" w:eastAsia="zh-CN"/>
              </w:rPr>
              <w:t xml:space="preserve">6</w:t>
            </w:r>
            <w:r/>
          </w:p>
        </w:tc>
        <w:tc>
          <w:tcPr>
            <w:tcW w:w="812"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963"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r>
      <w:tr>
        <w:trPr>
          <w:jc w:val="center"/>
          <w:trHeight w:val="414"/>
        </w:trPr>
        <w:tc>
          <w:tcPr>
            <w:tcBorders>
              <w:top w:val="none" w:color="000000" w:sz="4" w:space="0"/>
            </w:tcBorders>
            <w:tcW w:w="1000" w:type="dxa"/>
            <w:vAlign w:val="center"/>
            <w:vMerge w:val="continue"/>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1313" w:type="dxa"/>
            <w:vAlign w:val="center"/>
            <w:textDirection w:val="lrTb"/>
            <w:noWrap w:val="false"/>
          </w:tcPr>
          <w:p>
            <w:pPr>
              <w:jc w:val="center"/>
              <w:spacing w:line="240" w:lineRule="exact"/>
              <w:rPr>
                <w:rFonts w:ascii="宋体" w:hAnsi="宋体" w:eastAsia="宋体" w:cs="宋体"/>
                <w:color w:val="auto"/>
                <w:sz w:val="19"/>
                <w:szCs w:val="19"/>
              </w:rPr>
            </w:pPr>
            <w:r>
              <w:rPr>
                <w:rFonts w:ascii="宋体" w:hAnsi="宋体" w:eastAsia="宋体" w:cs="宋体"/>
                <w:color w:val="auto"/>
                <w:spacing w:val="7"/>
                <w:sz w:val="19"/>
                <w:szCs w:val="19"/>
              </w:rPr>
              <w:t xml:space="preserve">其他</w:t>
            </w:r>
            <w:r/>
          </w:p>
        </w:tc>
        <w:tc>
          <w:tcPr>
            <w:tcW w:w="5475" w:type="dxa"/>
            <w:vAlign w:val="center"/>
            <w:textDirection w:val="lrTb"/>
            <w:noWrap w:val="false"/>
          </w:tcPr>
          <w:p>
            <w:pPr>
              <w:jc w:val="left"/>
              <w:spacing w:line="200" w:lineRule="exact"/>
              <w:rPr>
                <w:rFonts w:hint="default" w:ascii="仿宋" w:hAnsi="仿宋" w:eastAsia="仿宋" w:cs="仿宋"/>
                <w:color w:val="auto"/>
                <w:spacing w:val="7"/>
                <w:sz w:val="19"/>
                <w:szCs w:val="19"/>
                <w:lang w:val="en-US"/>
              </w:rPr>
            </w:pPr>
            <w:r>
              <w:rPr>
                <w:rFonts w:hint="eastAsia" w:ascii="仿宋" w:hAnsi="仿宋" w:eastAsia="仿宋" w:cs="仿宋"/>
                <w:color w:val="auto"/>
                <w:spacing w:val="7"/>
                <w:sz w:val="19"/>
                <w:szCs w:val="19"/>
                <w:lang w:eastAsia="zh-CN"/>
              </w:rPr>
              <w:t xml:space="preserve">日常巡查检查出的问题及时解决的得</w:t>
            </w:r>
            <w:r>
              <w:rPr>
                <w:rFonts w:hint="eastAsia" w:ascii="仿宋" w:hAnsi="仿宋" w:eastAsia="仿宋" w:cs="仿宋"/>
                <w:color w:val="auto"/>
                <w:spacing w:val="7"/>
                <w:sz w:val="19"/>
                <w:szCs w:val="19"/>
                <w:lang w:val="en-US" w:eastAsia="zh-CN"/>
              </w:rPr>
              <w:t xml:space="preserve">8分</w:t>
            </w:r>
            <w:r>
              <w:rPr>
                <w:rFonts w:hint="eastAsia" w:ascii="仿宋" w:hAnsi="仿宋" w:eastAsia="仿宋" w:cs="仿宋"/>
                <w:color w:val="auto"/>
                <w:spacing w:val="7"/>
                <w:sz w:val="19"/>
                <w:szCs w:val="19"/>
                <w:lang w:eastAsia="zh-CN"/>
              </w:rPr>
              <w:t xml:space="preserve">，</w:t>
            </w:r>
            <w:r>
              <w:rPr>
                <w:rFonts w:hint="eastAsia" w:ascii="仿宋" w:hAnsi="仿宋" w:eastAsia="仿宋" w:cs="仿宋"/>
                <w:color w:val="auto"/>
                <w:spacing w:val="7"/>
                <w:sz w:val="19"/>
                <w:szCs w:val="19"/>
                <w:lang w:val="en-US" w:eastAsia="zh-CN"/>
              </w:rPr>
              <w:t xml:space="preserve">未及时解决的</w:t>
            </w:r>
            <w:r>
              <w:rPr>
                <w:rFonts w:hint="eastAsia" w:ascii="仿宋" w:hAnsi="仿宋" w:eastAsia="仿宋" w:cs="仿宋"/>
                <w:color w:val="auto"/>
                <w:spacing w:val="7"/>
                <w:sz w:val="19"/>
                <w:szCs w:val="19"/>
                <w:lang w:eastAsia="zh-CN"/>
              </w:rPr>
              <w:t xml:space="preserve">扣</w:t>
            </w:r>
            <w:r>
              <w:rPr>
                <w:rFonts w:hint="eastAsia" w:ascii="仿宋" w:hAnsi="仿宋" w:eastAsia="仿宋" w:cs="仿宋"/>
                <w:color w:val="auto"/>
                <w:spacing w:val="7"/>
                <w:sz w:val="19"/>
                <w:szCs w:val="19"/>
                <w:lang w:val="en-US" w:eastAsia="zh-CN"/>
              </w:rPr>
              <w:t xml:space="preserve">4分/次，扣完为止。</w:t>
            </w:r>
            <w:r/>
          </w:p>
        </w:tc>
        <w:tc>
          <w:tcPr>
            <w:tcW w:w="700" w:type="dxa"/>
            <w:vAlign w:val="center"/>
            <w:textDirection w:val="lrTb"/>
            <w:noWrap w:val="false"/>
          </w:tcPr>
          <w:p>
            <w:pPr>
              <w:jc w:val="center"/>
              <w:spacing w:line="240" w:lineRule="exact"/>
              <w:rPr>
                <w:rFonts w:hint="default" w:ascii="仿宋" w:hAnsi="仿宋" w:eastAsia="仿宋" w:cs="仿宋"/>
                <w:color w:val="auto"/>
                <w:sz w:val="19"/>
                <w:szCs w:val="19"/>
                <w:lang w:val="en-US" w:eastAsia="zh-CN"/>
              </w:rPr>
            </w:pPr>
            <w:r>
              <w:rPr>
                <w:rFonts w:hint="eastAsia" w:ascii="仿宋" w:hAnsi="仿宋" w:eastAsia="仿宋" w:cs="仿宋"/>
                <w:color w:val="auto"/>
                <w:spacing w:val="-2"/>
                <w:sz w:val="19"/>
                <w:szCs w:val="19"/>
                <w:lang w:val="en-US" w:eastAsia="zh-CN"/>
              </w:rPr>
              <w:t xml:space="preserve">8</w:t>
            </w:r>
            <w:r/>
          </w:p>
        </w:tc>
        <w:tc>
          <w:tcPr>
            <w:tcW w:w="812"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963"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r>
      <w:tr>
        <w:trPr>
          <w:jc w:val="center"/>
          <w:trHeight w:val="561"/>
        </w:trPr>
        <w:tc>
          <w:tcPr>
            <w:gridSpan w:val="2"/>
            <w:tcW w:w="2313" w:type="dxa"/>
            <w:vAlign w:val="center"/>
            <w:textDirection w:val="lrTb"/>
            <w:noWrap w:val="false"/>
          </w:tcPr>
          <w:p>
            <w:pPr>
              <w:jc w:val="center"/>
              <w:spacing w:line="240" w:lineRule="exact"/>
              <w:rPr>
                <w:rFonts w:ascii="宋体" w:hAnsi="宋体" w:eastAsia="宋体" w:cs="宋体"/>
                <w:color w:val="auto"/>
                <w:sz w:val="19"/>
                <w:szCs w:val="19"/>
              </w:rPr>
            </w:pPr>
            <w:r>
              <w:rPr>
                <w:rFonts w:ascii="宋体" w:hAnsi="宋体" w:eastAsia="宋体" w:cs="宋体"/>
                <w:color w:val="auto"/>
                <w:spacing w:val="8"/>
                <w:sz w:val="19"/>
                <w:szCs w:val="19"/>
              </w:rPr>
              <w:t xml:space="preserve">合计</w:t>
            </w:r>
            <w:r/>
          </w:p>
        </w:tc>
        <w:tc>
          <w:tcPr>
            <w:tcW w:w="5475" w:type="dxa"/>
            <w:vAlign w:val="center"/>
            <w:textDirection w:val="lrTb"/>
            <w:noWrap w:val="false"/>
          </w:tcPr>
          <w:p>
            <w:pPr>
              <w:pStyle w:val="1010"/>
              <w:jc w:val="left"/>
              <w:spacing w:line="200" w:lineRule="exact"/>
              <w:widowControl w:val="off"/>
              <w:rPr>
                <w:color w:val="auto"/>
                <w:sz w:val="24"/>
                <w:szCs w:val="24"/>
              </w:rPr>
            </w:pPr>
            <w:r>
              <w:rPr>
                <w:color w:val="auto"/>
                <w:sz w:val="24"/>
                <w:szCs w:val="24"/>
              </w:rPr>
            </w:r>
            <w:r/>
          </w:p>
        </w:tc>
        <w:tc>
          <w:tcPr>
            <w:tcW w:w="700" w:type="dxa"/>
            <w:vAlign w:val="center"/>
            <w:textDirection w:val="lrTb"/>
            <w:noWrap w:val="false"/>
          </w:tcPr>
          <w:p>
            <w:pPr>
              <w:jc w:val="center"/>
              <w:spacing w:line="240" w:lineRule="exact"/>
              <w:rPr>
                <w:rFonts w:ascii="仿宋" w:hAnsi="仿宋" w:eastAsia="仿宋" w:cs="仿宋"/>
                <w:color w:val="auto"/>
                <w:sz w:val="19"/>
                <w:szCs w:val="19"/>
              </w:rPr>
            </w:pPr>
            <w:r>
              <w:rPr>
                <w:rFonts w:ascii="仿宋" w:hAnsi="仿宋" w:eastAsia="仿宋" w:cs="仿宋"/>
                <w:color w:val="auto"/>
                <w:sz w:val="19"/>
                <w:szCs w:val="19"/>
              </w:rPr>
              <w:t xml:space="preserve">100</w:t>
            </w:r>
            <w:r/>
          </w:p>
        </w:tc>
        <w:tc>
          <w:tcPr>
            <w:tcW w:w="812"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c>
          <w:tcPr>
            <w:tcW w:w="963" w:type="dxa"/>
            <w:vAlign w:val="center"/>
            <w:textDirection w:val="lrTb"/>
            <w:noWrap w:val="false"/>
          </w:tcPr>
          <w:p>
            <w:pPr>
              <w:pStyle w:val="1010"/>
              <w:jc w:val="center"/>
              <w:spacing w:line="240" w:lineRule="exact"/>
              <w:widowControl w:val="off"/>
              <w:rPr>
                <w:color w:val="auto"/>
                <w:sz w:val="24"/>
                <w:szCs w:val="24"/>
              </w:rPr>
            </w:pPr>
            <w:r>
              <w:rPr>
                <w:color w:val="auto"/>
                <w:sz w:val="24"/>
                <w:szCs w:val="24"/>
              </w:rPr>
            </w:r>
            <w:r/>
          </w:p>
        </w:tc>
      </w:tr>
      <w:tr>
        <w:trPr>
          <w:jc w:val="center"/>
          <w:trHeight w:val="561"/>
        </w:trPr>
        <w:tc>
          <w:tcPr>
            <w:gridSpan w:val="6"/>
            <w:tcW w:w="10263" w:type="dxa"/>
            <w:vAlign w:val="center"/>
            <w:textDirection w:val="lrTb"/>
            <w:noWrap w:val="false"/>
          </w:tcPr>
          <w:p>
            <w:pPr>
              <w:pStyle w:val="1010"/>
              <w:jc w:val="left"/>
              <w:spacing w:line="240" w:lineRule="exact"/>
              <w:widowControl w:val="off"/>
              <w:rPr>
                <w:rFonts w:hint="default"/>
                <w:color w:val="auto"/>
                <w:sz w:val="24"/>
                <w:szCs w:val="24"/>
                <w:lang w:val="en-US"/>
              </w:rPr>
            </w:pPr>
            <w:r/>
            <w:bookmarkStart w:id="171" w:name="_Hlt16619350"/>
            <w:r/>
            <w:bookmarkStart w:id="172" w:name="_Toc120614244"/>
            <w:r/>
            <w:bookmarkStart w:id="173" w:name="_Toc20823346"/>
            <w:r/>
            <w:bookmarkStart w:id="174" w:name="_Toc16938590"/>
            <w:r/>
            <w:bookmarkStart w:id="175" w:name="_Toc479757211"/>
            <w:r/>
            <w:bookmarkStart w:id="176" w:name="_Toc462564139"/>
            <w:r>
              <w:rPr>
                <w:rFonts w:hint="eastAsia" w:ascii="仿宋" w:hAnsi="仿宋" w:eastAsia="仿宋" w:cs="仿宋"/>
                <w:color w:val="auto"/>
                <w:spacing w:val="7"/>
                <w:sz w:val="19"/>
                <w:szCs w:val="19"/>
                <w:lang w:val="en-US" w:eastAsia="zh-CN" w:bidi="ar-SA"/>
              </w:rPr>
              <w:t xml:space="preserve">备注：合同期满，平均考核得分≥80分的可续签下一年度合同；低于80分的不可续签下一年度合同。</w:t>
            </w:r>
            <w:bookmarkEnd w:id="160"/>
            <w:r/>
            <w:bookmarkEnd w:id="161"/>
            <w:r/>
            <w:bookmarkEnd w:id="162"/>
            <w:r/>
            <w:r/>
          </w:p>
        </w:tc>
      </w:tr>
    </w:tbl>
    <w:p>
      <w:pPr>
        <w:jc w:val="center"/>
        <w:spacing w:before="120" w:after="120" w:line="0" w:lineRule="atLeast"/>
        <w:rPr>
          <w:rFonts w:hint="eastAsia" w:ascii="Times New Roman" w:hAnsi="Times New Roman" w:eastAsia="黑体" w:cs="Courier New"/>
          <w:bCs/>
          <w:sz w:val="44"/>
          <w:szCs w:val="21"/>
        </w:rPr>
      </w:pPr>
      <w:r>
        <w:rPr>
          <w:rFonts w:hint="eastAsia" w:ascii="Times New Roman" w:hAnsi="Times New Roman" w:eastAsia="黑体" w:cs="Courier New"/>
          <w:bCs/>
          <w:sz w:val="44"/>
          <w:szCs w:val="21"/>
        </w:rPr>
      </w:r>
      <w:r/>
    </w:p>
    <w:p>
      <w:pPr>
        <w:jc w:val="center"/>
        <w:spacing w:before="120" w:after="120" w:line="0" w:lineRule="atLeast"/>
        <w:rPr>
          <w:rFonts w:hint="eastAsia" w:ascii="Times New Roman" w:hAnsi="Times New Roman" w:eastAsia="黑体" w:cs="Courier New"/>
          <w:bCs/>
          <w:sz w:val="44"/>
          <w:szCs w:val="21"/>
        </w:rPr>
      </w:pPr>
      <w:r>
        <w:rPr>
          <w:rFonts w:hint="eastAsia" w:ascii="Times New Roman" w:hAnsi="Times New Roman" w:eastAsia="黑体" w:cs="Courier New"/>
          <w:bCs/>
          <w:sz w:val="44"/>
          <w:szCs w:val="21"/>
        </w:rPr>
      </w:r>
      <w:r/>
    </w:p>
    <w:p>
      <w:pPr>
        <w:rPr>
          <w:rFonts w:hint="eastAsia" w:ascii="Times New Roman" w:hAnsi="Times New Roman" w:eastAsia="黑体" w:cs="Courier New"/>
          <w:bCs/>
          <w:sz w:val="44"/>
          <w:szCs w:val="21"/>
        </w:rPr>
      </w:pPr>
      <w:r>
        <w:rPr>
          <w:rFonts w:hint="eastAsia" w:ascii="Times New Roman" w:hAnsi="Times New Roman" w:eastAsia="黑体" w:cs="Courier New"/>
          <w:bCs/>
          <w:sz w:val="44"/>
          <w:szCs w:val="21"/>
        </w:rPr>
      </w:r>
      <w:r/>
    </w:p>
    <w:p>
      <w:pPr>
        <w:jc w:val="center"/>
        <w:spacing w:before="120" w:after="120" w:line="0" w:lineRule="atLeast"/>
        <w:rPr>
          <w:rFonts w:hint="eastAsia" w:ascii="Times New Roman" w:hAnsi="Times New Roman" w:eastAsia="黑体" w:cs="Courier New"/>
          <w:bCs/>
          <w:sz w:val="44"/>
          <w:szCs w:val="21"/>
        </w:rPr>
      </w:pPr>
      <w:r>
        <w:rPr>
          <w:rFonts w:hint="eastAsia" w:ascii="Times New Roman" w:hAnsi="Times New Roman" w:eastAsia="黑体" w:cs="Courier New"/>
          <w:bCs/>
          <w:sz w:val="44"/>
          <w:szCs w:val="21"/>
        </w:rPr>
      </w:r>
      <w:r/>
    </w:p>
    <w:p>
      <w:pPr>
        <w:jc w:val="center"/>
        <w:spacing w:before="120" w:after="120" w:line="0" w:lineRule="atLeast"/>
        <w:rPr>
          <w:rFonts w:ascii="Times New Roman" w:hAnsi="Times New Roman" w:eastAsia="黑体" w:cs="Courier New"/>
          <w:bCs/>
          <w:sz w:val="44"/>
          <w:szCs w:val="21"/>
        </w:rPr>
      </w:pPr>
      <w:r>
        <w:rPr>
          <w:rFonts w:hint="eastAsia" w:ascii="Times New Roman" w:hAnsi="Times New Roman" w:eastAsia="黑体" w:cs="Courier New"/>
          <w:bCs/>
          <w:sz w:val="44"/>
          <w:szCs w:val="21"/>
        </w:rPr>
        <w:t xml:space="preserve">第</w:t>
      </w:r>
      <w:bookmarkEnd w:id="171"/>
      <w:r>
        <w:rPr>
          <w:rFonts w:hint="eastAsia" w:ascii="Times New Roman" w:hAnsi="Times New Roman" w:eastAsia="黑体" w:cs="Courier New"/>
          <w:bCs/>
          <w:sz w:val="44"/>
          <w:szCs w:val="21"/>
        </w:rPr>
        <w:t xml:space="preserve">四章 采购需求</w:t>
      </w:r>
      <w:bookmarkEnd w:id="172"/>
      <w:r/>
      <w:bookmarkEnd w:id="173"/>
      <w:r/>
      <w:bookmarkEnd w:id="174"/>
      <w:r/>
      <w:bookmarkStart w:id="177" w:name="_Toc49090575"/>
      <w:r/>
      <w:bookmarkStart w:id="178" w:name="_Toc120614281"/>
      <w:r/>
      <w:bookmarkStart w:id="179" w:name="_Toc26554093"/>
      <w:r/>
      <w:r/>
    </w:p>
    <w:p>
      <w:pPr>
        <w:ind w:firstLine="422"/>
        <w:spacing w:line="360" w:lineRule="auto"/>
        <w:rPr>
          <w:rFonts w:ascii="宋体" w:hAnsi="宋体"/>
          <w:b/>
          <w:bCs/>
          <w:szCs w:val="21"/>
        </w:rPr>
        <w:outlineLvl w:val="1"/>
      </w:pPr>
      <w:r>
        <w:rPr>
          <w:rFonts w:hint="eastAsia" w:ascii="宋体" w:hAnsi="宋体"/>
          <w:b/>
          <w:bCs/>
          <w:szCs w:val="21"/>
        </w:rPr>
        <w:t xml:space="preserve">一、项目概述</w:t>
      </w:r>
      <w:r/>
    </w:p>
    <w:p>
      <w:pPr>
        <w:ind w:firstLine="420"/>
        <w:spacing w:line="360" w:lineRule="auto"/>
        <w:rPr>
          <w:rFonts w:ascii="宋体" w:hAnsi="宋体"/>
          <w:bCs/>
          <w:szCs w:val="21"/>
        </w:rPr>
      </w:pPr>
      <w:r>
        <w:rPr>
          <w:rFonts w:hint="eastAsia" w:ascii="宋体" w:hAnsi="宋体"/>
          <w:bCs/>
          <w:szCs w:val="21"/>
        </w:rPr>
        <w:t xml:space="preserve">主要负责南京江北新区C-PARK（2026.9-2029.9）污水预处理站运维服务，包括但不限于设备维修和设备保养，以保证污水处理站的正常运行和污水达标排放；污水站水处理系统日常运营药剂的配备</w:t>
      </w:r>
      <w:r>
        <w:rPr>
          <w:rFonts w:hint="eastAsia" w:ascii="宋体" w:hAnsi="宋体"/>
          <w:bCs/>
          <w:szCs w:val="21"/>
          <w:lang w:eastAsia="zh-CN"/>
        </w:rPr>
        <w:t xml:space="preserve">；</w:t>
      </w:r>
      <w:r>
        <w:rPr>
          <w:rFonts w:hint="eastAsia" w:ascii="宋体" w:hAnsi="宋体"/>
          <w:bCs/>
          <w:szCs w:val="21"/>
        </w:rPr>
        <w:t xml:space="preserve">负责C-PARK综合服务区污水收集罐及相关设施的维护和运营等。</w:t>
      </w:r>
      <w:r/>
    </w:p>
    <w:p>
      <w:pPr>
        <w:ind w:firstLine="420"/>
        <w:spacing w:line="360" w:lineRule="auto"/>
      </w:pPr>
      <w:r>
        <w:rPr>
          <w:rFonts w:hint="eastAsia"/>
        </w:rPr>
        <w:t xml:space="preserve">污水处理站设计处理规模（以实际为准）</w:t>
      </w:r>
      <w:r>
        <w:rPr>
          <w:rFonts w:hint="eastAsia"/>
          <w:lang w:eastAsia="zh-CN"/>
        </w:rPr>
        <w:t xml:space="preserve">：</w:t>
      </w:r>
      <w:r>
        <w:rPr>
          <w:rFonts w:hint="eastAsia"/>
        </w:rPr>
        <w:t xml:space="preserve">总水量≤100吨/日。其中实验室废水≤60吨/日</w:t>
      </w:r>
      <w:r>
        <w:rPr>
          <w:rFonts w:hint="eastAsia"/>
          <w:lang w:eastAsia="zh-CN"/>
        </w:rPr>
        <w:t xml:space="preserve">，</w:t>
      </w:r>
      <w:r>
        <w:rPr>
          <w:rFonts w:hint="eastAsia"/>
        </w:rPr>
        <w:t xml:space="preserve">生活污水≤40吨/日。</w:t>
      </w:r>
      <w:r/>
    </w:p>
    <w:p>
      <w:pPr>
        <w:ind w:firstLine="482"/>
        <w:spacing w:line="360" w:lineRule="auto"/>
        <w:rPr>
          <w:rFonts w:ascii="宋体" w:hAnsi="宋体"/>
          <w:b/>
          <w:bCs/>
          <w:szCs w:val="21"/>
        </w:rPr>
        <w:outlineLvl w:val="1"/>
      </w:pPr>
      <w:r>
        <w:rPr>
          <w:rFonts w:hint="eastAsia" w:ascii="Times New Roman" w:hAnsi="Times New Roman"/>
          <w:b/>
          <w:bCs w:val="0"/>
          <w:i w:val="0"/>
          <w:iCs/>
          <w:sz w:val="24"/>
          <w:u w:val="none"/>
        </w:rPr>
        <w:t xml:space="preserve">★</w:t>
      </w:r>
      <w:r>
        <w:rPr>
          <w:rFonts w:hint="eastAsia" w:ascii="宋体" w:hAnsi="宋体"/>
          <w:b/>
          <w:bCs/>
          <w:szCs w:val="21"/>
        </w:rPr>
        <w:t xml:space="preserve">二、服务内容</w:t>
      </w:r>
      <w:r/>
    </w:p>
    <w:p>
      <w:pPr>
        <w:ind w:firstLine="420"/>
        <w:spacing w:line="360" w:lineRule="auto"/>
        <w:rPr>
          <w:rFonts w:ascii="宋体" w:hAnsi="宋体"/>
          <w:bCs/>
          <w:szCs w:val="21"/>
        </w:rPr>
      </w:pPr>
      <w:r>
        <w:rPr>
          <w:rFonts w:hint="eastAsia" w:ascii="宋体" w:hAnsi="宋体"/>
          <w:bCs/>
          <w:szCs w:val="21"/>
        </w:rPr>
        <w:t xml:space="preserve">1、在委托运营期限内，自行承担各项费用、风险和所有责任，包括安全责任。供应商负责项目设施的运营与维护，包含污水处理所需药剂，负责废弃物的妥善管理，保证污水处理稳定达标排放。污水处理站在线检测仪表运营维护不在内包含。 </w:t>
      </w:r>
      <w:r/>
    </w:p>
    <w:p>
      <w:pPr>
        <w:ind w:firstLine="420"/>
        <w:spacing w:line="360" w:lineRule="auto"/>
        <w:rPr>
          <w:rFonts w:ascii="宋体" w:hAnsi="宋体"/>
          <w:bCs/>
          <w:szCs w:val="21"/>
        </w:rPr>
      </w:pPr>
      <w:r>
        <w:rPr>
          <w:rFonts w:hint="eastAsia" w:ascii="宋体" w:hAnsi="宋体"/>
          <w:bCs/>
          <w:szCs w:val="21"/>
        </w:rPr>
        <w:t xml:space="preserve">2、自合同签订之日起采购人将结合其他部门每月对该项目的运行记录、维修记录、技术文件等进行现场考核打分。合同期内供应商应对污水处理能够达到稳定达标排放，并能通过环保部门或相关部门的检测，废弃物定时合理处置，污水处理设备运行正常、质量完好、维修及时、服务热情。供应商在合同期内必须做到污水处理能够稳定达标排放，并能通过环保部门或相关部门的检测、检查，废弃物定时合理处置，污水处理设备运行正常。并且未给采购人带来负面影响。综合上述达到采购人的考评计分标准，采购人有权利将其合同顺延。 </w:t>
      </w:r>
      <w:r/>
    </w:p>
    <w:p>
      <w:pPr>
        <w:ind w:firstLine="420"/>
        <w:spacing w:line="360" w:lineRule="auto"/>
        <w:rPr>
          <w:rFonts w:ascii="宋体" w:hAnsi="宋体"/>
          <w:bCs/>
          <w:szCs w:val="21"/>
        </w:rPr>
      </w:pPr>
      <w:r>
        <w:rPr>
          <w:rFonts w:hint="eastAsia" w:ascii="宋体" w:hAnsi="宋体"/>
          <w:bCs/>
          <w:szCs w:val="21"/>
        </w:rPr>
        <w:t xml:space="preserve">3、负责处理的污水，严格按照标准的操作规程操作，认真做好运行记录。 </w:t>
      </w:r>
      <w:r/>
    </w:p>
    <w:p>
      <w:pPr>
        <w:ind w:firstLine="420"/>
        <w:spacing w:line="360" w:lineRule="auto"/>
        <w:rPr>
          <w:rFonts w:ascii="宋体" w:hAnsi="宋体"/>
          <w:bCs/>
          <w:szCs w:val="21"/>
        </w:rPr>
      </w:pPr>
      <w:r>
        <w:rPr>
          <w:rFonts w:hint="eastAsia" w:ascii="宋体" w:hAnsi="宋体"/>
          <w:bCs/>
          <w:szCs w:val="21"/>
        </w:rPr>
        <w:t xml:space="preserve">4、污水处理站现场操作人员必须持有污废水处理工证书。供应商至少须</w:t>
      </w:r>
      <w:r>
        <w:rPr>
          <w:rFonts w:ascii="宋体" w:hAnsi="宋体"/>
          <w:szCs w:val="21"/>
        </w:rPr>
        <w:t xml:space="preserve">配备项目负责人</w:t>
      </w:r>
      <w:r>
        <w:rPr>
          <w:rFonts w:hint="eastAsia" w:ascii="宋体" w:hAnsi="宋体"/>
          <w:szCs w:val="21"/>
        </w:rPr>
        <w:t xml:space="preserve">1名，设备维修工1名，具备污废水处理工证书的污废水处理工3名。</w:t>
      </w:r>
      <w:r/>
    </w:p>
    <w:p>
      <w:pPr>
        <w:ind w:firstLine="420"/>
        <w:spacing w:line="360" w:lineRule="auto"/>
        <w:rPr>
          <w:rFonts w:ascii="宋体" w:hAnsi="宋体"/>
          <w:bCs/>
          <w:szCs w:val="21"/>
        </w:rPr>
      </w:pPr>
      <w:r>
        <w:rPr>
          <w:rFonts w:hint="eastAsia" w:ascii="宋体" w:hAnsi="宋体"/>
          <w:bCs/>
          <w:szCs w:val="21"/>
        </w:rPr>
        <w:t xml:space="preserve">5、委托运营期届满或提前终止时，将项目设施及其相关文件资料按照规定完好、无偿移交给指定机构。 </w:t>
      </w:r>
      <w:r/>
    </w:p>
    <w:p>
      <w:pPr>
        <w:ind w:firstLine="482"/>
        <w:spacing w:line="360" w:lineRule="auto"/>
        <w:rPr>
          <w:rFonts w:ascii="宋体" w:hAnsi="宋体"/>
          <w:b/>
          <w:bCs/>
          <w:szCs w:val="21"/>
        </w:rPr>
        <w:outlineLvl w:val="1"/>
      </w:pPr>
      <w:r>
        <w:rPr>
          <w:rFonts w:hint="eastAsia" w:ascii="Times New Roman" w:hAnsi="Times New Roman"/>
          <w:b/>
          <w:bCs w:val="0"/>
          <w:i w:val="0"/>
          <w:iCs/>
          <w:sz w:val="24"/>
          <w:u w:val="none"/>
        </w:rPr>
        <w:t xml:space="preserve">★</w:t>
      </w:r>
      <w:r>
        <w:rPr>
          <w:rFonts w:hint="eastAsia" w:ascii="宋体" w:hAnsi="宋体"/>
          <w:b/>
          <w:bCs/>
          <w:szCs w:val="21"/>
        </w:rPr>
        <w:t xml:space="preserve">三、服务时间要求</w:t>
      </w:r>
      <w:r/>
    </w:p>
    <w:p>
      <w:pPr>
        <w:ind w:firstLine="420"/>
        <w:spacing w:line="360" w:lineRule="auto"/>
        <w:rPr>
          <w:rFonts w:hint="eastAsia" w:ascii="宋体" w:hAnsi="宋体"/>
          <w:bCs/>
          <w:szCs w:val="21"/>
        </w:rPr>
        <w:outlineLvl w:val="1"/>
      </w:pPr>
      <w:r>
        <w:rPr>
          <w:rFonts w:hint="eastAsia" w:ascii="宋体" w:hAnsi="宋体"/>
          <w:bCs/>
          <w:szCs w:val="21"/>
        </w:rPr>
        <w:t xml:space="preserve">合同生效之日起三年，合同一年一签，每年服务期满一年，通过考核后方可续签下一年度合同。</w:t>
      </w:r>
      <w:r/>
    </w:p>
    <w:p>
      <w:pPr>
        <w:ind w:firstLine="482"/>
        <w:spacing w:line="360" w:lineRule="auto"/>
        <w:rPr>
          <w:rFonts w:ascii="宋体" w:hAnsi="宋体"/>
          <w:b/>
          <w:bCs/>
          <w:szCs w:val="21"/>
        </w:rPr>
        <w:outlineLvl w:val="1"/>
      </w:pPr>
      <w:r>
        <w:rPr>
          <w:rFonts w:hint="eastAsia" w:ascii="Times New Roman" w:hAnsi="Times New Roman"/>
          <w:b/>
          <w:bCs w:val="0"/>
          <w:i w:val="0"/>
          <w:iCs/>
          <w:sz w:val="24"/>
          <w:u w:val="none"/>
        </w:rPr>
        <w:t xml:space="preserve">★</w:t>
      </w:r>
      <w:r>
        <w:rPr>
          <w:rFonts w:hint="eastAsia" w:ascii="宋体" w:hAnsi="宋体"/>
          <w:b/>
          <w:bCs/>
          <w:szCs w:val="21"/>
        </w:rPr>
        <w:t xml:space="preserve">四、相关材料要求、服务成果提供及要求等</w:t>
      </w:r>
      <w:r/>
    </w:p>
    <w:p>
      <w:pPr>
        <w:ind w:firstLine="420"/>
        <w:spacing w:line="360" w:lineRule="auto"/>
        <w:rPr>
          <w:rFonts w:ascii="宋体" w:hAnsi="宋体"/>
          <w:bCs/>
          <w:szCs w:val="21"/>
        </w:rPr>
      </w:pPr>
      <w:r>
        <w:rPr>
          <w:rFonts w:hint="eastAsia" w:ascii="宋体" w:hAnsi="宋体"/>
          <w:bCs/>
          <w:szCs w:val="21"/>
        </w:rPr>
        <w:t xml:space="preserve">（1) 自本项目确定后，根据污水站设备列出清单，共同对污水处理站现有的项目设施进行逐项清点和登记，并在必要时就其状况或其它需要特别说明的事项进行备注，形成项目设施移交记录后，由双方代表在项目设施移交记录上签字予以确认。 </w:t>
      </w:r>
      <w:r/>
    </w:p>
    <w:p>
      <w:pPr>
        <w:ind w:firstLine="420"/>
        <w:spacing w:line="360" w:lineRule="auto"/>
        <w:rPr>
          <w:rFonts w:ascii="宋体" w:hAnsi="宋体"/>
          <w:bCs/>
          <w:szCs w:val="21"/>
        </w:rPr>
      </w:pPr>
      <w:r>
        <w:rPr>
          <w:rFonts w:hint="eastAsia" w:ascii="宋体" w:hAnsi="宋体"/>
          <w:bCs/>
          <w:szCs w:val="21"/>
        </w:rPr>
        <w:t xml:space="preserve">（2）采购人保证在项目设施移交日以前，确保污水处理设施正常运行。 </w:t>
      </w:r>
      <w:r/>
    </w:p>
    <w:p>
      <w:pPr>
        <w:ind w:firstLine="420"/>
        <w:spacing w:line="360" w:lineRule="auto"/>
        <w:rPr>
          <w:rFonts w:ascii="宋体" w:hAnsi="宋体"/>
          <w:bCs/>
          <w:szCs w:val="21"/>
        </w:rPr>
      </w:pPr>
      <w:r>
        <w:rPr>
          <w:rFonts w:hint="eastAsia" w:ascii="宋体" w:hAnsi="宋体"/>
          <w:bCs/>
          <w:szCs w:val="21"/>
        </w:rPr>
        <w:t xml:space="preserve">（3) 所有技术资料包括污水处理站所有为其运营和维护所需的技术性文件，全部技术资料以保证在项目委托运营期满或提前终止时，将全部运行记录、维修记录、技术文件等完整地交采购人存档。 </w:t>
      </w:r>
      <w:r/>
    </w:p>
    <w:p>
      <w:pPr>
        <w:ind w:firstLine="420"/>
        <w:spacing w:line="360" w:lineRule="auto"/>
        <w:rPr>
          <w:rFonts w:ascii="宋体" w:hAnsi="宋体"/>
          <w:bCs/>
          <w:szCs w:val="21"/>
        </w:rPr>
      </w:pPr>
      <w:r>
        <w:rPr>
          <w:rFonts w:hint="eastAsia" w:ascii="宋体" w:hAnsi="宋体"/>
          <w:bCs/>
          <w:szCs w:val="21"/>
        </w:rPr>
        <w:t xml:space="preserve">（4) </w:t>
      </w:r>
      <w:r>
        <w:rPr>
          <w:rFonts w:hint="eastAsia" w:ascii="宋体" w:hAnsi="宋体"/>
          <w:b/>
          <w:bCs/>
          <w:szCs w:val="21"/>
        </w:rPr>
        <w:t xml:space="preserve">出水水质执行《南京江北新材料科技园企业污水排放管理规定（2020年版）》规定的标准（详见合同附件一）。</w:t>
      </w:r>
      <w:r>
        <w:rPr>
          <w:rFonts w:hint="eastAsia" w:ascii="宋体" w:hAnsi="宋体"/>
          <w:bCs/>
          <w:szCs w:val="21"/>
        </w:rPr>
        <w:t xml:space="preserve"> </w:t>
      </w:r>
      <w:r/>
    </w:p>
    <w:p>
      <w:pPr>
        <w:ind w:firstLine="482"/>
        <w:spacing w:line="360" w:lineRule="auto"/>
        <w:rPr>
          <w:rFonts w:ascii="宋体" w:hAnsi="宋体"/>
          <w:b/>
          <w:bCs/>
          <w:szCs w:val="21"/>
        </w:rPr>
        <w:outlineLvl w:val="1"/>
      </w:pPr>
      <w:r>
        <w:rPr>
          <w:rFonts w:hint="eastAsia" w:ascii="Times New Roman" w:hAnsi="Times New Roman"/>
          <w:b/>
          <w:bCs w:val="0"/>
          <w:i w:val="0"/>
          <w:iCs/>
          <w:sz w:val="24"/>
          <w:u w:val="none"/>
        </w:rPr>
        <w:t xml:space="preserve">★</w:t>
      </w:r>
      <w:r>
        <w:rPr>
          <w:rFonts w:hint="eastAsia" w:ascii="宋体" w:hAnsi="宋体"/>
          <w:b/>
          <w:bCs/>
          <w:szCs w:val="21"/>
        </w:rPr>
        <w:t xml:space="preserve">五、验收标准</w:t>
      </w:r>
      <w:r/>
    </w:p>
    <w:p>
      <w:pPr>
        <w:ind w:firstLine="420"/>
        <w:spacing w:line="360" w:lineRule="auto"/>
        <w:rPr>
          <w:rFonts w:ascii="黑体" w:hAnsi="黑体" w:eastAsia="黑体" w:cs="黑体"/>
          <w:sz w:val="20"/>
        </w:rPr>
      </w:pPr>
      <w:r>
        <w:rPr>
          <w:rFonts w:hint="eastAsia" w:ascii="宋体" w:hAnsi="宋体"/>
          <w:bCs/>
          <w:szCs w:val="21"/>
        </w:rPr>
        <w:t xml:space="preserve">污水处理能够稳定达标排放，并能通过环保部门或相关部门的检测、检查，废弃物定时合理处置，污水处理设备运行正常、质量完好、维修及时、服务热情。</w:t>
      </w:r>
      <w:r/>
    </w:p>
    <w:p>
      <w:pPr>
        <w:ind w:firstLine="482"/>
        <w:spacing w:line="360" w:lineRule="auto"/>
        <w:rPr>
          <w:rFonts w:ascii="宋体" w:hAnsi="宋体"/>
          <w:b/>
          <w:bCs/>
          <w:szCs w:val="21"/>
        </w:rPr>
        <w:outlineLvl w:val="1"/>
      </w:pPr>
      <w:r>
        <w:rPr>
          <w:rFonts w:hint="eastAsia" w:ascii="Times New Roman" w:hAnsi="Times New Roman"/>
          <w:b/>
          <w:bCs w:val="0"/>
          <w:i w:val="0"/>
          <w:iCs/>
          <w:sz w:val="24"/>
          <w:u w:val="none"/>
        </w:rPr>
        <w:t xml:space="preserve">★</w:t>
      </w:r>
      <w:r>
        <w:rPr>
          <w:rFonts w:hint="eastAsia" w:ascii="宋体" w:hAnsi="宋体"/>
          <w:b/>
          <w:bCs/>
          <w:szCs w:val="21"/>
        </w:rPr>
        <w:t xml:space="preserve">六、付款方式</w:t>
      </w:r>
      <w:r/>
    </w:p>
    <w:p>
      <w:pPr>
        <w:ind w:firstLine="420"/>
        <w:spacing w:line="360" w:lineRule="auto"/>
        <w:rPr>
          <w:rFonts w:ascii="宋体" w:hAnsi="宋体"/>
          <w:bCs/>
          <w:szCs w:val="21"/>
        </w:rPr>
      </w:pPr>
      <w:r>
        <w:rPr>
          <w:rFonts w:hint="eastAsia" w:ascii="宋体" w:hAnsi="宋体"/>
          <w:bCs/>
          <w:szCs w:val="21"/>
        </w:rPr>
        <w:t xml:space="preserve">付款方式：合同签订后乙方正式启动运维服务后的(以交接单日期为准）30天内甲方支付第一笔费用，费用为合同价款的30%；乙方运维满半年后，支付第二笔费用，费用为合同价款30%；剩余合同价款40%费用，待乙方运营期满提供年度台账及运维总结报告并经甲方认可后，由甲方付清。甲方付款前，乙方应向甲方开具等额增值税普通发票。否则，甲方有权拒绝付款。</w:t>
      </w:r>
      <w:r/>
    </w:p>
    <w:p>
      <w:pPr>
        <w:ind w:firstLine="482"/>
        <w:spacing w:line="360" w:lineRule="auto"/>
        <w:rPr>
          <w:rFonts w:ascii="宋体" w:hAnsi="宋体"/>
          <w:b/>
          <w:bCs/>
          <w:szCs w:val="21"/>
        </w:rPr>
        <w:outlineLvl w:val="1"/>
      </w:pPr>
      <w:r>
        <w:rPr>
          <w:rFonts w:hint="eastAsia" w:ascii="Times New Roman" w:hAnsi="Times New Roman"/>
          <w:b/>
          <w:bCs w:val="0"/>
          <w:i w:val="0"/>
          <w:iCs/>
          <w:sz w:val="24"/>
          <w:u w:val="none"/>
        </w:rPr>
        <w:t xml:space="preserve">★</w:t>
      </w:r>
      <w:r>
        <w:rPr>
          <w:rFonts w:hint="eastAsia" w:ascii="宋体" w:hAnsi="宋体"/>
          <w:b/>
          <w:bCs/>
          <w:szCs w:val="21"/>
        </w:rPr>
        <w:t xml:space="preserve">七、其他</w:t>
      </w:r>
      <w:r/>
    </w:p>
    <w:p>
      <w:pPr>
        <w:ind w:firstLine="420"/>
        <w:spacing w:line="360" w:lineRule="auto"/>
      </w:pPr>
      <w:r>
        <w:rPr>
          <w:rFonts w:hint="eastAsia"/>
        </w:rPr>
        <w:t xml:space="preserve">1、供应商负责污水站及污水收集系统设施、设备、仪器、仪表的维护、保养、调试、突发故障维护维修等工作。中小型维修（市场价格在人民币2000元以内的配件及配品）由成交供应商承担；大型维修（市场价格超过人民币2000元的配件及配品），替换所需的配件及配品价格经甲方确认后，由甲方承担，具体费用以审计结算为准。</w:t>
      </w:r>
      <w:r/>
    </w:p>
    <w:p>
      <w:pPr>
        <w:ind w:firstLine="420"/>
        <w:jc w:val="left"/>
        <w:spacing w:line="360" w:lineRule="auto"/>
      </w:pPr>
      <w:r>
        <w:rPr>
          <w:rFonts w:hint="eastAsia"/>
        </w:rPr>
        <w:t xml:space="preserve">2、进水水质预估如下（具体以实际为准）：供应商报价时请综合考虑相关处理费用，以达到采购文件要求的排放标准。</w:t>
      </w:r>
      <w:r/>
    </w:p>
    <w:p>
      <w:pPr>
        <w:ind w:firstLine="420"/>
        <w:jc w:val="center"/>
        <w:spacing w:line="440" w:lineRule="exact"/>
        <w:shd w:val="clear" w:color="auto" w:fill="ffffff"/>
        <w:rPr>
          <w:rFonts w:ascii="黑体" w:hAnsi="黑体" w:eastAsia="黑体" w:cs="黑体"/>
          <w:sz w:val="20"/>
        </w:rPr>
      </w:pPr>
      <w:r>
        <w:rPr>
          <w:rFonts w:hint="eastAsia" w:ascii="黑体" w:hAnsi="黑体" w:eastAsia="黑体" w:cs="黑体"/>
          <w:sz w:val="20"/>
          <w:szCs w:val="20"/>
        </w:rPr>
        <w:t xml:space="preserve">实验室清洗废水进水水质（单位：mg/L）</w:t>
      </w:r>
      <w:r/>
    </w:p>
    <w:tbl>
      <w:tblPr>
        <w:tblStyle w:val="725"/>
        <w:tblW w:w="34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587"/>
        <w:gridCol w:w="1391"/>
      </w:tblGrid>
      <w:tr>
        <w:trPr>
          <w:jc w:val="center"/>
          <w:trHeight w:val="23"/>
        </w:trPr>
        <w:tc>
          <w:tcPr>
            <w:tcW w:w="4003" w:type="pct"/>
            <w:textDirection w:val="lrTb"/>
            <w:noWrap w:val="false"/>
          </w:tcPr>
          <w:p>
            <w:pPr>
              <w:jc w:val="center"/>
              <w:spacing w:line="440" w:lineRule="exact"/>
              <w:shd w:val="clear" w:color="auto" w:fill="ffffff"/>
              <w:rPr>
                <w:rFonts w:ascii="黑体" w:hAnsi="黑体" w:eastAsia="黑体" w:cs="黑体"/>
                <w:sz w:val="20"/>
              </w:rPr>
            </w:pPr>
            <w:r>
              <w:rPr>
                <w:rFonts w:hint="eastAsia" w:ascii="黑体" w:hAnsi="黑体" w:eastAsia="黑体" w:cs="黑体"/>
                <w:sz w:val="20"/>
                <w:szCs w:val="20"/>
              </w:rPr>
              <w:t xml:space="preserve">项目</w:t>
            </w:r>
            <w:r/>
          </w:p>
        </w:tc>
        <w:tc>
          <w:tcPr>
            <w:tcW w:w="996" w:type="pct"/>
            <w:textDirection w:val="lrTb"/>
            <w:noWrap w:val="false"/>
          </w:tcPr>
          <w:p>
            <w:pPr>
              <w:jc w:val="center"/>
              <w:spacing w:line="440" w:lineRule="exact"/>
              <w:shd w:val="clear" w:color="auto" w:fill="ffffff"/>
              <w:rPr>
                <w:rFonts w:ascii="黑体" w:hAnsi="黑体" w:eastAsia="黑体" w:cs="黑体"/>
                <w:sz w:val="20"/>
              </w:rPr>
            </w:pPr>
            <w:r>
              <w:rPr>
                <w:rFonts w:hint="eastAsia" w:ascii="黑体" w:hAnsi="黑体" w:eastAsia="黑体" w:cs="黑体"/>
                <w:sz w:val="20"/>
                <w:szCs w:val="20"/>
              </w:rPr>
              <w:t xml:space="preserve">进水水质</w:t>
            </w:r>
            <w:r/>
          </w:p>
        </w:tc>
      </w:tr>
      <w:tr>
        <w:trPr>
          <w:jc w:val="center"/>
          <w:trHeight w:val="389"/>
        </w:trPr>
        <w:tc>
          <w:tcPr>
            <w:tcW w:w="4003" w:type="pct"/>
            <w:textDirection w:val="lrTb"/>
            <w:noWrap w:val="false"/>
          </w:tcPr>
          <w:p>
            <w:pPr>
              <w:jc w:val="center"/>
              <w:spacing w:line="440" w:lineRule="exact"/>
              <w:shd w:val="clear" w:color="auto" w:fill="ffffff"/>
              <w:rPr>
                <w:sz w:val="20"/>
              </w:rPr>
            </w:pPr>
            <w:r>
              <w:rPr>
                <w:rFonts w:hint="eastAsia"/>
                <w:sz w:val="20"/>
                <w:szCs w:val="20"/>
              </w:rPr>
              <w:t xml:space="preserve">PH</w:t>
            </w:r>
            <w:r/>
          </w:p>
        </w:tc>
        <w:tc>
          <w:tcPr>
            <w:tcW w:w="996"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rPr>
              <w:t xml:space="preserve">6-9</w:t>
            </w:r>
            <w:r/>
          </w:p>
        </w:tc>
      </w:tr>
      <w:tr>
        <w:trPr>
          <w:jc w:val="center"/>
          <w:trHeight w:val="23"/>
        </w:trPr>
        <w:tc>
          <w:tcPr>
            <w:tcW w:w="4003"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CODcr (mg/L)</w:t>
            </w:r>
            <w:r/>
          </w:p>
        </w:tc>
        <w:tc>
          <w:tcPr>
            <w:tcW w:w="996"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≤3000</w:t>
            </w:r>
            <w:r/>
          </w:p>
        </w:tc>
      </w:tr>
      <w:tr>
        <w:trPr>
          <w:jc w:val="center"/>
          <w:trHeight w:val="23"/>
        </w:trPr>
        <w:tc>
          <w:tcPr>
            <w:tcW w:w="4003"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B0D5(mg/L)</w:t>
            </w:r>
            <w:r/>
          </w:p>
        </w:tc>
        <w:tc>
          <w:tcPr>
            <w:tcW w:w="996"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rPr>
              <w:t xml:space="preserve">300-500</w:t>
            </w:r>
            <w:r/>
          </w:p>
        </w:tc>
      </w:tr>
      <w:tr>
        <w:trPr>
          <w:jc w:val="center"/>
          <w:trHeight w:val="23"/>
        </w:trPr>
        <w:tc>
          <w:tcPr>
            <w:tcW w:w="4003"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SS(mg/L)</w:t>
            </w:r>
            <w:r/>
          </w:p>
        </w:tc>
        <w:tc>
          <w:tcPr>
            <w:tcW w:w="996"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rPr>
              <w:t xml:space="preserve">50-500</w:t>
            </w:r>
            <w:r/>
          </w:p>
        </w:tc>
      </w:tr>
      <w:tr>
        <w:trPr>
          <w:jc w:val="center"/>
          <w:trHeight w:val="23"/>
        </w:trPr>
        <w:tc>
          <w:tcPr>
            <w:tcW w:w="4003"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氨氮(mg/L)</w:t>
            </w:r>
            <w:r/>
          </w:p>
        </w:tc>
        <w:tc>
          <w:tcPr>
            <w:tcW w:w="996" w:type="pct"/>
            <w:textDirection w:val="lrTb"/>
            <w:noWrap w:val="false"/>
          </w:tcPr>
          <w:p>
            <w:pPr>
              <w:jc w:val="center"/>
              <w:spacing w:line="440" w:lineRule="exact"/>
              <w:shd w:val="clear" w:color="auto" w:fill="ffffff"/>
              <w:rPr>
                <w:rFonts w:eastAsia="Calibri"/>
                <w:sz w:val="20"/>
              </w:rPr>
            </w:pPr>
            <w:r>
              <w:rPr>
                <w:rFonts w:eastAsia="Calibri"/>
                <w:sz w:val="20"/>
                <w:szCs w:val="20"/>
                <w:lang w:eastAsia="en-US"/>
              </w:rPr>
              <w:t xml:space="preserve">≤</w:t>
            </w:r>
            <w:r>
              <w:rPr>
                <w:rFonts w:eastAsia="Calibri"/>
                <w:sz w:val="20"/>
                <w:szCs w:val="20"/>
              </w:rPr>
              <w:t xml:space="preserve">100</w:t>
            </w:r>
            <w:r/>
          </w:p>
        </w:tc>
      </w:tr>
      <w:tr>
        <w:trPr>
          <w:jc w:val="center"/>
          <w:trHeight w:val="23"/>
        </w:trPr>
        <w:tc>
          <w:tcPr>
            <w:tcW w:w="4003"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总氮（以、计）</w:t>
            </w:r>
            <w:r/>
          </w:p>
        </w:tc>
        <w:tc>
          <w:tcPr>
            <w:tcW w:w="996" w:type="pct"/>
            <w:textDirection w:val="lrTb"/>
            <w:noWrap w:val="false"/>
          </w:tcPr>
          <w:p>
            <w:pPr>
              <w:jc w:val="center"/>
              <w:spacing w:line="440" w:lineRule="exact"/>
              <w:shd w:val="clear" w:color="auto" w:fill="ffffff"/>
              <w:rPr>
                <w:rFonts w:eastAsia="Calibri"/>
                <w:sz w:val="20"/>
              </w:rPr>
            </w:pPr>
            <w:r>
              <w:rPr>
                <w:rFonts w:eastAsia="Calibri"/>
                <w:sz w:val="20"/>
                <w:szCs w:val="20"/>
                <w:lang w:eastAsia="en-US"/>
              </w:rPr>
              <w:t xml:space="preserve">≤</w:t>
            </w:r>
            <w:r>
              <w:rPr>
                <w:rFonts w:eastAsia="Calibri"/>
                <w:sz w:val="20"/>
                <w:szCs w:val="20"/>
              </w:rPr>
              <w:t xml:space="preserve">100</w:t>
            </w:r>
            <w:r/>
          </w:p>
        </w:tc>
      </w:tr>
      <w:tr>
        <w:trPr>
          <w:jc w:val="center"/>
          <w:trHeight w:val="23"/>
        </w:trPr>
        <w:tc>
          <w:tcPr>
            <w:tcW w:w="4003"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总磷(mg/L)</w:t>
            </w:r>
            <w:r/>
          </w:p>
        </w:tc>
        <w:tc>
          <w:tcPr>
            <w:tcW w:w="996"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rPr>
              <w:t xml:space="preserve">≤20</w:t>
            </w:r>
            <w:r/>
          </w:p>
        </w:tc>
      </w:tr>
      <w:tr>
        <w:trPr>
          <w:jc w:val="center"/>
          <w:trHeight w:val="23"/>
        </w:trPr>
        <w:tc>
          <w:tcPr>
            <w:tcW w:w="4003"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含盐量TDS (mg/L)</w:t>
            </w:r>
            <w:r/>
          </w:p>
        </w:tc>
        <w:tc>
          <w:tcPr>
            <w:tcW w:w="996"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≤2000</w:t>
            </w:r>
            <w:r/>
          </w:p>
        </w:tc>
      </w:tr>
      <w:tr>
        <w:trPr>
          <w:jc w:val="center"/>
          <w:trHeight w:val="210"/>
        </w:trPr>
        <w:tc>
          <w:tcPr>
            <w:tcW w:w="4003"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第一类污染物</w:t>
            </w:r>
            <w:r/>
          </w:p>
        </w:tc>
        <w:tc>
          <w:tcPr>
            <w:tcW w:w="996"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无</w:t>
            </w:r>
            <w:r/>
          </w:p>
        </w:tc>
      </w:tr>
      <w:tr>
        <w:trPr>
          <w:jc w:val="center"/>
          <w:trHeight w:val="23"/>
        </w:trPr>
        <w:tc>
          <w:tcPr>
            <w:tcW w:w="4003" w:type="pct"/>
            <w:textDirection w:val="lrTb"/>
            <w:noWrap w:val="false"/>
          </w:tcPr>
          <w:p>
            <w:pPr>
              <w:jc w:val="center"/>
              <w:spacing w:line="440" w:lineRule="exact"/>
              <w:shd w:val="clear" w:color="auto" w:fill="ffffff"/>
              <w:rPr>
                <w:rFonts w:eastAsia="Calibri"/>
                <w:sz w:val="20"/>
              </w:rPr>
            </w:pPr>
            <w:r>
              <w:rPr>
                <w:rFonts w:eastAsia="Calibri"/>
                <w:sz w:val="20"/>
                <w:szCs w:val="20"/>
              </w:rPr>
              <w:t xml:space="preserve">有机磷农药、乐果、对硫磷、甲基对硫磷、马拉硫磷</w:t>
            </w:r>
            <w:r/>
          </w:p>
        </w:tc>
        <w:tc>
          <w:tcPr>
            <w:tcW w:w="996"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无</w:t>
            </w:r>
            <w:r/>
          </w:p>
        </w:tc>
      </w:tr>
      <w:tr>
        <w:trPr>
          <w:jc w:val="center"/>
          <w:trHeight w:val="23"/>
        </w:trPr>
        <w:tc>
          <w:tcPr>
            <w:tcW w:w="4003"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总化合物</w:t>
            </w:r>
            <w:r/>
          </w:p>
        </w:tc>
        <w:tc>
          <w:tcPr>
            <w:tcW w:w="996"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无</w:t>
            </w:r>
            <w:r/>
          </w:p>
        </w:tc>
      </w:tr>
      <w:tr>
        <w:trPr>
          <w:jc w:val="center"/>
          <w:trHeight w:val="90"/>
        </w:trPr>
        <w:tc>
          <w:tcPr>
            <w:tcW w:w="4003"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（含剧毒物质）</w:t>
            </w:r>
            <w:r/>
          </w:p>
        </w:tc>
        <w:tc>
          <w:tcPr>
            <w:tcW w:w="996"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lang w:eastAsia="en-US"/>
              </w:rPr>
              <w:t xml:space="preserve">无</w:t>
            </w:r>
            <w:r/>
          </w:p>
        </w:tc>
      </w:tr>
      <w:tr>
        <w:trPr>
          <w:jc w:val="center"/>
          <w:trHeight w:val="23"/>
        </w:trPr>
        <w:tc>
          <w:tcPr>
            <w:tcW w:w="4003" w:type="pct"/>
            <w:textDirection w:val="lrTb"/>
            <w:noWrap w:val="false"/>
          </w:tcPr>
          <w:p>
            <w:pPr>
              <w:jc w:val="center"/>
              <w:spacing w:line="440" w:lineRule="exact"/>
              <w:shd w:val="clear" w:color="auto" w:fill="ffffff"/>
              <w:rPr>
                <w:rFonts w:eastAsia="Calibri"/>
                <w:sz w:val="20"/>
                <w:lang w:eastAsia="en-US"/>
              </w:rPr>
            </w:pPr>
            <w:r>
              <w:rPr>
                <w:rFonts w:eastAsia="Calibri"/>
                <w:sz w:val="20"/>
                <w:szCs w:val="20"/>
              </w:rPr>
              <w:t xml:space="preserve">重金属</w:t>
            </w:r>
            <w:r/>
          </w:p>
        </w:tc>
        <w:tc>
          <w:tcPr>
            <w:tcW w:w="996" w:type="pct"/>
            <w:textDirection w:val="lrTb"/>
            <w:noWrap w:val="false"/>
          </w:tcPr>
          <w:p>
            <w:pPr>
              <w:jc w:val="center"/>
              <w:spacing w:line="440" w:lineRule="exact"/>
              <w:shd w:val="clear" w:color="auto" w:fill="ffffff"/>
              <w:tabs>
                <w:tab w:val="center" w:pos="636" w:leader="none"/>
              </w:tabs>
              <w:rPr>
                <w:rFonts w:eastAsia="Calibri"/>
                <w:sz w:val="20"/>
                <w:lang w:eastAsia="en-US"/>
              </w:rPr>
            </w:pPr>
            <w:r>
              <w:rPr>
                <w:rFonts w:eastAsia="Calibri"/>
                <w:sz w:val="20"/>
                <w:szCs w:val="20"/>
              </w:rPr>
              <w:t xml:space="preserve">无</w:t>
            </w:r>
            <w:r/>
          </w:p>
        </w:tc>
      </w:tr>
    </w:tbl>
    <w:p>
      <w:pPr>
        <w:ind w:firstLine="420"/>
        <w:jc w:val="center"/>
        <w:spacing w:line="440" w:lineRule="exact"/>
        <w:shd w:val="clear" w:color="auto" w:fill="ffffff"/>
        <w:rPr>
          <w:rFonts w:ascii="黑体" w:hAnsi="黑体" w:eastAsia="黑体" w:cs="黑体"/>
          <w:sz w:val="20"/>
        </w:rPr>
      </w:pPr>
      <w:r>
        <w:rPr>
          <w:rFonts w:ascii="黑体" w:hAnsi="黑体" w:eastAsia="黑体" w:cs="黑体"/>
          <w:sz w:val="20"/>
        </w:rPr>
      </w:r>
      <w:r/>
    </w:p>
    <w:p>
      <w:pPr>
        <w:ind w:firstLine="420"/>
        <w:jc w:val="center"/>
        <w:spacing w:line="440" w:lineRule="exact"/>
        <w:shd w:val="clear" w:color="auto" w:fill="ffffff"/>
        <w:rPr>
          <w:rFonts w:ascii="黑体" w:hAnsi="黑体" w:eastAsia="黑体" w:cs="黑体"/>
          <w:sz w:val="20"/>
        </w:rPr>
      </w:pPr>
      <w:r>
        <w:rPr>
          <w:rFonts w:hint="eastAsia" w:ascii="黑体" w:hAnsi="黑体" w:eastAsia="黑体" w:cs="黑体"/>
          <w:sz w:val="20"/>
          <w:szCs w:val="20"/>
        </w:rPr>
        <w:t xml:space="preserve">生活污水进水水质（单位：mg/L）</w:t>
      </w:r>
      <w:r/>
    </w:p>
    <w:tbl>
      <w:tblPr>
        <w:tblStyle w:val="725"/>
        <w:tblW w:w="38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955"/>
        <w:gridCol w:w="1793"/>
      </w:tblGrid>
      <w:tr>
        <w:trPr>
          <w:jc w:val="center"/>
          <w:trHeight w:val="23"/>
        </w:trPr>
        <w:tc>
          <w:tcPr>
            <w:shd w:val="clear" w:color="auto" w:fill="ffffff"/>
            <w:tcW w:w="3842" w:type="pct"/>
            <w:textDirection w:val="lrTb"/>
            <w:noWrap w:val="false"/>
          </w:tcPr>
          <w:p>
            <w:pPr>
              <w:jc w:val="center"/>
              <w:spacing w:line="440" w:lineRule="exact"/>
              <w:shd w:val="clear" w:color="auto" w:fill="ffffff"/>
              <w:rPr>
                <w:rFonts w:ascii="黑体" w:hAnsi="黑体" w:eastAsia="黑体" w:cs="黑体"/>
                <w:sz w:val="20"/>
              </w:rPr>
            </w:pPr>
            <w:r>
              <w:rPr>
                <w:rFonts w:hint="eastAsia" w:ascii="黑体" w:hAnsi="黑体" w:eastAsia="黑体" w:cs="黑体"/>
                <w:sz w:val="20"/>
                <w:szCs w:val="20"/>
              </w:rPr>
              <w:t xml:space="preserve">项目</w:t>
            </w:r>
            <w:r/>
          </w:p>
        </w:tc>
        <w:tc>
          <w:tcPr>
            <w:shd w:val="clear" w:color="auto" w:fill="ffffff"/>
            <w:tcW w:w="1157" w:type="pct"/>
            <w:textDirection w:val="lrTb"/>
            <w:noWrap w:val="false"/>
          </w:tcPr>
          <w:p>
            <w:pPr>
              <w:jc w:val="center"/>
              <w:spacing w:line="440" w:lineRule="exact"/>
              <w:shd w:val="clear" w:color="auto" w:fill="ffffff"/>
              <w:rPr>
                <w:rFonts w:ascii="黑体" w:hAnsi="黑体" w:eastAsia="黑体" w:cs="黑体"/>
                <w:sz w:val="20"/>
              </w:rPr>
            </w:pPr>
            <w:r>
              <w:rPr>
                <w:rFonts w:hint="eastAsia" w:ascii="黑体" w:hAnsi="黑体" w:eastAsia="黑体" w:cs="黑体"/>
                <w:sz w:val="20"/>
                <w:szCs w:val="20"/>
              </w:rPr>
              <w:t xml:space="preserve">进水水质</w:t>
            </w:r>
            <w:r/>
          </w:p>
        </w:tc>
      </w:tr>
      <w:tr>
        <w:trPr>
          <w:jc w:val="center"/>
          <w:trHeight w:val="23"/>
        </w:trPr>
        <w:tc>
          <w:tcPr>
            <w:shd w:val="clear" w:color="auto" w:fill="ffffff"/>
            <w:tcW w:w="3842" w:type="pct"/>
            <w:textDirection w:val="lrTb"/>
            <w:noWrap w:val="false"/>
          </w:tcPr>
          <w:p>
            <w:pPr>
              <w:jc w:val="center"/>
              <w:spacing w:line="440" w:lineRule="exact"/>
              <w:shd w:val="clear" w:color="auto" w:fill="ffffff"/>
              <w:rPr>
                <w:sz w:val="20"/>
              </w:rPr>
            </w:pPr>
            <w:r>
              <w:rPr>
                <w:rFonts w:hint="eastAsia"/>
                <w:sz w:val="20"/>
                <w:szCs w:val="20"/>
              </w:rPr>
              <w:t xml:space="preserve">PH</w:t>
            </w:r>
            <w:r/>
          </w:p>
        </w:tc>
        <w:tc>
          <w:tcPr>
            <w:shd w:val="clear" w:color="auto" w:fill="ffffff"/>
            <w:tcW w:w="1157" w:type="pct"/>
            <w:textDirection w:val="lrTb"/>
            <w:noWrap w:val="false"/>
          </w:tcPr>
          <w:p>
            <w:pPr>
              <w:jc w:val="center"/>
              <w:spacing w:line="440" w:lineRule="exact"/>
              <w:shd w:val="clear" w:color="auto" w:fill="ffffff"/>
              <w:rPr>
                <w:rFonts w:eastAsia="Calibri"/>
                <w:sz w:val="20"/>
              </w:rPr>
            </w:pPr>
            <w:r>
              <w:rPr>
                <w:rFonts w:eastAsia="Calibri"/>
                <w:sz w:val="20"/>
                <w:szCs w:val="20"/>
              </w:rPr>
              <w:t xml:space="preserve">6-9</w:t>
            </w:r>
            <w:r/>
          </w:p>
        </w:tc>
      </w:tr>
      <w:tr>
        <w:trPr>
          <w:jc w:val="center"/>
          <w:trHeight w:val="23"/>
        </w:trPr>
        <w:tc>
          <w:tcPr>
            <w:shd w:val="clear" w:color="auto" w:fill="ffffff"/>
            <w:tcW w:w="3842" w:type="pct"/>
            <w:textDirection w:val="lrTb"/>
            <w:noWrap w:val="false"/>
          </w:tcPr>
          <w:p>
            <w:pPr>
              <w:jc w:val="center"/>
              <w:spacing w:line="440" w:lineRule="exact"/>
              <w:shd w:val="clear" w:color="auto" w:fill="ffffff"/>
              <w:rPr>
                <w:rFonts w:eastAsia="Calibri"/>
                <w:sz w:val="20"/>
              </w:rPr>
            </w:pPr>
            <w:r>
              <w:rPr>
                <w:rFonts w:eastAsia="Calibri"/>
                <w:sz w:val="20"/>
                <w:szCs w:val="20"/>
                <w:lang w:eastAsia="en-US"/>
              </w:rPr>
              <w:t xml:space="preserve">CODcr </w:t>
            </w:r>
            <w:r>
              <w:rPr>
                <w:rFonts w:eastAsia="Calibri"/>
                <w:sz w:val="20"/>
                <w:szCs w:val="20"/>
              </w:rPr>
              <w:t xml:space="preserve">(</w:t>
            </w:r>
            <w:r>
              <w:rPr>
                <w:rFonts w:eastAsia="Calibri"/>
                <w:sz w:val="20"/>
                <w:szCs w:val="20"/>
                <w:lang w:eastAsia="en-US"/>
              </w:rPr>
              <w:t xml:space="preserve">mg/L</w:t>
            </w:r>
            <w:r>
              <w:rPr>
                <w:rFonts w:eastAsia="Calibri"/>
                <w:sz w:val="20"/>
                <w:szCs w:val="20"/>
              </w:rPr>
              <w:t xml:space="preserve">)</w:t>
            </w:r>
            <w:r/>
          </w:p>
        </w:tc>
        <w:tc>
          <w:tcPr>
            <w:shd w:val="clear" w:color="auto" w:fill="ffffff"/>
            <w:tcW w:w="1157" w:type="pct"/>
            <w:textDirection w:val="lrTb"/>
            <w:noWrap w:val="false"/>
          </w:tcPr>
          <w:p>
            <w:pPr>
              <w:jc w:val="center"/>
              <w:spacing w:line="440" w:lineRule="exact"/>
              <w:shd w:val="clear" w:color="auto" w:fill="ffffff"/>
              <w:rPr>
                <w:rFonts w:eastAsia="Calibri"/>
                <w:sz w:val="20"/>
              </w:rPr>
            </w:pPr>
            <w:r>
              <w:rPr>
                <w:rFonts w:eastAsia="Calibri"/>
                <w:sz w:val="20"/>
                <w:szCs w:val="20"/>
              </w:rPr>
              <w:t xml:space="preserve">300-500</w:t>
            </w:r>
            <w:r/>
          </w:p>
        </w:tc>
      </w:tr>
      <w:tr>
        <w:trPr>
          <w:jc w:val="center"/>
          <w:trHeight w:val="23"/>
        </w:trPr>
        <w:tc>
          <w:tcPr>
            <w:shd w:val="clear" w:color="auto" w:fill="ffffff"/>
            <w:tcW w:w="3842" w:type="pct"/>
            <w:textDirection w:val="lrTb"/>
            <w:noWrap w:val="false"/>
          </w:tcPr>
          <w:p>
            <w:pPr>
              <w:jc w:val="center"/>
              <w:spacing w:line="440" w:lineRule="exact"/>
              <w:shd w:val="clear" w:color="auto" w:fill="ffffff"/>
              <w:rPr>
                <w:rFonts w:eastAsia="Calibri"/>
                <w:sz w:val="20"/>
              </w:rPr>
            </w:pPr>
            <w:r>
              <w:rPr>
                <w:rFonts w:eastAsia="Calibri"/>
                <w:sz w:val="20"/>
                <w:szCs w:val="20"/>
                <w:lang w:eastAsia="en-US"/>
              </w:rPr>
              <w:t xml:space="preserve">B0D</w:t>
            </w:r>
            <w:r>
              <w:rPr>
                <w:rFonts w:eastAsia="Calibri"/>
                <w:sz w:val="20"/>
                <w:szCs w:val="20"/>
              </w:rPr>
              <w:t xml:space="preserve">5</w:t>
            </w:r>
            <w:r>
              <w:rPr>
                <w:rFonts w:eastAsia="Calibri"/>
                <w:sz w:val="20"/>
                <w:szCs w:val="20"/>
                <w:lang w:eastAsia="en-US"/>
              </w:rPr>
              <w:t xml:space="preserve"> (mg/L)</w:t>
            </w:r>
            <w:r/>
          </w:p>
        </w:tc>
        <w:tc>
          <w:tcPr>
            <w:shd w:val="clear" w:color="auto" w:fill="ffffff"/>
            <w:tcW w:w="1157" w:type="pct"/>
            <w:textDirection w:val="lrTb"/>
            <w:noWrap w:val="false"/>
          </w:tcPr>
          <w:p>
            <w:pPr>
              <w:jc w:val="center"/>
              <w:spacing w:line="440" w:lineRule="exact"/>
              <w:shd w:val="clear" w:color="auto" w:fill="ffffff"/>
              <w:rPr>
                <w:rFonts w:eastAsia="Calibri"/>
                <w:sz w:val="20"/>
              </w:rPr>
            </w:pPr>
            <w:r>
              <w:rPr>
                <w:rFonts w:eastAsia="Calibri"/>
                <w:sz w:val="20"/>
                <w:szCs w:val="20"/>
              </w:rPr>
              <w:t xml:space="preserve">200-300</w:t>
            </w:r>
            <w:r/>
          </w:p>
        </w:tc>
      </w:tr>
      <w:tr>
        <w:trPr>
          <w:jc w:val="center"/>
          <w:trHeight w:val="23"/>
        </w:trPr>
        <w:tc>
          <w:tcPr>
            <w:shd w:val="clear" w:color="auto" w:fill="ffffff"/>
            <w:tcW w:w="3842" w:type="pct"/>
            <w:textDirection w:val="lrTb"/>
            <w:noWrap w:val="false"/>
          </w:tcPr>
          <w:p>
            <w:pPr>
              <w:jc w:val="center"/>
              <w:spacing w:line="440" w:lineRule="exact"/>
              <w:shd w:val="clear" w:color="auto" w:fill="ffffff"/>
              <w:rPr>
                <w:rFonts w:eastAsia="Calibri"/>
                <w:sz w:val="20"/>
              </w:rPr>
            </w:pPr>
            <w:r>
              <w:rPr>
                <w:rFonts w:eastAsia="Calibri"/>
                <w:sz w:val="20"/>
                <w:szCs w:val="20"/>
                <w:lang w:eastAsia="en-US"/>
              </w:rPr>
              <w:t xml:space="preserve">SS (mg/L)</w:t>
            </w:r>
            <w:r/>
          </w:p>
        </w:tc>
        <w:tc>
          <w:tcPr>
            <w:shd w:val="clear" w:color="auto" w:fill="ffffff"/>
            <w:tcW w:w="1157" w:type="pct"/>
            <w:textDirection w:val="lrTb"/>
            <w:noWrap w:val="false"/>
          </w:tcPr>
          <w:p>
            <w:pPr>
              <w:jc w:val="center"/>
              <w:spacing w:line="440" w:lineRule="exact"/>
              <w:shd w:val="clear" w:color="auto" w:fill="ffffff"/>
              <w:rPr>
                <w:rFonts w:eastAsia="Calibri"/>
                <w:sz w:val="20"/>
              </w:rPr>
            </w:pPr>
            <w:r>
              <w:rPr>
                <w:rFonts w:eastAsia="Calibri"/>
                <w:sz w:val="20"/>
                <w:szCs w:val="20"/>
              </w:rPr>
              <w:t xml:space="preserve">50-500</w:t>
            </w:r>
            <w:r/>
          </w:p>
        </w:tc>
      </w:tr>
      <w:tr>
        <w:trPr>
          <w:jc w:val="center"/>
          <w:trHeight w:val="23"/>
        </w:trPr>
        <w:tc>
          <w:tcPr>
            <w:shd w:val="clear" w:color="auto" w:fill="ffffff"/>
            <w:tcW w:w="3842" w:type="pct"/>
            <w:textDirection w:val="lrTb"/>
            <w:noWrap w:val="false"/>
          </w:tcPr>
          <w:p>
            <w:pPr>
              <w:jc w:val="center"/>
              <w:spacing w:line="440" w:lineRule="exact"/>
              <w:shd w:val="clear" w:color="auto" w:fill="ffffff"/>
              <w:rPr>
                <w:rFonts w:eastAsia="Calibri"/>
                <w:sz w:val="20"/>
              </w:rPr>
            </w:pPr>
            <w:r>
              <w:rPr>
                <w:rFonts w:eastAsia="Calibri"/>
                <w:sz w:val="20"/>
                <w:szCs w:val="20"/>
              </w:rPr>
              <w:t xml:space="preserve">氨氮</w:t>
            </w:r>
            <w:r>
              <w:rPr>
                <w:rFonts w:eastAsia="Calibri"/>
                <w:sz w:val="20"/>
                <w:szCs w:val="20"/>
                <w:lang w:eastAsia="en-US"/>
              </w:rPr>
              <w:t xml:space="preserve">（mg/L）</w:t>
            </w:r>
            <w:r/>
          </w:p>
        </w:tc>
        <w:tc>
          <w:tcPr>
            <w:shd w:val="clear" w:color="auto" w:fill="ffffff"/>
            <w:tcW w:w="1157" w:type="pct"/>
            <w:textDirection w:val="lrTb"/>
            <w:noWrap w:val="false"/>
          </w:tcPr>
          <w:p>
            <w:pPr>
              <w:jc w:val="center"/>
              <w:spacing w:line="440" w:lineRule="exact"/>
              <w:shd w:val="clear" w:color="auto" w:fill="ffffff"/>
              <w:rPr>
                <w:rFonts w:eastAsia="Calibri"/>
                <w:sz w:val="20"/>
              </w:rPr>
            </w:pPr>
            <w:r>
              <w:rPr>
                <w:rFonts w:eastAsia="Calibri"/>
                <w:sz w:val="20"/>
                <w:szCs w:val="20"/>
              </w:rPr>
              <w:t xml:space="preserve">20-50</w:t>
            </w:r>
            <w:r/>
          </w:p>
        </w:tc>
      </w:tr>
      <w:tr>
        <w:trPr>
          <w:jc w:val="center"/>
          <w:trHeight w:val="23"/>
        </w:trPr>
        <w:tc>
          <w:tcPr>
            <w:shd w:val="clear" w:color="auto" w:fill="ffffff"/>
            <w:tcW w:w="3842" w:type="pct"/>
            <w:textDirection w:val="lrTb"/>
            <w:noWrap w:val="false"/>
          </w:tcPr>
          <w:p>
            <w:pPr>
              <w:jc w:val="center"/>
              <w:spacing w:line="440" w:lineRule="exact"/>
              <w:shd w:val="clear" w:color="auto" w:fill="ffffff"/>
              <w:rPr>
                <w:rFonts w:eastAsia="Calibri"/>
                <w:sz w:val="20"/>
              </w:rPr>
            </w:pPr>
            <w:r>
              <w:rPr>
                <w:rFonts w:eastAsia="Calibri"/>
                <w:sz w:val="20"/>
                <w:szCs w:val="20"/>
              </w:rPr>
              <w:t xml:space="preserve">总磷</w:t>
            </w:r>
            <w:r>
              <w:rPr>
                <w:rFonts w:eastAsia="Calibri"/>
                <w:sz w:val="20"/>
                <w:szCs w:val="20"/>
                <w:lang w:eastAsia="en-US"/>
              </w:rPr>
              <w:t xml:space="preserve">(mg/L)</w:t>
            </w:r>
            <w:r/>
          </w:p>
        </w:tc>
        <w:tc>
          <w:tcPr>
            <w:shd w:val="clear" w:color="auto" w:fill="ffffff"/>
            <w:tcW w:w="1157" w:type="pct"/>
            <w:textDirection w:val="lrTb"/>
            <w:noWrap w:val="false"/>
          </w:tcPr>
          <w:p>
            <w:pPr>
              <w:jc w:val="center"/>
              <w:spacing w:line="440" w:lineRule="exact"/>
              <w:shd w:val="clear" w:color="auto" w:fill="ffffff"/>
              <w:rPr>
                <w:rFonts w:eastAsia="Calibri"/>
                <w:sz w:val="20"/>
              </w:rPr>
            </w:pPr>
            <w:r>
              <w:rPr>
                <w:rFonts w:eastAsia="Calibri"/>
                <w:sz w:val="20"/>
                <w:szCs w:val="20"/>
              </w:rPr>
              <w:t xml:space="preserve">0-5</w:t>
            </w:r>
            <w:r/>
          </w:p>
        </w:tc>
      </w:tr>
    </w:tbl>
    <w:p>
      <w:pPr>
        <w:ind w:firstLine="420"/>
        <w:spacing w:line="360" w:lineRule="auto"/>
      </w:pPr>
      <w:r>
        <w:rPr>
          <w:rFonts w:hint="eastAsia"/>
        </w:rPr>
        <w:t xml:space="preserve">注：服务期间供应商须对自身服务人员的安全生产负全责，采取安全防护、进行安全教育培训等措施以避免其中毒甚至死亡，相关费用请综合考虑进报价中。由于供应商防护不到位造成其人员中毒或死亡的，由其承担全部责任。</w:t>
      </w:r>
      <w:r/>
    </w:p>
    <w:p>
      <w:pPr>
        <w:ind w:firstLine="420"/>
        <w:spacing w:line="360" w:lineRule="auto"/>
        <w:rPr>
          <w:rFonts w:hint="eastAsia"/>
        </w:rPr>
      </w:pPr>
      <w:r>
        <w:t xml:space="preserve">3</w:t>
      </w:r>
      <w:r>
        <w:rPr>
          <w:rFonts w:hint="eastAsia"/>
        </w:rPr>
        <w:t xml:space="preserve">、其余详见合同条款</w:t>
      </w:r>
      <w:r/>
    </w:p>
    <w:p>
      <w:pPr>
        <w:ind w:firstLine="482"/>
        <w:spacing w:line="360" w:lineRule="auto"/>
        <w:rPr>
          <w:rFonts w:hint="eastAsia" w:ascii="宋体" w:hAnsi="宋体"/>
          <w:b/>
          <w:bCs/>
          <w:szCs w:val="21"/>
          <w:lang w:eastAsia="zh-CN"/>
        </w:rPr>
        <w:outlineLvl w:val="1"/>
      </w:pPr>
      <w:r>
        <w:rPr>
          <w:rFonts w:hint="eastAsia" w:ascii="Times New Roman" w:hAnsi="Times New Roman"/>
          <w:b/>
          <w:bCs w:val="0"/>
          <w:i w:val="0"/>
          <w:iCs/>
          <w:sz w:val="24"/>
          <w:u w:val="none"/>
        </w:rPr>
        <w:t xml:space="preserve">★</w:t>
      </w:r>
      <w:r>
        <w:rPr>
          <w:rFonts w:hint="eastAsia" w:ascii="宋体" w:hAnsi="宋体"/>
          <w:b/>
          <w:bCs/>
          <w:szCs w:val="21"/>
          <w:lang w:eastAsia="zh-CN"/>
        </w:rPr>
        <w:t xml:space="preserve">八</w:t>
      </w:r>
      <w:r>
        <w:rPr>
          <w:rFonts w:hint="eastAsia" w:ascii="宋体" w:hAnsi="宋体"/>
          <w:b/>
          <w:bCs/>
          <w:szCs w:val="21"/>
        </w:rPr>
        <w:t xml:space="preserve">、</w:t>
      </w:r>
      <w:r>
        <w:rPr>
          <w:rFonts w:hint="eastAsia" w:ascii="宋体" w:hAnsi="宋体"/>
          <w:b/>
          <w:bCs/>
          <w:szCs w:val="21"/>
          <w:lang w:eastAsia="zh-CN"/>
        </w:rPr>
        <w:t xml:space="preserve">报价说明</w:t>
      </w:r>
      <w:r/>
    </w:p>
    <w:p>
      <w:pPr>
        <w:ind w:firstLine="420"/>
        <w:spacing w:line="360" w:lineRule="auto"/>
        <w:rPr>
          <w:rFonts w:hint="eastAsia" w:ascii="宋体" w:hAnsi="宋体"/>
          <w:b w:val="0"/>
          <w:bCs w:val="0"/>
          <w:color w:val="ff0000"/>
          <w:szCs w:val="21"/>
          <w:lang w:eastAsia="zh-CN"/>
        </w:rPr>
        <w:outlineLvl w:val="1"/>
      </w:pPr>
      <w:r>
        <w:rPr>
          <w:rFonts w:hint="eastAsia" w:ascii="宋体" w:hAnsi="宋体"/>
          <w:b w:val="0"/>
          <w:bCs w:val="0"/>
          <w:color w:val="ff0000"/>
          <w:szCs w:val="21"/>
          <w:lang w:eastAsia="zh-CN"/>
        </w:rPr>
        <w:t xml:space="preserve">第六章响应文件格式中的报价均按一年报价。</w:t>
      </w:r>
      <w:r/>
    </w:p>
    <w:p>
      <w:pPr>
        <w:jc w:val="center"/>
        <w:spacing w:before="120" w:after="120" w:line="0" w:lineRule="atLeast"/>
        <w:rPr>
          <w:rFonts w:ascii="Times New Roman" w:hAnsi="Times New Roman" w:eastAsia="黑体" w:cs="Courier New"/>
          <w:bCs/>
          <w:sz w:val="44"/>
          <w:szCs w:val="21"/>
        </w:rPr>
      </w:pPr>
      <w:r>
        <w:rPr>
          <w:rFonts w:ascii="Times New Roman" w:hAnsi="Times New Roman" w:eastAsia="黑体" w:cs="Courier New"/>
          <w:bCs/>
          <w:sz w:val="44"/>
          <w:szCs w:val="21"/>
        </w:rPr>
      </w:r>
      <w:r/>
    </w:p>
    <w:p>
      <w:pPr>
        <w:jc w:val="center"/>
        <w:spacing w:before="120" w:after="120" w:line="0" w:lineRule="atLeast"/>
        <w:rPr>
          <w:rFonts w:ascii="Times New Roman" w:hAnsi="Times New Roman" w:eastAsia="黑体" w:cs="Courier New"/>
          <w:bCs/>
          <w:sz w:val="44"/>
          <w:szCs w:val="21"/>
        </w:rPr>
      </w:pPr>
      <w:r>
        <w:rPr>
          <w:rFonts w:ascii="Times New Roman" w:hAnsi="Times New Roman" w:eastAsia="黑体" w:cs="Courier New"/>
          <w:bCs/>
          <w:sz w:val="44"/>
          <w:szCs w:val="21"/>
        </w:rPr>
      </w:r>
      <w:r/>
    </w:p>
    <w:p>
      <w:pPr>
        <w:jc w:val="center"/>
        <w:spacing w:before="120" w:after="120" w:line="0" w:lineRule="atLeast"/>
        <w:rPr>
          <w:rFonts w:ascii="Times New Roman" w:hAnsi="Times New Roman" w:eastAsia="黑体" w:cs="Courier New"/>
          <w:bCs/>
          <w:sz w:val="44"/>
          <w:szCs w:val="21"/>
        </w:rPr>
      </w:pPr>
      <w:r>
        <w:rPr>
          <w:rFonts w:ascii="Times New Roman" w:hAnsi="Times New Roman" w:eastAsia="黑体" w:cs="Courier New"/>
          <w:bCs/>
          <w:sz w:val="44"/>
          <w:szCs w:val="21"/>
        </w:rPr>
      </w:r>
      <w:r/>
    </w:p>
    <w:p>
      <w:pPr>
        <w:jc w:val="center"/>
        <w:spacing w:before="120" w:after="120" w:line="0" w:lineRule="atLeast"/>
        <w:rPr>
          <w:rFonts w:ascii="Times New Roman" w:hAnsi="Times New Roman" w:eastAsia="黑体" w:cs="Courier New"/>
          <w:bCs/>
          <w:sz w:val="44"/>
          <w:szCs w:val="21"/>
        </w:rPr>
      </w:pPr>
      <w:r>
        <w:rPr>
          <w:rFonts w:ascii="Times New Roman" w:hAnsi="Times New Roman" w:eastAsia="黑体" w:cs="Courier New"/>
          <w:bCs/>
          <w:sz w:val="44"/>
          <w:szCs w:val="21"/>
        </w:rPr>
      </w:r>
      <w:r/>
    </w:p>
    <w:p>
      <w:pPr>
        <w:jc w:val="both"/>
        <w:spacing w:before="120" w:after="120" w:line="0" w:lineRule="atLeast"/>
        <w:rPr>
          <w:rFonts w:ascii="Times New Roman" w:hAnsi="Times New Roman" w:eastAsia="黑体" w:cs="Courier New"/>
          <w:bCs/>
          <w:sz w:val="44"/>
          <w:szCs w:val="21"/>
        </w:rPr>
      </w:pPr>
      <w:r>
        <w:rPr>
          <w:rFonts w:ascii="Times New Roman" w:hAnsi="Times New Roman" w:eastAsia="黑体" w:cs="Courier New"/>
          <w:bCs/>
          <w:sz w:val="44"/>
          <w:szCs w:val="21"/>
        </w:rPr>
      </w:r>
      <w:r/>
    </w:p>
    <w:p>
      <w:pPr>
        <w:pStyle w:val="718"/>
        <w:rPr>
          <w:rFonts w:ascii="Times New Roman" w:hAnsi="Times New Roman" w:eastAsia="黑体" w:cs="Courier New"/>
          <w:bCs/>
          <w:sz w:val="44"/>
          <w:szCs w:val="21"/>
        </w:rPr>
      </w:pPr>
      <w:r>
        <w:rPr>
          <w:rFonts w:ascii="Times New Roman" w:hAnsi="Times New Roman" w:eastAsia="黑体" w:cs="Courier New"/>
          <w:bCs/>
          <w:sz w:val="44"/>
          <w:szCs w:val="21"/>
        </w:rPr>
      </w:r>
      <w:r/>
    </w:p>
    <w:p>
      <w:pPr>
        <w:rPr>
          <w:rFonts w:ascii="Times New Roman" w:hAnsi="Times New Roman" w:eastAsia="黑体" w:cs="Courier New"/>
          <w:bCs/>
          <w:sz w:val="44"/>
          <w:szCs w:val="21"/>
        </w:rPr>
      </w:pPr>
      <w:r>
        <w:rPr>
          <w:rFonts w:ascii="Times New Roman" w:hAnsi="Times New Roman" w:eastAsia="黑体" w:cs="Courier New"/>
          <w:bCs/>
          <w:sz w:val="44"/>
          <w:szCs w:val="21"/>
        </w:rPr>
      </w:r>
      <w:r/>
    </w:p>
    <w:p>
      <w:pPr>
        <w:jc w:val="center"/>
        <w:rPr>
          <w:rFonts w:hint="eastAsia" w:ascii="Times New Roman" w:hAnsi="Times New Roman" w:eastAsia="黑体"/>
          <w:bCs/>
          <w:sz w:val="44"/>
          <w:szCs w:val="28"/>
        </w:rPr>
      </w:pPr>
      <w:r>
        <w:rPr>
          <w:rFonts w:hint="eastAsia" w:ascii="Times New Roman" w:hAnsi="Times New Roman" w:eastAsia="黑体"/>
          <w:bCs/>
          <w:sz w:val="44"/>
          <w:szCs w:val="28"/>
        </w:rPr>
      </w:r>
      <w:r/>
    </w:p>
    <w:p>
      <w:pPr>
        <w:jc w:val="center"/>
        <w:rPr>
          <w:rFonts w:hint="eastAsia" w:ascii="Times New Roman" w:hAnsi="Times New Roman" w:eastAsia="黑体"/>
          <w:bCs/>
          <w:sz w:val="44"/>
          <w:szCs w:val="28"/>
        </w:rPr>
      </w:pPr>
      <w:r>
        <w:rPr>
          <w:rFonts w:hint="eastAsia" w:ascii="Times New Roman" w:hAnsi="Times New Roman" w:eastAsia="黑体"/>
          <w:bCs/>
          <w:sz w:val="44"/>
          <w:szCs w:val="28"/>
        </w:rPr>
      </w:r>
      <w:r/>
    </w:p>
    <w:p>
      <w:pPr>
        <w:jc w:val="center"/>
        <w:rPr>
          <w:rFonts w:hint="eastAsia" w:ascii="Times New Roman" w:hAnsi="Times New Roman" w:eastAsia="黑体"/>
          <w:bCs/>
          <w:sz w:val="44"/>
          <w:szCs w:val="28"/>
        </w:rPr>
      </w:pPr>
      <w:r>
        <w:rPr>
          <w:rFonts w:hint="eastAsia" w:ascii="Times New Roman" w:hAnsi="Times New Roman" w:eastAsia="黑体"/>
          <w:bCs/>
          <w:sz w:val="44"/>
          <w:szCs w:val="28"/>
        </w:rPr>
      </w:r>
      <w:r/>
    </w:p>
    <w:p>
      <w:pPr>
        <w:jc w:val="center"/>
        <w:rPr>
          <w:rFonts w:hint="eastAsia" w:ascii="Times New Roman" w:hAnsi="Times New Roman" w:eastAsia="黑体"/>
          <w:bCs/>
          <w:sz w:val="44"/>
          <w:szCs w:val="28"/>
        </w:rPr>
      </w:pPr>
      <w:r>
        <w:rPr>
          <w:rFonts w:hint="eastAsia" w:ascii="Times New Roman" w:hAnsi="Times New Roman" w:eastAsia="黑体"/>
          <w:bCs/>
          <w:sz w:val="44"/>
          <w:szCs w:val="28"/>
        </w:rPr>
      </w:r>
      <w:r/>
    </w:p>
    <w:p>
      <w:pPr>
        <w:jc w:val="center"/>
        <w:rPr>
          <w:rFonts w:ascii="Times New Roman" w:hAnsi="Times New Roman" w:eastAsia="黑体" w:cs="Courier New"/>
          <w:bCs/>
          <w:sz w:val="44"/>
          <w:szCs w:val="21"/>
        </w:rPr>
      </w:pPr>
      <w:r>
        <w:rPr>
          <w:rFonts w:hint="eastAsia" w:ascii="Times New Roman" w:hAnsi="Times New Roman" w:eastAsia="黑体"/>
          <w:bCs/>
          <w:sz w:val="44"/>
          <w:szCs w:val="28"/>
        </w:rPr>
        <w:t xml:space="preserve">第五章  </w:t>
      </w:r>
      <w:r>
        <w:rPr>
          <w:rFonts w:hint="eastAsia" w:ascii="Times New Roman" w:hAnsi="Times New Roman" w:eastAsia="黑体"/>
          <w:b/>
          <w:bCs/>
          <w:sz w:val="44"/>
          <w:szCs w:val="28"/>
        </w:rPr>
        <w:t xml:space="preserve">评审方法与评审标准</w:t>
      </w:r>
      <w:r/>
    </w:p>
    <w:p>
      <w:pPr>
        <w:jc w:val="center"/>
        <w:rPr>
          <w:rFonts w:ascii="Times New Roman" w:hAnsi="Times New Roman"/>
          <w:szCs w:val="21"/>
        </w:rPr>
      </w:pPr>
      <w:r>
        <w:rPr>
          <w:rFonts w:ascii="Times New Roman" w:hAnsi="Times New Roman"/>
          <w:szCs w:val="21"/>
        </w:rPr>
      </w:r>
      <w:r/>
    </w:p>
    <w:p>
      <w:pPr>
        <w:ind w:firstLine="562"/>
        <w:jc w:val="left"/>
        <w:spacing w:line="500" w:lineRule="exact"/>
        <w:rPr>
          <w:rFonts w:ascii="宋体" w:hAnsi="宋体" w:cs="宋体"/>
          <w:sz w:val="24"/>
        </w:rPr>
      </w:pPr>
      <w:r>
        <w:rPr>
          <w:rFonts w:hint="eastAsia" w:ascii="宋体" w:hAnsi="宋体" w:cs="宋体"/>
          <w:b/>
          <w:sz w:val="28"/>
        </w:rPr>
        <w:t xml:space="preserve">一、资格审查。</w:t>
      </w:r>
      <w:r>
        <w:rPr>
          <w:rFonts w:hint="eastAsia" w:ascii="宋体" w:hAnsi="宋体" w:cs="宋体"/>
          <w:sz w:val="24"/>
        </w:rPr>
        <w:t xml:space="preserve">资格审查人员按照下列指标对各供应商的资格进行审查，未通过审查的为无效标，不参与评审。</w:t>
      </w:r>
      <w:r/>
    </w:p>
    <w:tbl>
      <w:tblPr>
        <w:tblStyle w:val="725"/>
        <w:tblW w:w="8880"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40"/>
        <w:gridCol w:w="4440"/>
      </w:tblGrid>
      <w:tr>
        <w:trPr/>
        <w:tc>
          <w:tcPr>
            <w:tcBorders>
              <w:top w:val="single" w:color="000000" w:sz="6" w:space="0"/>
              <w:left w:val="single" w:color="000000" w:sz="6" w:space="0"/>
              <w:bottom w:val="single" w:color="000000" w:sz="6" w:space="0"/>
              <w:right w:val="single" w:color="000000" w:sz="6" w:space="0"/>
            </w:tcBorders>
            <w:tcW w:w="44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一般资格条件要求</w:t>
            </w:r>
            <w:r/>
          </w:p>
        </w:tc>
        <w:tc>
          <w:tcPr>
            <w:tcBorders>
              <w:top w:val="single" w:color="000000" w:sz="6" w:space="0"/>
              <w:left w:val="single" w:color="000000" w:sz="6" w:space="0"/>
              <w:bottom w:val="single" w:color="000000" w:sz="6" w:space="0"/>
              <w:right w:val="single" w:color="000000" w:sz="6" w:space="0"/>
            </w:tcBorders>
            <w:tcW w:w="44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符合磋商文件要求，</w:t>
            </w:r>
            <w:r>
              <w:rPr>
                <w:rFonts w:ascii="宋体" w:hAnsi="宋体" w:cs="宋体"/>
                <w:sz w:val="24"/>
                <w:szCs w:val="24"/>
              </w:rPr>
              <w:t xml:space="preserve">提供</w:t>
            </w:r>
            <w:r>
              <w:rPr>
                <w:rFonts w:hint="eastAsia" w:ascii="宋体" w:hAnsi="宋体" w:cs="宋体"/>
                <w:sz w:val="24"/>
                <w:szCs w:val="24"/>
              </w:rPr>
              <w:t xml:space="preserve">《</w:t>
            </w:r>
            <w:r>
              <w:rPr>
                <w:rFonts w:hint="eastAsia" w:ascii="宋体" w:hAnsi="宋体" w:cs="宋体"/>
                <w:sz w:val="24"/>
                <w:szCs w:val="24"/>
                <w:lang w:eastAsia="zh-CN"/>
              </w:rPr>
              <w:t xml:space="preserve">南京市政府采购供应商信用承诺书</w:t>
            </w:r>
            <w:r>
              <w:rPr>
                <w:rFonts w:hint="eastAsia" w:ascii="宋体" w:hAnsi="宋体" w:cs="宋体"/>
                <w:sz w:val="24"/>
                <w:szCs w:val="24"/>
              </w:rPr>
              <w:t xml:space="preserve">》</w:t>
            </w:r>
            <w:r/>
          </w:p>
        </w:tc>
      </w:tr>
      <w:tr>
        <w:trPr/>
        <w:tc>
          <w:tcPr>
            <w:tcBorders>
              <w:top w:val="single" w:color="000000" w:sz="6" w:space="0"/>
              <w:left w:val="single" w:color="000000" w:sz="6" w:space="0"/>
              <w:bottom w:val="single" w:color="000000" w:sz="6" w:space="0"/>
              <w:right w:val="single" w:color="000000" w:sz="6" w:space="0"/>
            </w:tcBorders>
            <w:tcW w:w="44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中小企业声明函</w:t>
            </w:r>
            <w:r/>
          </w:p>
        </w:tc>
        <w:tc>
          <w:tcPr>
            <w:tcBorders>
              <w:top w:val="single" w:color="000000" w:sz="6" w:space="0"/>
              <w:left w:val="single" w:color="000000" w:sz="6" w:space="0"/>
              <w:bottom w:val="single" w:color="000000" w:sz="6" w:space="0"/>
              <w:right w:val="single" w:color="000000" w:sz="6" w:space="0"/>
            </w:tcBorders>
            <w:tcW w:w="44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符合磋商文件要求。</w:t>
            </w:r>
            <w:r>
              <w:rPr>
                <w:rFonts w:ascii="宋体" w:hAnsi="宋体" w:cs="宋体"/>
                <w:sz w:val="24"/>
                <w:szCs w:val="24"/>
              </w:rPr>
              <w:t xml:space="preserve">提供《</w:t>
            </w:r>
            <w:r>
              <w:rPr>
                <w:rFonts w:hint="eastAsia" w:ascii="宋体" w:hAnsi="宋体" w:cs="宋体"/>
                <w:sz w:val="24"/>
                <w:szCs w:val="24"/>
              </w:rPr>
              <w:t xml:space="preserve">中小企业声明函</w:t>
            </w:r>
            <w:r>
              <w:rPr>
                <w:rFonts w:ascii="宋体" w:hAnsi="宋体" w:cs="宋体"/>
                <w:sz w:val="24"/>
                <w:szCs w:val="24"/>
              </w:rPr>
              <w:t xml:space="preserve">》</w:t>
            </w:r>
            <w:r/>
          </w:p>
        </w:tc>
      </w:tr>
      <w:tr>
        <w:trPr/>
        <w:tc>
          <w:tcPr>
            <w:tcBorders>
              <w:top w:val="single" w:color="000000" w:sz="6" w:space="0"/>
              <w:left w:val="single" w:color="000000" w:sz="6" w:space="0"/>
              <w:bottom w:val="single" w:color="000000" w:sz="6" w:space="0"/>
              <w:right w:val="single" w:color="000000" w:sz="6" w:space="0"/>
            </w:tcBorders>
            <w:tcW w:w="44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特定资格要求</w:t>
            </w:r>
            <w:r/>
          </w:p>
        </w:tc>
        <w:tc>
          <w:tcPr>
            <w:tcBorders>
              <w:top w:val="single" w:color="000000" w:sz="6" w:space="0"/>
              <w:left w:val="single" w:color="000000" w:sz="6" w:space="0"/>
              <w:bottom w:val="single" w:color="000000" w:sz="6" w:space="0"/>
              <w:right w:val="single" w:color="000000" w:sz="6" w:space="0"/>
            </w:tcBorders>
            <w:tcW w:w="44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符合磋商文件要求，提供</w:t>
            </w:r>
            <w:r>
              <w:rPr>
                <w:rFonts w:ascii="宋体" w:hAnsi="宋体" w:cs="宋体"/>
                <w:sz w:val="24"/>
                <w:szCs w:val="24"/>
              </w:rPr>
              <w:t xml:space="preserve">承诺书，格式详见第六章。</w:t>
            </w:r>
            <w:r/>
          </w:p>
        </w:tc>
      </w:tr>
    </w:tbl>
    <w:p>
      <w:pPr>
        <w:ind w:firstLine="281"/>
        <w:jc w:val="left"/>
        <w:spacing w:line="500" w:lineRule="exact"/>
        <w:rPr>
          <w:rFonts w:ascii="宋体" w:hAnsi="宋体" w:cs="宋体"/>
          <w:sz w:val="24"/>
        </w:rPr>
      </w:pPr>
      <w:r>
        <w:rPr>
          <w:rFonts w:hint="eastAsia" w:ascii="宋体" w:hAnsi="宋体" w:cs="宋体"/>
          <w:b/>
          <w:sz w:val="28"/>
        </w:rPr>
        <w:t xml:space="preserve">二、符合性审查。</w:t>
      </w:r>
      <w:r>
        <w:rPr>
          <w:rFonts w:hint="eastAsia" w:ascii="宋体" w:hAnsi="宋体" w:cs="宋体"/>
          <w:sz w:val="24"/>
        </w:rPr>
        <w:t xml:space="preserve">磋商小组首先按照下列指标对各供应商进行初步评审，未通过评审的为无效标，不再参与评审。</w:t>
      </w:r>
      <w:r/>
    </w:p>
    <w:tbl>
      <w:tblPr>
        <w:tblStyle w:val="725"/>
        <w:tblW w:w="8868" w:type="dxa"/>
        <w:tblInd w:w="108" w:type="dxa"/>
        <w:tblLayout w:type="fixed"/>
        <w:tblCellMar>
          <w:left w:w="108" w:type="dxa"/>
          <w:top w:w="0" w:type="dxa"/>
          <w:right w:w="108" w:type="dxa"/>
          <w:bottom w:w="0" w:type="dxa"/>
        </w:tblCellMar>
        <w:tblLook w:val="04A0" w:firstRow="1" w:lastRow="0" w:firstColumn="1" w:lastColumn="0" w:noHBand="0" w:noVBand="1"/>
      </w:tblPr>
      <w:tblGrid>
        <w:gridCol w:w="1077"/>
        <w:gridCol w:w="4231"/>
        <w:gridCol w:w="1560"/>
        <w:gridCol w:w="2000"/>
      </w:tblGrid>
      <w:tr>
        <w:trPr>
          <w:trHeight w:val="401"/>
        </w:trPr>
        <w:tc>
          <w:tcPr>
            <w:shd w:val="clear" w:color="auto" w:fill="ffffff"/>
            <w:tcBorders>
              <w:top w:val="single" w:color="000000" w:sz="2" w:space="0"/>
              <w:left w:val="single" w:color="000000" w:sz="2" w:space="0"/>
              <w:bottom w:val="single" w:color="000000" w:sz="2" w:space="0"/>
              <w:right w:val="single" w:color="000000" w:sz="2" w:space="0"/>
            </w:tcBorders>
            <w:tcW w:w="1077" w:type="dxa"/>
            <w:textDirection w:val="lrTb"/>
            <w:noWrap w:val="false"/>
          </w:tcPr>
          <w:p>
            <w:pPr>
              <w:jc w:val="center"/>
              <w:rPr>
                <w:sz w:val="24"/>
                <w:szCs w:val="24"/>
              </w:rPr>
            </w:pPr>
            <w:r>
              <w:rPr>
                <w:rFonts w:hint="eastAsia"/>
                <w:sz w:val="24"/>
                <w:szCs w:val="24"/>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W w:w="4231" w:type="dxa"/>
            <w:textDirection w:val="lrTb"/>
            <w:noWrap w:val="false"/>
          </w:tcPr>
          <w:p>
            <w:pPr>
              <w:rPr>
                <w:sz w:val="24"/>
                <w:szCs w:val="24"/>
              </w:rPr>
            </w:pPr>
            <w:r>
              <w:rPr>
                <w:rFonts w:hint="eastAsia"/>
                <w:sz w:val="24"/>
                <w:szCs w:val="24"/>
              </w:rPr>
              <w:t xml:space="preserve">评定标准</w:t>
            </w:r>
            <w:r/>
          </w:p>
        </w:tc>
        <w:tc>
          <w:tcPr>
            <w:shd w:val="clear" w:color="auto" w:fill="ffffff"/>
            <w:tcBorders>
              <w:top w:val="single" w:color="000000" w:sz="2" w:space="0"/>
              <w:left w:val="single" w:color="000000" w:sz="2" w:space="0"/>
              <w:bottom w:val="single" w:color="000000" w:sz="2" w:space="0"/>
              <w:right w:val="single" w:color="000000" w:sz="2" w:space="0"/>
            </w:tcBorders>
            <w:tcW w:w="1560" w:type="dxa"/>
            <w:textDirection w:val="lrTb"/>
            <w:noWrap w:val="false"/>
          </w:tcPr>
          <w:p>
            <w:pPr>
              <w:rPr>
                <w:sz w:val="24"/>
                <w:szCs w:val="24"/>
              </w:rPr>
            </w:pPr>
            <w:r>
              <w:rPr>
                <w:rFonts w:hint="eastAsia"/>
                <w:sz w:val="24"/>
                <w:szCs w:val="24"/>
              </w:rPr>
              <w:t xml:space="preserve">通过√</w:t>
            </w:r>
            <w:r/>
          </w:p>
        </w:tc>
        <w:tc>
          <w:tcPr>
            <w:shd w:val="clear" w:color="auto" w:fill="ffffff"/>
            <w:tcBorders>
              <w:top w:val="single" w:color="000000" w:sz="2" w:space="0"/>
              <w:left w:val="single" w:color="000000" w:sz="2" w:space="0"/>
              <w:bottom w:val="single" w:color="000000" w:sz="2" w:space="0"/>
              <w:right w:val="single" w:color="000000" w:sz="2" w:space="0"/>
            </w:tcBorders>
            <w:tcW w:w="2000" w:type="dxa"/>
            <w:textDirection w:val="lrTb"/>
            <w:noWrap w:val="false"/>
          </w:tcPr>
          <w:p>
            <w:pPr>
              <w:rPr>
                <w:sz w:val="24"/>
                <w:szCs w:val="24"/>
              </w:rPr>
            </w:pPr>
            <w:r>
              <w:rPr>
                <w:rFonts w:hint="eastAsia"/>
                <w:sz w:val="24"/>
                <w:szCs w:val="24"/>
              </w:rPr>
              <w:t xml:space="preserve">未通过X</w:t>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77" w:type="dxa"/>
            <w:textDirection w:val="lrTb"/>
            <w:noWrap w:val="false"/>
          </w:tcPr>
          <w:p>
            <w:pPr>
              <w:jc w:val="center"/>
              <w:rPr>
                <w:sz w:val="24"/>
                <w:szCs w:val="24"/>
              </w:rPr>
            </w:pPr>
            <w:r>
              <w:rPr>
                <w:rFonts w:hint="eastAsia"/>
                <w:sz w:val="24"/>
                <w:szCs w:val="24"/>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4231" w:type="dxa"/>
            <w:vAlign w:val="center"/>
            <w:textDirection w:val="lrTb"/>
            <w:noWrap w:val="false"/>
          </w:tcPr>
          <w:p>
            <w:pPr>
              <w:rPr>
                <w:sz w:val="24"/>
                <w:szCs w:val="24"/>
              </w:rPr>
            </w:pPr>
            <w:r>
              <w:rPr>
                <w:rFonts w:hint="eastAsia"/>
                <w:sz w:val="24"/>
                <w:szCs w:val="24"/>
              </w:rPr>
              <w:t xml:space="preserve">报价超过限价作无效报价处理</w:t>
            </w:r>
            <w:r/>
          </w:p>
        </w:tc>
        <w:tc>
          <w:tcPr>
            <w:shd w:val="clear" w:color="auto" w:fill="ffffff"/>
            <w:tcBorders>
              <w:top w:val="single" w:color="000000" w:sz="2" w:space="0"/>
              <w:left w:val="single" w:color="000000" w:sz="2" w:space="0"/>
              <w:bottom w:val="single" w:color="000000" w:sz="2" w:space="0"/>
              <w:right w:val="single" w:color="000000" w:sz="2" w:space="0"/>
            </w:tcBorders>
            <w:tcW w:w="1560" w:type="dxa"/>
            <w:textDirection w:val="lrTb"/>
            <w:noWrap w:val="false"/>
          </w:tcPr>
          <w:p>
            <w:pPr>
              <w:rPr>
                <w:sz w:val="24"/>
                <w:szCs w:val="24"/>
              </w:rPr>
            </w:pPr>
            <w:r>
              <w:rPr>
                <w:sz w:val="24"/>
                <w:szCs w:val="24"/>
              </w:rPr>
            </w:r>
            <w:r/>
          </w:p>
        </w:tc>
        <w:tc>
          <w:tcPr>
            <w:shd w:val="clear" w:color="auto" w:fill="ffffff"/>
            <w:tcBorders>
              <w:top w:val="single" w:color="000000" w:sz="2" w:space="0"/>
              <w:left w:val="single" w:color="000000" w:sz="2" w:space="0"/>
              <w:bottom w:val="single" w:color="000000" w:sz="2" w:space="0"/>
              <w:right w:val="single" w:color="000000" w:sz="2" w:space="0"/>
            </w:tcBorders>
            <w:tcW w:w="2000" w:type="dxa"/>
            <w:textDirection w:val="lrTb"/>
            <w:noWrap w:val="false"/>
          </w:tcPr>
          <w:p>
            <w:pPr>
              <w:rPr>
                <w:sz w:val="24"/>
                <w:szCs w:val="24"/>
              </w:rPr>
            </w:pPr>
            <w:r>
              <w:rPr>
                <w:sz w:val="24"/>
                <w:szCs w:val="24"/>
              </w:rPr>
            </w:r>
            <w:r/>
          </w:p>
        </w:tc>
      </w:tr>
      <w:tr>
        <w:trPr>
          <w:trHeight w:val="545" w:hRule="exact"/>
        </w:trPr>
        <w:tc>
          <w:tcPr>
            <w:shd w:val="clear" w:color="auto" w:fill="ffffff"/>
            <w:tcBorders>
              <w:top w:val="single" w:color="000000" w:sz="2" w:space="0"/>
              <w:left w:val="single" w:color="000000" w:sz="2" w:space="0"/>
              <w:bottom w:val="single" w:color="000000" w:sz="2" w:space="0"/>
              <w:right w:val="single" w:color="000000" w:sz="2" w:space="0"/>
            </w:tcBorders>
            <w:tcW w:w="1077" w:type="dxa"/>
            <w:textDirection w:val="lrTb"/>
            <w:noWrap w:val="false"/>
          </w:tcPr>
          <w:p>
            <w:pPr>
              <w:jc w:val="center"/>
              <w:rPr>
                <w:sz w:val="24"/>
                <w:szCs w:val="24"/>
              </w:rPr>
            </w:pPr>
            <w:r>
              <w:rPr>
                <w:rFonts w:hint="eastAsia"/>
                <w:sz w:val="24"/>
                <w:szCs w:val="24"/>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W w:w="4231" w:type="dxa"/>
            <w:textDirection w:val="lrTb"/>
            <w:noWrap w:val="false"/>
          </w:tcPr>
          <w:p>
            <w:pPr>
              <w:rPr>
                <w:sz w:val="24"/>
                <w:szCs w:val="24"/>
              </w:rPr>
            </w:pPr>
            <w:r>
              <w:rPr>
                <w:rFonts w:hint="eastAsia"/>
                <w:sz w:val="24"/>
                <w:szCs w:val="24"/>
              </w:rPr>
              <w:t xml:space="preserve">响应文件的有效性（是否签字盖章）</w:t>
            </w:r>
            <w:r/>
          </w:p>
        </w:tc>
        <w:tc>
          <w:tcPr>
            <w:shd w:val="clear" w:color="auto" w:fill="ffffff"/>
            <w:tcBorders>
              <w:top w:val="single" w:color="000000" w:sz="2" w:space="0"/>
              <w:left w:val="single" w:color="000000" w:sz="2" w:space="0"/>
              <w:bottom w:val="single" w:color="000000" w:sz="2" w:space="0"/>
              <w:right w:val="single" w:color="000000" w:sz="2" w:space="0"/>
            </w:tcBorders>
            <w:tcW w:w="1560" w:type="dxa"/>
            <w:textDirection w:val="lrTb"/>
            <w:noWrap w:val="false"/>
          </w:tcPr>
          <w:p>
            <w:pPr>
              <w:rPr>
                <w:sz w:val="24"/>
                <w:szCs w:val="24"/>
              </w:rPr>
            </w:pPr>
            <w:r>
              <w:rPr>
                <w:sz w:val="24"/>
                <w:szCs w:val="24"/>
              </w:rPr>
            </w:r>
            <w:r/>
          </w:p>
        </w:tc>
        <w:tc>
          <w:tcPr>
            <w:shd w:val="clear" w:color="auto" w:fill="ffffff"/>
            <w:tcBorders>
              <w:top w:val="single" w:color="000000" w:sz="2" w:space="0"/>
              <w:left w:val="single" w:color="000000" w:sz="2" w:space="0"/>
              <w:bottom w:val="single" w:color="000000" w:sz="2" w:space="0"/>
              <w:right w:val="single" w:color="000000" w:sz="2" w:space="0"/>
            </w:tcBorders>
            <w:tcW w:w="2000" w:type="dxa"/>
            <w:textDirection w:val="lrTb"/>
            <w:noWrap w:val="false"/>
          </w:tcPr>
          <w:p>
            <w:pPr>
              <w:rPr>
                <w:sz w:val="24"/>
                <w:szCs w:val="24"/>
              </w:rPr>
            </w:pPr>
            <w:r>
              <w:rPr>
                <w:sz w:val="24"/>
                <w:szCs w:val="24"/>
              </w:rPr>
            </w:r>
            <w:r/>
          </w:p>
        </w:tc>
      </w:tr>
      <w:tr>
        <w:trPr>
          <w:trHeight w:val="545" w:hRule="exact"/>
        </w:trPr>
        <w:tc>
          <w:tcPr>
            <w:shd w:val="clear" w:color="auto" w:fill="ffffff"/>
            <w:tcBorders>
              <w:top w:val="single" w:color="000000" w:sz="2" w:space="0"/>
              <w:left w:val="single" w:color="000000" w:sz="2" w:space="0"/>
              <w:bottom w:val="single" w:color="000000" w:sz="2" w:space="0"/>
              <w:right w:val="single" w:color="000000" w:sz="2" w:space="0"/>
            </w:tcBorders>
            <w:tcW w:w="1077" w:type="dxa"/>
            <w:textDirection w:val="lrTb"/>
            <w:noWrap w:val="false"/>
          </w:tcPr>
          <w:p>
            <w:pPr>
              <w:jc w:val="center"/>
              <w:rPr>
                <w:sz w:val="24"/>
                <w:szCs w:val="24"/>
              </w:rPr>
            </w:pPr>
            <w:r>
              <w:rPr>
                <w:rFonts w:hint="eastAsia"/>
                <w:sz w:val="24"/>
                <w:szCs w:val="24"/>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W w:w="4231" w:type="dxa"/>
            <w:textDirection w:val="lrTb"/>
            <w:noWrap w:val="false"/>
          </w:tcPr>
          <w:p>
            <w:pPr>
              <w:rPr>
                <w:sz w:val="24"/>
                <w:szCs w:val="24"/>
              </w:rPr>
            </w:pPr>
            <w:r>
              <w:rPr>
                <w:rFonts w:hint="eastAsia"/>
                <w:sz w:val="24"/>
                <w:szCs w:val="24"/>
              </w:rPr>
              <w:t xml:space="preserve">响应文件的完整性</w:t>
            </w:r>
            <w:r/>
          </w:p>
        </w:tc>
        <w:tc>
          <w:tcPr>
            <w:shd w:val="clear" w:color="auto" w:fill="ffffff"/>
            <w:tcBorders>
              <w:top w:val="single" w:color="000000" w:sz="2" w:space="0"/>
              <w:left w:val="single" w:color="000000" w:sz="2" w:space="0"/>
              <w:bottom w:val="single" w:color="000000" w:sz="2" w:space="0"/>
              <w:right w:val="single" w:color="000000" w:sz="2" w:space="0"/>
            </w:tcBorders>
            <w:tcW w:w="1560" w:type="dxa"/>
            <w:textDirection w:val="lrTb"/>
            <w:noWrap w:val="false"/>
          </w:tcPr>
          <w:p>
            <w:pPr>
              <w:rPr>
                <w:sz w:val="24"/>
                <w:szCs w:val="24"/>
              </w:rPr>
            </w:pPr>
            <w:r>
              <w:rPr>
                <w:sz w:val="24"/>
                <w:szCs w:val="24"/>
              </w:rPr>
            </w:r>
            <w:r/>
          </w:p>
        </w:tc>
        <w:tc>
          <w:tcPr>
            <w:shd w:val="clear" w:color="auto" w:fill="ffffff"/>
            <w:tcBorders>
              <w:top w:val="single" w:color="000000" w:sz="2" w:space="0"/>
              <w:left w:val="single" w:color="000000" w:sz="2" w:space="0"/>
              <w:bottom w:val="single" w:color="000000" w:sz="2" w:space="0"/>
              <w:right w:val="single" w:color="000000" w:sz="2" w:space="0"/>
            </w:tcBorders>
            <w:tcW w:w="2000" w:type="dxa"/>
            <w:textDirection w:val="lrTb"/>
            <w:noWrap w:val="false"/>
          </w:tcPr>
          <w:p>
            <w:pPr>
              <w:rPr>
                <w:sz w:val="24"/>
                <w:szCs w:val="24"/>
              </w:rPr>
            </w:pPr>
            <w:r>
              <w:rPr>
                <w:sz w:val="24"/>
                <w:szCs w:val="24"/>
              </w:rPr>
            </w:r>
            <w:r/>
          </w:p>
        </w:tc>
      </w:tr>
      <w:tr>
        <w:trPr>
          <w:trHeight w:val="545" w:hRule="exact"/>
        </w:trPr>
        <w:tc>
          <w:tcPr>
            <w:shd w:val="clear" w:color="auto" w:fill="ffffff"/>
            <w:tcBorders>
              <w:top w:val="single" w:color="000000" w:sz="2" w:space="0"/>
              <w:left w:val="single" w:color="000000" w:sz="2" w:space="0"/>
              <w:bottom w:val="single" w:color="000000" w:sz="2" w:space="0"/>
              <w:right w:val="single" w:color="000000" w:sz="2" w:space="0"/>
            </w:tcBorders>
            <w:tcW w:w="1077" w:type="dxa"/>
            <w:textDirection w:val="lrTb"/>
            <w:noWrap w:val="false"/>
          </w:tcPr>
          <w:p>
            <w:pPr>
              <w:jc w:val="center"/>
              <w:rPr>
                <w:sz w:val="24"/>
                <w:szCs w:val="24"/>
              </w:rPr>
            </w:pPr>
            <w:r>
              <w:rPr>
                <w:rFonts w:hint="eastAsia"/>
                <w:sz w:val="24"/>
                <w:szCs w:val="24"/>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W w:w="4231" w:type="dxa"/>
            <w:textDirection w:val="lrTb"/>
            <w:noWrap w:val="false"/>
          </w:tcPr>
          <w:p>
            <w:pPr>
              <w:rPr>
                <w:sz w:val="24"/>
                <w:szCs w:val="24"/>
              </w:rPr>
            </w:pPr>
            <w:r>
              <w:rPr>
                <w:rFonts w:hint="eastAsia"/>
                <w:sz w:val="24"/>
                <w:szCs w:val="24"/>
              </w:rPr>
              <w:t xml:space="preserve">不存在重大负偏离</w:t>
            </w:r>
            <w:r/>
          </w:p>
        </w:tc>
        <w:tc>
          <w:tcPr>
            <w:shd w:val="clear" w:color="auto" w:fill="ffffff"/>
            <w:tcBorders>
              <w:top w:val="single" w:color="000000" w:sz="2" w:space="0"/>
              <w:left w:val="single" w:color="000000" w:sz="2" w:space="0"/>
              <w:bottom w:val="single" w:color="000000" w:sz="2" w:space="0"/>
              <w:right w:val="single" w:color="000000" w:sz="2" w:space="0"/>
            </w:tcBorders>
            <w:tcW w:w="1560" w:type="dxa"/>
            <w:textDirection w:val="lrTb"/>
            <w:noWrap w:val="false"/>
          </w:tcPr>
          <w:p>
            <w:pPr>
              <w:rPr>
                <w:sz w:val="24"/>
                <w:szCs w:val="24"/>
              </w:rPr>
            </w:pPr>
            <w:r>
              <w:rPr>
                <w:sz w:val="24"/>
                <w:szCs w:val="24"/>
              </w:rPr>
            </w:r>
            <w:r/>
          </w:p>
        </w:tc>
        <w:tc>
          <w:tcPr>
            <w:shd w:val="clear" w:color="auto" w:fill="ffffff"/>
            <w:tcBorders>
              <w:top w:val="single" w:color="000000" w:sz="2" w:space="0"/>
              <w:left w:val="single" w:color="000000" w:sz="2" w:space="0"/>
              <w:bottom w:val="single" w:color="000000" w:sz="2" w:space="0"/>
              <w:right w:val="single" w:color="000000" w:sz="2" w:space="0"/>
            </w:tcBorders>
            <w:tcW w:w="2000" w:type="dxa"/>
            <w:textDirection w:val="lrTb"/>
            <w:noWrap w:val="false"/>
          </w:tcPr>
          <w:p>
            <w:pPr>
              <w:rPr>
                <w:sz w:val="24"/>
                <w:szCs w:val="24"/>
              </w:rPr>
            </w:pPr>
            <w:r>
              <w:rPr>
                <w:sz w:val="24"/>
                <w:szCs w:val="24"/>
              </w:rPr>
            </w:r>
            <w:r/>
          </w:p>
        </w:tc>
      </w:tr>
      <w:tr>
        <w:trPr>
          <w:trHeight w:val="699" w:hRule="exact"/>
        </w:trPr>
        <w:tc>
          <w:tcPr>
            <w:shd w:val="clear" w:color="auto" w:fill="ffffff"/>
            <w:tcBorders>
              <w:top w:val="single" w:color="000000" w:sz="2" w:space="0"/>
              <w:left w:val="single" w:color="000000" w:sz="2" w:space="0"/>
              <w:bottom w:val="single" w:color="000000" w:sz="2" w:space="0"/>
              <w:right w:val="single" w:color="000000" w:sz="2" w:space="0"/>
            </w:tcBorders>
            <w:tcW w:w="1077" w:type="dxa"/>
            <w:textDirection w:val="lrTb"/>
            <w:noWrap w:val="false"/>
          </w:tcPr>
          <w:p>
            <w:pPr>
              <w:jc w:val="center"/>
              <w:rPr>
                <w:sz w:val="24"/>
                <w:szCs w:val="24"/>
              </w:rPr>
            </w:pPr>
            <w:r>
              <w:rPr>
                <w:rFonts w:hint="eastAsia"/>
                <w:sz w:val="24"/>
                <w:szCs w:val="24"/>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4231" w:type="dxa"/>
            <w:textDirection w:val="lrTb"/>
            <w:noWrap w:val="false"/>
          </w:tcPr>
          <w:p>
            <w:pPr>
              <w:rPr>
                <w:sz w:val="24"/>
                <w:szCs w:val="24"/>
              </w:rPr>
            </w:pPr>
            <w:r>
              <w:rPr>
                <w:rFonts w:hint="eastAsia"/>
                <w:sz w:val="24"/>
                <w:szCs w:val="24"/>
              </w:rPr>
              <w:t xml:space="preserve">星号要求均满足磋商文件要求（如有））</w:t>
            </w:r>
            <w:r/>
          </w:p>
        </w:tc>
        <w:tc>
          <w:tcPr>
            <w:shd w:val="clear" w:color="auto" w:fill="ffffff"/>
            <w:tcBorders>
              <w:top w:val="single" w:color="000000" w:sz="2" w:space="0"/>
              <w:left w:val="single" w:color="000000" w:sz="2" w:space="0"/>
              <w:bottom w:val="single" w:color="000000" w:sz="2" w:space="0"/>
              <w:right w:val="single" w:color="000000" w:sz="2" w:space="0"/>
            </w:tcBorders>
            <w:tcW w:w="1560" w:type="dxa"/>
            <w:textDirection w:val="lrTb"/>
            <w:noWrap w:val="false"/>
          </w:tcPr>
          <w:p>
            <w:pPr>
              <w:rPr>
                <w:sz w:val="24"/>
                <w:szCs w:val="24"/>
              </w:rPr>
            </w:pPr>
            <w:r>
              <w:rPr>
                <w:sz w:val="24"/>
                <w:szCs w:val="24"/>
              </w:rPr>
            </w:r>
            <w:r/>
          </w:p>
        </w:tc>
        <w:tc>
          <w:tcPr>
            <w:shd w:val="clear" w:color="auto" w:fill="ffffff"/>
            <w:tcBorders>
              <w:top w:val="single" w:color="000000" w:sz="2" w:space="0"/>
              <w:left w:val="single" w:color="000000" w:sz="2" w:space="0"/>
              <w:bottom w:val="single" w:color="000000" w:sz="2" w:space="0"/>
              <w:right w:val="single" w:color="000000" w:sz="2" w:space="0"/>
            </w:tcBorders>
            <w:tcW w:w="2000" w:type="dxa"/>
            <w:textDirection w:val="lrTb"/>
            <w:noWrap w:val="false"/>
          </w:tcPr>
          <w:p>
            <w:pPr>
              <w:rPr>
                <w:sz w:val="24"/>
                <w:szCs w:val="24"/>
              </w:rPr>
            </w:pPr>
            <w:r>
              <w:rPr>
                <w:sz w:val="24"/>
                <w:szCs w:val="24"/>
              </w:rPr>
            </w:r>
            <w:r/>
          </w:p>
        </w:tc>
      </w:tr>
    </w:tbl>
    <w:p>
      <w:pPr>
        <w:jc w:val="left"/>
        <w:spacing w:line="500" w:lineRule="exact"/>
        <w:rPr>
          <w:rFonts w:ascii="宋体" w:hAnsi="宋体" w:cs="宋体"/>
          <w:b/>
          <w:sz w:val="28"/>
        </w:rPr>
      </w:pPr>
      <w:r>
        <w:rPr>
          <w:rFonts w:hint="eastAsia" w:ascii="宋体" w:hAnsi="宋体" w:cs="宋体"/>
          <w:b/>
          <w:sz w:val="28"/>
        </w:rPr>
        <w:t xml:space="preserve">三、评分办法—综合评分法</w:t>
      </w:r>
      <w:r/>
    </w:p>
    <w:p>
      <w:pPr>
        <w:ind w:firstLine="482"/>
        <w:jc w:val="left"/>
        <w:spacing w:line="500" w:lineRule="exact"/>
        <w:rPr>
          <w:rFonts w:ascii="宋体" w:hAnsi="宋体" w:cs="宋体"/>
          <w:sz w:val="24"/>
        </w:rPr>
      </w:pPr>
      <w:r>
        <w:rPr>
          <w:rFonts w:hint="eastAsia" w:ascii="宋体" w:hAnsi="宋体" w:cs="宋体"/>
          <w:b/>
          <w:sz w:val="24"/>
        </w:rPr>
        <w:t xml:space="preserve">（一）评标办法：</w:t>
      </w:r>
      <w:r>
        <w:rPr>
          <w:rFonts w:hint="eastAsia" w:ascii="宋体" w:hAnsi="宋体" w:cs="宋体"/>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ascii="宋体" w:hAnsi="宋体" w:cs="宋体"/>
          <w:sz w:val="24"/>
        </w:rPr>
      </w:pPr>
      <w:r>
        <w:rPr>
          <w:rFonts w:hint="eastAsia" w:ascii="宋体" w:hAnsi="宋体" w:cs="宋体"/>
          <w:sz w:val="24"/>
        </w:rPr>
        <w:t xml:space="preserve">综合评分保留至小数点后两位。</w:t>
      </w:r>
      <w:r/>
    </w:p>
    <w:p>
      <w:pPr>
        <w:numPr>
          <w:ilvl w:val="0"/>
          <w:numId w:val="5"/>
        </w:numPr>
        <w:ind w:firstLine="482"/>
        <w:jc w:val="left"/>
        <w:spacing w:line="500" w:lineRule="exact"/>
        <w:rPr>
          <w:rFonts w:ascii="宋体" w:hAnsi="宋体"/>
        </w:rPr>
      </w:pPr>
      <w:r>
        <w:rPr>
          <w:rFonts w:hint="eastAsia" w:ascii="宋体" w:hAnsi="宋体" w:cs="宋体"/>
          <w:b/>
          <w:sz w:val="24"/>
        </w:rPr>
        <w:t xml:space="preserve">详细评审。</w:t>
      </w:r>
      <w:r>
        <w:rPr>
          <w:rFonts w:hint="eastAsia" w:ascii="宋体" w:hAnsi="宋体" w:cs="宋体"/>
          <w:sz w:val="24"/>
        </w:rPr>
        <w:t xml:space="preserve">磋商小组按照竞争性磋商文件规定的评分标准，对各响应文件进行详细评审打分。磋商小组组长对各评审专家的打分情况进行复核无误后汇总。</w:t>
      </w:r>
      <w:r/>
    </w:p>
    <w:p>
      <w:pPr>
        <w:pStyle w:val="955"/>
        <w:ind w:firstLine="0"/>
        <w:rPr>
          <w:b/>
          <w:bCs/>
          <w:sz w:val="21"/>
          <w:szCs w:val="21"/>
        </w:rPr>
      </w:pPr>
      <w:r>
        <w:rPr>
          <w:rFonts w:hint="eastAsia"/>
          <w:b/>
          <w:bCs/>
          <w:sz w:val="21"/>
          <w:szCs w:val="21"/>
        </w:rPr>
        <w:t xml:space="preserve">1、价格部分（</w:t>
      </w:r>
      <w:r>
        <w:rPr>
          <w:b/>
          <w:bCs/>
          <w:sz w:val="21"/>
          <w:szCs w:val="21"/>
        </w:rPr>
        <w:t xml:space="preserve">25</w:t>
      </w:r>
      <w:r>
        <w:rPr>
          <w:rFonts w:hint="eastAsia"/>
          <w:b/>
          <w:bCs/>
          <w:sz w:val="21"/>
          <w:szCs w:val="21"/>
        </w:rPr>
        <w:t xml:space="preserve">分）</w:t>
      </w:r>
      <w:r/>
    </w:p>
    <w:tbl>
      <w:tblPr>
        <w:tblStyle w:val="725"/>
        <w:tblW w:w="51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1383"/>
        <w:gridCol w:w="7368"/>
        <w:gridCol w:w="737"/>
      </w:tblGrid>
      <w:tr>
        <w:trPr>
          <w:jc w:val="center"/>
          <w:trHeight w:val="636"/>
          <w:tblHeader/>
        </w:trPr>
        <w:tc>
          <w:tcPr>
            <w:tcW w:w="507" w:type="pct"/>
            <w:vAlign w:val="center"/>
            <w:textDirection w:val="lrTb"/>
            <w:noWrap w:val="false"/>
          </w:tcPr>
          <w:p>
            <w:pPr>
              <w:jc w:val="center"/>
              <w:widowControl/>
              <w:rPr>
                <w:szCs w:val="21"/>
              </w:rPr>
            </w:pPr>
            <w:r>
              <w:rPr>
                <w:rFonts w:hint="eastAsia"/>
                <w:szCs w:val="21"/>
              </w:rPr>
              <w:t xml:space="preserve">序号</w:t>
            </w:r>
            <w:r/>
          </w:p>
        </w:tc>
        <w:tc>
          <w:tcPr>
            <w:tcW w:w="655" w:type="pct"/>
            <w:vAlign w:val="center"/>
            <w:textDirection w:val="lrTb"/>
            <w:noWrap w:val="false"/>
          </w:tcPr>
          <w:p>
            <w:pPr>
              <w:jc w:val="center"/>
              <w:widowControl/>
              <w:rPr>
                <w:szCs w:val="21"/>
              </w:rPr>
            </w:pPr>
            <w:r>
              <w:rPr>
                <w:rFonts w:hint="eastAsia"/>
                <w:szCs w:val="21"/>
              </w:rPr>
              <w:t xml:space="preserve">评分因素</w:t>
            </w:r>
            <w:r/>
          </w:p>
        </w:tc>
        <w:tc>
          <w:tcPr>
            <w:tcW w:w="3489" w:type="pct"/>
            <w:vAlign w:val="center"/>
            <w:textDirection w:val="lrTb"/>
            <w:noWrap w:val="false"/>
          </w:tcPr>
          <w:p>
            <w:pPr>
              <w:jc w:val="center"/>
              <w:widowControl/>
              <w:rPr>
                <w:szCs w:val="21"/>
              </w:rPr>
            </w:pPr>
            <w:r>
              <w:rPr>
                <w:rFonts w:hint="eastAsia"/>
                <w:szCs w:val="21"/>
              </w:rPr>
              <w:t xml:space="preserve">评审标准</w:t>
            </w:r>
            <w:r/>
          </w:p>
        </w:tc>
        <w:tc>
          <w:tcPr>
            <w:tcW w:w="349" w:type="pct"/>
            <w:vAlign w:val="center"/>
            <w:textDirection w:val="lrTb"/>
            <w:noWrap w:val="false"/>
          </w:tcPr>
          <w:p>
            <w:pPr>
              <w:jc w:val="center"/>
              <w:widowControl/>
              <w:rPr>
                <w:szCs w:val="21"/>
              </w:rPr>
            </w:pPr>
            <w:r>
              <w:rPr>
                <w:rFonts w:hint="eastAsia"/>
                <w:szCs w:val="21"/>
              </w:rPr>
              <w:t xml:space="preserve">分值</w:t>
            </w:r>
            <w:r/>
          </w:p>
        </w:tc>
      </w:tr>
      <w:tr>
        <w:trPr>
          <w:jc w:val="center"/>
          <w:trHeight w:val="1242"/>
        </w:trPr>
        <w:tc>
          <w:tcPr>
            <w:tcW w:w="507" w:type="pct"/>
            <w:vAlign w:val="center"/>
            <w:textDirection w:val="lrTb"/>
            <w:noWrap w:val="false"/>
          </w:tcPr>
          <w:p>
            <w:pPr>
              <w:jc w:val="center"/>
              <w:widowControl/>
              <w:rPr>
                <w:szCs w:val="21"/>
              </w:rPr>
            </w:pPr>
            <w:r/>
            <w:bookmarkStart w:id="180" w:name="_Hlk297273538"/>
            <w:r>
              <w:rPr>
                <w:rFonts w:hint="eastAsia"/>
                <w:szCs w:val="21"/>
              </w:rPr>
              <w:t xml:space="preserve">1</w:t>
            </w:r>
            <w:r/>
          </w:p>
        </w:tc>
        <w:tc>
          <w:tcPr>
            <w:tcW w:w="655" w:type="pct"/>
            <w:vAlign w:val="center"/>
            <w:textDirection w:val="lrTb"/>
            <w:noWrap w:val="false"/>
          </w:tcPr>
          <w:p>
            <w:pPr>
              <w:jc w:val="center"/>
              <w:widowControl/>
              <w:rPr>
                <w:szCs w:val="21"/>
              </w:rPr>
            </w:pPr>
            <w:r>
              <w:rPr>
                <w:rFonts w:hint="eastAsia"/>
                <w:szCs w:val="21"/>
              </w:rPr>
              <w:t xml:space="preserve">报价得分</w:t>
            </w:r>
            <w:r/>
          </w:p>
          <w:p>
            <w:pPr>
              <w:jc w:val="center"/>
              <w:widowControl/>
              <w:rPr>
                <w:szCs w:val="21"/>
              </w:rPr>
            </w:pPr>
            <w:r>
              <w:rPr>
                <w:rFonts w:hint="eastAsia"/>
                <w:szCs w:val="21"/>
              </w:rPr>
              <w:t xml:space="preserve">（</w:t>
            </w:r>
            <w:r>
              <w:rPr>
                <w:szCs w:val="21"/>
              </w:rPr>
              <w:t xml:space="preserve">25</w:t>
            </w:r>
            <w:r>
              <w:rPr>
                <w:rFonts w:hint="eastAsia"/>
                <w:szCs w:val="21"/>
              </w:rPr>
              <w:t xml:space="preserve">分）</w:t>
            </w:r>
            <w:r/>
          </w:p>
        </w:tc>
        <w:tc>
          <w:tcPr>
            <w:tcW w:w="3489" w:type="pct"/>
            <w:vAlign w:val="center"/>
            <w:textDirection w:val="lrTb"/>
            <w:noWrap w:val="false"/>
          </w:tcPr>
          <w:p>
            <w:pPr>
              <w:widowControl/>
              <w:rPr>
                <w:rFonts w:ascii="宋体" w:hAnsi="宋体" w:cs="宋体"/>
                <w:bCs/>
                <w:szCs w:val="21"/>
              </w:rPr>
            </w:pPr>
            <w:r>
              <w:rPr>
                <w:rFonts w:hint="eastAsia" w:ascii="宋体" w:hAnsi="宋体" w:cs="宋体"/>
                <w:bCs/>
                <w:szCs w:val="21"/>
              </w:rPr>
              <w:t xml:space="preserve">采用低价优先法计算，即满足招标文件要求且投标价格最低的最终投标报价（二次报价）为评标基准价，其价格分为满分。</w:t>
            </w:r>
            <w:r/>
          </w:p>
          <w:p>
            <w:pPr>
              <w:widowControl/>
              <w:rPr>
                <w:rFonts w:ascii="宋体" w:hAnsi="宋体" w:cs="宋体"/>
                <w:bCs/>
                <w:szCs w:val="21"/>
              </w:rPr>
            </w:pPr>
            <w:r>
              <w:rPr>
                <w:rFonts w:hint="eastAsia" w:ascii="宋体" w:hAnsi="宋体" w:cs="宋体"/>
                <w:bCs/>
                <w:szCs w:val="21"/>
              </w:rPr>
              <w:t xml:space="preserve">其他供应商的价格分统一按照下列公式计算：投标报价得分=(评标基准价/最终投标报价)×</w:t>
            </w:r>
            <w:r>
              <w:rPr>
                <w:rFonts w:ascii="宋体" w:hAnsi="宋体" w:cs="宋体"/>
                <w:bCs/>
                <w:szCs w:val="21"/>
              </w:rPr>
              <w:t xml:space="preserve">25</w:t>
            </w:r>
            <w:r>
              <w:rPr>
                <w:rFonts w:hint="eastAsia" w:ascii="宋体" w:hAnsi="宋体" w:cs="宋体"/>
                <w:bCs/>
                <w:szCs w:val="21"/>
              </w:rPr>
              <w:t xml:space="preserve">（小数点保留两位）</w:t>
            </w:r>
            <w:r/>
          </w:p>
          <w:p>
            <w:pPr>
              <w:widowControl/>
              <w:rPr>
                <w:rFonts w:hint="eastAsia"/>
                <w:szCs w:val="21"/>
              </w:rPr>
            </w:pPr>
            <w:r>
              <w:rPr>
                <w:rFonts w:hint="eastAsia"/>
                <w:szCs w:val="21"/>
              </w:rPr>
              <w:t xml:space="preserve">注：根据《财政部关于推动解决政府采购异常低价问题的通知》（财库〔2026〕2 号）要求：</w:t>
            </w:r>
            <w:r/>
          </w:p>
          <w:p>
            <w:pPr>
              <w:widowControl/>
              <w:rPr>
                <w:rFonts w:hint="eastAsia"/>
                <w:szCs w:val="21"/>
              </w:rPr>
            </w:pPr>
            <w:r>
              <w:rPr>
                <w:rFonts w:hint="eastAsia"/>
                <w:szCs w:val="21"/>
              </w:rPr>
              <w:t xml:space="preserve">评标过程中出现下列情形之一的，评标委员会应当启动异常低价投标（响应）审查程序：</w:t>
            </w:r>
            <w:r/>
          </w:p>
          <w:p>
            <w:pPr>
              <w:widowControl/>
              <w:rPr>
                <w:rFonts w:hint="eastAsia"/>
                <w:szCs w:val="21"/>
              </w:rPr>
            </w:pPr>
            <w:r>
              <w:rPr>
                <w:rFonts w:hint="eastAsia"/>
                <w:szCs w:val="21"/>
              </w:rPr>
              <w:t xml:space="preserve">①投标（响应）报价低于全部通过符合性审查供应商投标（响应）报价平均值50%的，即投标（响应）报价&lt;全部通过符合性审查供应商投标（响应）报价平均值×50%；</w:t>
            </w:r>
            <w:r/>
          </w:p>
          <w:p>
            <w:pPr>
              <w:widowControl/>
              <w:rPr>
                <w:rFonts w:hint="eastAsia"/>
                <w:szCs w:val="21"/>
              </w:rPr>
            </w:pPr>
            <w:r>
              <w:rPr>
                <w:rFonts w:hint="eastAsia"/>
                <w:szCs w:val="21"/>
              </w:rPr>
              <w:t xml:space="preserve">②投标（响应）报价低于通过符合性审查的次低报价供应商投标（响应）报价50%的，即投标（响应）报价&lt;通过符合性审查的次低报价供应商投标（响应）报价×50%；</w:t>
            </w:r>
            <w:r/>
          </w:p>
          <w:p>
            <w:pPr>
              <w:widowControl/>
              <w:rPr>
                <w:rFonts w:hint="eastAsia"/>
                <w:szCs w:val="21"/>
              </w:rPr>
            </w:pPr>
            <w:r>
              <w:rPr>
                <w:rFonts w:hint="eastAsia"/>
                <w:szCs w:val="21"/>
              </w:rPr>
              <w:t xml:space="preserve">③投标（响应）报价低于采购项目最高限价45%的，即投标（响应）报价&lt;采购项目最高限价×45%；</w:t>
            </w:r>
            <w:r/>
          </w:p>
          <w:p>
            <w:pPr>
              <w:widowControl/>
              <w:rPr>
                <w:rFonts w:hint="eastAsia"/>
                <w:szCs w:val="21"/>
              </w:rPr>
            </w:pPr>
            <w:r>
              <w:rPr>
                <w:rFonts w:hint="eastAsia"/>
                <w:szCs w:val="21"/>
              </w:rPr>
              <w:t xml:space="preserve">④评标委员会基于专业判断，认为供应商报价过低，有可能影响产品质量或者不能诚信履约的其他情形。</w:t>
            </w:r>
            <w:r/>
          </w:p>
          <w:p>
            <w:pPr>
              <w:widowControl/>
              <w:rPr>
                <w:rFonts w:hint="eastAsia"/>
                <w:szCs w:val="21"/>
              </w:rPr>
            </w:pPr>
            <w:r>
              <w:rPr>
                <w:rFonts w:hint="eastAsia"/>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widowControl/>
              <w:rPr>
                <w:rFonts w:hint="eastAsia"/>
                <w:szCs w:val="21"/>
              </w:rPr>
            </w:pPr>
            <w:r>
              <w:rPr>
                <w:rFonts w:hint="eastAsia"/>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widowControl/>
              <w:rPr>
                <w:szCs w:val="21"/>
              </w:rPr>
            </w:pPr>
            <w:r>
              <w:rPr>
                <w:rFonts w:hint="eastAsia"/>
                <w:szCs w:val="21"/>
              </w:rPr>
              <w:t xml:space="preserve">（3）异常低价投标（响应）审查的启动原因、审查意见和审查结果应当在评审报告中记录，并随供应商提供的相关书面说明及证明材料，以及评标委员会有关互联网浏览、查询历史一并归档。</w:t>
            </w:r>
            <w:r/>
          </w:p>
        </w:tc>
        <w:tc>
          <w:tcPr>
            <w:tcW w:w="349" w:type="pct"/>
            <w:vAlign w:val="center"/>
            <w:textDirection w:val="lrTb"/>
            <w:noWrap w:val="false"/>
          </w:tcPr>
          <w:p>
            <w:pPr>
              <w:jc w:val="center"/>
              <w:widowControl/>
              <w:rPr>
                <w:szCs w:val="21"/>
              </w:rPr>
            </w:pPr>
            <w:r>
              <w:rPr>
                <w:szCs w:val="21"/>
              </w:rPr>
              <w:t xml:space="preserve">25</w:t>
            </w:r>
            <w:r/>
          </w:p>
        </w:tc>
      </w:tr>
    </w:tbl>
    <w:p>
      <w:pPr>
        <w:pStyle w:val="955"/>
        <w:ind w:firstLine="0"/>
        <w:rPr>
          <w:b/>
          <w:bCs/>
          <w:sz w:val="21"/>
          <w:szCs w:val="21"/>
        </w:rPr>
      </w:pPr>
      <w:r>
        <w:rPr>
          <w:rFonts w:hint="eastAsia"/>
          <w:b/>
          <w:bCs/>
          <w:sz w:val="21"/>
          <w:szCs w:val="21"/>
        </w:rPr>
        <w:t xml:space="preserve">2、商务部分（</w:t>
      </w:r>
      <w:r>
        <w:rPr>
          <w:b/>
          <w:bCs/>
          <w:sz w:val="21"/>
          <w:szCs w:val="21"/>
        </w:rPr>
        <w:t xml:space="preserve">2</w:t>
      </w:r>
      <w:r>
        <w:rPr>
          <w:rFonts w:hint="eastAsia"/>
          <w:b/>
          <w:bCs/>
          <w:sz w:val="21"/>
          <w:szCs w:val="21"/>
          <w:lang w:val="en-US" w:eastAsia="zh-CN"/>
        </w:rPr>
        <w:t xml:space="preserve">5</w:t>
      </w:r>
      <w:r>
        <w:rPr>
          <w:rFonts w:hint="eastAsia"/>
          <w:b/>
          <w:bCs/>
          <w:sz w:val="21"/>
          <w:szCs w:val="21"/>
        </w:rPr>
        <w:t xml:space="preserve">分）</w:t>
      </w:r>
      <w:r/>
    </w:p>
    <w:tbl>
      <w:tblPr>
        <w:tblStyle w:val="725"/>
        <w:tblW w:w="49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352"/>
        <w:gridCol w:w="7188"/>
        <w:gridCol w:w="762"/>
      </w:tblGrid>
      <w:tr>
        <w:trPr>
          <w:jc w:val="center"/>
          <w:trHeight w:val="3111"/>
        </w:trPr>
        <w:tc>
          <w:tcPr>
            <w:tcW w:w="382" w:type="pct"/>
            <w:vAlign w:val="center"/>
            <w:textDirection w:val="lrTb"/>
            <w:noWrap w:val="false"/>
          </w:tcPr>
          <w:p>
            <w:pPr>
              <w:jc w:val="center"/>
              <w:widowControl/>
              <w:rPr>
                <w:rFonts w:hint="eastAsia" w:eastAsia="宋体"/>
                <w:color w:val="auto"/>
                <w:szCs w:val="21"/>
                <w:lang w:eastAsia="zh-CN"/>
              </w:rPr>
            </w:pPr>
            <w:r>
              <w:rPr>
                <w:rFonts w:hint="eastAsia"/>
                <w:color w:val="auto"/>
                <w:szCs w:val="21"/>
                <w:lang w:val="en-US" w:eastAsia="zh-CN"/>
              </w:rPr>
              <w:t xml:space="preserve">1</w:t>
            </w:r>
            <w:r/>
          </w:p>
        </w:tc>
        <w:tc>
          <w:tcPr>
            <w:tcW w:w="671" w:type="pct"/>
            <w:vAlign w:val="center"/>
            <w:textDirection w:val="lrTb"/>
            <w:noWrap w:val="false"/>
          </w:tcPr>
          <w:p>
            <w:pPr>
              <w:jc w:val="center"/>
              <w:widowControl/>
              <w:rPr>
                <w:rFonts w:ascii="宋体" w:hAnsi="宋体"/>
                <w:bCs/>
                <w:color w:val="auto"/>
                <w:szCs w:val="21"/>
              </w:rPr>
            </w:pPr>
            <w:r>
              <w:rPr>
                <w:rFonts w:hint="eastAsia" w:ascii="宋体" w:hAnsi="宋体"/>
                <w:bCs/>
                <w:color w:val="auto"/>
                <w:szCs w:val="21"/>
              </w:rPr>
              <w:t xml:space="preserve">人员配备</w:t>
            </w:r>
            <w:r/>
          </w:p>
          <w:p>
            <w:pPr>
              <w:jc w:val="center"/>
              <w:widowControl/>
              <w:rPr>
                <w:rFonts w:ascii="宋体" w:hAnsi="宋体"/>
                <w:bCs/>
                <w:color w:val="auto"/>
                <w:szCs w:val="21"/>
              </w:rPr>
            </w:pPr>
            <w:r>
              <w:rPr>
                <w:rFonts w:hint="eastAsia" w:ascii="宋体" w:hAnsi="宋体"/>
                <w:bCs/>
                <w:color w:val="auto"/>
                <w:szCs w:val="21"/>
              </w:rPr>
              <w:t xml:space="preserve">（</w:t>
            </w:r>
            <w:r>
              <w:rPr>
                <w:rFonts w:hint="eastAsia" w:ascii="宋体" w:hAnsi="宋体"/>
                <w:bCs/>
                <w:color w:val="auto"/>
                <w:szCs w:val="21"/>
                <w:lang w:val="en-US" w:eastAsia="zh-CN"/>
              </w:rPr>
              <w:t xml:space="preserve">16</w:t>
            </w:r>
            <w:r>
              <w:rPr>
                <w:rFonts w:hint="eastAsia" w:ascii="宋体" w:hAnsi="宋体"/>
                <w:bCs/>
                <w:color w:val="auto"/>
                <w:szCs w:val="21"/>
              </w:rPr>
              <w:t xml:space="preserve">分）</w:t>
            </w:r>
            <w:r/>
          </w:p>
        </w:tc>
        <w:tc>
          <w:tcPr>
            <w:tcW w:w="3567" w:type="pct"/>
            <w:vAlign w:val="center"/>
            <w:textDirection w:val="lrTb"/>
            <w:noWrap w:val="false"/>
          </w:tcPr>
          <w:p>
            <w:pPr>
              <w:widowControl/>
              <w:tabs>
                <w:tab w:val="left" w:pos="2730" w:leader="none"/>
              </w:tabs>
              <w:rPr>
                <w:rFonts w:ascii="宋体" w:hAnsi="宋体"/>
                <w:color w:val="auto"/>
                <w:szCs w:val="21"/>
              </w:rPr>
            </w:pPr>
            <w:r>
              <w:rPr>
                <w:rFonts w:hint="eastAsia" w:ascii="宋体" w:hAnsi="宋体"/>
                <w:color w:val="auto"/>
                <w:szCs w:val="21"/>
              </w:rPr>
              <w:t xml:space="preserve">供应商提供项目组人员配置（包含配置的人员在本项目担任职务、人员的专业能力、实际工作经验、职称等）磋商小组根据配置情况进行打分（提供项目组人员配置清单、劳动合同及相关证书加盖电子公章编入</w:t>
            </w:r>
            <w:r>
              <w:rPr>
                <w:rFonts w:ascii="宋体" w:hAnsi="宋体"/>
                <w:color w:val="auto"/>
                <w:szCs w:val="21"/>
              </w:rPr>
              <w:t xml:space="preserve">电子响应文件中</w:t>
            </w:r>
            <w:r>
              <w:rPr>
                <w:rFonts w:hint="eastAsia" w:ascii="宋体" w:hAnsi="宋体"/>
                <w:color w:val="auto"/>
                <w:szCs w:val="21"/>
              </w:rPr>
              <w:t xml:space="preserve">）：</w:t>
            </w:r>
            <w:r/>
          </w:p>
          <w:p>
            <w:pPr>
              <w:widowControl/>
              <w:tabs>
                <w:tab w:val="left" w:pos="2730" w:leader="none"/>
              </w:tabs>
              <w:rPr>
                <w:rFonts w:ascii="宋体" w:hAnsi="宋体"/>
                <w:color w:val="auto"/>
                <w:szCs w:val="21"/>
              </w:rPr>
            </w:pPr>
            <w:r>
              <w:rPr>
                <w:rFonts w:hint="eastAsia" w:ascii="宋体" w:hAnsi="宋体"/>
                <w:color w:val="auto"/>
                <w:szCs w:val="21"/>
              </w:rPr>
              <w:t xml:space="preserve">①</w:t>
            </w:r>
            <w:r>
              <w:rPr>
                <w:rFonts w:ascii="宋体" w:hAnsi="宋体"/>
                <w:color w:val="auto"/>
                <w:szCs w:val="21"/>
              </w:rPr>
              <w:t xml:space="preserve">人员配备满足</w:t>
            </w:r>
            <w:r>
              <w:rPr>
                <w:rFonts w:hint="eastAsia" w:ascii="宋体" w:hAnsi="宋体"/>
                <w:color w:val="auto"/>
                <w:szCs w:val="21"/>
              </w:rPr>
              <w:t xml:space="preserve">项目基本要求（也即</w:t>
            </w:r>
            <w:r>
              <w:rPr>
                <w:rFonts w:ascii="宋体" w:hAnsi="宋体"/>
                <w:color w:val="auto"/>
                <w:szCs w:val="21"/>
              </w:rPr>
              <w:t xml:space="preserve">配备项目负责人</w:t>
            </w:r>
            <w:r>
              <w:rPr>
                <w:rFonts w:hint="eastAsia" w:ascii="宋体" w:hAnsi="宋体"/>
                <w:color w:val="auto"/>
                <w:szCs w:val="21"/>
              </w:rPr>
              <w:t xml:space="preserve">1名，设备维修工1名，具备污废水处理工证书的污废水处理工3名）的得基本分</w:t>
            </w:r>
            <w:r>
              <w:rPr>
                <w:rFonts w:hint="eastAsia" w:ascii="宋体" w:hAnsi="宋体"/>
                <w:color w:val="auto"/>
                <w:szCs w:val="21"/>
                <w:lang w:val="en-US" w:eastAsia="zh-CN"/>
              </w:rPr>
              <w:t xml:space="preserve">6</w:t>
            </w:r>
            <w:r>
              <w:rPr>
                <w:rFonts w:hint="eastAsia" w:ascii="宋体" w:hAnsi="宋体"/>
                <w:color w:val="auto"/>
                <w:szCs w:val="21"/>
              </w:rPr>
              <w:t xml:space="preserve">分，不满足基本要求的，人员配备评分项中①②③项均不得分。</w:t>
            </w:r>
            <w:r/>
          </w:p>
          <w:p>
            <w:pPr>
              <w:widowControl/>
              <w:tabs>
                <w:tab w:val="left" w:pos="2730" w:leader="none"/>
              </w:tabs>
              <w:rPr>
                <w:rFonts w:ascii="宋体" w:hAnsi="宋体"/>
                <w:color w:val="auto"/>
                <w:szCs w:val="21"/>
              </w:rPr>
            </w:pPr>
            <w:r>
              <w:rPr>
                <w:rFonts w:hint="eastAsia" w:ascii="宋体" w:hAnsi="宋体"/>
                <w:color w:val="auto"/>
                <w:szCs w:val="21"/>
              </w:rPr>
              <w:t xml:space="preserve">②设备维修工每增加一人得</w:t>
            </w:r>
            <w:r>
              <w:rPr>
                <w:rFonts w:hint="eastAsia" w:ascii="宋体" w:hAnsi="宋体"/>
                <w:color w:val="auto"/>
                <w:szCs w:val="21"/>
                <w:lang w:val="en-US" w:eastAsia="zh-CN"/>
              </w:rPr>
              <w:t xml:space="preserve">5</w:t>
            </w:r>
            <w:r>
              <w:rPr>
                <w:rFonts w:hint="eastAsia" w:ascii="宋体" w:hAnsi="宋体"/>
                <w:color w:val="auto"/>
                <w:szCs w:val="21"/>
              </w:rPr>
              <w:t xml:space="preserve">分，本项满分</w:t>
            </w:r>
            <w:r>
              <w:rPr>
                <w:rFonts w:hint="eastAsia" w:ascii="宋体" w:hAnsi="宋体"/>
                <w:color w:val="auto"/>
                <w:szCs w:val="21"/>
                <w:lang w:val="en-US" w:eastAsia="zh-CN"/>
              </w:rPr>
              <w:t xml:space="preserve">5</w:t>
            </w:r>
            <w:r>
              <w:rPr>
                <w:rFonts w:hint="eastAsia" w:ascii="宋体" w:hAnsi="宋体"/>
                <w:color w:val="auto"/>
                <w:szCs w:val="21"/>
              </w:rPr>
              <w:t xml:space="preserve">分；</w:t>
            </w:r>
            <w:r/>
          </w:p>
          <w:p>
            <w:pPr>
              <w:tabs>
                <w:tab w:val="left" w:pos="2730" w:leader="none"/>
              </w:tabs>
              <w:rPr>
                <w:rFonts w:ascii="宋体" w:hAnsi="宋体"/>
                <w:color w:val="auto"/>
                <w:szCs w:val="21"/>
              </w:rPr>
            </w:pPr>
            <w:r>
              <w:rPr>
                <w:rFonts w:hint="eastAsia" w:ascii="宋体" w:hAnsi="宋体"/>
                <w:color w:val="auto"/>
                <w:szCs w:val="21"/>
              </w:rPr>
              <w:t xml:space="preserve">③配置人员中（含项目负责人）每有1人具有中级及以上职称的得</w:t>
            </w:r>
            <w:r>
              <w:rPr>
                <w:rFonts w:hint="eastAsia" w:ascii="宋体" w:hAnsi="宋体"/>
                <w:color w:val="auto"/>
                <w:szCs w:val="21"/>
                <w:lang w:val="en-US" w:eastAsia="zh-CN"/>
              </w:rPr>
              <w:t xml:space="preserve">5</w:t>
            </w:r>
            <w:r>
              <w:rPr>
                <w:rFonts w:hint="eastAsia" w:ascii="宋体" w:hAnsi="宋体"/>
                <w:color w:val="auto"/>
                <w:szCs w:val="21"/>
              </w:rPr>
              <w:t xml:space="preserve">分，本项满分</w:t>
            </w:r>
            <w:r>
              <w:rPr>
                <w:rFonts w:hint="eastAsia" w:ascii="宋体" w:hAnsi="宋体"/>
                <w:color w:val="auto"/>
                <w:szCs w:val="21"/>
                <w:lang w:val="en-US" w:eastAsia="zh-CN"/>
              </w:rPr>
              <w:t xml:space="preserve">5</w:t>
            </w:r>
            <w:r>
              <w:rPr>
                <w:rFonts w:hint="eastAsia" w:ascii="宋体" w:hAnsi="宋体"/>
                <w:color w:val="auto"/>
                <w:szCs w:val="21"/>
              </w:rPr>
              <w:t xml:space="preserve">分。</w:t>
            </w:r>
            <w:r/>
          </w:p>
        </w:tc>
        <w:tc>
          <w:tcPr>
            <w:tcW w:w="378" w:type="pct"/>
            <w:vAlign w:val="center"/>
            <w:textDirection w:val="lrTb"/>
            <w:noWrap w:val="false"/>
          </w:tcPr>
          <w:p>
            <w:pPr>
              <w:jc w:val="center"/>
              <w:rPr>
                <w:rFonts w:hint="default" w:eastAsia="宋体"/>
                <w:color w:val="auto"/>
                <w:szCs w:val="21"/>
                <w:lang w:val="en-US" w:eastAsia="zh-CN"/>
              </w:rPr>
            </w:pPr>
            <w:r>
              <w:rPr>
                <w:rFonts w:hint="eastAsia"/>
                <w:color w:val="auto"/>
                <w:szCs w:val="21"/>
                <w:lang w:val="en-US" w:eastAsia="zh-CN"/>
              </w:rPr>
              <w:t xml:space="preserve">16</w:t>
            </w:r>
            <w:r/>
          </w:p>
        </w:tc>
      </w:tr>
      <w:tr>
        <w:trPr>
          <w:jc w:val="center"/>
          <w:trHeight w:val="1542"/>
        </w:trPr>
        <w:tc>
          <w:tcPr>
            <w:tcW w:w="382" w:type="pct"/>
            <w:vAlign w:val="center"/>
            <w:textDirection w:val="lrTb"/>
            <w:noWrap w:val="false"/>
          </w:tcPr>
          <w:p>
            <w:pPr>
              <w:jc w:val="center"/>
              <w:widowControl/>
              <w:rPr>
                <w:rFonts w:hint="eastAsia" w:eastAsia="宋体"/>
                <w:color w:val="auto"/>
                <w:szCs w:val="21"/>
                <w:lang w:eastAsia="zh-CN"/>
              </w:rPr>
            </w:pPr>
            <w:r>
              <w:rPr>
                <w:rFonts w:hint="eastAsia"/>
                <w:color w:val="auto"/>
                <w:szCs w:val="21"/>
                <w:lang w:val="en-US" w:eastAsia="zh-CN"/>
              </w:rPr>
              <w:t xml:space="preserve">2</w:t>
            </w:r>
            <w:r/>
          </w:p>
        </w:tc>
        <w:tc>
          <w:tcPr>
            <w:tcW w:w="671" w:type="pct"/>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相关业绩</w:t>
            </w:r>
            <w:r/>
          </w:p>
          <w:p>
            <w:pPr>
              <w:jc w:val="center"/>
              <w:widowControl/>
              <w:rPr>
                <w:rFonts w:ascii="宋体" w:hAnsi="宋体"/>
                <w:bCs/>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9</w:t>
            </w:r>
            <w:r>
              <w:rPr>
                <w:rFonts w:hint="eastAsia" w:ascii="宋体" w:hAnsi="宋体"/>
                <w:color w:val="auto"/>
                <w:szCs w:val="21"/>
              </w:rPr>
              <w:t xml:space="preserve">分）</w:t>
            </w:r>
            <w:r/>
          </w:p>
        </w:tc>
        <w:tc>
          <w:tcPr>
            <w:tcW w:w="3567" w:type="pct"/>
            <w:vAlign w:val="center"/>
            <w:textDirection w:val="lrTb"/>
            <w:noWrap w:val="false"/>
          </w:tcPr>
          <w:p>
            <w:pPr>
              <w:widowControl/>
              <w:tabs>
                <w:tab w:val="left" w:pos="2730" w:leader="none"/>
              </w:tabs>
              <w:rPr>
                <w:rFonts w:ascii="宋体" w:hAnsi="宋体"/>
                <w:color w:val="auto"/>
                <w:szCs w:val="21"/>
              </w:rPr>
            </w:pPr>
            <w:r>
              <w:rPr>
                <w:rFonts w:hint="eastAsia" w:ascii="宋体" w:hAnsi="宋体"/>
                <w:color w:val="auto"/>
                <w:szCs w:val="21"/>
              </w:rPr>
              <w:t xml:space="preserve">供应商自20</w:t>
            </w:r>
            <w:r>
              <w:rPr>
                <w:rFonts w:ascii="宋体" w:hAnsi="宋体"/>
                <w:color w:val="auto"/>
                <w:szCs w:val="21"/>
              </w:rPr>
              <w:t xml:space="preserve">2</w:t>
            </w:r>
            <w:r>
              <w:rPr>
                <w:rFonts w:hint="eastAsia" w:ascii="宋体" w:hAnsi="宋体"/>
                <w:color w:val="auto"/>
                <w:szCs w:val="21"/>
                <w:lang w:val="en-US" w:eastAsia="zh-CN"/>
              </w:rPr>
              <w:t xml:space="preserve">3</w:t>
            </w:r>
            <w:r>
              <w:rPr>
                <w:rFonts w:hint="eastAsia" w:ascii="宋体" w:hAnsi="宋体"/>
                <w:color w:val="auto"/>
                <w:szCs w:val="21"/>
              </w:rPr>
              <w:t xml:space="preserve">年1月1日</w:t>
            </w:r>
            <w:r>
              <w:rPr>
                <w:rFonts w:hint="eastAsia" w:ascii="宋体" w:hAnsi="宋体"/>
                <w:color w:val="auto"/>
                <w:szCs w:val="21"/>
                <w:lang w:eastAsia="zh-CN"/>
              </w:rPr>
              <w:t xml:space="preserve">（含）</w:t>
            </w:r>
            <w:r>
              <w:rPr>
                <w:rFonts w:hint="eastAsia" w:ascii="宋体" w:hAnsi="宋体"/>
                <w:color w:val="auto"/>
                <w:szCs w:val="21"/>
              </w:rPr>
              <w:t xml:space="preserve">以来有类似污水处理运维服务的相关业绩的得</w:t>
            </w:r>
            <w:r>
              <w:rPr>
                <w:rFonts w:hint="eastAsia" w:ascii="宋体" w:hAnsi="宋体"/>
                <w:color w:val="auto"/>
                <w:szCs w:val="21"/>
                <w:lang w:val="en-US" w:eastAsia="zh-CN"/>
              </w:rPr>
              <w:t xml:space="preserve">3</w:t>
            </w:r>
            <w:r>
              <w:rPr>
                <w:rFonts w:hint="eastAsia" w:ascii="宋体" w:hAnsi="宋体"/>
                <w:color w:val="auto"/>
                <w:szCs w:val="21"/>
              </w:rPr>
              <w:t xml:space="preserve">分/个，满分</w:t>
            </w:r>
            <w:r>
              <w:rPr>
                <w:rFonts w:hint="eastAsia" w:ascii="宋体" w:hAnsi="宋体"/>
                <w:color w:val="auto"/>
                <w:szCs w:val="21"/>
                <w:lang w:val="en-US" w:eastAsia="zh-CN"/>
              </w:rPr>
              <w:t xml:space="preserve">9</w:t>
            </w:r>
            <w:r>
              <w:rPr>
                <w:rFonts w:hint="eastAsia" w:ascii="宋体" w:hAnsi="宋体"/>
                <w:color w:val="auto"/>
                <w:szCs w:val="21"/>
              </w:rPr>
              <w:t xml:space="preserve">分。（提供合同加盖电子公章编入</w:t>
            </w:r>
            <w:r>
              <w:rPr>
                <w:rFonts w:ascii="宋体" w:hAnsi="宋体"/>
                <w:color w:val="auto"/>
                <w:szCs w:val="21"/>
              </w:rPr>
              <w:t xml:space="preserve">电子响应文件中</w:t>
            </w:r>
            <w:r>
              <w:rPr>
                <w:rFonts w:hint="eastAsia" w:ascii="宋体" w:hAnsi="宋体"/>
                <w:color w:val="auto"/>
                <w:szCs w:val="21"/>
              </w:rPr>
              <w:t xml:space="preserve">，时间</w:t>
            </w:r>
            <w:r>
              <w:rPr>
                <w:rFonts w:ascii="宋体" w:hAnsi="宋体"/>
                <w:color w:val="auto"/>
                <w:szCs w:val="21"/>
              </w:rPr>
              <w:t xml:space="preserve">以合同签订时间为准，合同未能反映相关数据和内容的</w:t>
            </w:r>
            <w:r>
              <w:rPr>
                <w:rFonts w:hint="eastAsia" w:ascii="宋体" w:hAnsi="宋体"/>
                <w:color w:val="auto"/>
                <w:szCs w:val="21"/>
              </w:rPr>
              <w:t xml:space="preserve">，</w:t>
            </w:r>
            <w:r>
              <w:rPr>
                <w:rFonts w:ascii="宋体" w:hAnsi="宋体"/>
                <w:color w:val="auto"/>
                <w:szCs w:val="21"/>
              </w:rPr>
              <w:t xml:space="preserve">视为未提供。</w:t>
            </w:r>
            <w:r>
              <w:rPr>
                <w:rFonts w:hint="eastAsia" w:ascii="宋体" w:hAnsi="宋体"/>
                <w:color w:val="auto"/>
                <w:szCs w:val="21"/>
              </w:rPr>
              <w:t xml:space="preserve">）</w:t>
            </w:r>
            <w:r/>
          </w:p>
        </w:tc>
        <w:tc>
          <w:tcPr>
            <w:tcW w:w="378" w:type="pct"/>
            <w:vAlign w:val="center"/>
            <w:textDirection w:val="lrTb"/>
            <w:noWrap w:val="false"/>
          </w:tcPr>
          <w:p>
            <w:pPr>
              <w:jc w:val="center"/>
              <w:widowControl/>
              <w:rPr>
                <w:rFonts w:hint="default" w:eastAsia="宋体"/>
                <w:color w:val="auto"/>
                <w:szCs w:val="21"/>
                <w:lang w:val="en-US" w:eastAsia="zh-CN"/>
              </w:rPr>
            </w:pPr>
            <w:r>
              <w:rPr>
                <w:rFonts w:hint="eastAsia"/>
                <w:color w:val="auto"/>
                <w:szCs w:val="21"/>
                <w:lang w:val="en-US" w:eastAsia="zh-CN"/>
              </w:rPr>
              <w:t xml:space="preserve">9</w:t>
            </w:r>
            <w:r/>
          </w:p>
        </w:tc>
      </w:tr>
    </w:tbl>
    <w:p>
      <w:pPr>
        <w:rPr>
          <w:color w:val="auto"/>
          <w:szCs w:val="21"/>
        </w:rPr>
      </w:pPr>
      <w:r>
        <w:rPr>
          <w:rFonts w:hint="eastAsia"/>
          <w:b/>
          <w:bCs/>
          <w:color w:val="auto"/>
          <w:szCs w:val="21"/>
        </w:rPr>
        <w:t xml:space="preserve">3、技术分（</w:t>
      </w:r>
      <w:r>
        <w:rPr>
          <w:rFonts w:hint="eastAsia"/>
          <w:b/>
          <w:bCs/>
          <w:color w:val="auto"/>
          <w:szCs w:val="21"/>
          <w:lang w:val="en-US" w:eastAsia="zh-CN"/>
        </w:rPr>
        <w:t xml:space="preserve">50</w:t>
      </w:r>
      <w:r>
        <w:rPr>
          <w:rFonts w:hint="eastAsia"/>
          <w:b/>
          <w:bCs/>
          <w:color w:val="auto"/>
          <w:szCs w:val="21"/>
        </w:rPr>
        <w:t xml:space="preserve">分）</w:t>
      </w:r>
      <w:r/>
    </w:p>
    <w:tbl>
      <w:tblPr>
        <w:tblStyle w:val="725"/>
        <w:tblW w:w="103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522"/>
        <w:gridCol w:w="7189"/>
        <w:gridCol w:w="853"/>
      </w:tblGrid>
      <w:tr>
        <w:trPr>
          <w:jc w:val="center"/>
          <w:trHeight w:val="23"/>
        </w:trPr>
        <w:tc>
          <w:tcPr>
            <w:tcW w:w="759" w:type="dxa"/>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序号</w:t>
            </w:r>
            <w:r/>
          </w:p>
        </w:tc>
        <w:tc>
          <w:tcPr>
            <w:tcW w:w="1522"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评审因素</w:t>
            </w:r>
            <w:r/>
          </w:p>
        </w:tc>
        <w:tc>
          <w:tcPr>
            <w:tcW w:w="7189" w:type="dxa"/>
            <w:vAlign w:val="center"/>
            <w:textDirection w:val="lrTb"/>
            <w:noWrap w:val="false"/>
          </w:tcPr>
          <w:p>
            <w:pPr>
              <w:ind w:firstLine="422"/>
              <w:rPr>
                <w:rFonts w:ascii="宋体" w:hAnsi="宋体" w:cs="宋体"/>
                <w:b/>
                <w:color w:val="auto"/>
                <w:szCs w:val="21"/>
              </w:rPr>
            </w:pPr>
            <w:r>
              <w:rPr>
                <w:rFonts w:hint="eastAsia" w:ascii="宋体" w:hAnsi="宋体" w:cs="宋体"/>
                <w:b/>
                <w:color w:val="auto"/>
                <w:szCs w:val="21"/>
              </w:rPr>
              <w:t xml:space="preserve">评审因素说明</w:t>
            </w:r>
            <w:r/>
          </w:p>
        </w:tc>
        <w:tc>
          <w:tcPr>
            <w:tcW w:w="853" w:type="dxa"/>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分值</w:t>
            </w:r>
            <w:r/>
          </w:p>
        </w:tc>
      </w:tr>
      <w:tr>
        <w:trPr>
          <w:jc w:val="center"/>
          <w:trHeight w:val="23"/>
        </w:trPr>
        <w:tc>
          <w:tcPr>
            <w:tcW w:w="75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W w:w="1522" w:type="dxa"/>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技术方案</w:t>
            </w:r>
            <w:r/>
          </w:p>
          <w:p>
            <w:pPr>
              <w:jc w:val="center"/>
              <w:widowControl/>
              <w:rPr>
                <w:rFonts w:ascii="宋体" w:hAnsi="宋体"/>
                <w:color w:val="auto"/>
                <w:szCs w:val="21"/>
              </w:rPr>
            </w:pPr>
            <w:r>
              <w:rPr>
                <w:rFonts w:hint="eastAsia" w:ascii="宋体" w:hAnsi="宋体"/>
                <w:color w:val="auto"/>
                <w:szCs w:val="21"/>
              </w:rPr>
              <w:t xml:space="preserve">（10分）</w:t>
            </w:r>
            <w:r/>
          </w:p>
        </w:tc>
        <w:tc>
          <w:tcPr>
            <w:tcW w:w="7189" w:type="dxa"/>
            <w:vAlign w:val="center"/>
            <w:textDirection w:val="lrTb"/>
            <w:noWrap w:val="false"/>
          </w:tcPr>
          <w:p>
            <w:pPr>
              <w:widowControl/>
              <w:tabs>
                <w:tab w:val="left" w:pos="2730" w:leader="none"/>
              </w:tabs>
              <w:rPr>
                <w:rFonts w:ascii="宋体" w:hAnsi="宋体"/>
                <w:color w:val="auto"/>
                <w:szCs w:val="21"/>
              </w:rPr>
            </w:pPr>
            <w:r>
              <w:rPr>
                <w:rFonts w:hint="eastAsia" w:ascii="宋体" w:hAnsi="宋体"/>
                <w:color w:val="auto"/>
                <w:szCs w:val="21"/>
              </w:rPr>
              <w:t xml:space="preserve">供应商针对项目具体实施拟定的运行维护实施方案详实，有针对性，内容完整等；（包括项目概况介绍，服务的范围，内容，目标，思路，运行维护设备，人员配置及岗位职责，运行维护工作内容细分及考核前期投资设备明细等内容），由评委根据方案的完整程度相应打分。方案非常全面合理、具备较高的可行性、完全能适应采购人的需求得10分；</w:t>
            </w:r>
            <w:r/>
          </w:p>
          <w:p>
            <w:pPr>
              <w:widowControl/>
              <w:tabs>
                <w:tab w:val="left" w:pos="2730" w:leader="none"/>
              </w:tabs>
              <w:rPr>
                <w:rFonts w:ascii="宋体" w:hAnsi="宋体"/>
                <w:color w:val="auto"/>
                <w:szCs w:val="21"/>
              </w:rPr>
            </w:pPr>
            <w:r>
              <w:rPr>
                <w:rFonts w:hint="eastAsia" w:ascii="宋体" w:hAnsi="宋体"/>
                <w:color w:val="auto"/>
                <w:szCs w:val="21"/>
              </w:rPr>
              <w:t xml:space="preserve">方案较全面合理、具备可行性、能较好适应采购人的需求得8分；</w:t>
            </w:r>
            <w:r/>
          </w:p>
          <w:p>
            <w:pPr>
              <w:widowControl/>
              <w:tabs>
                <w:tab w:val="left" w:pos="2730" w:leader="none"/>
              </w:tabs>
              <w:rPr>
                <w:rFonts w:ascii="宋体" w:hAnsi="宋体"/>
                <w:color w:val="auto"/>
                <w:szCs w:val="21"/>
              </w:rPr>
            </w:pPr>
            <w:r>
              <w:rPr>
                <w:rFonts w:hint="eastAsia" w:ascii="宋体" w:hAnsi="宋体"/>
                <w:color w:val="auto"/>
                <w:szCs w:val="21"/>
              </w:rPr>
              <w:t xml:space="preserve">方案基本全面合理、基本具备可行性、基本能适应采购人的需求得6分；</w:t>
            </w:r>
            <w:r/>
          </w:p>
          <w:p>
            <w:pPr>
              <w:widowControl/>
              <w:tabs>
                <w:tab w:val="left" w:pos="2730" w:leader="none"/>
              </w:tabs>
              <w:rPr>
                <w:rFonts w:ascii="宋体" w:hAnsi="宋体"/>
                <w:color w:val="auto"/>
                <w:szCs w:val="21"/>
              </w:rPr>
            </w:pPr>
            <w:r>
              <w:rPr>
                <w:rFonts w:hint="eastAsia" w:ascii="宋体" w:hAnsi="宋体"/>
                <w:color w:val="auto"/>
                <w:szCs w:val="21"/>
              </w:rPr>
              <w:t xml:space="preserve">方案不太全面合理、不太具备可行性、不太适应采购人的需求得4分；</w:t>
            </w:r>
            <w:r/>
          </w:p>
          <w:p>
            <w:pPr>
              <w:widowControl/>
              <w:tabs>
                <w:tab w:val="left" w:pos="2730" w:leader="none"/>
              </w:tabs>
              <w:rPr>
                <w:rFonts w:ascii="宋体" w:hAnsi="宋体"/>
                <w:color w:val="auto"/>
                <w:szCs w:val="21"/>
              </w:rPr>
            </w:pPr>
            <w:r>
              <w:rPr>
                <w:rFonts w:hint="eastAsia" w:ascii="宋体" w:hAnsi="宋体"/>
                <w:color w:val="auto"/>
                <w:szCs w:val="21"/>
              </w:rPr>
              <w:t xml:space="preserve">方案欠全面合理、欠可行性、不完全能适应采购人的需求得2分；</w:t>
            </w:r>
            <w:r/>
          </w:p>
          <w:p>
            <w:pPr>
              <w:widowControl/>
              <w:tabs>
                <w:tab w:val="left" w:pos="2730" w:leader="none"/>
              </w:tabs>
              <w:rPr>
                <w:rFonts w:hAnsi="宋体"/>
                <w:color w:val="auto"/>
                <w:szCs w:val="21"/>
              </w:rPr>
            </w:pPr>
            <w:r>
              <w:rPr>
                <w:rFonts w:hint="eastAsia" w:ascii="宋体" w:hAnsi="宋体"/>
                <w:color w:val="auto"/>
                <w:szCs w:val="21"/>
              </w:rPr>
              <w:t xml:space="preserve">方案不全面合理、不具有可行性、不能适应采购人的需求或未提供的，不得分。</w:t>
            </w:r>
            <w:r/>
          </w:p>
        </w:tc>
        <w:tc>
          <w:tcPr>
            <w:tcW w:w="853"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10</w:t>
            </w:r>
            <w:r/>
          </w:p>
        </w:tc>
      </w:tr>
      <w:tr>
        <w:trPr>
          <w:jc w:val="center"/>
          <w:trHeight w:val="23"/>
        </w:trPr>
        <w:tc>
          <w:tcPr>
            <w:tcW w:w="75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W w:w="1522" w:type="dxa"/>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方案可操作性以及重难点分析（</w:t>
            </w:r>
            <w:r>
              <w:rPr>
                <w:rFonts w:ascii="宋体" w:hAnsi="宋体"/>
                <w:color w:val="auto"/>
                <w:szCs w:val="21"/>
              </w:rPr>
              <w:t xml:space="preserve">10</w:t>
            </w:r>
            <w:r>
              <w:rPr>
                <w:rFonts w:hint="eastAsia" w:ascii="宋体" w:hAnsi="宋体"/>
                <w:color w:val="auto"/>
                <w:szCs w:val="21"/>
              </w:rPr>
              <w:t xml:space="preserve">分）</w:t>
            </w:r>
            <w:r/>
          </w:p>
        </w:tc>
        <w:tc>
          <w:tcPr>
            <w:tcW w:w="7189" w:type="dxa"/>
            <w:vAlign w:val="center"/>
            <w:textDirection w:val="lrTb"/>
            <w:noWrap w:val="false"/>
          </w:tcPr>
          <w:p>
            <w:pPr>
              <w:jc w:val="left"/>
              <w:widowControl/>
              <w:tabs>
                <w:tab w:val="left" w:pos="2730" w:leader="none"/>
              </w:tabs>
              <w:rPr>
                <w:rFonts w:ascii="宋体" w:hAnsi="宋体"/>
                <w:color w:val="auto"/>
                <w:szCs w:val="21"/>
              </w:rPr>
            </w:pPr>
            <w:r>
              <w:rPr>
                <w:rFonts w:hint="eastAsia" w:ascii="宋体" w:hAnsi="宋体"/>
                <w:color w:val="auto"/>
                <w:szCs w:val="21"/>
              </w:rPr>
              <w:t xml:space="preserve">供应商对项目中制定的目标任务在设备和办公条件等方面保障到位，推进过程中各项保障措施、相关应急预案以及污染源监测服务重点、难点及措施的全面性、可操作性、可行性、合理性综合打分：</w:t>
            </w:r>
            <w:r/>
          </w:p>
          <w:p>
            <w:pPr>
              <w:jc w:val="left"/>
              <w:widowControl/>
              <w:tabs>
                <w:tab w:val="left" w:pos="2730" w:leader="none"/>
              </w:tabs>
              <w:rPr>
                <w:rFonts w:ascii="宋体" w:hAnsi="宋体"/>
                <w:color w:val="auto"/>
                <w:szCs w:val="21"/>
              </w:rPr>
            </w:pPr>
            <w:r>
              <w:rPr>
                <w:rFonts w:hint="eastAsia" w:ascii="宋体" w:hAnsi="宋体"/>
                <w:color w:val="auto"/>
                <w:szCs w:val="21"/>
              </w:rPr>
              <w:t xml:space="preserve">方案详细具体可操作性强得10分；</w:t>
            </w:r>
            <w:r/>
          </w:p>
          <w:p>
            <w:pPr>
              <w:jc w:val="left"/>
              <w:widowControl/>
              <w:tabs>
                <w:tab w:val="left" w:pos="2730" w:leader="none"/>
              </w:tabs>
              <w:rPr>
                <w:rFonts w:ascii="宋体" w:hAnsi="宋体"/>
                <w:color w:val="auto"/>
                <w:szCs w:val="21"/>
              </w:rPr>
            </w:pPr>
            <w:r>
              <w:rPr>
                <w:rFonts w:hint="eastAsia" w:ascii="宋体" w:hAnsi="宋体"/>
                <w:color w:val="auto"/>
                <w:szCs w:val="21"/>
              </w:rPr>
              <w:t xml:space="preserve">方案较详细具体，可操作性较强得8分；</w:t>
            </w:r>
            <w:r/>
          </w:p>
          <w:p>
            <w:pPr>
              <w:jc w:val="left"/>
              <w:widowControl/>
              <w:tabs>
                <w:tab w:val="left" w:pos="2730" w:leader="none"/>
              </w:tabs>
              <w:rPr>
                <w:rFonts w:ascii="宋体" w:hAnsi="宋体"/>
                <w:color w:val="auto"/>
                <w:szCs w:val="21"/>
              </w:rPr>
            </w:pPr>
            <w:r>
              <w:rPr>
                <w:rFonts w:hint="eastAsia" w:ascii="宋体" w:hAnsi="宋体"/>
                <w:color w:val="auto"/>
                <w:szCs w:val="21"/>
              </w:rPr>
              <w:t xml:space="preserve">方案基本详细具体，可操作性基本可行得6分；</w:t>
            </w:r>
            <w:r/>
          </w:p>
          <w:p>
            <w:pPr>
              <w:jc w:val="left"/>
              <w:widowControl/>
              <w:tabs>
                <w:tab w:val="left" w:pos="2730" w:leader="none"/>
              </w:tabs>
              <w:rPr>
                <w:rFonts w:ascii="宋体" w:hAnsi="宋体"/>
                <w:color w:val="auto"/>
                <w:szCs w:val="21"/>
              </w:rPr>
            </w:pPr>
            <w:r>
              <w:rPr>
                <w:rFonts w:hint="eastAsia" w:ascii="宋体" w:hAnsi="宋体"/>
                <w:color w:val="auto"/>
                <w:szCs w:val="21"/>
              </w:rPr>
              <w:t xml:space="preserve">方案不太详细具体，可操作性不太可行得4分；</w:t>
            </w:r>
            <w:r/>
          </w:p>
          <w:p>
            <w:pPr>
              <w:jc w:val="left"/>
              <w:widowControl/>
              <w:tabs>
                <w:tab w:val="left" w:pos="2730" w:leader="none"/>
              </w:tabs>
              <w:rPr>
                <w:rFonts w:ascii="宋体" w:hAnsi="宋体"/>
                <w:color w:val="auto"/>
                <w:szCs w:val="21"/>
              </w:rPr>
            </w:pPr>
            <w:r>
              <w:rPr>
                <w:rFonts w:hint="eastAsia" w:ascii="宋体" w:hAnsi="宋体"/>
                <w:color w:val="auto"/>
                <w:szCs w:val="21"/>
              </w:rPr>
              <w:t xml:space="preserve">方案粗略可操作性一般，得2分；</w:t>
            </w:r>
            <w:r/>
          </w:p>
          <w:p>
            <w:pPr>
              <w:jc w:val="left"/>
              <w:widowControl/>
              <w:tabs>
                <w:tab w:val="left" w:pos="2730" w:leader="none"/>
              </w:tabs>
              <w:rPr>
                <w:rFonts w:ascii="宋体" w:hAnsi="宋体"/>
                <w:color w:val="auto"/>
                <w:szCs w:val="21"/>
              </w:rPr>
            </w:pPr>
            <w:r>
              <w:rPr>
                <w:rFonts w:hint="eastAsia" w:ascii="宋体" w:hAnsi="宋体"/>
                <w:color w:val="auto"/>
                <w:szCs w:val="21"/>
              </w:rPr>
              <w:t xml:space="preserve">方案粗略可操作性差或未提供的，不得分。</w:t>
            </w:r>
            <w:r/>
          </w:p>
        </w:tc>
        <w:tc>
          <w:tcPr>
            <w:tcW w:w="853"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10</w:t>
            </w:r>
            <w:r/>
          </w:p>
        </w:tc>
      </w:tr>
      <w:tr>
        <w:trPr>
          <w:jc w:val="center"/>
          <w:trHeight w:val="23"/>
        </w:trPr>
        <w:tc>
          <w:tcPr>
            <w:tcW w:w="75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W w:w="152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应急预案</w:t>
            </w:r>
            <w:r/>
          </w:p>
          <w:p>
            <w:pPr>
              <w:jc w:val="center"/>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6</w:t>
            </w:r>
            <w:r>
              <w:rPr>
                <w:rFonts w:hint="eastAsia" w:ascii="宋体" w:hAnsi="宋体"/>
                <w:color w:val="auto"/>
                <w:szCs w:val="21"/>
              </w:rPr>
              <w:t xml:space="preserve">分）</w:t>
            </w:r>
            <w:r/>
          </w:p>
        </w:tc>
        <w:tc>
          <w:tcPr>
            <w:tcW w:w="7189" w:type="dxa"/>
            <w:vAlign w:val="center"/>
            <w:textDirection w:val="lrTb"/>
            <w:noWrap w:val="false"/>
          </w:tcPr>
          <w:p>
            <w:pPr>
              <w:jc w:val="left"/>
              <w:widowControl/>
              <w:tabs>
                <w:tab w:val="left" w:pos="2730" w:leader="none"/>
              </w:tabs>
              <w:rPr>
                <w:rFonts w:ascii="宋体" w:hAnsi="宋体"/>
                <w:color w:val="auto"/>
                <w:szCs w:val="21"/>
              </w:rPr>
            </w:pPr>
            <w:r>
              <w:rPr>
                <w:rFonts w:hint="eastAsia" w:ascii="宋体" w:hAnsi="宋体"/>
                <w:color w:val="auto"/>
                <w:szCs w:val="21"/>
              </w:rPr>
              <w:t xml:space="preserve">供应商针对本项目的突发应急事件（突发停水，停电情况处理，设备故障应急处理，水质超标紧急处理等）的处理预案是否合理，及时有效等有评委酌情打分，预案合理，具备可操作性的得</w:t>
            </w:r>
            <w:r>
              <w:rPr>
                <w:rFonts w:hint="eastAsia" w:ascii="宋体" w:hAnsi="宋体"/>
                <w:color w:val="auto"/>
                <w:szCs w:val="21"/>
                <w:lang w:val="en-US" w:eastAsia="zh-CN"/>
              </w:rPr>
              <w:t xml:space="preserve">6</w:t>
            </w:r>
            <w:r>
              <w:rPr>
                <w:rFonts w:hint="eastAsia" w:ascii="宋体" w:hAnsi="宋体"/>
                <w:color w:val="auto"/>
                <w:szCs w:val="21"/>
              </w:rPr>
              <w:t xml:space="preserve">分，预案较合理，较具备可操作性的得</w:t>
            </w:r>
            <w:r>
              <w:rPr>
                <w:rFonts w:ascii="宋体" w:hAnsi="宋体"/>
                <w:color w:val="auto"/>
                <w:szCs w:val="21"/>
              </w:rPr>
              <w:t xml:space="preserve">4</w:t>
            </w:r>
            <w:r>
              <w:rPr>
                <w:rFonts w:hint="eastAsia" w:ascii="宋体" w:hAnsi="宋体"/>
                <w:color w:val="auto"/>
                <w:szCs w:val="21"/>
              </w:rPr>
              <w:t xml:space="preserve">分，预案不太合理，不太具备可操作性的得</w:t>
            </w:r>
            <w:r>
              <w:rPr>
                <w:rFonts w:hint="eastAsia" w:ascii="宋体" w:hAnsi="宋体"/>
                <w:color w:val="auto"/>
                <w:szCs w:val="21"/>
                <w:lang w:val="en-US" w:eastAsia="zh-CN"/>
              </w:rPr>
              <w:t xml:space="preserve">2</w:t>
            </w:r>
            <w:r>
              <w:rPr>
                <w:rFonts w:hint="eastAsia" w:ascii="宋体" w:hAnsi="宋体"/>
                <w:color w:val="auto"/>
                <w:szCs w:val="21"/>
              </w:rPr>
              <w:t xml:space="preserve">分。没有不得分。</w:t>
            </w:r>
            <w:r/>
          </w:p>
        </w:tc>
        <w:tc>
          <w:tcPr>
            <w:tcW w:w="853" w:type="dxa"/>
            <w:vAlign w:val="center"/>
            <w:textDirection w:val="lrTb"/>
            <w:noWrap w:val="false"/>
          </w:tcPr>
          <w:p>
            <w:pPr>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6</w:t>
            </w:r>
            <w:r/>
          </w:p>
        </w:tc>
      </w:tr>
      <w:tr>
        <w:trPr>
          <w:jc w:val="center"/>
          <w:trHeight w:val="23"/>
        </w:trPr>
        <w:tc>
          <w:tcPr>
            <w:tcW w:w="75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4</w:t>
            </w:r>
            <w:r/>
          </w:p>
        </w:tc>
        <w:tc>
          <w:tcPr>
            <w:tcW w:w="1522" w:type="dxa"/>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管理制度和措施 （</w:t>
            </w:r>
            <w:r>
              <w:rPr>
                <w:rFonts w:hint="eastAsia" w:ascii="宋体" w:hAnsi="宋体"/>
                <w:color w:val="auto"/>
                <w:szCs w:val="21"/>
                <w:lang w:val="en-US" w:eastAsia="zh-CN"/>
              </w:rPr>
              <w:t xml:space="preserve">6</w:t>
            </w:r>
            <w:r>
              <w:rPr>
                <w:rFonts w:hint="eastAsia" w:ascii="宋体" w:hAnsi="宋体"/>
                <w:color w:val="auto"/>
                <w:szCs w:val="21"/>
              </w:rPr>
              <w:t xml:space="preserve">分）</w:t>
            </w:r>
            <w:r/>
          </w:p>
        </w:tc>
        <w:tc>
          <w:tcPr>
            <w:tcW w:w="7189" w:type="dxa"/>
            <w:vAlign w:val="center"/>
            <w:textDirection w:val="lrTb"/>
            <w:noWrap w:val="false"/>
          </w:tcPr>
          <w:p>
            <w:pPr>
              <w:jc w:val="left"/>
              <w:widowControl/>
              <w:tabs>
                <w:tab w:val="left" w:pos="2730" w:leader="none"/>
              </w:tabs>
              <w:rPr>
                <w:rFonts w:ascii="宋体" w:hAnsi="宋体"/>
                <w:color w:val="auto"/>
                <w:szCs w:val="21"/>
              </w:rPr>
            </w:pPr>
            <w:r>
              <w:rPr>
                <w:rFonts w:hint="eastAsia" w:ascii="宋体" w:hAnsi="宋体"/>
                <w:color w:val="auto"/>
                <w:szCs w:val="21"/>
              </w:rPr>
              <w:t xml:space="preserve">根据供应商提供管理制度和措施（包括日常运维管理制度和措施、安全管理制度和措施、人员管理措施等）进行综合评定，管理制度内容完整详细、措施有针对性且合理可行的得</w:t>
            </w:r>
            <w:r>
              <w:rPr>
                <w:rFonts w:hint="eastAsia" w:ascii="宋体" w:hAnsi="宋体"/>
                <w:color w:val="auto"/>
                <w:szCs w:val="21"/>
                <w:lang w:val="en-US" w:eastAsia="zh-CN"/>
              </w:rPr>
              <w:t xml:space="preserve">6</w:t>
            </w:r>
            <w:r>
              <w:rPr>
                <w:rFonts w:hint="eastAsia" w:ascii="宋体" w:hAnsi="宋体"/>
                <w:color w:val="auto"/>
                <w:szCs w:val="21"/>
              </w:rPr>
              <w:t xml:space="preserve">分；管理制度内容较全面、措施较可行的得</w:t>
            </w:r>
            <w:r>
              <w:rPr>
                <w:rFonts w:hint="eastAsia" w:ascii="宋体" w:hAnsi="宋体"/>
                <w:color w:val="auto"/>
                <w:szCs w:val="21"/>
                <w:lang w:val="en-US" w:eastAsia="zh-CN"/>
              </w:rPr>
              <w:t xml:space="preserve">4</w:t>
            </w:r>
            <w:r>
              <w:rPr>
                <w:rFonts w:hint="eastAsia" w:ascii="宋体" w:hAnsi="宋体"/>
                <w:color w:val="auto"/>
                <w:szCs w:val="21"/>
              </w:rPr>
              <w:t xml:space="preserve">分；管理制度内容不太全面、措施不太全理的得</w:t>
            </w:r>
            <w:r>
              <w:rPr>
                <w:rFonts w:hint="eastAsia" w:ascii="宋体" w:hAnsi="宋体"/>
                <w:color w:val="auto"/>
                <w:szCs w:val="21"/>
                <w:lang w:val="en-US" w:eastAsia="zh-CN"/>
              </w:rPr>
              <w:t xml:space="preserve">2</w:t>
            </w:r>
            <w:r>
              <w:rPr>
                <w:rFonts w:hint="eastAsia" w:ascii="宋体" w:hAnsi="宋体"/>
                <w:color w:val="auto"/>
                <w:szCs w:val="21"/>
              </w:rPr>
              <w:t xml:space="preserve">分；未作说明的不得分。</w:t>
            </w:r>
            <w:r/>
          </w:p>
        </w:tc>
        <w:tc>
          <w:tcPr>
            <w:tcW w:w="853" w:type="dxa"/>
            <w:vAlign w:val="center"/>
            <w:textDirection w:val="lrTb"/>
            <w:noWrap w:val="false"/>
          </w:tcPr>
          <w:p>
            <w:pPr>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6</w:t>
            </w:r>
            <w:r/>
          </w:p>
        </w:tc>
      </w:tr>
      <w:tr>
        <w:trPr>
          <w:jc w:val="center"/>
          <w:trHeight w:val="23"/>
        </w:trPr>
        <w:tc>
          <w:tcPr>
            <w:tcW w:w="75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w:t>
            </w:r>
            <w:r/>
          </w:p>
        </w:tc>
        <w:tc>
          <w:tcPr>
            <w:tcW w:w="152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技术质量保证措施</w:t>
            </w:r>
            <w:r/>
          </w:p>
          <w:p>
            <w:pPr>
              <w:jc w:val="center"/>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6</w:t>
            </w:r>
            <w:r>
              <w:rPr>
                <w:rFonts w:hint="eastAsia" w:ascii="宋体" w:hAnsi="宋体"/>
                <w:color w:val="auto"/>
                <w:szCs w:val="21"/>
              </w:rPr>
              <w:t xml:space="preserve">分）</w:t>
            </w:r>
            <w:r/>
          </w:p>
        </w:tc>
        <w:tc>
          <w:tcPr>
            <w:tcW w:w="7189" w:type="dxa"/>
            <w:vAlign w:val="center"/>
            <w:textDirection w:val="lrTb"/>
            <w:noWrap w:val="false"/>
          </w:tcPr>
          <w:p>
            <w:pPr>
              <w:jc w:val="left"/>
              <w:widowControl/>
              <w:tabs>
                <w:tab w:val="left" w:pos="2730" w:leader="none"/>
              </w:tabs>
              <w:rPr>
                <w:rFonts w:ascii="宋体" w:hAnsi="宋体"/>
                <w:color w:val="auto"/>
                <w:szCs w:val="21"/>
              </w:rPr>
            </w:pPr>
            <w:r>
              <w:rPr>
                <w:rFonts w:hint="eastAsia" w:ascii="宋体" w:hAnsi="宋体"/>
                <w:color w:val="auto"/>
                <w:szCs w:val="21"/>
              </w:rPr>
              <w:t xml:space="preserve">运行维护技术质量保证措施：由磋商小组根据供应商对设施运行维护服务过程中对技术质量监管的措施、可靠性及技术保障的科学合理性是否合理,在分值范围内给出相应分数，措施合理，具备可操作性的得</w:t>
            </w:r>
            <w:r>
              <w:rPr>
                <w:rFonts w:hint="eastAsia" w:ascii="宋体" w:hAnsi="宋体"/>
                <w:color w:val="auto"/>
                <w:szCs w:val="21"/>
                <w:lang w:val="en-US" w:eastAsia="zh-CN"/>
              </w:rPr>
              <w:t xml:space="preserve">6</w:t>
            </w:r>
            <w:r>
              <w:rPr>
                <w:rFonts w:hint="eastAsia" w:ascii="宋体" w:hAnsi="宋体"/>
                <w:color w:val="auto"/>
                <w:szCs w:val="21"/>
              </w:rPr>
              <w:t xml:space="preserve">分，措施较合理，较具备可操作性的得</w:t>
            </w:r>
            <w:r>
              <w:rPr>
                <w:rFonts w:ascii="宋体" w:hAnsi="宋体"/>
                <w:color w:val="auto"/>
                <w:szCs w:val="21"/>
              </w:rPr>
              <w:t xml:space="preserve">4</w:t>
            </w:r>
            <w:r>
              <w:rPr>
                <w:rFonts w:hint="eastAsia" w:ascii="宋体" w:hAnsi="宋体"/>
                <w:color w:val="auto"/>
                <w:szCs w:val="21"/>
              </w:rPr>
              <w:t xml:space="preserve">分，措施不太合理，不太具备可操作性的得</w:t>
            </w:r>
            <w:r>
              <w:rPr>
                <w:rFonts w:hint="eastAsia" w:ascii="宋体" w:hAnsi="宋体"/>
                <w:color w:val="auto"/>
                <w:szCs w:val="21"/>
                <w:lang w:val="en-US" w:eastAsia="zh-CN"/>
              </w:rPr>
              <w:t xml:space="preserve">2</w:t>
            </w:r>
            <w:r>
              <w:rPr>
                <w:rFonts w:hint="eastAsia" w:ascii="宋体" w:hAnsi="宋体"/>
                <w:color w:val="auto"/>
                <w:szCs w:val="21"/>
              </w:rPr>
              <w:t xml:space="preserve">分。没有不得分。</w:t>
            </w:r>
            <w:r/>
          </w:p>
        </w:tc>
        <w:tc>
          <w:tcPr>
            <w:tcW w:w="853" w:type="dxa"/>
            <w:vAlign w:val="center"/>
            <w:textDirection w:val="lrTb"/>
            <w:noWrap w:val="false"/>
          </w:tcPr>
          <w:p>
            <w:pPr>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6</w:t>
            </w:r>
            <w:r/>
          </w:p>
        </w:tc>
      </w:tr>
      <w:tr>
        <w:trPr>
          <w:jc w:val="center"/>
          <w:trHeight w:val="23"/>
        </w:trPr>
        <w:tc>
          <w:tcPr>
            <w:tcW w:w="75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W w:w="1522" w:type="dxa"/>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管理安全保证措施 </w:t>
            </w:r>
            <w:r/>
          </w:p>
          <w:p>
            <w:pPr>
              <w:jc w:val="center"/>
              <w:widowControl/>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6</w:t>
            </w:r>
            <w:r>
              <w:rPr>
                <w:rFonts w:hint="eastAsia" w:ascii="宋体" w:hAnsi="宋体"/>
                <w:color w:val="auto"/>
                <w:szCs w:val="21"/>
              </w:rPr>
              <w:t xml:space="preserve">分）</w:t>
            </w:r>
            <w:r/>
          </w:p>
        </w:tc>
        <w:tc>
          <w:tcPr>
            <w:tcW w:w="7189" w:type="dxa"/>
            <w:vAlign w:val="center"/>
            <w:textDirection w:val="lrTb"/>
            <w:noWrap w:val="false"/>
          </w:tcPr>
          <w:p>
            <w:pPr>
              <w:jc w:val="left"/>
              <w:widowControl/>
              <w:tabs>
                <w:tab w:val="left" w:pos="2730" w:leader="none"/>
              </w:tabs>
              <w:rPr>
                <w:rFonts w:ascii="宋体" w:hAnsi="宋体"/>
                <w:color w:val="auto"/>
                <w:szCs w:val="21"/>
              </w:rPr>
            </w:pPr>
            <w:r>
              <w:rPr>
                <w:rFonts w:hint="eastAsia" w:ascii="宋体" w:hAnsi="宋体"/>
                <w:color w:val="auto"/>
                <w:szCs w:val="21"/>
              </w:rPr>
              <w:t xml:space="preserve">运行维护管理安全保证措施：由磋商小组根据供应商对设施运行维护服务过程中对安全监管的措施、可靠性及管理安全的科学合理性是否合理,在分值范围内给出相应分数，措施合理，具备可操作性的得</w:t>
            </w:r>
            <w:r>
              <w:rPr>
                <w:rFonts w:hint="eastAsia" w:ascii="宋体" w:hAnsi="宋体"/>
                <w:color w:val="auto"/>
                <w:szCs w:val="21"/>
                <w:lang w:val="en-US" w:eastAsia="zh-CN"/>
              </w:rPr>
              <w:t xml:space="preserve">6</w:t>
            </w:r>
            <w:r>
              <w:rPr>
                <w:rFonts w:hint="eastAsia" w:ascii="宋体" w:hAnsi="宋体"/>
                <w:color w:val="auto"/>
                <w:szCs w:val="21"/>
              </w:rPr>
              <w:t xml:space="preserve">分，措施较合理，较具备可操作性的得</w:t>
            </w:r>
            <w:r>
              <w:rPr>
                <w:rFonts w:ascii="宋体" w:hAnsi="宋体"/>
                <w:color w:val="auto"/>
                <w:szCs w:val="21"/>
              </w:rPr>
              <w:t xml:space="preserve">4</w:t>
            </w:r>
            <w:r>
              <w:rPr>
                <w:rFonts w:hint="eastAsia" w:ascii="宋体" w:hAnsi="宋体"/>
                <w:color w:val="auto"/>
                <w:szCs w:val="21"/>
              </w:rPr>
              <w:t xml:space="preserve">分，措施不太合理，不太具备可操作性的得</w:t>
            </w:r>
            <w:r>
              <w:rPr>
                <w:rFonts w:hint="eastAsia" w:ascii="宋体" w:hAnsi="宋体"/>
                <w:color w:val="auto"/>
                <w:szCs w:val="21"/>
                <w:lang w:val="en-US" w:eastAsia="zh-CN"/>
              </w:rPr>
              <w:t xml:space="preserve">2</w:t>
            </w:r>
            <w:r>
              <w:rPr>
                <w:rFonts w:hint="eastAsia" w:ascii="宋体" w:hAnsi="宋体"/>
                <w:color w:val="auto"/>
                <w:szCs w:val="21"/>
              </w:rPr>
              <w:t xml:space="preserve">分。没有不得分。</w:t>
            </w:r>
            <w:r/>
          </w:p>
        </w:tc>
        <w:tc>
          <w:tcPr>
            <w:tcW w:w="853" w:type="dxa"/>
            <w:vAlign w:val="center"/>
            <w:textDirection w:val="lrTb"/>
            <w:noWrap w:val="false"/>
          </w:tcPr>
          <w:p>
            <w:pPr>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6</w:t>
            </w:r>
            <w:r/>
          </w:p>
        </w:tc>
      </w:tr>
      <w:tr>
        <w:trPr>
          <w:jc w:val="center"/>
          <w:trHeight w:val="23"/>
        </w:trPr>
        <w:tc>
          <w:tcPr>
            <w:tcW w:w="75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7</w:t>
            </w:r>
            <w:r/>
          </w:p>
        </w:tc>
        <w:tc>
          <w:tcPr>
            <w:tcW w:w="1522" w:type="dxa"/>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服务质量保证措施 </w:t>
            </w:r>
            <w:r/>
          </w:p>
          <w:p>
            <w:pPr>
              <w:jc w:val="center"/>
              <w:widowControl/>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6</w:t>
            </w:r>
            <w:r>
              <w:rPr>
                <w:rFonts w:hint="eastAsia" w:ascii="宋体" w:hAnsi="宋体"/>
                <w:color w:val="auto"/>
                <w:szCs w:val="21"/>
              </w:rPr>
              <w:t xml:space="preserve">分）</w:t>
            </w:r>
            <w:r/>
          </w:p>
        </w:tc>
        <w:tc>
          <w:tcPr>
            <w:tcW w:w="7189" w:type="dxa"/>
            <w:vAlign w:val="center"/>
            <w:textDirection w:val="lrTb"/>
            <w:noWrap w:val="false"/>
          </w:tcPr>
          <w:p>
            <w:pPr>
              <w:jc w:val="left"/>
              <w:widowControl/>
              <w:tabs>
                <w:tab w:val="left" w:pos="2730" w:leader="none"/>
              </w:tabs>
              <w:rPr>
                <w:rFonts w:ascii="宋体" w:hAnsi="宋体"/>
                <w:color w:val="auto"/>
                <w:szCs w:val="21"/>
              </w:rPr>
            </w:pPr>
            <w:r>
              <w:rPr>
                <w:rFonts w:hint="eastAsia" w:ascii="宋体" w:hAnsi="宋体"/>
                <w:color w:val="auto"/>
                <w:szCs w:val="21"/>
              </w:rPr>
              <w:t xml:space="preserve">运行维护服务质量保证措施：评委根据供应商所做的故障响应，修复时限，项目服务站点的力量配备、售后服务承诺和技术服务情况有利于招标人的程度评级打分，措施合理，具备可操作性、针对性的得</w:t>
            </w:r>
            <w:r>
              <w:rPr>
                <w:rFonts w:hint="eastAsia" w:ascii="宋体" w:hAnsi="宋体"/>
                <w:color w:val="auto"/>
                <w:szCs w:val="21"/>
                <w:lang w:val="en-US" w:eastAsia="zh-CN"/>
              </w:rPr>
              <w:t xml:space="preserve">6</w:t>
            </w:r>
            <w:r>
              <w:rPr>
                <w:rFonts w:hint="eastAsia" w:ascii="宋体" w:hAnsi="宋体"/>
                <w:color w:val="auto"/>
                <w:szCs w:val="21"/>
              </w:rPr>
              <w:t xml:space="preserve">分，措施较合理，较具备可操作性、针对性的得</w:t>
            </w:r>
            <w:r>
              <w:rPr>
                <w:rFonts w:ascii="宋体" w:hAnsi="宋体"/>
                <w:color w:val="auto"/>
                <w:szCs w:val="21"/>
              </w:rPr>
              <w:t xml:space="preserve">4</w:t>
            </w:r>
            <w:r>
              <w:rPr>
                <w:rFonts w:hint="eastAsia" w:ascii="宋体" w:hAnsi="宋体"/>
                <w:color w:val="auto"/>
                <w:szCs w:val="21"/>
              </w:rPr>
              <w:t xml:space="preserve">分，措施不太合理，不太具备可操作性、针对性的得</w:t>
            </w:r>
            <w:r>
              <w:rPr>
                <w:rFonts w:hint="eastAsia" w:ascii="宋体" w:hAnsi="宋体"/>
                <w:color w:val="auto"/>
                <w:szCs w:val="21"/>
                <w:lang w:val="en-US" w:eastAsia="zh-CN"/>
              </w:rPr>
              <w:t xml:space="preserve">2</w:t>
            </w:r>
            <w:r>
              <w:rPr>
                <w:rFonts w:hint="eastAsia" w:ascii="宋体" w:hAnsi="宋体"/>
                <w:color w:val="auto"/>
                <w:szCs w:val="21"/>
              </w:rPr>
              <w:t xml:space="preserve">分。没有不得分。</w:t>
            </w:r>
            <w:r/>
          </w:p>
        </w:tc>
        <w:tc>
          <w:tcPr>
            <w:tcW w:w="853" w:type="dxa"/>
            <w:vAlign w:val="center"/>
            <w:textDirection w:val="lrTb"/>
            <w:noWrap w:val="false"/>
          </w:tcPr>
          <w:p>
            <w:pPr>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6</w:t>
            </w:r>
            <w:bookmarkEnd w:id="180"/>
            <w:r/>
            <w:r/>
          </w:p>
        </w:tc>
      </w:tr>
    </w:tbl>
    <w:p>
      <w:pPr>
        <w:ind w:firstLine="480"/>
        <w:jc w:val="left"/>
        <w:spacing w:line="500" w:lineRule="exact"/>
        <w:rPr>
          <w:rFonts w:ascii="宋体" w:hAnsi="宋体" w:cs="宋体"/>
          <w:sz w:val="24"/>
        </w:rPr>
      </w:pPr>
      <w:r>
        <w:rPr>
          <w:rFonts w:ascii="宋体" w:hAnsi="宋体" w:cs="宋体"/>
          <w:b/>
          <w:sz w:val="24"/>
        </w:rPr>
        <w:t xml:space="preserve">（三）评标结果。</w:t>
      </w:r>
      <w:r>
        <w:rPr>
          <w:rFonts w:hint="eastAsia" w:ascii="宋体" w:hAnsi="宋体" w:cs="宋体"/>
          <w:sz w:val="24"/>
        </w:rPr>
        <w:t xml:space="preserve">磋商小组根据评审后供应商排序推荐3名成交候选人。响应文件满足磋商文件全部实质性要求，且评审后排序第一的供应商为第一成交候选人，依次类推。</w:t>
      </w:r>
      <w:r/>
    </w:p>
    <w:p>
      <w:pPr>
        <w:spacing w:line="400"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（四）政府采购政策功能落实</w:t>
      </w:r>
      <w:r/>
    </w:p>
    <w:p>
      <w:pPr>
        <w:spacing w:line="400" w:lineRule="atLeast"/>
        <w:rPr>
          <w:rFonts w:ascii="宋体" w:hAnsi="宋体" w:cs="宋体"/>
          <w:b/>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Cs/>
          <w:position w:val="-10"/>
          <w:sz w:val="24"/>
          <w:szCs w:val="20"/>
        </w:rPr>
        <w:t xml:space="preserve">1、中小企业划型标准依据“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b/>
          <w:bCs/>
          <w:position w:val="-10"/>
          <w:sz w:val="24"/>
          <w:szCs w:val="20"/>
        </w:rPr>
        <w:t xml:space="preserve">本项目所属行业为其他</w:t>
      </w:r>
      <w:r>
        <w:rPr>
          <w:rFonts w:ascii="宋体" w:hAnsi="宋体" w:cs="宋体"/>
          <w:b/>
          <w:bCs/>
          <w:position w:val="-10"/>
          <w:sz w:val="24"/>
          <w:szCs w:val="20"/>
        </w:rPr>
        <w:t xml:space="preserve">未列明行业</w:t>
      </w:r>
      <w:r>
        <w:rPr>
          <w:rFonts w:hint="eastAsia" w:ascii="宋体" w:hAnsi="宋体" w:cs="宋体"/>
          <w:b/>
          <w:bCs/>
          <w:position w:val="-10"/>
          <w:sz w:val="24"/>
          <w:szCs w:val="20"/>
        </w:rPr>
        <w:t xml:space="preserve">。</w:t>
      </w:r>
      <w:r/>
    </w:p>
    <w:p>
      <w:pPr>
        <w:spacing w:line="400" w:lineRule="atLeast"/>
        <w:rPr>
          <w:rFonts w:ascii="宋体" w:hAnsi="宋体" w:cs="宋体"/>
          <w:bCs/>
          <w:position w:val="-10"/>
          <w:sz w:val="24"/>
          <w:szCs w:val="20"/>
        </w:rPr>
        <w:pBdr>
          <w:top w:val="none" w:color="000000" w:sz="0" w:space="0"/>
          <w:left w:val="none" w:color="000000" w:sz="0" w:space="0"/>
          <w:bottom w:val="none" w:color="000000" w:sz="0" w:space="0"/>
          <w:right w:val="none" w:color="000000" w:sz="0" w:space="0"/>
        </w:pBdr>
      </w:pPr>
      <w:r>
        <w:rPr>
          <w:rFonts w:ascii="宋体" w:hAnsi="宋体" w:cs="宋体"/>
          <w:bCs/>
          <w:position w:val="-10"/>
          <w:sz w:val="24"/>
          <w:szCs w:val="20"/>
        </w:rPr>
        <w:t xml:space="preserve">2</w:t>
      </w:r>
      <w:r>
        <w:rPr>
          <w:rFonts w:hint="eastAsia" w:ascii="宋体" w:hAnsi="宋体" w:cs="宋体"/>
          <w:bCs/>
          <w:position w:val="-10"/>
          <w:sz w:val="24"/>
          <w:szCs w:val="20"/>
        </w:rPr>
        <w:t xml:space="preserve">、根据"关于印发《政府采购促进中小企业发展管理办法》的通知"（财库〔2020〕46号）的规定，对于专门面向中小企业或小型、微型企业的项目，只面向中小企业或小型、微型企业采购。对于非专门面向中小企业的项目，小微企业的价格扣除：</w:t>
      </w:r>
      <w:r/>
    </w:p>
    <w:p>
      <w:pPr>
        <w:spacing w:line="400" w:lineRule="atLeast"/>
        <w:rPr>
          <w:rFonts w:ascii="宋体" w:hAnsi="宋体" w:cs="宋体"/>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Cs/>
          <w:position w:val="-10"/>
          <w:sz w:val="24"/>
          <w:szCs w:val="20"/>
        </w:rPr>
        <w:t xml:space="preserve">对于非专门面向中小企业的采购项目，给予小微企业报价10%的价格扣除，用扣除后的价格参与评审。</w:t>
      </w:r>
      <w:r/>
    </w:p>
    <w:p>
      <w:pPr>
        <w:spacing w:line="400" w:lineRule="atLeast"/>
        <w:rPr>
          <w:rFonts w:ascii="宋体" w:hAnsi="宋体" w:cs="宋体"/>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Cs/>
          <w:position w:val="-10"/>
          <w:sz w:val="24"/>
          <w:szCs w:val="20"/>
        </w:rPr>
        <w:t xml:space="preserve">对于非专门面向中小企业的货物采购项目，供应商（无论为大型企业、中型企业或小微企业）提供的货物均为小微企业制造的货物，即可享受上述价格评审优惠政策，除此之外的情形，不享受小微企业价格评审优惠政策。</w:t>
      </w:r>
      <w:r/>
    </w:p>
    <w:p>
      <w:pPr>
        <w:spacing w:line="400" w:lineRule="atLeast"/>
        <w:rPr>
          <w:rFonts w:ascii="宋体" w:hAnsi="宋体" w:cs="宋体"/>
          <w:b/>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
          <w:bCs/>
          <w:position w:val="-10"/>
          <w:sz w:val="24"/>
          <w:szCs w:val="20"/>
        </w:rPr>
        <w:t xml:space="preserve">本项目为专门面向中小企业或小型、微型企业采购，故不执行小微企业价格评审优惠政策。</w:t>
      </w:r>
      <w:r/>
    </w:p>
    <w:p>
      <w:pPr>
        <w:spacing w:line="400" w:lineRule="atLeast"/>
        <w:rPr>
          <w:rFonts w:ascii="宋体" w:hAnsi="宋体" w:cs="宋体"/>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Cs/>
          <w:position w:val="-10"/>
          <w:sz w:val="24"/>
          <w:szCs w:val="20"/>
        </w:rPr>
        <w:t xml:space="preserve">4、监狱和戒毒企业的价格扣除</w:t>
      </w:r>
      <w:r/>
    </w:p>
    <w:p>
      <w:pPr>
        <w:spacing w:line="400" w:lineRule="atLeast"/>
        <w:rPr>
          <w:rFonts w:ascii="宋体" w:hAnsi="宋体" w:cs="宋体"/>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Cs/>
          <w:position w:val="-10"/>
          <w:sz w:val="24"/>
          <w:szCs w:val="20"/>
        </w:rPr>
        <w:t xml:space="preserve">（1）本项目对监狱和戒毒企业（简称监狱企业）视同小型、微型企业，给予10%的价格扣除，用扣除后的价格参与评审。</w:t>
      </w:r>
      <w:r/>
    </w:p>
    <w:p>
      <w:pPr>
        <w:spacing w:line="400" w:lineRule="atLeast"/>
        <w:rPr>
          <w:rFonts w:ascii="宋体" w:hAnsi="宋体" w:cs="宋体"/>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Cs/>
          <w:position w:val="-10"/>
          <w:sz w:val="24"/>
          <w:szCs w:val="20"/>
        </w:rPr>
        <w:t xml:space="preserve">（2）监狱企业需提供由省级以上监狱管理局、戒毒管理局（含新疆生产建设兵团）出具的属于监狱企业的证明文件。</w:t>
      </w:r>
      <w:r/>
    </w:p>
    <w:p>
      <w:pPr>
        <w:spacing w:line="400" w:lineRule="atLeast"/>
        <w:rPr>
          <w:rFonts w:ascii="宋体" w:hAnsi="宋体" w:cs="宋体"/>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Cs/>
          <w:position w:val="-10"/>
          <w:sz w:val="24"/>
          <w:szCs w:val="20"/>
        </w:rPr>
        <w:t xml:space="preserve">（3）监狱企业标准请参照《关于政府采购支持监狱企业发展有关问题的通知》（财库〔2014〕68号）。</w:t>
      </w:r>
      <w:r/>
    </w:p>
    <w:p>
      <w:pPr>
        <w:spacing w:line="400" w:lineRule="atLeast"/>
        <w:rPr>
          <w:rFonts w:ascii="宋体" w:hAnsi="宋体" w:cs="宋体"/>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Cs/>
          <w:position w:val="-10"/>
          <w:sz w:val="24"/>
          <w:szCs w:val="20"/>
        </w:rPr>
        <w:t xml:space="preserve">5、残疾人福利性单位的价格扣除</w:t>
      </w:r>
      <w:r/>
    </w:p>
    <w:p>
      <w:pPr>
        <w:spacing w:line="400" w:lineRule="atLeast"/>
        <w:rPr>
          <w:rFonts w:ascii="宋体" w:hAnsi="宋体" w:cs="宋体"/>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Cs/>
          <w:position w:val="-10"/>
          <w:sz w:val="24"/>
          <w:szCs w:val="20"/>
        </w:rPr>
        <w:t xml:space="preserve">（1）本项目对残疾人福利性单位视同小型、微型企业，给予10%的价格扣除，用扣除后的价格参与评审。</w:t>
      </w:r>
      <w:r/>
    </w:p>
    <w:p>
      <w:pPr>
        <w:spacing w:line="400" w:lineRule="atLeast"/>
        <w:rPr>
          <w:rFonts w:ascii="宋体" w:hAnsi="宋体" w:cs="宋体"/>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Cs/>
          <w:position w:val="-10"/>
          <w:sz w:val="24"/>
          <w:szCs w:val="20"/>
        </w:rPr>
        <w:t xml:space="preserve">（2）残疾人福利单位需按照招标文件的要求提供《残疾人福利性单位声明函》。</w:t>
      </w:r>
      <w:r/>
    </w:p>
    <w:p>
      <w:pPr>
        <w:spacing w:line="400" w:lineRule="atLeast"/>
        <w:rPr>
          <w:rFonts w:ascii="宋体" w:hAnsi="宋体" w:cs="宋体"/>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Cs/>
          <w:position w:val="-10"/>
          <w:sz w:val="24"/>
          <w:szCs w:val="20"/>
        </w:rPr>
        <w:t xml:space="preserve">（3）残疾人福利单位标准请参照《关于促进残疾人就业政府采购政策的通知》（财库〔2017〕141号）。</w:t>
      </w:r>
      <w:r/>
    </w:p>
    <w:p>
      <w:pPr>
        <w:spacing w:line="400" w:lineRule="atLeast"/>
        <w:rPr>
          <w:rFonts w:ascii="宋体" w:hAnsi="宋体" w:cs="宋体"/>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Cs/>
          <w:position w:val="-10"/>
          <w:sz w:val="24"/>
          <w:szCs w:val="20"/>
        </w:rPr>
        <w:t xml:space="preserve">6、监狱企业、残疾人福利单位属于小型、微型企业的，不重复享受政策。</w:t>
      </w:r>
      <w:r/>
    </w:p>
    <w:p>
      <w:pPr>
        <w:spacing w:line="400" w:lineRule="atLeast"/>
        <w:rPr>
          <w:rFonts w:ascii="宋体" w:hAnsi="宋体" w:cs="宋体"/>
          <w:bCs/>
          <w:position w:val="-10"/>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Cs/>
          <w:position w:val="-10"/>
          <w:sz w:val="24"/>
          <w:szCs w:val="20"/>
        </w:rPr>
        <w:t xml:space="preserve">7、评标委员会不保证有效报价最低的供应商中标。评分标准中所含的主观分部分由各评委独立评分，计分时将全部评委评分直接进行算术平均，小数点后保留2位，最终评标结果保留两位小数。</w:t>
      </w:r>
      <w:r/>
    </w:p>
    <w:p>
      <w:pPr>
        <w:rPr>
          <w:rFonts w:ascii="Times New Roman" w:hAnsi="Times New Roman"/>
          <w:szCs w:val="21"/>
        </w:rPr>
      </w:pPr>
      <w:r>
        <w:rPr>
          <w:rFonts w:ascii="Times New Roman" w:hAnsi="Times New Roman"/>
          <w:szCs w:val="21"/>
        </w:rPr>
      </w:r>
      <w:r/>
    </w:p>
    <w:p>
      <w:pPr>
        <w:jc w:val="center"/>
        <w:keepNext/>
        <w:rPr>
          <w:rFonts w:ascii="Times New Roman" w:hAnsi="Times New Roman" w:eastAsia="黑体"/>
          <w:bCs/>
          <w:sz w:val="44"/>
          <w:szCs w:val="28"/>
        </w:rPr>
        <w:outlineLvl w:val="0"/>
      </w:pPr>
      <w:r>
        <w:rPr>
          <w:rFonts w:hint="eastAsia" w:ascii="Times New Roman" w:hAnsi="Times New Roman" w:eastAsia="黑体"/>
          <w:bCs/>
          <w:sz w:val="44"/>
          <w:szCs w:val="28"/>
        </w:rPr>
        <w:t xml:space="preserve">第六章  </w:t>
      </w:r>
      <w:bookmarkEnd w:id="177"/>
      <w:r/>
      <w:bookmarkEnd w:id="178"/>
      <w:r/>
      <w:bookmarkEnd w:id="179"/>
      <w:r>
        <w:rPr>
          <w:rFonts w:hint="eastAsia" w:ascii="Times New Roman" w:hAnsi="Times New Roman" w:eastAsia="黑体"/>
          <w:bCs/>
          <w:sz w:val="44"/>
          <w:szCs w:val="28"/>
        </w:rPr>
        <w:t xml:space="preserve">响应文件格式 </w:t>
      </w:r>
      <w:r/>
    </w:p>
    <w:p>
      <w:pPr>
        <w:jc w:val="center"/>
        <w:rPr>
          <w:rFonts w:ascii="Times New Roman" w:hAnsi="Times New Roman"/>
          <w:b/>
          <w:sz w:val="72"/>
          <w:szCs w:val="21"/>
        </w:rPr>
      </w:pPr>
      <w:r/>
      <w:bookmarkStart w:id="181" w:name="_Hlt26955039"/>
      <w:r/>
      <w:bookmarkEnd w:id="181"/>
      <w:r/>
      <w:bookmarkStart w:id="182" w:name="_Hlt26671244"/>
      <w:r/>
      <w:bookmarkEnd w:id="182"/>
      <w:r/>
      <w:bookmarkStart w:id="183" w:name="_Toc49090576"/>
      <w:r/>
      <w:bookmarkStart w:id="184" w:name="_Toc120614282"/>
      <w:r/>
      <w:bookmarkStart w:id="185" w:name="_Toc26554094"/>
      <w:r/>
      <w:r/>
    </w:p>
    <w:p>
      <w:pPr>
        <w:jc w:val="center"/>
        <w:rPr>
          <w:rFonts w:ascii="Times New Roman" w:hAnsi="Times New Roman"/>
          <w:b/>
          <w:sz w:val="72"/>
          <w:szCs w:val="21"/>
        </w:rPr>
      </w:pPr>
      <w:r>
        <w:rPr>
          <w:rFonts w:hint="eastAsia" w:ascii="Times New Roman" w:hAnsi="Times New Roman"/>
          <w:b/>
          <w:sz w:val="72"/>
          <w:szCs w:val="21"/>
        </w:rPr>
        <w:t xml:space="preserve">响  应  文  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bookmarkEnd w:id="175"/>
      <w:r/>
      <w:bookmarkEnd w:id="176"/>
      <w:r/>
      <w:bookmarkEnd w:id="183"/>
      <w:r/>
      <w:bookmarkEnd w:id="184"/>
      <w:r/>
      <w:bookmarkEnd w:id="185"/>
      <w:r/>
      <w:r/>
    </w:p>
    <w:p>
      <w:pPr>
        <w:jc w:val="center"/>
        <w:rPr>
          <w:rFonts w:ascii="Times New Roman" w:hAnsi="Times New Roman"/>
          <w:b/>
          <w:sz w:val="36"/>
          <w:szCs w:val="21"/>
          <w:u w:val="single"/>
        </w:rPr>
      </w:pPr>
      <w:r/>
      <w:bookmarkStart w:id="186" w:name="_Hlt26609389"/>
      <w:r/>
      <w:bookmarkEnd w:id="186"/>
      <w:r/>
      <w:bookmarkStart w:id="187" w:name="_Hlt26671372"/>
      <w:r/>
      <w:bookmarkEnd w:id="187"/>
      <w:r/>
      <w:bookmarkStart w:id="188" w:name="_Hlt26955070"/>
      <w:r/>
      <w:bookmarkEnd w:id="188"/>
      <w:r/>
      <w:bookmarkStart w:id="189" w:name="_Hlt26955064"/>
      <w:r/>
      <w:bookmarkEnd w:id="189"/>
      <w:r/>
      <w:bookmarkStart w:id="190" w:name="_Hlt26671380"/>
      <w:r/>
      <w:bookmarkEnd w:id="190"/>
      <w:r/>
      <w:bookmarkStart w:id="191" w:name="_Hlt26609391"/>
      <w:r/>
      <w:bookmarkEnd w:id="191"/>
      <w:r/>
      <w:bookmarkStart w:id="192" w:name="_Hlt24879081"/>
      <w:r/>
      <w:bookmarkEnd w:id="192"/>
      <w:r/>
      <w:bookmarkStart w:id="193" w:name="_Hlt26955066"/>
      <w:r/>
      <w:bookmarkEnd w:id="193"/>
      <w:r/>
      <w:bookmarkStart w:id="194" w:name="_格式2__法定代表人授权书"/>
      <w:r/>
      <w:bookmarkEnd w:id="194"/>
      <w:r/>
      <w:bookmarkStart w:id="195" w:name="_Hlt26580838"/>
      <w:r/>
      <w:bookmarkEnd w:id="195"/>
      <w:r/>
      <w:bookmarkStart w:id="196" w:name="_Hlt26955054"/>
      <w:r/>
      <w:bookmarkEnd w:id="196"/>
      <w:r/>
      <w:bookmarkStart w:id="197" w:name="_Hlt26955056"/>
      <w:r/>
      <w:bookmarkEnd w:id="197"/>
      <w:r/>
      <w:bookmarkStart w:id="198" w:name="_Hlt26671374"/>
      <w:r/>
      <w:bookmarkEnd w:id="198"/>
      <w:r/>
      <w:bookmarkStart w:id="199" w:name="_格式3__银行出具的资信证明"/>
      <w:r/>
      <w:bookmarkEnd w:id="199"/>
      <w:r/>
      <w:bookmarkStart w:id="200" w:name="_Hlt26782999"/>
      <w:r/>
      <w:bookmarkEnd w:id="200"/>
      <w:r/>
      <w:bookmarkStart w:id="201" w:name="_Hlt26671343"/>
      <w:r/>
      <w:bookmarkEnd w:id="201"/>
      <w:r/>
      <w:r/>
    </w:p>
    <w:p>
      <w:pPr>
        <w:jc w:val="center"/>
        <w:rPr>
          <w:rFonts w:ascii="Times New Roman" w:hAnsi="Times New Roman"/>
          <w:b/>
          <w:sz w:val="36"/>
          <w:szCs w:val="21"/>
          <w:u w:val="single"/>
        </w:rPr>
      </w:pPr>
      <w:r>
        <w:rPr>
          <w:rFonts w:ascii="Times New Roman" w:hAnsi="Times New Roman"/>
          <w:b/>
          <w:sz w:val="36"/>
          <w:szCs w:val="21"/>
          <w:u w:val="single"/>
        </w:rPr>
      </w:r>
      <w:r/>
    </w:p>
    <w:p>
      <w:pPr>
        <w:jc w:val="center"/>
        <w:rPr>
          <w:rFonts w:ascii="Times New Roman" w:hAnsi="Times New Roman"/>
          <w:b/>
          <w:sz w:val="36"/>
          <w:szCs w:val="21"/>
          <w:u w:val="single"/>
        </w:rPr>
      </w:pPr>
      <w:r>
        <w:rPr>
          <w:rFonts w:ascii="Times New Roman" w:hAnsi="Times New Roman"/>
          <w:b/>
          <w:sz w:val="36"/>
          <w:szCs w:val="21"/>
          <w:u w:val="single"/>
        </w:rPr>
      </w:r>
      <w:r/>
    </w:p>
    <w:p>
      <w:pPr>
        <w:jc w:val="center"/>
        <w:rPr>
          <w:rFonts w:ascii="Times New Roman" w:hAnsi="Times New Roman"/>
          <w:b/>
          <w:sz w:val="36"/>
          <w:szCs w:val="21"/>
          <w:u w:val="single"/>
        </w:rPr>
      </w:pPr>
      <w:r>
        <w:rPr>
          <w:rFonts w:ascii="Times New Roman" w:hAnsi="Times New Roman"/>
          <w:b/>
          <w:sz w:val="36"/>
          <w:szCs w:val="21"/>
          <w:u w:val="single"/>
        </w:rPr>
      </w:r>
      <w:r/>
    </w:p>
    <w:p>
      <w:pPr>
        <w:jc w:val="center"/>
        <w:rPr>
          <w:rFonts w:ascii="Times New Roman" w:hAnsi="Times New Roman"/>
          <w:b/>
          <w:sz w:val="36"/>
          <w:szCs w:val="21"/>
          <w:u w:val="single"/>
        </w:rPr>
      </w:pPr>
      <w:r>
        <w:rPr>
          <w:rFonts w:ascii="Times New Roman" w:hAnsi="Times New Roman"/>
          <w:b/>
          <w:sz w:val="36"/>
          <w:szCs w:val="21"/>
          <w:u w:val="single"/>
        </w:rPr>
      </w:r>
      <w:r/>
    </w:p>
    <w:p>
      <w:pPr>
        <w:jc w:val="center"/>
        <w:rPr>
          <w:rFonts w:ascii="Times New Roman" w:hAnsi="Times New Roman"/>
          <w:b/>
          <w:sz w:val="36"/>
          <w:szCs w:val="21"/>
          <w:u w:val="single"/>
        </w:rPr>
      </w:pPr>
      <w:r>
        <w:rPr>
          <w:rFonts w:ascii="Times New Roman" w:hAnsi="Times New Roman"/>
          <w:b/>
          <w:sz w:val="36"/>
          <w:szCs w:val="21"/>
          <w:u w:val="single"/>
        </w:rPr>
      </w:r>
      <w:r/>
    </w:p>
    <w:p>
      <w:pPr>
        <w:jc w:val="center"/>
        <w:rPr>
          <w:rFonts w:ascii="Times New Roman" w:hAnsi="Times New Roman"/>
          <w:b/>
          <w:sz w:val="36"/>
          <w:szCs w:val="21"/>
          <w:u w:val="single"/>
        </w:rPr>
      </w:pPr>
      <w:r>
        <w:rPr>
          <w:rFonts w:ascii="Times New Roman" w:hAnsi="Times New Roman"/>
          <w:b/>
          <w:sz w:val="36"/>
          <w:szCs w:val="21"/>
          <w:u w:val="single"/>
        </w:rPr>
      </w:r>
      <w:r/>
    </w:p>
    <w:p>
      <w:pPr>
        <w:jc w:val="center"/>
        <w:rPr>
          <w:rFonts w:ascii="Times New Roman" w:hAnsi="Times New Roman"/>
          <w:b/>
          <w:sz w:val="36"/>
          <w:szCs w:val="21"/>
          <w:u w:val="single"/>
        </w:rPr>
      </w:pPr>
      <w:r>
        <w:rPr>
          <w:rFonts w:ascii="Times New Roman" w:hAnsi="Times New Roman"/>
          <w:b/>
          <w:sz w:val="36"/>
          <w:szCs w:val="21"/>
          <w:u w:val="single"/>
        </w:rPr>
      </w:r>
      <w:r/>
    </w:p>
    <w:p>
      <w:pPr>
        <w:jc w:val="center"/>
        <w:rPr>
          <w:rFonts w:ascii="Times New Roman" w:hAnsi="Times New Roman"/>
          <w:b/>
          <w:sz w:val="36"/>
          <w:szCs w:val="21"/>
          <w:u w:val="single"/>
        </w:rPr>
      </w:pPr>
      <w:r>
        <w:rPr>
          <w:rFonts w:ascii="Times New Roman" w:hAnsi="Times New Roman"/>
          <w:b/>
          <w:sz w:val="36"/>
          <w:szCs w:val="21"/>
          <w:u w:val="single"/>
        </w:rPr>
      </w:r>
      <w:r/>
    </w:p>
    <w:p>
      <w:pPr>
        <w:jc w:val="center"/>
        <w:rPr>
          <w:rFonts w:ascii="Times New Roman" w:hAnsi="Times New Roman"/>
          <w:b/>
          <w:sz w:val="36"/>
          <w:szCs w:val="21"/>
          <w:u w:val="single"/>
        </w:rPr>
      </w:pPr>
      <w:r>
        <w:rPr>
          <w:rFonts w:ascii="Times New Roman" w:hAnsi="Times New Roman"/>
          <w:b/>
          <w:sz w:val="36"/>
          <w:szCs w:val="21"/>
          <w:u w:val="single"/>
        </w:rPr>
      </w:r>
      <w:r/>
    </w:p>
    <w:p>
      <w:pPr>
        <w:jc w:val="center"/>
        <w:rPr>
          <w:rFonts w:ascii="Times New Roman" w:hAnsi="Times New Roman"/>
          <w:b/>
          <w:sz w:val="36"/>
          <w:szCs w:val="21"/>
          <w:u w:val="single"/>
        </w:rPr>
      </w:pPr>
      <w:r>
        <w:rPr>
          <w:rFonts w:ascii="Times New Roman" w:hAnsi="Times New Roman"/>
          <w:b/>
          <w:sz w:val="36"/>
          <w:szCs w:val="21"/>
          <w:u w:val="single"/>
        </w:rPr>
      </w:r>
      <w:r/>
    </w:p>
    <w:p>
      <w:pPr>
        <w:jc w:val="center"/>
        <w:rPr>
          <w:rFonts w:ascii="Times New Roman" w:hAnsi="Times New Roman"/>
          <w:b/>
          <w:sz w:val="36"/>
          <w:szCs w:val="21"/>
          <w:u w:val="single"/>
        </w:rPr>
      </w:pPr>
      <w:r>
        <w:rPr>
          <w:rFonts w:ascii="Times New Roman" w:hAnsi="Times New Roman"/>
          <w:b/>
          <w:sz w:val="36"/>
          <w:szCs w:val="21"/>
          <w:u w:val="single"/>
        </w:rPr>
      </w:r>
      <w:r/>
    </w:p>
    <w:p>
      <w:pPr>
        <w:jc w:val="center"/>
        <w:rPr>
          <w:rFonts w:ascii="Times New Roman" w:hAnsi="Times New Roman"/>
          <w:b/>
          <w:sz w:val="36"/>
          <w:szCs w:val="21"/>
          <w:u w:val="single"/>
        </w:rPr>
      </w:pPr>
      <w:r>
        <w:rPr>
          <w:rFonts w:ascii="Times New Roman" w:hAnsi="Times New Roman"/>
          <w:b/>
          <w:sz w:val="36"/>
          <w:szCs w:val="21"/>
          <w:u w:val="single"/>
        </w:rPr>
      </w:r>
      <w:r/>
    </w:p>
    <w:p>
      <w:pPr>
        <w:jc w:val="center"/>
        <w:rPr>
          <w:rFonts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u w:val="single"/>
        </w:rPr>
      </w:pPr>
      <w:r>
        <w:rPr>
          <w:rFonts w:ascii="黑体" w:hAnsi="黑体" w:eastAsia="黑体"/>
          <w:sz w:val="32"/>
          <w:szCs w:val="32"/>
          <w:u w:val="single"/>
        </w:rPr>
      </w:r>
      <w:r/>
    </w:p>
    <w:p>
      <w:pPr>
        <w:rPr>
          <w:rFonts w:ascii="Times New Roman" w:hAnsi="Times New Roman"/>
          <w:sz w:val="24"/>
          <w:szCs w:val="24"/>
        </w:rPr>
      </w:pPr>
      <w:r>
        <w:rPr>
          <w:rFonts w:ascii="Times New Roman" w:hAnsi="Times New Roman"/>
          <w:sz w:val="24"/>
          <w:szCs w:val="24"/>
        </w:rPr>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rPr>
          <w:rFonts w:ascii="黑体" w:hAnsi="黑体" w:eastAsia="黑体"/>
          <w:sz w:val="32"/>
          <w:szCs w:val="32"/>
        </w:rPr>
      </w:pPr>
      <w:r>
        <w:rPr>
          <w:rFonts w:hint="eastAsia" w:ascii="黑体" w:hAnsi="黑体" w:eastAsia="黑体"/>
          <w:sz w:val="32"/>
          <w:szCs w:val="32"/>
        </w:rPr>
        <w:t xml:space="preserve">一、磋商响应函</w:t>
      </w:r>
      <w:r/>
    </w:p>
    <w:p>
      <w:pPr>
        <w:jc w:val="center"/>
        <w:spacing w:line="360" w:lineRule="auto"/>
        <w:rPr>
          <w:rFonts w:ascii="方正小标宋简体" w:hAnsi="方正小标宋简体" w:eastAsia="方正小标宋简体" w:cs="方正小标宋简体"/>
          <w:sz w:val="32"/>
          <w:szCs w:val="32"/>
          <w:lang w:val="zh-CN"/>
        </w:rPr>
        <w:outlineLvl w:val="0"/>
      </w:pPr>
      <w:r>
        <w:rPr>
          <w:rFonts w:hint="eastAsia" w:ascii="方正小标宋简体" w:hAnsi="方正小标宋简体" w:eastAsia="方正小标宋简体" w:cs="方正小标宋简体"/>
          <w:sz w:val="32"/>
          <w:szCs w:val="32"/>
        </w:rPr>
        <w:t xml:space="preserve">磋商响应函</w:t>
      </w:r>
      <w:r/>
    </w:p>
    <w:p>
      <w:pPr>
        <w:jc w:val="left"/>
        <w:spacing w:line="360" w:lineRule="auto"/>
        <w:rPr>
          <w:rFonts w:ascii="宋体" w:hAnsi="宋体"/>
          <w:sz w:val="24"/>
          <w:szCs w:val="21"/>
        </w:rPr>
      </w:pPr>
      <w:r>
        <w:rPr>
          <w:rFonts w:hint="eastAsia" w:ascii="宋体" w:hAnsi="宋体"/>
          <w:sz w:val="24"/>
          <w:szCs w:val="21"/>
        </w:rPr>
        <w:t xml:space="preserve">致：江苏泰鼎工程咨询有限公司</w:t>
      </w:r>
      <w:r/>
    </w:p>
    <w:p>
      <w:pPr>
        <w:pStyle w:val="955"/>
        <w:spacing w:before="0" w:after="0"/>
        <w:rPr>
          <w:rFonts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ascii="宋体" w:hAnsi="宋体"/>
          <w:sz w:val="24"/>
          <w:szCs w:val="21"/>
        </w:rPr>
      </w:pPr>
      <w:r>
        <w:rPr>
          <w:rFonts w:hint="eastAsia" w:ascii="宋体" w:hAnsi="宋体"/>
          <w:sz w:val="24"/>
          <w:szCs w:val="21"/>
        </w:rPr>
        <w:t xml:space="preserve">1.按磋商文件规定的各项要求，向买方提供所需服务（包含与服务相关的货物）。</w:t>
      </w:r>
      <w:r/>
    </w:p>
    <w:p>
      <w:pPr>
        <w:ind w:firstLine="480"/>
        <w:jc w:val="left"/>
        <w:spacing w:line="360" w:lineRule="auto"/>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360" w:lineRule="auto"/>
        <w:rPr>
          <w:rFonts w:ascii="宋体" w:hAnsi="宋体"/>
          <w:sz w:val="24"/>
          <w:szCs w:val="21"/>
        </w:rPr>
      </w:pPr>
      <w:r>
        <w:rPr>
          <w:rFonts w:hint="eastAsia" w:ascii="宋体" w:hAnsi="宋体"/>
          <w:sz w:val="24"/>
          <w:szCs w:val="21"/>
        </w:rPr>
        <w:t xml:space="preserve">8.我方与本磋商有关的正式通讯地址为：</w:t>
      </w:r>
      <w:r/>
    </w:p>
    <w:p>
      <w:pPr>
        <w:pStyle w:val="955"/>
        <w:spacing w:before="0" w:after="0"/>
        <w:rPr>
          <w:rFonts w:ascii="宋体" w:hAnsi="宋体"/>
          <w:szCs w:val="21"/>
        </w:rPr>
      </w:pPr>
      <w:r>
        <w:rPr>
          <w:rFonts w:hint="eastAsia" w:ascii="宋体" w:hAnsi="宋体"/>
          <w:szCs w:val="21"/>
        </w:rPr>
        <w:t xml:space="preserve">地  址：</w:t>
      </w:r>
      <w:r/>
    </w:p>
    <w:p>
      <w:pPr>
        <w:pStyle w:val="955"/>
        <w:spacing w:before="0" w:after="0"/>
        <w:rPr>
          <w:rFonts w:ascii="宋体" w:hAnsi="宋体"/>
          <w:szCs w:val="21"/>
        </w:rPr>
      </w:pPr>
      <w:r>
        <w:rPr>
          <w:rFonts w:hint="eastAsia" w:ascii="宋体" w:hAnsi="宋体"/>
          <w:szCs w:val="21"/>
        </w:rPr>
        <w:t xml:space="preserve">邮  编：</w:t>
      </w:r>
      <w:r/>
    </w:p>
    <w:p>
      <w:pPr>
        <w:pStyle w:val="955"/>
        <w:spacing w:before="0" w:after="0"/>
        <w:rPr>
          <w:rFonts w:ascii="宋体" w:hAnsi="宋体"/>
          <w:szCs w:val="21"/>
          <w:u w:val="single"/>
        </w:rPr>
      </w:pPr>
      <w:r>
        <w:rPr>
          <w:rFonts w:hint="eastAsia" w:ascii="宋体" w:hAnsi="宋体"/>
          <w:szCs w:val="21"/>
        </w:rPr>
        <w:t xml:space="preserve">电  话：</w:t>
      </w:r>
      <w:r/>
    </w:p>
    <w:p>
      <w:pPr>
        <w:pStyle w:val="955"/>
        <w:spacing w:before="0" w:after="0"/>
        <w:rPr>
          <w:rFonts w:ascii="宋体" w:hAnsi="宋体"/>
          <w:szCs w:val="21"/>
          <w:u w:val="single"/>
        </w:rPr>
      </w:pPr>
      <w:r>
        <w:rPr>
          <w:rFonts w:hint="eastAsia" w:ascii="宋体" w:hAnsi="宋体"/>
          <w:szCs w:val="21"/>
        </w:rPr>
        <w:t xml:space="preserve">传  真：</w:t>
      </w:r>
      <w:r/>
    </w:p>
    <w:p>
      <w:pPr>
        <w:pStyle w:val="955"/>
        <w:spacing w:before="0" w:after="0"/>
        <w:rPr>
          <w:rFonts w:ascii="宋体" w:hAnsi="宋体"/>
          <w:szCs w:val="21"/>
          <w:u w:val="single"/>
        </w:rPr>
      </w:pPr>
      <w:r>
        <w:rPr>
          <w:rFonts w:hint="eastAsia" w:ascii="宋体" w:hAnsi="宋体"/>
          <w:szCs w:val="21"/>
        </w:rPr>
        <w:t xml:space="preserve">开户行：</w:t>
      </w:r>
      <w:r/>
    </w:p>
    <w:p>
      <w:pPr>
        <w:pStyle w:val="955"/>
        <w:spacing w:before="0" w:after="0"/>
        <w:rPr>
          <w:rFonts w:ascii="宋体" w:hAnsi="宋体"/>
          <w:szCs w:val="21"/>
          <w:u w:val="single"/>
        </w:rPr>
      </w:pPr>
      <w:r>
        <w:rPr>
          <w:rFonts w:hint="eastAsia" w:ascii="宋体" w:hAnsi="宋体"/>
          <w:szCs w:val="21"/>
        </w:rPr>
        <w:t xml:space="preserve">账  号：</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pStyle w:val="955"/>
        <w:spacing w:before="0" w:after="0"/>
        <w:rPr>
          <w:rFonts w:ascii="宋体" w:hAnsi="宋体"/>
          <w:szCs w:val="21"/>
        </w:rPr>
      </w:pPr>
      <w:r>
        <w:rPr>
          <w:rFonts w:hint="eastAsia" w:ascii="宋体" w:hAnsi="宋体"/>
          <w:szCs w:val="21"/>
        </w:rPr>
        <w:t xml:space="preserve">日  期：</w:t>
      </w:r>
      <w:r/>
    </w:p>
    <w:p>
      <w:pPr>
        <w:rPr>
          <w:rFonts w:ascii="黑体" w:hAnsi="黑体" w:eastAsia="黑体"/>
          <w:sz w:val="32"/>
          <w:szCs w:val="32"/>
          <w:u w:val="single"/>
        </w:rPr>
      </w:pPr>
      <w:r>
        <w:rPr>
          <w:rFonts w:ascii="黑体" w:hAnsi="黑体" w:eastAsia="黑体"/>
          <w:sz w:val="32"/>
          <w:szCs w:val="32"/>
          <w:u w:val="single"/>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t xml:space="preserve">二、法人授权书</w:t>
      </w:r>
      <w:r/>
    </w:p>
    <w:p>
      <w:pPr>
        <w:jc w:val="center"/>
        <w:spacing w:line="360" w:lineRule="auto"/>
        <w:rPr>
          <w:rFonts w:ascii="方正小标宋简体" w:hAnsi="方正小标宋简体" w:eastAsia="方正小标宋简体" w:cs="方正小标宋简体"/>
          <w:sz w:val="32"/>
          <w:szCs w:val="32"/>
          <w:lang w:val="zh-CN"/>
        </w:rPr>
        <w:outlineLvl w:val="0"/>
      </w:pPr>
      <w:r>
        <w:rPr>
          <w:rFonts w:hint="eastAsia" w:ascii="方正小标宋简体" w:hAnsi="方正小标宋简体" w:eastAsia="方正小标宋简体" w:cs="方正小标宋简体"/>
          <w:sz w:val="32"/>
          <w:szCs w:val="32"/>
          <w:lang w:val="zh-CN"/>
        </w:rPr>
        <w:t xml:space="preserve">法人授权书</w:t>
      </w:r>
      <w:r/>
    </w:p>
    <w:p>
      <w:pPr>
        <w:ind w:firstLine="480"/>
        <w:spacing w:line="480" w:lineRule="auto"/>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hint="eastAsia" w:ascii="宋体" w:hAnsi="宋体" w:cs="宋体"/>
          <w:sz w:val="24"/>
          <w:szCs w:val="24"/>
          <w:u w:val="single"/>
        </w:rPr>
        <w:t xml:space="preserve">            </w:t>
      </w:r>
      <w:r>
        <w:rPr>
          <w:rFonts w:hint="eastAsia" w:ascii="Times New Roman" w:hAnsi="Times New Roman"/>
          <w:sz w:val="24"/>
          <w:szCs w:val="24"/>
        </w:rPr>
        <w:t xml:space="preserve">（供应商名称）授权</w:t>
      </w:r>
      <w:r>
        <w:rPr>
          <w:rFonts w:hint="eastAsia" w:ascii="宋体" w:hAnsi="宋体" w:cs="宋体"/>
          <w:sz w:val="24"/>
          <w:szCs w:val="24"/>
          <w:u w:val="single"/>
        </w:rPr>
        <w:t xml:space="preserve">                 </w:t>
      </w:r>
      <w:r>
        <w:rPr>
          <w:rFonts w:hint="eastAsia" w:ascii="Times New Roman" w:hAnsi="Times New Roman"/>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Times New Roman" w:hAnsi="Times New Roman"/>
          <w:sz w:val="24"/>
          <w:szCs w:val="24"/>
        </w:rPr>
        <w:t xml:space="preserve">项目采购活动的合法代理人，以本单位名义全权处理一切与该项目采购有关的事务。</w:t>
      </w:r>
      <w:r/>
    </w:p>
    <w:p>
      <w:pPr>
        <w:ind w:firstLine="480"/>
        <w:spacing w:line="480" w:lineRule="auto"/>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spacing w:line="480" w:lineRule="auto"/>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被授权人身份证号码：</w:t>
      </w:r>
      <w:r/>
    </w:p>
    <w:p>
      <w:pPr>
        <w:ind w:firstLine="480"/>
        <w:spacing w:line="480" w:lineRule="auto"/>
        <w:tabs>
          <w:tab w:val="left" w:pos="360" w:leader="none"/>
        </w:tabs>
        <w:rPr>
          <w:rFonts w:ascii="宋体" w:hAnsi="宋体" w:cs="宋体"/>
          <w:sz w:val="24"/>
          <w:szCs w:val="24"/>
          <w:u w:val="single"/>
        </w:rPr>
      </w:pPr>
      <w:r>
        <w:rPr>
          <w:rFonts w:hint="eastAsia" w:ascii="Times New Roman" w:hAnsi="Times New Roman"/>
          <w:sz w:val="24"/>
          <w:szCs w:val="24"/>
        </w:rPr>
        <w:t xml:space="preserve">被授权人联系电话：（手机）</w:t>
      </w:r>
      <w:r/>
    </w:p>
    <w:p>
      <w:pPr>
        <w:ind w:firstLine="480"/>
        <w:spacing w:line="480" w:lineRule="auto"/>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宋体" w:hAnsi="宋体" w:cs="宋体"/>
          <w:sz w:val="24"/>
          <w:szCs w:val="24"/>
        </w:rPr>
        <w:t xml:space="preserve">（加盖电子公章）</w:t>
      </w:r>
      <w:r/>
    </w:p>
    <w:p>
      <w:pPr>
        <w:ind w:firstLine="480"/>
        <w:spacing w:line="480" w:lineRule="auto"/>
        <w:tabs>
          <w:tab w:val="left" w:pos="360" w:leader="none"/>
        </w:tabs>
        <w:rPr>
          <w:rFonts w:ascii="Times New Roman" w:hAnsi="Times New Roman"/>
          <w:sz w:val="24"/>
          <w:szCs w:val="24"/>
          <w:u w:val="single"/>
        </w:rPr>
      </w:pPr>
      <w:r>
        <w:rPr>
          <w:rFonts w:hint="eastAsia" w:ascii="Times New Roman" w:hAnsi="Times New Roman"/>
          <w:sz w:val="24"/>
          <w:szCs w:val="24"/>
        </w:rPr>
        <w:t xml:space="preserve">单位地址：</w:t>
      </w:r>
      <w:r/>
    </w:p>
    <w:p>
      <w:pPr>
        <w:ind w:firstLine="480"/>
        <w:spacing w:line="480" w:lineRule="auto"/>
        <w:tabs>
          <w:tab w:val="left" w:pos="360" w:leader="none"/>
        </w:tabs>
        <w:rPr>
          <w:rFonts w:ascii="Times New Roman" w:hAnsi="Times New Roman"/>
          <w:sz w:val="24"/>
          <w:szCs w:val="24"/>
        </w:rPr>
      </w:pPr>
      <w:r>
        <w:rPr>
          <w:rFonts w:hint="eastAsia" w:ascii="Times New Roman" w:hAnsi="Times New Roman"/>
          <w:sz w:val="24"/>
          <w:szCs w:val="24"/>
        </w:rPr>
        <w:t xml:space="preserve">日    期：</w:t>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sz w:val="32"/>
          <w:szCs w:val="32"/>
        </w:rPr>
        <w:t xml:space="preserve">三、满足《中华人民共和国政府采购法》第二十二条规定：</w:t>
      </w:r>
      <w:r/>
    </w:p>
    <w:p>
      <w:pPr>
        <w:jc w:val="center"/>
        <w:rPr>
          <w:rFonts w:hint="eastAsia" w:ascii="方正小标宋简体" w:hAnsi="方正小标宋简体" w:eastAsia="方正小标宋简体" w:cs="方正小标宋简体"/>
          <w:sz w:val="36"/>
          <w:szCs w:val="44"/>
          <w:lang w:val="en-US" w:eastAsia="zh-CN"/>
        </w:rPr>
      </w:pPr>
      <w:r>
        <w:rPr>
          <w:rFonts w:hint="eastAsia" w:ascii="方正小标宋简体" w:hAnsi="方正小标宋简体" w:eastAsia="方正小标宋简体" w:cs="方正小标宋简体"/>
          <w:sz w:val="36"/>
          <w:szCs w:val="44"/>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宋体"/>
          <w:lang w:val="en-US" w:eastAsia="zh-CN"/>
        </w:rPr>
      </w:pPr>
      <w:r>
        <w:rPr>
          <w:rFonts w:hint="eastAsia" w:eastAsia="宋体"/>
          <w:lang w:val="en-US" w:eastAsia="zh-CN"/>
        </w:rPr>
      </w:r>
      <w:r/>
    </w:p>
    <w:tbl>
      <w:tblPr>
        <w:tblStyle w:val="763"/>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rPr>
            </w:pPr>
            <w:r>
              <w:rPr>
                <w:rFonts w:hint="eastAsia" w:eastAsia="宋体"/>
                <w:vertAlign w:val="baseline"/>
                <w:lang w:val="en-US" w:eastAsia="zh-CN"/>
              </w:rPr>
              <w:t xml:space="preserve">我公司自愿参加贵中心</w:t>
            </w:r>
            <w:r>
              <w:rPr>
                <w:rFonts w:hint="eastAsia"/>
                <w:vertAlign w:val="baseline"/>
                <w:lang w:val="en-US" w:eastAsia="zh-CN"/>
              </w:rPr>
              <w:t xml:space="preserve">（</w:t>
            </w:r>
            <w:r>
              <w:rPr>
                <w:rFonts w:hint="eastAsia" w:eastAsia="宋体"/>
                <w:vertAlign w:val="baseline"/>
                <w:lang w:val="en-US" w:eastAsia="zh-CN"/>
              </w:rPr>
              <w:t xml:space="preserve">公司</w:t>
            </w:r>
            <w:r>
              <w:rPr>
                <w:rFonts w:hint="eastAsia"/>
                <w:vertAlign w:val="baseline"/>
                <w:lang w:val="en-US" w:eastAsia="zh-CN"/>
              </w:rPr>
              <w:t xml:space="preserve">）</w:t>
            </w:r>
            <w:r>
              <w:rPr>
                <w:rFonts w:hint="eastAsia"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宋体"/>
                <w:vertAlign w:val="baseline"/>
                <w:lang w:val="en-US" w:eastAsia="zh-CN"/>
              </w:rPr>
              <w:t xml:space="preserve">条规定的条件，包括</w:t>
            </w:r>
            <w:r>
              <w:rPr>
                <w:rFonts w:hint="eastAsia"/>
                <w:vertAlign w:val="baseline"/>
                <w:lang w:val="en-US" w:eastAsia="zh-CN"/>
              </w:rPr>
              <w:t xml:space="preserve">：</w:t>
            </w:r>
            <w:r>
              <w:rPr>
                <w:rFonts w:hint="eastAsia" w:eastAsia="宋体"/>
                <w:vertAlign w:val="baseline"/>
                <w:lang w:val="en-US" w:eastAsia="zh-CN"/>
              </w:rPr>
              <w:t xml:space="preserve">具有独立承担民事责任的能力</w:t>
            </w:r>
            <w:r>
              <w:rPr>
                <w:rFonts w:hint="eastAsia"/>
                <w:vertAlign w:val="baseline"/>
                <w:lang w:val="en-US" w:eastAsia="zh-CN"/>
              </w:rPr>
              <w:t xml:space="preserve">；</w:t>
            </w:r>
            <w:r>
              <w:rPr>
                <w:rFonts w:hint="eastAsia" w:eastAsia="宋体"/>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宋体"/>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宋体"/>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宋体"/>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宋体"/>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宋体"/>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jc w:val="center"/>
        <w:rPr>
          <w:rFonts w:hint="eastAsia" w:eastAsia="宋体"/>
          <w:lang w:val="en-US" w:eastAsia="zh-CN"/>
        </w:rPr>
      </w:pPr>
      <w:r>
        <w:rPr>
          <w:rFonts w:hint="eastAsia" w:eastAsia="宋体"/>
          <w:lang w:val="en-US" w:eastAsia="zh-CN"/>
        </w:rPr>
      </w:r>
      <w:r/>
    </w:p>
    <w:p>
      <w:pPr>
        <w:jc w:val="center"/>
        <w:spacing w:line="36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36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36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36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36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00" w:lineRule="exact"/>
        <w:rPr>
          <w:rFonts w:hint="eastAsia" w:ascii="宋体" w:hAnsi="宋体" w:eastAsia="宋体"/>
          <w:sz w:val="32"/>
          <w:szCs w:val="32"/>
          <w:lang w:eastAsia="zh-CN"/>
        </w:rPr>
      </w:pPr>
      <w:r>
        <w:rPr>
          <w:rFonts w:hint="eastAsia" w:ascii="宋体" w:hAnsi="宋体"/>
          <w:sz w:val="32"/>
          <w:szCs w:val="32"/>
          <w:lang w:eastAsia="zh-CN"/>
        </w:rPr>
        <w:t xml:space="preserve">承诺书</w:t>
      </w:r>
      <w:r/>
    </w:p>
    <w:p>
      <w:pPr>
        <w:spacing w:line="400" w:lineRule="exact"/>
        <w:rPr>
          <w:rFonts w:ascii="宋体" w:hAnsi="宋体"/>
          <w:sz w:val="24"/>
          <w:szCs w:val="24"/>
        </w:rPr>
      </w:pPr>
      <w:r>
        <w:rPr>
          <w:rFonts w:hint="eastAsia" w:ascii="宋体" w:hAnsi="宋体"/>
          <w:sz w:val="24"/>
          <w:szCs w:val="24"/>
        </w:rPr>
        <w:t xml:space="preserve">江苏泰鼎工程咨询有限公司：</w:t>
      </w:r>
      <w:r/>
    </w:p>
    <w:p>
      <w:pPr>
        <w:ind w:firstLine="492"/>
        <w:spacing w:line="400" w:lineRule="exact"/>
        <w:rPr>
          <w:rFonts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00" w:lineRule="exact"/>
        <w:rPr>
          <w:rFonts w:ascii="宋体" w:hAnsi="宋体"/>
          <w:sz w:val="24"/>
          <w:szCs w:val="24"/>
        </w:rPr>
      </w:pPr>
      <w:r>
        <w:rPr>
          <w:rFonts w:hint="eastAsia" w:ascii="宋体" w:hAnsi="宋体"/>
          <w:sz w:val="24"/>
          <w:szCs w:val="24"/>
        </w:rPr>
        <w:t xml:space="preserve">我公司符合下列要求：</w:t>
      </w:r>
      <w:r/>
    </w:p>
    <w:p>
      <w:pPr>
        <w:ind w:firstLine="492"/>
        <w:spacing w:line="400" w:lineRule="exact"/>
        <w:rPr>
          <w:rFonts w:ascii="宋体" w:hAnsi="宋体"/>
          <w:sz w:val="24"/>
          <w:szCs w:val="24"/>
        </w:rPr>
      </w:pPr>
      <w:r>
        <w:rPr>
          <w:rFonts w:hint="eastAsia" w:ascii="宋体" w:hAnsi="宋体"/>
          <w:sz w:val="24"/>
          <w:szCs w:val="24"/>
        </w:rPr>
        <w:t xml:space="preserve">(一)具有独立承担民事责任的能力；</w:t>
      </w:r>
      <w:r/>
    </w:p>
    <w:p>
      <w:pPr>
        <w:ind w:firstLine="492"/>
        <w:spacing w:line="400" w:lineRule="exact"/>
        <w:rPr>
          <w:rFonts w:ascii="宋体" w:hAnsi="宋体"/>
          <w:sz w:val="24"/>
          <w:szCs w:val="24"/>
        </w:rPr>
      </w:pPr>
      <w:r>
        <w:rPr>
          <w:rFonts w:hint="eastAsia" w:ascii="宋体" w:hAnsi="宋体"/>
          <w:sz w:val="24"/>
          <w:szCs w:val="24"/>
        </w:rPr>
        <w:t xml:space="preserve">(二)具有良好的商业信誉和健全的财务会计制度；</w:t>
      </w:r>
      <w:r/>
    </w:p>
    <w:p>
      <w:pPr>
        <w:ind w:firstLine="492"/>
        <w:spacing w:line="400" w:lineRule="exact"/>
        <w:rPr>
          <w:rFonts w:ascii="宋体" w:hAnsi="宋体"/>
          <w:sz w:val="24"/>
          <w:szCs w:val="24"/>
        </w:rPr>
      </w:pPr>
      <w:r>
        <w:rPr>
          <w:rFonts w:hint="eastAsia" w:ascii="宋体" w:hAnsi="宋体"/>
          <w:sz w:val="24"/>
          <w:szCs w:val="24"/>
        </w:rPr>
        <w:t xml:space="preserve">(三)具有履行合同所必需的设备和专业技术能力；</w:t>
      </w:r>
      <w:r/>
    </w:p>
    <w:p>
      <w:pPr>
        <w:ind w:firstLine="492"/>
        <w:spacing w:line="400" w:lineRule="exact"/>
        <w:rPr>
          <w:rFonts w:ascii="宋体" w:hAnsi="宋体"/>
          <w:sz w:val="24"/>
          <w:szCs w:val="24"/>
        </w:rPr>
      </w:pPr>
      <w:r>
        <w:rPr>
          <w:rFonts w:hint="eastAsia" w:ascii="宋体" w:hAnsi="宋体"/>
          <w:sz w:val="24"/>
          <w:szCs w:val="24"/>
        </w:rPr>
        <w:t xml:space="preserve">(四)有依法缴纳税收和社会保障资金的良好记录；</w:t>
      </w:r>
      <w:r/>
    </w:p>
    <w:p>
      <w:pPr>
        <w:ind w:firstLine="492"/>
        <w:spacing w:line="400" w:lineRule="exact"/>
        <w:rPr>
          <w:rFonts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00" w:lineRule="exact"/>
        <w:rPr>
          <w:rFonts w:ascii="宋体" w:hAnsi="宋体"/>
          <w:sz w:val="24"/>
          <w:szCs w:val="24"/>
        </w:rPr>
      </w:pPr>
      <w:r>
        <w:rPr>
          <w:rFonts w:hint="eastAsia" w:ascii="宋体" w:hAnsi="宋体"/>
          <w:sz w:val="24"/>
          <w:szCs w:val="24"/>
        </w:rPr>
        <w:t xml:space="preserve">如果我公司成交，将在成交结果公示后七个工作日内向采购人提供下列材料核验：</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（1）提供法人或者其他组织的营业执照等证明材料，自然人的身份证明；</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（2）提供参加本次磋商活动前一年内任意一月份的会计报表或202</w:t>
      </w:r>
      <w:r>
        <w:rPr>
          <w:rFonts w:hint="eastAsia" w:ascii="Times New Roman" w:hAnsi="Times New Roman"/>
          <w:sz w:val="24"/>
          <w:szCs w:val="24"/>
          <w:lang w:val="en-US" w:eastAsia="zh-CN"/>
        </w:rPr>
        <w:t xml:space="preserve">5</w:t>
      </w:r>
      <w:r>
        <w:rPr>
          <w:rFonts w:hint="eastAsia" w:ascii="Times New Roman" w:hAnsi="Times New Roman"/>
          <w:sz w:val="24"/>
          <w:szCs w:val="24"/>
        </w:rPr>
        <w:t xml:space="preserve">年度的经审计的财务报告或上一年的银行资信证明等材料，</w:t>
      </w:r>
      <w:r>
        <w:rPr>
          <w:rFonts w:ascii="Times New Roman" w:hAnsi="Times New Roman"/>
          <w:sz w:val="24"/>
          <w:szCs w:val="24"/>
        </w:rPr>
        <w:t xml:space="preserve">成立不满一年无需提供</w:t>
      </w:r>
      <w:r>
        <w:rPr>
          <w:rFonts w:hint="eastAsia" w:ascii="Times New Roman" w:hAnsi="Times New Roman"/>
          <w:sz w:val="24"/>
          <w:szCs w:val="24"/>
        </w:rPr>
        <w:t xml:space="preserve">；</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（3）根据项目需求提供履行合同所必需的设备和专业技术能力的声明或证明材料；</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）提供参加本次政府采购活动前半年内至少一个月依法缴纳税收和社会保障资金的相关材料。</w:t>
      </w:r>
      <w:r/>
    </w:p>
    <w:p>
      <w:pPr>
        <w:ind w:firstLine="492"/>
        <w:spacing w:line="40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1012"/>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sz w:val="24"/>
          <w:szCs w:val="24"/>
        </w:rPr>
      </w:pPr>
      <w:r>
        <w:rPr>
          <w:rFonts w:hint="eastAsia"/>
          <w:sz w:val="24"/>
          <w:szCs w:val="24"/>
        </w:rPr>
        <w:t xml:space="preserve">日  期：</w:t>
      </w:r>
      <w:r/>
    </w:p>
    <w:p>
      <w:pPr>
        <w:ind w:firstLine="6240"/>
        <w:spacing w:line="560" w:lineRule="exact"/>
        <w:rPr>
          <w:sz w:val="24"/>
          <w:szCs w:val="24"/>
        </w:rPr>
      </w:pPr>
      <w:r>
        <w:rPr>
          <w:sz w:val="24"/>
          <w:szCs w:val="24"/>
        </w:rPr>
      </w:r>
      <w:r/>
    </w:p>
    <w:p>
      <w:pPr>
        <w:ind w:firstLine="6240"/>
        <w:spacing w:line="560" w:lineRule="exact"/>
        <w:rPr>
          <w:sz w:val="24"/>
          <w:szCs w:val="24"/>
        </w:rPr>
      </w:pPr>
      <w:r>
        <w:rPr>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pStyle w:val="1013"/>
        <w:spacing w:before="0" w:beforeAutospacing="0" w:afterAutospacing="0" w:line="360" w:lineRule="auto"/>
        <w:rPr>
          <w:b/>
          <w:bCs/>
          <w:spacing w:val="8"/>
        </w:rPr>
      </w:pPr>
      <w:r>
        <w:rPr>
          <w:b/>
          <w:bCs/>
          <w:spacing w:val="8"/>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rPr>
          <w:rFonts w:ascii="黑体" w:hAnsi="黑体" w:eastAsia="黑体"/>
          <w:iCs/>
          <w:sz w:val="32"/>
          <w:szCs w:val="32"/>
        </w:rPr>
      </w:pPr>
      <w:r>
        <w:rPr>
          <w:rFonts w:hint="eastAsia" w:ascii="黑体" w:hAnsi="黑体" w:eastAsia="黑体"/>
          <w:iCs/>
          <w:sz w:val="32"/>
          <w:szCs w:val="32"/>
        </w:rPr>
        <w:t xml:space="preserve">四、中小企业声明函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其他未列明</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pPr>
      <w:r>
        <w:rPr>
          <w:rFonts w:hint="eastAsia" w:ascii="宋体" w:hAnsi="宋体"/>
          <w:sz w:val="24"/>
          <w:szCs w:val="24"/>
        </w:rPr>
        <w:t xml:space="preserve">本企业对上述声明内容的真实性负责，如有虚假，将依法承担相应责任。</w:t>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    期：</w:t>
      </w:r>
      <w:r/>
    </w:p>
    <w:p>
      <w:pPr>
        <w:ind w:firstLine="480"/>
        <w:spacing w:line="360" w:lineRule="auto"/>
        <w:widowControl/>
        <w:rPr>
          <w:rFonts w:ascii="宋体" w:hAnsi="宋体"/>
          <w:sz w:val="24"/>
          <w:szCs w:val="24"/>
        </w:rPr>
      </w:pPr>
      <w:r>
        <w:rPr>
          <w:rFonts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5.</w:t>
      </w:r>
      <w:r>
        <w:rPr>
          <w:rFonts w:hint="eastAsia"/>
        </w:rPr>
        <w:t xml:space="preserve"> </w:t>
      </w:r>
      <w:r>
        <w:rPr>
          <w:rFonts w:hint="eastAsia" w:ascii="宋体" w:hAnsi="宋体"/>
          <w:sz w:val="24"/>
          <w:szCs w:val="24"/>
        </w:rPr>
        <w:t xml:space="preserve">注：采购标的对应的中小企业划分标准所属行业：其他</w:t>
      </w:r>
      <w:r>
        <w:rPr>
          <w:rFonts w:ascii="宋体" w:hAnsi="宋体"/>
          <w:sz w:val="24"/>
          <w:szCs w:val="24"/>
        </w:rPr>
        <w:t xml:space="preserve">未列明行业</w:t>
      </w:r>
      <w:r>
        <w:rPr>
          <w:rFonts w:hint="eastAsia" w:ascii="宋体" w:hAnsi="宋体"/>
          <w:sz w:val="24"/>
          <w:szCs w:val="24"/>
        </w:rPr>
        <w:t xml:space="preserve">。依据工信部联企业〔2011〕300号，从业人员300人以下的为中小微型企业。其中，从业人员100人及以上的为中型企业；从业人员10人及以上的为小型企业；从业人员10人以下的为微型</w:t>
      </w:r>
      <w:r>
        <w:rPr>
          <w:rFonts w:ascii="宋体" w:hAnsi="宋体"/>
          <w:sz w:val="24"/>
          <w:szCs w:val="24"/>
        </w:rPr>
        <w:t xml:space="preserve">型企业。</w:t>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t xml:space="preserve">五、特定资格要求的证明文件</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承诺书</w:t>
      </w:r>
      <w:r/>
    </w:p>
    <w:p>
      <w:pPr>
        <w:spacing w:line="400" w:lineRule="exact"/>
        <w:rPr>
          <w:rFonts w:ascii="宋体" w:hAnsi="宋体"/>
          <w:sz w:val="24"/>
          <w:szCs w:val="24"/>
        </w:rPr>
      </w:pPr>
      <w:r>
        <w:rPr>
          <w:rFonts w:hint="eastAsia" w:ascii="宋体" w:hAnsi="宋体"/>
          <w:sz w:val="24"/>
          <w:szCs w:val="24"/>
        </w:rPr>
        <w:t xml:space="preserve">江苏泰鼎工程咨询有限公司：</w:t>
      </w:r>
      <w:r/>
    </w:p>
    <w:p>
      <w:pPr>
        <w:ind w:firstLine="492"/>
        <w:spacing w:line="400" w:lineRule="exact"/>
        <w:rPr>
          <w:rFonts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80"/>
        <w:spacing w:line="400" w:lineRule="exact"/>
        <w:rPr>
          <w:rFonts w:ascii="宋体" w:hAnsi="宋体"/>
          <w:sz w:val="24"/>
          <w:szCs w:val="24"/>
        </w:rPr>
      </w:pPr>
      <w:r>
        <w:rPr>
          <w:rFonts w:hint="eastAsia" w:ascii="宋体" w:hAnsi="宋体"/>
          <w:sz w:val="24"/>
          <w:szCs w:val="24"/>
        </w:rPr>
        <w:t xml:space="preserve">（一）我公司符合</w:t>
      </w:r>
      <w:r>
        <w:rPr>
          <w:rFonts w:ascii="宋体" w:hAnsi="宋体"/>
          <w:sz w:val="24"/>
          <w:szCs w:val="24"/>
        </w:rPr>
        <w:t xml:space="preserve">下列情形：</w:t>
      </w:r>
      <w:r/>
    </w:p>
    <w:p>
      <w:pPr>
        <w:ind w:firstLine="480"/>
        <w:spacing w:line="400" w:lineRule="exact"/>
        <w:rPr>
          <w:rFonts w:ascii="宋体" w:hAnsi="宋体"/>
          <w:sz w:val="24"/>
          <w:szCs w:val="24"/>
        </w:rPr>
      </w:pPr>
      <w:r>
        <w:rPr>
          <w:rFonts w:hint="eastAsia" w:ascii="宋体" w:hAnsi="宋体"/>
          <w:sz w:val="24"/>
          <w:szCs w:val="24"/>
        </w:rPr>
        <w:t xml:space="preserve">（1）供应商单位负责人为同一人或者存在直接控股、管理关系的不同供应商，不得参加同一合同项下的政府采购活动；</w:t>
      </w:r>
      <w:r/>
    </w:p>
    <w:p>
      <w:pPr>
        <w:ind w:firstLine="480"/>
        <w:spacing w:line="400" w:lineRule="exact"/>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jc w:val="left"/>
        <w:spacing w:line="400" w:lineRule="exact"/>
        <w:rPr>
          <w:rFonts w:ascii="宋体" w:hAnsi="宋体"/>
          <w:sz w:val="24"/>
          <w:szCs w:val="24"/>
        </w:rPr>
      </w:pPr>
      <w:r>
        <w:rPr>
          <w:rFonts w:hint="eastAsia" w:ascii="宋体" w:hAnsi="宋体"/>
          <w:sz w:val="24"/>
          <w:szCs w:val="24"/>
        </w:rPr>
        <w:t xml:space="preserve">（3）供应商未被“信用中国”网站（www.creditchina.gov.cn）、“中国政府采购网”(www.ccgp.gov.cn)列入失信被执行人、重大税收违法失信主体、政府采购严重违法失信行为记录名单。</w:t>
      </w:r>
      <w:r/>
    </w:p>
    <w:p>
      <w:pPr>
        <w:ind w:firstLine="492"/>
        <w:spacing w:line="40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1012"/>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480"/>
        <w:spacing w:line="560" w:lineRule="exact"/>
        <w:rPr>
          <w:rFonts w:ascii="宋体" w:hAnsi="宋体"/>
          <w:sz w:val="24"/>
          <w:szCs w:val="24"/>
        </w:rPr>
      </w:pPr>
      <w:r>
        <w:rPr>
          <w:rFonts w:hint="eastAsia"/>
          <w:sz w:val="24"/>
          <w:szCs w:val="24"/>
        </w:rPr>
        <w:t xml:space="preserve">日  期：</w:t>
      </w:r>
      <w:r/>
    </w:p>
    <w:p>
      <w:pPr>
        <w:spacing w:line="460" w:lineRule="exact"/>
        <w:rPr>
          <w:rFonts w:ascii="宋体" w:hAnsi="宋体"/>
          <w:bCs/>
          <w:sz w:val="24"/>
          <w:szCs w:val="21"/>
        </w:rPr>
      </w:pPr>
      <w:r>
        <w:rPr>
          <w:rFonts w:ascii="宋体" w:hAnsi="宋体"/>
          <w:bCs/>
          <w:sz w:val="24"/>
          <w:szCs w:val="21"/>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六、磋商报价表</w:t>
      </w:r>
      <w:r/>
    </w:p>
    <w:p>
      <w:pPr>
        <w:jc w:val="center"/>
        <w:spacing w:line="48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磋商报价表</w:t>
      </w:r>
      <w:r/>
    </w:p>
    <w:p>
      <w:pPr>
        <w:rPr>
          <w:rFonts w:ascii="宋体" w:hAnsi="宋体"/>
          <w:sz w:val="24"/>
          <w:szCs w:val="24"/>
        </w:rPr>
      </w:pPr>
      <w:r>
        <w:rPr>
          <w:rFonts w:hint="eastAsia" w:ascii="宋体" w:hAnsi="宋体"/>
          <w:sz w:val="24"/>
          <w:szCs w:val="24"/>
        </w:rPr>
        <w:t xml:space="preserve">供应商名称：（加盖电子公章） </w:t>
      </w:r>
      <w:r/>
    </w:p>
    <w:p>
      <w:pPr>
        <w:widowControl/>
        <w:rPr>
          <w:rFonts w:ascii="宋体" w:hAnsi="宋体"/>
          <w:sz w:val="24"/>
          <w:szCs w:val="24"/>
        </w:rPr>
      </w:pPr>
      <w:r>
        <w:rPr>
          <w:rFonts w:hint="eastAsia" w:ascii="宋体" w:hAnsi="宋体"/>
          <w:sz w:val="24"/>
          <w:szCs w:val="24"/>
        </w:rPr>
        <w:t xml:space="preserve">项目名称：</w:t>
      </w:r>
      <w:r/>
    </w:p>
    <w:p>
      <w:pPr>
        <w:widowControl/>
        <w:rPr>
          <w:rFonts w:ascii="宋体" w:hAnsi="宋体"/>
          <w:sz w:val="24"/>
          <w:szCs w:val="24"/>
        </w:rPr>
      </w:pPr>
      <w:r>
        <w:rPr>
          <w:rFonts w:hint="eastAsia" w:ascii="宋体" w:hAnsi="宋体"/>
          <w:sz w:val="24"/>
          <w:szCs w:val="24"/>
        </w:rPr>
        <w:t xml:space="preserve">项目编号：                                   分包号：</w:t>
      </w:r>
      <w:r/>
    </w:p>
    <w:tbl>
      <w:tblPr>
        <w:tblStyle w:val="725"/>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55"/>
              <w:ind w:firstLine="0"/>
              <w:spacing w:before="0" w:after="0" w:line="480" w:lineRule="auto"/>
              <w:rPr>
                <w:rFonts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1011"/>
        <w:rPr>
          <w:rFonts w:ascii="黑体" w:hAnsi="黑体" w:eastAsia="黑体"/>
          <w:b/>
          <w:i/>
          <w:sz w:val="32"/>
          <w:szCs w:val="32"/>
          <w:u w:val="single"/>
        </w:rPr>
      </w:pPr>
      <w:r>
        <w:rPr>
          <w:rFonts w:ascii="黑体" w:hAnsi="黑体" w:eastAsia="黑体"/>
          <w:b/>
          <w:i/>
          <w:sz w:val="32"/>
          <w:szCs w:val="32"/>
          <w:u w:val="single"/>
        </w:rPr>
      </w:r>
      <w:r/>
    </w:p>
    <w:p>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七、分项报价表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分项报价表</w:t>
      </w:r>
      <w:r/>
    </w:p>
    <w:tbl>
      <w:tblPr>
        <w:tblStyle w:val="725"/>
        <w:tblW w:w="9449" w:type="dxa"/>
        <w:tblInd w:w="113" w:type="dxa"/>
        <w:tblLayout w:type="fixed"/>
        <w:tblCellMar>
          <w:left w:w="108" w:type="dxa"/>
          <w:top w:w="0" w:type="dxa"/>
          <w:right w:w="108" w:type="dxa"/>
          <w:bottom w:w="0" w:type="dxa"/>
        </w:tblCellMar>
        <w:tblLook w:val="04A0" w:firstRow="1" w:lastRow="0" w:firstColumn="1" w:lastColumn="0" w:noHBand="0" w:noVBand="1"/>
      </w:tblPr>
      <w:tblGrid>
        <w:gridCol w:w="796"/>
        <w:gridCol w:w="1989"/>
        <w:gridCol w:w="2241"/>
        <w:gridCol w:w="2135"/>
        <w:gridCol w:w="2288"/>
      </w:tblGrid>
      <w:tr>
        <w:trPr>
          <w:trHeight w:val="574"/>
        </w:trPr>
        <w:tc>
          <w:tcPr>
            <w:shd w:val="clear" w:color="000000" w:fill="f2f2f2"/>
            <w:tcBorders>
              <w:top w:val="single" w:color="3F3F3F" w:sz="4" w:space="0"/>
              <w:left w:val="single" w:color="3F3F3F" w:sz="4" w:space="0"/>
              <w:bottom w:val="single" w:color="auto" w:sz="8" w:space="0"/>
              <w:right w:val="single" w:color="3F3F3F" w:sz="4" w:space="0"/>
            </w:tcBorders>
            <w:tcW w:w="796" w:type="dxa"/>
            <w:vAlign w:val="center"/>
            <w:textDirection w:val="lrTb"/>
            <w:noWrap/>
          </w:tcPr>
          <w:p>
            <w:pPr>
              <w:jc w:val="center"/>
              <w:widowControl/>
              <w:rPr>
                <w:rFonts w:ascii="宋体" w:hAnsi="宋体" w:cs="宋体"/>
                <w:b/>
                <w:bCs/>
                <w:sz w:val="22"/>
              </w:rPr>
            </w:pPr>
            <w:r>
              <w:rPr>
                <w:rFonts w:hint="eastAsia" w:ascii="宋体" w:hAnsi="宋体" w:cs="宋体"/>
                <w:b/>
                <w:bCs/>
                <w:sz w:val="22"/>
              </w:rPr>
              <w:t xml:space="preserve">序号</w:t>
            </w:r>
            <w:r/>
          </w:p>
        </w:tc>
        <w:tc>
          <w:tcPr>
            <w:shd w:val="clear" w:color="000000" w:fill="f2f2f2"/>
            <w:tcBorders>
              <w:top w:val="single" w:color="3F3F3F" w:sz="4" w:space="0"/>
              <w:left w:val="none" w:color="000000" w:sz="4" w:space="0"/>
              <w:bottom w:val="single" w:color="auto" w:sz="8" w:space="0"/>
              <w:right w:val="single" w:color="3F3F3F" w:sz="4" w:space="0"/>
            </w:tcBorders>
            <w:tcW w:w="1989" w:type="dxa"/>
            <w:vAlign w:val="center"/>
            <w:textDirection w:val="lrTb"/>
            <w:noWrap/>
          </w:tcPr>
          <w:p>
            <w:pPr>
              <w:jc w:val="center"/>
              <w:widowControl/>
              <w:rPr>
                <w:rFonts w:ascii="宋体" w:hAnsi="宋体" w:cs="宋体"/>
                <w:b/>
                <w:bCs/>
                <w:sz w:val="22"/>
              </w:rPr>
            </w:pPr>
            <w:r>
              <w:rPr>
                <w:rFonts w:hint="eastAsia" w:ascii="宋体" w:hAnsi="宋体" w:cs="宋体"/>
                <w:b/>
                <w:bCs/>
                <w:sz w:val="22"/>
              </w:rPr>
              <w:t xml:space="preserve">名称　</w:t>
            </w:r>
            <w:r/>
          </w:p>
        </w:tc>
        <w:tc>
          <w:tcPr>
            <w:shd w:val="clear" w:color="000000" w:fill="f2f2f2"/>
            <w:tcBorders>
              <w:top w:val="single" w:color="3F3F3F" w:sz="4" w:space="0"/>
              <w:left w:val="none" w:color="000000" w:sz="4" w:space="0"/>
              <w:bottom w:val="single" w:color="auto" w:sz="8" w:space="0"/>
              <w:right w:val="single" w:color="3F3F3F" w:sz="4" w:space="0"/>
            </w:tcBorders>
            <w:tcW w:w="2241" w:type="dxa"/>
            <w:vAlign w:val="center"/>
            <w:textDirection w:val="lrTb"/>
            <w:noWrap/>
          </w:tcPr>
          <w:p>
            <w:pPr>
              <w:jc w:val="center"/>
              <w:widowControl/>
              <w:rPr>
                <w:rFonts w:ascii="宋体" w:hAnsi="宋体" w:cs="宋体"/>
                <w:b/>
                <w:bCs/>
                <w:sz w:val="22"/>
              </w:rPr>
            </w:pPr>
            <w:r>
              <w:rPr>
                <w:rFonts w:hint="eastAsia" w:ascii="宋体" w:hAnsi="宋体" w:cs="宋体"/>
                <w:b/>
                <w:bCs/>
                <w:sz w:val="22"/>
              </w:rPr>
              <w:t xml:space="preserve">组成</w:t>
            </w:r>
            <w:r/>
          </w:p>
        </w:tc>
        <w:tc>
          <w:tcPr>
            <w:shd w:val="clear" w:color="000000" w:fill="f2f2f2"/>
            <w:tcBorders>
              <w:top w:val="single" w:color="3F3F3F" w:sz="4" w:space="0"/>
              <w:left w:val="none" w:color="000000" w:sz="4" w:space="0"/>
              <w:bottom w:val="single" w:color="auto" w:sz="8" w:space="0"/>
              <w:right w:val="single" w:color="3F3F3F" w:sz="4" w:space="0"/>
            </w:tcBorders>
            <w:tcW w:w="2135" w:type="dxa"/>
            <w:vAlign w:val="center"/>
            <w:textDirection w:val="lrTb"/>
            <w:noWrap/>
          </w:tcPr>
          <w:p>
            <w:pPr>
              <w:jc w:val="center"/>
              <w:widowControl/>
              <w:rPr>
                <w:rFonts w:ascii="宋体" w:hAnsi="宋体" w:cs="宋体"/>
                <w:b/>
                <w:bCs/>
                <w:sz w:val="22"/>
              </w:rPr>
            </w:pPr>
            <w:r>
              <w:rPr>
                <w:rFonts w:hint="eastAsia" w:ascii="宋体" w:hAnsi="宋体" w:cs="宋体"/>
                <w:b/>
                <w:bCs/>
                <w:sz w:val="22"/>
              </w:rPr>
              <w:t xml:space="preserve">费用（元）</w:t>
            </w:r>
            <w:r/>
          </w:p>
        </w:tc>
        <w:tc>
          <w:tcPr>
            <w:shd w:val="clear" w:color="000000" w:fill="f2f2f2"/>
            <w:tcBorders>
              <w:top w:val="single" w:color="3F3F3F" w:sz="4" w:space="0"/>
              <w:left w:val="none" w:color="000000" w:sz="4" w:space="0"/>
              <w:bottom w:val="single" w:color="auto" w:sz="8" w:space="0"/>
              <w:right w:val="single" w:color="3F3F3F" w:sz="4" w:space="0"/>
            </w:tcBorders>
            <w:tcW w:w="2287" w:type="dxa"/>
            <w:vAlign w:val="center"/>
            <w:textDirection w:val="lrTb"/>
            <w:noWrap/>
          </w:tcPr>
          <w:p>
            <w:pPr>
              <w:jc w:val="center"/>
              <w:widowControl/>
              <w:rPr>
                <w:rFonts w:ascii="宋体" w:hAnsi="宋体" w:cs="宋体"/>
                <w:b/>
                <w:bCs/>
                <w:sz w:val="22"/>
              </w:rPr>
            </w:pPr>
            <w:r>
              <w:rPr>
                <w:rFonts w:hint="eastAsia" w:ascii="宋体" w:hAnsi="宋体" w:cs="宋体"/>
                <w:b/>
                <w:bCs/>
                <w:sz w:val="22"/>
              </w:rPr>
              <w:t xml:space="preserve">备注</w:t>
            </w:r>
            <w:r/>
          </w:p>
        </w:tc>
      </w:tr>
      <w:tr>
        <w:trPr>
          <w:trHeight w:val="628"/>
        </w:trPr>
        <w:tc>
          <w:tcPr>
            <w:tcBorders>
              <w:top w:val="single" w:color="auto" w:sz="8" w:space="0"/>
              <w:left w:val="single" w:color="auto" w:sz="8" w:space="0"/>
              <w:bottom w:val="single" w:color="auto" w:sz="4" w:space="0"/>
              <w:right w:val="single" w:color="auto" w:sz="4" w:space="0"/>
            </w:tcBorders>
            <w:tcW w:w="796"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8" w:space="0"/>
              <w:left w:val="single" w:color="auto" w:sz="4" w:space="0"/>
              <w:bottom w:val="single" w:color="auto" w:sz="4" w:space="0"/>
              <w:right w:val="single" w:color="auto" w:sz="4" w:space="0"/>
            </w:tcBorders>
            <w:tcW w:w="1989"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8" w:space="0"/>
              <w:left w:val="single" w:color="auto" w:sz="4" w:space="0"/>
              <w:bottom w:val="single" w:color="auto" w:sz="4" w:space="0"/>
              <w:right w:val="single" w:color="auto" w:sz="4" w:space="0"/>
            </w:tcBorders>
            <w:tcW w:w="2241" w:type="dxa"/>
            <w:vAlign w:val="center"/>
            <w:textDirection w:val="lrTb"/>
            <w:noWrap/>
          </w:tcPr>
          <w:p>
            <w:pPr>
              <w:jc w:val="left"/>
              <w:rPr>
                <w:rFonts w:ascii="宋体" w:hAnsi="宋体" w:cs="宋体"/>
                <w:sz w:val="24"/>
                <w:szCs w:val="24"/>
              </w:rPr>
            </w:pPr>
            <w:r>
              <w:rPr>
                <w:rFonts w:ascii="宋体" w:hAnsi="宋体" w:cs="宋体"/>
                <w:sz w:val="24"/>
                <w:szCs w:val="24"/>
              </w:rPr>
            </w:r>
            <w:r/>
          </w:p>
        </w:tc>
        <w:tc>
          <w:tcPr>
            <w:tcBorders>
              <w:top w:val="single" w:color="auto" w:sz="8" w:space="0"/>
              <w:left w:val="single" w:color="auto" w:sz="4" w:space="0"/>
              <w:bottom w:val="single" w:color="auto" w:sz="4" w:space="0"/>
              <w:right w:val="single" w:color="auto" w:sz="4" w:space="0"/>
            </w:tcBorders>
            <w:tcW w:w="2135" w:type="dxa"/>
            <w:vAlign w:val="center"/>
            <w:textDirection w:val="lrTb"/>
            <w:noWrap/>
          </w:tcPr>
          <w:p>
            <w:pPr>
              <w:jc w:val="center"/>
              <w:rPr>
                <w:rFonts w:ascii="宋体" w:hAnsi="宋体" w:cs="宋体"/>
                <w:sz w:val="24"/>
                <w:szCs w:val="24"/>
              </w:rPr>
            </w:pPr>
            <w:r>
              <w:rPr>
                <w:rFonts w:ascii="宋体" w:hAnsi="宋体" w:cs="宋体"/>
                <w:sz w:val="24"/>
                <w:szCs w:val="24"/>
              </w:rPr>
            </w:r>
            <w:r/>
          </w:p>
        </w:tc>
        <w:tc>
          <w:tcPr>
            <w:tcBorders>
              <w:top w:val="single" w:color="auto" w:sz="8" w:space="0"/>
              <w:left w:val="single" w:color="auto" w:sz="4" w:space="0"/>
              <w:bottom w:val="single" w:color="auto" w:sz="4" w:space="0"/>
              <w:right w:val="single" w:color="auto" w:sz="8" w:space="0"/>
            </w:tcBorders>
            <w:tcW w:w="2287"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628"/>
        </w:trPr>
        <w:tc>
          <w:tcPr>
            <w:tcBorders>
              <w:top w:val="none" w:color="000000" w:sz="4" w:space="0"/>
              <w:left w:val="single" w:color="auto" w:sz="8" w:space="0"/>
              <w:bottom w:val="single" w:color="auto" w:sz="4" w:space="0"/>
              <w:right w:val="single" w:color="auto" w:sz="4" w:space="0"/>
            </w:tcBorders>
            <w:tcW w:w="796"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tcPr>
          <w:p>
            <w:pPr>
              <w:jc w:val="lef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8" w:space="0"/>
            </w:tcBorders>
            <w:tcW w:w="2287"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628"/>
        </w:trPr>
        <w:tc>
          <w:tcPr>
            <w:tcBorders>
              <w:top w:val="none" w:color="000000" w:sz="4" w:space="0"/>
              <w:left w:val="single" w:color="auto" w:sz="8" w:space="0"/>
              <w:bottom w:val="single" w:color="auto" w:sz="4" w:space="0"/>
              <w:right w:val="single" w:color="auto" w:sz="4" w:space="0"/>
            </w:tcBorders>
            <w:tcW w:w="796"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tcPr>
          <w:p>
            <w:pPr>
              <w:jc w:val="lef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8" w:space="0"/>
            </w:tcBorders>
            <w:tcW w:w="2287"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628"/>
        </w:trPr>
        <w:tc>
          <w:tcPr>
            <w:tcBorders>
              <w:top w:val="none" w:color="000000" w:sz="4" w:space="0"/>
              <w:left w:val="single" w:color="auto" w:sz="8" w:space="0"/>
              <w:bottom w:val="single" w:color="auto" w:sz="4" w:space="0"/>
              <w:right w:val="single" w:color="auto" w:sz="4" w:space="0"/>
            </w:tcBorders>
            <w:tcW w:w="796"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tcPr>
          <w:p>
            <w:pPr>
              <w:jc w:val="lef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8" w:space="0"/>
            </w:tcBorders>
            <w:tcW w:w="2287"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755"/>
        </w:trPr>
        <w:tc>
          <w:tcPr>
            <w:tcBorders>
              <w:top w:val="none" w:color="000000" w:sz="4" w:space="0"/>
              <w:left w:val="single" w:color="auto" w:sz="8" w:space="0"/>
              <w:bottom w:val="single" w:color="auto" w:sz="4" w:space="0"/>
              <w:right w:val="single" w:color="auto" w:sz="4" w:space="0"/>
            </w:tcBorders>
            <w:tcW w:w="796"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tcPr>
          <w:p>
            <w:pPr>
              <w:jc w:val="lef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8" w:space="0"/>
            </w:tcBorders>
            <w:tcW w:w="2287"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755"/>
        </w:trPr>
        <w:tc>
          <w:tcPr>
            <w:tcBorders>
              <w:top w:val="none" w:color="000000" w:sz="4" w:space="0"/>
              <w:left w:val="single" w:color="auto" w:sz="8" w:space="0"/>
              <w:bottom w:val="single" w:color="auto" w:sz="4" w:space="0"/>
              <w:right w:val="single" w:color="auto" w:sz="4" w:space="0"/>
            </w:tcBorders>
            <w:tcW w:w="796" w:type="dxa"/>
            <w:vAlign w:val="center"/>
            <w:textDirection w:val="lrTb"/>
            <w:noWrap/>
          </w:tcPr>
          <w:p>
            <w:pPr>
              <w:jc w:val="center"/>
              <w:widowControl/>
              <w:rPr>
                <w:rFonts w:ascii="Arial" w:hAnsi="Arial" w:cs="Arial"/>
                <w:b/>
                <w:bCs/>
                <w:sz w:val="22"/>
              </w:rPr>
            </w:pPr>
            <w:r>
              <w:rPr>
                <w:rFonts w:ascii="Arial" w:hAnsi="Arial" w:cs="Arial"/>
                <w:b/>
                <w:bCs/>
                <w:sz w:val="22"/>
              </w:rPr>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tcPr>
          <w:p>
            <w:pPr>
              <w:jc w:val="lef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8" w:space="0"/>
            </w:tcBorders>
            <w:tcW w:w="2287"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468"/>
        </w:trPr>
        <w:tc>
          <w:tcPr>
            <w:tcBorders>
              <w:top w:val="none" w:color="000000" w:sz="4" w:space="0"/>
              <w:left w:val="single" w:color="auto" w:sz="8" w:space="0"/>
              <w:bottom w:val="single" w:color="auto" w:sz="4" w:space="0"/>
              <w:right w:val="single" w:color="auto" w:sz="4" w:space="0"/>
            </w:tcBorders>
            <w:tcW w:w="796" w:type="dxa"/>
            <w:vAlign w:val="center"/>
            <w:textDirection w:val="lrTb"/>
            <w:noWrap/>
          </w:tcPr>
          <w:p>
            <w:pPr>
              <w:jc w:val="center"/>
              <w:widowControl/>
              <w:rPr>
                <w:rFonts w:ascii="宋体" w:hAnsi="宋体" w:cs="宋体"/>
                <w:sz w:val="22"/>
              </w:rPr>
            </w:pPr>
            <w:r>
              <w:rPr>
                <w:rFonts w:ascii="Arial" w:hAnsi="Arial" w:cs="Arial"/>
                <w:sz w:val="22"/>
              </w:rPr>
              <w:t xml:space="preserve">…</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tcPr>
          <w:p>
            <w:pPr>
              <w:jc w:val="center"/>
              <w:widowControl/>
              <w:rPr>
                <w:rFonts w:ascii="宋体" w:hAnsi="宋体" w:cs="宋体"/>
                <w:sz w:val="24"/>
                <w:szCs w:val="24"/>
              </w:rPr>
            </w:pPr>
            <w:r>
              <w:rPr>
                <w:rFonts w:ascii="Arial" w:hAnsi="Arial" w:cs="Arial"/>
                <w:sz w:val="22"/>
              </w:rPr>
              <w:t xml:space="preserve">…</w:t>
            </w:r>
            <w:r/>
          </w:p>
        </w:tc>
        <w:tc>
          <w:tcPr>
            <w:tcBorders>
              <w:top w:val="single" w:color="auto" w:sz="4" w:space="0"/>
              <w:left w:val="none" w:color="000000" w:sz="4" w:space="0"/>
              <w:bottom w:val="single" w:color="auto" w:sz="4" w:space="0"/>
              <w:right w:val="single" w:color="auto" w:sz="4" w:space="0"/>
            </w:tcBorders>
            <w:tcW w:w="2241" w:type="dxa"/>
            <w:vAlign w:val="center"/>
            <w:textDirection w:val="lrTb"/>
            <w:noWrap/>
          </w:tcPr>
          <w:p>
            <w:pPr>
              <w:widowControl/>
              <w:rPr>
                <w:rFonts w:ascii="宋体" w:hAnsi="宋体" w:cs="宋体"/>
                <w:sz w:val="22"/>
              </w:rPr>
            </w:pPr>
            <w:r>
              <w:rPr>
                <w:rFonts w:ascii="宋体" w:hAnsi="宋体" w:cs="宋体"/>
                <w:sz w:val="22"/>
              </w:rPr>
            </w:r>
            <w:r/>
          </w:p>
        </w:tc>
        <w:tc>
          <w:tcPr>
            <w:tcBorders>
              <w:top w:val="single" w:color="auto" w:sz="4" w:space="0"/>
              <w:left w:val="none" w:color="000000" w:sz="4" w:space="0"/>
              <w:bottom w:val="single" w:color="auto" w:sz="4" w:space="0"/>
              <w:right w:val="single" w:color="auto" w:sz="4" w:space="0"/>
            </w:tcBorders>
            <w:tcW w:w="2135"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8" w:space="0"/>
            </w:tcBorders>
            <w:tcW w:w="2287" w:type="dxa"/>
            <w:vAlign w:val="center"/>
            <w:textDirection w:val="lrTb"/>
            <w:noWrap/>
          </w:tcPr>
          <w:p>
            <w:pPr>
              <w:jc w:val="left"/>
              <w:widowControl/>
              <w:rPr>
                <w:rFonts w:ascii="宋体" w:hAnsi="宋体" w:cs="宋体"/>
                <w:sz w:val="22"/>
              </w:rPr>
            </w:pPr>
            <w:r>
              <w:rPr>
                <w:rFonts w:hint="eastAsia" w:ascii="宋体" w:hAnsi="宋体" w:cs="宋体"/>
                <w:sz w:val="22"/>
              </w:rPr>
              <w:t xml:space="preserve">　</w:t>
            </w:r>
            <w:r/>
          </w:p>
        </w:tc>
      </w:tr>
      <w:tr>
        <w:trPr>
          <w:trHeight w:val="453"/>
        </w:trPr>
        <w:tc>
          <w:tcPr>
            <w:tcBorders>
              <w:top w:val="none" w:color="000000" w:sz="4" w:space="0"/>
              <w:left w:val="single" w:color="auto" w:sz="8" w:space="0"/>
              <w:bottom w:val="single" w:color="auto" w:sz="4" w:space="0"/>
              <w:right w:val="single" w:color="auto" w:sz="4" w:space="0"/>
            </w:tcBorders>
            <w:tcW w:w="796" w:type="dxa"/>
            <w:vAlign w:val="center"/>
            <w:textDirection w:val="lrTb"/>
            <w:noWrap/>
          </w:tcPr>
          <w:p>
            <w:pPr>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tcPr>
          <w:p>
            <w:pPr>
              <w:jc w:val="center"/>
              <w:widowControl/>
              <w:rPr>
                <w:rFonts w:ascii="宋体" w:hAnsi="宋体" w:cs="宋体"/>
                <w:sz w:val="22"/>
              </w:rPr>
            </w:pPr>
            <w:r>
              <w:rPr>
                <w:rFonts w:hint="eastAsia" w:ascii="宋体" w:hAnsi="宋体" w:cs="宋体"/>
                <w:sz w:val="24"/>
                <w:szCs w:val="24"/>
                <w:lang w:eastAsia="zh-CN"/>
              </w:rPr>
              <w:t xml:space="preserve">一年</w:t>
            </w:r>
            <w:r>
              <w:rPr>
                <w:rFonts w:hint="eastAsia" w:ascii="宋体" w:hAnsi="宋体" w:cs="宋体"/>
                <w:sz w:val="24"/>
                <w:szCs w:val="24"/>
              </w:rPr>
              <w:t xml:space="preserve">报价总计</w:t>
            </w:r>
            <w:r/>
          </w:p>
        </w:tc>
        <w:tc>
          <w:tcPr>
            <w:tcBorders>
              <w:top w:val="none" w:color="000000" w:sz="4" w:space="0"/>
              <w:left w:val="none" w:color="000000" w:sz="4" w:space="0"/>
              <w:bottom w:val="single" w:color="auto" w:sz="4" w:space="0"/>
              <w:right w:val="single" w:color="auto" w:sz="4" w:space="0"/>
            </w:tcBorders>
            <w:tcW w:w="2241" w:type="dxa"/>
            <w:vAlign w:val="center"/>
            <w:textDirection w:val="lrTb"/>
            <w:noWrap/>
          </w:tcPr>
          <w:p>
            <w:pPr>
              <w:jc w:val="left"/>
              <w:widowControl/>
              <w:rPr>
                <w:rFonts w:ascii="宋体" w:hAnsi="宋体" w:cs="宋体"/>
                <w:sz w:val="22"/>
              </w:rPr>
            </w:pPr>
            <w:r>
              <w:rPr>
                <w:rFonts w:hint="eastAsia" w:ascii="宋体" w:hAnsi="宋体" w:cs="宋体"/>
                <w:sz w:val="22"/>
              </w:rPr>
              <w:t xml:space="preserve">　</w:t>
            </w:r>
            <w:r/>
          </w:p>
        </w:tc>
        <w:tc>
          <w:tcPr>
            <w:tcBorders>
              <w:top w:val="none" w:color="000000" w:sz="4" w:space="0"/>
              <w:left w:val="none" w:color="000000" w:sz="4" w:space="0"/>
              <w:bottom w:val="single" w:color="auto" w:sz="4" w:space="0"/>
              <w:right w:val="single" w:color="auto" w:sz="4" w:space="0"/>
            </w:tcBorders>
            <w:tcW w:w="2135"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8" w:space="0"/>
            </w:tcBorders>
            <w:tcW w:w="2287" w:type="dxa"/>
            <w:vAlign w:val="center"/>
            <w:textDirection w:val="lrTb"/>
            <w:noWrap/>
          </w:tcPr>
          <w:p>
            <w:pPr>
              <w:jc w:val="left"/>
              <w:widowControl/>
              <w:rPr>
                <w:rFonts w:ascii="宋体" w:hAnsi="宋体" w:cs="宋体"/>
                <w:sz w:val="22"/>
              </w:rPr>
            </w:pPr>
            <w:r>
              <w:rPr>
                <w:rFonts w:hint="eastAsia" w:ascii="宋体" w:hAnsi="宋体" w:cs="宋体"/>
                <w:sz w:val="22"/>
              </w:rPr>
              <w:t xml:space="preserve">　</w:t>
            </w:r>
            <w:r/>
          </w:p>
        </w:tc>
      </w:tr>
      <w:tr>
        <w:trPr>
          <w:trHeight w:val="453"/>
        </w:trPr>
        <w:tc>
          <w:tcPr>
            <w:tcBorders>
              <w:top w:val="none" w:color="000000" w:sz="4" w:space="0"/>
              <w:left w:val="single" w:color="auto" w:sz="8" w:space="0"/>
              <w:bottom w:val="single" w:color="auto" w:sz="4" w:space="0"/>
              <w:right w:val="single" w:color="auto" w:sz="4" w:space="0"/>
            </w:tcBorders>
            <w:tcW w:w="796" w:type="dxa"/>
            <w:vAlign w:val="center"/>
            <w:textDirection w:val="lrTb"/>
            <w:noWrap/>
          </w:tcPr>
          <w:p>
            <w:pPr>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tcPr>
          <w:p>
            <w:pPr>
              <w:jc w:val="center"/>
              <w:widowControl/>
              <w:rPr>
                <w:rFonts w:hint="eastAsia" w:ascii="宋体" w:hAnsi="宋体" w:cs="宋体"/>
                <w:sz w:val="24"/>
                <w:szCs w:val="24"/>
                <w:lang w:eastAsia="zh-CN"/>
              </w:rPr>
            </w:pPr>
            <w:r>
              <w:rPr>
                <w:rFonts w:hint="eastAsia" w:ascii="宋体" w:hAnsi="宋体" w:cs="宋体"/>
                <w:sz w:val="24"/>
                <w:szCs w:val="24"/>
                <w:lang w:eastAsia="zh-CN"/>
              </w:rPr>
              <w:t xml:space="preserve">三年报价总计</w:t>
            </w:r>
            <w:r/>
          </w:p>
        </w:tc>
        <w:tc>
          <w:tcPr>
            <w:tcBorders>
              <w:top w:val="none" w:color="000000" w:sz="4" w:space="0"/>
              <w:left w:val="none" w:color="000000" w:sz="4" w:space="0"/>
              <w:bottom w:val="single" w:color="auto" w:sz="4" w:space="0"/>
              <w:right w:val="single" w:color="auto" w:sz="4" w:space="0"/>
            </w:tcBorders>
            <w:tcW w:w="2241" w:type="dxa"/>
            <w:vAlign w:val="center"/>
            <w:textDirection w:val="lrTb"/>
            <w:noWrap/>
          </w:tcPr>
          <w:p>
            <w:pPr>
              <w:jc w:val="left"/>
              <w:widowControl/>
              <w:rPr>
                <w:rFonts w:hint="eastAsia" w:ascii="宋体" w:hAnsi="宋体" w:eastAsia="宋体" w:cs="宋体"/>
                <w:sz w:val="22"/>
                <w:lang w:val="en-US" w:eastAsia="zh-CN"/>
              </w:rPr>
            </w:pPr>
            <w:r>
              <w:rPr>
                <w:rFonts w:hint="eastAsia" w:ascii="宋体" w:hAnsi="宋体" w:cs="宋体"/>
                <w:sz w:val="22"/>
                <w:lang w:val="en-US" w:eastAsia="zh-CN"/>
              </w:rPr>
              <w:t xml:space="preserve">/</w:t>
            </w:r>
            <w:r/>
          </w:p>
        </w:tc>
        <w:tc>
          <w:tcPr>
            <w:tcBorders>
              <w:top w:val="none" w:color="000000" w:sz="4" w:space="0"/>
              <w:left w:val="none" w:color="000000" w:sz="4" w:space="0"/>
              <w:bottom w:val="single" w:color="auto" w:sz="4" w:space="0"/>
              <w:right w:val="single" w:color="auto" w:sz="4" w:space="0"/>
            </w:tcBorders>
            <w:tcW w:w="2135"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8" w:space="0"/>
            </w:tcBorders>
            <w:tcW w:w="2287" w:type="dxa"/>
            <w:vAlign w:val="center"/>
            <w:textDirection w:val="lrTb"/>
            <w:noWrap/>
          </w:tcPr>
          <w:p>
            <w:pPr>
              <w:jc w:val="left"/>
              <w:widowControl/>
              <w:rPr>
                <w:rFonts w:hint="eastAsia" w:ascii="宋体" w:hAnsi="宋体" w:eastAsia="宋体" w:cs="宋体"/>
                <w:sz w:val="22"/>
                <w:lang w:val="en-US" w:eastAsia="zh-CN"/>
              </w:rPr>
            </w:pPr>
            <w:r>
              <w:rPr>
                <w:rFonts w:hint="eastAsia" w:ascii="宋体" w:hAnsi="宋体" w:cs="宋体"/>
                <w:sz w:val="22"/>
                <w:lang w:val="en-US" w:eastAsia="zh-CN"/>
              </w:rPr>
              <w:t xml:space="preserve">/</w:t>
            </w:r>
            <w:r/>
          </w:p>
        </w:tc>
      </w:tr>
      <w:tr>
        <w:trPr>
          <w:trHeight w:val="907"/>
        </w:trPr>
        <w:tc>
          <w:tcPr>
            <w:gridSpan w:val="5"/>
            <w:tcBorders>
              <w:top w:val="none" w:color="000000" w:sz="4" w:space="0"/>
              <w:left w:val="single" w:color="auto" w:sz="8" w:space="0"/>
              <w:bottom w:val="single" w:color="auto" w:sz="4" w:space="0"/>
              <w:right w:val="single" w:color="auto" w:sz="8" w:space="0"/>
            </w:tcBorders>
            <w:tcW w:w="9449" w:type="dxa"/>
            <w:vAlign w:val="center"/>
            <w:textDirection w:val="lrTb"/>
            <w:noWrap/>
          </w:tcPr>
          <w:p>
            <w:pPr>
              <w:pStyle w:val="1014"/>
              <w:ind w:firstLine="0"/>
              <w:rPr>
                <w:rFonts w:hint="eastAsia"/>
                <w:lang w:val="en-US"/>
              </w:rPr>
            </w:pPr>
            <w:r>
              <w:rPr>
                <w:rFonts w:hint="eastAsia"/>
                <w:lang w:val="en-US" w:eastAsia="zh-CN"/>
              </w:rPr>
              <w:t xml:space="preserve">1、</w:t>
            </w:r>
            <w:r>
              <w:rPr>
                <w:rFonts w:hint="eastAsia"/>
                <w:lang w:val="en-US"/>
              </w:rPr>
              <w:t xml:space="preserve">本项目采用总价报价。报供应商的任何错漏、优惠、竞争性报价不得作为减轻责任、减少服务、增加收费、降低质量的理由。</w:t>
            </w:r>
            <w:r/>
          </w:p>
          <w:p>
            <w:pPr>
              <w:pStyle w:val="1014"/>
              <w:ind w:firstLine="0"/>
              <w:rPr>
                <w:rFonts w:hint="eastAsia" w:eastAsia="宋体"/>
                <w:lang w:val="en-US" w:eastAsia="zh-CN"/>
              </w:rPr>
            </w:pPr>
            <w:r>
              <w:rPr>
                <w:rFonts w:hint="eastAsia"/>
                <w:lang w:val="en-US" w:eastAsia="zh-CN"/>
              </w:rPr>
              <w:t xml:space="preserve">2、</w:t>
            </w:r>
            <w:r/>
          </w:p>
        </w:tc>
      </w:tr>
    </w:tbl>
    <w:p>
      <w:pPr>
        <w:pStyle w:val="757"/>
        <w:jc w:val="both"/>
        <w:spacing w:before="0" w:beforeAutospacing="0" w:after="0" w:afterAutospacing="0"/>
      </w:pPr>
      <w:r/>
      <w:r/>
    </w:p>
    <w:p>
      <w:pPr>
        <w:ind w:right="180" w:firstLine="480"/>
        <w:spacing w:line="360" w:lineRule="auto"/>
        <w:rPr>
          <w:rFonts w:ascii="宋体" w:hAnsi="宋体"/>
          <w:sz w:val="24"/>
        </w:rPr>
      </w:pPr>
      <w:r>
        <w:rPr>
          <w:rFonts w:hint="eastAsia" w:ascii="宋体" w:hAnsi="宋体"/>
          <w:sz w:val="24"/>
          <w:szCs w:val="24"/>
        </w:rPr>
        <w:t xml:space="preserve">供应商名称：（加盖电子公章）</w:t>
      </w:r>
      <w:r/>
    </w:p>
    <w:p>
      <w:pPr>
        <w:pStyle w:val="757"/>
        <w:ind w:firstLine="480"/>
        <w:jc w:val="both"/>
        <w:spacing w:before="0" w:beforeAutospacing="0" w:after="0" w:afterAutospacing="0" w:line="360" w:lineRule="auto"/>
      </w:pPr>
      <w:r>
        <w:t xml:space="preserve">备注： </w:t>
      </w:r>
      <w:r/>
    </w:p>
    <w:p>
      <w:pPr>
        <w:pStyle w:val="757"/>
        <w:ind w:firstLine="480"/>
        <w:jc w:val="both"/>
        <w:spacing w:before="0" w:beforeAutospacing="0" w:after="0" w:afterAutospacing="0" w:line="360" w:lineRule="auto"/>
      </w:pPr>
      <w:r>
        <w:rPr>
          <w:rFonts w:hint="eastAsia"/>
        </w:rPr>
        <w:t xml:space="preserve">1.“总报价”应包括为完成整个项目所产生的所有费用，采购文件另有规定的除外。</w:t>
      </w:r>
      <w:r/>
    </w:p>
    <w:p>
      <w:pPr>
        <w:pStyle w:val="757"/>
        <w:ind w:firstLine="480"/>
        <w:jc w:val="both"/>
        <w:spacing w:before="0" w:beforeAutospacing="0" w:after="0" w:afterAutospacing="0" w:line="360" w:lineRule="auto"/>
        <w:rPr>
          <w:color w:val="ff0000"/>
        </w:rPr>
      </w:pPr>
      <w:r>
        <w:rPr>
          <w:rFonts w:hint="eastAsia"/>
        </w:rPr>
        <w:t xml:space="preserve">2.《分项报价表》中“总报价”应当与《磋商报价表》中“总报价”一致</w:t>
      </w:r>
      <w:r>
        <w:rPr>
          <w:rFonts w:hint="eastAsia"/>
          <w:color w:val="ff0000"/>
          <w:lang w:eastAsia="zh-CN"/>
        </w:rPr>
        <w:t xml:space="preserve">，均按一年报价</w:t>
      </w:r>
      <w:r>
        <w:rPr>
          <w:rFonts w:hint="eastAsia"/>
          <w:color w:val="ff0000"/>
        </w:rPr>
        <w:t xml:space="preserve">。</w:t>
      </w:r>
      <w:r/>
    </w:p>
    <w:p>
      <w:pPr>
        <w:pStyle w:val="757"/>
        <w:ind w:firstLine="480"/>
        <w:jc w:val="both"/>
        <w:spacing w:before="0" w:beforeAutospacing="0" w:after="0" w:afterAutospacing="0" w:line="360" w:lineRule="auto"/>
      </w:pPr>
      <w:r>
        <w:rPr>
          <w:rFonts w:hint="eastAsia"/>
        </w:rPr>
        <w:t xml:space="preserve">3.《分项报价表》中的分项名称须与“第四章-项目清单”中的名称一一对应，如有缺项、漏项，视为无效响应。“项目清单”中分项仅为一项的，此表无需提供。</w:t>
      </w:r>
      <w:r/>
    </w:p>
    <w:p>
      <w:pPr>
        <w:pStyle w:val="757"/>
        <w:ind w:firstLine="480"/>
        <w:jc w:val="both"/>
        <w:spacing w:before="0" w:beforeAutospacing="0" w:after="0" w:afterAutospacing="0" w:line="360" w:lineRule="auto"/>
      </w:pPr>
      <w:r>
        <w:rPr>
          <w:rFonts w:hint="eastAsia"/>
        </w:rPr>
        <w:t xml:space="preserve">4.行数不够，可自行添加。</w:t>
      </w:r>
      <w:r/>
    </w:p>
    <w:p>
      <w:pPr>
        <w:pStyle w:val="757"/>
        <w:jc w:val="both"/>
        <w:spacing w:before="0" w:beforeAutospacing="0" w:after="0" w:afterAutospacing="0" w:line="360" w:lineRule="auto"/>
        <w:rPr>
          <w:rFonts w:ascii="黑体" w:hAnsi="黑体" w:eastAsia="黑体" w:cs="Times New Roman"/>
          <w:iCs/>
          <w:sz w:val="32"/>
          <w:szCs w:val="32"/>
        </w:rPr>
      </w:pPr>
      <w:r>
        <w:rPr>
          <w:rFonts w:hint="eastAsia" w:ascii="黑体" w:hAnsi="黑体" w:eastAsia="黑体" w:cs="Times New Roman"/>
          <w:i/>
          <w:sz w:val="32"/>
          <w:szCs w:val="32"/>
          <w:u w:val="single"/>
        </w:rPr>
        <w:br w:type="page" w:clear="all"/>
      </w:r>
      <w:r>
        <w:rPr>
          <w:rFonts w:hint="eastAsia" w:ascii="黑体" w:hAnsi="黑体" w:eastAsia="黑体" w:cs="Times New Roman"/>
          <w:sz w:val="32"/>
          <w:szCs w:val="32"/>
        </w:rPr>
        <w:t xml:space="preserve">八、</w:t>
      </w:r>
      <w:r>
        <w:rPr>
          <w:rFonts w:hint="eastAsia" w:ascii="黑体" w:hAnsi="黑体" w:eastAsia="黑体" w:cs="Times New Roman"/>
          <w:iCs/>
          <w:sz w:val="32"/>
          <w:szCs w:val="32"/>
        </w:rPr>
        <w:t xml:space="preserve">技术要求响应及偏离表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技术要求响应及偏离表</w:t>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bl>
    <w:p>
      <w:pPr>
        <w:pStyle w:val="757"/>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rPr>
          <w:rFonts w:ascii="宋体" w:hAnsi="宋体"/>
          <w:sz w:val="24"/>
          <w:szCs w:val="24"/>
        </w:rPr>
      </w:pPr>
      <w:r>
        <w:rPr>
          <w:rFonts w:ascii="宋体" w:hAnsi="宋体"/>
          <w:sz w:val="24"/>
          <w:szCs w:val="24"/>
        </w:rPr>
      </w:r>
      <w:r/>
    </w:p>
    <w:p>
      <w:pPr>
        <w:pStyle w:val="757"/>
        <w:ind w:firstLine="480"/>
        <w:jc w:val="both"/>
        <w:spacing w:before="0" w:beforeAutospacing="0" w:after="0" w:afterAutospacing="0" w:line="360" w:lineRule="auto"/>
      </w:pPr>
      <w:r>
        <w:t xml:space="preserve">备注： </w:t>
      </w:r>
      <w:r/>
    </w:p>
    <w:p>
      <w:pPr>
        <w:pStyle w:val="757"/>
        <w:ind w:firstLine="480"/>
        <w:jc w:val="both"/>
        <w:spacing w:before="0" w:beforeAutospacing="0" w:after="0" w:afterAutospacing="0" w:line="360" w:lineRule="auto"/>
      </w:pPr>
      <w:r>
        <w:rPr>
          <w:rFonts w:hint="eastAsia"/>
        </w:rPr>
        <w:t xml:space="preserve">1.技术要求响应</w:t>
      </w:r>
      <w:r>
        <w:t xml:space="preserve">若无偏离，即可填“</w:t>
      </w:r>
      <w:r>
        <w:rPr>
          <w:rFonts w:hint="eastAsia"/>
        </w:rPr>
        <w:t xml:space="preserve">无</w:t>
      </w:r>
      <w:r>
        <w:t xml:space="preserve">。”</w:t>
      </w:r>
      <w:r/>
    </w:p>
    <w:p>
      <w:pPr>
        <w:pStyle w:val="757"/>
        <w:ind w:firstLine="480"/>
        <w:jc w:val="both"/>
        <w:spacing w:before="0" w:beforeAutospacing="0" w:after="0" w:afterAutospacing="0" w:line="360" w:lineRule="auto"/>
      </w:pPr>
      <w:r>
        <w:rPr>
          <w:rFonts w:hint="eastAsia"/>
        </w:rPr>
        <w:t xml:space="preserve">2.行数不够，可自行添加。</w:t>
      </w:r>
      <w:r/>
    </w:p>
    <w:p>
      <w:pPr>
        <w:jc w:val="center"/>
        <w:rPr>
          <w:rFonts w:ascii="黑体" w:hAnsi="Arial" w:eastAsia="黑体"/>
          <w:b/>
          <w:sz w:val="36"/>
          <w:szCs w:val="21"/>
        </w:rPr>
      </w:pPr>
      <w:r>
        <w:rPr>
          <w:rFonts w:ascii="黑体" w:hAnsi="Arial" w:eastAsia="黑体"/>
          <w:b/>
          <w:sz w:val="36"/>
          <w:szCs w:val="21"/>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3346" w:type="dxa"/>
            <w:vAlign w:val="center"/>
            <w:textDirection w:val="lrTb"/>
            <w:noWrap w:val="false"/>
          </w:tcPr>
          <w:p>
            <w:pPr>
              <w:jc w:val="center"/>
              <w:spacing w:line="480" w:lineRule="exact"/>
              <w:rPr>
                <w:rFonts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57"/>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ind w:firstLine="480"/>
        <w:rPr>
          <w:rFonts w:ascii="宋体" w:hAnsi="宋体"/>
          <w:sz w:val="24"/>
          <w:szCs w:val="24"/>
        </w:rPr>
      </w:pPr>
      <w:r>
        <w:rPr>
          <w:rFonts w:ascii="宋体" w:hAnsi="宋体"/>
          <w:sz w:val="24"/>
          <w:szCs w:val="24"/>
        </w:rPr>
      </w:r>
      <w:r/>
    </w:p>
    <w:p>
      <w:pPr>
        <w:pStyle w:val="757"/>
        <w:ind w:firstLine="480"/>
        <w:jc w:val="both"/>
        <w:spacing w:before="0" w:beforeAutospacing="0" w:after="0" w:afterAutospacing="0" w:line="360" w:lineRule="auto"/>
      </w:pPr>
      <w:r>
        <w:rPr>
          <w:rFonts w:hint="eastAsia"/>
        </w:rPr>
        <w:t xml:space="preserve">备注： </w:t>
      </w:r>
      <w:r/>
    </w:p>
    <w:p>
      <w:pPr>
        <w:pStyle w:val="757"/>
        <w:ind w:firstLine="480"/>
        <w:jc w:val="both"/>
        <w:spacing w:before="0" w:beforeAutospacing="0" w:after="0" w:afterAutospacing="0" w:line="360" w:lineRule="auto"/>
      </w:pPr>
      <w:r>
        <w:rPr>
          <w:rFonts w:hint="eastAsia"/>
        </w:rPr>
        <w:t xml:space="preserve">1.商务要求响应</w:t>
      </w:r>
      <w:r>
        <w:t xml:space="preserve">若无偏离，即可填“</w:t>
      </w:r>
      <w:r>
        <w:rPr>
          <w:rFonts w:hint="eastAsia"/>
        </w:rPr>
        <w:t xml:space="preserve">无</w:t>
      </w:r>
      <w:r>
        <w:t xml:space="preserve">。”</w:t>
      </w:r>
      <w:r/>
    </w:p>
    <w:p>
      <w:pPr>
        <w:pStyle w:val="757"/>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1011"/>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spacing w:line="360" w:lineRule="auto"/>
        <w:widowControl/>
        <w:rPr>
          <w:rFonts w:hint="eastAsia" w:ascii="黑体" w:hAnsi="黑体" w:eastAsia="黑体"/>
          <w:iCs/>
          <w:sz w:val="32"/>
          <w:szCs w:val="32"/>
        </w:rPr>
        <w:outlineLvl w:val="1"/>
      </w:pPr>
      <w:r>
        <w:rPr>
          <w:rFonts w:hint="eastAsia" w:ascii="黑体" w:hAnsi="黑体" w:eastAsia="黑体"/>
          <w:iCs/>
          <w:sz w:val="32"/>
          <w:szCs w:val="32"/>
        </w:rPr>
      </w:r>
      <w:r/>
    </w:p>
    <w:p>
      <w:pPr>
        <w:spacing w:line="360" w:lineRule="auto"/>
        <w:widowControl/>
        <w:rPr>
          <w:b/>
          <w:bCs/>
          <w:spacing w:val="8"/>
          <w:sz w:val="24"/>
          <w:szCs w:val="24"/>
        </w:rPr>
        <w:outlineLvl w:val="1"/>
      </w:pPr>
      <w:r>
        <w:rPr>
          <w:rFonts w:hint="eastAsia" w:ascii="黑体" w:hAnsi="黑体" w:eastAsia="黑体"/>
          <w:iCs/>
          <w:sz w:val="32"/>
          <w:szCs w:val="32"/>
        </w:rPr>
        <w:t xml:space="preserve">十</w:t>
      </w:r>
      <w:r>
        <w:rPr>
          <w:rFonts w:ascii="黑体" w:hAnsi="黑体" w:eastAsia="黑体"/>
          <w:iCs/>
          <w:sz w:val="32"/>
          <w:szCs w:val="32"/>
        </w:rPr>
        <w:t xml:space="preserve">、</w:t>
      </w:r>
      <w:r>
        <w:rPr>
          <w:rFonts w:hint="eastAsia" w:ascii="黑体" w:hAnsi="黑体" w:eastAsia="黑体"/>
          <w:iCs/>
          <w:sz w:val="32"/>
          <w:szCs w:val="32"/>
        </w:rPr>
        <w:t xml:space="preserve">项目成员配置表</w:t>
      </w:r>
      <w:r/>
    </w:p>
    <w:p>
      <w:pPr>
        <w:jc w:val="center"/>
        <w:spacing w:line="360" w:lineRule="auto"/>
        <w:rPr>
          <w:b/>
          <w:bCs/>
          <w:sz w:val="28"/>
          <w:szCs w:val="28"/>
          <w:lang w:val="zh-CN"/>
        </w:rPr>
      </w:pPr>
      <w:r>
        <w:rPr>
          <w:rFonts w:hint="eastAsia"/>
          <w:b/>
          <w:bCs/>
          <w:sz w:val="28"/>
          <w:szCs w:val="28"/>
        </w:rPr>
        <w:t xml:space="preserve">项目</w:t>
      </w:r>
      <w:r>
        <w:rPr>
          <w:rFonts w:hint="eastAsia"/>
          <w:b/>
          <w:bCs/>
          <w:sz w:val="28"/>
          <w:szCs w:val="28"/>
          <w:lang w:val="zh-CN"/>
        </w:rPr>
        <w:t xml:space="preserve">成员配置表</w:t>
      </w:r>
      <w:r/>
    </w:p>
    <w:p>
      <w:pPr>
        <w:ind w:firstLine="630"/>
        <w:spacing w:line="360" w:lineRule="auto"/>
        <w:widowControl/>
        <w:rPr>
          <w:rFonts w:ascii="宋体" w:hAnsi="宋体"/>
          <w:sz w:val="24"/>
          <w:szCs w:val="24"/>
          <w:lang w:val="zh-CN"/>
        </w:rPr>
      </w:pPr>
      <w:r>
        <w:rPr>
          <w:rFonts w:hint="eastAsia" w:ascii="宋体" w:hAnsi="宋体"/>
          <w:sz w:val="24"/>
          <w:szCs w:val="24"/>
          <w:lang w:val="zh-CN"/>
        </w:rPr>
        <w:t xml:space="preserve">项目名称：                                            项目编号：</w:t>
      </w:r>
      <w:r/>
    </w:p>
    <w:tbl>
      <w:tblPr>
        <w:tblStyle w:val="725"/>
        <w:tblW w:w="10002"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1982"/>
        <w:gridCol w:w="1948"/>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序号</w:t>
            </w:r>
            <w:r/>
          </w:p>
        </w:tc>
        <w:tc>
          <w:tcPr>
            <w:tcBorders>
              <w:top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姓名</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性别</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证书</w:t>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jc w:val="center"/>
              <w:spacing w:line="360" w:lineRule="auto"/>
              <w:widowControl/>
              <w:rPr>
                <w:rFonts w:ascii="宋体" w:hAnsi="宋体"/>
                <w:sz w:val="24"/>
                <w:szCs w:val="24"/>
              </w:rPr>
            </w:pPr>
            <w:r>
              <w:rPr>
                <w:rFonts w:hint="eastAsia" w:ascii="宋体" w:hAnsi="宋体"/>
                <w:sz w:val="24"/>
                <w:szCs w:val="24"/>
              </w:rPr>
              <w:t xml:space="preserve">在本项目拟任职务</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widowControl/>
              <w:rPr>
                <w:rFonts w:hint="eastAsia" w:ascii="宋体" w:hAnsi="宋体" w:eastAsia="宋体"/>
                <w:sz w:val="24"/>
                <w:szCs w:val="24"/>
                <w:lang w:eastAsia="zh-CN"/>
              </w:rPr>
            </w:pPr>
            <w:r>
              <w:rPr>
                <w:rFonts w:hint="eastAsia" w:ascii="宋体" w:hAnsi="宋体"/>
                <w:sz w:val="24"/>
                <w:szCs w:val="24"/>
                <w:lang w:eastAsia="zh-CN"/>
              </w:rPr>
              <w:t xml:space="preserve">专业能力、实际工作经验</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bl>
    <w:p>
      <w:pPr>
        <w:spacing w:line="360" w:lineRule="auto"/>
        <w:widowControl/>
        <w:rPr>
          <w:rFonts w:ascii="宋体" w:hAnsi="宋体"/>
          <w:sz w:val="24"/>
          <w:szCs w:val="24"/>
        </w:rPr>
      </w:pPr>
      <w:r>
        <w:rPr>
          <w:rFonts w:ascii="宋体" w:hAnsi="宋体"/>
          <w:sz w:val="24"/>
          <w:szCs w:val="24"/>
        </w:rPr>
      </w:r>
      <w:r/>
    </w:p>
    <w:p>
      <w:pPr>
        <w:spacing w:line="360" w:lineRule="auto"/>
        <w:widowControl/>
        <w:rPr>
          <w:rFonts w:ascii="宋体" w:hAnsi="宋体"/>
          <w:sz w:val="24"/>
          <w:szCs w:val="24"/>
        </w:rPr>
      </w:pPr>
      <w:r>
        <w:rPr>
          <w:rFonts w:ascii="宋体" w:hAnsi="宋体"/>
          <w:sz w:val="24"/>
          <w:szCs w:val="24"/>
        </w:rPr>
      </w:r>
      <w:r/>
    </w:p>
    <w:p>
      <w:pPr>
        <w:spacing w:line="360" w:lineRule="auto"/>
        <w:widowControl/>
        <w:rPr>
          <w:rFonts w:ascii="宋体" w:hAnsi="宋体"/>
          <w:sz w:val="24"/>
          <w:szCs w:val="24"/>
        </w:rPr>
      </w:pPr>
      <w:r>
        <w:rPr>
          <w:rFonts w:hint="eastAsia" w:ascii="宋体" w:hAnsi="宋体"/>
          <w:sz w:val="24"/>
          <w:szCs w:val="24"/>
        </w:rPr>
        <w:t xml:space="preserve">供应商（加盖电子公章）：</w:t>
      </w:r>
      <w:r>
        <w:rPr>
          <w:rFonts w:hint="eastAsia" w:ascii="宋体" w:hAnsi="宋体"/>
          <w:sz w:val="24"/>
          <w:szCs w:val="24"/>
          <w:u w:val="single"/>
        </w:rPr>
        <w:t xml:space="preserve">                     </w:t>
      </w:r>
      <w:r/>
    </w:p>
    <w:p>
      <w:pPr>
        <w:spacing w:line="360" w:lineRule="auto"/>
        <w:widowControl/>
        <w:rPr>
          <w:rFonts w:ascii="宋体" w:hAnsi="宋体"/>
          <w:sz w:val="24"/>
          <w:szCs w:val="24"/>
        </w:rPr>
      </w:pPr>
      <w:r>
        <w:rPr>
          <w:rFonts w:ascii="宋体" w:hAnsi="宋体"/>
          <w:sz w:val="24"/>
          <w:szCs w:val="24"/>
        </w:rPr>
      </w:r>
      <w:r/>
    </w:p>
    <w:p>
      <w:pPr>
        <w:spacing w:line="360" w:lineRule="auto"/>
        <w:widowControl/>
        <w:rPr>
          <w:rFonts w:ascii="宋体" w:hAnsi="宋体"/>
          <w:sz w:val="24"/>
          <w:szCs w:val="24"/>
          <w:u w:val="single"/>
        </w:rPr>
      </w:pPr>
      <w:r>
        <w:rPr>
          <w:rFonts w:ascii="宋体" w:hAnsi="宋体"/>
          <w:sz w:val="24"/>
          <w:szCs w:val="24"/>
          <w:u w:val="single"/>
        </w:rPr>
      </w:r>
      <w:r/>
    </w:p>
    <w:p>
      <w:pPr>
        <w:spacing w:line="360" w:lineRule="auto"/>
        <w:widowControl/>
        <w:rPr>
          <w:rFonts w:ascii="宋体" w:hAnsi="宋体"/>
          <w:sz w:val="24"/>
          <w:szCs w:val="24"/>
        </w:rPr>
        <w:sectPr>
          <w:footerReference w:type="default" r:id="rId10"/>
          <w:footnotePr/>
          <w:endnotePr/>
          <w:type w:val="nextPage"/>
          <w:pgSz w:w="12240" w:h="15840" w:orient="portrait"/>
          <w:pgMar w:top="1134" w:right="1134" w:bottom="1134" w:left="1134" w:header="720" w:footer="720" w:gutter="0"/>
          <w:cols w:num="1" w:sep="0" w:space="720" w:equalWidth="1"/>
          <w:docGrid w:linePitch="360"/>
        </w:sectPr>
      </w:pPr>
      <w:r>
        <w:rPr>
          <w:rFonts w:hint="eastAsia" w:ascii="宋体" w:hAnsi="宋体"/>
          <w:sz w:val="24"/>
          <w:szCs w:val="24"/>
        </w:rPr>
        <w:t xml:space="preserve">注：按采购文件要求及评分标准的要求，提供证明材料等，附后；如果行数不够，请自行增加</w:t>
      </w:r>
      <w:r/>
    </w:p>
    <w:p>
      <w:pPr>
        <w:jc w:val="left"/>
        <w:spacing w:line="360" w:lineRule="auto"/>
        <w:rPr>
          <w:rFonts w:ascii="黑体" w:hAnsi="黑体" w:eastAsia="黑体"/>
          <w:sz w:val="32"/>
          <w:szCs w:val="32"/>
        </w:rPr>
      </w:pPr>
      <w:r>
        <w:rPr>
          <w:rFonts w:hint="eastAsia" w:ascii="黑体" w:hAnsi="黑体" w:eastAsia="黑体"/>
          <w:iCs/>
          <w:sz w:val="32"/>
          <w:szCs w:val="32"/>
        </w:rPr>
        <w:t xml:space="preserve">十一、</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1011"/>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240" w:lineRule="atLeast"/>
        <w:widowControl/>
        <w:rPr>
          <w:rFonts w:ascii="黑体" w:hAnsi="黑体" w:eastAsia="黑体"/>
          <w:sz w:val="32"/>
          <w:szCs w:val="32"/>
        </w:rPr>
      </w:pPr>
      <w:r>
        <w:rPr>
          <w:rFonts w:hint="eastAsia" w:ascii="黑体" w:hAnsi="黑体" w:eastAsia="黑体"/>
          <w:sz w:val="32"/>
          <w:szCs w:val="32"/>
        </w:rPr>
        <w:t xml:space="preserve">十二</w:t>
      </w:r>
      <w:r>
        <w:rPr>
          <w:rFonts w:ascii="黑体" w:hAnsi="黑体" w:eastAsia="黑体"/>
          <w:sz w:val="32"/>
          <w:szCs w:val="32"/>
        </w:rPr>
        <w:t xml:space="preserve">、监狱和戒毒企业</w:t>
      </w:r>
      <w:r>
        <w:rPr>
          <w:rFonts w:hint="eastAsia" w:ascii="黑体" w:hAnsi="黑体" w:eastAsia="黑体"/>
          <w:sz w:val="32"/>
          <w:szCs w:val="32"/>
        </w:rPr>
        <w:t xml:space="preserve">证明材料（如有）</w:t>
      </w:r>
      <w:r/>
    </w:p>
    <w:p>
      <w:pPr>
        <w:jc w:val="center"/>
        <w:spacing w:line="360" w:lineRule="auto"/>
        <w:rPr>
          <w:rFonts w:ascii="黑体" w:eastAsia="黑体"/>
          <w:sz w:val="32"/>
          <w:szCs w:val="32"/>
          <w:lang w:val="zh-CN"/>
        </w:rPr>
      </w:pPr>
      <w:r>
        <w:rPr>
          <w:rFonts w:hint="eastAsia" w:ascii="黑体" w:eastAsia="黑体"/>
          <w:sz w:val="32"/>
          <w:szCs w:val="32"/>
          <w:lang w:val="zh-CN"/>
        </w:rPr>
        <w:t xml:space="preserve">提供证明材料</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360" w:lineRule="auto"/>
        <w:widowControl/>
        <w:rPr>
          <w:b/>
          <w:bCs/>
          <w:spacing w:val="8"/>
        </w:rPr>
        <w:outlineLvl w:val="1"/>
      </w:pPr>
      <w:r>
        <w:rPr>
          <w:b/>
          <w:bCs/>
          <w:spacing w:val="8"/>
        </w:rPr>
      </w:r>
      <w:r/>
    </w:p>
    <w:p>
      <w:pPr>
        <w:rPr>
          <w:lang w:val="zh-CN"/>
        </w:rPr>
      </w:pPr>
      <w:r>
        <w:rPr>
          <w:lang w:val="zh-CN"/>
        </w:rPr>
      </w:r>
      <w:r/>
    </w:p>
    <w:p>
      <w:pPr>
        <w:rPr>
          <w:lang w:val="zh-CN"/>
        </w:rPr>
      </w:pPr>
      <w:r>
        <w:rPr>
          <w:lang w:val="zh-CN"/>
        </w:r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jc w:val="center"/>
        <w:spacing w:line="440" w:lineRule="exact"/>
        <w:rPr>
          <w:rFonts w:ascii="Times New Roman" w:hAnsi="Times New Roman"/>
        </w:rPr>
      </w:pPr>
      <w:r>
        <w:rPr>
          <w:rFonts w:ascii="Times New Roman" w:hAnsi="Times New Roman"/>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Helvetica">
    <w:panose1 w:val="020B0604020202020204"/>
  </w:font>
  <w:font w:name="PMingLiU">
    <w:panose1 w:val="02020500000000000000"/>
  </w:font>
  <w:font w:name="Segoe UI">
    <w:panose1 w:val="020B0502040204020203"/>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fldChar w:fldCharType="begin"/>
    </w:r>
    <w:r>
      <w:instrText xml:space="preserve">PAGE   \* MERGEFORMAT</w:instrText>
    </w:r>
    <w:r>
      <w:fldChar w:fldCharType="separate"/>
    </w:r>
    <w:r>
      <w:rPr>
        <w:lang w:val="zh-CN" w:eastAsia="zh-CN"/>
      </w:rPr>
      <w:t xml:space="preserve">2</w:t>
    </w:r>
    <w:r>
      <w:fldChar w:fldCharType="end"/>
    </w:r>
    <w:r/>
  </w:p>
  <w:p>
    <w:pPr>
      <w:pStyle w:val="7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66"/>
        <w:rFonts w:ascii="宋体" w:hAnsi="宋体"/>
      </w:rPr>
      <w:framePr w:wrap="around" w:vAnchor="text" w:hAnchor="margin" w:xAlign="center" w:y="1"/>
    </w:pPr>
    <w:r>
      <w:rPr>
        <w:rFonts w:ascii="宋体" w:hAnsi="宋体"/>
      </w:rPr>
      <w:fldChar w:fldCharType="begin"/>
    </w:r>
    <w:r>
      <w:rPr>
        <w:rStyle w:val="766"/>
        <w:rFonts w:ascii="宋体" w:hAnsi="宋体"/>
      </w:rPr>
      <w:instrText xml:space="preserve">PAGE  </w:instrText>
    </w:r>
    <w:r>
      <w:rPr>
        <w:rFonts w:ascii="宋体" w:hAnsi="宋体"/>
      </w:rPr>
      <w:fldChar w:fldCharType="separate"/>
    </w:r>
    <w:r>
      <w:rPr>
        <w:rStyle w:val="766"/>
        <w:rFonts w:ascii="宋体" w:hAnsi="宋体"/>
      </w:rPr>
      <w:t xml:space="preserve">63</w:t>
    </w:r>
    <w:r>
      <w:rPr>
        <w:rFonts w:ascii="宋体" w:hAnsi="宋体"/>
      </w:rPr>
      <w:fldChar w:fldCharType="end"/>
    </w:r>
    <w:r/>
  </w:p>
  <w:p>
    <w:pPr>
      <w:pStyle w:val="744"/>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66"/>
      </w:rPr>
      <w:framePr w:wrap="around" w:vAnchor="text" w:hAnchor="margin" w:xAlign="center" w:y="1"/>
    </w:pPr>
    <w:r>
      <w:fldChar w:fldCharType="begin"/>
    </w:r>
    <w:r>
      <w:rPr>
        <w:rStyle w:val="766"/>
      </w:rPr>
      <w:instrText xml:space="preserve">PAGE  </w:instrText>
    </w:r>
    <w:r>
      <w:fldChar w:fldCharType="separate"/>
    </w:r>
    <w:r>
      <w:rPr>
        <w:rStyle w:val="766"/>
      </w:rPr>
      <w:t xml:space="preserve">1</w:t>
    </w:r>
    <w:r>
      <w:fldChar w:fldCharType="end"/>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0"/>
      <w:isLgl w:val="false"/>
      <w:suff w:val="nothing"/>
      <w:lvlText w:val=""/>
      <w:lvlJc w:val="left"/>
      <w:pPr>
        <w:ind w:left="0" w:firstLine="0"/>
      </w:pPr>
      <w:rPr>
        <w:rFonts w:hint="eastAsia"/>
      </w:rPr>
    </w:lvl>
    <w:lvl w:ilvl="6">
      <w:start w:val="1"/>
      <w:numFmt w:val="decimal"/>
      <w:pStyle w:val="721"/>
      <w:isLgl w:val="false"/>
      <w:suff w:val="nothing"/>
      <w:lvlText w:val=""/>
      <w:lvlJc w:val="left"/>
      <w:pPr>
        <w:ind w:left="0" w:firstLine="0"/>
      </w:pPr>
      <w:rPr>
        <w:rFonts w:hint="eastAsia"/>
      </w:rPr>
    </w:lvl>
    <w:lvl w:ilvl="7">
      <w:start w:val="1"/>
      <w:numFmt w:val="decimal"/>
      <w:pStyle w:val="722"/>
      <w:isLgl w:val="false"/>
      <w:suff w:val="nothing"/>
      <w:lvlText w:val=""/>
      <w:lvlJc w:val="left"/>
      <w:pPr>
        <w:ind w:left="0" w:firstLine="0"/>
      </w:pPr>
      <w:rPr>
        <w:rFonts w:hint="eastAsia"/>
      </w:rPr>
    </w:lvl>
    <w:lvl w:ilvl="8">
      <w:start w:val="1"/>
      <w:numFmt w:val="decimal"/>
      <w:pStyle w:val="723"/>
      <w:isLgl w:val="false"/>
      <w:suff w:val="nothing"/>
      <w:lvlText w:val=""/>
      <w:lvlJc w:val="left"/>
      <w:pPr>
        <w:ind w:left="0" w:firstLine="0"/>
      </w:pPr>
      <w:rPr>
        <w:rFonts w:hint="eastAsia"/>
      </w:rPr>
    </w:lvl>
  </w:abstractNum>
  <w:abstractNum w:abstractNumId="3">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Title Char"/>
    <w:basedOn w:val="724"/>
    <w:link w:val="759"/>
    <w:uiPriority w:val="10"/>
    <w:rPr>
      <w:sz w:val="48"/>
      <w:szCs w:val="48"/>
    </w:rPr>
  </w:style>
  <w:style w:type="character" w:styleId="709">
    <w:name w:val="Subtitle Char"/>
    <w:basedOn w:val="724"/>
    <w:link w:val="748"/>
    <w:uiPriority w:val="11"/>
    <w:rPr>
      <w:sz w:val="24"/>
      <w:szCs w:val="24"/>
    </w:rPr>
  </w:style>
  <w:style w:type="character" w:styleId="710">
    <w:name w:val="Quote Char"/>
    <w:link w:val="811"/>
    <w:uiPriority w:val="29"/>
    <w:rPr>
      <w:i/>
    </w:rPr>
  </w:style>
  <w:style w:type="character" w:styleId="711">
    <w:name w:val="Intense Quote Char"/>
    <w:link w:val="813"/>
    <w:uiPriority w:val="30"/>
    <w:rPr>
      <w:i/>
    </w:rPr>
  </w:style>
  <w:style w:type="character" w:styleId="712">
    <w:name w:val="Footnote Text Char"/>
    <w:link w:val="750"/>
    <w:uiPriority w:val="99"/>
    <w:rPr>
      <w:sz w:val="18"/>
    </w:rPr>
  </w:style>
  <w:style w:type="character" w:styleId="713">
    <w:name w:val="Endnote Text Char"/>
    <w:link w:val="742"/>
    <w:uiPriority w:val="99"/>
    <w:rPr>
      <w:sz w:val="20"/>
    </w:rPr>
  </w:style>
  <w:style w:type="paragraph" w:styleId="714" w:default="1">
    <w:name w:val="Normal"/>
    <w:next w:val="718"/>
    <w:uiPriority w:val="0"/>
    <w:qFormat/>
    <w:pPr>
      <w:jc w:val="both"/>
      <w:widowControl w:val="off"/>
    </w:pPr>
    <w:rPr>
      <w:rFonts w:ascii="Calibri" w:hAnsi="Calibri" w:eastAsia="宋体" w:cs="Times New Roman"/>
      <w:sz w:val="21"/>
      <w:szCs w:val="22"/>
      <w:lang w:val="en-US" w:eastAsia="zh-CN" w:bidi="ar-SA"/>
    </w:rPr>
  </w:style>
  <w:style w:type="paragraph" w:styleId="715">
    <w:name w:val="Heading 1"/>
    <w:basedOn w:val="714"/>
    <w:next w:val="714"/>
    <w:link w:val="770"/>
    <w:uiPriority w:val="0"/>
    <w:qFormat/>
    <w:pPr>
      <w:jc w:val="center"/>
      <w:keepNext/>
      <w:outlineLvl w:val="0"/>
    </w:pPr>
    <w:rPr>
      <w:rFonts w:ascii="楷体_GB2312" w:hAnsi="Times New Roman" w:eastAsia="楷体_GB2312"/>
      <w:sz w:val="28"/>
      <w:szCs w:val="28"/>
      <w:lang w:eastAsia="en-US"/>
    </w:rPr>
  </w:style>
  <w:style w:type="paragraph" w:styleId="716">
    <w:name w:val="Heading 2"/>
    <w:basedOn w:val="714"/>
    <w:next w:val="726"/>
    <w:link w:val="77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717">
    <w:name w:val="Heading 3"/>
    <w:basedOn w:val="714"/>
    <w:next w:val="726"/>
    <w:link w:val="773"/>
    <w:uiPriority w:val="0"/>
    <w:qFormat/>
    <w:pPr>
      <w:keepLines/>
      <w:keepNext/>
      <w:spacing w:before="260" w:after="260" w:line="416" w:lineRule="auto"/>
      <w:outlineLvl w:val="2"/>
    </w:pPr>
    <w:rPr>
      <w:rFonts w:ascii="Times New Roman" w:hAnsi="Times New Roman"/>
      <w:b/>
      <w:bCs/>
      <w:sz w:val="32"/>
      <w:szCs w:val="32"/>
      <w:lang w:eastAsia="en-US"/>
    </w:rPr>
  </w:style>
  <w:style w:type="paragraph" w:styleId="718">
    <w:name w:val="Heading 4"/>
    <w:basedOn w:val="714"/>
    <w:next w:val="714"/>
    <w:link w:val="774"/>
    <w:uiPriority w:val="0"/>
    <w:qFormat/>
    <w:pPr>
      <w:keepLines/>
      <w:keepNext/>
      <w:spacing w:before="280" w:after="290" w:line="376" w:lineRule="auto"/>
      <w:outlineLvl w:val="3"/>
    </w:pPr>
    <w:rPr>
      <w:rFonts w:ascii="Arial" w:hAnsi="Arial" w:eastAsia="黑体"/>
      <w:b/>
      <w:bCs/>
      <w:sz w:val="28"/>
      <w:szCs w:val="28"/>
      <w:lang w:eastAsia="en-US"/>
    </w:rPr>
  </w:style>
  <w:style w:type="paragraph" w:styleId="719">
    <w:name w:val="Heading 5"/>
    <w:basedOn w:val="714"/>
    <w:next w:val="726"/>
    <w:link w:val="775"/>
    <w:uiPriority w:val="0"/>
    <w:qFormat/>
    <w:pPr>
      <w:keepNext/>
      <w:outlineLvl w:val="4"/>
    </w:pPr>
    <w:rPr>
      <w:rFonts w:ascii="宋体" w:hAnsi="Times New Roman"/>
      <w:color w:val="000000"/>
      <w:sz w:val="28"/>
      <w:szCs w:val="28"/>
      <w:lang w:eastAsia="en-US"/>
    </w:rPr>
  </w:style>
  <w:style w:type="paragraph" w:styleId="720">
    <w:name w:val="Heading 6"/>
    <w:basedOn w:val="714"/>
    <w:next w:val="714"/>
    <w:link w:val="77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21">
    <w:name w:val="Heading 7"/>
    <w:basedOn w:val="714"/>
    <w:next w:val="714"/>
    <w:link w:val="777"/>
    <w:uiPriority w:val="0"/>
    <w:qFormat/>
    <w:pPr>
      <w:numPr>
        <w:ilvl w:val="6"/>
        <w:numId w:val="1"/>
      </w:numPr>
      <w:keepLines/>
      <w:keepNext/>
      <w:spacing w:before="240" w:after="64" w:line="320" w:lineRule="auto"/>
      <w:outlineLvl w:val="6"/>
    </w:pPr>
    <w:rPr>
      <w:rFonts w:ascii="Times New Roman" w:hAnsi="Times New Roman"/>
      <w:b/>
      <w:bCs/>
      <w:sz w:val="24"/>
      <w:szCs w:val="24"/>
      <w:lang w:eastAsia="en-US"/>
    </w:rPr>
  </w:style>
  <w:style w:type="paragraph" w:styleId="722">
    <w:name w:val="Heading 8"/>
    <w:basedOn w:val="714"/>
    <w:next w:val="714"/>
    <w:link w:val="77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23">
    <w:name w:val="Heading 9"/>
    <w:basedOn w:val="714"/>
    <w:next w:val="714"/>
    <w:link w:val="779"/>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Normal Indent"/>
    <w:basedOn w:val="714"/>
    <w:link w:val="772"/>
    <w:uiPriority w:val="99"/>
    <w:qFormat/>
    <w:pPr>
      <w:ind w:firstLine="420"/>
    </w:pPr>
    <w:rPr>
      <w:sz w:val="20"/>
      <w:szCs w:val="21"/>
      <w:lang w:eastAsia="en-US"/>
    </w:rPr>
  </w:style>
  <w:style w:type="paragraph" w:styleId="727">
    <w:name w:val="List 3"/>
    <w:basedOn w:val="714"/>
    <w:uiPriority w:val="0"/>
    <w:qFormat/>
    <w:pPr>
      <w:ind w:left="100" w:hanging="200"/>
    </w:pPr>
    <w:rPr>
      <w:rFonts w:ascii="Times New Roman" w:hAnsi="Times New Roman"/>
      <w:szCs w:val="21"/>
    </w:rPr>
  </w:style>
  <w:style w:type="paragraph" w:styleId="728">
    <w:name w:val="toc 7"/>
    <w:basedOn w:val="714"/>
    <w:next w:val="714"/>
    <w:uiPriority w:val="0"/>
    <w:semiHidden/>
    <w:qFormat/>
    <w:pPr>
      <w:ind w:left="1260"/>
      <w:jc w:val="left"/>
    </w:pPr>
    <w:rPr>
      <w:rFonts w:ascii="Times New Roman" w:hAnsi="Times New Roman"/>
      <w:szCs w:val="21"/>
    </w:rPr>
  </w:style>
  <w:style w:type="paragraph" w:styleId="729">
    <w:name w:val="Caption"/>
    <w:basedOn w:val="714"/>
    <w:next w:val="714"/>
    <w:uiPriority w:val="35"/>
    <w:qFormat/>
    <w:pPr>
      <w:spacing w:line="276" w:lineRule="auto"/>
    </w:pPr>
    <w:rPr>
      <w:b/>
      <w:bCs/>
      <w:color w:val="4f81bd"/>
      <w:sz w:val="18"/>
      <w:szCs w:val="18"/>
    </w:rPr>
  </w:style>
  <w:style w:type="paragraph" w:styleId="730">
    <w:name w:val="Document Map"/>
    <w:basedOn w:val="714"/>
    <w:link w:val="780"/>
    <w:uiPriority w:val="0"/>
    <w:semiHidden/>
    <w:qFormat/>
    <w:pPr>
      <w:shd w:val="clear" w:color="auto" w:fill="000080"/>
    </w:pPr>
    <w:rPr>
      <w:rFonts w:ascii="Times New Roman" w:hAnsi="Times New Roman"/>
      <w:sz w:val="20"/>
      <w:szCs w:val="21"/>
      <w:lang w:eastAsia="en-US"/>
    </w:rPr>
  </w:style>
  <w:style w:type="paragraph" w:styleId="731">
    <w:name w:val="annotation text"/>
    <w:basedOn w:val="714"/>
    <w:link w:val="781"/>
    <w:uiPriority w:val="99"/>
    <w:unhideWhenUsed/>
    <w:qFormat/>
    <w:pPr>
      <w:jc w:val="left"/>
    </w:pPr>
  </w:style>
  <w:style w:type="paragraph" w:styleId="732">
    <w:name w:val="Body Text 3"/>
    <w:basedOn w:val="714"/>
    <w:link w:val="782"/>
    <w:uiPriority w:val="0"/>
    <w:qFormat/>
    <w:rPr>
      <w:rFonts w:ascii="仿宋_GB2312" w:hAnsi="Arial" w:eastAsia="仿宋_GB2312"/>
      <w:sz w:val="32"/>
      <w:szCs w:val="32"/>
      <w:lang w:eastAsia="en-US"/>
    </w:rPr>
  </w:style>
  <w:style w:type="paragraph" w:styleId="733">
    <w:name w:val="Body Text"/>
    <w:basedOn w:val="714"/>
    <w:link w:val="783"/>
    <w:uiPriority w:val="0"/>
    <w:qFormat/>
    <w:rPr>
      <w:rFonts w:ascii="楷体_GB2312" w:hAnsi="Arial" w:eastAsia="楷体_GB2312"/>
      <w:sz w:val="28"/>
      <w:szCs w:val="28"/>
      <w:lang w:eastAsia="en-US"/>
    </w:rPr>
  </w:style>
  <w:style w:type="paragraph" w:styleId="734">
    <w:name w:val="Body Text Indent"/>
    <w:basedOn w:val="714"/>
    <w:link w:val="784"/>
    <w:uiPriority w:val="99"/>
    <w:unhideWhenUsed/>
    <w:qFormat/>
    <w:pPr>
      <w:ind w:left="420"/>
      <w:spacing w:after="120"/>
    </w:pPr>
  </w:style>
  <w:style w:type="paragraph" w:styleId="735">
    <w:name w:val="List 2"/>
    <w:basedOn w:val="714"/>
    <w:uiPriority w:val="0"/>
    <w:qFormat/>
    <w:pPr>
      <w:ind w:left="100" w:hanging="200"/>
    </w:pPr>
    <w:rPr>
      <w:rFonts w:ascii="Times New Roman" w:hAnsi="Times New Roman"/>
      <w:szCs w:val="21"/>
    </w:rPr>
  </w:style>
  <w:style w:type="paragraph" w:styleId="736">
    <w:name w:val="toc 5"/>
    <w:basedOn w:val="714"/>
    <w:next w:val="714"/>
    <w:uiPriority w:val="0"/>
    <w:semiHidden/>
    <w:qFormat/>
    <w:pPr>
      <w:ind w:left="840"/>
      <w:jc w:val="left"/>
    </w:pPr>
    <w:rPr>
      <w:rFonts w:ascii="Times New Roman" w:hAnsi="Times New Roman"/>
      <w:szCs w:val="21"/>
    </w:rPr>
  </w:style>
  <w:style w:type="paragraph" w:styleId="737">
    <w:name w:val="toc 3"/>
    <w:basedOn w:val="714"/>
    <w:next w:val="714"/>
    <w:uiPriority w:val="0"/>
    <w:semiHidden/>
    <w:qFormat/>
    <w:pPr>
      <w:ind w:left="420"/>
      <w:jc w:val="left"/>
    </w:pPr>
    <w:rPr>
      <w:rFonts w:ascii="Times New Roman" w:hAnsi="Times New Roman"/>
      <w:i/>
      <w:iCs/>
      <w:szCs w:val="24"/>
    </w:rPr>
  </w:style>
  <w:style w:type="paragraph" w:styleId="738">
    <w:name w:val="Plain Text"/>
    <w:basedOn w:val="714"/>
    <w:link w:val="785"/>
    <w:uiPriority w:val="99"/>
    <w:qFormat/>
    <w:rPr>
      <w:rFonts w:ascii="宋体" w:hAnsi="Courier New"/>
      <w:sz w:val="20"/>
      <w:szCs w:val="21"/>
      <w:lang w:eastAsia="en-US"/>
    </w:rPr>
  </w:style>
  <w:style w:type="paragraph" w:styleId="739">
    <w:name w:val="toc 8"/>
    <w:basedOn w:val="714"/>
    <w:next w:val="714"/>
    <w:uiPriority w:val="0"/>
    <w:semiHidden/>
    <w:qFormat/>
    <w:pPr>
      <w:ind w:left="1470"/>
      <w:jc w:val="left"/>
    </w:pPr>
    <w:rPr>
      <w:rFonts w:ascii="Times New Roman" w:hAnsi="Times New Roman"/>
      <w:szCs w:val="21"/>
    </w:rPr>
  </w:style>
  <w:style w:type="paragraph" w:styleId="740">
    <w:name w:val="Date"/>
    <w:basedOn w:val="714"/>
    <w:next w:val="714"/>
    <w:link w:val="786"/>
    <w:uiPriority w:val="0"/>
    <w:qFormat/>
    <w:rPr>
      <w:rFonts w:ascii="Times New Roman" w:hAnsi="Times New Roman"/>
      <w:sz w:val="24"/>
      <w:szCs w:val="24"/>
      <w:lang w:eastAsia="en-US"/>
    </w:rPr>
  </w:style>
  <w:style w:type="paragraph" w:styleId="741">
    <w:name w:val="Body Text Indent 2"/>
    <w:basedOn w:val="714"/>
    <w:link w:val="787"/>
    <w:uiPriority w:val="0"/>
    <w:qFormat/>
    <w:pPr>
      <w:ind w:left="630" w:firstLine="645"/>
    </w:pPr>
    <w:rPr>
      <w:rFonts w:ascii="Arial" w:hAnsi="Arial" w:eastAsia="仿宋_GB2312"/>
      <w:sz w:val="32"/>
      <w:szCs w:val="32"/>
      <w:lang w:eastAsia="en-US"/>
    </w:rPr>
  </w:style>
  <w:style w:type="paragraph" w:styleId="742">
    <w:name w:val="endnote text"/>
    <w:basedOn w:val="714"/>
    <w:link w:val="788"/>
    <w:uiPriority w:val="99"/>
    <w:unhideWhenUsed/>
    <w:qFormat/>
    <w:rPr>
      <w:sz w:val="20"/>
    </w:rPr>
  </w:style>
  <w:style w:type="paragraph" w:styleId="743">
    <w:name w:val="Balloon Text"/>
    <w:basedOn w:val="714"/>
    <w:link w:val="789"/>
    <w:uiPriority w:val="0"/>
    <w:semiHidden/>
    <w:qFormat/>
    <w:rPr>
      <w:rFonts w:ascii="Times New Roman" w:hAnsi="Times New Roman"/>
      <w:sz w:val="18"/>
      <w:szCs w:val="18"/>
      <w:lang w:eastAsia="en-US"/>
    </w:rPr>
  </w:style>
  <w:style w:type="paragraph" w:styleId="744">
    <w:name w:val="Footer"/>
    <w:basedOn w:val="714"/>
    <w:link w:val="790"/>
    <w:uiPriority w:val="99"/>
    <w:qFormat/>
    <w:pPr>
      <w:jc w:val="left"/>
      <w:tabs>
        <w:tab w:val="center" w:pos="4153" w:leader="none"/>
        <w:tab w:val="right" w:pos="8306" w:leader="none"/>
      </w:tabs>
    </w:pPr>
    <w:rPr>
      <w:rFonts w:ascii="Times New Roman" w:hAnsi="Times New Roman"/>
      <w:sz w:val="18"/>
      <w:szCs w:val="18"/>
      <w:lang w:eastAsia="en-US"/>
    </w:rPr>
  </w:style>
  <w:style w:type="paragraph" w:styleId="745">
    <w:name w:val="Header"/>
    <w:basedOn w:val="714"/>
    <w:link w:val="791"/>
    <w:uiPriority w:val="0"/>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paragraph" w:styleId="746">
    <w:name w:val="toc 1"/>
    <w:basedOn w:val="714"/>
    <w:next w:val="714"/>
    <w:uiPriority w:val="39"/>
    <w:qFormat/>
    <w:pPr>
      <w:jc w:val="left"/>
      <w:spacing w:before="120" w:after="120" w:line="400" w:lineRule="exact"/>
      <w:tabs>
        <w:tab w:val="right" w:pos="8720" w:leader="dot"/>
      </w:tabs>
    </w:pPr>
    <w:rPr>
      <w:rFonts w:ascii="宋体" w:hAnsi="宋体"/>
      <w:caps/>
      <w:sz w:val="24"/>
      <w:szCs w:val="24"/>
    </w:rPr>
  </w:style>
  <w:style w:type="paragraph" w:styleId="747">
    <w:name w:val="toc 4"/>
    <w:basedOn w:val="714"/>
    <w:next w:val="714"/>
    <w:uiPriority w:val="0"/>
    <w:semiHidden/>
    <w:qFormat/>
    <w:pPr>
      <w:ind w:left="630"/>
      <w:jc w:val="left"/>
    </w:pPr>
    <w:rPr>
      <w:rFonts w:ascii="Times New Roman" w:hAnsi="Times New Roman"/>
      <w:szCs w:val="21"/>
    </w:rPr>
  </w:style>
  <w:style w:type="paragraph" w:styleId="748">
    <w:name w:val="Subtitle"/>
    <w:basedOn w:val="714"/>
    <w:next w:val="714"/>
    <w:link w:val="792"/>
    <w:uiPriority w:val="11"/>
    <w:qFormat/>
    <w:pPr>
      <w:spacing w:before="200" w:after="200"/>
    </w:pPr>
    <w:rPr>
      <w:sz w:val="24"/>
      <w:szCs w:val="24"/>
    </w:rPr>
  </w:style>
  <w:style w:type="paragraph" w:styleId="749">
    <w:name w:val="List"/>
    <w:basedOn w:val="714"/>
    <w:uiPriority w:val="0"/>
    <w:qFormat/>
    <w:pPr>
      <w:ind w:left="200" w:hanging="200"/>
    </w:pPr>
    <w:rPr>
      <w:rFonts w:ascii="Times New Roman" w:hAnsi="Times New Roman"/>
      <w:szCs w:val="21"/>
    </w:rPr>
  </w:style>
  <w:style w:type="paragraph" w:styleId="750">
    <w:name w:val="footnote text"/>
    <w:basedOn w:val="714"/>
    <w:link w:val="793"/>
    <w:uiPriority w:val="99"/>
    <w:unhideWhenUsed/>
    <w:qFormat/>
    <w:pPr>
      <w:spacing w:after="40"/>
    </w:pPr>
    <w:rPr>
      <w:sz w:val="18"/>
    </w:rPr>
  </w:style>
  <w:style w:type="paragraph" w:styleId="751">
    <w:name w:val="toc 6"/>
    <w:basedOn w:val="714"/>
    <w:next w:val="714"/>
    <w:uiPriority w:val="0"/>
    <w:semiHidden/>
    <w:qFormat/>
    <w:pPr>
      <w:ind w:left="1050"/>
      <w:jc w:val="left"/>
    </w:pPr>
    <w:rPr>
      <w:rFonts w:ascii="Times New Roman" w:hAnsi="Times New Roman"/>
      <w:szCs w:val="21"/>
    </w:rPr>
  </w:style>
  <w:style w:type="paragraph" w:styleId="752">
    <w:name w:val="Body Text Indent 3"/>
    <w:basedOn w:val="714"/>
    <w:link w:val="794"/>
    <w:uiPriority w:val="0"/>
    <w:qFormat/>
    <w:pPr>
      <w:ind w:left="645" w:firstLine="645"/>
    </w:pPr>
    <w:rPr>
      <w:rFonts w:ascii="Arial" w:hAnsi="Arial" w:eastAsia="仿宋_GB2312"/>
      <w:color w:val="ffff00"/>
      <w:sz w:val="32"/>
      <w:szCs w:val="32"/>
      <w:lang w:eastAsia="en-US"/>
    </w:rPr>
  </w:style>
  <w:style w:type="paragraph" w:styleId="753">
    <w:name w:val="table of figures"/>
    <w:basedOn w:val="714"/>
    <w:next w:val="714"/>
    <w:uiPriority w:val="0"/>
    <w:semiHidden/>
    <w:qFormat/>
    <w:pPr>
      <w:ind w:left="840" w:hanging="420"/>
    </w:pPr>
    <w:rPr>
      <w:rFonts w:ascii="Times New Roman" w:hAnsi="Times New Roman"/>
      <w:szCs w:val="21"/>
    </w:rPr>
  </w:style>
  <w:style w:type="paragraph" w:styleId="754">
    <w:name w:val="toc 2"/>
    <w:basedOn w:val="714"/>
    <w:next w:val="714"/>
    <w:uiPriority w:val="0"/>
    <w:semiHidden/>
    <w:qFormat/>
    <w:pPr>
      <w:ind w:left="210"/>
      <w:jc w:val="left"/>
    </w:pPr>
    <w:rPr>
      <w:rFonts w:ascii="Times New Roman" w:hAnsi="Times New Roman"/>
      <w:smallCaps/>
      <w:szCs w:val="24"/>
    </w:rPr>
  </w:style>
  <w:style w:type="paragraph" w:styleId="755">
    <w:name w:val="toc 9"/>
    <w:basedOn w:val="714"/>
    <w:next w:val="714"/>
    <w:uiPriority w:val="0"/>
    <w:semiHidden/>
    <w:qFormat/>
    <w:pPr>
      <w:ind w:left="1680"/>
      <w:jc w:val="left"/>
    </w:pPr>
    <w:rPr>
      <w:rFonts w:ascii="Times New Roman" w:hAnsi="Times New Roman"/>
      <w:szCs w:val="21"/>
    </w:rPr>
  </w:style>
  <w:style w:type="paragraph" w:styleId="756">
    <w:name w:val="Body Text 2"/>
    <w:basedOn w:val="714"/>
    <w:link w:val="795"/>
    <w:uiPriority w:val="0"/>
    <w:qFormat/>
    <w:pPr>
      <w:jc w:val="center"/>
      <w:widowControl/>
    </w:pPr>
    <w:rPr>
      <w:rFonts w:ascii="楷体_GB2312" w:hAnsi="Times New Roman" w:eastAsia="楷体_GB2312"/>
      <w:sz w:val="28"/>
      <w:szCs w:val="28"/>
      <w:lang w:eastAsia="en-US"/>
    </w:rPr>
  </w:style>
  <w:style w:type="paragraph" w:styleId="757">
    <w:name w:val="Normal (Web)"/>
    <w:basedOn w:val="714"/>
    <w:link w:val="1015"/>
    <w:uiPriority w:val="99"/>
    <w:qFormat/>
    <w:pPr>
      <w:jc w:val="left"/>
      <w:spacing w:before="100" w:beforeAutospacing="1" w:after="100" w:afterAutospacing="1"/>
      <w:widowControl/>
    </w:pPr>
    <w:rPr>
      <w:rFonts w:ascii="宋体" w:hAnsi="宋体" w:cs="宋体"/>
      <w:sz w:val="24"/>
      <w:szCs w:val="24"/>
    </w:rPr>
  </w:style>
  <w:style w:type="paragraph" w:styleId="758">
    <w:name w:val="index 1"/>
    <w:basedOn w:val="714"/>
    <w:next w:val="714"/>
    <w:uiPriority w:val="0"/>
    <w:semiHidden/>
    <w:qFormat/>
    <w:pPr>
      <w:spacing w:line="240" w:lineRule="atLeast"/>
    </w:pPr>
    <w:rPr>
      <w:rFonts w:ascii="Times New Roman" w:hAnsi="Times New Roman"/>
      <w:b/>
      <w:bCs/>
      <w:szCs w:val="21"/>
    </w:rPr>
  </w:style>
  <w:style w:type="paragraph" w:styleId="759">
    <w:name w:val="Title"/>
    <w:basedOn w:val="714"/>
    <w:next w:val="714"/>
    <w:link w:val="796"/>
    <w:uiPriority w:val="10"/>
    <w:qFormat/>
    <w:pPr>
      <w:contextualSpacing/>
      <w:spacing w:before="300" w:after="200"/>
    </w:pPr>
    <w:rPr>
      <w:sz w:val="48"/>
      <w:szCs w:val="48"/>
    </w:rPr>
  </w:style>
  <w:style w:type="paragraph" w:styleId="760">
    <w:name w:val="annotation subject"/>
    <w:basedOn w:val="731"/>
    <w:next w:val="731"/>
    <w:link w:val="797"/>
    <w:uiPriority w:val="0"/>
    <w:semiHidden/>
    <w:qFormat/>
    <w:rPr>
      <w:rFonts w:ascii="Times New Roman" w:hAnsi="Times New Roman"/>
      <w:b/>
      <w:bCs/>
      <w:sz w:val="20"/>
      <w:szCs w:val="21"/>
      <w:lang w:eastAsia="en-US"/>
    </w:rPr>
  </w:style>
  <w:style w:type="paragraph" w:styleId="761">
    <w:name w:val="Body Text First Indent"/>
    <w:basedOn w:val="714"/>
    <w:link w:val="798"/>
    <w:uiPriority w:val="0"/>
    <w:qFormat/>
    <w:pPr>
      <w:ind w:firstLine="200"/>
      <w:spacing w:line="360" w:lineRule="auto"/>
    </w:pPr>
    <w:rPr>
      <w:rFonts w:ascii="仿宋_GB2312" w:hAnsi="Times New Roman" w:eastAsia="仿宋_GB2312"/>
      <w:sz w:val="30"/>
      <w:szCs w:val="30"/>
      <w:lang w:eastAsia="en-US"/>
    </w:rPr>
  </w:style>
  <w:style w:type="paragraph" w:styleId="762">
    <w:name w:val="Body Text First Indent 2"/>
    <w:basedOn w:val="734"/>
    <w:link w:val="799"/>
    <w:uiPriority w:val="0"/>
    <w:qFormat/>
    <w:pPr>
      <w:ind w:left="0" w:firstLine="420"/>
      <w:spacing w:after="0" w:line="360" w:lineRule="auto"/>
    </w:pPr>
    <w:rPr>
      <w:rFonts w:ascii="宋体" w:hAnsi="宋体"/>
      <w:sz w:val="20"/>
      <w:szCs w:val="20"/>
      <w:lang w:eastAsia="en-US"/>
    </w:rPr>
  </w:style>
  <w:style w:type="table" w:styleId="763">
    <w:name w:val="Table Grid"/>
    <w:basedOn w:val="725"/>
    <w:uiPriority w:val="59"/>
    <w:qFormat/>
    <w:pPr>
      <w:jc w:val="both"/>
      <w:widowControl w:val="off"/>
    </w:pPr>
    <w:rPr>
      <w:rFonts w:ascii="Times New Roman" w:hAnsi="Times New Roman"/>
    </w:rPr>
    <w:tblPr>
      <w:tblCellMar>
        <w:left w:w="108" w:type="dxa"/>
        <w:top w:w="0" w:type="dxa"/>
        <w:right w:w="108" w:type="dxa"/>
        <w:bottom w:w="0" w:type="dxa"/>
      </w:tblCellMar>
    </w:tblPr>
  </w:style>
  <w:style w:type="character" w:styleId="764">
    <w:name w:val="Strong"/>
    <w:uiPriority w:val="22"/>
    <w:qFormat/>
    <w:rPr>
      <w:b/>
      <w:bCs/>
    </w:rPr>
  </w:style>
  <w:style w:type="character" w:styleId="765">
    <w:name w:val="endnote reference"/>
    <w:uiPriority w:val="99"/>
    <w:unhideWhenUsed/>
    <w:qFormat/>
    <w:rPr>
      <w:vertAlign w:val="superscript"/>
    </w:rPr>
  </w:style>
  <w:style w:type="character" w:styleId="766">
    <w:name w:val="page number"/>
    <w:uiPriority w:val="0"/>
    <w:qFormat/>
  </w:style>
  <w:style w:type="character" w:styleId="767">
    <w:name w:val="Hyperlink"/>
    <w:uiPriority w:val="99"/>
    <w:qFormat/>
    <w:rPr>
      <w:color w:val="0000ff"/>
      <w:u w:val="single"/>
    </w:rPr>
  </w:style>
  <w:style w:type="character" w:styleId="768">
    <w:name w:val="annotation reference"/>
    <w:uiPriority w:val="0"/>
    <w:semiHidden/>
    <w:qFormat/>
    <w:rPr>
      <w:sz w:val="21"/>
      <w:szCs w:val="21"/>
    </w:rPr>
  </w:style>
  <w:style w:type="character" w:styleId="769">
    <w:name w:val="footnote reference"/>
    <w:uiPriority w:val="99"/>
    <w:unhideWhenUsed/>
    <w:qFormat/>
    <w:rPr>
      <w:vertAlign w:val="superscript"/>
    </w:rPr>
  </w:style>
  <w:style w:type="character" w:styleId="770" w:customStyle="1">
    <w:name w:val="标题 1 Char"/>
    <w:link w:val="715"/>
    <w:uiPriority w:val="0"/>
    <w:qFormat/>
    <w:rPr>
      <w:rFonts w:ascii="楷体_GB2312" w:hAnsi="Times New Roman" w:eastAsia="楷体_GB2312" w:cs="Times New Roman"/>
      <w:sz w:val="28"/>
      <w:szCs w:val="28"/>
    </w:rPr>
  </w:style>
  <w:style w:type="character" w:styleId="771" w:customStyle="1">
    <w:name w:val="标题 2 Char"/>
    <w:link w:val="716"/>
    <w:uiPriority w:val="0"/>
    <w:qFormat/>
    <w:rPr>
      <w:rFonts w:ascii="Arial" w:hAnsi="Arial" w:eastAsia="幼圆" w:cs="Arial"/>
      <w:b/>
      <w:bCs/>
      <w:sz w:val="44"/>
      <w:szCs w:val="44"/>
    </w:rPr>
  </w:style>
  <w:style w:type="character" w:styleId="772" w:customStyle="1">
    <w:name w:val="正文缩进 Char"/>
    <w:link w:val="726"/>
    <w:uiPriority w:val="0"/>
    <w:qFormat/>
    <w:rPr>
      <w:szCs w:val="21"/>
    </w:rPr>
  </w:style>
  <w:style w:type="character" w:styleId="773" w:customStyle="1">
    <w:name w:val="标题 3 Char"/>
    <w:link w:val="717"/>
    <w:uiPriority w:val="0"/>
    <w:qFormat/>
    <w:rPr>
      <w:rFonts w:ascii="Times New Roman" w:hAnsi="Times New Roman" w:eastAsia="宋体" w:cs="Times New Roman"/>
      <w:b/>
      <w:bCs/>
      <w:sz w:val="32"/>
      <w:szCs w:val="32"/>
    </w:rPr>
  </w:style>
  <w:style w:type="character" w:styleId="774" w:customStyle="1">
    <w:name w:val="标题 4 Char"/>
    <w:link w:val="718"/>
    <w:uiPriority w:val="0"/>
    <w:qFormat/>
    <w:rPr>
      <w:rFonts w:ascii="Arial" w:hAnsi="Arial" w:eastAsia="黑体" w:cs="Arial"/>
      <w:b/>
      <w:bCs/>
      <w:sz w:val="28"/>
      <w:szCs w:val="28"/>
    </w:rPr>
  </w:style>
  <w:style w:type="character" w:styleId="775" w:customStyle="1">
    <w:name w:val="标题 5 Char"/>
    <w:link w:val="719"/>
    <w:uiPriority w:val="0"/>
    <w:qFormat/>
    <w:rPr>
      <w:rFonts w:ascii="宋体" w:hAnsi="Times New Roman" w:eastAsia="宋体" w:cs="Times New Roman"/>
      <w:color w:val="000000"/>
      <w:sz w:val="28"/>
      <w:szCs w:val="28"/>
    </w:rPr>
  </w:style>
  <w:style w:type="character" w:styleId="776" w:customStyle="1">
    <w:name w:val="标题 6 Char"/>
    <w:link w:val="720"/>
    <w:uiPriority w:val="0"/>
    <w:qFormat/>
    <w:rPr>
      <w:rFonts w:ascii="Arial" w:hAnsi="Arial" w:eastAsia="黑体" w:cs="Times New Roman"/>
      <w:b/>
      <w:bCs/>
      <w:sz w:val="24"/>
      <w:szCs w:val="24"/>
    </w:rPr>
  </w:style>
  <w:style w:type="character" w:styleId="777" w:customStyle="1">
    <w:name w:val="标题 7 Char"/>
    <w:link w:val="721"/>
    <w:uiPriority w:val="0"/>
    <w:qFormat/>
    <w:rPr>
      <w:rFonts w:ascii="Times New Roman" w:hAnsi="Times New Roman" w:eastAsia="宋体" w:cs="Times New Roman"/>
      <w:b/>
      <w:bCs/>
      <w:sz w:val="24"/>
      <w:szCs w:val="24"/>
    </w:rPr>
  </w:style>
  <w:style w:type="character" w:styleId="778" w:customStyle="1">
    <w:name w:val="标题 8 Char"/>
    <w:link w:val="722"/>
    <w:uiPriority w:val="0"/>
    <w:qFormat/>
    <w:rPr>
      <w:rFonts w:ascii="Arial" w:hAnsi="Arial" w:eastAsia="黑体" w:cs="Times New Roman"/>
      <w:sz w:val="24"/>
      <w:szCs w:val="24"/>
    </w:rPr>
  </w:style>
  <w:style w:type="character" w:styleId="779" w:customStyle="1">
    <w:name w:val="标题 9 Char"/>
    <w:link w:val="723"/>
    <w:uiPriority w:val="0"/>
    <w:qFormat/>
    <w:rPr>
      <w:rFonts w:ascii="Arial" w:hAnsi="Arial" w:eastAsia="黑体" w:cs="Times New Roman"/>
      <w:szCs w:val="21"/>
    </w:rPr>
  </w:style>
  <w:style w:type="character" w:styleId="780" w:customStyle="1">
    <w:name w:val="文档结构图 Char"/>
    <w:link w:val="730"/>
    <w:uiPriority w:val="0"/>
    <w:semiHidden/>
    <w:qFormat/>
    <w:rPr>
      <w:rFonts w:ascii="Times New Roman" w:hAnsi="Times New Roman" w:eastAsia="宋体" w:cs="Times New Roman"/>
      <w:szCs w:val="21"/>
      <w:shd w:val="clear" w:color="auto" w:fill="000080"/>
    </w:rPr>
  </w:style>
  <w:style w:type="character" w:styleId="781" w:customStyle="1">
    <w:name w:val="批注文字 Char"/>
    <w:link w:val="731"/>
    <w:uiPriority w:val="99"/>
    <w:semiHidden/>
    <w:qFormat/>
  </w:style>
  <w:style w:type="character" w:styleId="782" w:customStyle="1">
    <w:name w:val="正文文本 3 Char"/>
    <w:link w:val="732"/>
    <w:uiPriority w:val="0"/>
    <w:qFormat/>
    <w:rPr>
      <w:rFonts w:ascii="仿宋_GB2312" w:hAnsi="Arial" w:eastAsia="仿宋_GB2312" w:cs="Times New Roman"/>
      <w:sz w:val="32"/>
      <w:szCs w:val="32"/>
    </w:rPr>
  </w:style>
  <w:style w:type="character" w:styleId="783" w:customStyle="1">
    <w:name w:val="正文文本 Char"/>
    <w:link w:val="733"/>
    <w:uiPriority w:val="0"/>
    <w:qFormat/>
    <w:rPr>
      <w:rFonts w:ascii="楷体_GB2312" w:hAnsi="Arial" w:eastAsia="楷体_GB2312" w:cs="Times New Roman"/>
      <w:sz w:val="28"/>
      <w:szCs w:val="28"/>
    </w:rPr>
  </w:style>
  <w:style w:type="character" w:styleId="784" w:customStyle="1">
    <w:name w:val="正文文本缩进 Char"/>
    <w:link w:val="734"/>
    <w:uiPriority w:val="99"/>
    <w:semiHidden/>
    <w:qFormat/>
  </w:style>
  <w:style w:type="character" w:styleId="785" w:customStyle="1">
    <w:name w:val="纯文本 Char"/>
    <w:link w:val="738"/>
    <w:uiPriority w:val="99"/>
    <w:qFormat/>
    <w:rPr>
      <w:rFonts w:ascii="宋体" w:hAnsi="Courier New" w:eastAsia="宋体" w:cs="Courier New"/>
      <w:szCs w:val="21"/>
    </w:rPr>
  </w:style>
  <w:style w:type="character" w:styleId="786" w:customStyle="1">
    <w:name w:val="日期 Char"/>
    <w:link w:val="740"/>
    <w:uiPriority w:val="0"/>
    <w:qFormat/>
    <w:rPr>
      <w:rFonts w:ascii="Times New Roman" w:hAnsi="Times New Roman" w:eastAsia="宋体" w:cs="Times New Roman"/>
      <w:sz w:val="24"/>
      <w:szCs w:val="24"/>
    </w:rPr>
  </w:style>
  <w:style w:type="character" w:styleId="787" w:customStyle="1">
    <w:name w:val="正文文本缩进 2 Char"/>
    <w:link w:val="741"/>
    <w:uiPriority w:val="0"/>
    <w:qFormat/>
    <w:rPr>
      <w:rFonts w:ascii="Arial" w:hAnsi="Arial" w:eastAsia="仿宋_GB2312" w:cs="Arial"/>
      <w:sz w:val="32"/>
      <w:szCs w:val="32"/>
    </w:rPr>
  </w:style>
  <w:style w:type="character" w:styleId="788" w:customStyle="1">
    <w:name w:val="尾注文本 Char"/>
    <w:link w:val="742"/>
    <w:uiPriority w:val="99"/>
    <w:qFormat/>
    <w:rPr>
      <w:sz w:val="20"/>
    </w:rPr>
  </w:style>
  <w:style w:type="character" w:styleId="789" w:customStyle="1">
    <w:name w:val="批注框文本 Char"/>
    <w:link w:val="743"/>
    <w:uiPriority w:val="0"/>
    <w:semiHidden/>
    <w:qFormat/>
    <w:rPr>
      <w:rFonts w:ascii="Times New Roman" w:hAnsi="Times New Roman" w:eastAsia="宋体" w:cs="Times New Roman"/>
      <w:sz w:val="18"/>
      <w:szCs w:val="18"/>
    </w:rPr>
  </w:style>
  <w:style w:type="character" w:styleId="790" w:customStyle="1">
    <w:name w:val="页脚 Char"/>
    <w:link w:val="744"/>
    <w:uiPriority w:val="99"/>
    <w:qFormat/>
    <w:rPr>
      <w:rFonts w:ascii="Times New Roman" w:hAnsi="Times New Roman" w:eastAsia="宋体" w:cs="Times New Roman"/>
      <w:sz w:val="18"/>
      <w:szCs w:val="18"/>
    </w:rPr>
  </w:style>
  <w:style w:type="character" w:styleId="791" w:customStyle="1">
    <w:name w:val="页眉 Char"/>
    <w:link w:val="745"/>
    <w:uiPriority w:val="0"/>
    <w:qFormat/>
    <w:rPr>
      <w:rFonts w:ascii="Times New Roman" w:hAnsi="Times New Roman" w:eastAsia="宋体" w:cs="Times New Roman"/>
      <w:sz w:val="18"/>
      <w:szCs w:val="18"/>
    </w:rPr>
  </w:style>
  <w:style w:type="character" w:styleId="792" w:customStyle="1">
    <w:name w:val="副标题 Char"/>
    <w:link w:val="748"/>
    <w:uiPriority w:val="11"/>
    <w:qFormat/>
    <w:rPr>
      <w:sz w:val="24"/>
      <w:szCs w:val="24"/>
    </w:rPr>
  </w:style>
  <w:style w:type="character" w:styleId="793" w:customStyle="1">
    <w:name w:val="脚注文本 Char"/>
    <w:link w:val="750"/>
    <w:uiPriority w:val="99"/>
    <w:qFormat/>
    <w:rPr>
      <w:sz w:val="18"/>
    </w:rPr>
  </w:style>
  <w:style w:type="character" w:styleId="794" w:customStyle="1">
    <w:name w:val="正文文本缩进 3 Char"/>
    <w:link w:val="752"/>
    <w:uiPriority w:val="0"/>
    <w:qFormat/>
    <w:rPr>
      <w:rFonts w:ascii="Arial" w:hAnsi="Arial" w:eastAsia="仿宋_GB2312" w:cs="Arial"/>
      <w:color w:val="ffff00"/>
      <w:sz w:val="32"/>
      <w:szCs w:val="32"/>
    </w:rPr>
  </w:style>
  <w:style w:type="character" w:styleId="795" w:customStyle="1">
    <w:name w:val="正文文本 2 Char"/>
    <w:link w:val="756"/>
    <w:uiPriority w:val="0"/>
    <w:qFormat/>
    <w:rPr>
      <w:rFonts w:ascii="楷体_GB2312" w:hAnsi="Times New Roman" w:eastAsia="楷体_GB2312" w:cs="Times New Roman"/>
      <w:sz w:val="28"/>
      <w:szCs w:val="28"/>
    </w:rPr>
  </w:style>
  <w:style w:type="character" w:styleId="796" w:customStyle="1">
    <w:name w:val="标题 Char"/>
    <w:link w:val="759"/>
    <w:uiPriority w:val="10"/>
    <w:qFormat/>
    <w:rPr>
      <w:sz w:val="48"/>
      <w:szCs w:val="48"/>
    </w:rPr>
  </w:style>
  <w:style w:type="character" w:styleId="797" w:customStyle="1">
    <w:name w:val="批注主题 Char"/>
    <w:link w:val="760"/>
    <w:uiPriority w:val="0"/>
    <w:semiHidden/>
    <w:qFormat/>
    <w:rPr>
      <w:rFonts w:ascii="Times New Roman" w:hAnsi="Times New Roman" w:eastAsia="宋体" w:cs="Times New Roman"/>
      <w:b/>
      <w:bCs/>
      <w:szCs w:val="21"/>
    </w:rPr>
  </w:style>
  <w:style w:type="character" w:styleId="798" w:customStyle="1">
    <w:name w:val="正文首行缩进 Char"/>
    <w:link w:val="761"/>
    <w:uiPriority w:val="0"/>
    <w:qFormat/>
    <w:rPr>
      <w:rFonts w:ascii="仿宋_GB2312" w:hAnsi="Times New Roman" w:eastAsia="仿宋_GB2312" w:cs="Times New Roman"/>
      <w:sz w:val="30"/>
      <w:szCs w:val="30"/>
    </w:rPr>
  </w:style>
  <w:style w:type="character" w:styleId="799" w:customStyle="1">
    <w:name w:val="正文首行缩进 2 Char"/>
    <w:link w:val="762"/>
    <w:uiPriority w:val="0"/>
    <w:qFormat/>
    <w:rPr>
      <w:rFonts w:ascii="宋体" w:hAnsi="宋体" w:eastAsia="宋体" w:cs="Times New Roman"/>
      <w:szCs w:val="20"/>
    </w:rPr>
  </w:style>
  <w:style w:type="character" w:styleId="800" w:customStyle="1">
    <w:name w:val="Heading 1 Char"/>
    <w:uiPriority w:val="9"/>
    <w:qFormat/>
    <w:rPr>
      <w:rFonts w:ascii="Arial" w:hAnsi="Arial" w:eastAsia="Arial" w:cs="Arial"/>
      <w:sz w:val="40"/>
      <w:szCs w:val="40"/>
    </w:rPr>
  </w:style>
  <w:style w:type="character" w:styleId="801" w:customStyle="1">
    <w:name w:val="Heading 2 Char"/>
    <w:uiPriority w:val="9"/>
    <w:qFormat/>
    <w:rPr>
      <w:rFonts w:ascii="Arial" w:hAnsi="Arial" w:eastAsia="Arial" w:cs="Arial"/>
      <w:sz w:val="34"/>
    </w:rPr>
  </w:style>
  <w:style w:type="character" w:styleId="802" w:customStyle="1">
    <w:name w:val="Heading 3 Char"/>
    <w:uiPriority w:val="9"/>
    <w:qFormat/>
    <w:rPr>
      <w:rFonts w:ascii="Arial" w:hAnsi="Arial" w:eastAsia="Arial" w:cs="Arial"/>
      <w:sz w:val="30"/>
      <w:szCs w:val="30"/>
    </w:rPr>
  </w:style>
  <w:style w:type="character" w:styleId="803" w:customStyle="1">
    <w:name w:val="Heading 4 Char"/>
    <w:uiPriority w:val="9"/>
    <w:qFormat/>
    <w:rPr>
      <w:rFonts w:ascii="Arial" w:hAnsi="Arial" w:eastAsia="Arial" w:cs="Arial"/>
      <w:b/>
      <w:bCs/>
      <w:sz w:val="26"/>
      <w:szCs w:val="26"/>
    </w:rPr>
  </w:style>
  <w:style w:type="character" w:styleId="804" w:customStyle="1">
    <w:name w:val="Heading 5 Char"/>
    <w:uiPriority w:val="9"/>
    <w:qFormat/>
    <w:rPr>
      <w:rFonts w:ascii="Arial" w:hAnsi="Arial" w:eastAsia="Arial" w:cs="Arial"/>
      <w:b/>
      <w:bCs/>
      <w:sz w:val="24"/>
      <w:szCs w:val="24"/>
    </w:rPr>
  </w:style>
  <w:style w:type="character" w:styleId="805" w:customStyle="1">
    <w:name w:val="Heading 6 Char"/>
    <w:uiPriority w:val="9"/>
    <w:qFormat/>
    <w:rPr>
      <w:rFonts w:ascii="Arial" w:hAnsi="Arial" w:eastAsia="Arial" w:cs="Arial"/>
      <w:b/>
      <w:bCs/>
      <w:sz w:val="22"/>
      <w:szCs w:val="22"/>
    </w:rPr>
  </w:style>
  <w:style w:type="character" w:styleId="806" w:customStyle="1">
    <w:name w:val="Heading 7 Char"/>
    <w:uiPriority w:val="9"/>
    <w:qFormat/>
    <w:rPr>
      <w:rFonts w:ascii="Arial" w:hAnsi="Arial" w:eastAsia="Arial" w:cs="Arial"/>
      <w:b/>
      <w:bCs/>
      <w:i/>
      <w:iCs/>
      <w:sz w:val="22"/>
      <w:szCs w:val="22"/>
    </w:rPr>
  </w:style>
  <w:style w:type="character" w:styleId="807" w:customStyle="1">
    <w:name w:val="Heading 8 Char"/>
    <w:uiPriority w:val="9"/>
    <w:qFormat/>
    <w:rPr>
      <w:rFonts w:ascii="Arial" w:hAnsi="Arial" w:eastAsia="Arial" w:cs="Arial"/>
      <w:i/>
      <w:iCs/>
      <w:sz w:val="22"/>
      <w:szCs w:val="22"/>
    </w:rPr>
  </w:style>
  <w:style w:type="character" w:styleId="808" w:customStyle="1">
    <w:name w:val="Heading 9 Char"/>
    <w:uiPriority w:val="9"/>
    <w:qFormat/>
    <w:rPr>
      <w:rFonts w:ascii="Arial" w:hAnsi="Arial" w:eastAsia="Arial" w:cs="Arial"/>
      <w:i/>
      <w:iCs/>
      <w:sz w:val="21"/>
      <w:szCs w:val="21"/>
    </w:rPr>
  </w:style>
  <w:style w:type="paragraph" w:styleId="809">
    <w:name w:val="List Paragraph"/>
    <w:basedOn w:val="714"/>
    <w:uiPriority w:val="0"/>
    <w:qFormat/>
    <w:pPr>
      <w:contextualSpacing/>
      <w:ind w:left="720"/>
      <w:jc w:val="left"/>
      <w:widowControl/>
    </w:pPr>
    <w:rPr>
      <w:sz w:val="24"/>
      <w:szCs w:val="24"/>
      <w:lang w:eastAsia="en-US" w:bidi="en-US"/>
    </w:rPr>
  </w:style>
  <w:style w:type="paragraph" w:styleId="81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11">
    <w:name w:val="Quote"/>
    <w:basedOn w:val="714"/>
    <w:next w:val="714"/>
    <w:link w:val="812"/>
    <w:uiPriority w:val="29"/>
    <w:qFormat/>
    <w:pPr>
      <w:ind w:left="720" w:right="720"/>
    </w:pPr>
    <w:rPr>
      <w:i/>
    </w:rPr>
  </w:style>
  <w:style w:type="character" w:styleId="812" w:customStyle="1">
    <w:name w:val="引用 Char"/>
    <w:link w:val="811"/>
    <w:uiPriority w:val="29"/>
    <w:qFormat/>
    <w:rPr>
      <w:i/>
    </w:rPr>
  </w:style>
  <w:style w:type="paragraph" w:styleId="813">
    <w:name w:val="Intense Quote"/>
    <w:basedOn w:val="714"/>
    <w:next w:val="714"/>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Char"/>
    <w:link w:val="813"/>
    <w:uiPriority w:val="30"/>
    <w:qFormat/>
    <w:rPr>
      <w:i/>
    </w:rPr>
  </w:style>
  <w:style w:type="character" w:styleId="815" w:customStyle="1">
    <w:name w:val="Header Char"/>
    <w:uiPriority w:val="99"/>
    <w:qFormat/>
  </w:style>
  <w:style w:type="character" w:styleId="816" w:customStyle="1">
    <w:name w:val="Footer Char"/>
    <w:uiPriority w:val="99"/>
    <w:qFormat/>
  </w:style>
  <w:style w:type="character" w:styleId="817" w:customStyle="1">
    <w:name w:val="Caption Char"/>
    <w:uiPriority w:val="99"/>
    <w:qFormat/>
  </w:style>
  <w:style w:type="table" w:styleId="81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1" w:customStyle="1">
    <w:name w:val="Plain Table 3"/>
    <w:uiPriority w:val="99"/>
    <w:qFormat/>
    <w:tblPr>
      <w:tblCellMar>
        <w:left w:w="0" w:type="dxa"/>
        <w:top w:w="0" w:type="dxa"/>
        <w:right w:w="0" w:type="dxa"/>
        <w:bottom w:w="0" w:type="dxa"/>
      </w:tblCellMar>
    </w:tblPr>
  </w:style>
  <w:style w:type="table" w:styleId="822" w:customStyle="1">
    <w:name w:val="Plain Table 4"/>
    <w:uiPriority w:val="99"/>
    <w:qFormat/>
    <w:tblPr>
      <w:tblCellMar>
        <w:left w:w="0" w:type="dxa"/>
        <w:top w:w="0" w:type="dxa"/>
        <w:right w:w="0" w:type="dxa"/>
        <w:bottom w:w="0" w:type="dxa"/>
      </w:tblCellMar>
    </w:tblPr>
  </w:style>
  <w:style w:type="table" w:styleId="823" w:customStyle="1">
    <w:name w:val="Plain Table 5"/>
    <w:uiPriority w:val="99"/>
    <w:qFormat/>
    <w:tblPr>
      <w:tblCellMar>
        <w:left w:w="0" w:type="dxa"/>
        <w:top w:w="0" w:type="dxa"/>
        <w:right w:w="0" w:type="dxa"/>
        <w:bottom w:w="0" w:type="dxa"/>
      </w:tblCellMar>
    </w:tblPr>
  </w:style>
  <w:style w:type="table" w:styleId="82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1"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bfbfbf" w:fill="bfbfbf"/>
    </w:tcPr>
  </w:style>
  <w:style w:type="table" w:styleId="85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5f1" w:fill="dae5f1"/>
    </w:tcPr>
  </w:style>
  <w:style w:type="table" w:styleId="85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2dcdc" w:fill="f2dcdc"/>
    </w:tcPr>
  </w:style>
  <w:style w:type="table" w:styleId="85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af1dc" w:fill="eaf1dc"/>
    </w:tcPr>
  </w:style>
  <w:style w:type="table" w:styleId="85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5dfec" w:fill="e5dfec"/>
    </w:tcPr>
  </w:style>
  <w:style w:type="table" w:styleId="85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ef3" w:fill="daeef3"/>
    </w:tcPr>
  </w:style>
  <w:style w:type="table" w:styleId="85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de9d8" w:fill="fde9d8"/>
    </w:tcPr>
  </w:style>
  <w:style w:type="table" w:styleId="85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3" w:customStyle="1">
    <w:name w:val="List Table 1 Light"/>
    <w:uiPriority w:val="99"/>
    <w:qFormat/>
    <w:tblPr>
      <w:tblCellMar>
        <w:left w:w="0" w:type="dxa"/>
        <w:top w:w="0" w:type="dxa"/>
        <w:right w:w="0" w:type="dxa"/>
        <w:bottom w:w="0" w:type="dxa"/>
      </w:tblCellMar>
    </w:tblPr>
  </w:style>
  <w:style w:type="table" w:styleId="874" w:customStyle="1">
    <w:name w:val="List Table 1 Light - Accent 1"/>
    <w:uiPriority w:val="99"/>
    <w:qFormat/>
    <w:tblPr>
      <w:tblCellMar>
        <w:left w:w="0" w:type="dxa"/>
        <w:top w:w="0" w:type="dxa"/>
        <w:right w:w="0" w:type="dxa"/>
        <w:bottom w:w="0" w:type="dxa"/>
      </w:tblCellMar>
    </w:tblPr>
  </w:style>
  <w:style w:type="table" w:styleId="875" w:customStyle="1">
    <w:name w:val="List Table 1 Light - Accent 2"/>
    <w:uiPriority w:val="99"/>
    <w:qFormat/>
    <w:tblPr>
      <w:tblCellMar>
        <w:left w:w="0" w:type="dxa"/>
        <w:top w:w="0" w:type="dxa"/>
        <w:right w:w="0" w:type="dxa"/>
        <w:bottom w:w="0" w:type="dxa"/>
      </w:tblCellMar>
    </w:tblPr>
  </w:style>
  <w:style w:type="table" w:styleId="876" w:customStyle="1">
    <w:name w:val="List Table 1 Light - Accent 3"/>
    <w:uiPriority w:val="99"/>
    <w:qFormat/>
    <w:tblPr>
      <w:tblCellMar>
        <w:left w:w="0" w:type="dxa"/>
        <w:top w:w="0" w:type="dxa"/>
        <w:right w:w="0" w:type="dxa"/>
        <w:bottom w:w="0" w:type="dxa"/>
      </w:tblCellMar>
    </w:tblPr>
  </w:style>
  <w:style w:type="table" w:styleId="877" w:customStyle="1">
    <w:name w:val="List Table 1 Light - Accent 4"/>
    <w:uiPriority w:val="99"/>
    <w:qFormat/>
    <w:tblPr>
      <w:tblCellMar>
        <w:left w:w="0" w:type="dxa"/>
        <w:top w:w="0" w:type="dxa"/>
        <w:right w:w="0" w:type="dxa"/>
        <w:bottom w:w="0" w:type="dxa"/>
      </w:tblCellMar>
    </w:tblPr>
  </w:style>
  <w:style w:type="table" w:styleId="878" w:customStyle="1">
    <w:name w:val="List Table 1 Light - Accent 5"/>
    <w:uiPriority w:val="99"/>
    <w:qFormat/>
    <w:tblPr>
      <w:tblCellMar>
        <w:left w:w="0" w:type="dxa"/>
        <w:top w:w="0" w:type="dxa"/>
        <w:right w:w="0" w:type="dxa"/>
        <w:bottom w:w="0" w:type="dxa"/>
      </w:tblCellMar>
    </w:tblPr>
  </w:style>
  <w:style w:type="table" w:styleId="879" w:customStyle="1">
    <w:name w:val="List Table 1 Light - Accent 6"/>
    <w:uiPriority w:val="99"/>
    <w:qFormat/>
    <w:tblPr>
      <w:tblCellMar>
        <w:left w:w="0" w:type="dxa"/>
        <w:top w:w="0" w:type="dxa"/>
        <w:right w:w="0" w:type="dxa"/>
        <w:bottom w:w="0" w:type="dxa"/>
      </w:tblCellMar>
    </w:tblPr>
  </w:style>
  <w:style w:type="table" w:styleId="880"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1"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cPr>
      <w:shd w:val="clear" w:color="7f7f7f" w:fill="7f7f7f"/>
    </w:tcPr>
  </w:style>
  <w:style w:type="table" w:styleId="90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cPr>
      <w:shd w:val="clear" w:color="4f81bd" w:fill="4f81bd"/>
    </w:tcPr>
  </w:style>
  <w:style w:type="table" w:styleId="90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cPr>
      <w:shd w:val="clear" w:color="d99695" w:fill="d99695"/>
    </w:tcPr>
  </w:style>
  <w:style w:type="table" w:styleId="90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cPr>
      <w:shd w:val="clear" w:color="c3d69b" w:fill="c3d69b"/>
    </w:tcPr>
  </w:style>
  <w:style w:type="table" w:styleId="90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cPr>
      <w:shd w:val="clear" w:color="b2a1c6" w:fill="b2a1c6"/>
    </w:tcPr>
  </w:style>
  <w:style w:type="table" w:styleId="90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cPr>
      <w:shd w:val="clear" w:color="92ccdc" w:fill="92ccdc"/>
    </w:tcPr>
  </w:style>
  <w:style w:type="table" w:styleId="90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cPr>
      <w:shd w:val="clear" w:color="fac090" w:fill="fac090"/>
    </w:tcPr>
  </w:style>
  <w:style w:type="table" w:styleId="908"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5"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1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2" w:customStyle="1">
    <w:name w:val="Lined - Accent"/>
    <w:uiPriority w:val="99"/>
    <w:qFormat/>
    <w:rPr>
      <w:color w:val="404040"/>
    </w:rPr>
    <w:tblPr>
      <w:tblCellMar>
        <w:left w:w="0" w:type="dxa"/>
        <w:top w:w="0" w:type="dxa"/>
        <w:right w:w="0" w:type="dxa"/>
        <w:bottom w:w="0" w:type="dxa"/>
      </w:tblCellMar>
    </w:tblPr>
  </w:style>
  <w:style w:type="table" w:styleId="923" w:customStyle="1">
    <w:name w:val="Lined - Accent 1"/>
    <w:uiPriority w:val="99"/>
    <w:qFormat/>
    <w:rPr>
      <w:color w:val="404040"/>
    </w:rPr>
    <w:tblPr>
      <w:tblCellMar>
        <w:left w:w="0" w:type="dxa"/>
        <w:top w:w="0" w:type="dxa"/>
        <w:right w:w="0" w:type="dxa"/>
        <w:bottom w:w="0" w:type="dxa"/>
      </w:tblCellMar>
    </w:tblPr>
  </w:style>
  <w:style w:type="table" w:styleId="924" w:customStyle="1">
    <w:name w:val="Lined - Accent 2"/>
    <w:uiPriority w:val="99"/>
    <w:qFormat/>
    <w:rPr>
      <w:color w:val="404040"/>
    </w:rPr>
    <w:tblPr>
      <w:tblCellMar>
        <w:left w:w="0" w:type="dxa"/>
        <w:top w:w="0" w:type="dxa"/>
        <w:right w:w="0" w:type="dxa"/>
        <w:bottom w:w="0" w:type="dxa"/>
      </w:tblCellMar>
    </w:tblPr>
  </w:style>
  <w:style w:type="table" w:styleId="925" w:customStyle="1">
    <w:name w:val="Lined - Accent 3"/>
    <w:uiPriority w:val="99"/>
    <w:qFormat/>
    <w:rPr>
      <w:color w:val="404040"/>
    </w:rPr>
    <w:tblPr>
      <w:tblCellMar>
        <w:left w:w="0" w:type="dxa"/>
        <w:top w:w="0" w:type="dxa"/>
        <w:right w:w="0" w:type="dxa"/>
        <w:bottom w:w="0" w:type="dxa"/>
      </w:tblCellMar>
    </w:tblPr>
  </w:style>
  <w:style w:type="table" w:styleId="926" w:customStyle="1">
    <w:name w:val="Lined - Accent 4"/>
    <w:uiPriority w:val="99"/>
    <w:qFormat/>
    <w:rPr>
      <w:color w:val="404040"/>
    </w:rPr>
    <w:tblPr>
      <w:tblCellMar>
        <w:left w:w="0" w:type="dxa"/>
        <w:top w:w="0" w:type="dxa"/>
        <w:right w:w="0" w:type="dxa"/>
        <w:bottom w:w="0" w:type="dxa"/>
      </w:tblCellMar>
    </w:tblPr>
  </w:style>
  <w:style w:type="table" w:styleId="927" w:customStyle="1">
    <w:name w:val="Lined - Accent 5"/>
    <w:uiPriority w:val="99"/>
    <w:qFormat/>
    <w:rPr>
      <w:color w:val="404040"/>
    </w:rPr>
    <w:tblPr>
      <w:tblCellMar>
        <w:left w:w="0" w:type="dxa"/>
        <w:top w:w="0" w:type="dxa"/>
        <w:right w:w="0" w:type="dxa"/>
        <w:bottom w:w="0" w:type="dxa"/>
      </w:tblCellMar>
    </w:tblPr>
  </w:style>
  <w:style w:type="table" w:styleId="928" w:customStyle="1">
    <w:name w:val="Lined - Accent 6"/>
    <w:uiPriority w:val="99"/>
    <w:qFormat/>
    <w:rPr>
      <w:color w:val="404040"/>
    </w:rPr>
    <w:tblPr>
      <w:tblCellMar>
        <w:left w:w="0" w:type="dxa"/>
        <w:top w:w="0" w:type="dxa"/>
        <w:right w:w="0" w:type="dxa"/>
        <w:bottom w:w="0" w:type="dxa"/>
      </w:tblCellMar>
    </w:tblPr>
  </w:style>
  <w:style w:type="table" w:styleId="92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43" w:customStyle="1">
    <w:name w:val="TOC Heading"/>
    <w:uiPriority w:val="39"/>
    <w:qFormat/>
    <w:rPr>
      <w:rFonts w:ascii="Calibri" w:hAnsi="Calibri" w:eastAsia="宋体" w:cs="Times New Roman"/>
      <w:lang w:val="en-US" w:eastAsia="zh-CN" w:bidi="ar-SA"/>
    </w:rPr>
  </w:style>
  <w:style w:type="character" w:styleId="944" w:customStyle="1">
    <w:name w:val="已访问的超链接1"/>
    <w:uiPriority w:val="0"/>
    <w:qFormat/>
    <w:rPr>
      <w:color w:val="800080"/>
      <w:u w:val="single"/>
    </w:rPr>
  </w:style>
  <w:style w:type="character" w:styleId="945" w:customStyle="1">
    <w:name w:val="font5 Char"/>
    <w:uiPriority w:val="0"/>
    <w:qFormat/>
    <w:rPr>
      <w:rFonts w:ascii="宋体" w:hAnsi="宋体" w:eastAsia="宋体"/>
      <w:sz w:val="28"/>
      <w:szCs w:val="28"/>
      <w:lang w:val="en-US" w:eastAsia="zh-CN" w:bidi="ar-SA"/>
    </w:rPr>
  </w:style>
  <w:style w:type="character" w:styleId="946" w:customStyle="1">
    <w:name w:val="二级目录 Char"/>
    <w:link w:val="947"/>
    <w:uiPriority w:val="0"/>
    <w:qFormat/>
    <w:rPr>
      <w:b/>
      <w:sz w:val="30"/>
      <w:szCs w:val="28"/>
      <w:lang w:val="en-US" w:eastAsia="zh-CN" w:bidi="ar-SA"/>
    </w:rPr>
  </w:style>
  <w:style w:type="paragraph" w:styleId="947" w:customStyle="1">
    <w:name w:val="二级目录"/>
    <w:next w:val="714"/>
    <w:link w:val="946"/>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48" w:customStyle="1">
    <w:name w:val="列出段落 Char"/>
    <w:link w:val="949"/>
    <w:uiPriority w:val="0"/>
    <w:qFormat/>
    <w:rPr>
      <w:rFonts w:ascii="Calibri" w:hAnsi="Calibri"/>
      <w:sz w:val="24"/>
      <w:szCs w:val="24"/>
      <w:lang w:eastAsia="en-US" w:bidi="en-US"/>
    </w:rPr>
  </w:style>
  <w:style w:type="paragraph" w:styleId="949" w:customStyle="1">
    <w:name w:val="列出段落1"/>
    <w:basedOn w:val="714"/>
    <w:link w:val="948"/>
    <w:uiPriority w:val="0"/>
    <w:qFormat/>
    <w:pPr>
      <w:contextualSpacing/>
      <w:ind w:left="720"/>
      <w:jc w:val="left"/>
      <w:widowControl/>
    </w:pPr>
    <w:rPr>
      <w:sz w:val="24"/>
      <w:szCs w:val="24"/>
      <w:lang w:eastAsia="en-US" w:bidi="en-US"/>
    </w:rPr>
  </w:style>
  <w:style w:type="paragraph" w:styleId="950" w:customStyle="1">
    <w:name w:val="Body Text(ch)"/>
    <w:basedOn w:val="714"/>
    <w:next w:val="733"/>
    <w:uiPriority w:val="0"/>
    <w:qFormat/>
    <w:pPr>
      <w:spacing w:after="120"/>
    </w:pPr>
    <w:rPr>
      <w:rFonts w:ascii="宋体" w:hAnsi="Arial"/>
      <w:bCs/>
      <w:iCs/>
      <w:szCs w:val="24"/>
    </w:rPr>
  </w:style>
  <w:style w:type="paragraph" w:styleId="951" w:customStyle="1">
    <w:name w:val="xl2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2" w:customStyle="1">
    <w:name w:val="xl2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3" w:customStyle="1">
    <w:name w:val="Char"/>
    <w:basedOn w:val="714"/>
    <w:uiPriority w:val="0"/>
    <w:qFormat/>
    <w:pPr>
      <w:ind w:firstLine="200"/>
      <w:tabs>
        <w:tab w:val="left" w:pos="360" w:leader="none"/>
      </w:tabs>
    </w:pPr>
    <w:rPr>
      <w:rFonts w:ascii="Times New Roman" w:hAnsi="Times New Roman"/>
      <w:sz w:val="28"/>
      <w:szCs w:val="30"/>
    </w:rPr>
  </w:style>
  <w:style w:type="paragraph" w:styleId="954" w:customStyle="1">
    <w:name w:val="Char1"/>
    <w:basedOn w:val="730"/>
    <w:uiPriority w:val="0"/>
    <w:qFormat/>
    <w:rPr>
      <w:rFonts w:ascii="Tahoma" w:hAnsi="Tahoma"/>
      <w:sz w:val="24"/>
      <w:szCs w:val="24"/>
    </w:rPr>
  </w:style>
  <w:style w:type="paragraph" w:styleId="955"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956" w:customStyle="1">
    <w:name w:val="table_lines"/>
    <w:basedOn w:val="714"/>
    <w:uiPriority w:val="0"/>
    <w:qFormat/>
    <w:pPr>
      <w:jc w:val="left"/>
      <w:widowControl/>
    </w:pPr>
    <w:rPr>
      <w:rFonts w:ascii="Times New Roman" w:hAnsi="Times New Roman"/>
      <w:sz w:val="20"/>
      <w:szCs w:val="20"/>
      <w:lang w:val="de-DE" w:eastAsia="de-DE"/>
    </w:rPr>
  </w:style>
  <w:style w:type="paragraph" w:styleId="95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58" w:customStyle="1">
    <w:name w:val="font7"/>
    <w:basedOn w:val="714"/>
    <w:uiPriority w:val="0"/>
    <w:qFormat/>
    <w:pPr>
      <w:jc w:val="left"/>
      <w:spacing w:before="100" w:beforeAutospacing="1" w:after="100" w:afterAutospacing="1"/>
      <w:widowControl/>
    </w:pPr>
    <w:rPr>
      <w:rFonts w:hint="eastAsia" w:ascii="宋体" w:hAnsi="宋体"/>
      <w:sz w:val="18"/>
      <w:szCs w:val="18"/>
    </w:rPr>
  </w:style>
  <w:style w:type="paragraph" w:styleId="959" w:customStyle="1">
    <w:name w:val="Char Char Char Char"/>
    <w:basedOn w:val="730"/>
    <w:uiPriority w:val="0"/>
    <w:qFormat/>
    <w:pPr>
      <w:spacing w:line="360" w:lineRule="auto"/>
    </w:pPr>
    <w:rPr>
      <w:rFonts w:ascii="Tahoma" w:hAnsi="Tahoma"/>
      <w:sz w:val="24"/>
      <w:szCs w:val="24"/>
    </w:rPr>
  </w:style>
  <w:style w:type="paragraph" w:styleId="960" w:customStyle="1">
    <w:name w:val="4"/>
    <w:basedOn w:val="714"/>
    <w:next w:val="752"/>
    <w:uiPriority w:val="0"/>
    <w:qFormat/>
    <w:pPr>
      <w:ind w:firstLine="420"/>
      <w:spacing w:line="360" w:lineRule="auto"/>
    </w:pPr>
    <w:rPr>
      <w:rFonts w:ascii="Times New Roman" w:hAnsi="Times New Roman"/>
      <w:color w:val="ff0000"/>
      <w:sz w:val="24"/>
      <w:szCs w:val="24"/>
    </w:rPr>
  </w:style>
  <w:style w:type="paragraph" w:styleId="961" w:customStyle="1">
    <w:name w:val="普通 (Web)"/>
    <w:basedOn w:val="714"/>
    <w:uiPriority w:val="0"/>
    <w:qFormat/>
    <w:pPr>
      <w:jc w:val="left"/>
      <w:spacing w:before="100" w:beforeAutospacing="1" w:after="100" w:afterAutospacing="1"/>
      <w:widowControl/>
    </w:pPr>
    <w:rPr>
      <w:rFonts w:ascii="宋体" w:hAnsi="宋体"/>
      <w:sz w:val="24"/>
      <w:szCs w:val="24"/>
    </w:rPr>
  </w:style>
  <w:style w:type="paragraph" w:styleId="962" w:customStyle="1">
    <w:name w:val="Char Char Char Char Char Char Char Char Char Char"/>
    <w:basedOn w:val="714"/>
    <w:uiPriority w:val="0"/>
    <w:qFormat/>
    <w:pPr>
      <w:spacing w:line="360" w:lineRule="auto"/>
    </w:pPr>
    <w:rPr>
      <w:rFonts w:ascii="Times New Roman" w:hAnsi="Times New Roman"/>
      <w:sz w:val="24"/>
      <w:szCs w:val="20"/>
    </w:rPr>
  </w:style>
  <w:style w:type="paragraph" w:styleId="963" w:customStyle="1">
    <w:name w:val="样式1"/>
    <w:basedOn w:val="714"/>
    <w:uiPriority w:val="0"/>
    <w:qFormat/>
    <w:pPr>
      <w:numPr>
        <w:ilvl w:val="0"/>
        <w:numId w:val="3"/>
      </w:numPr>
    </w:pPr>
    <w:rPr>
      <w:rFonts w:ascii="宋体" w:hAnsi="宋体"/>
      <w:szCs w:val="21"/>
    </w:rPr>
  </w:style>
  <w:style w:type="paragraph" w:styleId="964" w:customStyle="1">
    <w:name w:val="font6"/>
    <w:basedOn w:val="714"/>
    <w:uiPriority w:val="0"/>
    <w:qFormat/>
    <w:pPr>
      <w:jc w:val="left"/>
      <w:spacing w:before="100" w:beforeAutospacing="1" w:after="100" w:afterAutospacing="1"/>
      <w:widowControl/>
    </w:pPr>
    <w:rPr>
      <w:rFonts w:hint="eastAsia" w:ascii="宋体" w:hAnsi="宋体"/>
      <w:sz w:val="28"/>
      <w:szCs w:val="28"/>
      <w:u w:val="single"/>
    </w:rPr>
  </w:style>
  <w:style w:type="paragraph" w:styleId="965" w:customStyle="1">
    <w:name w:val="xl25"/>
    <w:basedOn w:val="7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6"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67" w:customStyle="1">
    <w:name w:val="标题3"/>
    <w:basedOn w:val="714"/>
    <w:next w:val="714"/>
    <w:uiPriority w:val="0"/>
    <w:qFormat/>
    <w:pPr>
      <w:ind w:firstLine="624"/>
      <w:spacing w:line="590" w:lineRule="atLeast"/>
    </w:pPr>
    <w:rPr>
      <w:rFonts w:ascii="方正黑体_GBK" w:hAnsi="Times New Roman" w:eastAsia="方正黑体_GBK"/>
      <w:sz w:val="32"/>
      <w:szCs w:val="32"/>
    </w:rPr>
  </w:style>
  <w:style w:type="paragraph" w:styleId="968" w:customStyle="1">
    <w:name w:val="xl24"/>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9"/>
    <w:basedOn w:val="7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0" w:customStyle="1">
    <w:name w:val="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971"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2" w:customStyle="1">
    <w:name w:val="Char Char Char Char Char Char Char Char1"/>
    <w:basedOn w:val="714"/>
    <w:uiPriority w:val="0"/>
    <w:qFormat/>
    <w:pPr>
      <w:jc w:val="left"/>
      <w:spacing w:after="160" w:line="240" w:lineRule="exact"/>
      <w:widowControl/>
    </w:pPr>
    <w:rPr>
      <w:rFonts w:ascii="Verdana" w:hAnsi="Verdana"/>
      <w:sz w:val="20"/>
      <w:szCs w:val="20"/>
      <w:lang w:eastAsia="en-US"/>
    </w:rPr>
  </w:style>
  <w:style w:type="paragraph" w:styleId="973" w:customStyle="1">
    <w:name w:val="xl30"/>
    <w:basedOn w:val="714"/>
    <w:uiPriority w:val="0"/>
    <w:qFormat/>
    <w:pPr>
      <w:jc w:val="center"/>
      <w:spacing w:before="100" w:beforeAutospacing="1" w:after="100" w:afterAutospacing="1"/>
      <w:widowControl/>
    </w:pPr>
    <w:rPr>
      <w:rFonts w:ascii="宋体" w:hAnsi="宋体"/>
      <w:b/>
      <w:bCs/>
      <w:sz w:val="36"/>
      <w:szCs w:val="36"/>
    </w:rPr>
  </w:style>
  <w:style w:type="paragraph" w:styleId="974" w:customStyle="1">
    <w:name w:val="Char Char Char Char1"/>
    <w:basedOn w:val="730"/>
    <w:uiPriority w:val="0"/>
    <w:qFormat/>
    <w:pPr>
      <w:spacing w:line="360" w:lineRule="auto"/>
    </w:pPr>
    <w:rPr>
      <w:rFonts w:ascii="Tahoma" w:hAnsi="Tahoma"/>
      <w:sz w:val="24"/>
      <w:szCs w:val="24"/>
    </w:rPr>
  </w:style>
  <w:style w:type="paragraph" w:styleId="975" w:customStyle="1">
    <w:name w:val="table_1stline"/>
    <w:basedOn w:val="714"/>
    <w:uiPriority w:val="0"/>
    <w:qFormat/>
    <w:pPr>
      <w:jc w:val="left"/>
      <w:spacing w:before="120"/>
      <w:widowControl/>
    </w:pPr>
    <w:rPr>
      <w:rFonts w:ascii="Times New Roman" w:hAnsi="Times New Roman"/>
      <w:bCs/>
      <w:sz w:val="20"/>
      <w:szCs w:val="20"/>
      <w:lang w:val="de-DE" w:eastAsia="de-DE"/>
    </w:rPr>
  </w:style>
  <w:style w:type="paragraph" w:styleId="976" w:customStyle="1">
    <w:name w:val="font5"/>
    <w:basedOn w:val="714"/>
    <w:uiPriority w:val="0"/>
    <w:qFormat/>
    <w:pPr>
      <w:jc w:val="left"/>
      <w:spacing w:before="100" w:beforeAutospacing="1" w:after="100" w:afterAutospacing="1"/>
      <w:widowControl/>
    </w:pPr>
    <w:rPr>
      <w:rFonts w:hint="eastAsia" w:ascii="宋体" w:hAnsi="宋体"/>
      <w:sz w:val="28"/>
      <w:szCs w:val="28"/>
    </w:rPr>
  </w:style>
  <w:style w:type="paragraph" w:styleId="977" w:customStyle="1">
    <w:name w:val="标题1"/>
    <w:basedOn w:val="714"/>
    <w:next w:val="71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78" w:customStyle="1">
    <w:name w:val="Revision"/>
    <w:uiPriority w:val="99"/>
    <w:semiHidden/>
    <w:qFormat/>
    <w:rPr>
      <w:rFonts w:ascii="Times New Roman" w:hAnsi="Times New Roman" w:eastAsia="宋体" w:cs="Times New Roman"/>
      <w:sz w:val="21"/>
      <w:szCs w:val="21"/>
      <w:lang w:val="en-US" w:eastAsia="zh-CN" w:bidi="ar-SA"/>
    </w:rPr>
  </w:style>
  <w:style w:type="paragraph" w:styleId="979" w:customStyle="1">
    <w:name w:val="标题 21"/>
    <w:basedOn w:val="714"/>
    <w:next w:val="714"/>
    <w:link w:val="980"/>
    <w:uiPriority w:val="0"/>
    <w:qFormat/>
    <w:pPr>
      <w:keepLines/>
      <w:keepNext/>
      <w:spacing w:before="260" w:after="260" w:line="413" w:lineRule="auto"/>
      <w:outlineLvl w:val="1"/>
    </w:pPr>
    <w:rPr>
      <w:rFonts w:ascii="Arial" w:hAnsi="Arial" w:eastAsia="黑体"/>
      <w:b/>
      <w:sz w:val="32"/>
      <w:szCs w:val="20"/>
      <w:lang w:eastAsia="en-US"/>
    </w:rPr>
  </w:style>
  <w:style w:type="character" w:styleId="980" w:customStyle="1">
    <w:name w:val="标题 2 字符"/>
    <w:link w:val="979"/>
    <w:uiPriority w:val="0"/>
    <w:qFormat/>
    <w:rPr>
      <w:rFonts w:ascii="Arial" w:hAnsi="Arial" w:eastAsia="黑体"/>
      <w:b/>
      <w:sz w:val="32"/>
    </w:rPr>
  </w:style>
  <w:style w:type="paragraph" w:styleId="981" w:customStyle="1">
    <w:name w:val="批注文字1"/>
    <w:basedOn w:val="714"/>
    <w:link w:val="982"/>
    <w:uiPriority w:val="99"/>
    <w:qFormat/>
    <w:pPr>
      <w:jc w:val="left"/>
    </w:pPr>
    <w:rPr>
      <w:szCs w:val="20"/>
      <w:lang w:eastAsia="en-US"/>
    </w:rPr>
  </w:style>
  <w:style w:type="character" w:styleId="982" w:customStyle="1">
    <w:name w:val="批注文字 字符"/>
    <w:link w:val="981"/>
    <w:uiPriority w:val="99"/>
    <w:qFormat/>
    <w:rPr>
      <w:sz w:val="21"/>
    </w:rPr>
  </w:style>
  <w:style w:type="paragraph" w:styleId="983" w:customStyle="1">
    <w:name w:val="Normal_0_1"/>
    <w:uiPriority w:val="0"/>
    <w:qFormat/>
    <w:rPr>
      <w:rFonts w:ascii="黑体" w:hAnsi="黑体" w:eastAsia="黑体" w:cs="Times New Roman"/>
      <w:b/>
      <w:sz w:val="32"/>
      <w:szCs w:val="24"/>
      <w:lang w:val="en-US" w:eastAsia="zh-CN" w:bidi="ar-SA"/>
    </w:rPr>
  </w:style>
  <w:style w:type="paragraph" w:styleId="984"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985"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正文空2字"/>
    <w:basedOn w:val="714"/>
    <w:uiPriority w:val="99"/>
    <w:qFormat/>
    <w:pPr>
      <w:ind w:firstLine="640"/>
      <w:jc w:val="left"/>
      <w:spacing w:line="560" w:lineRule="exact"/>
    </w:pPr>
    <w:rPr>
      <w:rFonts w:ascii="仿宋_GB2312" w:hAnsi="仿宋_GB2312" w:eastAsia="仿宋_GB2312" w:cs="仿宋_GB2312"/>
      <w:sz w:val="32"/>
      <w:szCs w:val="32"/>
      <w:lang w:val="zh-TW"/>
    </w:rPr>
  </w:style>
  <w:style w:type="character" w:styleId="987" w:customStyle="1">
    <w:name w:val="标题 4 字符"/>
    <w:uiPriority w:val="0"/>
    <w:qFormat/>
    <w:rPr>
      <w:rFonts w:ascii="Arial" w:hAnsi="Arial" w:eastAsia="黑体" w:cs="Arial"/>
      <w:b/>
      <w:bCs/>
      <w:sz w:val="28"/>
      <w:szCs w:val="28"/>
    </w:rPr>
  </w:style>
  <w:style w:type="paragraph" w:styleId="988" w:customStyle="1">
    <w:name w:val="Normal_20"/>
    <w:uiPriority w:val="0"/>
    <w:qFormat/>
    <w:rPr>
      <w:rFonts w:ascii="黑体" w:hAnsi="黑体" w:eastAsia="黑体" w:cs="黑体"/>
      <w:b/>
      <w:sz w:val="32"/>
      <w:szCs w:val="24"/>
      <w:lang w:val="en-US" w:eastAsia="zh-CN" w:bidi="ar-SA"/>
    </w:rPr>
  </w:style>
  <w:style w:type="paragraph" w:styleId="98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90" w:customStyle="1">
    <w:name w:val="Normal_18_0"/>
    <w:uiPriority w:val="0"/>
    <w:qFormat/>
    <w:rPr>
      <w:rFonts w:ascii="黑体" w:hAnsi="黑体" w:eastAsia="黑体" w:cs="黑体"/>
      <w:b/>
      <w:sz w:val="32"/>
      <w:szCs w:val="24"/>
      <w:lang w:val="en-US" w:eastAsia="zh-CN" w:bidi="ar-SA"/>
    </w:rPr>
  </w:style>
  <w:style w:type="paragraph" w:styleId="991" w:customStyle="1">
    <w:name w:val="正文_12_0_0_0_0"/>
    <w:basedOn w:val="714"/>
    <w:uiPriority w:val="0"/>
    <w:qFormat/>
    <w:rPr>
      <w:rFonts w:ascii="Times New Roman" w:hAnsi="Times New Roman"/>
      <w:szCs w:val="24"/>
    </w:rPr>
  </w:style>
  <w:style w:type="paragraph" w:styleId="992"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9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9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95"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996" w:customStyle="1">
    <w:name w:val="正文_16_0_0"/>
    <w:next w:val="995"/>
    <w:uiPriority w:val="0"/>
    <w:qFormat/>
    <w:pPr>
      <w:jc w:val="both"/>
      <w:widowControl w:val="off"/>
    </w:pPr>
    <w:rPr>
      <w:rFonts w:ascii="Calibri" w:hAnsi="Calibri" w:eastAsia="宋体" w:cs="Times New Roman"/>
      <w:sz w:val="21"/>
      <w:szCs w:val="22"/>
      <w:lang w:val="en-US" w:eastAsia="zh-CN" w:bidi="ar-SA"/>
    </w:rPr>
  </w:style>
  <w:style w:type="paragraph" w:styleId="997" w:customStyle="1">
    <w:name w:val="Normal_3_0"/>
    <w:uiPriority w:val="0"/>
    <w:qFormat/>
    <w:rPr>
      <w:rFonts w:ascii="黑体" w:hAnsi="黑体" w:eastAsia="黑体" w:cs="Times New Roman"/>
      <w:b/>
      <w:sz w:val="32"/>
      <w:szCs w:val="24"/>
      <w:lang w:val="en-US" w:eastAsia="zh-CN" w:bidi="ar-SA"/>
    </w:rPr>
  </w:style>
  <w:style w:type="paragraph" w:styleId="99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999" w:customStyle="1">
    <w:name w:val="正文_16_0"/>
    <w:uiPriority w:val="0"/>
    <w:qFormat/>
    <w:pPr>
      <w:jc w:val="both"/>
      <w:widowControl w:val="off"/>
    </w:pPr>
    <w:rPr>
      <w:rFonts w:ascii="Calibri" w:hAnsi="Calibri" w:eastAsia="宋体" w:cs="Times New Roman"/>
      <w:sz w:val="21"/>
      <w:szCs w:val="22"/>
      <w:lang w:val="en-US" w:eastAsia="zh-CN" w:bidi="ar-SA"/>
    </w:rPr>
  </w:style>
  <w:style w:type="paragraph" w:styleId="1000" w:customStyle="1">
    <w:name w:val="Normal_19"/>
    <w:next w:val="714"/>
    <w:uiPriority w:val="0"/>
    <w:qFormat/>
    <w:pPr>
      <w:jc w:val="both"/>
      <w:widowControl w:val="off"/>
    </w:pPr>
    <w:rPr>
      <w:rFonts w:ascii="Calibri" w:hAnsi="Calibri" w:eastAsia="宋体" w:cs="Times New Roman"/>
      <w:sz w:val="21"/>
      <w:szCs w:val="22"/>
      <w:lang w:val="en-US" w:eastAsia="zh-CN" w:bidi="ar-SA"/>
    </w:rPr>
  </w:style>
  <w:style w:type="paragraph" w:styleId="1001"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02" w:customStyle="1">
    <w:name w:val="无间隔_0"/>
    <w:uiPriority w:val="1"/>
    <w:qFormat/>
    <w:pPr>
      <w:jc w:val="both"/>
      <w:widowControl w:val="off"/>
    </w:pPr>
    <w:rPr>
      <w:rFonts w:ascii="Times New Roman" w:hAnsi="Times New Roman" w:eastAsia="宋体" w:cs="Times New Roman"/>
      <w:sz w:val="21"/>
      <w:szCs w:val="24"/>
      <w:lang w:val="en-US" w:eastAsia="zh-CN" w:bidi="ar-SA"/>
    </w:rPr>
  </w:style>
  <w:style w:type="paragraph" w:styleId="1003" w:customStyle="1">
    <w:name w:val="Normal_21"/>
    <w:uiPriority w:val="0"/>
    <w:qFormat/>
    <w:pPr>
      <w:widowControl w:val="off"/>
    </w:pPr>
    <w:rPr>
      <w:rFonts w:ascii="宋体" w:hAnsi="宋体" w:eastAsia="宋体" w:cs="宋体"/>
      <w:sz w:val="22"/>
      <w:szCs w:val="22"/>
      <w:lang w:val="zh-CN" w:eastAsia="zh-CN" w:bidi="zh-CN"/>
    </w:rPr>
  </w:style>
  <w:style w:type="paragraph" w:styleId="1004"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1005" w:customStyle="1">
    <w:name w:val="正文_0_1"/>
    <w:uiPriority w:val="0"/>
    <w:qFormat/>
    <w:pPr>
      <w:jc w:val="both"/>
      <w:widowControl w:val="off"/>
    </w:pPr>
    <w:rPr>
      <w:rFonts w:ascii="Calibri" w:hAnsi="Calibri" w:eastAsia="宋体" w:cs="Times New Roman"/>
      <w:sz w:val="21"/>
      <w:szCs w:val="24"/>
      <w:lang w:val="en-US" w:eastAsia="zh-CN" w:bidi="ar-SA"/>
    </w:rPr>
  </w:style>
  <w:style w:type="paragraph" w:styleId="100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07"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008"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09" w:customStyle="1">
    <w:name w:val="列表段落1"/>
    <w:basedOn w:val="714"/>
    <w:uiPriority w:val="0"/>
    <w:qFormat/>
    <w:pPr>
      <w:ind w:firstLine="420"/>
    </w:pPr>
    <w:rPr>
      <w:rFonts w:ascii="Times New Roman" w:hAnsi="Times New Roman"/>
      <w:szCs w:val="20"/>
    </w:rPr>
  </w:style>
  <w:style w:type="paragraph" w:styleId="1010" w:customStyle="1">
    <w:name w:val="Table Text"/>
    <w:basedOn w:val="714"/>
    <w:uiPriority w:val="0"/>
    <w:semiHidden/>
    <w:qFormat/>
    <w:rPr>
      <w:rFonts w:ascii="宋体" w:hAnsi="宋体" w:cs="宋体"/>
      <w:szCs w:val="21"/>
      <w:lang w:eastAsia="en-US"/>
    </w:rPr>
  </w:style>
  <w:style w:type="paragraph" w:styleId="1011" w:customStyle="1">
    <w:name w:val="索引 41"/>
    <w:basedOn w:val="714"/>
    <w:next w:val="714"/>
    <w:uiPriority w:val="0"/>
    <w:semiHidden/>
    <w:qFormat/>
    <w:pPr>
      <w:ind w:left="1260"/>
    </w:pPr>
    <w:rPr>
      <w:rFonts w:eastAsia="Calibri" w:cs="宋体"/>
      <w:sz w:val="20"/>
      <w:lang w:val="zh-CN"/>
    </w:rPr>
  </w:style>
  <w:style w:type="paragraph" w:styleId="1012" w:customStyle="1">
    <w:name w:val="正文文本 211"/>
    <w:basedOn w:val="714"/>
    <w:uiPriority w:val="99"/>
    <w:qFormat/>
    <w:pPr>
      <w:jc w:val="center"/>
    </w:pPr>
    <w:rPr>
      <w:rFonts w:ascii="Times New Roman" w:hAnsi="Times New Roman"/>
      <w:b/>
      <w:bCs/>
      <w:sz w:val="20"/>
      <w:szCs w:val="20"/>
    </w:rPr>
  </w:style>
  <w:style w:type="paragraph" w:styleId="1013" w:customStyle="1">
    <w:name w:val="p0"/>
    <w:basedOn w:val="714"/>
    <w:uiPriority w:val="0"/>
    <w:qFormat/>
    <w:pPr>
      <w:jc w:val="left"/>
      <w:spacing w:before="100" w:beforeAutospacing="1" w:after="100" w:afterAutospacing="1"/>
      <w:widowControl/>
    </w:pPr>
    <w:rPr>
      <w:rFonts w:ascii="宋体" w:hAnsi="宋体" w:cs="宋体"/>
      <w:sz w:val="24"/>
      <w:szCs w:val="24"/>
    </w:rPr>
  </w:style>
  <w:style w:type="paragraph" w:styleId="1014" w:customStyle="1">
    <w:name w:val="首行缩进"/>
    <w:basedOn w:val="714"/>
    <w:uiPriority w:val="99"/>
    <w:qFormat/>
    <w:pPr>
      <w:ind w:firstLine="480"/>
    </w:pPr>
    <w:rPr>
      <w:rFonts w:ascii="Times New Roman" w:hAnsi="Times New Roman"/>
      <w:szCs w:val="20"/>
      <w:lang w:val="zh-CN"/>
    </w:rPr>
  </w:style>
  <w:style w:type="character" w:styleId="1015" w:customStyle="1">
    <w:name w:val="普通(网站) Char"/>
    <w:link w:val="757"/>
    <w:uiPriority w:val="99"/>
    <w:qFormat/>
    <w:rPr>
      <w:rFonts w:ascii="宋体" w:hAnsi="宋体" w:cs="宋体"/>
      <w:sz w:val="24"/>
      <w:szCs w:val="24"/>
    </w:rPr>
  </w:style>
  <w:style w:type="table" w:styleId="1016" w:customStyle="1">
    <w:name w:val="Table Normal"/>
    <w:uiPriority w:val="2"/>
    <w:unhideWhenUsed/>
    <w:qFormat/>
    <w:pPr>
      <w:widowControl w:val="off"/>
    </w:pPr>
    <w:rPr>
      <w:rFonts w:cs="仿宋"/>
      <w:color w:val="000000"/>
      <w:sz w:val="24"/>
      <w:szCs w:val="24"/>
      <w:lang w:eastAsia="en-US"/>
    </w:rPr>
    <w:tblPr>
      <w:tblCellMar>
        <w:left w:w="0" w:type="dxa"/>
        <w:top w:w="0" w:type="dxa"/>
        <w:right w:w="0" w:type="dxa"/>
        <w:bottom w:w="0" w:type="dxa"/>
      </w:tblCellMar>
    </w:tbl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08D0E-1E7B-4D90-BCF7-A8925044E86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肖金</cp:lastModifiedBy>
  <cp:revision>6</cp:revision>
  <dcterms:created xsi:type="dcterms:W3CDTF">2026-02-09T02:43:00Z</dcterms:created>
  <dcterms:modified xsi:type="dcterms:W3CDTF">2026-09-04T07:30:19Z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412054F3BA5B448F9B95EC6EF8D8ED28_13</vt:lpwstr>
  </property>
  <property fmtid="{D5CDD505-2E9C-101B-9397-08002B2CF9AE}" pid="4" name="KSOTemplateDocerSaveRecord">
    <vt:lpwstr>eyJoZGlkIjoiMzYwYjllYTJhYWU3Y2RmMTE5MGE1MjQwNjAzNmVkMzYiLCJ1c2VySWQiOiI3NDAzMzkxODkifQ==</vt:lpwstr>
  </property>
</Properties>
</file>