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bookmarkStart w:id="0" w:name="_Toc2583690"/>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jc w:val="center"/>
        <w:spacing w:line="360" w:lineRule="auto"/>
        <w:rPr>
          <w:rFonts w:ascii="宋体" w:hAnsi="宋体"/>
          <w:b/>
          <w:sz w:val="72"/>
          <w:szCs w:val="20"/>
          <w:lang w:val="zh-CN"/>
        </w:rPr>
      </w:pPr>
      <w:r>
        <w:rPr>
          <w:rFonts w:hint="eastAsia" w:ascii="宋体" w:hAnsi="宋体"/>
          <w:b/>
          <w:sz w:val="72"/>
          <w:szCs w:val="20"/>
        </w:rPr>
        <w:t xml:space="preserve">苏州市</w:t>
      </w:r>
      <w:r>
        <w:rPr>
          <w:rStyle w:val="948"/>
          <w:rFonts w:hint="eastAsia" w:ascii="宋体" w:hAnsi="宋体" w:cs="宋体"/>
          <w:sz w:val="72"/>
          <w:szCs w:val="72"/>
          <w:lang w:val="zh-CN"/>
        </w:rPr>
        <w:t xml:space="preserve">级</w:t>
      </w:r>
      <w:r>
        <w:rPr>
          <w:rFonts w:hint="eastAsia" w:ascii="宋体" w:hAnsi="宋体"/>
          <w:b/>
          <w:sz w:val="72"/>
          <w:szCs w:val="20"/>
          <w:lang w:val="zh-CN"/>
        </w:rPr>
        <w:t xml:space="preserve">政府采购</w:t>
      </w:r>
      <w:r/>
    </w:p>
    <w:p>
      <w:pPr>
        <w:jc w:val="center"/>
        <w:spacing w:line="360" w:lineRule="auto"/>
        <w:rPr>
          <w:rStyle w:val="948"/>
          <w:rFonts w:ascii="宋体" w:hAnsi="宋体" w:cs="宋体"/>
          <w:sz w:val="72"/>
          <w:szCs w:val="72"/>
        </w:rPr>
      </w:pPr>
      <w:r>
        <w:rPr>
          <w:rStyle w:val="948"/>
          <w:rFonts w:hint="eastAsia" w:ascii="宋体" w:hAnsi="宋体" w:cs="宋体"/>
          <w:sz w:val="72"/>
          <w:szCs w:val="72"/>
        </w:rPr>
        <w:t xml:space="preserve"> 货物类公开招标项目</w:t>
      </w:r>
      <w:r/>
    </w:p>
    <w:p>
      <w:pPr>
        <w:jc w:val="center"/>
        <w:spacing w:line="360" w:lineRule="auto"/>
        <w:rPr>
          <w:rStyle w:val="948"/>
          <w:rFonts w:ascii="宋体" w:hAnsi="宋体" w:cs="宋体"/>
          <w:sz w:val="72"/>
          <w:szCs w:val="72"/>
          <w:lang w:val="zh-CN"/>
        </w:rPr>
      </w:pPr>
      <w:r>
        <w:rPr>
          <w:rFonts w:hint="eastAsia" w:ascii="宋体" w:hAnsi="宋体"/>
          <w:b/>
          <w:sz w:val="72"/>
          <w:szCs w:val="20"/>
          <w:lang w:val="zh-CN"/>
        </w:rPr>
        <w:t xml:space="preserve">招标文件</w:t>
      </w:r>
      <w:r/>
    </w:p>
    <w:p>
      <w:pPr>
        <w:pStyle w:val="945"/>
        <w:ind w:left="2766" w:hanging="1506"/>
        <w:spacing w:beforeAutospacing="0" w:afterAutospacing="0" w:line="360" w:lineRule="auto"/>
        <w:widowControl/>
        <w:rPr>
          <w:rStyle w:val="948"/>
          <w:rFonts w:ascii="宋体" w:hAnsi="宋体" w:cs="宋体"/>
          <w:sz w:val="30"/>
          <w:szCs w:val="30"/>
        </w:rPr>
      </w:pPr>
      <w:r>
        <w:rPr>
          <w:rFonts w:ascii="宋体" w:hAnsi="宋体" w:cs="宋体"/>
          <w:sz w:val="30"/>
          <w:szCs w:val="30"/>
        </w:rPr>
      </w:r>
      <w:r/>
    </w:p>
    <w:p>
      <w:pPr>
        <w:pStyle w:val="945"/>
        <w:ind w:left="2766" w:hanging="1506"/>
        <w:spacing w:beforeAutospacing="0" w:afterAutospacing="0" w:line="360" w:lineRule="auto"/>
        <w:widowControl/>
        <w:rPr>
          <w:rStyle w:val="948"/>
          <w:rFonts w:ascii="宋体" w:hAnsi="宋体" w:cs="宋体"/>
          <w:sz w:val="30"/>
          <w:szCs w:val="30"/>
        </w:rPr>
      </w:pPr>
      <w:r>
        <w:rPr>
          <w:rFonts w:ascii="宋体" w:hAnsi="宋体" w:cs="宋体"/>
          <w:sz w:val="30"/>
          <w:szCs w:val="30"/>
        </w:rPr>
      </w:r>
      <w:r/>
    </w:p>
    <w:p>
      <w:pPr>
        <w:pStyle w:val="945"/>
        <w:ind w:left="2766" w:hanging="1506"/>
        <w:spacing w:beforeAutospacing="0" w:afterAutospacing="0" w:line="360" w:lineRule="auto"/>
        <w:widowControl/>
        <w:rPr>
          <w:rStyle w:val="948"/>
          <w:rFonts w:ascii="宋体" w:hAnsi="宋体" w:cs="宋体"/>
          <w:sz w:val="30"/>
          <w:szCs w:val="30"/>
        </w:rPr>
      </w:pPr>
      <w:r>
        <w:rPr>
          <w:rStyle w:val="948"/>
          <w:rFonts w:hint="eastAsia" w:ascii="宋体" w:hAnsi="宋体" w:cs="宋体"/>
          <w:sz w:val="30"/>
          <w:szCs w:val="30"/>
        </w:rPr>
        <w:t xml:space="preserve">招标编号：</w:t>
      </w:r>
      <w:r>
        <w:rPr>
          <w:rFonts w:hint="eastAsia" w:ascii="宋体" w:hAnsi="宋体" w:cs="宋体"/>
          <w:sz w:val="30"/>
          <w:szCs w:val="30"/>
          <w:lang w:val="zh-CN"/>
        </w:rPr>
        <w:t xml:space="preserve">JSZC-320500-CJZB-G2026-0087</w:t>
      </w:r>
      <w:r/>
    </w:p>
    <w:p>
      <w:pPr>
        <w:pStyle w:val="945"/>
        <w:ind w:left="2766" w:hanging="1506"/>
        <w:spacing w:beforeAutospacing="0" w:afterAutospacing="0" w:line="360" w:lineRule="auto"/>
        <w:widowControl/>
        <w:rPr>
          <w:rStyle w:val="948"/>
          <w:rFonts w:ascii="宋体" w:hAnsi="宋体" w:cs="宋体"/>
          <w:sz w:val="30"/>
          <w:szCs w:val="30"/>
        </w:rPr>
      </w:pPr>
      <w:r>
        <w:rPr>
          <w:rStyle w:val="948"/>
          <w:rFonts w:hint="eastAsia" w:ascii="宋体" w:hAnsi="宋体" w:cs="宋体"/>
          <w:sz w:val="30"/>
          <w:szCs w:val="30"/>
        </w:rPr>
        <w:t xml:space="preserve">项目名称：</w:t>
      </w:r>
      <w:r>
        <w:rPr>
          <w:rFonts w:hint="eastAsia" w:ascii="宋体" w:hAnsi="宋体" w:cs="宋体"/>
          <w:sz w:val="30"/>
          <w:szCs w:val="30"/>
          <w:lang w:val="zh-CN"/>
        </w:rPr>
        <w:t xml:space="preserve">康复设备一批</w:t>
      </w:r>
      <w:r/>
    </w:p>
    <w:p>
      <w:pPr>
        <w:pStyle w:val="945"/>
        <w:ind w:left="2766" w:hanging="1506"/>
        <w:spacing w:beforeAutospacing="0" w:afterAutospacing="0" w:line="360" w:lineRule="auto"/>
        <w:widowControl/>
        <w:rPr>
          <w:rFonts w:ascii="宋体" w:hAnsi="宋体" w:cs="宋体"/>
        </w:rPr>
      </w:pPr>
      <w:r>
        <w:rPr>
          <w:rStyle w:val="948"/>
          <w:rFonts w:hint="eastAsia" w:ascii="宋体" w:hAnsi="宋体" w:cs="宋体"/>
          <w:sz w:val="30"/>
          <w:szCs w:val="30"/>
        </w:rPr>
        <w:t xml:space="preserve">采 购 人：</w:t>
      </w:r>
      <w:r>
        <w:rPr>
          <w:rFonts w:hint="eastAsia" w:ascii="宋体" w:hAnsi="宋体" w:cs="宋体"/>
          <w:sz w:val="30"/>
          <w:szCs w:val="30"/>
          <w:lang w:val="zh-CN"/>
        </w:rPr>
        <w:t xml:space="preserve">苏州市立医院</w:t>
      </w:r>
      <w:r/>
    </w:p>
    <w:p>
      <w:pPr>
        <w:pStyle w:val="945"/>
        <w:ind w:left="2766" w:hanging="1506"/>
        <w:spacing w:beforeAutospacing="0" w:afterAutospacing="0" w:line="360" w:lineRule="auto"/>
        <w:widowControl/>
        <w:rPr>
          <w:rFonts w:ascii="宋体" w:hAnsi="宋体" w:cs="宋体"/>
          <w:sz w:val="30"/>
          <w:szCs w:val="30"/>
          <w:lang w:val="zh-CN"/>
        </w:rPr>
      </w:pPr>
      <w:r>
        <w:rPr>
          <w:rStyle w:val="948"/>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945"/>
        <w:ind w:left="2766" w:hanging="1506"/>
        <w:spacing w:beforeAutospacing="0" w:afterAutospacing="0" w:line="360" w:lineRule="auto"/>
        <w:widowControl/>
        <w:rPr>
          <w:rFonts w:ascii="宋体" w:hAnsi="宋体" w:cs="宋体"/>
        </w:rPr>
      </w:pPr>
      <w:r>
        <w:rPr>
          <w:rFonts w:hint="eastAsia" w:ascii="宋体" w:hAnsi="宋体" w:cs="宋体"/>
          <w:b/>
          <w:bCs/>
          <w:sz w:val="30"/>
          <w:szCs w:val="30"/>
          <w:lang w:val="zh-CN"/>
        </w:rPr>
        <w:t xml:space="preserve">标的所属行业</w:t>
      </w:r>
      <w:r>
        <w:rPr>
          <w:rFonts w:hint="eastAsia" w:ascii="宋体" w:hAnsi="宋体" w:cs="宋体"/>
          <w:sz w:val="30"/>
          <w:szCs w:val="30"/>
          <w:lang w:val="zh-CN"/>
        </w:rPr>
        <w:t xml:space="preserve">：工业</w:t>
      </w:r>
      <w:r/>
    </w:p>
    <w:p>
      <w:pPr>
        <w:pStyle w:val="945"/>
        <w:ind w:firstLine="482"/>
        <w:jc w:val="center"/>
        <w:spacing w:beforeAutospacing="0" w:afterAutospacing="0" w:line="360" w:lineRule="auto"/>
        <w:widowControl/>
        <w:rPr>
          <w:rFonts w:ascii="宋体" w:hAnsi="宋体" w:cs="宋体"/>
        </w:rPr>
      </w:pPr>
      <w:r>
        <w:rPr>
          <w:rFonts w:ascii="宋体" w:hAnsi="宋体" w:cs="宋体"/>
        </w:rPr>
      </w:r>
      <w:r/>
    </w:p>
    <w:p>
      <w:pPr>
        <w:pStyle w:val="945"/>
        <w:ind w:firstLine="482"/>
        <w:jc w:val="center"/>
        <w:spacing w:beforeAutospacing="0" w:afterAutospacing="0" w:line="360" w:lineRule="auto"/>
        <w:widowControl/>
        <w:rPr>
          <w:rFonts w:ascii="宋体" w:hAnsi="宋体" w:cs="宋体"/>
        </w:rPr>
      </w:pPr>
      <w:r>
        <w:rPr>
          <w:rFonts w:ascii="宋体" w:hAnsi="宋体" w:cs="宋体"/>
        </w:rPr>
      </w:r>
      <w:r/>
    </w:p>
    <w:p>
      <w:pPr>
        <w:pStyle w:val="945"/>
        <w:ind w:firstLine="482"/>
        <w:jc w:val="center"/>
        <w:spacing w:beforeAutospacing="0" w:afterAutospacing="0" w:line="360" w:lineRule="auto"/>
        <w:widowControl/>
        <w:rPr>
          <w:rFonts w:ascii="宋体" w:hAnsi="宋体" w:cs="宋体"/>
        </w:rPr>
      </w:pPr>
      <w:r>
        <w:rPr>
          <w:rFonts w:ascii="宋体" w:hAnsi="宋体" w:cs="宋体"/>
        </w:rPr>
      </w:r>
      <w:r/>
    </w:p>
    <w:p>
      <w:pPr>
        <w:pStyle w:val="945"/>
        <w:ind w:firstLine="602"/>
        <w:jc w:val="center"/>
        <w:spacing w:beforeAutospacing="0" w:afterAutospacing="0" w:line="360" w:lineRule="auto"/>
        <w:widowControl/>
        <w:rPr>
          <w:rStyle w:val="948"/>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sz w:val="30"/>
          <w:szCs w:val="30"/>
        </w:rPr>
        <w:t xml:space="preserve">二○二六年八月</w:t>
      </w:r>
      <w:bookmarkEnd w:id="1"/>
      <w:r/>
      <w:r/>
    </w:p>
    <w:p>
      <w:pPr>
        <w:pStyle w:val="940"/>
        <w:ind w:firstLine="640"/>
        <w:jc w:val="center"/>
        <w:pageBreakBefore/>
        <w:spacing w:line="360" w:lineRule="auto"/>
        <w:tabs>
          <w:tab w:val="right" w:pos="8302" w:leader="dot"/>
        </w:tabs>
        <w:rPr>
          <w:rStyle w:val="948"/>
          <w:rFonts w:ascii="宋体" w:hAnsi="宋体" w:cs="宋体"/>
          <w:bCs/>
          <w:sz w:val="32"/>
          <w:szCs w:val="32"/>
        </w:rPr>
      </w:pPr>
      <w:r>
        <w:rPr>
          <w:rStyle w:val="948"/>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JSZC-320500-CJZB-G2026-0087号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lang w:val="zh-CN"/>
              </w:rPr>
              <w:t xml:space="preserve">康复设备一批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35"/>
              <w:spacing w:line="360" w:lineRule="auto"/>
              <w:rPr>
                <w:rStyle w:val="993"/>
                <w:rFonts w:ascii="宋体" w:hAnsi="宋体" w:cs="宋体"/>
                <w:bCs w:val="0"/>
                <w:spacing w:val="0"/>
                <w:sz w:val="21"/>
                <w:szCs w:val="21"/>
              </w:rPr>
            </w:pPr>
            <w:r>
              <w:rPr>
                <w:rStyle w:val="993"/>
                <w:rFonts w:ascii="Wingdings" w:hAnsi="Wingdings" w:eastAsia="Wingdings" w:cs="Wingdings"/>
                <w:bCs w:val="0"/>
                <w:spacing w:val="0"/>
                <w:sz w:val="21"/>
                <w:szCs w:val="21"/>
              </w:rPr>
              <w:t xml:space="preserve">þ</w:t>
            </w:r>
            <w:r>
              <w:rPr>
                <w:rStyle w:val="993"/>
                <w:rFonts w:hint="eastAsia" w:ascii="宋体" w:hAnsi="宋体" w:cs="宋体"/>
                <w:bCs w:val="0"/>
                <w:spacing w:val="0"/>
                <w:sz w:val="21"/>
                <w:szCs w:val="21"/>
              </w:rPr>
              <w:t xml:space="preserve">不需提交，招标文件中有关投标保证金的规定均不适用。</w:t>
            </w:r>
            <w:r/>
          </w:p>
          <w:p>
            <w:pPr>
              <w:pStyle w:val="935"/>
              <w:spacing w:line="360" w:lineRule="auto"/>
              <w:rPr>
                <w:rFonts w:ascii="宋体" w:hAnsi="宋体" w:cs="宋体"/>
                <w:sz w:val="18"/>
                <w:szCs w:val="18"/>
              </w:rPr>
            </w:pPr>
            <w:r>
              <w:rPr>
                <w:rStyle w:val="993"/>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30"/>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  址：苏州市干将西路399号银海大厦303室   邮编：215002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电话/传真：0512-65238816  65238892   </w:t>
            </w:r>
            <w:r/>
          </w:p>
          <w:p>
            <w:pPr>
              <w:jc w:val="left"/>
              <w:spacing w:line="360" w:lineRule="auto"/>
              <w:rPr>
                <w:rFonts w:ascii="宋体" w:hAnsi="宋体" w:cs="宋体"/>
              </w:rPr>
            </w:pPr>
            <w:r>
              <w:rPr>
                <w:rFonts w:hint="eastAsia" w:ascii="宋体" w:hAnsi="宋体" w:cs="宋体"/>
                <w:szCs w:val="21"/>
                <w:lang w:val="zh-CN"/>
              </w:rPr>
              <w:t xml:space="preserve">联系人：路丽丽  潘莉莉  朱晓芹  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苏州市立医院</w:t>
            </w:r>
            <w:r/>
          </w:p>
          <w:p>
            <w:pPr>
              <w:spacing w:line="360" w:lineRule="auto"/>
              <w:rPr>
                <w:lang w:val="zh-CN"/>
              </w:rPr>
            </w:pPr>
            <w:r>
              <w:rPr>
                <w:rFonts w:hint="eastAsia" w:ascii="宋体" w:hAnsi="宋体" w:cs="宋体"/>
                <w:bCs/>
                <w:szCs w:val="21"/>
              </w:rPr>
              <w:t xml:space="preserve">联系人：</w:t>
            </w:r>
            <w:r>
              <w:rPr>
                <w:rFonts w:ascii="宋体" w:hAnsi="宋体" w:cs="宋体"/>
                <w:szCs w:val="21"/>
              </w:rPr>
              <w:t xml:space="preserve">王俊文</w:t>
            </w:r>
            <w:r>
              <w:rPr>
                <w:rFonts w:hint="eastAsia" w:ascii="宋体" w:hAnsi="宋体" w:cs="宋体"/>
                <w:bCs/>
                <w:szCs w:val="21"/>
              </w:rPr>
              <w:t xml:space="preserve">                  联系电话：</w:t>
            </w:r>
            <w:r>
              <w:rPr>
                <w:rFonts w:ascii="宋体" w:hAnsi="宋体" w:cs="宋体"/>
                <w:szCs w:val="21"/>
              </w:rPr>
              <w:t xml:space="preserve">0512-62362603</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自公告发布之日起5个工作日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2026年9月4日13：30（北京时间）</w:t>
            </w:r>
            <w:r/>
          </w:p>
          <w:p>
            <w:pPr>
              <w:pStyle w:val="932"/>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2026年9月4日13：30（北京时间）</w:t>
            </w:r>
            <w:r/>
          </w:p>
          <w:p>
            <w:pPr>
              <w:jc w:val="left"/>
              <w:spacing w:line="440" w:lineRule="exact"/>
              <w:rPr>
                <w:rFonts w:ascii="宋体" w:hAnsi="宋体" w:cs="宋体"/>
                <w:szCs w:val="21"/>
              </w:rPr>
            </w:pPr>
            <w:r>
              <w:rPr>
                <w:rFonts w:hint="eastAsia" w:ascii="宋体" w:hAnsi="宋体" w:cs="宋体"/>
                <w:szCs w:val="21"/>
              </w:rPr>
              <w:t xml:space="preserve">“苏采云”系统（网址：http://jszfcg.jsczt.cn/）</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bookmarkStart w:id="2" w:name="_GoBack"/>
            <w:r>
              <w:rPr>
                <w:rFonts w:hint="eastAsia" w:ascii="宋体" w:hAnsi="宋体" w:cs="宋体"/>
                <w:szCs w:val="21"/>
              </w:rPr>
              <w:t xml:space="preserve">2026年9月4日13：30（北京时间）</w:t>
            </w:r>
            <w:r/>
          </w:p>
          <w:p>
            <w:pPr>
              <w:jc w:val="left"/>
              <w:spacing w:line="312" w:lineRule="auto"/>
              <w:rPr>
                <w:rFonts w:ascii="宋体" w:hAnsi="宋体" w:cs="宋体"/>
              </w:rPr>
            </w:pPr>
            <w:r>
              <w:rPr>
                <w:rFonts w:hint="eastAsia" w:ascii="宋体" w:hAnsi="宋体" w:cs="宋体"/>
                <w:szCs w:val="21"/>
              </w:rPr>
              <w:t xml:space="preserve">苏州市高新区邓尉路105号狮山科技馆 </w:t>
            </w:r>
            <w:bookmarkEnd w:id="2"/>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w:t>
            </w:r>
            <w:r>
              <w:rPr>
                <w:rFonts w:hint="eastAsia" w:ascii="宋体" w:hAnsi="宋体" w:cs="宋体"/>
              </w:rPr>
              <w:t xml:space="preserve">件，投标人无需提供纸质投标文件。</w:t>
            </w:r>
            <w:r/>
          </w:p>
          <w:p>
            <w:pPr>
              <w:spacing w:line="360" w:lineRule="auto"/>
              <w:rPr>
                <w:rFonts w:ascii="宋体" w:hAnsi="宋体" w:cs="宋体"/>
              </w:rPr>
            </w:pPr>
            <w:r>
              <w:rPr>
                <w:rFonts w:hint="eastAsia" w:ascii="宋体" w:hAnsi="宋体" w:cs="宋体"/>
              </w:rPr>
              <w:t xml:space="preserve">中标后5个工作日内，中标单位向招标代理机构提供与电子投标文件内容一致的纸质投标文件两份。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szCs w:val="21"/>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b/>
                <w:bCs/>
                <w:szCs w:val="21"/>
              </w:rPr>
              <w:t xml:space="preserve">本项目采购人未要求收取履约保证金。</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59"/>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59"/>
              <w:ind w:firstLine="0"/>
              <w:spacing w:line="440" w:lineRule="exact"/>
              <w:rPr>
                <w:rFonts w:ascii="宋体" w:hAnsi="宋体" w:cs="宋体"/>
              </w:rPr>
            </w:pPr>
            <w:r>
              <w:rPr>
                <w:rFonts w:hint="eastAsia" w:ascii="宋体" w:hAnsi="宋体" w:cs="宋体"/>
                <w:b/>
                <w:szCs w:val="21"/>
              </w:rPr>
              <w:t xml:space="preserve">请中标人在中标结果公告届满之日起30日内,使用CA证书登录“苏采云”系统及时下载中标通知书。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代理服务费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本项目在编制预算时已综合考虑采购代理服务费，根据代理协议约定由中标单位支付，中标单位在领取中标通知书时付清，请各供应商在响应报价时予以综合考虑。</w:t>
            </w:r>
            <w:r/>
          </w:p>
          <w:p>
            <w:pPr>
              <w:spacing w:line="360" w:lineRule="auto"/>
              <w:rPr>
                <w:rFonts w:ascii="宋体" w:hAnsi="宋体" w:cs="宋体"/>
              </w:rPr>
            </w:pPr>
            <w:r>
              <w:rPr>
                <w:rFonts w:hint="eastAsia" w:ascii="宋体" w:hAnsi="宋体" w:cs="宋体"/>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3000元整的，则按人民币3000元整计收。本项目中标服务费肆万陆仟玖佰元整。</w:t>
            </w:r>
            <w:r/>
          </w:p>
          <w:p>
            <w:pPr>
              <w:spacing w:line="360" w:lineRule="auto"/>
              <w:rPr>
                <w:rFonts w:ascii="宋体" w:hAnsi="宋体" w:cs="宋体"/>
              </w:rPr>
            </w:pPr>
            <w:r>
              <w:rPr>
                <w:rFonts w:hint="eastAsia" w:ascii="宋体" w:hAnsi="宋体" w:cs="宋体"/>
              </w:rPr>
              <w:t xml:space="preserve">供应商缴纳代理服务费时，如需增值税专用发票的，则须提供有关信息资料。</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中标服务费交纳账号：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44"/>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45"/>
        <w:ind w:firstLine="482"/>
        <w:spacing w:beforeAutospacing="0" w:afterAutospacing="0" w:line="360" w:lineRule="auto"/>
        <w:widowControl/>
        <w:rPr>
          <w:rFonts w:ascii="宋体" w:hAnsi="宋体" w:cs="宋体"/>
        </w:rPr>
      </w:pPr>
      <w:r>
        <w:rPr>
          <w:rFonts w:ascii="宋体" w:hAnsi="宋体" w:cs="宋体"/>
        </w:rPr>
      </w:r>
      <w:r/>
    </w:p>
    <w:p>
      <w:pPr>
        <w:pStyle w:val="945"/>
        <w:ind w:firstLine="482"/>
        <w:spacing w:beforeAutospacing="0" w:afterAutospacing="0" w:line="360" w:lineRule="auto"/>
        <w:widowControl/>
        <w:rPr>
          <w:rFonts w:ascii="宋体" w:hAnsi="宋体" w:cs="宋体"/>
        </w:rPr>
      </w:pPr>
      <w:r>
        <w:rPr>
          <w:rFonts w:ascii="宋体" w:hAnsi="宋体" w:cs="宋体"/>
        </w:rPr>
      </w:r>
      <w:r/>
    </w:p>
    <w:p>
      <w:pPr>
        <w:pStyle w:val="945"/>
        <w:ind w:firstLine="482"/>
        <w:spacing w:beforeAutospacing="0" w:afterAutospacing="0" w:line="360" w:lineRule="auto"/>
        <w:widowControl/>
        <w:rPr>
          <w:rFonts w:ascii="宋体" w:hAnsi="宋体" w:cs="宋体"/>
        </w:rPr>
      </w:pPr>
      <w:r>
        <w:rPr>
          <w:rFonts w:ascii="宋体" w:hAnsi="宋体" w:cs="宋体"/>
        </w:rPr>
      </w:r>
      <w:r/>
    </w:p>
    <w:p>
      <w:pPr>
        <w:pStyle w:val="945"/>
        <w:ind w:firstLine="482"/>
        <w:spacing w:beforeAutospacing="0" w:afterAutospacing="0" w:line="360" w:lineRule="auto"/>
        <w:widowControl/>
        <w:rPr>
          <w:rFonts w:ascii="宋体" w:hAnsi="宋体" w:cs="宋体"/>
        </w:rPr>
      </w:pPr>
      <w:r>
        <w:rPr>
          <w:rFonts w:ascii="宋体" w:hAnsi="宋体" w:cs="宋体"/>
        </w:rPr>
      </w:r>
      <w:r/>
    </w:p>
    <w:p>
      <w:pPr>
        <w:pStyle w:val="945"/>
        <w:ind w:firstLine="482"/>
        <w:spacing w:beforeAutospacing="0" w:afterAutospacing="0" w:line="360" w:lineRule="auto"/>
        <w:widowControl/>
        <w:rPr>
          <w:rFonts w:ascii="宋体" w:hAnsi="宋体" w:cs="宋体"/>
        </w:rPr>
      </w:pPr>
      <w:r>
        <w:rPr>
          <w:rFonts w:ascii="宋体" w:hAnsi="宋体" w:cs="宋体"/>
        </w:rPr>
      </w:r>
      <w:r/>
    </w:p>
    <w:p>
      <w:pPr>
        <w:pStyle w:val="945"/>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40"/>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  投标邀请函</w:t>
      </w:r>
      <w:r/>
    </w:p>
    <w:p>
      <w:pPr>
        <w:pStyle w:val="940"/>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  投标人须知</w:t>
      </w:r>
      <w:r/>
    </w:p>
    <w:p>
      <w:pPr>
        <w:pStyle w:val="940"/>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  投标文件格式</w:t>
      </w:r>
      <w:r/>
    </w:p>
    <w:p>
      <w:pPr>
        <w:pStyle w:val="940"/>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  招标书</w:t>
      </w:r>
      <w:r/>
    </w:p>
    <w:p>
      <w:pPr>
        <w:ind w:firstLine="723"/>
        <w:rPr>
          <w:rFonts w:ascii="宋体" w:hAnsi="宋体" w:cs="宋体"/>
          <w:sz w:val="36"/>
        </w:rPr>
      </w:pPr>
      <w:r>
        <w:rPr>
          <w:rFonts w:hint="eastAsia" w:ascii="宋体" w:hAnsi="宋体" w:cs="宋体"/>
          <w:sz w:val="36"/>
        </w:rPr>
        <w:t xml:space="preserve">第五章  合同一般条款</w:t>
      </w:r>
      <w:r/>
    </w:p>
    <w:p>
      <w:pPr>
        <w:ind w:firstLine="723"/>
        <w:rPr>
          <w:rFonts w:ascii="宋体" w:hAnsi="宋体" w:cs="宋体"/>
          <w:sz w:val="36"/>
        </w:rPr>
      </w:pPr>
      <w:r>
        <w:rPr>
          <w:rFonts w:hint="eastAsia" w:ascii="宋体" w:hAnsi="宋体" w:cs="宋体"/>
          <w:sz w:val="36"/>
        </w:rPr>
        <w:t xml:space="preserve">第六章  合同特殊条款</w:t>
      </w:r>
      <w:r/>
    </w:p>
    <w:p>
      <w:pPr>
        <w:ind w:firstLine="723"/>
      </w:pPr>
      <w:r>
        <w:rPr>
          <w:rFonts w:hint="eastAsia" w:ascii="宋体" w:hAnsi="宋体" w:cs="宋体"/>
          <w:sz w:val="36"/>
        </w:rPr>
        <w:t xml:space="preserve">第七章  评标办法及评分标准</w:t>
      </w:r>
      <w:r/>
    </w:p>
    <w:p>
      <w:pPr>
        <w:pStyle w:val="940"/>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36"/>
          <w:szCs w:val="24"/>
        </w:rPr>
      </w:r>
      <w:r/>
    </w:p>
    <w:p>
      <w:pPr>
        <w:pStyle w:val="940"/>
        <w:ind w:firstLine="640"/>
        <w:jc w:val="center"/>
        <w:pageBreakBefore/>
        <w:spacing w:line="360" w:lineRule="auto"/>
        <w:tabs>
          <w:tab w:val="right" w:pos="8302" w:leader="dot"/>
        </w:tabs>
        <w:rPr>
          <w:rStyle w:val="948"/>
          <w:rFonts w:ascii="宋体" w:hAnsi="宋体" w:cs="宋体"/>
          <w:sz w:val="32"/>
          <w:szCs w:val="32"/>
        </w:rPr>
      </w:pPr>
      <w:r>
        <w:rPr>
          <w:rStyle w:val="948"/>
          <w:rFonts w:hint="eastAsia" w:ascii="宋体" w:hAnsi="宋体" w:cs="宋体"/>
          <w:sz w:val="32"/>
          <w:szCs w:val="32"/>
        </w:rPr>
        <w:t xml:space="preserve">第一章  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3"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康复设备一批</w:t>
      </w:r>
      <w:r>
        <w:rPr>
          <w:rFonts w:hint="eastAsia" w:ascii="宋体" w:hAnsi="宋体" w:cs="宋体"/>
          <w:szCs w:val="21"/>
        </w:rPr>
        <w:t xml:space="preserve">招标项目的潜在投标人应在</w:t>
      </w:r>
      <w:r>
        <w:rPr>
          <w:rFonts w:hint="eastAsia" w:ascii="宋体" w:hAnsi="宋体"/>
          <w:bCs/>
          <w:szCs w:val="21"/>
          <w:u w:val="single"/>
        </w:rPr>
        <w:t xml:space="preserve">苏采云系中统</w:t>
      </w:r>
      <w:r>
        <w:rPr>
          <w:rFonts w:hint="eastAsia" w:ascii="宋体" w:hAnsi="宋体" w:cs="宋体"/>
          <w:szCs w:val="21"/>
        </w:rPr>
        <w:t xml:space="preserve">获取招标文件，并于</w:t>
      </w:r>
      <w:r>
        <w:rPr>
          <w:rFonts w:hint="eastAsia" w:ascii="宋体" w:hAnsi="宋体" w:cs="宋体"/>
          <w:szCs w:val="21"/>
          <w:u w:val="single"/>
        </w:rPr>
        <w:t xml:space="preserve">2026年9月4日13点30分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4" w:name="_Toc28359002"/>
      <w:r/>
      <w:bookmarkStart w:id="5" w:name="_Toc28359079"/>
      <w:r/>
      <w:bookmarkStart w:id="6" w:name="_Toc35393790"/>
      <w:r/>
      <w:bookmarkStart w:id="7" w:name="_Toc35393621"/>
      <w:r/>
      <w:bookmarkStart w:id="8" w:name="_Hlk24379207"/>
      <w:r>
        <w:rPr>
          <w:rFonts w:hint="eastAsia" w:ascii="宋体" w:hAnsi="宋体" w:cs="宋体"/>
          <w:b/>
          <w:szCs w:val="21"/>
        </w:rPr>
        <w:t xml:space="preserve">一、项目基本情况</w:t>
      </w:r>
      <w:bookmarkEnd w:id="4"/>
      <w:r/>
      <w:bookmarkEnd w:id="5"/>
      <w:r/>
      <w:bookmarkEnd w:id="6"/>
      <w:r/>
      <w:bookmarkEnd w:id="7"/>
      <w:r/>
      <w:r/>
    </w:p>
    <w:p>
      <w:pPr>
        <w:ind w:firstLine="420"/>
        <w:spacing w:line="360" w:lineRule="auto"/>
        <w:rPr>
          <w:rFonts w:ascii="宋体" w:hAnsi="宋体" w:cs="宋体"/>
          <w:szCs w:val="21"/>
        </w:rPr>
      </w:pPr>
      <w:r>
        <w:rPr>
          <w:rFonts w:hint="eastAsia" w:ascii="宋体" w:hAnsi="宋体" w:cs="宋体"/>
          <w:szCs w:val="21"/>
        </w:rPr>
        <w:t xml:space="preserve">1.项目编号：JSZC-320500-CJZB-G2026-0087</w:t>
      </w:r>
      <w:r/>
    </w:p>
    <w:p>
      <w:pPr>
        <w:ind w:firstLine="420"/>
        <w:spacing w:line="360" w:lineRule="auto"/>
        <w:rPr>
          <w:rFonts w:ascii="宋体" w:hAnsi="宋体" w:cs="宋体"/>
          <w:szCs w:val="21"/>
        </w:rPr>
      </w:pPr>
      <w:r>
        <w:rPr>
          <w:rFonts w:hint="eastAsia" w:ascii="宋体" w:hAnsi="宋体" w:cs="宋体"/>
          <w:szCs w:val="21"/>
        </w:rPr>
        <w:t xml:space="preserve">2.项目名称：</w:t>
      </w:r>
      <w:bookmarkEnd w:id="8"/>
      <w:r>
        <w:rPr>
          <w:rFonts w:hint="eastAsia" w:ascii="宋体" w:hAnsi="宋体" w:cs="宋体"/>
          <w:szCs w:val="21"/>
        </w:rPr>
        <w:t xml:space="preserve">康复设备一批</w:t>
      </w:r>
      <w:r/>
    </w:p>
    <w:p>
      <w:pPr>
        <w:ind w:firstLine="420"/>
        <w:spacing w:line="360" w:lineRule="auto"/>
        <w:rPr>
          <w:rFonts w:ascii="宋体" w:hAnsi="宋体" w:cs="宋体"/>
          <w:szCs w:val="21"/>
        </w:rPr>
      </w:pPr>
      <w:r>
        <w:rPr>
          <w:rFonts w:hint="eastAsia" w:ascii="宋体" w:hAnsi="宋体" w:cs="宋体"/>
          <w:szCs w:val="21"/>
        </w:rPr>
        <w:t xml:space="preserve">3.预算金额：人民币叁佰玖拾万元整（¥：</w:t>
      </w:r>
      <w:bookmarkStart w:id="9" w:name="OLE_LINK6"/>
      <w:r/>
      <w:bookmarkStart w:id="10" w:name="OLE_LINK7"/>
      <w:r>
        <w:rPr>
          <w:rFonts w:hint="eastAsia" w:ascii="宋体" w:hAnsi="宋体" w:cs="宋体"/>
          <w:szCs w:val="21"/>
        </w:rPr>
        <w:t xml:space="preserve">3900000.00</w:t>
      </w:r>
      <w:bookmarkEnd w:id="9"/>
      <w:r/>
      <w:bookmarkEnd w:id="10"/>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最高限价：人民币叁佰玖拾万元整（¥：3900000.00）</w:t>
      </w:r>
      <w:r/>
    </w:p>
    <w:p>
      <w:pPr>
        <w:ind w:firstLine="420"/>
        <w:spacing w:line="360" w:lineRule="auto"/>
        <w:rPr>
          <w:rFonts w:ascii="宋体" w:hAnsi="宋体" w:cs="宋体"/>
          <w:szCs w:val="21"/>
        </w:rPr>
      </w:pPr>
      <w:r>
        <w:rPr>
          <w:rFonts w:hint="eastAsia" w:ascii="宋体" w:hAnsi="宋体" w:cs="宋体"/>
          <w:szCs w:val="21"/>
        </w:rPr>
        <w:t xml:space="preserve">4.采购需求：近红外脑功能成像仪1台，上下肢主被动运动康复训练系统（脑机接口版）1套，电动病床5张，深部经颅电刺激仪1套，均不接受进口产品投标。</w:t>
      </w:r>
      <w:r/>
    </w:p>
    <w:p>
      <w:pPr>
        <w:ind w:firstLine="420"/>
        <w:spacing w:line="360" w:lineRule="auto"/>
        <w:rPr>
          <w:rFonts w:ascii="宋体" w:hAnsi="宋体" w:cs="宋体"/>
          <w:szCs w:val="21"/>
        </w:rPr>
      </w:pPr>
      <w:r>
        <w:rPr>
          <w:rFonts w:hint="eastAsia" w:ascii="宋体" w:hAnsi="宋体" w:cs="宋体"/>
          <w:szCs w:val="21"/>
        </w:rPr>
        <w:t xml:space="preserve">5.</w:t>
      </w:r>
      <w:bookmarkStart w:id="11" w:name="_Toc28359080"/>
      <w:r/>
      <w:bookmarkStart w:id="12" w:name="_Toc35393791"/>
      <w:r/>
      <w:bookmarkStart w:id="13" w:name="_Toc35393622"/>
      <w:r/>
      <w:bookmarkStart w:id="14" w:name="_Toc28359003"/>
      <w:r>
        <w:rPr>
          <w:rFonts w:hint="eastAsia" w:ascii="宋体" w:hAnsi="宋体" w:cs="宋体"/>
          <w:szCs w:val="21"/>
        </w:rPr>
        <w:t xml:space="preserve">合同履行期限：全部产品自合同签订生效之后30天内交货并安装调试结束；免费质保期为验收合格之日起不低于五年（原厂）。</w:t>
      </w:r>
      <w:r/>
    </w:p>
    <w:p>
      <w:pPr>
        <w:ind w:firstLine="420"/>
        <w:spacing w:line="360" w:lineRule="auto"/>
        <w:rPr>
          <w:rFonts w:ascii="宋体" w:hAnsi="宋体" w:cs="宋体"/>
          <w:b/>
          <w:szCs w:val="21"/>
        </w:rPr>
      </w:pPr>
      <w:r>
        <w:rPr>
          <w:rFonts w:hint="eastAsia" w:ascii="宋体" w:hAnsi="宋体" w:cs="宋体"/>
          <w:szCs w:val="21"/>
        </w:rPr>
        <w:t xml:space="preserve">5.本项目不接受联合体投标。</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11"/>
      <w:r/>
      <w:bookmarkEnd w:id="12"/>
      <w:r/>
      <w:bookmarkEnd w:id="13"/>
      <w:r/>
      <w:bookmarkEnd w:id="14"/>
      <w:r/>
      <w:r/>
    </w:p>
    <w:p>
      <w:pPr>
        <w:ind w:firstLine="420"/>
        <w:spacing w:line="360" w:lineRule="auto"/>
        <w:rPr>
          <w:rFonts w:ascii="宋体" w:hAnsi="宋体" w:cs="宋体"/>
          <w:szCs w:val="21"/>
        </w:rPr>
      </w:pPr>
      <w:r>
        <w:rPr>
          <w:rFonts w:hint="eastAsia" w:ascii="宋体" w:hAnsi="宋体" w:cs="宋体"/>
          <w:szCs w:val="21"/>
        </w:rPr>
        <w:t xml:space="preserve">（一）满足《中华人民共和国政府采购法》第二十二条规定；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bookmarkStart w:id="15" w:name="_Toc28359081"/>
      <w:r/>
      <w:bookmarkStart w:id="16" w:name="_Toc28359004"/>
      <w:r>
        <w:rPr>
          <w:rFonts w:hint="eastAsia" w:ascii="宋体" w:hAnsi="宋体" w:cs="宋体"/>
          <w:szCs w:val="21"/>
        </w:rPr>
        <w:t xml:space="preserve">（二）落实政府采购政策需满足的资格要求：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本项目为非专门面向中小企业采购。</w:t>
      </w:r>
      <w:r>
        <w:rPr>
          <w:rFonts w:hint="eastAsia" w:ascii="宋体" w:hAnsi="宋体" w:cs="宋体"/>
          <w:b/>
          <w:bCs/>
          <w:szCs w:val="21"/>
        </w:rPr>
        <w:t xml:space="preserve">本项目所属行业为工业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（三）本项目特定资格条件</w:t>
      </w:r>
      <w:r/>
    </w:p>
    <w:p>
      <w:pPr>
        <w:ind w:firstLine="420"/>
        <w:spacing w:line="360" w:lineRule="auto"/>
        <w:rPr>
          <w:rFonts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3.为采购项目提供整体设计、规范编制或者项目管理、监理、检测等服务的供应商，不得再参加该采购项目的其他采购活动。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4.法人的分支机构不得参加投标(除银行、保险、石油石化、电力、电信等行业特殊情况外)。</w:t>
      </w:r>
      <w:r/>
    </w:p>
    <w:p>
      <w:pPr>
        <w:ind w:firstLine="420"/>
        <w:spacing w:line="360" w:lineRule="auto"/>
        <w:rPr>
          <w:rFonts w:ascii="宋体" w:hAnsi="宋体" w:cs="宋体"/>
          <w:szCs w:val="21"/>
        </w:rPr>
      </w:pPr>
      <w:r>
        <w:rPr>
          <w:rFonts w:hint="eastAsia" w:ascii="宋体" w:hAnsi="宋体" w:cs="宋体"/>
          <w:szCs w:val="21"/>
        </w:rPr>
        <w:t xml:space="preserve">5.本项目的特定资格要求：</w:t>
      </w:r>
      <w:r/>
    </w:p>
    <w:p>
      <w:pPr>
        <w:ind w:firstLine="420"/>
        <w:spacing w:line="360" w:lineRule="auto"/>
        <w:rPr>
          <w:rFonts w:ascii="宋体" w:hAnsi="宋体"/>
        </w:rPr>
      </w:pPr>
      <w:r>
        <w:rPr>
          <w:rFonts w:hint="eastAsia" w:ascii="宋体" w:hAnsi="宋体"/>
        </w:rPr>
        <w:t xml:space="preserve">5.1投标单位具有与所投产品相对应的医疗器械生产或经营(许可)资格；</w:t>
      </w:r>
      <w:r/>
    </w:p>
    <w:p>
      <w:pPr>
        <w:ind w:firstLine="422"/>
        <w:spacing w:line="360" w:lineRule="auto"/>
        <w:rPr>
          <w:rFonts w:ascii="宋体" w:hAnsi="宋体" w:cs="宋体"/>
          <w:b/>
          <w:szCs w:val="21"/>
        </w:rPr>
      </w:pPr>
      <w:r/>
      <w:bookmarkStart w:id="17" w:name="_Toc35393623"/>
      <w:r/>
      <w:bookmarkStart w:id="18" w:name="_Toc35393792"/>
      <w:r>
        <w:rPr>
          <w:rFonts w:hint="eastAsia" w:ascii="宋体" w:hAnsi="宋体" w:cs="宋体"/>
          <w:b/>
          <w:szCs w:val="21"/>
        </w:rPr>
        <w:t xml:space="preserve">三、</w:t>
      </w:r>
      <w:bookmarkEnd w:id="15"/>
      <w:r/>
      <w:bookmarkEnd w:id="16"/>
      <w:r/>
      <w:bookmarkEnd w:id="17"/>
      <w:r/>
      <w:bookmarkEnd w:id="18"/>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9" w:name="_Toc28359005"/>
      <w:r/>
      <w:bookmarkStart w:id="20" w:name="_Toc28359082"/>
      <w:r/>
      <w:bookmarkStart w:id="21" w:name="_Toc35393624"/>
      <w:r/>
      <w:bookmarkStart w:id="22" w:name="_Toc35393793"/>
      <w:r>
        <w:rPr>
          <w:rFonts w:hint="eastAsia" w:ascii="宋体" w:hAnsi="宋体" w:cs="宋体"/>
          <w:szCs w:val="21"/>
          <w:shd w:val="clear" w:color="auto" w:fill="ffffff"/>
        </w:rPr>
        <w:t xml:space="preserve">1.时间：自公告发布之日起不少于5个工作日（具体文件获取截止时间以苏采云系统计时为准）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pStyle w:val="925"/>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Cs w:val="21"/>
        </w:rPr>
        <w:t xml:space="preserve">—</w:t>
      </w:r>
      <w:r>
        <w:rPr>
          <w:rFonts w:hint="eastAsia" w:ascii="宋体" w:hAnsi="宋体"/>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Cs w:val="21"/>
        </w:rPr>
        <w:t xml:space="preserve">苏州现场办理地址：苏州市高新区邓尉路105号狮山科技馆一楼服务大厅，咨询电话：0512-65737699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firstLine="420"/>
        <w:spacing w:line="360" w:lineRule="auto"/>
        <w:rPr>
          <w:rFonts w:ascii="宋体" w:hAnsi="宋体" w:cs="宋体"/>
          <w:szCs w:val="21"/>
        </w:rPr>
      </w:pPr>
      <w:r>
        <w:rPr>
          <w:rFonts w:hint="eastAsia" w:ascii="宋体" w:hAnsi="宋体" w:cs="宋体"/>
          <w:szCs w:val="21"/>
        </w:rPr>
        <w:t xml:space="preserve">供应商插入CA证书登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（3）电子投标准备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szCs w:val="21"/>
        </w:rPr>
        <w:t xml:space="preserve">（具体详见《苏采云系统供应商操作手册》，网址链接https://czju.suzhou.gov.cn/zfcg/html/content/20231220161910031.shtml）。</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注册咨询：18261002950；</w:t>
      </w:r>
      <w:r/>
    </w:p>
    <w:p>
      <w:pPr>
        <w:ind w:firstLine="420"/>
        <w:spacing w:line="360" w:lineRule="auto"/>
        <w:rPr>
          <w:rFonts w:ascii="宋体" w:hAnsi="宋体" w:cs="宋体"/>
          <w:szCs w:val="21"/>
        </w:rPr>
      </w:pPr>
      <w:r>
        <w:rPr>
          <w:rFonts w:hint="eastAsia" w:ascii="宋体" w:hAnsi="宋体" w:cs="宋体"/>
          <w:szCs w:val="21"/>
        </w:rPr>
        <w:t xml:space="preserve">CA技术咨询电话：400-608-6099；</w:t>
      </w:r>
      <w:r/>
    </w:p>
    <w:p>
      <w:pPr>
        <w:ind w:firstLine="420"/>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系统使用指导与咨询：联系电话：18261002950；QQ：3048755361、1315179389、895706745。</w:t>
      </w:r>
      <w:r/>
    </w:p>
    <w:p>
      <w:pPr>
        <w:ind w:firstLine="420"/>
        <w:spacing w:line="360" w:lineRule="auto"/>
        <w:rPr>
          <w:rFonts w:ascii="宋体" w:hAnsi="宋体" w:cs="宋体"/>
          <w:szCs w:val="21"/>
        </w:rPr>
      </w:pPr>
      <w:r>
        <w:rPr>
          <w:rFonts w:hint="eastAsia" w:ascii="宋体" w:hAnsi="宋体" w:cs="宋体"/>
          <w:szCs w:val="21"/>
        </w:rPr>
        <w:t xml:space="preserve">4.售价：免费。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9"/>
      <w:r/>
      <w:bookmarkEnd w:id="20"/>
      <w:r>
        <w:rPr>
          <w:rFonts w:hint="eastAsia" w:ascii="宋体" w:hAnsi="宋体" w:cs="宋体"/>
          <w:b/>
          <w:szCs w:val="21"/>
        </w:rPr>
        <w:t xml:space="preserve">截止时间、开标时间和地点</w:t>
      </w:r>
      <w:bookmarkEnd w:id="21"/>
      <w:r/>
      <w:bookmarkEnd w:id="22"/>
      <w:r/>
      <w:r/>
    </w:p>
    <w:p>
      <w:pPr>
        <w:pStyle w:val="925"/>
        <w:spacing w:line="360" w:lineRule="auto"/>
        <w:rPr>
          <w:rFonts w:ascii="宋体" w:hAnsi="宋体" w:eastAsia="宋体" w:cs="宋体"/>
          <w:sz w:val="21"/>
          <w:szCs w:val="21"/>
        </w:rPr>
      </w:pPr>
      <w:r/>
      <w:bookmarkStart w:id="23" w:name="_Toc28359084"/>
      <w:r/>
      <w:bookmarkStart w:id="24" w:name="_Toc35393625"/>
      <w:r/>
      <w:bookmarkStart w:id="25" w:name="_Toc28359007"/>
      <w:r/>
      <w:bookmarkStart w:id="26" w:name="_Toc35393794"/>
      <w:r>
        <w:rPr>
          <w:rFonts w:hint="eastAsia" w:ascii="宋体" w:hAnsi="宋体" w:eastAsia="宋体" w:cs="宋体"/>
          <w:sz w:val="21"/>
          <w:szCs w:val="21"/>
        </w:rPr>
        <w:t xml:space="preserve">1.提交投标文件截止时间：2026年9月4日13:30（北京时间）； </w:t>
      </w:r>
      <w:r/>
    </w:p>
    <w:p>
      <w:pPr>
        <w:pStyle w:val="925"/>
        <w:spacing w:line="360" w:lineRule="auto"/>
        <w:rPr>
          <w:rFonts w:ascii="宋体" w:hAnsi="宋体" w:eastAsia="宋体" w:cs="宋体"/>
          <w:sz w:val="21"/>
          <w:szCs w:val="21"/>
        </w:rPr>
      </w:pPr>
      <w:r>
        <w:rPr>
          <w:rFonts w:hint="eastAsia" w:ascii="宋体" w:hAnsi="宋体" w:eastAsia="宋体" w:cs="宋体"/>
          <w:sz w:val="21"/>
          <w:szCs w:val="21"/>
        </w:rPr>
        <w:t xml:space="preserve">2.开标时间：2026年9月4日13:30（北京时间）；</w:t>
      </w:r>
      <w:r/>
    </w:p>
    <w:p>
      <w:pPr>
        <w:pStyle w:val="925"/>
        <w:spacing w:line="360" w:lineRule="auto"/>
        <w:rPr>
          <w:rFonts w:ascii="宋体" w:hAnsi="宋体" w:eastAsia="宋体" w:cs="宋体"/>
          <w:sz w:val="21"/>
          <w:szCs w:val="21"/>
        </w:rPr>
      </w:pPr>
      <w:r>
        <w:rPr>
          <w:rFonts w:hint="eastAsia" w:ascii="宋体" w:hAnsi="宋体" w:eastAsia="宋体" w:cs="宋体"/>
          <w:sz w:val="21"/>
          <w:szCs w:val="21"/>
        </w:rPr>
        <w:t xml:space="preserve">3.开标地点：“苏采云”系统（网址：http://jszfcg.jsczt.cn/）</w:t>
      </w:r>
      <w:r/>
    </w:p>
    <w:p>
      <w:pPr>
        <w:pStyle w:val="925"/>
        <w:spacing w:line="360" w:lineRule="auto"/>
        <w:rPr>
          <w:rFonts w:ascii="宋体" w:hAnsi="宋体" w:eastAsia="宋体" w:cs="宋体"/>
          <w:sz w:val="21"/>
          <w:szCs w:val="21"/>
        </w:rPr>
      </w:pPr>
      <w:r>
        <w:rPr>
          <w:rFonts w:hint="eastAsia" w:ascii="宋体" w:hAnsi="宋体" w:eastAsia="宋体" w:cs="宋体"/>
          <w:sz w:val="21"/>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25"/>
        <w:spacing w:line="360" w:lineRule="auto"/>
        <w:rPr>
          <w:rFonts w:ascii="宋体" w:hAnsi="宋体" w:eastAsia="宋体" w:cs="宋体"/>
          <w:sz w:val="21"/>
          <w:szCs w:val="21"/>
        </w:rPr>
      </w:pPr>
      <w:r>
        <w:rPr>
          <w:rFonts w:hint="eastAsia" w:ascii="宋体" w:hAnsi="宋体" w:eastAsia="宋体" w:cs="宋体"/>
          <w:sz w:val="21"/>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925"/>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3"/>
      <w:r/>
      <w:bookmarkEnd w:id="24"/>
      <w:r/>
      <w:bookmarkEnd w:id="25"/>
      <w:r/>
      <w:bookmarkEnd w:id="26"/>
      <w:r/>
      <w:r/>
    </w:p>
    <w:p>
      <w:pPr>
        <w:ind w:firstLine="420"/>
        <w:spacing w:line="360" w:lineRule="auto"/>
        <w:rPr>
          <w:rFonts w:ascii="宋体" w:hAnsi="宋体" w:cs="宋体"/>
          <w:szCs w:val="21"/>
        </w:rPr>
      </w:pPr>
      <w:r>
        <w:rPr>
          <w:rFonts w:hint="eastAsia" w:ascii="宋体" w:hAnsi="宋体" w:cs="宋体"/>
          <w:szCs w:val="21"/>
        </w:rPr>
        <w:t xml:space="preserve">自本公告发布之日起5个工作日。</w:t>
      </w:r>
      <w:r/>
    </w:p>
    <w:p>
      <w:pPr>
        <w:numPr>
          <w:ilvl w:val="0"/>
          <w:numId w:val="2"/>
        </w:numPr>
        <w:ind w:firstLine="422"/>
        <w:spacing w:line="360" w:lineRule="auto"/>
        <w:rPr>
          <w:rFonts w:ascii="宋体" w:hAnsi="宋体" w:cs="宋体"/>
          <w:b/>
          <w:szCs w:val="21"/>
        </w:rPr>
      </w:pPr>
      <w:r/>
      <w:bookmarkStart w:id="27" w:name="_Toc35393795"/>
      <w:r/>
      <w:bookmarkStart w:id="28" w:name="_Toc35393626"/>
      <w:r>
        <w:rPr>
          <w:rFonts w:hint="eastAsia" w:ascii="宋体" w:hAnsi="宋体" w:cs="宋体"/>
          <w:b/>
          <w:szCs w:val="21"/>
        </w:rPr>
        <w:t xml:space="preserve">其他补充事宜</w:t>
      </w:r>
      <w:bookmarkEnd w:id="27"/>
      <w:r/>
      <w:bookmarkEnd w:id="28"/>
      <w:r/>
      <w:r/>
    </w:p>
    <w:p>
      <w:pPr>
        <w:ind w:firstLine="420"/>
        <w:spacing w:line="360" w:lineRule="auto"/>
        <w:rPr>
          <w:rFonts w:ascii="宋体" w:hAnsi="宋体" w:cs="宋体"/>
          <w:szCs w:val="21"/>
        </w:rPr>
      </w:pPr>
      <w:r>
        <w:rPr>
          <w:rFonts w:hint="eastAsia" w:ascii="宋体" w:hAnsi="宋体" w:cs="宋体"/>
          <w:szCs w:val="21"/>
        </w:rPr>
        <w:t xml:space="preserve">1.本公告有关信息将同时在苏州市政府采购网、江苏省政府采购网上发布，敬请留意！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2.本项目支持政府采购合同信用融资。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3.苏州市财政局政府采购监管处电话：0512-68616651。</w:t>
      </w:r>
      <w:r/>
    </w:p>
    <w:p>
      <w:pPr>
        <w:ind w:firstLine="422"/>
        <w:spacing w:line="360" w:lineRule="auto"/>
        <w:rPr>
          <w:rFonts w:ascii="宋体" w:hAnsi="宋体" w:cs="宋体"/>
          <w:b/>
          <w:szCs w:val="21"/>
        </w:rPr>
      </w:pPr>
      <w:r/>
      <w:bookmarkStart w:id="29" w:name="_Toc28359008"/>
      <w:r/>
      <w:bookmarkStart w:id="30" w:name="_Toc35393796"/>
      <w:r/>
      <w:bookmarkStart w:id="31" w:name="_Toc28359085"/>
      <w:r/>
      <w:bookmarkStart w:id="32" w:name="_Toc35393627"/>
      <w:r>
        <w:rPr>
          <w:rFonts w:hint="eastAsia" w:ascii="宋体" w:hAnsi="宋体" w:cs="宋体"/>
          <w:b/>
          <w:szCs w:val="21"/>
        </w:rPr>
        <w:t xml:space="preserve">七、对本次招标提出询问，请按以下方式联系</w:t>
      </w:r>
      <w:bookmarkEnd w:id="29"/>
      <w:r/>
      <w:bookmarkEnd w:id="30"/>
      <w:r/>
      <w:bookmarkEnd w:id="31"/>
      <w:r/>
      <w:bookmarkEnd w:id="32"/>
      <w:r>
        <w:rPr>
          <w:rFonts w:hint="eastAsia" w:ascii="宋体" w:hAnsi="宋体" w:cs="宋体"/>
          <w:b/>
          <w:szCs w:val="21"/>
        </w:rPr>
        <w:t xml:space="preserve">：</w:t>
      </w:r>
      <w:r/>
    </w:p>
    <w:p>
      <w:pPr>
        <w:ind w:firstLine="420"/>
        <w:jc w:val="left"/>
        <w:spacing w:line="360" w:lineRule="auto"/>
        <w:widowControl/>
        <w:rPr>
          <w:rFonts w:ascii="宋体" w:hAnsi="宋体" w:cs="宋体"/>
          <w:szCs w:val="21"/>
        </w:rPr>
      </w:pPr>
      <w:r/>
      <w:bookmarkStart w:id="33" w:name="_Toc35393617"/>
      <w:r/>
      <w:bookmarkStart w:id="34" w:name="_Toc28358998"/>
      <w:r/>
      <w:bookmarkStart w:id="35" w:name="_Toc28359075"/>
      <w:r/>
      <w:bookmarkStart w:id="36" w:name="_Toc35393786"/>
      <w:r>
        <w:rPr>
          <w:rFonts w:hint="eastAsia" w:ascii="宋体" w:hAnsi="宋体" w:cs="宋体"/>
          <w:szCs w:val="21"/>
        </w:rPr>
        <w:t xml:space="preserve">1、采购单位信息</w:t>
      </w:r>
      <w:bookmarkEnd w:id="33"/>
      <w:r/>
      <w:bookmarkEnd w:id="34"/>
      <w:r/>
      <w:bookmarkEnd w:id="35"/>
      <w:r/>
      <w:bookmarkEnd w:id="36"/>
      <w:r/>
      <w:r/>
    </w:p>
    <w:p>
      <w:pPr>
        <w:ind w:firstLine="420"/>
        <w:jc w:val="left"/>
        <w:spacing w:line="360" w:lineRule="auto"/>
        <w:widowControl/>
        <w:rPr>
          <w:rFonts w:ascii="宋体" w:hAnsi="宋体" w:cs="宋体"/>
          <w:szCs w:val="21"/>
        </w:rPr>
      </w:pPr>
      <w:r>
        <w:rPr>
          <w:rFonts w:hint="eastAsia" w:ascii="宋体" w:hAnsi="宋体" w:cs="宋体"/>
          <w:szCs w:val="21"/>
          <w:lang w:val="zh-CN"/>
        </w:rPr>
        <w:t xml:space="preserve">名    称：</w:t>
      </w:r>
      <w:r>
        <w:rPr>
          <w:rFonts w:hint="eastAsia" w:ascii="宋体" w:hAnsi="宋体" w:cs="Arial"/>
          <w:szCs w:val="21"/>
        </w:rPr>
        <w:t xml:space="preserve">苏州市立医院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址：苏州市姑苏区道前街26号</w:t>
      </w:r>
      <w:r/>
    </w:p>
    <w:p>
      <w:pPr>
        <w:ind w:firstLine="420"/>
        <w:jc w:val="left"/>
        <w:spacing w:line="360" w:lineRule="auto"/>
        <w:widowControl/>
        <w:rPr>
          <w:rFonts w:ascii="宋体" w:hAnsi="宋体" w:cs="宋体"/>
          <w:szCs w:val="21"/>
        </w:rPr>
      </w:pPr>
      <w:r>
        <w:rPr>
          <w:rFonts w:hint="eastAsia" w:ascii="宋体" w:hAnsi="宋体" w:cs="宋体"/>
          <w:szCs w:val="21"/>
        </w:rPr>
        <w:t xml:space="preserve">联 系 人：</w:t>
      </w:r>
      <w:r>
        <w:rPr>
          <w:rFonts w:ascii="宋体" w:hAnsi="宋体" w:cs="宋体"/>
          <w:szCs w:val="21"/>
        </w:rPr>
        <w:t xml:space="preserve">王俊文</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ascii="宋体" w:hAnsi="宋体" w:cs="宋体"/>
          <w:szCs w:val="21"/>
        </w:rPr>
        <w:t xml:space="preserve">0512-62362603</w:t>
      </w:r>
      <w:r/>
    </w:p>
    <w:p>
      <w:pPr>
        <w:ind w:firstLine="420"/>
        <w:jc w:val="left"/>
        <w:spacing w:line="360" w:lineRule="auto"/>
        <w:widowControl/>
        <w:rPr>
          <w:rFonts w:ascii="宋体" w:hAnsi="宋体" w:cs="宋体"/>
          <w:szCs w:val="21"/>
        </w:rPr>
      </w:pPr>
      <w:r>
        <w:rPr>
          <w:rFonts w:hint="eastAsia" w:ascii="宋体" w:hAnsi="宋体" w:cs="宋体"/>
          <w:szCs w:val="21"/>
        </w:rPr>
        <w:t xml:space="preserve">2、采购代理机构信息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    称：苏州市创杰招投标咨询服务有限公司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址：苏州市干将西路399号银海大厦303室</w:t>
      </w:r>
      <w:r/>
    </w:p>
    <w:p>
      <w:pPr>
        <w:ind w:firstLine="420"/>
        <w:jc w:val="left"/>
        <w:spacing w:line="360" w:lineRule="auto"/>
        <w:widowControl/>
        <w:rPr>
          <w:rFonts w:ascii="宋体" w:hAnsi="宋体" w:cs="宋体"/>
          <w:szCs w:val="21"/>
        </w:rPr>
      </w:pPr>
      <w:r>
        <w:rPr>
          <w:rFonts w:hint="eastAsia" w:ascii="宋体" w:hAnsi="宋体" w:cs="宋体"/>
          <w:szCs w:val="21"/>
        </w:rPr>
        <w:t xml:space="preserve">联 系 人：路丽丽  潘莉莉  朱晓芹  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话：0512-65238816/68669209</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bookmarkStart w:id="37" w:name="OLE_LINK3"/>
      <w:r/>
      <w:bookmarkStart w:id="38" w:name="OLE_LINK2"/>
      <w:r>
        <w:rPr>
          <w:rFonts w:hint="eastAsia" w:ascii="宋体" w:hAnsi="宋体" w:cs="宋体"/>
          <w:szCs w:val="21"/>
        </w:rPr>
        <w:t xml:space="preserve">路丽丽</w:t>
      </w:r>
      <w:bookmarkEnd w:id="37"/>
      <w:r/>
      <w:bookmarkEnd w:id="38"/>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bookmarkStart w:id="39" w:name="OLE_LINK5"/>
      <w:r/>
      <w:bookmarkStart w:id="40" w:name="OLE_LINK4"/>
      <w:r/>
      <w:bookmarkStart w:id="41" w:name="OLE_LINK8"/>
      <w:r>
        <w:rPr>
          <w:rFonts w:hint="eastAsia" w:ascii="宋体" w:hAnsi="宋体" w:cs="宋体"/>
          <w:szCs w:val="21"/>
        </w:rPr>
        <w:t xml:space="preserve">0512-65238816</w:t>
      </w:r>
      <w:bookmarkEnd w:id="39"/>
      <w:r/>
      <w:bookmarkEnd w:id="40"/>
      <w:r/>
      <w:bookmarkEnd w:id="41"/>
      <w:r/>
      <w:bookmarkEnd w:id="3"/>
      <w:r/>
      <w:r/>
    </w:p>
    <w:p>
      <w:pPr>
        <w:pStyle w:val="940"/>
        <w:ind w:firstLine="640"/>
        <w:jc w:val="center"/>
        <w:pageBreakBefore/>
        <w:spacing w:line="360" w:lineRule="auto"/>
        <w:tabs>
          <w:tab w:val="right" w:pos="8302" w:leader="dot"/>
        </w:tabs>
        <w:rPr>
          <w:rStyle w:val="948"/>
          <w:rFonts w:ascii="宋体" w:hAnsi="宋体" w:cs="宋体"/>
          <w:sz w:val="32"/>
          <w:szCs w:val="32"/>
        </w:rPr>
      </w:pPr>
      <w:r>
        <w:rPr>
          <w:rStyle w:val="948"/>
          <w:rFonts w:hint="eastAsia" w:ascii="宋体" w:hAnsi="宋体" w:cs="宋体"/>
          <w:sz w:val="32"/>
          <w:szCs w:val="32"/>
        </w:rPr>
        <w:t xml:space="preserve">第二章  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1.4.5甲方（委托方）：合同中明确规定的实际购买货物和服务的法人或其他组织和自然人 。</w:t>
      </w:r>
      <w:r/>
    </w:p>
    <w:p>
      <w:pPr>
        <w:ind w:firstLine="420"/>
        <w:spacing w:line="360" w:lineRule="auto"/>
        <w:rPr>
          <w:rFonts w:ascii="宋体" w:hAnsi="宋体" w:cs="宋体"/>
          <w:szCs w:val="21"/>
          <w:lang w:val="zh-CN"/>
        </w:rPr>
      </w:pPr>
      <w:r>
        <w:rPr>
          <w:rFonts w:hint="eastAsia" w:ascii="宋体" w:hAnsi="宋体" w:cs="宋体"/>
          <w:szCs w:val="21"/>
          <w:lang w:val="zh-CN"/>
        </w:rPr>
        <w:t xml:space="preserve">1.4.6乙方（服务方）：合同中规定的向采购单位提供货物和服务的法人或其他组织和自然人。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不可抗力：不能预见、不能避免并且不能克服的客观情况。</w:t>
      </w:r>
      <w:r/>
    </w:p>
    <w:p>
      <w:pPr>
        <w:pStyle w:val="925"/>
        <w:spacing w:line="360" w:lineRule="auto"/>
        <w:rPr>
          <w:rFonts w:ascii="宋体" w:hAnsi="宋体" w:eastAsia="宋体" w:cs="宋体"/>
          <w:sz w:val="21"/>
        </w:rPr>
      </w:pPr>
      <w:r>
        <w:rPr>
          <w:rFonts w:hint="eastAsia" w:ascii="宋体" w:hAnsi="宋体" w:eastAsia="宋体" w:cs="宋体"/>
          <w:sz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25"/>
        <w:spacing w:line="360" w:lineRule="auto"/>
        <w:rPr>
          <w:rFonts w:ascii="宋体" w:hAnsi="宋体" w:eastAsia="宋体" w:cs="宋体"/>
          <w:sz w:val="21"/>
        </w:rPr>
      </w:pPr>
      <w:r>
        <w:rPr>
          <w:rFonts w:hint="eastAsia" w:ascii="宋体" w:hAnsi="宋体" w:eastAsia="宋体" w:cs="宋体"/>
          <w:sz w:val="21"/>
        </w:rPr>
        <w:t xml:space="preserve">1.4.16进口产品：指通过中国海关报关验收进入中国境内且产自境外的产品，具体按照苏财购</w:t>
      </w:r>
      <w:r>
        <w:rPr>
          <w:rFonts w:hint="eastAsia" w:ascii="宋体" w:hAnsi="宋体" w:eastAsia="宋体" w:cs="宋体"/>
          <w:sz w:val="21"/>
        </w:rPr>
        <w:t xml:space="preserve">〔2008〕14号江苏省财政厅转发财政部办公厅关于政府采购进口产品管理有关问题的通知的规定。</w:t>
      </w:r>
      <w:r/>
    </w:p>
    <w:p>
      <w:pPr>
        <w:pStyle w:val="925"/>
        <w:spacing w:line="360" w:lineRule="auto"/>
        <w:rPr>
          <w:rFonts w:ascii="宋体" w:hAnsi="宋体" w:eastAsia="宋体" w:cs="宋体"/>
          <w:sz w:val="21"/>
        </w:rPr>
      </w:pPr>
      <w:r>
        <w:rPr>
          <w:rFonts w:hint="eastAsia" w:ascii="宋体" w:hAnsi="宋体" w:eastAsia="宋体" w:cs="宋体"/>
          <w:sz w:val="21"/>
        </w:rPr>
        <w:t xml:space="preserve">1.4.17书面形式：指书面文字、合同书、信件和数据电文（包括电报、电传、传真、电子数据交换和电子邮件）等可以有形地表现所载内容的形式。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 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spacing w:line="360" w:lineRule="auto"/>
        <w:rPr>
          <w:rFonts w:ascii="宋体" w:hAnsi="宋体" w:cs="宋体"/>
          <w:b/>
          <w:bCs/>
          <w:szCs w:val="21"/>
          <w:lang w:val="zh-CN"/>
        </w:rPr>
      </w:pPr>
      <w:r>
        <w:rPr>
          <w:rFonts w:hint="eastAsia" w:ascii="宋体" w:hAnsi="宋体" w:cs="宋体"/>
          <w:b/>
          <w:bCs/>
          <w:szCs w:val="21"/>
          <w:lang w:val="zh-CN"/>
        </w:rPr>
        <w:t xml:space="preserve">4. 投标费用 </w:t>
      </w:r>
      <w:r/>
    </w:p>
    <w:p>
      <w:pPr>
        <w:ind w:firstLine="420"/>
        <w:spacing w:line="360" w:lineRule="auto"/>
        <w:rPr>
          <w:rFonts w:ascii="宋体" w:hAnsi="宋体" w:cs="宋体"/>
          <w:szCs w:val="21"/>
          <w:lang w:val="zh-CN"/>
        </w:rPr>
      </w:pPr>
      <w:r>
        <w:rPr>
          <w:rFonts w:hint="eastAsia" w:ascii="宋体" w:hAnsi="宋体" w:cs="宋体"/>
          <w:szCs w:val="21"/>
          <w:lang w:val="zh-CN"/>
        </w:rPr>
        <w:t xml:space="preserve">4.1无论投标过程中的做法和结果如何，投标人自行承担所有与参加投标有关的全部费用。</w:t>
      </w:r>
      <w:r/>
    </w:p>
    <w:p>
      <w:pPr>
        <w:spacing w:line="360" w:lineRule="auto"/>
        <w:rPr>
          <w:rFonts w:ascii="宋体" w:hAnsi="宋体" w:cs="宋体"/>
          <w:b/>
          <w:bCs/>
          <w:szCs w:val="21"/>
        </w:rPr>
      </w:pPr>
      <w:r>
        <w:rPr>
          <w:rFonts w:hint="eastAsia" w:ascii="宋体" w:hAnsi="宋体" w:cs="宋体"/>
          <w:b/>
          <w:bCs/>
          <w:szCs w:val="21"/>
          <w:lang w:val="zh-CN"/>
        </w:rPr>
        <w:t xml:space="preserve">5.</w:t>
      </w:r>
      <w:r>
        <w:rPr>
          <w:rFonts w:hint="eastAsia" w:ascii="宋体" w:hAnsi="宋体" w:cs="宋体"/>
          <w:b/>
          <w:bCs/>
          <w:szCs w:val="21"/>
        </w:rPr>
        <w:t xml:space="preserve"> 联合投标及分包转包</w:t>
      </w:r>
      <w:r/>
    </w:p>
    <w:p>
      <w:pPr>
        <w:ind w:firstLine="420"/>
        <w:spacing w:line="360" w:lineRule="auto"/>
        <w:rPr>
          <w:rFonts w:ascii="宋体" w:hAnsi="宋体" w:cs="宋体"/>
          <w:szCs w:val="21"/>
        </w:rPr>
      </w:pPr>
      <w:r>
        <w:rPr>
          <w:rFonts w:hint="eastAsia" w:ascii="宋体" w:hAnsi="宋体" w:cs="宋体"/>
          <w:szCs w:val="21"/>
        </w:rPr>
        <w:t xml:space="preserve">5.1本次招标不接受联合投标的方式；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 招标文件的说明</w:t>
      </w:r>
      <w:r/>
    </w:p>
    <w:p>
      <w:pPr>
        <w:spacing w:line="360" w:lineRule="auto"/>
        <w:rPr>
          <w:rFonts w:ascii="宋体" w:hAnsi="宋体" w:cs="宋体"/>
          <w:b/>
        </w:rPr>
      </w:pPr>
      <w:r>
        <w:rPr>
          <w:rFonts w:hint="eastAsia" w:ascii="宋体" w:hAnsi="宋体" w:cs="宋体"/>
          <w:b/>
        </w:rPr>
        <w:t xml:space="preserve">6. 招标文件</w:t>
      </w:r>
      <w:r/>
    </w:p>
    <w:p>
      <w:pPr>
        <w:ind w:firstLine="422"/>
        <w:spacing w:line="360" w:lineRule="auto"/>
        <w:rPr>
          <w:rFonts w:ascii="宋体" w:hAnsi="宋体" w:cs="宋体"/>
        </w:rPr>
      </w:pPr>
      <w:r>
        <w:rPr>
          <w:rFonts w:hint="eastAsia" w:ascii="宋体" w:hAnsi="宋体" w:cs="宋体"/>
        </w:rPr>
        <w:t xml:space="preserve">6.1招标文件由招标文件总目录所列内容组成。投标单位应详细阅读招标文件的全部内容。不按招标文件的要求提供的投标文件和资料，可能导致投标被拒绝。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招标文件的修改</w:t>
      </w:r>
      <w:r/>
    </w:p>
    <w:p>
      <w:pPr>
        <w:ind w:firstLine="422"/>
        <w:spacing w:line="360" w:lineRule="auto"/>
        <w:rPr>
          <w:rFonts w:ascii="宋体" w:hAnsi="宋体" w:cs="宋体"/>
        </w:rPr>
      </w:pPr>
      <w:r>
        <w:rPr>
          <w:rFonts w:hint="eastAsia" w:ascii="宋体" w:hAnsi="宋体" w:cs="宋体"/>
        </w:rPr>
        <w:t xml:space="preserve">8.1对于补充通知（包括更正公告），报名成功的供应商通过“苏州市政府采购网”的“采购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投标答疑</w:t>
      </w:r>
      <w:r/>
    </w:p>
    <w:p>
      <w:pPr>
        <w:ind w:firstLine="422"/>
        <w:spacing w:line="360" w:lineRule="auto"/>
        <w:rPr>
          <w:rFonts w:ascii="宋体" w:hAnsi="宋体" w:cs="宋体"/>
        </w:rPr>
      </w:pPr>
      <w:r>
        <w:rPr>
          <w:rFonts w:hint="eastAsia" w:ascii="宋体" w:hAnsi="宋体" w:cs="宋体"/>
        </w:rPr>
        <w:t xml:space="preserve"> 9.1投标人在获取招标文件后，若对招标文件有疑问（包括询问和质疑），可与招标代理机构或采购人联系。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9.2勘察现场：</w:t>
      </w:r>
      <w:r/>
    </w:p>
    <w:p>
      <w:pPr>
        <w:ind w:firstLine="420"/>
        <w:spacing w:line="360" w:lineRule="auto"/>
        <w:rPr>
          <w:rFonts w:ascii="宋体" w:hAnsi="宋体" w:cs="宋体"/>
        </w:rPr>
      </w:pPr>
      <w:r>
        <w:rPr>
          <w:rFonts w:hint="eastAsia" w:ascii="宋体" w:hAnsi="宋体" w:cs="宋体"/>
        </w:rPr>
        <w:t xml:space="preserve">9.2.1本项目因运行环境和安装设备的要求，投标单位根据自身投标需要，可对有关现场和周围环境进行勘察，以获取编制投标文件和签署合同所需的信息。勘察现场所发生的费用由投标人自己承担。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 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rPr>
      </w:pPr>
      <w:r>
        <w:rPr>
          <w:rFonts w:hint="eastAsia" w:ascii="宋体" w:hAnsi="宋体" w:cs="宋体"/>
          <w:b/>
          <w:bCs/>
          <w:szCs w:val="21"/>
          <w:lang w:val="zh-CN"/>
        </w:rPr>
        <w:t xml:space="preserve">12. 投标文件的组成</w:t>
      </w:r>
      <w:r/>
    </w:p>
    <w:p>
      <w:pPr>
        <w:pStyle w:val="925"/>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25"/>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25"/>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2）具有良好的商业信誉和健全的财务会计制度。提供最近一期（202</w:t>
      </w:r>
      <w:r>
        <w:rPr>
          <w:rFonts w:hint="eastAsia" w:ascii="宋体" w:hAnsi="宋体" w:cs="宋体"/>
          <w:szCs w:val="21"/>
        </w:rPr>
        <w:t xml:space="preserve">4</w:t>
      </w:r>
      <w:r>
        <w:rPr>
          <w:rFonts w:hint="eastAsia" w:ascii="宋体" w:hAnsi="宋体" w:cs="宋体"/>
          <w:szCs w:val="21"/>
          <w:lang w:val="zh-CN"/>
        </w:rPr>
        <w:t xml:space="preserve">或202</w:t>
      </w:r>
      <w:r>
        <w:rPr>
          <w:rFonts w:hint="eastAsia" w:ascii="宋体" w:hAnsi="宋体" w:cs="宋体"/>
          <w:szCs w:val="21"/>
        </w:rPr>
        <w:t xml:space="preserve">5</w:t>
      </w:r>
      <w:r>
        <w:rPr>
          <w:rFonts w:hint="eastAsia" w:ascii="宋体" w:hAnsi="宋体" w:cs="宋体"/>
          <w:szCs w:val="21"/>
          <w:lang w:val="zh-CN"/>
        </w:rPr>
        <w:t xml:space="preserve">年度）经审计的财务报告或最近一期（</w:t>
      </w:r>
      <w:r>
        <w:rPr>
          <w:rFonts w:hint="eastAsia" w:ascii="宋体" w:hAnsi="宋体" w:cs="宋体"/>
          <w:szCs w:val="21"/>
        </w:rPr>
        <w:t xml:space="preserve">2026年5月至今任意一期）</w:t>
      </w:r>
      <w:r>
        <w:rPr>
          <w:rFonts w:hint="eastAsia" w:ascii="宋体" w:hAnsi="宋体" w:cs="宋体"/>
          <w:szCs w:val="21"/>
          <w:lang w:val="zh-CN"/>
        </w:rPr>
        <w:t xml:space="preserve">的财务报表，或银行出具的资信证明，或财政部门认可的政府采购专业担保机构出具的投标担保函；</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4）有依法缴纳税收和社会保障资金的良好记录。</w:t>
      </w:r>
      <w:r>
        <w:rPr>
          <w:rFonts w:hint="eastAsia" w:ascii="宋体" w:hAnsi="宋体" w:cs="宋体"/>
          <w:bCs/>
          <w:szCs w:val="21"/>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6）法律、行政法规规定的其他条件。提供书面声明函；</w:t>
      </w:r>
      <w:r/>
    </w:p>
    <w:p>
      <w:pPr>
        <w:ind w:left="420"/>
        <w:spacing w:line="360" w:lineRule="auto"/>
        <w:rPr>
          <w:rFonts w:ascii="宋体" w:hAnsi="宋体" w:cs="宋体"/>
          <w:szCs w:val="21"/>
        </w:rPr>
      </w:pPr>
      <w:r>
        <w:rPr>
          <w:rFonts w:hint="eastAsia" w:ascii="宋体" w:hAnsi="宋体" w:cs="宋体"/>
          <w:szCs w:val="21"/>
        </w:rPr>
        <w:t xml:space="preserve">12.4.2投标单位具有与所投产品相对应的医疗器械生产或经营(许可)资格；提供证明文件；</w:t>
      </w:r>
      <w:r/>
    </w:p>
    <w:p>
      <w:pPr>
        <w:ind w:left="420"/>
        <w:spacing w:line="360" w:lineRule="auto"/>
        <w:rPr>
          <w:rFonts w:ascii="宋体" w:hAnsi="宋体" w:cs="宋体"/>
          <w:szCs w:val="21"/>
        </w:rPr>
      </w:pPr>
      <w:r>
        <w:rPr>
          <w:rFonts w:hint="eastAsia" w:ascii="宋体" w:hAnsi="宋体" w:cs="宋体"/>
          <w:szCs w:val="21"/>
        </w:rPr>
        <w:t xml:space="preserve">12.4.3其他</w:t>
      </w:r>
      <w:r>
        <w:rPr>
          <w:rFonts w:hint="eastAsia" w:ascii="宋体" w:hAnsi="宋体" w:cs="宋体"/>
        </w:rPr>
        <w:t xml:space="preserve">有关资格性证明的文件（如有）；</w:t>
      </w:r>
      <w:r/>
    </w:p>
    <w:p>
      <w:pPr>
        <w:pStyle w:val="925"/>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12.5符合性审查文件</w:t>
      </w:r>
      <w:r/>
    </w:p>
    <w:p>
      <w:pPr>
        <w:pStyle w:val="925"/>
        <w:spacing w:line="360" w:lineRule="auto"/>
        <w:rPr>
          <w:rFonts w:ascii="宋体" w:hAnsi="宋体" w:eastAsia="宋体" w:cs="宋体"/>
          <w:sz w:val="21"/>
          <w:szCs w:val="21"/>
        </w:rPr>
      </w:pPr>
      <w:r>
        <w:rPr>
          <w:rFonts w:hint="eastAsia" w:ascii="宋体" w:hAnsi="宋体" w:eastAsia="宋体" w:cs="宋体"/>
          <w:sz w:val="21"/>
          <w:szCs w:val="21"/>
        </w:rPr>
        <w:t xml:space="preserve">12.5.1投标函；</w:t>
      </w:r>
      <w:r/>
    </w:p>
    <w:p>
      <w:pPr>
        <w:pStyle w:val="925"/>
        <w:spacing w:line="360" w:lineRule="auto"/>
        <w:rPr>
          <w:rFonts w:ascii="宋体" w:hAnsi="宋体" w:eastAsia="宋体" w:cs="宋体"/>
          <w:sz w:val="21"/>
          <w:szCs w:val="21"/>
        </w:rPr>
      </w:pPr>
      <w:r>
        <w:rPr>
          <w:rFonts w:hint="eastAsia" w:ascii="宋体" w:hAnsi="宋体" w:eastAsia="宋体" w:cs="宋体"/>
          <w:sz w:val="21"/>
          <w:szCs w:val="21"/>
        </w:rPr>
        <w:t xml:space="preserve">12.5.2商务条款偏离表；</w:t>
      </w:r>
      <w:r/>
    </w:p>
    <w:p>
      <w:pPr>
        <w:pStyle w:val="925"/>
        <w:spacing w:line="360" w:lineRule="auto"/>
        <w:rPr>
          <w:rFonts w:ascii="宋体" w:hAnsi="宋体" w:eastAsia="宋体" w:cs="宋体"/>
          <w:sz w:val="21"/>
          <w:szCs w:val="21"/>
        </w:rPr>
      </w:pPr>
      <w:r>
        <w:rPr>
          <w:rFonts w:hint="eastAsia" w:ascii="宋体" w:hAnsi="宋体" w:eastAsia="宋体" w:cs="宋体"/>
          <w:sz w:val="21"/>
          <w:szCs w:val="21"/>
        </w:rPr>
        <w:t xml:space="preserve">12.5.3关于资格文件的声明函；</w:t>
      </w:r>
      <w:r/>
    </w:p>
    <w:p>
      <w:pPr>
        <w:pStyle w:val="925"/>
        <w:spacing w:line="360" w:lineRule="auto"/>
        <w:rPr>
          <w:rFonts w:ascii="宋体" w:hAnsi="宋体" w:eastAsia="宋体" w:cs="宋体"/>
          <w:sz w:val="21"/>
          <w:szCs w:val="21"/>
        </w:rPr>
      </w:pPr>
      <w:r>
        <w:rPr>
          <w:rFonts w:hint="eastAsia" w:ascii="宋体" w:hAnsi="宋体" w:eastAsia="宋体" w:cs="宋体"/>
          <w:sz w:val="21"/>
          <w:szCs w:val="21"/>
        </w:rPr>
        <w:t xml:space="preserve">12.5.4《设备配置清单表》；</w:t>
      </w:r>
      <w:r/>
    </w:p>
    <w:p>
      <w:pPr>
        <w:pStyle w:val="925"/>
        <w:spacing w:line="360" w:lineRule="auto"/>
        <w:rPr>
          <w:rFonts w:ascii="宋体" w:hAnsi="宋体" w:eastAsia="宋体" w:cs="宋体"/>
          <w:sz w:val="21"/>
          <w:szCs w:val="21"/>
        </w:rPr>
      </w:pPr>
      <w:r>
        <w:rPr>
          <w:rFonts w:hint="eastAsia" w:ascii="宋体" w:hAnsi="宋体" w:eastAsia="宋体" w:cs="宋体"/>
          <w:sz w:val="21"/>
          <w:szCs w:val="21"/>
        </w:rPr>
        <w:t xml:space="preserve">12.5.5《售后服务承诺书》；</w:t>
      </w:r>
      <w:r/>
    </w:p>
    <w:p>
      <w:pPr>
        <w:pStyle w:val="925"/>
        <w:spacing w:line="360" w:lineRule="auto"/>
        <w:rPr>
          <w:rFonts w:ascii="宋体" w:hAnsi="宋体" w:eastAsia="宋体" w:cs="宋体"/>
          <w:sz w:val="21"/>
          <w:szCs w:val="21"/>
        </w:rPr>
      </w:pPr>
      <w:r>
        <w:rPr>
          <w:rFonts w:hint="eastAsia" w:ascii="宋体" w:hAnsi="宋体" w:eastAsia="宋体" w:cs="宋体"/>
          <w:sz w:val="21"/>
          <w:szCs w:val="21"/>
        </w:rPr>
        <w:t xml:space="preserve">12.5.6法定代表人身份证复印件，法人授权委托书（如有授权）及委托代理人身份证复印件（如有授权）；</w:t>
      </w:r>
      <w:r/>
    </w:p>
    <w:p>
      <w:pPr>
        <w:pStyle w:val="925"/>
        <w:spacing w:line="360" w:lineRule="auto"/>
        <w:rPr>
          <w:rFonts w:ascii="宋体" w:hAnsi="宋体" w:eastAsia="宋体" w:cs="宋体"/>
          <w:sz w:val="21"/>
          <w:szCs w:val="21"/>
        </w:rPr>
      </w:pPr>
      <w:r>
        <w:rPr>
          <w:rFonts w:hint="eastAsia" w:ascii="宋体" w:hAnsi="宋体" w:eastAsia="宋体" w:cs="宋体"/>
          <w:sz w:val="21"/>
          <w:szCs w:val="21"/>
        </w:rPr>
        <w:t xml:space="preserve">12.5.7投标（响应）保证承诺书；</w:t>
      </w:r>
      <w:r/>
    </w:p>
    <w:p>
      <w:pPr>
        <w:pStyle w:val="925"/>
        <w:spacing w:line="360" w:lineRule="auto"/>
        <w:rPr>
          <w:rFonts w:ascii="宋体" w:hAnsi="宋体" w:eastAsia="宋体" w:cs="宋体"/>
          <w:sz w:val="21"/>
          <w:szCs w:val="21"/>
        </w:rPr>
      </w:pPr>
      <w:r>
        <w:rPr>
          <w:rFonts w:hint="eastAsia" w:ascii="宋体" w:hAnsi="宋体" w:eastAsia="宋体" w:cs="宋体"/>
          <w:sz w:val="21"/>
          <w:szCs w:val="21"/>
        </w:rPr>
        <w:t xml:space="preserve">12.5.8投标文件中提供所投产品中华人民共和国医疗器械注册证，否则为无效投标。</w:t>
      </w:r>
      <w:r/>
    </w:p>
    <w:p>
      <w:pPr>
        <w:pStyle w:val="925"/>
        <w:spacing w:line="360" w:lineRule="auto"/>
        <w:rPr>
          <w:rFonts w:ascii="宋体" w:hAnsi="宋体" w:eastAsia="宋体" w:cs="宋体"/>
          <w:sz w:val="21"/>
          <w:szCs w:val="21"/>
        </w:rPr>
      </w:pPr>
      <w:r>
        <w:rPr>
          <w:rFonts w:hint="eastAsia" w:ascii="宋体" w:hAnsi="宋体" w:eastAsia="宋体" w:cs="宋体"/>
          <w:sz w:val="21"/>
          <w:szCs w:val="21"/>
        </w:rPr>
        <w:t xml:space="preserve">12.5.9其他有关符合性证明的文件（如有）</w:t>
      </w:r>
      <w:r>
        <w:rPr>
          <w:rFonts w:hint="eastAsia" w:ascii="宋体" w:hAnsi="宋体" w:eastAsia="宋体" w:cs="宋体"/>
          <w:sz w:val="21"/>
          <w:szCs w:val="24"/>
        </w:rPr>
        <w:t xml:space="preserve">；</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6综合评审文件</w:t>
      </w:r>
      <w:r/>
    </w:p>
    <w:p>
      <w:pPr>
        <w:ind w:firstLine="420"/>
        <w:spacing w:line="360" w:lineRule="auto"/>
        <w:rPr>
          <w:rFonts w:ascii="宋体" w:hAnsi="宋体" w:cs="宋体"/>
        </w:rPr>
      </w:pPr>
      <w:r>
        <w:rPr>
          <w:rFonts w:hint="eastAsia" w:ascii="宋体" w:hAnsi="宋体" w:cs="宋体"/>
        </w:rPr>
        <w:t xml:space="preserve">12.6.1技术响应对照表；</w:t>
      </w:r>
      <w:r/>
    </w:p>
    <w:p>
      <w:pPr>
        <w:ind w:firstLine="420"/>
        <w:spacing w:line="360" w:lineRule="auto"/>
        <w:rPr>
          <w:rFonts w:ascii="宋体" w:hAnsi="宋体" w:cs="宋体"/>
          <w:lang w:val="zh-CN"/>
        </w:rPr>
      </w:pPr>
      <w:r>
        <w:rPr>
          <w:rFonts w:hint="eastAsia" w:ascii="宋体" w:hAnsi="宋体"/>
          <w:szCs w:val="21"/>
        </w:rPr>
        <w:t xml:space="preserve">12.6.2项目实施方案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12.6.3《质保期满后备品备件、易损件报价表》、《投标货物和服务数量、品牌型号、性能、交货期说明表》、《人员配备情况表》；</w:t>
      </w:r>
      <w:r/>
    </w:p>
    <w:p>
      <w:pPr>
        <w:ind w:firstLine="420"/>
        <w:spacing w:line="360" w:lineRule="auto"/>
        <w:rPr>
          <w:rFonts w:ascii="宋体" w:hAnsi="宋体" w:cs="宋体"/>
        </w:rPr>
      </w:pPr>
      <w:r>
        <w:rPr>
          <w:rFonts w:hint="eastAsia" w:ascii="宋体" w:hAnsi="宋体" w:cs="宋体"/>
        </w:rPr>
        <w:t xml:space="preserve">12.6.4产品质量验收标准，质量承诺；</w:t>
      </w:r>
      <w:r/>
    </w:p>
    <w:p>
      <w:pPr>
        <w:ind w:firstLine="420"/>
        <w:spacing w:line="360" w:lineRule="auto"/>
        <w:rPr>
          <w:rFonts w:ascii="宋体" w:hAnsi="宋体" w:cs="宋体"/>
        </w:rPr>
      </w:pPr>
      <w:r>
        <w:rPr>
          <w:rFonts w:hint="eastAsia" w:ascii="宋体" w:hAnsi="宋体" w:cs="宋体"/>
        </w:rPr>
        <w:t xml:space="preserve">12.6.5类似业绩一览表；</w:t>
      </w:r>
      <w:r/>
    </w:p>
    <w:p>
      <w:pPr>
        <w:ind w:firstLine="420"/>
        <w:spacing w:line="360" w:lineRule="auto"/>
        <w:rPr>
          <w:rFonts w:ascii="宋体" w:hAnsi="宋体" w:cs="宋体"/>
        </w:rPr>
      </w:pPr>
      <w:r>
        <w:rPr>
          <w:rFonts w:hint="eastAsia" w:ascii="宋体" w:hAnsi="宋体" w:cs="宋体"/>
        </w:rPr>
        <w:t xml:space="preserve">12.6.6评分标准中要求的其他相关资料；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ascii="宋体" w:hAnsi="宋体" w:cs="宋体"/>
          <w:szCs w:val="21"/>
        </w:rPr>
      </w:pPr>
      <w:r>
        <w:rPr>
          <w:rFonts w:hint="eastAsia" w:ascii="宋体" w:hAnsi="宋体" w:cs="宋体"/>
        </w:rPr>
        <w:t xml:space="preserve">12.7.1</w:t>
      </w:r>
      <w:r>
        <w:rPr>
          <w:rFonts w:hint="eastAsia" w:ascii="宋体" w:hAnsi="宋体" w:cs="宋体"/>
          <w:szCs w:val="21"/>
        </w:rPr>
        <w:t xml:space="preserve">提供《中小企业声明函》、《残疾人福利性单位声明函》、省级以上监狱管理局、戒毒管理局（含新疆生产建设兵团）出具的属于监狱企业的证明文件。</w:t>
      </w:r>
      <w:r/>
    </w:p>
    <w:p>
      <w:pPr>
        <w:ind w:firstLine="420"/>
        <w:spacing w:line="360" w:lineRule="auto"/>
        <w:rPr>
          <w:rFonts w:ascii="宋体" w:hAnsi="宋体" w:cs="宋体"/>
        </w:rPr>
      </w:pPr>
      <w:r>
        <w:rPr>
          <w:rFonts w:hint="eastAsia" w:ascii="宋体" w:hAnsi="宋体" w:cs="宋体"/>
          <w:szCs w:val="21"/>
        </w:rPr>
        <w:t xml:space="preserve">12.7.2供应商对其提供的产品出具《关于符合本国产品标准的声明函》（以下简称《声明函》）或财政部会同有关部门规定的有关证明文件。如不提供将不享受本国产品价格评审优惠。</w:t>
      </w:r>
      <w:r/>
    </w:p>
    <w:p>
      <w:pPr>
        <w:pStyle w:val="959"/>
        <w:ind w:firstLine="430"/>
        <w:spacing w:line="360" w:lineRule="auto"/>
        <w:rPr>
          <w:rFonts w:ascii="宋体" w:hAnsi="宋体" w:cs="宋体"/>
          <w:b/>
          <w:bCs/>
          <w:szCs w:val="21"/>
        </w:rPr>
      </w:pPr>
      <w:r>
        <w:rPr>
          <w:rFonts w:hint="eastAsia" w:ascii="宋体" w:hAnsi="宋体" w:cs="宋体"/>
          <w:b/>
          <w:bCs/>
          <w:szCs w:val="21"/>
        </w:rPr>
        <w:t xml:space="preserve">注：（1）以上12.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59"/>
        <w:ind w:firstLine="430"/>
        <w:spacing w:line="360" w:lineRule="auto"/>
        <w:rPr>
          <w:rFonts w:ascii="宋体" w:hAnsi="宋体" w:cs="宋体"/>
          <w:b/>
          <w:bCs/>
          <w:szCs w:val="21"/>
        </w:rPr>
      </w:pPr>
      <w:r>
        <w:rPr>
          <w:rFonts w:hint="eastAsia" w:ascii="宋体" w:hAnsi="宋体" w:cs="宋体"/>
          <w:b/>
          <w:bCs/>
          <w:szCs w:val="21"/>
        </w:rPr>
        <w:t xml:space="preserve">（2）以上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959"/>
        <w:ind w:firstLine="430"/>
        <w:spacing w:line="360" w:lineRule="auto"/>
        <w:rPr>
          <w:rFonts w:ascii="宋体" w:hAnsi="宋体"/>
          <w:szCs w:val="21"/>
        </w:rPr>
      </w:pPr>
      <w:r>
        <w:rPr>
          <w:rFonts w:hint="eastAsia" w:ascii="宋体" w:hAnsi="宋体"/>
          <w:b/>
          <w:szCs w:val="21"/>
        </w:rPr>
        <w:t xml:space="preserve">（3）“</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959"/>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59"/>
        <w:ind w:firstLine="430"/>
        <w:spacing w:line="360" w:lineRule="auto"/>
        <w:rPr>
          <w:rFonts w:ascii="宋体" w:hAnsi="宋体"/>
          <w:b/>
          <w:szCs w:val="21"/>
        </w:rPr>
      </w:pPr>
      <w:r>
        <w:rPr>
          <w:rFonts w:hint="eastAsia" w:ascii="宋体" w:hAnsi="宋体"/>
          <w:b/>
          <w:szCs w:val="21"/>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16.1自开标日起60天内，投标书应保持有效。有效期短于这个规定期限的投标文件，将被拒绝。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59"/>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59"/>
        <w:ind w:firstLine="420"/>
        <w:spacing w:line="360" w:lineRule="auto"/>
        <w:rPr>
          <w:rFonts w:ascii="宋体" w:hAnsi="宋体" w:cs="宋体"/>
          <w:szCs w:val="21"/>
          <w:lang w:val="en-US"/>
        </w:rPr>
      </w:pPr>
      <w:r>
        <w:rPr>
          <w:rFonts w:hint="eastAsia" w:ascii="宋体" w:hAnsi="宋体" w:cs="宋体"/>
          <w:szCs w:val="21"/>
          <w:lang w:val="en-US"/>
        </w:rPr>
        <w:t xml:space="preserve">17.1本项目采用电子招投标形式，请供应商按照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59"/>
        <w:ind w:firstLine="420"/>
        <w:spacing w:line="360" w:lineRule="auto"/>
        <w:rPr>
          <w:rFonts w:ascii="宋体" w:hAnsi="宋体" w:cs="宋体"/>
          <w:szCs w:val="21"/>
          <w:lang w:val="en-US"/>
        </w:rPr>
      </w:pPr>
      <w:r>
        <w:rPr>
          <w:rFonts w:hint="eastAsia" w:ascii="宋体" w:hAnsi="宋体" w:cs="宋体"/>
          <w:szCs w:val="21"/>
          <w:lang w:val="en-US"/>
        </w:rPr>
        <w:t xml:space="preserve">17.2制作电子投标文件时，应按照招标文件要求加盖投标人电子公章。</w:t>
      </w:r>
      <w:r/>
    </w:p>
    <w:p>
      <w:pPr>
        <w:pStyle w:val="959"/>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2" w:name="_Toc25608"/>
      <w:r/>
      <w:bookmarkStart w:id="43"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2"/>
      <w:r/>
      <w:bookmarkEnd w:id="43"/>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59"/>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59"/>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.1投标人应当在投标截止时间前制作并上传电子投标文件。</w:t>
      </w:r>
      <w:r/>
    </w:p>
    <w:p>
      <w:pPr>
        <w:pStyle w:val="925"/>
        <w:jc w:val="left"/>
        <w:spacing w:line="360" w:lineRule="auto"/>
        <w:rPr>
          <w:rFonts w:ascii="宋体" w:hAnsi="宋体" w:eastAsia="宋体" w:cs="宋体"/>
          <w:sz w:val="21"/>
          <w:szCs w:val="21"/>
        </w:rPr>
      </w:pPr>
      <w:r>
        <w:rPr>
          <w:rFonts w:hint="eastAsia" w:ascii="宋体" w:hAnsi="宋体" w:eastAsia="宋体" w:cs="宋体"/>
          <w:sz w:val="21"/>
          <w:szCs w:val="21"/>
        </w:rPr>
        <w:t xml:space="preserve">18.2投标人通过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中标后5个工作日内，中标单位向招标代理机构提供与电子投标文件内容一致的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投标截止时间</w:t>
      </w:r>
      <w:r/>
    </w:p>
    <w:p>
      <w:pPr>
        <w:pStyle w:val="959"/>
        <w:ind w:firstLine="420"/>
        <w:spacing w:line="360" w:lineRule="auto"/>
        <w:rPr>
          <w:rFonts w:ascii="宋体" w:hAnsi="宋体" w:cs="宋体"/>
          <w:szCs w:val="21"/>
          <w:lang w:val="en-US"/>
        </w:rPr>
      </w:pPr>
      <w:r>
        <w:rPr>
          <w:rFonts w:hint="eastAsia" w:ascii="宋体" w:hAnsi="宋体" w:cs="宋体"/>
          <w:szCs w:val="21"/>
          <w:lang w:val="en-US"/>
        </w:rPr>
        <w:t xml:space="preserve">19.1投标人应当在招标文件要求投标文件网上提交截止时间前，将投标文件完成提交（上传）。逾期提交（上传）的投标文件，采购人和采购代理机构拒绝接收。</w:t>
      </w:r>
      <w:r/>
    </w:p>
    <w:p>
      <w:pPr>
        <w:pStyle w:val="959"/>
        <w:ind w:firstLine="420"/>
        <w:spacing w:line="360" w:lineRule="auto"/>
        <w:rPr>
          <w:rFonts w:ascii="宋体" w:hAnsi="宋体" w:cs="宋体"/>
          <w:szCs w:val="21"/>
          <w:lang w:val="en-US"/>
        </w:rPr>
      </w:pPr>
      <w:r>
        <w:rPr>
          <w:rFonts w:hint="eastAsia" w:ascii="宋体" w:hAnsi="宋体" w:cs="宋体"/>
          <w:szCs w:val="21"/>
          <w:lang w:val="en-US"/>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959"/>
        <w:ind w:firstLine="420"/>
        <w:spacing w:line="360" w:lineRule="auto"/>
        <w:rPr>
          <w:rFonts w:ascii="宋体" w:hAnsi="宋体" w:cs="宋体"/>
          <w:szCs w:val="21"/>
        </w:rPr>
      </w:pPr>
      <w:r>
        <w:rPr>
          <w:rFonts w:hint="eastAsia" w:ascii="宋体" w:hAnsi="宋体" w:cs="宋体"/>
          <w:szCs w:val="21"/>
          <w:lang w:val="en-US"/>
        </w:rPr>
        <w:t xml:space="preserve">19.3在投标截止时间止成功解密的投标文件少于三份，采购代理机构有权宣布本次招标失败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 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59"/>
        <w:ind w:firstLine="420"/>
        <w:spacing w:line="360" w:lineRule="auto"/>
        <w:rPr>
          <w:rFonts w:ascii="宋体" w:hAnsi="宋体" w:cs="宋体"/>
          <w:szCs w:val="21"/>
        </w:rPr>
      </w:pPr>
      <w:r>
        <w:rPr>
          <w:rFonts w:hint="eastAsia" w:ascii="宋体" w:hAnsi="宋体" w:cs="宋体"/>
          <w:szCs w:val="21"/>
        </w:rPr>
        <w:t xml:space="preserve">21.3资格审查</w:t>
      </w:r>
      <w:r/>
    </w:p>
    <w:p>
      <w:pPr>
        <w:pStyle w:val="959"/>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24.1.6投标人的报价只投了部分内容；</w:t>
      </w:r>
      <w:r/>
    </w:p>
    <w:p>
      <w:pPr>
        <w:ind w:firstLine="422"/>
        <w:spacing w:line="360" w:lineRule="auto"/>
        <w:rPr>
          <w:rFonts w:ascii="宋体" w:hAnsi="宋体" w:cs="宋体"/>
          <w:b/>
          <w:bCs/>
        </w:rPr>
      </w:pPr>
      <w:r>
        <w:rPr>
          <w:rFonts w:hint="eastAsia" w:ascii="宋体" w:hAnsi="宋体" w:cs="宋体"/>
          <w:b/>
          <w:bCs/>
        </w:rPr>
        <w:t xml:space="preserve">24.1.7其他被评委会认定无效的情况。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投标的澄清</w:t>
      </w:r>
      <w:r/>
    </w:p>
    <w:p>
      <w:pPr>
        <w:pStyle w:val="959"/>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.1对于投标文件中含义不明确、同类问题表述不一致或者有明显文字和计算错误的内容，评标委员会应当以书面形式要求投标人作出必要的澄清、说明或者补正。</w:t>
      </w:r>
      <w:r/>
    </w:p>
    <w:p>
      <w:pPr>
        <w:pStyle w:val="959"/>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26.4报价超过招标文件中规定的预算金额或者最高限价的；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27.废标的具体情形有：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27.3投标人的报价均超过了采购预算或最高限价，采购单位不能支付的；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29.1评标委员会根据投标单位专业性资格审查情况和符合性审查情况，对投标文件进行评价和比较，按照评标办法和标准进行评标，并按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29.3政府采购合同履行中，采购单位需追加与合同标的相同的货物、工程或服务的，在不改变合同其他条款的前提下，可以与供应商协商签订补充合同，但所有补充合同的采购金额不得超过原</w:t>
      </w:r>
      <w:r>
        <w:rPr>
          <w:rFonts w:hint="eastAsia" w:ascii="宋体" w:hAnsi="宋体" w:cs="宋体"/>
          <w:szCs w:val="21"/>
          <w:lang w:val="zh-CN"/>
        </w:rPr>
        <w:t xml:space="preserve">合同采购金额的10%。 </w:t>
      </w:r>
      <w:r/>
    </w:p>
    <w:p>
      <w:pPr>
        <w:spacing w:line="360" w:lineRule="auto"/>
        <w:rPr>
          <w:rFonts w:ascii="宋体" w:hAnsi="宋体" w:cs="宋体"/>
          <w:b/>
          <w:szCs w:val="21"/>
        </w:rPr>
      </w:pPr>
      <w:r>
        <w:rPr>
          <w:rFonts w:hint="eastAsia" w:ascii="宋体" w:hAnsi="宋体" w:cs="宋体"/>
          <w:b/>
          <w:szCs w:val="21"/>
        </w:rPr>
        <w:t xml:space="preserve">30.质疑处理</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0.2本次招标文件要求供应商在法定质疑期内一次性提出针对同一采购程序环节的质疑，否则不予受理。</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0.3供应商提出质疑应当提交质疑函和必要的证明材料，质疑函应当包括下列内容：</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（1）供应商的姓名或者名称（以提供的营业执照副本复印件为准）、地址、邮编、联系人及联系电话；</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25"/>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lang w:val="zh-CN"/>
        </w:rPr>
        <w:t xml:space="preserve">。</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0.5接收质疑函的方式：书面形式（当场送达或邮寄方式）。</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  潘莉莉  朱晓芹  </w:t>
      </w:r>
      <w:r>
        <w:rPr>
          <w:rFonts w:hint="eastAsia" w:ascii="宋体" w:hAnsi="宋体" w:eastAsia="宋体" w:cs="宋体"/>
          <w:sz w:val="21"/>
          <w:szCs w:val="21"/>
        </w:rPr>
        <w:t xml:space="preserve">庄天扬</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联系电话：0512-65238816</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现场递交地址：苏州市干将西路399号银海大厦303室</w:t>
      </w:r>
      <w:r/>
    </w:p>
    <w:p>
      <w:pPr>
        <w:pStyle w:val="92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邮寄收取地址：苏州市干将西路399号银海大厦303室</w:t>
      </w:r>
      <w:r/>
    </w:p>
    <w:p>
      <w:pPr>
        <w:spacing w:line="360" w:lineRule="auto"/>
        <w:rPr>
          <w:rFonts w:ascii="宋体" w:hAnsi="宋体" w:cs="宋体"/>
          <w:b/>
        </w:rPr>
      </w:pPr>
      <w:r>
        <w:rPr>
          <w:rFonts w:hint="eastAsia" w:ascii="宋体" w:hAnsi="宋体" w:cs="宋体"/>
          <w:b/>
        </w:rPr>
        <w:t xml:space="preserve">31. 合同授予标准</w:t>
      </w:r>
      <w:r/>
    </w:p>
    <w:p>
      <w:pPr>
        <w:ind w:firstLine="420"/>
        <w:spacing w:line="360" w:lineRule="auto"/>
        <w:rPr>
          <w:rFonts w:ascii="宋体" w:hAnsi="宋体" w:cs="宋体"/>
        </w:rPr>
      </w:pPr>
      <w:r>
        <w:rPr>
          <w:rFonts w:hint="eastAsia" w:ascii="宋体" w:hAnsi="宋体" w:cs="宋体"/>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szCs w:val="21"/>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合同的签订</w:t>
      </w:r>
      <w:r/>
    </w:p>
    <w:p>
      <w:pPr>
        <w:ind w:firstLine="420"/>
        <w:spacing w:line="360" w:lineRule="auto"/>
        <w:rPr>
          <w:rFonts w:ascii="宋体" w:hAnsi="宋体" w:cs="宋体"/>
        </w:rPr>
      </w:pPr>
      <w:r>
        <w:rPr>
          <w:rFonts w:hint="eastAsia" w:ascii="宋体" w:hAnsi="宋体" w:cs="宋体"/>
        </w:rPr>
        <w:t xml:space="preserve">33.1中标单位应按中标通知书中规定的时间和地点，由法定代表人或委托代理人与甲方代表签订合同,否则按放弃中标权处理。</w:t>
      </w:r>
      <w:r/>
    </w:p>
    <w:p>
      <w:pPr>
        <w:ind w:firstLine="420"/>
        <w:spacing w:line="360" w:lineRule="auto"/>
        <w:rPr>
          <w:rFonts w:ascii="宋体" w:hAnsi="宋体" w:cs="宋体"/>
        </w:rPr>
      </w:pPr>
      <w:r>
        <w:rPr>
          <w:rFonts w:hint="eastAsia" w:ascii="宋体" w:hAnsi="宋体" w:cs="宋体"/>
        </w:rPr>
        <w:t xml:space="preserve">33.2签订合同及合同条款应以招标文件和中标单位的投标文件及其澄清文件为依据。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履约保证金：无。</w:t>
      </w:r>
      <w:r/>
    </w:p>
    <w:p>
      <w:pPr>
        <w:ind w:firstLine="210"/>
        <w:spacing w:line="360" w:lineRule="auto"/>
        <w:rPr>
          <w:rFonts w:ascii="宋体" w:hAnsi="宋体" w:cs="宋体"/>
          <w:bCs/>
        </w:rPr>
      </w:pPr>
      <w:r>
        <w:rPr>
          <w:rFonts w:hint="eastAsia" w:ascii="宋体" w:hAnsi="宋体" w:cs="宋体"/>
          <w:bCs/>
        </w:rPr>
        <w:t xml:space="preserve">34.1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spacing w:line="360" w:lineRule="auto"/>
        <w:rPr>
          <w:rFonts w:ascii="宋体" w:hAnsi="宋体" w:cs="宋体"/>
          <w:b/>
        </w:rPr>
      </w:pPr>
      <w:r>
        <w:rPr>
          <w:rFonts w:hint="eastAsia" w:ascii="宋体" w:hAnsi="宋体" w:cs="宋体"/>
          <w:b/>
        </w:rPr>
        <w:t xml:space="preserve">35.中标服务费</w:t>
      </w:r>
      <w:r/>
    </w:p>
    <w:p>
      <w:pPr>
        <w:ind w:firstLine="420"/>
        <w:spacing w:line="360" w:lineRule="auto"/>
        <w:rPr>
          <w:rFonts w:ascii="宋体" w:hAnsi="宋体" w:cs="宋体"/>
        </w:rPr>
      </w:pPr>
      <w:r>
        <w:rPr>
          <w:rFonts w:hint="eastAsia" w:ascii="宋体" w:hAnsi="宋体" w:cs="宋体"/>
        </w:rPr>
        <w:t xml:space="preserve">35.1中标单位须按前附表规定支付中标服务费，该费用应在领取中标通知书时付清。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35.2中标单位如果未按规定缴纳中标服务费，招标代理机构保留诉讼的权利。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36. 监督</w:t>
      </w:r>
      <w:r/>
    </w:p>
    <w:p>
      <w:pPr>
        <w:ind w:firstLine="420"/>
        <w:spacing w:line="360" w:lineRule="auto"/>
        <w:rPr>
          <w:rFonts w:ascii="宋体" w:hAnsi="宋体" w:cs="宋体"/>
        </w:rPr>
      </w:pPr>
      <w:r>
        <w:rPr>
          <w:rFonts w:hint="eastAsia" w:ascii="宋体" w:hAnsi="宋体" w:cs="宋体"/>
        </w:rPr>
        <w:t xml:space="preserve">36.1政府有关监督部门将对招投标全过程进行监督。</w:t>
      </w:r>
      <w:r/>
    </w:p>
    <w:p>
      <w:pPr>
        <w:spacing w:line="360" w:lineRule="auto"/>
        <w:rPr>
          <w:rFonts w:ascii="宋体" w:hAnsi="宋体" w:cs="宋体"/>
          <w:b/>
        </w:rPr>
      </w:pPr>
      <w:r>
        <w:rPr>
          <w:rFonts w:hint="eastAsia" w:ascii="宋体" w:hAnsi="宋体" w:cs="宋体"/>
          <w:b/>
        </w:rPr>
        <w:t xml:space="preserve">37. 未尽事宜</w:t>
      </w:r>
      <w:r/>
    </w:p>
    <w:p>
      <w:pPr>
        <w:pStyle w:val="925"/>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40"/>
        <w:ind w:firstLine="640"/>
        <w:jc w:val="center"/>
        <w:pageBreakBefore/>
        <w:spacing w:line="360" w:lineRule="auto"/>
        <w:tabs>
          <w:tab w:val="right" w:pos="8302" w:leader="dot"/>
        </w:tabs>
        <w:rPr>
          <w:rStyle w:val="948"/>
          <w:rFonts w:ascii="宋体" w:hAnsi="宋体" w:cs="宋体"/>
          <w:sz w:val="32"/>
          <w:szCs w:val="32"/>
        </w:rPr>
      </w:pPr>
      <w:r>
        <w:rPr>
          <w:rStyle w:val="948"/>
          <w:rFonts w:hint="eastAsia" w:ascii="宋体" w:hAnsi="宋体" w:cs="宋体"/>
          <w:sz w:val="32"/>
          <w:szCs w:val="32"/>
        </w:rPr>
        <w:t xml:space="preserve">第三章 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 ，投标方可根据自身情况进行补充和修改，但补充和修改不得造成与本格式内容有实质性的违背。</w:t>
      </w:r>
      <w:r/>
    </w:p>
    <w:p>
      <w:pPr>
        <w:pStyle w:val="918"/>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附件1、（投标方）法人授权委托书</w:t>
      </w:r>
      <w:r/>
    </w:p>
    <w:p>
      <w:pPr>
        <w:ind w:firstLine="422"/>
        <w:spacing w:line="360" w:lineRule="auto"/>
        <w:rPr>
          <w:rFonts w:ascii="宋体" w:hAnsi="宋体" w:cs="宋体"/>
        </w:rPr>
      </w:pPr>
      <w:r>
        <w:rPr>
          <w:rFonts w:ascii="宋体" w:hAnsi="宋体" w:cs="宋体"/>
        </w:rPr>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 </w:t>
      </w:r>
      <w:r>
        <w:rPr>
          <w:rFonts w:hint="eastAsia" w:ascii="宋体" w:hAnsi="宋体"/>
          <w:szCs w:val="21"/>
          <w:u w:val="single"/>
        </w:rPr>
        <w:t xml:space="preserve">（供应商名称） </w:t>
      </w:r>
      <w:r>
        <w:rPr>
          <w:rFonts w:hint="eastAsia" w:ascii="宋体" w:hAnsi="宋体"/>
          <w:szCs w:val="21"/>
        </w:rPr>
        <w:t xml:space="preserve">授权 </w:t>
      </w:r>
      <w:r>
        <w:rPr>
          <w:rFonts w:hint="eastAsia" w:ascii="宋体" w:hAnsi="宋体"/>
          <w:szCs w:val="21"/>
          <w:u w:val="single"/>
        </w:rPr>
        <w:t xml:space="preserve">（被授权人的姓名）_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（招标编号）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                                    </w:t>
      </w:r>
      <w:r/>
    </w:p>
    <w:p>
      <w:pPr>
        <w:ind w:right="630"/>
        <w:spacing w:line="360" w:lineRule="auto"/>
        <w:rPr>
          <w:rFonts w:ascii="宋体" w:hAnsi="宋体" w:cs="宋体"/>
          <w:szCs w:val="21"/>
        </w:rPr>
      </w:pPr>
      <w:r>
        <w:rPr>
          <w:rFonts w:hint="eastAsia" w:ascii="宋体" w:hAnsi="宋体" w:cs="宋体"/>
          <w:szCs w:val="21"/>
        </w:rPr>
        <w:t xml:space="preserve">日期：　　　　年　　  月　　  日</w:t>
      </w:r>
      <w:r/>
    </w:p>
    <w:p>
      <w:pPr>
        <w:pStyle w:val="925"/>
        <w:spacing w:line="360" w:lineRule="auto"/>
        <w:rPr>
          <w:rFonts w:ascii="宋体" w:hAnsi="宋体" w:eastAsia="宋体" w:cs="宋体"/>
          <w:sz w:val="21"/>
        </w:rPr>
      </w:pPr>
      <w:r>
        <w:rPr>
          <w:rFonts w:ascii="宋体" w:hAnsi="宋体" w:eastAsia="宋体" w:cs="宋体"/>
          <w:sz w:val="21"/>
        </w:rPr>
      </w:r>
      <w:r/>
    </w:p>
    <w:p>
      <w:pPr>
        <w:pStyle w:val="925"/>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45"/>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45"/>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45"/>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25"/>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附件2、投标函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03"/>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lang w:val="zh-CN"/>
        </w:rPr>
        <w:t xml:space="preserve">【】</w:t>
      </w:r>
      <w:r>
        <w:rPr>
          <w:rFonts w:hint="eastAsia" w:hAnsi="宋体" w:eastAsia="宋体" w:cs="宋体"/>
          <w:sz w:val="21"/>
          <w:szCs w:val="21"/>
          <w:lang w:val="zh-CN"/>
        </w:rPr>
        <w:t xml:space="preserve">号招标文件，经仔细阅读和研究，我们决定参加投标。</w:t>
      </w:r>
      <w:r/>
    </w:p>
    <w:p>
      <w:pPr>
        <w:pStyle w:val="1003"/>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我们愿意按照招标文件的一切要求，提供本项目货物及服务工作，投标总报价包括产品供货、辅助材料、备品备件、运输、仓储、发货、送货、安装、医院平台各系统（如HIS系统、LIS系统等）的接口费用、调试、人工、机械、装卸、培训、保险、运费、各种税费、劳保、专利技术及维保等完成本次项目所需的一切费用。</w:t>
      </w:r>
      <w:r/>
    </w:p>
    <w:p>
      <w:pPr>
        <w:pStyle w:val="1003"/>
        <w:ind w:firstLine="420"/>
        <w:spacing w:line="360" w:lineRule="auto"/>
        <w:rPr>
          <w:rFonts w:hAnsi="宋体" w:eastAsia="宋体" w:cs="宋体"/>
          <w:sz w:val="21"/>
        </w:rPr>
      </w:pPr>
      <w:r>
        <w:rPr>
          <w:rFonts w:hint="eastAsia" w:hAnsi="宋体" w:eastAsia="宋体" w:cs="宋体"/>
          <w:sz w:val="21"/>
        </w:rPr>
        <w:t xml:space="preserve">2.如果我们的投标书被接受，我们将严格履行招标文件中规定的每一项要求，按期、按质、按量履行合同的义务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03"/>
        <w:ind w:firstLine="420"/>
        <w:spacing w:line="360" w:lineRule="auto"/>
        <w:rPr>
          <w:rFonts w:hAnsi="宋体" w:eastAsia="宋体" w:cs="宋体"/>
          <w:sz w:val="21"/>
        </w:rPr>
      </w:pPr>
      <w:r>
        <w:rPr>
          <w:rFonts w:hint="eastAsia" w:hAnsi="宋体" w:eastAsia="宋体" w:cs="宋体"/>
          <w:sz w:val="21"/>
        </w:rPr>
        <w:t xml:space="preserve">3.我们同意按招标文件中的规定，本投标书的有效期限为开标后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03"/>
        <w:ind w:firstLine="420"/>
        <w:spacing w:line="360" w:lineRule="auto"/>
        <w:rPr>
          <w:rFonts w:hAnsi="宋体" w:eastAsia="宋体" w:cs="宋体"/>
          <w:sz w:val="21"/>
        </w:rPr>
      </w:pPr>
      <w:r>
        <w:rPr>
          <w:rFonts w:hint="eastAsia" w:hAnsi="宋体" w:eastAsia="宋体" w:cs="宋体"/>
          <w:sz w:val="21"/>
        </w:rPr>
        <w:t xml:space="preserve">4.我们愿意提供招标代理机构在招标文件中要求的所有资料。</w:t>
      </w:r>
      <w:r/>
    </w:p>
    <w:p>
      <w:pPr>
        <w:pStyle w:val="1003"/>
        <w:ind w:firstLine="420"/>
        <w:spacing w:line="360" w:lineRule="auto"/>
        <w:rPr>
          <w:rFonts w:hAnsi="宋体" w:eastAsia="宋体" w:cs="宋体"/>
          <w:sz w:val="21"/>
        </w:rPr>
      </w:pPr>
      <w:r>
        <w:rPr>
          <w:rFonts w:hint="eastAsia" w:hAnsi="宋体" w:eastAsia="宋体" w:cs="宋体"/>
          <w:sz w:val="21"/>
        </w:rPr>
        <w:t xml:space="preserve">5.我们愿意遵守招标文件中所列的收费标准。</w:t>
      </w:r>
      <w:r/>
    </w:p>
    <w:p>
      <w:pPr>
        <w:pStyle w:val="1003"/>
        <w:ind w:firstLine="420"/>
        <w:spacing w:line="360" w:lineRule="auto"/>
        <w:rPr>
          <w:rFonts w:hAnsi="宋体" w:eastAsia="宋体" w:cs="宋体"/>
          <w:sz w:val="21"/>
        </w:rPr>
      </w:pPr>
      <w:r>
        <w:rPr>
          <w:rFonts w:hint="eastAsia" w:hAnsi="宋体" w:eastAsia="宋体" w:cs="宋体"/>
          <w:sz w:val="21"/>
        </w:rPr>
        <w:t xml:space="preserve">6.我们承诺该项投标在开标后的全过程中保持有效，不作任何更改和变动。</w:t>
      </w:r>
      <w:r/>
    </w:p>
    <w:p>
      <w:pPr>
        <w:pStyle w:val="1003"/>
        <w:ind w:firstLine="420"/>
        <w:spacing w:line="360" w:lineRule="auto"/>
        <w:rPr>
          <w:rFonts w:hAnsi="宋体" w:eastAsia="宋体" w:cs="宋体"/>
          <w:sz w:val="21"/>
        </w:rPr>
      </w:pPr>
      <w:r>
        <w:rPr>
          <w:rFonts w:hint="eastAsia" w:hAnsi="宋体" w:eastAsia="宋体" w:cs="宋体"/>
          <w:sz w:val="21"/>
        </w:rPr>
        <w:t xml:space="preserve">7.如果我们中标，我们愿意按前附表的规定支付中标服务费；</w:t>
      </w:r>
      <w:r/>
    </w:p>
    <w:p>
      <w:pPr>
        <w:pStyle w:val="1003"/>
        <w:ind w:firstLine="422"/>
        <w:spacing w:line="360" w:lineRule="auto"/>
        <w:rPr>
          <w:rFonts w:hAnsi="宋体" w:eastAsia="宋体" w:cs="宋体"/>
          <w:sz w:val="21"/>
          <w:szCs w:val="21"/>
        </w:rPr>
      </w:pPr>
      <w:r>
        <w:rPr>
          <w:rFonts w:hint="eastAsia" w:hAnsi="宋体" w:eastAsia="宋体" w:cs="宋体"/>
          <w:b/>
          <w:bCs/>
          <w:sz w:val="21"/>
          <w:szCs w:val="21"/>
        </w:rPr>
        <w:t xml:space="preserve">8.我们愿意按照贵公司招标文件的要求提供电子投标文件，并保证全部投标文件内容真实有效，若有虚假，我公司愿意承担与此相关的一切责任；</w:t>
      </w:r>
      <w:r/>
    </w:p>
    <w:p>
      <w:pPr>
        <w:pStyle w:val="1003"/>
        <w:ind w:firstLine="420"/>
        <w:spacing w:line="360" w:lineRule="auto"/>
        <w:rPr>
          <w:rFonts w:hAnsi="宋体" w:eastAsia="宋体" w:cs="宋体"/>
          <w:sz w:val="21"/>
        </w:rPr>
      </w:pPr>
      <w:r>
        <w:rPr>
          <w:rFonts w:hint="eastAsia" w:hAnsi="宋体" w:eastAsia="宋体" w:cs="宋体"/>
          <w:sz w:val="21"/>
          <w:szCs w:val="21"/>
        </w:rPr>
        <w:t xml:space="preserve">9.我们愿意按照《中华人民共和国民法典》履行自己应该承担的全部责任。</w:t>
      </w:r>
      <w:r/>
    </w:p>
    <w:p>
      <w:pPr>
        <w:pStyle w:val="1003"/>
        <w:ind w:firstLine="420"/>
        <w:spacing w:line="360" w:lineRule="auto"/>
        <w:rPr>
          <w:rFonts w:hAnsi="宋体" w:eastAsia="宋体" w:cs="宋体"/>
          <w:sz w:val="21"/>
        </w:rPr>
      </w:pPr>
      <w:r>
        <w:rPr>
          <w:rFonts w:hint="eastAsia" w:hAnsi="宋体" w:eastAsia="宋体" w:cs="宋体"/>
          <w:sz w:val="21"/>
        </w:rPr>
        <w:t xml:space="preserve">10.综合说明：</w:t>
      </w:r>
      <w:r/>
    </w:p>
    <w:p>
      <w:pPr>
        <w:pStyle w:val="1003"/>
        <w:ind w:firstLine="420"/>
        <w:spacing w:line="360" w:lineRule="auto"/>
        <w:rPr>
          <w:rFonts w:hAnsi="宋体" w:eastAsia="宋体" w:cs="宋体"/>
          <w:sz w:val="21"/>
        </w:rPr>
      </w:pPr>
      <w:r>
        <w:rPr>
          <w:rFonts w:hint="eastAsia" w:hAnsi="宋体" w:eastAsia="宋体" w:cs="宋体"/>
          <w:sz w:val="21"/>
        </w:rPr>
        <w:t xml:space="preserve">（1）伴随服务及配合措施；</w:t>
      </w:r>
      <w:r/>
    </w:p>
    <w:p>
      <w:pPr>
        <w:pStyle w:val="1003"/>
        <w:ind w:firstLine="420"/>
        <w:spacing w:line="360" w:lineRule="auto"/>
        <w:rPr>
          <w:rFonts w:hAnsi="宋体" w:eastAsia="宋体" w:cs="宋体"/>
          <w:sz w:val="21"/>
        </w:rPr>
      </w:pPr>
      <w:r>
        <w:rPr>
          <w:rFonts w:hint="eastAsia" w:hAnsi="宋体" w:eastAsia="宋体" w:cs="宋体"/>
          <w:sz w:val="21"/>
        </w:rPr>
        <w:t xml:space="preserve">（2）要求甲方提供的配合；</w:t>
      </w:r>
      <w:r/>
    </w:p>
    <w:p>
      <w:pPr>
        <w:pStyle w:val="1003"/>
        <w:ind w:firstLine="420"/>
        <w:spacing w:line="360" w:lineRule="auto"/>
        <w:rPr>
          <w:rFonts w:hAnsi="宋体" w:eastAsia="宋体" w:cs="宋体"/>
          <w:sz w:val="21"/>
        </w:rPr>
      </w:pPr>
      <w:r>
        <w:rPr>
          <w:rFonts w:hint="eastAsia" w:hAnsi="宋体" w:eastAsia="宋体" w:cs="宋体"/>
          <w:sz w:val="21"/>
        </w:rPr>
        <w:t xml:space="preserve">（3）对招标文件有不同意见的偏离说明；</w:t>
      </w:r>
      <w:r/>
    </w:p>
    <w:p>
      <w:pPr>
        <w:pStyle w:val="1003"/>
        <w:ind w:firstLine="420"/>
        <w:spacing w:line="360" w:lineRule="auto"/>
        <w:rPr>
          <w:rFonts w:hAnsi="宋体" w:eastAsia="宋体" w:cs="宋体"/>
          <w:sz w:val="21"/>
        </w:rPr>
      </w:pPr>
      <w:r>
        <w:rPr>
          <w:rFonts w:hint="eastAsia" w:hAnsi="宋体" w:eastAsia="宋体" w:cs="宋体"/>
          <w:sz w:val="21"/>
        </w:rPr>
        <w:t xml:space="preserve">（4）其它说明。</w:t>
      </w:r>
      <w:r/>
    </w:p>
    <w:p>
      <w:pPr>
        <w:pStyle w:val="1003"/>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03"/>
        <w:ind w:firstLine="420"/>
        <w:spacing w:line="360" w:lineRule="auto"/>
        <w:rPr>
          <w:rFonts w:hAnsi="宋体" w:eastAsia="宋体" w:cs="宋体"/>
          <w:sz w:val="21"/>
        </w:rPr>
      </w:pPr>
      <w:r>
        <w:rPr>
          <w:rFonts w:hint="eastAsia" w:hAnsi="宋体" w:eastAsia="宋体" w:cs="宋体"/>
          <w:sz w:val="21"/>
        </w:rPr>
        <w:t xml:space="preserve">单位：              联系人：</w:t>
      </w:r>
      <w:r/>
    </w:p>
    <w:p>
      <w:pPr>
        <w:pStyle w:val="1003"/>
        <w:ind w:firstLine="420"/>
        <w:spacing w:line="360" w:lineRule="auto"/>
        <w:rPr>
          <w:rFonts w:hAnsi="宋体" w:eastAsia="宋体" w:cs="宋体"/>
          <w:sz w:val="21"/>
        </w:rPr>
      </w:pPr>
      <w:r>
        <w:rPr>
          <w:rFonts w:hint="eastAsia" w:hAnsi="宋体" w:eastAsia="宋体" w:cs="宋体"/>
          <w:sz w:val="21"/>
        </w:rPr>
        <w:t xml:space="preserve">地址：              邮政编码：</w:t>
      </w:r>
      <w:r/>
    </w:p>
    <w:p>
      <w:pPr>
        <w:pStyle w:val="1003"/>
        <w:ind w:firstLine="420"/>
        <w:spacing w:line="360" w:lineRule="auto"/>
        <w:rPr>
          <w:rFonts w:hAnsi="宋体" w:eastAsia="宋体" w:cs="宋体"/>
          <w:sz w:val="21"/>
        </w:rPr>
      </w:pPr>
      <w:r>
        <w:rPr>
          <w:rFonts w:hint="eastAsia" w:hAnsi="宋体" w:eastAsia="宋体" w:cs="宋体"/>
          <w:sz w:val="21"/>
        </w:rPr>
        <w:t xml:space="preserve">联系电话：          传真：</w:t>
      </w:r>
      <w:r/>
    </w:p>
    <w:p>
      <w:pPr>
        <w:pStyle w:val="1003"/>
        <w:ind w:firstLine="420"/>
        <w:spacing w:line="360" w:lineRule="auto"/>
        <w:rPr>
          <w:rFonts w:hAnsi="宋体" w:eastAsia="宋体" w:cs="宋体"/>
          <w:sz w:val="21"/>
        </w:rPr>
      </w:pPr>
      <w:r>
        <w:rPr>
          <w:rFonts w:hint="eastAsia" w:hAnsi="宋体" w:eastAsia="宋体" w:cs="宋体"/>
          <w:sz w:val="21"/>
        </w:rPr>
        <w:t xml:space="preserve">邮箱地址：</w:t>
      </w:r>
      <w:r/>
    </w:p>
    <w:p>
      <w:pPr>
        <w:pStyle w:val="1003"/>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03"/>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    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附件3、开标一览表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             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12"/>
              <w:ind w:firstLine="422"/>
              <w:jc w:val="center"/>
              <w:rPr>
                <w:rFonts w:hAnsi="宋体" w:eastAsia="宋体" w:cs="宋体"/>
                <w:sz w:val="21"/>
                <w:szCs w:val="21"/>
              </w:rPr>
            </w:pPr>
            <w:r>
              <w:rPr>
                <w:rFonts w:hint="eastAsia" w:hAnsi="宋体" w:eastAsia="宋体" w:cs="宋体"/>
                <w:sz w:val="21"/>
                <w:szCs w:val="21"/>
              </w:rPr>
              <w:t xml:space="preserve">序号</w:t>
            </w:r>
            <w:r/>
          </w:p>
        </w:tc>
        <w:tc>
          <w:tcPr>
            <w:tcW w:w="2490" w:type="dxa"/>
            <w:vAlign w:val="center"/>
            <w:textDirection w:val="lrTb"/>
            <w:noWrap w:val="false"/>
          </w:tcPr>
          <w:p>
            <w:pPr>
              <w:pStyle w:val="1012"/>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12"/>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12"/>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12"/>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12"/>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12"/>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12"/>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12"/>
              <w:ind w:firstLine="422"/>
              <w:rPr>
                <w:rFonts w:hAnsi="宋体" w:eastAsia="宋体" w:cs="宋体"/>
                <w:sz w:val="21"/>
                <w:szCs w:val="21"/>
              </w:rPr>
            </w:pPr>
            <w:r>
              <w:rPr>
                <w:rFonts w:hint="eastAsia" w:hAnsi="宋体" w:eastAsia="宋体" w:cs="宋体"/>
                <w:sz w:val="21"/>
                <w:szCs w:val="21"/>
                <w:lang w:val="zh-CN"/>
              </w:rPr>
              <w:t xml:space="preserve">投标总报价（人民币大写）：                    ￥：</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         年         月       日</w:t>
      </w:r>
      <w:r/>
    </w:p>
    <w:p>
      <w:pPr>
        <w:pageBreakBefore/>
        <w:spacing w:line="360" w:lineRule="auto"/>
        <w:rPr>
          <w:rFonts w:ascii="宋体" w:hAnsi="宋体" w:cs="宋体"/>
        </w:rPr>
      </w:pPr>
      <w:r/>
      <w:bookmarkStart w:id="44" w:name="_Toc2583141"/>
      <w:r>
        <w:rPr>
          <w:rFonts w:hint="eastAsia" w:ascii="宋体" w:hAnsi="宋体" w:cs="宋体"/>
          <w:b/>
          <w:bCs/>
        </w:rPr>
        <w:t xml:space="preserve">附件4、</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rPr>
      </w:pPr>
      <w:r>
        <w:rPr>
          <w:rFonts w:hint="eastAsia" w:ascii="宋体" w:hAnsi="宋体"/>
          <w:szCs w:val="21"/>
          <w:lang w:val="zh-CN"/>
        </w:rPr>
        <w:t xml:space="preserve">招标编号：号                       </w:t>
      </w:r>
      <w:r>
        <w:rPr>
          <w:rFonts w:hint="eastAsia" w:ascii="宋体" w:hAnsi="宋体"/>
          <w:szCs w:val="21"/>
        </w:rPr>
        <w:t xml:space="preserve">项目名称：</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7"/>
        <w:gridCol w:w="1317"/>
        <w:gridCol w:w="703"/>
        <w:gridCol w:w="1144"/>
        <w:gridCol w:w="768"/>
        <w:gridCol w:w="666"/>
        <w:gridCol w:w="713"/>
        <w:gridCol w:w="703"/>
        <w:gridCol w:w="909"/>
        <w:gridCol w:w="838"/>
        <w:gridCol w:w="994"/>
      </w:tblGrid>
      <w:tr>
        <w:trPr>
          <w:jc w:val="center"/>
          <w:trHeight w:val="20"/>
        </w:trPr>
        <w:tc>
          <w:tcPr>
            <w:tcW w:w="707"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317"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703" w:type="dxa"/>
            <w:vAlign w:val="center"/>
            <w:textDirection w:val="lrTb"/>
            <w:noWrap w:val="false"/>
          </w:tcPr>
          <w:p>
            <w:pPr>
              <w:rPr>
                <w:rFonts w:ascii="宋体" w:hAnsi="宋体"/>
                <w:szCs w:val="21"/>
              </w:rPr>
            </w:pPr>
            <w:r>
              <w:rPr>
                <w:rFonts w:hint="eastAsia" w:ascii="宋体" w:hAnsi="宋体"/>
                <w:szCs w:val="21"/>
                <w:lang w:val="zh-CN"/>
              </w:rPr>
              <w:t xml:space="preserve">品牌</w:t>
            </w:r>
            <w:r/>
          </w:p>
        </w:tc>
        <w:tc>
          <w:tcPr>
            <w:tcW w:w="1144" w:type="dxa"/>
            <w:vAlign w:val="center"/>
            <w:textDirection w:val="lrTb"/>
            <w:noWrap w:val="false"/>
          </w:tcPr>
          <w:p>
            <w:pPr>
              <w:rPr>
                <w:rFonts w:ascii="宋体" w:hAnsi="宋体"/>
                <w:szCs w:val="21"/>
                <w:lang w:val="zh-CN"/>
              </w:rPr>
            </w:pPr>
            <w:r>
              <w:rPr>
                <w:rFonts w:hint="eastAsia" w:ascii="宋体" w:hAnsi="宋体"/>
                <w:szCs w:val="21"/>
              </w:rPr>
              <w:t xml:space="preserve">生产厂家</w:t>
            </w:r>
            <w:r/>
          </w:p>
        </w:tc>
        <w:tc>
          <w:tcPr>
            <w:tcW w:w="768" w:type="dxa"/>
            <w:vAlign w:val="center"/>
            <w:textDirection w:val="lrTb"/>
            <w:noWrap w:val="false"/>
          </w:tcPr>
          <w:p>
            <w:pPr>
              <w:rPr>
                <w:rFonts w:ascii="宋体" w:hAnsi="宋体"/>
                <w:szCs w:val="21"/>
              </w:rPr>
            </w:pPr>
            <w:r>
              <w:rPr>
                <w:rFonts w:hint="eastAsia" w:ascii="宋体" w:hAnsi="宋体"/>
                <w:szCs w:val="21"/>
              </w:rPr>
              <w:t xml:space="preserve">规格</w:t>
            </w:r>
            <w:r/>
          </w:p>
        </w:tc>
        <w:tc>
          <w:tcPr>
            <w:tcW w:w="666" w:type="dxa"/>
            <w:vAlign w:val="center"/>
            <w:textDirection w:val="lrTb"/>
            <w:noWrap w:val="false"/>
          </w:tcPr>
          <w:p>
            <w:pPr>
              <w:rPr>
                <w:rFonts w:ascii="宋体" w:hAnsi="宋体"/>
                <w:szCs w:val="21"/>
              </w:rPr>
            </w:pPr>
            <w:r>
              <w:rPr>
                <w:rFonts w:hint="eastAsia" w:ascii="宋体" w:hAnsi="宋体"/>
                <w:szCs w:val="21"/>
              </w:rPr>
              <w:t xml:space="preserve">型号</w:t>
            </w:r>
            <w:r/>
          </w:p>
        </w:tc>
        <w:tc>
          <w:tcPr>
            <w:tcW w:w="713"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703"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909"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838"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994"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2024"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9"/>
            <w:tcW w:w="7438"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r>
        <w:trPr>
          <w:jc w:val="center"/>
          <w:trHeight w:val="20"/>
        </w:trPr>
        <w:tc>
          <w:tcPr>
            <w:gridSpan w:val="11"/>
            <w:tcW w:w="9462" w:type="dxa"/>
            <w:vAlign w:val="center"/>
            <w:textDirection w:val="lrTb"/>
            <w:noWrap w:val="false"/>
          </w:tcPr>
          <w:p>
            <w:pPr>
              <w:ind w:firstLine="422"/>
              <w:jc w:val="center"/>
              <w:rPr>
                <w:rFonts w:ascii="宋体" w:hAnsi="宋体"/>
                <w:lang w:val="zh-CN"/>
              </w:rPr>
            </w:pPr>
            <w:r>
              <w:rPr>
                <w:rFonts w:hint="eastAsia" w:ascii="宋体" w:hAnsi="宋体" w:cs="宋体"/>
                <w:sz w:val="24"/>
              </w:rPr>
              <w:t xml:space="preserve">注：本采购包中提供的符合本国产品标准的产品成本之和占该采购包提供的全部产品成本之和的比例为%。</w:t>
            </w:r>
            <w:r/>
          </w:p>
        </w:tc>
      </w:tr>
    </w:tbl>
    <w:p>
      <w:pPr>
        <w:pStyle w:val="1000"/>
        <w:ind w:firstLine="420"/>
        <w:spacing w:line="360" w:lineRule="auto"/>
        <w:rPr>
          <w:rFonts w:hAnsi="宋体" w:eastAsia="宋体"/>
          <w:sz w:val="21"/>
        </w:rPr>
      </w:pPr>
      <w:r>
        <w:rPr>
          <w:rFonts w:hAnsi="宋体" w:eastAsia="宋体"/>
          <w:sz w:val="21"/>
        </w:rPr>
      </w:r>
      <w:r/>
    </w:p>
    <w:p>
      <w:pPr>
        <w:pStyle w:val="1000"/>
        <w:ind w:firstLine="420"/>
        <w:spacing w:line="360" w:lineRule="auto"/>
        <w:rPr>
          <w:rFonts w:hAnsi="宋体" w:eastAsia="宋体"/>
          <w:sz w:val="21"/>
        </w:rPr>
      </w:pPr>
      <w:r>
        <w:rPr>
          <w:rFonts w:hint="eastAsia" w:hAnsi="宋体" w:eastAsia="宋体"/>
          <w:sz w:val="21"/>
        </w:rPr>
        <w:t xml:space="preserve">投标单位（签章）：</w:t>
      </w:r>
      <w:r/>
    </w:p>
    <w:p>
      <w:pPr>
        <w:pStyle w:val="1000"/>
        <w:ind w:firstLine="420"/>
        <w:spacing w:line="360" w:lineRule="auto"/>
        <w:rPr>
          <w:rFonts w:hAnsi="宋体" w:eastAsia="宋体"/>
          <w:sz w:val="21"/>
        </w:rPr>
      </w:pPr>
      <w:r>
        <w:rPr>
          <w:rFonts w:hint="eastAsia" w:hAnsi="宋体" w:eastAsia="宋体"/>
          <w:sz w:val="21"/>
        </w:rPr>
        <w:t xml:space="preserve">日期： 年  月  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957"/>
        <w:ind w:firstLine="402"/>
        <w:rPr>
          <w:rFonts w:hAnsi="宋体"/>
          <w:b/>
          <w:bCs/>
          <w:szCs w:val="21"/>
          <w:lang w:val="zh-CN"/>
        </w:rPr>
      </w:pPr>
      <w:r>
        <w:rPr>
          <w:rFonts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1、请投标单位按照上述格式分析投标总报价，本项投标总报价需与开标一览表投标总报价一致。</w:t>
      </w:r>
      <w:r/>
    </w:p>
    <w:p>
      <w:pPr>
        <w:numPr>
          <w:ilvl w:val="0"/>
          <w:numId w:val="3"/>
        </w:numPr>
        <w:ind w:firstLine="422"/>
        <w:spacing w:line="360" w:lineRule="auto"/>
        <w:rPr>
          <w:rFonts w:ascii="宋体" w:hAnsi="宋体"/>
          <w:b/>
          <w:bCs/>
          <w:szCs w:val="21"/>
          <w:lang w:val="zh-CN"/>
        </w:rPr>
      </w:pPr>
      <w:r>
        <w:rPr>
          <w:rFonts w:hint="eastAsia" w:ascii="宋体" w:hAnsi="宋体"/>
          <w:b/>
          <w:bCs/>
          <w:szCs w:val="21"/>
          <w:lang w:val="zh-CN"/>
        </w:rPr>
        <w:t xml:space="preserve">投标总报价应包括产品供货、辅助材料、备品备件、运输、仓储、发货、送货、安装、医院平台各系统（如HIS系统、LIS系统等）的接口费用、调试、人工、机械、装卸、培训、保险、运费、各种税费、劳保、专利技术及维保等完成本次项目所需的一切费用。</w:t>
      </w:r>
      <w:r/>
    </w:p>
    <w:p>
      <w:pPr>
        <w:ind w:firstLine="422"/>
        <w:spacing w:line="360" w:lineRule="auto"/>
        <w:rPr>
          <w:rFonts w:ascii="宋体" w:hAnsi="宋体"/>
          <w:b/>
          <w:bCs/>
          <w:szCs w:val="21"/>
        </w:rPr>
      </w:pPr>
      <w:r>
        <w:rPr>
          <w:rFonts w:hint="eastAsia" w:ascii="宋体" w:hAnsi="宋体"/>
          <w:b/>
          <w:bCs/>
          <w:szCs w:val="21"/>
        </w:rPr>
        <w:t xml:space="preserve">3、</w:t>
      </w:r>
      <w:r>
        <w:rPr>
          <w:rFonts w:hint="eastAsia" w:ascii="宋体" w:hAnsi="宋体" w:cs="宋体"/>
          <w:b/>
          <w:bCs/>
          <w:szCs w:val="21"/>
        </w:rPr>
        <w:t xml:space="preserve">投标单位必须在分项报价表中明确提供所投产品的厂家、品牌、规格型号。</w:t>
      </w:r>
      <w:r/>
    </w:p>
    <w:p>
      <w:pPr>
        <w:ind w:firstLine="422"/>
        <w:spacing w:line="360" w:lineRule="auto"/>
        <w:rPr>
          <w:rFonts w:ascii="宋体" w:hAnsi="宋体" w:eastAsia="方正魏碑_GBK"/>
          <w:b/>
          <w:bCs/>
          <w:szCs w:val="21"/>
        </w:rPr>
      </w:pPr>
      <w:r>
        <w:rPr>
          <w:rFonts w:hint="eastAsia" w:ascii="方正魏碑_GBK" w:hAnsi="方正魏碑_GBK" w:eastAsia="方正魏碑_GBK" w:cs="方正魏碑_GBK"/>
          <w:b/>
          <w:bCs/>
          <w:szCs w:val="21"/>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bookmarkEnd w:id="44"/>
      <w:r/>
      <w:r/>
    </w:p>
    <w:p>
      <w:pPr>
        <w:pStyle w:val="925"/>
        <w:ind w:firstLine="0"/>
        <w:pageBreakBefore/>
        <w:spacing w:line="360" w:lineRule="auto"/>
        <w:rPr>
          <w:rFonts w:ascii="宋体" w:hAnsi="宋体" w:eastAsia="宋体" w:cs="宋体"/>
          <w:b/>
          <w:sz w:val="21"/>
        </w:rPr>
      </w:pPr>
      <w:r>
        <w:rPr>
          <w:rFonts w:hint="eastAsia" w:ascii="宋体" w:hAnsi="宋体" w:eastAsia="宋体" w:cs="宋体"/>
          <w:b/>
          <w:sz w:val="21"/>
        </w:rPr>
        <w:t xml:space="preserve">附件5、设备配置清单表</w:t>
      </w:r>
      <w:r/>
    </w:p>
    <w:p>
      <w:pPr>
        <w:jc w:val="center"/>
        <w:spacing w:line="360" w:lineRule="auto"/>
        <w:rPr>
          <w:rFonts w:ascii="宋体" w:hAnsi="宋体"/>
          <w:b/>
          <w:bCs/>
          <w:sz w:val="28"/>
          <w:szCs w:val="28"/>
        </w:rPr>
      </w:pPr>
      <w:r>
        <w:rPr>
          <w:rFonts w:hint="eastAsia" w:ascii="宋体" w:hAnsi="宋体"/>
          <w:b/>
          <w:bCs/>
          <w:sz w:val="28"/>
          <w:szCs w:val="28"/>
        </w:rPr>
        <w:t xml:space="preserve">设备配置清单表</w:t>
      </w:r>
      <w:r/>
    </w:p>
    <w:p>
      <w:pPr>
        <w:spacing w:line="360" w:lineRule="auto"/>
        <w:rPr>
          <w:rFonts w:ascii="宋体" w:hAnsi="宋体" w:cs="宋体"/>
          <w:szCs w:val="21"/>
        </w:rPr>
      </w:pPr>
      <w:r>
        <w:rPr>
          <w:rFonts w:hint="eastAsia" w:ascii="宋体" w:hAnsi="宋体" w:cs="宋体"/>
          <w:szCs w:val="21"/>
        </w:rPr>
        <w:t xml:space="preserve">招标</w:t>
      </w:r>
      <w:r>
        <w:rPr>
          <w:rFonts w:hint="eastAsia" w:ascii="宋体" w:hAnsi="宋体" w:cs="宋体"/>
          <w:szCs w:val="21"/>
          <w:lang w:val="zh-CN"/>
        </w:rPr>
        <w:t xml:space="preserve">编号：                       </w:t>
      </w:r>
      <w:r>
        <w:rPr>
          <w:rFonts w:hint="eastAsia" w:ascii="宋体" w:hAnsi="宋体"/>
          <w:szCs w:val="21"/>
        </w:rPr>
        <w:t xml:space="preserve">项目名称：</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szCs w:val="21"/>
              </w:rPr>
            </w:pPr>
            <w:r>
              <w:rPr>
                <w:rFonts w:hint="eastAsia" w:ascii="宋体" w:hAnsi="宋体"/>
                <w:szCs w:val="21"/>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bl>
    <w:p>
      <w:pPr>
        <w:jc w:val="left"/>
        <w:spacing w:line="360" w:lineRule="auto"/>
        <w:rPr>
          <w:rFonts w:ascii="宋体" w:hAnsi="宋体"/>
          <w:b/>
          <w:bCs/>
          <w:szCs w:val="21"/>
        </w:rPr>
      </w:pPr>
      <w:r>
        <w:rPr>
          <w:rFonts w:ascii="宋体" w:hAnsi="宋体"/>
          <w:b/>
          <w:bCs/>
          <w:szCs w:val="21"/>
        </w:rPr>
      </w:r>
      <w:r/>
    </w:p>
    <w:p>
      <w:pPr>
        <w:jc w:val="left"/>
        <w:spacing w:line="360" w:lineRule="auto"/>
        <w:rPr>
          <w:rFonts w:ascii="宋体" w:hAnsi="宋体"/>
          <w:b/>
          <w:bCs/>
          <w:szCs w:val="21"/>
        </w:rPr>
      </w:pPr>
      <w:r>
        <w:rPr>
          <w:rFonts w:ascii="宋体" w:hAnsi="宋体"/>
          <w:b/>
          <w:bCs/>
          <w:szCs w:val="21"/>
        </w:rPr>
      </w:r>
      <w:r/>
    </w:p>
    <w:p>
      <w:pPr>
        <w:spacing w:line="360" w:lineRule="auto"/>
        <w:rPr>
          <w:rFonts w:ascii="宋体" w:hAnsi="宋体" w:cs="宋体"/>
          <w:szCs w:val="21"/>
        </w:rPr>
      </w:pPr>
      <w:r>
        <w:rPr>
          <w:rFonts w:hint="eastAsia" w:ascii="宋体" w:hAnsi="宋体" w:cs="宋体"/>
          <w:szCs w:val="21"/>
        </w:rPr>
        <w:t xml:space="preserve">投标单位（签章）：</w:t>
      </w:r>
      <w:r/>
    </w:p>
    <w:p>
      <w:pPr>
        <w:spacing w:line="360" w:lineRule="auto"/>
        <w:rPr>
          <w:rFonts w:ascii="宋体" w:hAnsi="宋体" w:cs="宋体"/>
          <w:b/>
          <w:bCs/>
          <w:szCs w:val="21"/>
        </w:rPr>
      </w:pPr>
      <w:r>
        <w:rPr>
          <w:rFonts w:hint="eastAsia" w:ascii="宋体" w:hAnsi="宋体" w:cs="宋体"/>
          <w:szCs w:val="21"/>
        </w:rPr>
        <w:t xml:space="preserve">日期： 年  月  日</w:t>
      </w:r>
      <w:r/>
    </w:p>
    <w:p>
      <w:pPr>
        <w:pStyle w:val="925"/>
        <w:ind w:firstLine="0"/>
        <w:spacing w:line="360" w:lineRule="auto"/>
        <w:rPr>
          <w:rFonts w:ascii="Arial" w:hAnsi="宋体" w:eastAsia="宋体" w:cs="Arial"/>
          <w:b/>
          <w:sz w:val="21"/>
          <w:szCs w:val="21"/>
        </w:rPr>
      </w:pPr>
      <w:r/>
      <w:bookmarkStart w:id="45" w:name="_Toc532452121"/>
      <w:r/>
      <w:bookmarkStart w:id="46" w:name="_Toc2583149"/>
      <w:r/>
      <w:bookmarkStart w:id="47" w:name="_Toc532444352"/>
      <w:r/>
      <w:bookmarkStart w:id="48" w:name="_Toc532444514"/>
      <w:r/>
      <w:r/>
    </w:p>
    <w:p>
      <w:pPr>
        <w:pStyle w:val="925"/>
        <w:ind w:firstLine="0"/>
        <w:spacing w:line="360" w:lineRule="auto"/>
        <w:rPr>
          <w:rFonts w:ascii="Arial" w:hAnsi="宋体" w:eastAsia="宋体" w:cs="Arial"/>
          <w:b/>
          <w:sz w:val="21"/>
          <w:szCs w:val="21"/>
        </w:rPr>
      </w:pPr>
      <w:r>
        <w:rPr>
          <w:rFonts w:ascii="Arial" w:hAnsi="宋体" w:eastAsia="宋体" w:cs="Arial"/>
          <w:b/>
          <w:sz w:val="21"/>
          <w:szCs w:val="21"/>
        </w:rPr>
      </w:r>
      <w:r/>
    </w:p>
    <w:p>
      <w:pPr>
        <w:pStyle w:val="925"/>
        <w:ind w:firstLine="0"/>
        <w:spacing w:line="360" w:lineRule="auto"/>
        <w:rPr>
          <w:rFonts w:ascii="Arial" w:hAnsi="宋体" w:eastAsia="宋体" w:cs="Arial"/>
          <w:b/>
          <w:sz w:val="21"/>
          <w:szCs w:val="21"/>
        </w:rPr>
      </w:pPr>
      <w:r>
        <w:rPr>
          <w:rFonts w:ascii="Arial" w:hAnsi="宋体" w:eastAsia="宋体" w:cs="Arial"/>
          <w:b/>
          <w:sz w:val="21"/>
          <w:szCs w:val="21"/>
        </w:rPr>
      </w:r>
      <w:r/>
    </w:p>
    <w:p>
      <w:pPr>
        <w:pStyle w:val="925"/>
        <w:ind w:firstLine="0"/>
        <w:spacing w:line="360" w:lineRule="auto"/>
        <w:rPr>
          <w:rFonts w:ascii="Arial" w:hAnsi="宋体" w:eastAsia="宋体" w:cs="Arial"/>
          <w:b/>
          <w:sz w:val="21"/>
          <w:szCs w:val="21"/>
        </w:rPr>
      </w:pPr>
      <w:r>
        <w:rPr>
          <w:rFonts w:ascii="Arial" w:hAnsi="宋体" w:eastAsia="宋体" w:cs="Arial"/>
          <w:b/>
          <w:sz w:val="21"/>
          <w:szCs w:val="21"/>
        </w:rPr>
      </w:r>
      <w:r/>
    </w:p>
    <w:p>
      <w:pPr>
        <w:pStyle w:val="925"/>
        <w:ind w:firstLine="0"/>
        <w:spacing w:line="360" w:lineRule="auto"/>
        <w:rPr>
          <w:rFonts w:ascii="Arial" w:hAnsi="宋体" w:eastAsia="宋体" w:cs="Arial"/>
          <w:b/>
          <w:sz w:val="21"/>
          <w:szCs w:val="21"/>
        </w:rPr>
      </w:pPr>
      <w:r>
        <w:rPr>
          <w:rFonts w:ascii="Arial" w:hAnsi="宋体" w:eastAsia="宋体" w:cs="Arial"/>
          <w:b/>
          <w:sz w:val="21"/>
          <w:szCs w:val="21"/>
        </w:rPr>
      </w:r>
      <w:r/>
    </w:p>
    <w:p>
      <w:pPr>
        <w:pStyle w:val="925"/>
        <w:ind w:firstLine="0"/>
        <w:spacing w:line="360" w:lineRule="auto"/>
        <w:rPr>
          <w:rFonts w:ascii="Arial" w:hAnsi="宋体" w:eastAsia="宋体" w:cs="Arial"/>
          <w:b/>
          <w:sz w:val="21"/>
          <w:szCs w:val="21"/>
        </w:rPr>
      </w:pPr>
      <w:r>
        <w:rPr>
          <w:rFonts w:ascii="Arial" w:hAnsi="宋体" w:eastAsia="宋体" w:cs="Arial"/>
          <w:b/>
          <w:sz w:val="21"/>
          <w:szCs w:val="21"/>
        </w:rPr>
      </w:r>
      <w:r/>
    </w:p>
    <w:p>
      <w:pPr>
        <w:pStyle w:val="925"/>
        <w:ind w:firstLine="0"/>
        <w:spacing w:line="360" w:lineRule="auto"/>
        <w:rPr>
          <w:rFonts w:ascii="Arial" w:hAnsi="宋体" w:eastAsia="宋体" w:cs="Arial"/>
          <w:b/>
          <w:sz w:val="21"/>
          <w:szCs w:val="21"/>
        </w:rPr>
      </w:pPr>
      <w:r>
        <w:rPr>
          <w:rFonts w:ascii="Arial" w:hAnsi="宋体" w:eastAsia="宋体" w:cs="Arial"/>
          <w:b/>
          <w:sz w:val="21"/>
          <w:szCs w:val="21"/>
        </w:rPr>
      </w:r>
      <w:r/>
    </w:p>
    <w:p>
      <w:pPr>
        <w:pStyle w:val="925"/>
        <w:ind w:firstLine="0"/>
        <w:spacing w:line="360" w:lineRule="auto"/>
        <w:rPr>
          <w:rFonts w:ascii="Arial" w:hAnsi="宋体" w:eastAsia="宋体" w:cs="Arial"/>
          <w:b/>
          <w:sz w:val="21"/>
          <w:szCs w:val="21"/>
        </w:rPr>
      </w:pPr>
      <w:r>
        <w:rPr>
          <w:rFonts w:ascii="Arial" w:hAnsi="宋体" w:eastAsia="宋体" w:cs="Arial"/>
          <w:b/>
          <w:sz w:val="21"/>
          <w:szCs w:val="21"/>
        </w:rPr>
      </w:r>
      <w:r/>
    </w:p>
    <w:p>
      <w:pPr>
        <w:pStyle w:val="925"/>
        <w:ind w:firstLine="0"/>
        <w:spacing w:line="360" w:lineRule="auto"/>
        <w:rPr>
          <w:rFonts w:ascii="Arial" w:hAnsi="宋体" w:eastAsia="宋体" w:cs="Arial"/>
          <w:b/>
          <w:sz w:val="21"/>
          <w:szCs w:val="21"/>
        </w:rPr>
      </w:pPr>
      <w:r>
        <w:rPr>
          <w:rFonts w:ascii="Arial" w:hAnsi="宋体" w:eastAsia="宋体" w:cs="Arial"/>
          <w:b/>
          <w:sz w:val="21"/>
          <w:szCs w:val="21"/>
        </w:rPr>
      </w:r>
      <w:r/>
    </w:p>
    <w:p>
      <w:pPr>
        <w:pStyle w:val="925"/>
        <w:ind w:firstLine="0"/>
        <w:spacing w:line="360" w:lineRule="auto"/>
        <w:rPr>
          <w:rFonts w:ascii="Arial" w:hAnsi="宋体" w:eastAsia="宋体" w:cs="Arial"/>
          <w:b/>
          <w:sz w:val="21"/>
          <w:szCs w:val="21"/>
        </w:rPr>
      </w:pPr>
      <w:r>
        <w:rPr>
          <w:rFonts w:ascii="Arial" w:hAnsi="宋体" w:eastAsia="宋体" w:cs="Arial"/>
          <w:b/>
          <w:sz w:val="21"/>
          <w:szCs w:val="21"/>
        </w:rPr>
      </w:r>
      <w:r/>
    </w:p>
    <w:p>
      <w:pPr>
        <w:pStyle w:val="925"/>
        <w:ind w:firstLine="0"/>
        <w:spacing w:line="360" w:lineRule="auto"/>
        <w:rPr>
          <w:rFonts w:ascii="Arial" w:hAnsi="宋体" w:eastAsia="宋体" w:cs="Arial"/>
          <w:b/>
          <w:sz w:val="21"/>
          <w:szCs w:val="21"/>
        </w:rPr>
      </w:pPr>
      <w:r>
        <w:rPr>
          <w:rFonts w:ascii="Arial" w:hAnsi="宋体" w:eastAsia="宋体" w:cs="Arial"/>
          <w:b/>
          <w:sz w:val="21"/>
          <w:szCs w:val="21"/>
        </w:rPr>
      </w:r>
      <w:r/>
    </w:p>
    <w:p>
      <w:pPr>
        <w:pStyle w:val="925"/>
        <w:ind w:firstLine="0"/>
        <w:spacing w:line="360" w:lineRule="auto"/>
        <w:rPr>
          <w:rFonts w:ascii="Arial" w:hAnsi="宋体" w:eastAsia="宋体" w:cs="Arial"/>
          <w:b/>
          <w:sz w:val="21"/>
          <w:szCs w:val="21"/>
        </w:rPr>
      </w:pPr>
      <w:r>
        <w:rPr>
          <w:rFonts w:ascii="Arial" w:hAnsi="宋体" w:eastAsia="宋体" w:cs="Arial"/>
          <w:b/>
          <w:sz w:val="21"/>
          <w:szCs w:val="21"/>
        </w:rPr>
      </w:r>
      <w:r/>
    </w:p>
    <w:p>
      <w:pPr>
        <w:pStyle w:val="925"/>
        <w:ind w:firstLine="0"/>
        <w:spacing w:line="360" w:lineRule="auto"/>
        <w:rPr>
          <w:rFonts w:ascii="Arial" w:hAnsi="宋体" w:eastAsia="宋体" w:cs="Arial"/>
          <w:b/>
          <w:sz w:val="21"/>
          <w:szCs w:val="21"/>
        </w:rPr>
      </w:pPr>
      <w:r>
        <w:rPr>
          <w:rFonts w:ascii="Arial" w:hAnsi="宋体" w:eastAsia="宋体" w:cs="Arial"/>
          <w:b/>
          <w:sz w:val="21"/>
          <w:szCs w:val="21"/>
        </w:rPr>
      </w:r>
      <w:r/>
    </w:p>
    <w:p>
      <w:pPr>
        <w:pStyle w:val="925"/>
        <w:ind w:firstLine="0"/>
        <w:spacing w:line="360" w:lineRule="auto"/>
        <w:rPr>
          <w:rFonts w:ascii="Arial" w:hAnsi="宋体" w:eastAsia="宋体" w:cs="Arial"/>
          <w:b/>
          <w:sz w:val="21"/>
          <w:szCs w:val="21"/>
        </w:rPr>
      </w:pPr>
      <w:r>
        <w:rPr>
          <w:rFonts w:hint="eastAsia" w:ascii="Arial" w:hAnsi="宋体" w:eastAsia="宋体" w:cs="Arial"/>
          <w:b/>
          <w:sz w:val="21"/>
          <w:szCs w:val="21"/>
        </w:rPr>
        <w:t xml:space="preserve">附件</w:t>
      </w:r>
      <w:r>
        <w:rPr>
          <w:rFonts w:hint="eastAsia" w:ascii="Arial" w:hAnsi="宋体" w:eastAsia="宋体" w:cs="Arial"/>
          <w:b/>
          <w:sz w:val="21"/>
          <w:szCs w:val="21"/>
        </w:rPr>
        <w:t xml:space="preserve">6</w:t>
      </w:r>
      <w:r>
        <w:rPr>
          <w:rFonts w:hint="eastAsia" w:ascii="Arial" w:hAnsi="宋体" w:eastAsia="宋体" w:cs="Arial"/>
          <w:b/>
          <w:sz w:val="21"/>
          <w:szCs w:val="21"/>
        </w:rPr>
        <w:t xml:space="preserve">：主要耗材、试剂价格清单表（如涉及）</w:t>
      </w:r>
      <w:r/>
    </w:p>
    <w:p>
      <w:pPr>
        <w:pStyle w:val="925"/>
        <w:ind w:firstLine="0"/>
        <w:spacing w:line="360" w:lineRule="auto"/>
        <w:rPr>
          <w:rFonts w:ascii="Arial" w:hAnsi="Arial" w:eastAsia="宋体" w:cs="Arial"/>
          <w:sz w:val="21"/>
          <w:szCs w:val="21"/>
        </w:rPr>
      </w:pPr>
      <w:r>
        <w:rPr>
          <w:rFonts w:ascii="Arial" w:hAnsi="Arial" w:eastAsia="宋体" w:cs="Arial"/>
          <w:sz w:val="21"/>
          <w:szCs w:val="21"/>
        </w:rPr>
      </w:r>
      <w:r/>
    </w:p>
    <w:p>
      <w:pPr>
        <w:jc w:val="center"/>
        <w:spacing w:line="360" w:lineRule="auto"/>
        <w:rPr>
          <w:rFonts w:ascii="宋体" w:hAnsi="宋体" w:cs="Arial"/>
          <w:b/>
          <w:szCs w:val="21"/>
          <w:lang w:val="zh-CN"/>
        </w:rPr>
      </w:pPr>
      <w:r>
        <w:rPr>
          <w:rFonts w:hint="eastAsia" w:ascii="宋体" w:hAnsi="宋体" w:cs="Arial"/>
          <w:b/>
          <w:szCs w:val="21"/>
          <w:lang w:val="zh-CN"/>
        </w:rPr>
        <w:t xml:space="preserve">主要耗材、试剂价格清单表</w:t>
      </w:r>
      <w:r/>
    </w:p>
    <w:p>
      <w:pPr>
        <w:pStyle w:val="1015"/>
        <w:spacing w:line="360" w:lineRule="auto"/>
        <w:rPr>
          <w:rFonts w:hAnsi="宋体" w:eastAsia="宋体" w:cs="宋体"/>
          <w:sz w:val="21"/>
        </w:rPr>
      </w:pPr>
      <w:r>
        <w:rPr>
          <w:rFonts w:hint="eastAsia" w:hAnsi="宋体" w:eastAsia="宋体" w:cs="宋体"/>
          <w:sz w:val="21"/>
        </w:rPr>
        <w:t xml:space="preserve">招标编号：                  项目名称：</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542"/>
        <w:gridCol w:w="1155"/>
        <w:gridCol w:w="1193"/>
        <w:gridCol w:w="1041"/>
        <w:gridCol w:w="711"/>
        <w:gridCol w:w="1614"/>
        <w:gridCol w:w="1161"/>
        <w:gridCol w:w="1133"/>
        <w:gridCol w:w="908"/>
      </w:tblGrid>
      <w:tr>
        <w:trPr>
          <w:jc w:val="center"/>
          <w:trHeight w:val="1001" w:hRule="exact"/>
        </w:trPr>
        <w:tc>
          <w:tcPr>
            <w:tcBorders>
              <w:top w:val="single" w:color="auto" w:sz="4" w:space="0"/>
              <w:left w:val="single" w:color="auto" w:sz="4" w:space="0"/>
              <w:bottom w:val="single" w:color="auto" w:sz="4" w:space="0"/>
              <w:right w:val="single" w:color="auto" w:sz="4" w:space="0"/>
            </w:tcBorders>
            <w:tcW w:w="286" w:type="pct"/>
            <w:vAlign w:val="center"/>
            <w:textDirection w:val="lrTb"/>
            <w:noWrap/>
          </w:tcPr>
          <w:p>
            <w:pPr>
              <w:jc w:val="center"/>
              <w:spacing w:line="360" w:lineRule="auto"/>
              <w:rPr>
                <w:rFonts w:ascii="Arial" w:hAnsi="Arial" w:cs="Arial"/>
                <w:szCs w:val="21"/>
              </w:rPr>
            </w:pPr>
            <w:r>
              <w:rPr>
                <w:rFonts w:hint="eastAsia" w:ascii="Arial" w:hAnsi="Arial" w:cs="Arial"/>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tcPr>
          <w:p>
            <w:pPr>
              <w:jc w:val="center"/>
              <w:spacing w:line="360" w:lineRule="auto"/>
              <w:rPr>
                <w:rFonts w:ascii="Arial" w:hAnsi="Arial" w:cs="Arial"/>
                <w:szCs w:val="21"/>
              </w:rPr>
            </w:pPr>
            <w:r>
              <w:rPr>
                <w:rFonts w:hint="eastAsia" w:ascii="Arial" w:hAnsi="Arial" w:cs="Arial"/>
                <w:szCs w:val="21"/>
                <w:lang w:val="zh-CN"/>
              </w:rPr>
              <w:t xml:space="preserve">产品名称</w:t>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tcPr>
          <w:p>
            <w:pPr>
              <w:jc w:val="center"/>
              <w:spacing w:line="360" w:lineRule="auto"/>
              <w:rPr>
                <w:rFonts w:ascii="Arial" w:hAnsi="Arial" w:cs="Arial"/>
                <w:szCs w:val="21"/>
              </w:rPr>
            </w:pPr>
            <w:r>
              <w:rPr>
                <w:rFonts w:hint="eastAsia" w:ascii="Arial" w:cs="Arial"/>
                <w:szCs w:val="21"/>
              </w:rPr>
              <w:t xml:space="preserve">规格、型号</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tcPr>
          <w:p>
            <w:pPr>
              <w:jc w:val="center"/>
              <w:spacing w:line="360" w:lineRule="auto"/>
              <w:rPr>
                <w:rFonts w:ascii="Arial" w:hAnsi="Arial" w:cs="Arial"/>
                <w:szCs w:val="21"/>
              </w:rPr>
            </w:pPr>
            <w:r>
              <w:rPr>
                <w:rFonts w:hint="eastAsia" w:ascii="Arial" w:cs="Arial"/>
                <w:szCs w:val="21"/>
              </w:rPr>
              <w:t xml:space="preserve">生产厂家</w:t>
            </w:r>
            <w:r/>
          </w:p>
        </w:tc>
        <w:tc>
          <w:tcPr>
            <w:tcBorders>
              <w:top w:val="single" w:color="auto" w:sz="4" w:space="0"/>
              <w:left w:val="single" w:color="auto" w:sz="4" w:space="0"/>
              <w:bottom w:val="single" w:color="auto" w:sz="4" w:space="0"/>
              <w:right w:val="single" w:color="auto" w:sz="4" w:space="0"/>
            </w:tcBorders>
            <w:tcW w:w="376" w:type="pct"/>
            <w:vAlign w:val="center"/>
            <w:textDirection w:val="lrTb"/>
            <w:noWrap/>
          </w:tcPr>
          <w:p>
            <w:pPr>
              <w:jc w:val="center"/>
              <w:spacing w:line="360" w:lineRule="auto"/>
              <w:rPr>
                <w:rFonts w:ascii="Arial" w:hAnsi="Arial" w:cs="Arial"/>
                <w:szCs w:val="21"/>
                <w:lang w:val="zh-CN"/>
              </w:rPr>
            </w:pPr>
            <w:r>
              <w:rPr>
                <w:rFonts w:hint="eastAsia" w:ascii="Arial" w:cs="Arial"/>
                <w:szCs w:val="21"/>
              </w:rPr>
              <w:t xml:space="preserve">单位</w:t>
            </w:r>
            <w:r/>
          </w:p>
        </w:tc>
        <w:tc>
          <w:tcPr>
            <w:tcBorders>
              <w:top w:val="single" w:color="auto" w:sz="4" w:space="0"/>
              <w:left w:val="single" w:color="auto" w:sz="4" w:space="0"/>
              <w:bottom w:val="single" w:color="auto" w:sz="4" w:space="0"/>
              <w:right w:val="single" w:color="auto" w:sz="4" w:space="0"/>
            </w:tcBorders>
            <w:tcW w:w="852" w:type="pct"/>
            <w:vAlign w:val="center"/>
            <w:textDirection w:val="lrTb"/>
            <w:noWrap/>
          </w:tcPr>
          <w:p>
            <w:pPr>
              <w:jc w:val="center"/>
              <w:spacing w:line="360" w:lineRule="auto"/>
              <w:rPr>
                <w:rFonts w:ascii="Arial" w:hAnsi="Arial" w:cs="Arial"/>
                <w:bCs/>
                <w:szCs w:val="21"/>
                <w:lang w:val="zh-CN"/>
              </w:rPr>
            </w:pPr>
            <w:r>
              <w:rPr>
                <w:rFonts w:hint="eastAsia" w:ascii="宋体" w:hAnsi="宋体" w:cs="宋体"/>
                <w:bCs/>
              </w:rPr>
              <w:t xml:space="preserve">省平台采购限价</w:t>
            </w:r>
            <w:r/>
          </w:p>
        </w:tc>
        <w:tc>
          <w:tcPr>
            <w:tcBorders>
              <w:top w:val="single" w:color="auto" w:sz="4" w:space="0"/>
              <w:left w:val="single" w:color="auto" w:sz="4" w:space="0"/>
              <w:bottom w:val="single" w:color="auto" w:sz="4" w:space="0"/>
              <w:right w:val="single" w:color="auto" w:sz="4" w:space="0"/>
            </w:tcBorders>
            <w:tcW w:w="614" w:type="pct"/>
            <w:textDirection w:val="lrTb"/>
            <w:noWrap/>
          </w:tcPr>
          <w:p>
            <w:pPr>
              <w:spacing w:line="360" w:lineRule="auto"/>
              <w:rPr>
                <w:rFonts w:ascii="Arial" w:hAnsi="Arial" w:cs="Arial"/>
                <w:bCs/>
                <w:szCs w:val="21"/>
                <w:lang w:val="zh-CN"/>
              </w:rPr>
            </w:pPr>
            <w:r>
              <w:rPr>
                <w:rFonts w:hint="eastAsia" w:ascii="宋体" w:hAnsi="宋体" w:cs="宋体"/>
                <w:bCs/>
              </w:rPr>
              <w:t xml:space="preserve">是否挂网</w:t>
            </w:r>
            <w:r/>
          </w:p>
        </w:tc>
        <w:tc>
          <w:tcPr>
            <w:tcBorders>
              <w:top w:val="single" w:color="auto" w:sz="4" w:space="0"/>
              <w:left w:val="single" w:color="auto" w:sz="4" w:space="0"/>
              <w:bottom w:val="single" w:color="auto" w:sz="4" w:space="0"/>
              <w:right w:val="single" w:color="auto" w:sz="4" w:space="0"/>
            </w:tcBorders>
            <w:tcW w:w="599" w:type="pct"/>
            <w:textDirection w:val="lrTb"/>
            <w:noWrap/>
          </w:tcPr>
          <w:p>
            <w:pPr>
              <w:spacing w:line="360" w:lineRule="auto"/>
              <w:rPr>
                <w:rFonts w:ascii="Arial" w:hAnsi="Arial" w:cs="Arial"/>
                <w:bCs/>
                <w:szCs w:val="21"/>
                <w:lang w:val="zh-CN"/>
              </w:rPr>
            </w:pPr>
            <w:r>
              <w:rPr>
                <w:rFonts w:hint="eastAsia" w:ascii="宋体" w:hAnsi="宋体" w:cs="宋体"/>
                <w:bCs/>
              </w:rPr>
              <w:t xml:space="preserve">挂网编号</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spacing w:line="360" w:lineRule="auto"/>
              <w:rPr>
                <w:rFonts w:ascii="Arial" w:hAnsi="Arial" w:cs="Arial"/>
                <w:szCs w:val="21"/>
              </w:rPr>
            </w:pPr>
            <w:r>
              <w:rPr>
                <w:rFonts w:hint="eastAsia" w:ascii="Arial" w:hAnsi="Arial" w:cs="Arial"/>
                <w:szCs w:val="21"/>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tcPr>
          <w:p>
            <w:pPr>
              <w:spacing w:line="360" w:lineRule="auto"/>
              <w:rPr>
                <w:rFonts w:ascii="Arial" w:hAnsi="Arial" w:cs="Arial"/>
                <w:szCs w:val="21"/>
              </w:rPr>
            </w:pPr>
            <w:r>
              <w:rPr>
                <w:rFonts w:ascii="Arial" w:hAnsi="Arial" w:cs="Arial"/>
                <w:szCs w:val="21"/>
              </w:rPr>
              <w:t xml:space="preserve">1</w:t>
            </w:r>
            <w:r/>
          </w:p>
        </w:tc>
        <w:tc>
          <w:tcPr>
            <w:tcBorders>
              <w:top w:val="single" w:color="auto" w:sz="4" w:space="0"/>
              <w:left w:val="single" w:color="auto" w:sz="4" w:space="0"/>
              <w:bottom w:val="single" w:color="auto" w:sz="4" w:space="0"/>
              <w:right w:val="single" w:color="auto" w:sz="4" w:space="0"/>
            </w:tcBorders>
            <w:tcW w:w="61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5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76"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52"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14"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9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tcPr>
          <w:p>
            <w:pPr>
              <w:spacing w:line="360" w:lineRule="auto"/>
              <w:rPr>
                <w:rFonts w:ascii="Arial" w:hAnsi="Arial" w:cs="Arial"/>
                <w:szCs w:val="21"/>
              </w:rPr>
            </w:pPr>
            <w:r>
              <w:rPr>
                <w:rFonts w:ascii="Arial" w:hAnsi="Arial" w:cs="Arial"/>
                <w:szCs w:val="21"/>
              </w:rPr>
              <w:t xml:space="preserve">2</w:t>
            </w:r>
            <w:r/>
          </w:p>
        </w:tc>
        <w:tc>
          <w:tcPr>
            <w:tcBorders>
              <w:top w:val="single" w:color="auto" w:sz="4" w:space="0"/>
              <w:left w:val="single" w:color="auto" w:sz="4" w:space="0"/>
              <w:bottom w:val="single" w:color="auto" w:sz="4" w:space="0"/>
              <w:right w:val="single" w:color="auto" w:sz="4" w:space="0"/>
            </w:tcBorders>
            <w:tcW w:w="61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5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76"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52"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14"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9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tcPr>
          <w:p>
            <w:pPr>
              <w:spacing w:line="360" w:lineRule="auto"/>
              <w:rPr>
                <w:rFonts w:ascii="Arial" w:hAnsi="Arial" w:cs="Arial"/>
                <w:szCs w:val="21"/>
              </w:rPr>
            </w:pPr>
            <w:r>
              <w:rPr>
                <w:rFonts w:hint="eastAsia" w:ascii="Arial" w:hAnsi="Arial" w:cs="Arial"/>
                <w:szCs w:val="21"/>
              </w:rPr>
              <w:t xml:space="preserve">3</w:t>
            </w:r>
            <w:r/>
          </w:p>
        </w:tc>
        <w:tc>
          <w:tcPr>
            <w:tcBorders>
              <w:top w:val="single" w:color="auto" w:sz="4" w:space="0"/>
              <w:left w:val="single" w:color="auto" w:sz="4" w:space="0"/>
              <w:bottom w:val="single" w:color="auto" w:sz="4" w:space="0"/>
              <w:right w:val="single" w:color="auto" w:sz="4" w:space="0"/>
            </w:tcBorders>
            <w:tcW w:w="61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5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76"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52"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14"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9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tcPr>
          <w:p>
            <w:pPr>
              <w:spacing w:line="360" w:lineRule="auto"/>
              <w:rPr>
                <w:rFonts w:ascii="Arial" w:hAnsi="Arial" w:cs="Arial"/>
                <w:szCs w:val="21"/>
              </w:rPr>
            </w:pPr>
            <w:r>
              <w:rPr>
                <w:rFonts w:hint="eastAsia" w:ascii="Arial" w:hAnsi="Arial" w:cs="Arial"/>
                <w:szCs w:val="21"/>
              </w:rPr>
              <w:t xml:space="preserve">4</w:t>
            </w:r>
            <w:r/>
          </w:p>
        </w:tc>
        <w:tc>
          <w:tcPr>
            <w:tcBorders>
              <w:top w:val="single" w:color="auto" w:sz="4" w:space="0"/>
              <w:left w:val="single" w:color="auto" w:sz="4" w:space="0"/>
              <w:bottom w:val="single" w:color="auto" w:sz="4" w:space="0"/>
              <w:right w:val="single" w:color="auto" w:sz="4" w:space="0"/>
            </w:tcBorders>
            <w:tcW w:w="61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5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76"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52"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14"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9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tcPr>
          <w:p>
            <w:pPr>
              <w:spacing w:line="360" w:lineRule="auto"/>
              <w:rPr>
                <w:rFonts w:ascii="Arial" w:hAnsi="Arial" w:cs="Arial"/>
                <w:szCs w:val="21"/>
              </w:rPr>
            </w:pPr>
            <w:r>
              <w:rPr>
                <w:rFonts w:hint="eastAsia" w:ascii="Arial" w:hAnsi="Arial" w:cs="Arial"/>
                <w:szCs w:val="21"/>
              </w:rPr>
              <w:t xml:space="preserve">5</w:t>
            </w:r>
            <w:r/>
          </w:p>
        </w:tc>
        <w:tc>
          <w:tcPr>
            <w:tcBorders>
              <w:top w:val="single" w:color="auto" w:sz="4" w:space="0"/>
              <w:left w:val="single" w:color="auto" w:sz="4" w:space="0"/>
              <w:bottom w:val="single" w:color="auto" w:sz="4" w:space="0"/>
              <w:right w:val="single" w:color="auto" w:sz="4" w:space="0"/>
            </w:tcBorders>
            <w:tcW w:w="61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5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76"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52"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14"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9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tcPr>
          <w:p>
            <w:pPr>
              <w:spacing w:line="360" w:lineRule="auto"/>
              <w:rPr>
                <w:rFonts w:ascii="Arial" w:hAnsi="Arial" w:cs="Arial"/>
                <w:szCs w:val="21"/>
              </w:rPr>
            </w:pPr>
            <w:r>
              <w:rPr>
                <w:rFonts w:hint="eastAsia" w:ascii="Arial" w:hAnsi="Arial" w:cs="Arial"/>
                <w:szCs w:val="21"/>
              </w:rPr>
              <w:t xml:space="preserve">6</w:t>
            </w:r>
            <w:r/>
          </w:p>
        </w:tc>
        <w:tc>
          <w:tcPr>
            <w:tcBorders>
              <w:top w:val="single" w:color="auto" w:sz="4" w:space="0"/>
              <w:left w:val="single" w:color="auto" w:sz="4" w:space="0"/>
              <w:bottom w:val="single" w:color="auto" w:sz="4" w:space="0"/>
              <w:right w:val="single" w:color="auto" w:sz="4" w:space="0"/>
            </w:tcBorders>
            <w:tcW w:w="61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5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76"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52"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14"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9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tcPr>
          <w:p>
            <w:pPr>
              <w:spacing w:line="360" w:lineRule="auto"/>
              <w:rPr>
                <w:rFonts w:ascii="Arial" w:hAnsi="Arial" w:cs="Arial"/>
                <w:szCs w:val="21"/>
              </w:rPr>
            </w:pPr>
            <w:r>
              <w:rPr>
                <w:rFonts w:ascii="Arial" w:hAnsi="Arial" w:cs="Arial"/>
                <w:szCs w:val="21"/>
              </w:rPr>
            </w:r>
            <w:r/>
          </w:p>
        </w:tc>
      </w:tr>
    </w:tbl>
    <w:p>
      <w:pPr>
        <w:ind w:firstLine="210"/>
        <w:spacing w:line="360" w:lineRule="auto"/>
        <w:rPr>
          <w:rFonts w:hAnsi="宋体"/>
          <w:bCs/>
          <w:szCs w:val="21"/>
        </w:rPr>
      </w:pPr>
      <w:r>
        <w:rPr>
          <w:rFonts w:hAnsi="宋体"/>
          <w:bCs/>
          <w:szCs w:val="21"/>
        </w:rPr>
      </w:r>
      <w:r/>
    </w:p>
    <w:p>
      <w:pPr>
        <w:ind w:firstLine="210"/>
        <w:spacing w:line="360" w:lineRule="auto"/>
        <w:rPr>
          <w:rFonts w:hAnsi="宋体" w:cs="宋体"/>
        </w:rPr>
      </w:pPr>
      <w:r>
        <w:rPr>
          <w:rFonts w:hint="eastAsia" w:ascii="宋体" w:hAnsi="宋体" w:cs="宋体"/>
          <w:bCs/>
          <w:szCs w:val="21"/>
        </w:rPr>
        <w:t xml:space="preserve">投标单位：（</w:t>
      </w:r>
      <w:r>
        <w:rPr>
          <w:rFonts w:hint="eastAsia" w:ascii="宋体" w:hAnsi="宋体" w:cs="宋体"/>
          <w:szCs w:val="21"/>
        </w:rPr>
        <w:t xml:space="preserve">签章</w:t>
      </w:r>
      <w:r>
        <w:rPr>
          <w:rFonts w:hint="eastAsia" w:ascii="宋体" w:hAnsi="宋体" w:cs="宋体"/>
          <w:bCs/>
          <w:szCs w:val="21"/>
        </w:rPr>
        <w:t xml:space="preserve">）</w:t>
      </w:r>
      <w:r/>
    </w:p>
    <w:p>
      <w:pPr>
        <w:pStyle w:val="1014"/>
        <w:ind w:firstLine="210"/>
        <w:spacing w:line="360" w:lineRule="auto"/>
        <w:rPr>
          <w:rFonts w:ascii="Arial" w:hAnsi="Arial" w:eastAsia="宋体" w:cs="Arial"/>
          <w:b/>
          <w:szCs w:val="21"/>
        </w:rPr>
      </w:pPr>
      <w:r>
        <w:rPr>
          <w:rFonts w:hint="eastAsia" w:hAnsi="宋体" w:eastAsia="宋体" w:cs="宋体"/>
        </w:rPr>
        <w:t xml:space="preserve">日期：</w:t>
      </w:r>
      <w:r/>
    </w:p>
    <w:p>
      <w:pPr>
        <w:pStyle w:val="1014"/>
        <w:ind w:firstLine="0"/>
        <w:spacing w:line="360" w:lineRule="auto"/>
        <w:rPr>
          <w:rFonts w:ascii="Arial" w:hAnsi="Arial" w:eastAsia="宋体" w:cs="Arial"/>
          <w:b/>
          <w:szCs w:val="21"/>
        </w:rPr>
      </w:pPr>
      <w:r>
        <w:rPr>
          <w:rFonts w:ascii="Arial" w:hAnsi="Arial" w:eastAsia="宋体" w:cs="Arial"/>
          <w:b/>
          <w:szCs w:val="21"/>
        </w:rPr>
      </w:r>
      <w:r/>
    </w:p>
    <w:p>
      <w:pPr>
        <w:pStyle w:val="1014"/>
        <w:ind w:firstLine="0"/>
        <w:spacing w:line="360" w:lineRule="auto"/>
        <w:rPr>
          <w:rFonts w:ascii="Arial" w:hAnsi="Arial" w:eastAsia="宋体" w:cs="Arial"/>
          <w:b/>
          <w:szCs w:val="21"/>
        </w:rPr>
      </w:pPr>
      <w:r>
        <w:rPr>
          <w:rFonts w:ascii="Arial" w:hAnsi="Arial" w:eastAsia="宋体" w:cs="Arial"/>
          <w:b/>
          <w:szCs w:val="21"/>
        </w:rPr>
      </w:r>
      <w:r/>
    </w:p>
    <w:p>
      <w:pPr>
        <w:pStyle w:val="1014"/>
        <w:ind w:firstLine="0"/>
        <w:spacing w:line="360" w:lineRule="auto"/>
        <w:rPr>
          <w:rFonts w:ascii="Arial" w:hAnsi="Arial" w:eastAsia="宋体" w:cs="Arial"/>
          <w:b/>
          <w:szCs w:val="21"/>
        </w:rPr>
      </w:pPr>
      <w:r>
        <w:rPr>
          <w:rFonts w:ascii="Arial" w:hAnsi="Arial" w:eastAsia="宋体" w:cs="Arial"/>
          <w:b/>
          <w:szCs w:val="21"/>
        </w:rPr>
      </w:r>
      <w:r/>
    </w:p>
    <w:p>
      <w:pPr>
        <w:pStyle w:val="1014"/>
        <w:ind w:firstLine="0"/>
        <w:spacing w:line="360" w:lineRule="auto"/>
        <w:rPr>
          <w:rFonts w:ascii="Arial" w:hAnsi="Arial" w:eastAsia="宋体" w:cs="Arial"/>
          <w:b/>
          <w:szCs w:val="21"/>
        </w:rPr>
      </w:pPr>
      <w:r>
        <w:rPr>
          <w:rFonts w:ascii="Arial" w:hAnsi="Arial" w:eastAsia="宋体" w:cs="Arial"/>
          <w:b/>
          <w:szCs w:val="21"/>
        </w:rPr>
      </w:r>
      <w:r/>
    </w:p>
    <w:p>
      <w:pPr>
        <w:pStyle w:val="1014"/>
        <w:ind w:firstLine="0"/>
        <w:spacing w:line="360" w:lineRule="auto"/>
        <w:rPr>
          <w:rFonts w:ascii="Arial" w:hAnsi="Arial" w:eastAsia="宋体" w:cs="Arial"/>
          <w:b/>
          <w:szCs w:val="21"/>
        </w:rPr>
      </w:pPr>
      <w:r>
        <w:rPr>
          <w:rFonts w:ascii="Arial" w:hAnsi="Arial" w:eastAsia="宋体" w:cs="Arial"/>
          <w:b/>
          <w:szCs w:val="21"/>
        </w:rPr>
      </w:r>
      <w:r/>
    </w:p>
    <w:p>
      <w:pPr>
        <w:pStyle w:val="1014"/>
        <w:ind w:firstLine="0"/>
        <w:spacing w:line="360" w:lineRule="auto"/>
        <w:rPr>
          <w:rFonts w:ascii="Arial" w:hAnsi="Arial" w:eastAsia="宋体" w:cs="Arial"/>
          <w:b/>
          <w:szCs w:val="21"/>
        </w:rPr>
      </w:pPr>
      <w:r>
        <w:rPr>
          <w:rFonts w:ascii="Arial" w:hAnsi="Arial" w:eastAsia="宋体" w:cs="Arial"/>
          <w:b/>
          <w:szCs w:val="21"/>
        </w:rPr>
      </w:r>
      <w:r/>
    </w:p>
    <w:p>
      <w:pPr>
        <w:pStyle w:val="1014"/>
        <w:ind w:firstLine="0"/>
        <w:spacing w:line="360" w:lineRule="auto"/>
        <w:rPr>
          <w:rFonts w:ascii="Arial" w:hAnsi="Arial" w:eastAsia="宋体" w:cs="Arial"/>
          <w:b/>
          <w:szCs w:val="21"/>
        </w:rPr>
      </w:pPr>
      <w:r>
        <w:rPr>
          <w:rFonts w:ascii="Arial" w:hAnsi="Arial" w:eastAsia="宋体" w:cs="Arial"/>
          <w:b/>
          <w:szCs w:val="21"/>
        </w:rPr>
      </w:r>
      <w:r/>
    </w:p>
    <w:p>
      <w:pPr>
        <w:pStyle w:val="1014"/>
        <w:ind w:firstLine="0"/>
        <w:spacing w:line="360" w:lineRule="auto"/>
        <w:rPr>
          <w:rFonts w:ascii="Arial" w:hAnsi="Arial" w:eastAsia="宋体" w:cs="Arial"/>
          <w:b/>
          <w:szCs w:val="21"/>
        </w:rPr>
      </w:pPr>
      <w:r>
        <w:rPr>
          <w:rFonts w:ascii="Arial" w:hAnsi="Arial" w:eastAsia="宋体" w:cs="Arial"/>
          <w:b/>
          <w:szCs w:val="21"/>
        </w:rPr>
      </w:r>
      <w:r/>
    </w:p>
    <w:p>
      <w:pPr>
        <w:pStyle w:val="1014"/>
        <w:ind w:firstLine="0"/>
        <w:spacing w:line="360" w:lineRule="auto"/>
        <w:rPr>
          <w:rFonts w:ascii="Arial" w:hAnsi="Arial" w:eastAsia="宋体" w:cs="Arial"/>
          <w:b/>
          <w:szCs w:val="21"/>
        </w:rPr>
      </w:pPr>
      <w:r>
        <w:rPr>
          <w:rFonts w:ascii="Arial" w:hAnsi="Arial" w:eastAsia="宋体" w:cs="Arial"/>
          <w:b/>
          <w:szCs w:val="21"/>
        </w:rPr>
      </w:r>
      <w:r/>
    </w:p>
    <w:p>
      <w:pPr>
        <w:pStyle w:val="1014"/>
        <w:ind w:firstLine="0"/>
        <w:spacing w:line="360" w:lineRule="auto"/>
        <w:rPr>
          <w:rFonts w:ascii="Arial" w:hAnsi="Arial" w:eastAsia="宋体" w:cs="Arial"/>
          <w:b/>
          <w:szCs w:val="21"/>
        </w:rPr>
      </w:pPr>
      <w:r>
        <w:rPr>
          <w:rFonts w:ascii="Arial" w:hAnsi="Arial" w:eastAsia="宋体" w:cs="Arial"/>
          <w:b/>
          <w:szCs w:val="21"/>
        </w:rPr>
      </w:r>
      <w:r/>
    </w:p>
    <w:p>
      <w:pPr>
        <w:pStyle w:val="1014"/>
        <w:ind w:firstLine="0"/>
        <w:spacing w:line="360" w:lineRule="auto"/>
        <w:rPr>
          <w:rFonts w:ascii="Arial" w:hAnsi="Arial" w:eastAsia="宋体" w:cs="Arial"/>
          <w:b/>
          <w:szCs w:val="21"/>
        </w:rPr>
      </w:pPr>
      <w:r>
        <w:rPr>
          <w:rFonts w:ascii="Arial" w:hAnsi="Arial" w:eastAsia="宋体" w:cs="Arial"/>
          <w:b/>
          <w:szCs w:val="21"/>
        </w:rPr>
      </w:r>
      <w:r/>
    </w:p>
    <w:p>
      <w:pPr>
        <w:pStyle w:val="1014"/>
        <w:ind w:firstLine="0"/>
        <w:spacing w:line="360" w:lineRule="auto"/>
        <w:rPr>
          <w:rFonts w:ascii="Arial" w:hAnsi="Arial" w:eastAsia="宋体" w:cs="Arial"/>
          <w:b/>
          <w:szCs w:val="21"/>
        </w:rPr>
      </w:pPr>
      <w:r>
        <w:rPr>
          <w:rFonts w:ascii="Arial" w:hAnsi="Arial" w:eastAsia="宋体" w:cs="Arial"/>
          <w:b/>
          <w:szCs w:val="21"/>
        </w:rPr>
      </w:r>
      <w:r/>
    </w:p>
    <w:p>
      <w:pPr>
        <w:pStyle w:val="1014"/>
        <w:ind w:firstLine="0"/>
        <w:spacing w:line="360" w:lineRule="auto"/>
        <w:rPr>
          <w:rFonts w:ascii="Arial" w:hAnsi="Arial" w:eastAsia="宋体" w:cs="Arial"/>
          <w:b/>
          <w:szCs w:val="21"/>
        </w:rPr>
      </w:pPr>
      <w:r>
        <w:rPr>
          <w:rFonts w:ascii="Arial" w:hAnsi="Arial" w:eastAsia="宋体" w:cs="Arial"/>
          <w:b/>
          <w:szCs w:val="21"/>
        </w:rPr>
      </w:r>
      <w:r/>
    </w:p>
    <w:p>
      <w:pPr>
        <w:pStyle w:val="1014"/>
        <w:ind w:firstLine="0"/>
        <w:spacing w:line="360" w:lineRule="auto"/>
        <w:rPr>
          <w:rFonts w:ascii="Arial" w:hAnsi="Arial" w:eastAsia="宋体" w:cs="Arial"/>
          <w:b/>
          <w:szCs w:val="21"/>
        </w:rPr>
      </w:pPr>
      <w:r>
        <w:rPr>
          <w:rFonts w:hint="eastAsia" w:ascii="Arial" w:hAnsi="Arial" w:eastAsia="宋体" w:cs="Arial"/>
          <w:b/>
          <w:szCs w:val="21"/>
        </w:rPr>
        <w:t xml:space="preserve">附件</w:t>
      </w:r>
      <w:r>
        <w:rPr>
          <w:rFonts w:hint="eastAsia" w:ascii="Arial" w:hAnsi="Arial" w:eastAsia="宋体" w:cs="Arial"/>
          <w:b/>
          <w:szCs w:val="21"/>
        </w:rPr>
        <w:t xml:space="preserve">7</w:t>
      </w:r>
      <w:r>
        <w:rPr>
          <w:rFonts w:hint="eastAsia" w:ascii="Arial" w:hAnsi="Arial" w:eastAsia="宋体" w:cs="Arial"/>
          <w:b/>
          <w:szCs w:val="21"/>
        </w:rPr>
        <w:t xml:space="preserve">：质保期满后主要配件和易损件价格清单表</w:t>
      </w:r>
      <w:r/>
    </w:p>
    <w:p>
      <w:pPr>
        <w:pStyle w:val="1014"/>
        <w:ind w:firstLine="0"/>
        <w:spacing w:line="360" w:lineRule="auto"/>
        <w:rPr>
          <w:rFonts w:ascii="Arial" w:hAnsi="Arial" w:eastAsia="宋体" w:cs="Arial"/>
          <w:szCs w:val="21"/>
        </w:rPr>
      </w:pPr>
      <w:r>
        <w:rPr>
          <w:rFonts w:ascii="Arial" w:hAnsi="Arial" w:eastAsia="宋体" w:cs="Arial"/>
          <w:szCs w:val="21"/>
        </w:rPr>
      </w:r>
      <w:r/>
    </w:p>
    <w:p>
      <w:pPr>
        <w:jc w:val="center"/>
        <w:spacing w:line="360" w:lineRule="auto"/>
        <w:rPr>
          <w:rFonts w:ascii="宋体" w:hAnsi="宋体" w:cs="Arial"/>
          <w:b/>
          <w:szCs w:val="21"/>
          <w:lang w:val="zh-CN"/>
        </w:rPr>
      </w:pPr>
      <w:r>
        <w:rPr>
          <w:rFonts w:hint="eastAsia" w:ascii="宋体" w:hAnsi="宋体" w:cs="Arial"/>
          <w:b/>
          <w:szCs w:val="21"/>
          <w:lang w:val="zh-CN"/>
        </w:rPr>
        <w:t xml:space="preserve">质保期满后主要配件和易损件价格清单表</w:t>
      </w:r>
      <w:r/>
    </w:p>
    <w:p>
      <w:pPr>
        <w:jc w:val="left"/>
        <w:spacing w:line="360" w:lineRule="auto"/>
        <w:rPr>
          <w:rFonts w:ascii="宋体" w:hAnsi="宋体" w:cs="Arial"/>
          <w:bCs/>
          <w:szCs w:val="21"/>
        </w:rPr>
      </w:pPr>
      <w:r>
        <w:rPr>
          <w:rFonts w:hint="eastAsia" w:hAnsi="宋体" w:cs="宋体"/>
        </w:rPr>
        <w:t xml:space="preserve">招标编号</w:t>
      </w:r>
      <w:r>
        <w:rPr>
          <w:rFonts w:hint="eastAsia" w:ascii="宋体" w:hAnsi="宋体" w:cs="Arial"/>
          <w:bCs/>
          <w:szCs w:val="21"/>
        </w:rPr>
        <w:t xml:space="preserve">：                </w:t>
      </w:r>
      <w:r>
        <w:rPr>
          <w:rFonts w:hint="eastAsia" w:hAnsi="宋体" w:cs="宋体"/>
        </w:rPr>
        <w:t xml:space="preserve">项目名称：</w:t>
      </w:r>
      <w:r/>
    </w:p>
    <w:tbl>
      <w:tblPr>
        <w:tblW w:w="877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645"/>
        <w:gridCol w:w="1921"/>
        <w:gridCol w:w="1362"/>
        <w:gridCol w:w="1792"/>
        <w:gridCol w:w="772"/>
        <w:gridCol w:w="1317"/>
        <w:gridCol w:w="962"/>
      </w:tblGrid>
      <w:tr>
        <w:trPr>
          <w:trHeight w:val="774" w:hRule="exact"/>
        </w:trPr>
        <w:tc>
          <w:tcPr>
            <w:tcW w:w="645" w:type="dxa"/>
            <w:vAlign w:val="center"/>
            <w:textDirection w:val="lrTb"/>
            <w:noWrap/>
          </w:tcPr>
          <w:p>
            <w:pPr>
              <w:jc w:val="center"/>
              <w:spacing w:line="360" w:lineRule="auto"/>
              <w:rPr>
                <w:rFonts w:ascii="Arial" w:hAnsi="Arial" w:cs="Arial"/>
                <w:szCs w:val="21"/>
              </w:rPr>
            </w:pPr>
            <w:r>
              <w:rPr>
                <w:rFonts w:hint="eastAsia" w:ascii="Arial" w:hAnsi="Arial" w:cs="Arial"/>
                <w:szCs w:val="21"/>
                <w:lang w:val="zh-CN"/>
              </w:rPr>
              <w:t xml:space="preserve">序号</w:t>
            </w:r>
            <w:r/>
          </w:p>
        </w:tc>
        <w:tc>
          <w:tcPr>
            <w:tcW w:w="1921" w:type="dxa"/>
            <w:vAlign w:val="center"/>
            <w:textDirection w:val="lrTb"/>
            <w:noWrap/>
          </w:tcPr>
          <w:p>
            <w:pPr>
              <w:jc w:val="center"/>
              <w:spacing w:line="360" w:lineRule="auto"/>
              <w:rPr>
                <w:rFonts w:ascii="Arial" w:hAnsi="Arial" w:cs="Arial"/>
                <w:szCs w:val="21"/>
              </w:rPr>
            </w:pPr>
            <w:r>
              <w:rPr>
                <w:rFonts w:hint="eastAsia" w:ascii="Arial" w:hAnsi="Arial" w:cs="Arial"/>
                <w:szCs w:val="21"/>
                <w:lang w:val="zh-CN"/>
              </w:rPr>
              <w:t xml:space="preserve">名称</w:t>
            </w:r>
            <w:r/>
          </w:p>
        </w:tc>
        <w:tc>
          <w:tcPr>
            <w:tcW w:w="1362" w:type="dxa"/>
            <w:vAlign w:val="center"/>
            <w:textDirection w:val="lrTb"/>
            <w:noWrap/>
          </w:tcPr>
          <w:p>
            <w:pPr>
              <w:jc w:val="center"/>
              <w:spacing w:line="360" w:lineRule="auto"/>
              <w:rPr>
                <w:rFonts w:ascii="Arial" w:hAnsi="Arial" w:cs="Arial"/>
                <w:szCs w:val="21"/>
              </w:rPr>
            </w:pPr>
            <w:r>
              <w:rPr>
                <w:rFonts w:hint="eastAsia" w:ascii="Arial" w:cs="Arial"/>
                <w:szCs w:val="21"/>
              </w:rPr>
              <w:t xml:space="preserve">生产厂家</w:t>
            </w:r>
            <w:r/>
          </w:p>
        </w:tc>
        <w:tc>
          <w:tcPr>
            <w:tcW w:w="1792" w:type="dxa"/>
            <w:vAlign w:val="center"/>
            <w:textDirection w:val="lrTb"/>
            <w:noWrap/>
          </w:tcPr>
          <w:p>
            <w:pPr>
              <w:jc w:val="center"/>
              <w:spacing w:line="360" w:lineRule="auto"/>
              <w:rPr>
                <w:rFonts w:ascii="Arial" w:hAnsi="Arial" w:cs="Arial"/>
                <w:szCs w:val="21"/>
              </w:rPr>
            </w:pPr>
            <w:r>
              <w:rPr>
                <w:rFonts w:hint="eastAsia" w:ascii="Arial" w:cs="Arial"/>
                <w:szCs w:val="21"/>
              </w:rPr>
              <w:t xml:space="preserve">规格、型号</w:t>
            </w:r>
            <w:r/>
          </w:p>
        </w:tc>
        <w:tc>
          <w:tcPr>
            <w:tcW w:w="772" w:type="dxa"/>
            <w:vAlign w:val="center"/>
            <w:textDirection w:val="lrTb"/>
            <w:noWrap/>
          </w:tcPr>
          <w:p>
            <w:pPr>
              <w:jc w:val="center"/>
              <w:spacing w:line="360" w:lineRule="auto"/>
              <w:rPr>
                <w:rFonts w:ascii="Arial" w:hAnsi="Arial" w:cs="Arial"/>
                <w:szCs w:val="21"/>
                <w:lang w:val="zh-CN"/>
              </w:rPr>
            </w:pPr>
            <w:r>
              <w:rPr>
                <w:rFonts w:hint="eastAsia" w:ascii="Arial" w:cs="Arial"/>
                <w:szCs w:val="21"/>
              </w:rPr>
              <w:t xml:space="preserve">单位</w:t>
            </w:r>
            <w:r/>
          </w:p>
        </w:tc>
        <w:tc>
          <w:tcPr>
            <w:tcW w:w="1317" w:type="dxa"/>
            <w:vAlign w:val="center"/>
            <w:textDirection w:val="lrTb"/>
            <w:noWrap/>
          </w:tcPr>
          <w:p>
            <w:pPr>
              <w:jc w:val="center"/>
              <w:spacing w:line="360" w:lineRule="auto"/>
              <w:rPr>
                <w:rFonts w:ascii="Arial" w:hAnsi="Arial" w:cs="Arial"/>
                <w:szCs w:val="21"/>
                <w:lang w:val="zh-CN"/>
              </w:rPr>
            </w:pPr>
            <w:r>
              <w:rPr>
                <w:rFonts w:hint="eastAsia" w:ascii="Arial" w:hAnsi="Arial" w:cs="Arial"/>
                <w:szCs w:val="21"/>
                <w:lang w:val="zh-CN"/>
              </w:rPr>
              <w:t xml:space="preserve">单价（元）</w:t>
            </w:r>
            <w:r/>
          </w:p>
        </w:tc>
        <w:tc>
          <w:tcPr>
            <w:tcW w:w="962" w:type="dxa"/>
            <w:vAlign w:val="center"/>
            <w:textDirection w:val="lrTb"/>
            <w:noWrap/>
          </w:tcPr>
          <w:p>
            <w:pPr>
              <w:jc w:val="center"/>
              <w:spacing w:line="360" w:lineRule="auto"/>
              <w:rPr>
                <w:rFonts w:ascii="Arial" w:hAnsi="Arial" w:cs="Arial"/>
                <w:szCs w:val="21"/>
                <w:lang w:val="zh-CN"/>
              </w:rPr>
            </w:pPr>
            <w:r>
              <w:rPr>
                <w:rFonts w:hint="eastAsia" w:ascii="Arial" w:hAnsi="Arial" w:cs="Arial"/>
                <w:szCs w:val="21"/>
                <w:lang w:val="zh-CN"/>
              </w:rPr>
              <w:t xml:space="preserve">备注</w:t>
            </w:r>
            <w:r/>
          </w:p>
        </w:tc>
      </w:tr>
      <w:tr>
        <w:trPr>
          <w:trHeight w:val="567" w:hRule="exact"/>
        </w:trPr>
        <w:tc>
          <w:tcPr>
            <w:tcW w:w="645" w:type="dxa"/>
            <w:textDirection w:val="lrTb"/>
            <w:noWrap/>
          </w:tcPr>
          <w:p>
            <w:pPr>
              <w:spacing w:line="360" w:lineRule="auto"/>
              <w:rPr>
                <w:rFonts w:ascii="Arial" w:hAnsi="Arial" w:cs="Arial"/>
                <w:szCs w:val="21"/>
              </w:rPr>
            </w:pPr>
            <w:r>
              <w:rPr>
                <w:rFonts w:ascii="Arial" w:hAnsi="Arial" w:cs="Arial"/>
                <w:szCs w:val="21"/>
              </w:rPr>
              <w:t xml:space="preserve">1</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ascii="Arial" w:hAnsi="Arial" w:cs="Arial"/>
                <w:szCs w:val="21"/>
              </w:rPr>
              <w:t xml:space="preserve">2</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ascii="Arial" w:hAnsi="Arial" w:cs="Arial"/>
                <w:szCs w:val="21"/>
              </w:rPr>
              <w:t xml:space="preserve">3</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hint="eastAsia" w:ascii="Arial" w:hAnsi="Arial" w:cs="Arial"/>
                <w:szCs w:val="21"/>
              </w:rPr>
              <w:t xml:space="preserve">4</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hint="eastAsia" w:ascii="Arial" w:hAnsi="Arial" w:cs="Arial"/>
                <w:szCs w:val="21"/>
              </w:rPr>
              <w:t xml:space="preserve">5</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hint="eastAsia" w:ascii="Arial" w:hAnsi="Arial" w:cs="Arial"/>
                <w:szCs w:val="21"/>
              </w:rPr>
              <w:t xml:space="preserve">6</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bl>
    <w:p>
      <w:pPr>
        <w:pStyle w:val="934"/>
        <w:ind w:firstLine="420"/>
        <w:spacing w:line="360" w:lineRule="auto"/>
        <w:rPr>
          <w:rFonts w:hAnsi="宋体" w:eastAsia="宋体" w:cs="宋体"/>
          <w:sz w:val="21"/>
        </w:rPr>
      </w:pPr>
      <w:r>
        <w:rPr>
          <w:rFonts w:hAnsi="宋体" w:eastAsia="宋体" w:cs="宋体"/>
          <w:sz w:val="21"/>
        </w:rPr>
      </w:r>
      <w:r/>
    </w:p>
    <w:p>
      <w:pPr>
        <w:ind w:firstLine="210"/>
        <w:rPr>
          <w:rFonts w:ascii="宋体" w:hAnsi="宋体" w:cs="宋体"/>
          <w:bCs/>
        </w:rPr>
      </w:pPr>
      <w:r>
        <w:rPr>
          <w:rFonts w:hint="eastAsia" w:ascii="宋体" w:hAnsi="宋体" w:cs="宋体"/>
          <w:bCs/>
        </w:rPr>
        <w:t xml:space="preserve">投标单位：（</w:t>
      </w:r>
      <w:r>
        <w:rPr>
          <w:rFonts w:hint="eastAsia" w:ascii="宋体" w:hAnsi="宋体" w:cs="宋体"/>
          <w:szCs w:val="21"/>
        </w:rPr>
        <w:t xml:space="preserve">签章</w:t>
      </w:r>
      <w:r>
        <w:rPr>
          <w:rFonts w:hint="eastAsia" w:ascii="宋体" w:hAnsi="宋体" w:cs="宋体"/>
          <w:bCs/>
        </w:rPr>
        <w:t xml:space="preserve">）</w:t>
      </w:r>
      <w:r/>
    </w:p>
    <w:p>
      <w:pPr>
        <w:ind w:firstLine="210"/>
        <w:spacing w:line="360" w:lineRule="auto"/>
        <w:rPr>
          <w:rFonts w:ascii="宋体" w:hAnsi="宋体" w:cs="宋体"/>
          <w:b/>
          <w:bCs/>
          <w:szCs w:val="21"/>
        </w:rPr>
      </w:pPr>
      <w:r>
        <w:rPr>
          <w:rFonts w:hint="eastAsia" w:ascii="宋体" w:hAnsi="宋体" w:cs="宋体"/>
          <w:bCs/>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附件8：技术响应对照表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ind w:firstLine="422"/>
        <w:spacing w:line="360" w:lineRule="auto"/>
        <w:rPr>
          <w:rFonts w:ascii="宋体" w:hAnsi="宋体" w:cs="宋体"/>
          <w:szCs w:val="21"/>
        </w:rPr>
      </w:pPr>
      <w:r>
        <w:rPr>
          <w:rFonts w:hint="eastAsia" w:ascii="宋体" w:hAnsi="宋体" w:cs="宋体"/>
          <w:szCs w:val="21"/>
          <w:lang w:val="zh-CN"/>
        </w:rPr>
        <w:t xml:space="preserve">招标编号：             号</w:t>
      </w:r>
      <w:r>
        <w:rPr>
          <w:rFonts w:hint="eastAsia" w:hAnsi="宋体" w:cs="宋体"/>
        </w:rPr>
        <w:t xml:space="preserve">项目名称</w:t>
      </w:r>
      <w:r>
        <w:rPr>
          <w:rFonts w:hint="eastAsia" w:ascii="宋体" w:hAnsi="宋体" w:cs="宋体"/>
          <w:szCs w:val="21"/>
        </w:rPr>
        <w:t xml:space="preserve">：</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投标要求</w:t>
            </w:r>
            <w:r/>
          </w:p>
        </w:tc>
        <w:tc>
          <w:tcPr>
            <w:tcW w:w="1726"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偏离/响应</w:t>
            </w:r>
            <w:r/>
          </w:p>
        </w:tc>
        <w:tc>
          <w:tcPr>
            <w:tcW w:w="1784"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说明</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注：1.投标人应对照招标文件技术要求等要求，所投标的物与招标文件的规定有偏离的，应在此表中申明与技术要求条文的偏差和例外。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投标单位（签章）：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附件9：商务条款偏离表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             号</w:t>
      </w:r>
      <w:r>
        <w:rPr>
          <w:rFonts w:hint="eastAsia" w:hAnsi="宋体" w:cs="宋体"/>
        </w:rPr>
        <w:t xml:space="preserve">项目名称</w:t>
      </w:r>
      <w:r>
        <w:rPr>
          <w:rFonts w:hint="eastAsia" w:ascii="宋体" w:hAnsi="宋体" w:cs="宋体"/>
          <w:szCs w:val="21"/>
        </w:rPr>
        <w:t xml:space="preserve">：</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ind w:right="960"/>
        <w:spacing w:line="440" w:lineRule="exact"/>
        <w:widowControl/>
        <w:rPr>
          <w:rFonts w:ascii="宋体" w:hAnsi="宋体" w:cs="宋体"/>
          <w:szCs w:val="21"/>
        </w:rPr>
      </w:pPr>
      <w:r>
        <w:rPr>
          <w:rFonts w:hint="eastAsia" w:ascii="宋体" w:hAnsi="宋体" w:cs="宋体"/>
          <w:b/>
          <w:bCs/>
          <w:szCs w:val="21"/>
        </w:rPr>
        <w:t xml:space="preserve">附件10、</w:t>
      </w:r>
      <w:r>
        <w:rPr>
          <w:rFonts w:hint="eastAsia" w:ascii="宋体" w:hAnsi="宋体" w:cs="宋体"/>
          <w:b/>
          <w:bCs/>
          <w:szCs w:val="21"/>
          <w:lang w:val="zh-CN"/>
        </w:rPr>
        <w:t xml:space="preserve">售后服务承诺书</w:t>
      </w:r>
      <w:r/>
    </w:p>
    <w:p>
      <w:pPr>
        <w:pStyle w:val="925"/>
        <w:ind w:firstLine="0"/>
        <w:rPr>
          <w:rFonts w:ascii="宋体" w:hAnsi="宋体" w:eastAsia="宋体" w:cs="宋体"/>
          <w:b/>
          <w:bCs/>
        </w:rPr>
        <w:outlineLvl w:val="1"/>
      </w:pPr>
      <w:r>
        <w:rPr>
          <w:rFonts w:ascii="宋体" w:hAnsi="宋体" w:eastAsia="宋体" w:cs="宋体"/>
          <w:b/>
          <w:bCs/>
        </w:rPr>
      </w:r>
      <w:r/>
    </w:p>
    <w:p>
      <w:pPr>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p>
    <w:p>
      <w:pPr>
        <w:spacing w:line="400" w:lineRule="exact"/>
        <w:rPr>
          <w:rFonts w:ascii="宋体" w:hAnsi="宋体" w:cs="宋体"/>
          <w:b/>
          <w:szCs w:val="21"/>
          <w:lang w:val="zh-CN"/>
        </w:rPr>
      </w:pPr>
      <w:r>
        <w:rPr>
          <w:rFonts w:hint="eastAsia" w:ascii="宋体" w:hAnsi="宋体" w:cs="宋体"/>
          <w:szCs w:val="21"/>
          <w:lang w:val="zh-CN"/>
        </w:rPr>
        <w:t xml:space="preserve">招标编号：             号</w:t>
      </w:r>
      <w:r>
        <w:rPr>
          <w:rFonts w:hint="eastAsia" w:hAnsi="宋体" w:cs="宋体"/>
        </w:rPr>
        <w:t xml:space="preserve">项目名称：</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3060"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523"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spacing w:before="25" w:after="25" w:line="400" w:lineRule="exact"/>
        <w:rPr>
          <w:rFonts w:ascii="宋体" w:hAnsi="宋体" w:cs="宋体"/>
          <w:szCs w:val="21"/>
          <w:lang w:val="zh-CN"/>
        </w:rPr>
      </w:pPr>
      <w:r>
        <w:rPr>
          <w:rFonts w:hint="eastAsia" w:ascii="宋体" w:hAnsi="宋体" w:cs="宋体"/>
          <w:szCs w:val="21"/>
          <w:lang w:val="zh-CN"/>
        </w:rPr>
        <w:t xml:space="preserve">注：1、针对服务内容有必须说明的事项，请在“备注”栏目内注明；</w:t>
      </w:r>
      <w:r/>
    </w:p>
    <w:p>
      <w:pPr>
        <w:ind w:firstLine="480"/>
        <w:spacing w:before="25" w:after="25" w:line="400" w:lineRule="exact"/>
        <w:rPr>
          <w:rFonts w:ascii="宋体" w:hAnsi="宋体" w:cs="宋体"/>
          <w:szCs w:val="21"/>
          <w:lang w:val="zh-CN"/>
        </w:rPr>
      </w:pPr>
      <w:r>
        <w:rPr>
          <w:rFonts w:hint="eastAsia" w:ascii="宋体" w:hAnsi="宋体" w:cs="宋体"/>
          <w:szCs w:val="21"/>
          <w:lang w:val="zh-CN"/>
        </w:rPr>
        <w:t xml:space="preserve">2、如有其它售后服务内容，可自行参照填写。</w:t>
      </w:r>
      <w:r/>
    </w:p>
    <w:p>
      <w:pPr>
        <w:spacing w:before="25" w:after="25" w:line="400" w:lineRule="exact"/>
        <w:rPr>
          <w:rFonts w:ascii="宋体" w:hAnsi="宋体" w:cs="宋体"/>
          <w:szCs w:val="21"/>
          <w:lang w:val="zh-CN"/>
        </w:rPr>
      </w:pPr>
      <w:r>
        <w:rPr>
          <w:rFonts w:ascii="宋体" w:hAnsi="宋体" w:cs="宋体"/>
          <w:szCs w:val="21"/>
          <w:lang w:val="zh-CN"/>
        </w:rPr>
      </w:r>
      <w:r/>
    </w:p>
    <w:p>
      <w:pPr>
        <w:jc w:val="left"/>
        <w:spacing w:line="360" w:lineRule="auto"/>
        <w:widowControl/>
        <w:rPr>
          <w:rFonts w:ascii="宋体" w:hAnsi="宋体" w:cs="宋体"/>
          <w:szCs w:val="21"/>
        </w:rPr>
      </w:pPr>
      <w:r>
        <w:rPr>
          <w:rFonts w:hint="eastAsia" w:ascii="宋体" w:hAnsi="宋体" w:cs="宋体"/>
          <w:szCs w:val="21"/>
        </w:rPr>
        <w:t xml:space="preserve">投标人：（签章）</w:t>
      </w:r>
      <w:r/>
    </w:p>
    <w:p>
      <w:pPr>
        <w:jc w:val="left"/>
        <w:spacing w:line="360" w:lineRule="auto"/>
        <w:widowControl/>
        <w:rPr>
          <w:rFonts w:ascii="宋体" w:hAnsi="宋体" w:cs="宋体"/>
          <w:b/>
          <w:bCs/>
          <w:szCs w:val="21"/>
        </w:rPr>
      </w:pPr>
      <w:r>
        <w:rPr>
          <w:rFonts w:hint="eastAsia" w:ascii="宋体" w:hAnsi="宋体" w:cs="宋体"/>
          <w:szCs w:val="21"/>
        </w:rPr>
        <w:t xml:space="preserve">日期：         年         月       日</w:t>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hint="eastAsia" w:ascii="宋体" w:hAnsi="宋体" w:cs="宋体"/>
          <w:b/>
          <w:bCs/>
          <w:szCs w:val="21"/>
        </w:rPr>
        <w:t xml:space="preserve">附件11：针对本项目的人员配置表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lang w:val="zh-CN"/>
        </w:rPr>
      </w:pPr>
      <w:r>
        <w:rPr>
          <w:rFonts w:hint="eastAsia" w:ascii="宋体" w:hAnsi="宋体" w:cs="宋体"/>
          <w:szCs w:val="21"/>
          <w:lang w:val="zh-CN"/>
        </w:rPr>
        <w:t xml:space="preserve">项目编号：         号                    </w:t>
      </w:r>
      <w:r>
        <w:rPr>
          <w:rFonts w:hint="eastAsia" w:hAnsi="宋体" w:cs="宋体"/>
        </w:rPr>
        <w:t xml:space="preserve">项目名称</w:t>
      </w:r>
      <w:r>
        <w:rPr>
          <w:rFonts w:hint="eastAsia" w:ascii="宋体" w:hAnsi="宋体" w:cs="宋体"/>
          <w:szCs w:val="21"/>
        </w:rPr>
        <w:t xml:space="preserve">：</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08"/>
        <w:gridCol w:w="1370"/>
        <w:gridCol w:w="821"/>
        <w:gridCol w:w="1391"/>
        <w:gridCol w:w="929"/>
        <w:gridCol w:w="1059"/>
        <w:gridCol w:w="677"/>
        <w:gridCol w:w="1417"/>
        <w:gridCol w:w="716"/>
      </w:tblGrid>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身份证号码</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责任或分工</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附件12、</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         号                    </w:t>
      </w:r>
      <w:r>
        <w:rPr>
          <w:rFonts w:hint="eastAsia" w:hAnsi="宋体" w:cs="宋体"/>
        </w:rPr>
        <w:t xml:space="preserve">项目名称</w:t>
      </w:r>
      <w:r>
        <w:rPr>
          <w:rFonts w:hint="eastAsia" w:ascii="宋体" w:hAnsi="宋体" w:cs="宋体"/>
          <w:szCs w:val="21"/>
        </w:rPr>
        <w:t xml:space="preserve">：</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附件13、关于资格文件的声明函</w:t>
      </w:r>
      <w:r/>
    </w:p>
    <w:p>
      <w:pPr>
        <w:pStyle w:val="925"/>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25"/>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25"/>
        <w:ind w:firstLine="422"/>
        <w:jc w:val="center"/>
        <w:spacing w:line="360" w:lineRule="auto"/>
        <w:rPr>
          <w:rFonts w:ascii="宋体" w:hAnsi="宋体" w:eastAsia="宋体" w:cs="宋体"/>
          <w:sz w:val="21"/>
        </w:rPr>
      </w:pPr>
      <w:r>
        <w:rPr>
          <w:rFonts w:ascii="宋体" w:hAnsi="宋体" w:eastAsia="宋体" w:cs="宋体"/>
          <w:sz w:val="21"/>
        </w:rPr>
      </w:r>
      <w:r/>
    </w:p>
    <w:p>
      <w:pPr>
        <w:pStyle w:val="925"/>
        <w:ind w:firstLine="422"/>
        <w:spacing w:line="360" w:lineRule="auto"/>
        <w:rPr>
          <w:rFonts w:ascii="宋体" w:hAnsi="宋体" w:eastAsia="宋体" w:cs="宋体"/>
          <w:sz w:val="21"/>
        </w:rPr>
      </w:pPr>
      <w:r>
        <w:rPr>
          <w:rFonts w:hint="eastAsia" w:ascii="宋体" w:hAnsi="宋体" w:eastAsia="宋体" w:cs="宋体"/>
          <w:sz w:val="21"/>
        </w:rPr>
        <w:t xml:space="preserve">【】：</w:t>
      </w:r>
      <w:r/>
    </w:p>
    <w:p>
      <w:pPr>
        <w:pStyle w:val="925"/>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    】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25"/>
        <w:ind w:firstLine="422"/>
        <w:spacing w:line="360" w:lineRule="auto"/>
        <w:rPr>
          <w:rFonts w:ascii="宋体" w:hAnsi="宋体" w:eastAsia="宋体" w:cs="宋体"/>
          <w:sz w:val="21"/>
        </w:rPr>
      </w:pPr>
      <w:r>
        <w:rPr>
          <w:rFonts w:ascii="宋体" w:hAnsi="宋体" w:eastAsia="宋体" w:cs="宋体"/>
          <w:sz w:val="21"/>
        </w:rPr>
      </w:r>
      <w:r/>
    </w:p>
    <w:p>
      <w:pPr>
        <w:pStyle w:val="925"/>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附件14、投标单位情况表</w:t>
      </w:r>
      <w:r/>
    </w:p>
    <w:p>
      <w:pPr>
        <w:pStyle w:val="925"/>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25"/>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2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2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25"/>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2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2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25"/>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2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25"/>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92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25"/>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25"/>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92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25"/>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r>
      <w:tr>
        <w:trPr>
          <w:cantSplit/>
          <w:jc w:val="center"/>
        </w:trPr>
        <w:tc>
          <w:tcPr>
            <w:tcW w:w="2336" w:type="dxa"/>
            <w:vAlign w:val="center"/>
            <w:textDirection w:val="lrTb"/>
            <w:noWrap w:val="false"/>
          </w:tcPr>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c>
          <w:tcPr>
            <w:tcW w:w="1319" w:type="dxa"/>
            <w:vAlign w:val="center"/>
            <w:textDirection w:val="lrTb"/>
            <w:noWrap w:val="false"/>
          </w:tcPr>
          <w:p>
            <w:pPr>
              <w:pStyle w:val="925"/>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2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平方米</w:t>
            </w:r>
            <w:r/>
          </w:p>
        </w:tc>
        <w:tc>
          <w:tcPr>
            <w:tcW w:w="1319" w:type="dxa"/>
            <w:vAlign w:val="center"/>
            <w:textDirection w:val="lrTb"/>
            <w:noWrap w:val="false"/>
          </w:tcPr>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Pr>
        <w:tc>
          <w:tcPr>
            <w:tcW w:w="2336" w:type="dxa"/>
            <w:vAlign w:val="center"/>
            <w:textDirection w:val="lrTb"/>
            <w:noWrap w:val="false"/>
          </w:tcPr>
          <w:p>
            <w:pPr>
              <w:pStyle w:val="92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2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2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2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023" w:type="dxa"/>
            <w:vAlign w:val="center"/>
            <w:textDirection w:val="lrTb"/>
            <w:noWrap w:val="false"/>
          </w:tcPr>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2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023" w:type="dxa"/>
            <w:vAlign w:val="center"/>
            <w:textDirection w:val="lrTb"/>
            <w:noWrap w:val="false"/>
          </w:tcPr>
          <w:p>
            <w:pPr>
              <w:pStyle w:val="92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2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2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2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2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25"/>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附件15、投标（响应）保证承诺书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（项目名称和招标编号）</w:t>
      </w:r>
      <w:r>
        <w:rPr>
          <w:rFonts w:hint="eastAsia" w:ascii="宋体" w:hAnsi="宋体" w:cs="宋体"/>
          <w:szCs w:val="21"/>
        </w:rPr>
        <w:t xml:space="preserve">的投标（响应）,并做出如下承诺：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支付本招标文件公布的预算金额（或最高限价）的2%作为违约赔偿金（数量不确定的单价采购须约定具体金额）。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3.中标（成交）后不按本招标文件规定向采购单位提交履约保证金（</w:t>
      </w:r>
      <w:r>
        <w:rPr>
          <w:rFonts w:hint="eastAsia" w:ascii="宋体" w:hAnsi="宋体" w:cs="Arial"/>
          <w:sz w:val="22"/>
          <w:szCs w:val="21"/>
        </w:rPr>
        <w:t xml:space="preserve">如有</w:t>
      </w:r>
      <w:r>
        <w:rPr>
          <w:rFonts w:hint="eastAsia" w:ascii="宋体" w:hAnsi="宋体" w:cs="宋体"/>
          <w:szCs w:val="21"/>
        </w:rPr>
        <w:t xml:space="preserve">）；</w:t>
      </w:r>
      <w:r/>
    </w:p>
    <w:p>
      <w:pPr>
        <w:ind w:firstLine="422"/>
        <w:jc w:val="left"/>
        <w:spacing w:line="360" w:lineRule="auto"/>
        <w:widowControl/>
        <w:rPr>
          <w:rFonts w:ascii="宋体" w:hAnsi="宋体" w:cs="宋体"/>
          <w:szCs w:val="21"/>
        </w:rPr>
      </w:pPr>
      <w:r>
        <w:rPr>
          <w:rFonts w:hint="eastAsia" w:ascii="宋体" w:hAnsi="宋体" w:cs="宋体"/>
          <w:szCs w:val="21"/>
        </w:rPr>
        <w:t xml:space="preserve">4.中标（成交）后不按本招标文件规定向贵方缴纳采购代理费。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附件16、声明函</w:t>
      </w:r>
      <w:r/>
    </w:p>
    <w:p>
      <w:pPr>
        <w:ind w:firstLine="2741"/>
        <w:rPr>
          <w:rFonts w:ascii="宋体" w:hAnsi="宋体" w:cs="宋体"/>
          <w:b/>
          <w:szCs w:val="21"/>
        </w:rPr>
      </w:pPr>
      <w:r>
        <w:rPr>
          <w:rFonts w:hint="eastAsia" w:ascii="宋体" w:hAnsi="宋体" w:cs="宋体"/>
          <w:b/>
          <w:szCs w:val="21"/>
        </w:rPr>
        <w:t xml:space="preserve">（1）</w:t>
      </w:r>
      <w:bookmarkStart w:id="49" w:name="_Toc4028"/>
      <w:r/>
      <w:bookmarkStart w:id="50" w:name="_Toc1077"/>
      <w:r>
        <w:rPr>
          <w:rFonts w:hint="eastAsia" w:ascii="宋体" w:hAnsi="宋体" w:cs="宋体"/>
          <w:szCs w:val="21"/>
        </w:rPr>
        <w:t xml:space="preserve">中小企业声明函（货物）</w:t>
      </w:r>
      <w:bookmarkEnd w:id="49"/>
      <w:r/>
      <w:bookmarkEnd w:id="50"/>
      <w:r/>
      <w:r/>
    </w:p>
    <w:p>
      <w:pPr>
        <w:pStyle w:val="930"/>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﹝2020﹞46</w:t>
      </w:r>
      <w:r>
        <w:rPr>
          <w:rFonts w:hint="eastAsia" w:ascii="宋体" w:hAnsi="宋体" w:cs="宋体"/>
          <w:spacing w:val="-38"/>
          <w:sz w:val="21"/>
          <w:szCs w:val="21"/>
        </w:rPr>
        <w:t xml:space="preserve"> 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w:t>
      </w:r>
      <w:r>
        <w:rPr>
          <w:rFonts w:hint="eastAsia" w:ascii="宋体" w:hAnsi="宋体" w:cs="宋体"/>
          <w:b/>
          <w:bCs/>
          <w:spacing w:val="-2"/>
          <w:sz w:val="21"/>
          <w:szCs w:val="21"/>
        </w:rPr>
        <w:t xml:space="preserve">（单位名称）</w:t>
      </w:r>
      <w:r>
        <w:rPr>
          <w:rFonts w:hint="eastAsia" w:ascii="宋体" w:hAnsi="宋体" w:cs="宋体"/>
          <w:spacing w:val="-2"/>
          <w:sz w:val="21"/>
          <w:szCs w:val="21"/>
        </w:rPr>
        <w:t xml:space="preserve">的</w:t>
      </w:r>
      <w:r>
        <w:rPr>
          <w:rFonts w:hint="eastAsia" w:ascii="宋体" w:hAnsi="宋体" w:cs="宋体"/>
          <w:b/>
          <w:bCs/>
          <w:spacing w:val="-2"/>
          <w:sz w:val="21"/>
          <w:szCs w:val="21"/>
        </w:rPr>
        <w:t xml:space="preserve">（项目名称）</w:t>
      </w:r>
      <w:r>
        <w:rPr>
          <w:rFonts w:hint="eastAsia" w:ascii="宋体" w:hAnsi="宋体" w:cs="宋体"/>
          <w:spacing w:val="-2"/>
          <w:sz w:val="21"/>
          <w:szCs w:val="21"/>
        </w:rPr>
        <w:t xml:space="preserve">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 的具体情况如下：</w:t>
      </w:r>
      <w:r/>
    </w:p>
    <w:p>
      <w:pPr>
        <w:pStyle w:val="999"/>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99"/>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30"/>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930"/>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930"/>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spacing w:line="360" w:lineRule="auto"/>
        <w:rPr>
          <w:rFonts w:ascii="宋体" w:hAnsi="宋体" w:cs="宋体"/>
          <w:szCs w:val="21"/>
        </w:rPr>
      </w:pPr>
      <w:r>
        <w:rPr>
          <w:rFonts w:ascii="宋体" w:hAnsi="宋体" w:cs="宋体"/>
          <w:szCs w:val="21"/>
        </w:rPr>
      </w:r>
      <w:r/>
    </w:p>
    <w:p>
      <w:pPr>
        <w:ind w:firstLine="422"/>
        <w:jc w:val="right"/>
        <w:spacing w:line="360" w:lineRule="auto"/>
        <w:rPr>
          <w:rFonts w:ascii="宋体" w:hAnsi="宋体" w:cs="宋体"/>
          <w:szCs w:val="21"/>
        </w:rPr>
      </w:pPr>
      <w:r>
        <w:rPr>
          <w:rFonts w:hint="eastAsia" w:ascii="宋体" w:hAnsi="宋体" w:cs="宋体"/>
          <w:szCs w:val="21"/>
        </w:rPr>
        <w:t xml:space="preserve">企业名称（盖章）：</w:t>
      </w:r>
      <w:r/>
    </w:p>
    <w:p>
      <w:pPr>
        <w:ind w:firstLine="420"/>
        <w:jc w:val="right"/>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943"/>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43"/>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43"/>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43"/>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备注：1.从业人员、营业收入、资产总额填报上一年度数据，无上一年度数据的新成立企业可不填报。</w:t>
      </w:r>
      <w:r/>
    </w:p>
    <w:p>
      <w:pPr>
        <w:pStyle w:val="943"/>
        <w:ind w:firstLine="630"/>
        <w:spacing w:line="240" w:lineRule="auto"/>
        <w:rPr>
          <w:rFonts w:ascii="宋体" w:hAnsi="宋体" w:cs="宋体"/>
          <w:sz w:val="21"/>
          <w:szCs w:val="24"/>
        </w:rPr>
      </w:pPr>
      <w:r>
        <w:rPr>
          <w:rFonts w:hint="eastAsia" w:ascii="宋体" w:hAnsi="宋体" w:cs="宋体"/>
          <w:b w:val="0"/>
          <w:bCs w:val="0"/>
          <w:sz w:val="21"/>
          <w:szCs w:val="24"/>
        </w:rPr>
        <w:t xml:space="preserve">2.在货物采购项目中，货物全部由中小企业制造，即货物由中小企业生产且使用该中小企业商号或者注册商标。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943"/>
        <w:ind w:firstLine="630"/>
        <w:spacing w:line="240" w:lineRule="auto"/>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43"/>
        <w:ind w:firstLine="632"/>
        <w:spacing w:line="240" w:lineRule="auto"/>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1000"/>
        <w:ind w:left="840" w:hanging="210"/>
        <w:spacing w:line="360" w:lineRule="auto"/>
        <w:rPr>
          <w:rFonts w:hAnsi="宋体" w:eastAsia="宋体" w:cs="宋体"/>
          <w:sz w:val="21"/>
          <w:szCs w:val="24"/>
          <w:lang w:val="zh-CN"/>
        </w:rPr>
      </w:pPr>
      <w:r>
        <w:rPr>
          <w:rFonts w:hint="eastAsia" w:hAnsi="宋体" w:eastAsia="宋体" w:cs="宋体"/>
          <w:sz w:val="21"/>
          <w:szCs w:val="24"/>
        </w:rPr>
        <w:t xml:space="preserve">5.中标单位为中小企业的，《中小企业声明函》将随中标结果同时公告</w:t>
      </w:r>
      <w:r>
        <w:rPr>
          <w:rFonts w:hint="eastAsia" w:hAnsi="宋体" w:eastAsia="宋体" w:cs="宋体"/>
          <w:sz w:val="21"/>
          <w:szCs w:val="24"/>
          <w:lang w:val="zh-CN"/>
        </w:rPr>
        <w:t xml:space="preserve">。</w:t>
      </w:r>
      <w:r/>
    </w:p>
    <w:p>
      <w:pPr>
        <w:pStyle w:val="1000"/>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w:t>
      </w:r>
      <w:r>
        <w:rPr>
          <w:rFonts w:hint="eastAsia" w:ascii="宋体" w:hAnsi="宋体"/>
        </w:rPr>
        <w:t xml:space="preserve">业。其中，从业人员100人及以上，且资产总额8000万元及以上的为中型企业；从业人员10人及以上，且资产总额100万元及以上的为小型企业；从业人员10人以下或资产总额100万元以下的为微型企业。</w:t>
      </w:r>
      <w:r/>
    </w:p>
    <w:p>
      <w:pPr>
        <w:pStyle w:val="1000"/>
        <w:ind w:firstLine="422"/>
        <w:rPr>
          <w:rFonts w:hAnsi="宋体" w:eastAsia="宋体" w:cs="宋体"/>
          <w:sz w:val="21"/>
          <w:szCs w:val="21"/>
          <w:lang w:val="zh-CN"/>
        </w:rPr>
      </w:pPr>
      <w:r>
        <w:rPr>
          <w:rFonts w:hint="eastAsia" w:hAnsi="宋体" w:eastAsia="宋体"/>
          <w:b/>
          <w:sz w:val="21"/>
          <w:szCs w:val="24"/>
        </w:rPr>
        <w:t xml:space="preserve">（十六）其他未列明行业。</w:t>
      </w:r>
      <w:r>
        <w:rPr>
          <w:rFonts w:hint="eastAsia" w:hAnsi="宋体" w:eastAsia="宋体"/>
          <w:sz w:val="21"/>
          <w:szCs w:val="24"/>
        </w:rPr>
        <w:t xml:space="preserve">从业人员300人以下的为中小微型企业。其中，从业人员100人及以上的为中型企业；从业人员10人及以上的为小型企业；从业人员10人以下的为微型企业。</w:t>
      </w:r>
      <w:r/>
    </w:p>
    <w:p>
      <w:pPr>
        <w:ind w:firstLine="444"/>
        <w:jc w:val="center"/>
        <w:pageBreakBefore/>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zCs w:val="21"/>
        </w:rPr>
      </w:pPr>
      <w:r>
        <w:rPr>
          <w:rFonts w:hint="eastAsia" w:ascii="宋体" w:hAnsi="宋体" w:cs="宋体"/>
          <w:b/>
          <w:bCs/>
          <w:spacing w:val="6"/>
          <w:szCs w:val="21"/>
        </w:rPr>
        <w:t xml:space="preserve">附件17：</w:t>
      </w:r>
      <w:r>
        <w:rPr>
          <w:rFonts w:hint="eastAsia" w:ascii="宋体" w:hAnsi="宋体" w:cs="宋体"/>
          <w:b/>
          <w:szCs w:val="21"/>
        </w:rPr>
        <w:t xml:space="preserve">关于符合本国产品标准的声明函（招标编号：</w:t>
      </w:r>
      <w:r>
        <w:rPr>
          <w:rFonts w:hint="eastAsia" w:ascii="宋体" w:hAnsi="宋体" w:cs="宋体"/>
          <w:b/>
          <w:szCs w:val="21"/>
          <w:u w:val="single"/>
        </w:rPr>
        <w:t xml:space="preserve">JSZC-320500-CJZB-G2026-0087</w:t>
      </w:r>
      <w:r>
        <w:rPr>
          <w:rFonts w:hint="eastAsia" w:ascii="宋体" w:hAnsi="宋体" w:cs="宋体"/>
          <w:b/>
          <w:szCs w:val="21"/>
        </w:rPr>
        <w:t xml:space="preserve">）</w:t>
      </w:r>
      <w:r/>
    </w:p>
    <w:p>
      <w:pPr>
        <w:pStyle w:val="945"/>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45"/>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45"/>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45"/>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郑重声明，根据《国务院办公厅关于在政府采购中实施本国产品标准及相关政策的通知》（国办发〔2025〕34号）的规定，本公司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45"/>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589915</wp:posOffset>
                </wp:positionH>
                <wp:positionV relativeFrom="paragraph">
                  <wp:posOffset>708660</wp:posOffset>
                </wp:positionV>
                <wp:extent cx="424815" cy="1123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72576;o:allowoverlap:true;o:allowincell:true;mso-position-horizontal-relative:text;margin-left:46.4pt;mso-position-horizontal:absolute;mso-position-vertical-relative:text;margin-top:55.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5399405</wp:posOffset>
                </wp:positionH>
                <wp:positionV relativeFrom="paragraph">
                  <wp:posOffset>452755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4384;o:allowoverlap:true;o:allowincell:true;mso-position-horizontal-relative:text;margin-left:425.1pt;mso-position-horizontal:absolute;mso-position-vertical-relative:text;margin-top:35.6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3260725</wp:posOffset>
                </wp:positionH>
                <wp:positionV relativeFrom="paragraph">
                  <wp:posOffset>423545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6.8pt;mso-position-horizontal:absolute;mso-position-vertical-relative:text;margin-top:33.4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451485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1.2pt;mso-position-horizontal:absolute;mso-position-vertical-relative:text;margin-top:35.5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1589405</wp:posOffset>
                </wp:positionH>
                <wp:positionV relativeFrom="paragraph">
                  <wp:posOffset>452120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3360;o:allowoverlap:true;o:allowincell:true;mso-position-horizontal-relative:text;margin-left:125.1pt;mso-position-horizontal:absolute;mso-position-vertical-relative:text;margin-top:35.6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5408;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2336;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950"/>
          <w:rFonts w:hint="eastAsia" w:ascii="宋体" w:hAnsi="宋体" w:cs="宋体"/>
          <w:i w:val="0"/>
          <w:sz w:val="21"/>
          <w:szCs w:val="21"/>
          <w:u w:val="single"/>
          <w:shd w:val="clear" w:color="auto" w:fill="ffffff"/>
        </w:rPr>
        <w:t xml:space="preserve">（产品名称1）</w:t>
      </w:r>
      <w:r>
        <w:rPr>
          <w:rStyle w:val="950"/>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50"/>
          <w:rFonts w:hint="eastAsia" w:ascii="宋体" w:hAnsi="宋体" w:cs="宋体"/>
          <w:i w:val="0"/>
          <w:sz w:val="21"/>
          <w:szCs w:val="21"/>
          <w:u w:val="single"/>
          <w:shd w:val="clear" w:color="auto" w:fill="ffffff"/>
        </w:rPr>
        <w:t xml:space="preserve">（厂名）</w:t>
      </w:r>
      <w:r>
        <w:rPr>
          <w:rStyle w:val="950"/>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50"/>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50"/>
          <w:rFonts w:hint="eastAsia" w:ascii="宋体" w:hAnsi="宋体" w:cs="宋体"/>
          <w:i w:val="0"/>
          <w:sz w:val="21"/>
          <w:szCs w:val="21"/>
          <w:u w:val="single"/>
          <w:shd w:val="clear" w:color="auto" w:fill="ffffff"/>
        </w:rPr>
        <w:t xml:space="preserve">（产品名称1） </w:t>
      </w:r>
      <w:r>
        <w:rPr>
          <w:rFonts w:hint="eastAsia" w:ascii="宋体" w:hAnsi="宋体" w:cs="宋体"/>
          <w:sz w:val="21"/>
          <w:szCs w:val="21"/>
          <w:shd w:val="clear" w:color="auto" w:fill="ffffff"/>
        </w:rPr>
        <w:t xml:space="preserve">的中国境内生产的组件成本占比≥</w:t>
      </w:r>
      <w:r>
        <w:rPr>
          <w:rStyle w:val="950"/>
          <w:rFonts w:hint="eastAsia" w:ascii="宋体" w:hAnsi="宋体" w:cs="宋体"/>
          <w:i w:val="0"/>
          <w:sz w:val="21"/>
          <w:szCs w:val="21"/>
          <w:u w:val="single"/>
          <w:shd w:val="clear" w:color="auto" w:fill="ffffff"/>
        </w:rPr>
        <w:t xml:space="preserve">（规定比例）</w:t>
      </w:r>
      <w:r>
        <w:rPr>
          <w:rStyle w:val="950"/>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50"/>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0"/>
          <w:rFonts w:hint="eastAsia" w:ascii="宋体" w:hAnsi="宋体" w:cs="宋体"/>
          <w:i w:val="0"/>
          <w:sz w:val="21"/>
          <w:szCs w:val="21"/>
          <w:u w:val="single"/>
          <w:shd w:val="clear" w:color="auto" w:fill="ffffff"/>
        </w:rPr>
        <w:t xml:space="preserve">（关键组件）</w:t>
      </w:r>
      <w:r>
        <w:rPr>
          <w:rStyle w:val="950"/>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50"/>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0"/>
          <w:rFonts w:hint="eastAsia" w:ascii="宋体" w:hAnsi="宋体" w:cs="宋体"/>
          <w:i w:val="0"/>
          <w:sz w:val="21"/>
          <w:szCs w:val="21"/>
          <w:u w:val="single"/>
          <w:shd w:val="clear" w:color="auto" w:fill="ffffff"/>
        </w:rPr>
        <w:t xml:space="preserve">（关键工序）</w:t>
      </w:r>
      <w:r>
        <w:rPr>
          <w:rStyle w:val="950"/>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45"/>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298450</wp:posOffset>
                </wp:positionH>
                <wp:positionV relativeFrom="paragraph">
                  <wp:posOffset>654685</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1552;o:allowoverlap:true;o:allowincell:true;mso-position-horizontal-relative:text;margin-left:23.5pt;mso-position-horizontal:absolute;mso-position-vertical-relative:text;margin-top:51.5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3126105</wp:posOffset>
                </wp:positionH>
                <wp:positionV relativeFrom="paragraph">
                  <wp:posOffset>398780</wp:posOffset>
                </wp:positionV>
                <wp:extent cx="424815" cy="1123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70528;o:allowoverlap:true;o:allowincell:true;mso-position-horizontal-relative:text;margin-left:246.1pt;mso-position-horizontal:absolute;mso-position-vertical-relative:text;margin-top:31.4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2215515</wp:posOffset>
                </wp:positionH>
                <wp:positionV relativeFrom="paragraph">
                  <wp:posOffset>392430</wp:posOffset>
                </wp:positionV>
                <wp:extent cx="424815" cy="1123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9504;o:allowoverlap:true;o:allowincell:true;mso-position-horizontal-relative:text;margin-left:174.4pt;mso-position-horizontal:absolute;mso-position-vertical-relative:text;margin-top:30.9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1137920</wp:posOffset>
                </wp:positionH>
                <wp:positionV relativeFrom="paragraph">
                  <wp:posOffset>422275</wp:posOffset>
                </wp:positionV>
                <wp:extent cx="424815" cy="1123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8480;o:allowoverlap:true;o:allowincell:true;mso-position-horizontal-relative:text;margin-left:89.6pt;mso-position-horizontal:absolute;mso-position-vertical-relative:text;margin-top:33.2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5137785</wp:posOffset>
                </wp:positionH>
                <wp:positionV relativeFrom="paragraph">
                  <wp:posOffset>384810</wp:posOffset>
                </wp:positionV>
                <wp:extent cx="462280" cy="14732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7456;o:allowoverlap:true;o:allowincell:true;mso-position-horizontal-relative:text;margin-left:404.5pt;mso-position-horizontal:absolute;mso-position-vertical-relative:text;margin-top:30.3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3044190</wp:posOffset>
                </wp:positionH>
                <wp:positionV relativeFrom="paragraph">
                  <wp:posOffset>81280</wp:posOffset>
                </wp:positionV>
                <wp:extent cx="84963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1312;o:allowoverlap:true;o:allowincell:true;mso-position-horizontal-relative:text;margin-left:239.7pt;mso-position-horizontal:absolute;mso-position-vertical-relative:text;margin-top:6.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6432;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950"/>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，生产厂为</w:t>
      </w:r>
      <w:r>
        <w:rPr>
          <w:rStyle w:val="950"/>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50"/>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50"/>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的中国境内生产的组件成本占比≥</w:t>
      </w:r>
      <w:r>
        <w:rPr>
          <w:rStyle w:val="950"/>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50"/>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w:t>
      </w:r>
      <w:r>
        <w:rPr>
          <w:rStyle w:val="950"/>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50"/>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0"/>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45"/>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w:t>
      </w:r>
      <w:r/>
    </w:p>
    <w:p>
      <w:pPr>
        <w:pStyle w:val="945"/>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45"/>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45"/>
        <w:ind w:right="480" w:firstLine="451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45"/>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日期：　   年　  月　  日         </w:t>
      </w:r>
      <w:r/>
    </w:p>
    <w:p>
      <w:pPr>
        <w:pStyle w:val="94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4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1.产品如有型号，请在“产品名称”栏一并填写。</w:t>
      </w:r>
      <w:r/>
    </w:p>
    <w:p>
      <w:pPr>
        <w:pStyle w:val="94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2.生产厂名与厂址应与生产厂营业执照载明的相关信息保持一致。</w:t>
      </w:r>
      <w:r/>
    </w:p>
    <w:p>
      <w:pPr>
        <w:pStyle w:val="94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3.该产品的中国境内生产的组件成本占比相关要求实施前，“规定比例”栏可不填，下同。</w:t>
      </w:r>
      <w:r/>
    </w:p>
    <w:p>
      <w:pPr>
        <w:pStyle w:val="94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4.该产品的关键组件要求实施前，“关键组件”栏可不填，下同。</w:t>
      </w:r>
      <w:r/>
    </w:p>
    <w:p>
      <w:pPr>
        <w:pStyle w:val="945"/>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5.该产品的关键工序要求实施前，“关键工序”栏可不填，下同。</w:t>
      </w:r>
      <w:r/>
    </w:p>
    <w:p>
      <w:pPr>
        <w:jc w:val="left"/>
        <w:spacing w:line="360" w:lineRule="auto"/>
        <w:rPr>
          <w:rFonts w:ascii="宋体" w:hAnsi="宋体" w:cs="宋体"/>
          <w:spacing w:val="6"/>
          <w:szCs w:val="21"/>
        </w:rPr>
      </w:pPr>
      <w:r>
        <w:rPr>
          <w:rFonts w:hint="eastAsia" w:ascii="宋体" w:hAnsi="宋体" w:cs="宋体"/>
          <w:szCs w:val="21"/>
          <w:shd w:val="clear" w:color="auto" w:fill="ffffff"/>
        </w:rPr>
        <w:t xml:space="preserve">6.用斜线划除的地方无需填写。</w:t>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b/>
          <w:bCs/>
          <w:szCs w:val="21"/>
        </w:rPr>
      </w:pPr>
      <w:r>
        <w:rPr>
          <w:rFonts w:hint="eastAsia" w:ascii="宋体" w:hAnsi="宋体" w:cs="宋体"/>
          <w:b/>
          <w:bCs/>
          <w:spacing w:val="6"/>
          <w:szCs w:val="21"/>
        </w:rPr>
        <w:t xml:space="preserve">附件18：政府采购合同信用融资政策告知函（本附件无需签章放置投标文件中）</w:t>
      </w:r>
      <w:r/>
    </w:p>
    <w:p>
      <w:pP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bCs/>
          <w:spacing w:val="6"/>
          <w:szCs w:val="21"/>
        </w:rPr>
        <w:t xml:space="preserve">政府采购合同信用融资政策告知函</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ind w:firstLine="420"/>
        <w:spacing w:line="360" w:lineRule="auto"/>
        <w:rPr>
          <w:rFonts w:ascii="宋体" w:hAnsi="宋体" w:cs="宋体"/>
          <w:spacing w:val="6"/>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45"/>
      <w:r/>
      <w:bookmarkEnd w:id="46"/>
      <w:r/>
      <w:bookmarkEnd w:id="47"/>
      <w:r/>
      <w:bookmarkEnd w:id="48"/>
      <w:r/>
      <w:r/>
    </w:p>
    <w:p>
      <w:pPr>
        <w:pStyle w:val="940"/>
        <w:ind w:firstLine="640"/>
        <w:jc w:val="center"/>
        <w:pageBreakBefore/>
        <w:spacing w:line="360" w:lineRule="auto"/>
        <w:tabs>
          <w:tab w:val="right" w:pos="8302" w:leader="dot"/>
        </w:tabs>
        <w:rPr>
          <w:rStyle w:val="948"/>
          <w:rFonts w:ascii="宋体" w:hAnsi="宋体" w:cs="宋体"/>
          <w:sz w:val="32"/>
          <w:szCs w:val="32"/>
        </w:rPr>
      </w:pPr>
      <w:r>
        <w:rPr>
          <w:rStyle w:val="948"/>
          <w:rFonts w:hint="eastAsia" w:ascii="宋体" w:hAnsi="宋体" w:cs="宋体"/>
          <w:sz w:val="32"/>
          <w:szCs w:val="32"/>
        </w:rPr>
        <w:t xml:space="preserve">第四章 招标书</w:t>
      </w:r>
      <w:r/>
    </w:p>
    <w:p>
      <w:pPr>
        <w:ind w:firstLine="420"/>
        <w:spacing w:line="360" w:lineRule="auto"/>
        <w:rPr>
          <w:rFonts w:ascii="宋体" w:hAnsi="宋体" w:cs="宋体"/>
          <w:lang w:val="zh-CN"/>
        </w:rPr>
      </w:pPr>
      <w:r/>
      <w:bookmarkStart w:id="51" w:name="XTDLJG_1"/>
      <w:r>
        <w:rPr>
          <w:rFonts w:hint="eastAsia" w:ascii="宋体" w:hAnsi="宋体" w:cs="宋体"/>
          <w:szCs w:val="21"/>
          <w:lang w:val="zh-CN"/>
        </w:rPr>
        <w:t xml:space="preserve">受</w:t>
      </w:r>
      <w:r>
        <w:rPr>
          <w:rFonts w:hint="eastAsia" w:ascii="宋体" w:hAnsi="宋体" w:cs="宋体"/>
          <w:bCs/>
          <w:szCs w:val="21"/>
        </w:rPr>
        <w:t xml:space="preserve">苏州市立医院</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康复设备一批</w:t>
      </w:r>
      <w:r>
        <w:rPr>
          <w:rFonts w:hint="eastAsia" w:ascii="宋体" w:hAnsi="宋体" w:cs="宋体"/>
          <w:szCs w:val="21"/>
          <w:lang w:val="zh-CN"/>
        </w:rPr>
        <w:t xml:space="preserve">的政府采购进行国内公开招标。</w:t>
      </w:r>
      <w:r/>
    </w:p>
    <w:p>
      <w:pPr>
        <w:pStyle w:val="918"/>
        <w:numPr>
          <w:ilvl w:val="1"/>
          <w:numId w:val="0"/>
        </w:numPr>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JSZC-320500-CJZB-G2026-0087号</w:t>
      </w:r>
      <w:r/>
    </w:p>
    <w:p>
      <w:pPr>
        <w:spacing w:line="360" w:lineRule="auto"/>
        <w:rPr>
          <w:rFonts w:ascii="宋体" w:hAnsi="宋体" w:cs="宋体"/>
          <w:szCs w:val="21"/>
        </w:rPr>
      </w:pPr>
      <w:r>
        <w:rPr>
          <w:rFonts w:hint="eastAsia" w:ascii="宋体" w:hAnsi="宋体" w:cs="宋体"/>
          <w:b/>
        </w:rPr>
        <w:t xml:space="preserve">二、项目名称</w:t>
      </w:r>
      <w:r>
        <w:rPr>
          <w:rFonts w:hint="eastAsia" w:ascii="宋体" w:hAnsi="宋体" w:cs="宋体"/>
          <w:lang w:val="zh-CN"/>
        </w:rPr>
        <w:t xml:space="preserve">：</w:t>
      </w:r>
      <w:r>
        <w:rPr>
          <w:rFonts w:hint="eastAsia" w:ascii="宋体" w:hAnsi="宋体" w:cs="宋体"/>
          <w:szCs w:val="21"/>
        </w:rPr>
        <w:t xml:space="preserve">康复设备一批</w:t>
      </w:r>
      <w:r/>
    </w:p>
    <w:p>
      <w:pPr>
        <w:spacing w:line="360" w:lineRule="auto"/>
        <w:rPr>
          <w:rFonts w:ascii="宋体" w:hAnsi="宋体" w:cs="宋体"/>
          <w:szCs w:val="21"/>
        </w:rPr>
      </w:pPr>
      <w:r>
        <w:rPr>
          <w:rFonts w:hint="eastAsia" w:ascii="宋体" w:hAnsi="宋体" w:cs="宋体"/>
          <w:b/>
          <w:bCs/>
          <w:szCs w:val="21"/>
        </w:rPr>
        <w:t xml:space="preserve">三、预算金额</w:t>
      </w:r>
      <w:r>
        <w:rPr>
          <w:rFonts w:hint="eastAsia" w:ascii="宋体" w:hAnsi="宋体" w:cs="宋体"/>
          <w:szCs w:val="21"/>
        </w:rPr>
        <w:t xml:space="preserve">：人民币叁佰玖拾万元整（¥：3900000.00）</w:t>
      </w:r>
      <w:r/>
    </w:p>
    <w:p>
      <w:pPr>
        <w:ind w:firstLine="422"/>
        <w:spacing w:line="360" w:lineRule="auto"/>
        <w:rPr>
          <w:rFonts w:ascii="宋体" w:hAnsi="宋体" w:cs="宋体"/>
          <w:szCs w:val="21"/>
        </w:rPr>
      </w:pPr>
      <w:r>
        <w:rPr>
          <w:rFonts w:hint="eastAsia" w:ascii="宋体" w:hAnsi="宋体" w:cs="宋体"/>
          <w:b/>
          <w:bCs/>
          <w:szCs w:val="21"/>
        </w:rPr>
        <w:t xml:space="preserve">最高限价</w:t>
      </w:r>
      <w:r>
        <w:rPr>
          <w:rFonts w:hint="eastAsia" w:ascii="宋体" w:hAnsi="宋体" w:cs="宋体"/>
          <w:szCs w:val="21"/>
        </w:rPr>
        <w:t xml:space="preserve">：人民币叁佰玖拾万元整（¥：3900000.00）</w:t>
      </w:r>
      <w:r/>
    </w:p>
    <w:p>
      <w:pPr>
        <w:spacing w:line="360" w:lineRule="auto"/>
        <w:rPr>
          <w:rFonts w:ascii="宋体" w:hAnsi="宋体"/>
          <w:b/>
          <w:bCs/>
          <w:szCs w:val="21"/>
        </w:rPr>
      </w:pPr>
      <w:r>
        <w:rPr>
          <w:rFonts w:hint="eastAsia" w:ascii="宋体" w:hAnsi="宋体"/>
          <w:b/>
          <w:bCs/>
          <w:szCs w:val="21"/>
        </w:rPr>
        <w:t xml:space="preserve">五、</w:t>
      </w:r>
      <w:r>
        <w:rPr>
          <w:rFonts w:hint="eastAsia" w:ascii="宋体" w:hAnsi="宋体"/>
          <w:b/>
          <w:bCs/>
          <w:szCs w:val="21"/>
        </w:rPr>
        <w:t xml:space="preserve">采购清单</w:t>
      </w:r>
      <w:r/>
    </w:p>
    <w:tbl>
      <w:tblPr>
        <w:tblStyle w:val="947"/>
        <w:tblW w:w="9010" w:type="dxa"/>
        <w:tblInd w:w="327" w:type="dxa"/>
        <w:tblLook w:val="04A0" w:firstRow="1" w:lastRow="0" w:firstColumn="1" w:lastColumn="0" w:noHBand="0" w:noVBand="1"/>
      </w:tblPr>
      <w:tblGrid>
        <w:gridCol w:w="891"/>
        <w:gridCol w:w="3478"/>
        <w:gridCol w:w="1444"/>
        <w:gridCol w:w="1425"/>
        <w:gridCol w:w="1772"/>
      </w:tblGrid>
      <w:tr>
        <w:trPr/>
        <w:tc>
          <w:tcPr>
            <w:tcW w:w="891" w:type="dxa"/>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序号</w:t>
            </w:r>
            <w:r/>
          </w:p>
        </w:tc>
        <w:tc>
          <w:tcPr>
            <w:tcW w:w="3478" w:type="dxa"/>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标的名称</w:t>
            </w:r>
            <w:r/>
          </w:p>
        </w:tc>
        <w:tc>
          <w:tcPr>
            <w:tcW w:w="1444" w:type="dxa"/>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数量</w:t>
            </w:r>
            <w:r/>
          </w:p>
        </w:tc>
        <w:tc>
          <w:tcPr>
            <w:tcW w:w="1425" w:type="dxa"/>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单位</w:t>
            </w:r>
            <w:r/>
          </w:p>
        </w:tc>
        <w:tc>
          <w:tcPr>
            <w:tcW w:w="1772" w:type="dxa"/>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备注</w:t>
            </w:r>
            <w:r/>
          </w:p>
        </w:tc>
      </w:tr>
      <w:tr>
        <w:trPr/>
        <w:tc>
          <w:tcPr>
            <w:tcW w:w="891" w:type="dxa"/>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tcW w:w="3478" w:type="dxa"/>
            <w:textDirection w:val="lrTb"/>
            <w:noWrap w:val="false"/>
          </w:tcPr>
          <w:p>
            <w:pPr>
              <w:spacing w:line="360" w:lineRule="auto"/>
              <w:rPr>
                <w:rFonts w:ascii="宋体" w:hAnsi="宋体" w:cs="宋体"/>
                <w:szCs w:val="21"/>
              </w:rPr>
            </w:pPr>
            <w:r>
              <w:rPr>
                <w:rFonts w:hint="eastAsia" w:ascii="宋体" w:hAnsi="宋体" w:cs="宋体"/>
                <w:szCs w:val="21"/>
              </w:rPr>
              <w:t xml:space="preserve">近红外脑功能成像仪</w:t>
            </w:r>
            <w:r/>
          </w:p>
        </w:tc>
        <w:tc>
          <w:tcPr>
            <w:tcW w:w="1444" w:type="dxa"/>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tcW w:w="1425" w:type="dxa"/>
            <w:textDirection w:val="lrTb"/>
            <w:noWrap w:val="false"/>
          </w:tcPr>
          <w:p>
            <w:pPr>
              <w:spacing w:line="360" w:lineRule="auto"/>
              <w:rPr>
                <w:rFonts w:ascii="宋体" w:hAnsi="宋体" w:cs="宋体"/>
                <w:szCs w:val="21"/>
              </w:rPr>
            </w:pPr>
            <w:r>
              <w:rPr>
                <w:rFonts w:hint="eastAsia" w:ascii="宋体" w:hAnsi="宋体" w:cs="宋体"/>
                <w:szCs w:val="21"/>
              </w:rPr>
              <w:t xml:space="preserve">台</w:t>
            </w:r>
            <w:r/>
          </w:p>
        </w:tc>
        <w:tc>
          <w:tcPr>
            <w:tcW w:w="1772" w:type="dxa"/>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均不接受进口产品投标</w:t>
            </w:r>
            <w:r/>
          </w:p>
        </w:tc>
      </w:tr>
      <w:tr>
        <w:trPr/>
        <w:tc>
          <w:tcPr>
            <w:tcW w:w="891" w:type="dxa"/>
            <w:textDirection w:val="lrTb"/>
            <w:noWrap w:val="false"/>
          </w:tcPr>
          <w:p>
            <w:pPr>
              <w:spacing w:line="360" w:lineRule="auto"/>
              <w:rPr>
                <w:rFonts w:ascii="宋体" w:hAnsi="宋体" w:cs="宋体"/>
                <w:szCs w:val="21"/>
              </w:rPr>
            </w:pPr>
            <w:r>
              <w:rPr>
                <w:rFonts w:hint="eastAsia" w:ascii="宋体" w:hAnsi="宋体" w:cs="宋体"/>
                <w:szCs w:val="21"/>
              </w:rPr>
              <w:t xml:space="preserve">2</w:t>
            </w:r>
            <w:r/>
          </w:p>
        </w:tc>
        <w:tc>
          <w:tcPr>
            <w:tcW w:w="3478" w:type="dxa"/>
            <w:textDirection w:val="lrTb"/>
            <w:noWrap w:val="false"/>
          </w:tcPr>
          <w:p>
            <w:pPr>
              <w:spacing w:line="360" w:lineRule="auto"/>
              <w:rPr>
                <w:rFonts w:ascii="宋体" w:hAnsi="宋体" w:cs="宋体"/>
                <w:szCs w:val="21"/>
              </w:rPr>
            </w:pPr>
            <w:r>
              <w:rPr>
                <w:rFonts w:hint="eastAsia" w:ascii="宋体" w:hAnsi="宋体" w:cs="宋体"/>
                <w:szCs w:val="21"/>
              </w:rPr>
              <w:t xml:space="preserve">上下肢主被动运动康复训练系统（脑机接口版）</w:t>
            </w:r>
            <w:r/>
          </w:p>
        </w:tc>
        <w:tc>
          <w:tcPr>
            <w:tcW w:w="1444" w:type="dxa"/>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tcW w:w="1425" w:type="dxa"/>
            <w:textDirection w:val="lrTb"/>
            <w:noWrap w:val="false"/>
          </w:tcPr>
          <w:p>
            <w:pPr>
              <w:spacing w:line="360" w:lineRule="auto"/>
              <w:rPr>
                <w:rFonts w:ascii="宋体" w:hAnsi="宋体" w:cs="宋体"/>
                <w:szCs w:val="21"/>
              </w:rPr>
            </w:pPr>
            <w:r>
              <w:rPr>
                <w:rFonts w:hint="eastAsia" w:ascii="宋体" w:hAnsi="宋体" w:cs="宋体"/>
                <w:szCs w:val="21"/>
              </w:rPr>
              <w:t xml:space="preserve">套</w:t>
            </w:r>
            <w:r/>
          </w:p>
        </w:tc>
        <w:tc>
          <w:tcPr>
            <w:tcW w:w="1772"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c>
          <w:tcPr>
            <w:tcW w:w="891" w:type="dxa"/>
            <w:textDirection w:val="lrTb"/>
            <w:noWrap w:val="false"/>
          </w:tcPr>
          <w:p>
            <w:pPr>
              <w:spacing w:line="360" w:lineRule="auto"/>
              <w:rPr>
                <w:rFonts w:ascii="宋体" w:hAnsi="宋体" w:cs="宋体"/>
                <w:szCs w:val="21"/>
              </w:rPr>
            </w:pPr>
            <w:r>
              <w:rPr>
                <w:rFonts w:hint="eastAsia" w:ascii="宋体" w:hAnsi="宋体" w:cs="宋体"/>
                <w:szCs w:val="21"/>
              </w:rPr>
              <w:t xml:space="preserve">3</w:t>
            </w:r>
            <w:r/>
          </w:p>
        </w:tc>
        <w:tc>
          <w:tcPr>
            <w:tcW w:w="3478" w:type="dxa"/>
            <w:textDirection w:val="lrTb"/>
            <w:noWrap w:val="false"/>
          </w:tcPr>
          <w:p>
            <w:pPr>
              <w:spacing w:line="360" w:lineRule="auto"/>
              <w:rPr>
                <w:rFonts w:ascii="宋体" w:hAnsi="宋体" w:cs="宋体"/>
                <w:szCs w:val="21"/>
              </w:rPr>
            </w:pPr>
            <w:r>
              <w:rPr>
                <w:rFonts w:hint="eastAsia" w:ascii="宋体" w:hAnsi="宋体" w:cs="宋体"/>
                <w:szCs w:val="21"/>
              </w:rPr>
              <w:t xml:space="preserve">电动病床</w:t>
            </w:r>
            <w:r/>
          </w:p>
        </w:tc>
        <w:tc>
          <w:tcPr>
            <w:tcW w:w="1444" w:type="dxa"/>
            <w:textDirection w:val="lrTb"/>
            <w:noWrap w:val="false"/>
          </w:tcPr>
          <w:p>
            <w:pPr>
              <w:spacing w:line="360" w:lineRule="auto"/>
              <w:rPr>
                <w:rFonts w:ascii="宋体" w:hAnsi="宋体" w:cs="宋体"/>
                <w:szCs w:val="21"/>
              </w:rPr>
            </w:pPr>
            <w:r>
              <w:rPr>
                <w:rFonts w:hint="eastAsia" w:ascii="宋体" w:hAnsi="宋体" w:cs="宋体"/>
                <w:szCs w:val="21"/>
              </w:rPr>
              <w:t xml:space="preserve">5</w:t>
            </w:r>
            <w:r/>
          </w:p>
        </w:tc>
        <w:tc>
          <w:tcPr>
            <w:tcW w:w="1425" w:type="dxa"/>
            <w:textDirection w:val="lrTb"/>
            <w:noWrap w:val="false"/>
          </w:tcPr>
          <w:p>
            <w:pPr>
              <w:spacing w:line="360" w:lineRule="auto"/>
              <w:rPr>
                <w:rFonts w:ascii="宋体" w:hAnsi="宋体" w:cs="宋体"/>
                <w:szCs w:val="21"/>
              </w:rPr>
            </w:pPr>
            <w:r>
              <w:rPr>
                <w:rFonts w:hint="eastAsia" w:ascii="宋体" w:hAnsi="宋体" w:cs="宋体"/>
                <w:szCs w:val="21"/>
              </w:rPr>
              <w:t xml:space="preserve">张</w:t>
            </w:r>
            <w:r/>
          </w:p>
        </w:tc>
        <w:tc>
          <w:tcPr>
            <w:tcW w:w="1772"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c>
          <w:tcPr>
            <w:tcW w:w="891" w:type="dxa"/>
            <w:textDirection w:val="lrTb"/>
            <w:noWrap w:val="false"/>
          </w:tcPr>
          <w:p>
            <w:pPr>
              <w:spacing w:line="360" w:lineRule="auto"/>
              <w:rPr>
                <w:rFonts w:ascii="宋体" w:hAnsi="宋体" w:cs="宋体"/>
                <w:szCs w:val="21"/>
              </w:rPr>
            </w:pPr>
            <w:r>
              <w:rPr>
                <w:rFonts w:hint="eastAsia" w:ascii="宋体" w:hAnsi="宋体" w:cs="宋体"/>
                <w:szCs w:val="21"/>
              </w:rPr>
              <w:t xml:space="preserve">4</w:t>
            </w:r>
            <w:r/>
          </w:p>
        </w:tc>
        <w:tc>
          <w:tcPr>
            <w:tcW w:w="3478" w:type="dxa"/>
            <w:textDirection w:val="lrTb"/>
            <w:noWrap w:val="false"/>
          </w:tcPr>
          <w:p>
            <w:pPr>
              <w:spacing w:line="360" w:lineRule="auto"/>
              <w:rPr>
                <w:rFonts w:ascii="宋体" w:hAnsi="宋体" w:cs="宋体"/>
                <w:szCs w:val="21"/>
              </w:rPr>
            </w:pPr>
            <w:r>
              <w:rPr>
                <w:rFonts w:hint="eastAsia" w:ascii="宋体" w:hAnsi="宋体" w:cs="宋体"/>
                <w:szCs w:val="21"/>
              </w:rPr>
              <w:t xml:space="preserve">深部经颅电刺激仪</w:t>
            </w:r>
            <w:r/>
          </w:p>
        </w:tc>
        <w:tc>
          <w:tcPr>
            <w:tcW w:w="1444" w:type="dxa"/>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tcW w:w="1425" w:type="dxa"/>
            <w:textDirection w:val="lrTb"/>
            <w:noWrap w:val="false"/>
          </w:tcPr>
          <w:p>
            <w:pPr>
              <w:spacing w:line="360" w:lineRule="auto"/>
              <w:rPr>
                <w:rFonts w:ascii="宋体" w:hAnsi="宋体" w:cs="宋体"/>
                <w:szCs w:val="21"/>
              </w:rPr>
            </w:pPr>
            <w:r>
              <w:rPr>
                <w:rFonts w:hint="eastAsia" w:ascii="宋体" w:hAnsi="宋体" w:cs="宋体"/>
                <w:szCs w:val="21"/>
              </w:rPr>
              <w:t xml:space="preserve">台</w:t>
            </w:r>
            <w:r/>
          </w:p>
        </w:tc>
        <w:tc>
          <w:tcPr>
            <w:tcW w:w="1772"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六、具体技术要求</w:t>
      </w:r>
      <w:r/>
    </w:p>
    <w:p>
      <w:pPr>
        <w:spacing w:line="360" w:lineRule="auto"/>
        <w:rPr>
          <w:rFonts w:ascii="宋体" w:hAnsi="宋体" w:cs="宋体"/>
          <w:b/>
          <w:bCs/>
          <w:szCs w:val="21"/>
        </w:rPr>
      </w:pPr>
      <w:r>
        <w:rPr>
          <w:rFonts w:hint="eastAsia" w:ascii="宋体" w:hAnsi="宋体" w:cs="宋体"/>
          <w:b/>
          <w:bCs/>
          <w:szCs w:val="21"/>
        </w:rPr>
        <w:t xml:space="preserve">（一）近红外脑功能成像仪</w:t>
      </w:r>
      <w:r/>
    </w:p>
    <w:p>
      <w:pPr>
        <w:spacing w:line="360" w:lineRule="auto"/>
        <w:rPr>
          <w:rFonts w:ascii="宋体" w:hAnsi="宋体" w:cs="宋体"/>
          <w:szCs w:val="21"/>
        </w:rPr>
      </w:pPr>
      <w:r>
        <w:rPr>
          <w:rFonts w:hint="eastAsia" w:ascii="宋体" w:hAnsi="宋体" w:cs="宋体"/>
          <w:szCs w:val="21"/>
        </w:rPr>
        <w:t xml:space="preserve">产品适用范围：通过检测照射在生理机体表面的近红外光的吸收量变化，从而对脑皮质表面区域血液中的氧合、脱氧血红蛋白的浓度变化进行多点测量，可获得血液量变化的分布、脑代谢及循环状态的图谱图像，显示脑活化状态数据；</w:t>
      </w:r>
      <w:r/>
    </w:p>
    <w:p>
      <w:pPr>
        <w:spacing w:line="360" w:lineRule="auto"/>
        <w:rPr>
          <w:rFonts w:ascii="宋体" w:hAnsi="宋体" w:cs="宋体"/>
          <w:szCs w:val="21"/>
        </w:rPr>
      </w:pPr>
      <w:r>
        <w:rPr>
          <w:rFonts w:hint="eastAsia" w:ascii="宋体" w:hAnsi="宋体" w:cs="宋体"/>
          <w:szCs w:val="21"/>
        </w:rPr>
        <w:t xml:space="preserve">1.采用分频或者分时采集；</w:t>
      </w:r>
      <w:r/>
    </w:p>
    <w:p>
      <w:pPr>
        <w:spacing w:line="360" w:lineRule="auto"/>
        <w:rPr>
          <w:rFonts w:ascii="宋体" w:hAnsi="宋体" w:cs="宋体"/>
          <w:szCs w:val="21"/>
        </w:rPr>
      </w:pPr>
      <w:r>
        <w:rPr>
          <w:rFonts w:hint="eastAsia" w:ascii="宋体" w:hAnsi="宋体" w:cs="宋体"/>
          <w:szCs w:val="21"/>
        </w:rPr>
        <w:t xml:space="preserve">2.采用两波长或者三波长光源进行测量；</w:t>
      </w:r>
      <w:r/>
    </w:p>
    <w:p>
      <w:pPr>
        <w:spacing w:line="360" w:lineRule="auto"/>
        <w:rPr>
          <w:rFonts w:ascii="宋体" w:hAnsi="宋体" w:cs="宋体"/>
          <w:szCs w:val="21"/>
        </w:rPr>
      </w:pPr>
      <w:r>
        <w:rPr>
          <w:rFonts w:hint="eastAsia" w:ascii="宋体" w:hAnsi="宋体" w:cs="宋体"/>
          <w:szCs w:val="21"/>
        </w:rPr>
        <w:t xml:space="preserve">▲3.波长间隔≥120nm，在一定范围内，波段间隔越大，所采集到的数据越能区分出不同血红蛋白的真实变化值；</w:t>
      </w:r>
      <w:r/>
    </w:p>
    <w:p>
      <w:pPr>
        <w:spacing w:line="360" w:lineRule="auto"/>
        <w:rPr>
          <w:rFonts w:ascii="宋体" w:hAnsi="宋体" w:cs="宋体"/>
          <w:szCs w:val="21"/>
        </w:rPr>
      </w:pPr>
      <w:r>
        <w:rPr>
          <w:rFonts w:hint="eastAsia" w:ascii="宋体" w:hAnsi="宋体" w:cs="宋体"/>
          <w:szCs w:val="21"/>
        </w:rPr>
        <w:t xml:space="preserve">4. 检测波长：最长波长≤835nm；</w:t>
      </w:r>
      <w:r/>
    </w:p>
    <w:p>
      <w:pPr>
        <w:spacing w:line="360" w:lineRule="auto"/>
        <w:rPr>
          <w:rFonts w:ascii="宋体" w:hAnsi="宋体" w:cs="宋体"/>
          <w:szCs w:val="21"/>
        </w:rPr>
      </w:pPr>
      <w:r>
        <w:rPr>
          <w:rFonts w:hint="eastAsia" w:ascii="宋体" w:hAnsi="宋体" w:cs="宋体"/>
          <w:szCs w:val="21"/>
        </w:rPr>
        <w:t xml:space="preserve">5.检测探头动态范围：≥100dB，支撑从儿童、成人、老年人等不同人群，从额叶到有头发的顶叶不同脑区的探测需要。</w:t>
      </w:r>
      <w:r/>
    </w:p>
    <w:p>
      <w:pPr>
        <w:spacing w:line="360" w:lineRule="auto"/>
        <w:rPr>
          <w:rFonts w:ascii="宋体" w:hAnsi="宋体" w:cs="宋体"/>
          <w:szCs w:val="21"/>
        </w:rPr>
      </w:pPr>
      <w:r>
        <w:rPr>
          <w:rFonts w:hint="eastAsia" w:ascii="宋体" w:hAnsi="宋体" w:cs="宋体"/>
          <w:szCs w:val="21"/>
        </w:rPr>
        <w:t xml:space="preserve">▲6.光源类型：设备采用激光光源；（提供具备CMA资质的第三方出具的检验报告或药监局备案的技术要求证明）</w:t>
      </w:r>
      <w:r/>
    </w:p>
    <w:p>
      <w:pPr>
        <w:spacing w:line="360" w:lineRule="auto"/>
        <w:rPr>
          <w:rFonts w:ascii="宋体" w:hAnsi="宋体" w:cs="宋体"/>
          <w:szCs w:val="21"/>
        </w:rPr>
      </w:pPr>
      <w:r>
        <w:rPr>
          <w:rFonts w:hint="eastAsia" w:ascii="宋体" w:hAnsi="宋体" w:cs="宋体"/>
          <w:szCs w:val="21"/>
        </w:rPr>
        <w:t xml:space="preserve">▲7.激光光源安全等级不低于Class1级；（提供具备CMA资质的第三方出具的检验报告或药监局备</w:t>
      </w:r>
      <w:r>
        <w:rPr>
          <w:rFonts w:hint="eastAsia" w:ascii="宋体" w:hAnsi="宋体" w:cs="宋体"/>
          <w:szCs w:val="21"/>
        </w:rPr>
        <w:t xml:space="preserve">案的技术要求证明）</w:t>
      </w:r>
      <w:r/>
    </w:p>
    <w:p>
      <w:pPr>
        <w:spacing w:line="360" w:lineRule="auto"/>
        <w:rPr>
          <w:rFonts w:ascii="宋体" w:hAnsi="宋体" w:cs="宋体"/>
          <w:szCs w:val="21"/>
        </w:rPr>
      </w:pPr>
      <w:r>
        <w:rPr>
          <w:rFonts w:hint="eastAsia" w:ascii="宋体" w:hAnsi="宋体" w:cs="宋体"/>
          <w:szCs w:val="21"/>
        </w:rPr>
        <w:t xml:space="preserve">8.单波长光强信号15分钟内波动量小于光强信号均值的0.5%；</w:t>
      </w:r>
      <w:r/>
    </w:p>
    <w:p>
      <w:pPr>
        <w:spacing w:line="360" w:lineRule="auto"/>
        <w:rPr>
          <w:rFonts w:ascii="宋体" w:hAnsi="宋体" w:cs="宋体"/>
          <w:szCs w:val="21"/>
        </w:rPr>
      </w:pPr>
      <w:r>
        <w:rPr>
          <w:rFonts w:hint="eastAsia" w:ascii="宋体" w:hAnsi="宋体" w:cs="宋体"/>
          <w:szCs w:val="21"/>
        </w:rPr>
        <w:t xml:space="preserve">9.光纤探头形态：采用L型形态设计，满足不同场景的需求；</w:t>
      </w:r>
      <w:r/>
    </w:p>
    <w:p>
      <w:pPr>
        <w:spacing w:line="360" w:lineRule="auto"/>
        <w:rPr>
          <w:rFonts w:ascii="宋体" w:hAnsi="宋体" w:cs="宋体"/>
          <w:szCs w:val="21"/>
        </w:rPr>
      </w:pPr>
      <w:r>
        <w:rPr>
          <w:rFonts w:hint="eastAsia" w:ascii="宋体" w:hAnsi="宋体" w:cs="宋体"/>
          <w:szCs w:val="21"/>
        </w:rPr>
        <w:t xml:space="preserve">10.光纤材质与长度：石英光纤，长度≥3.5m；</w:t>
      </w:r>
      <w:r/>
    </w:p>
    <w:p>
      <w:pPr>
        <w:spacing w:line="360" w:lineRule="auto"/>
        <w:rPr>
          <w:rFonts w:ascii="宋体" w:hAnsi="宋体" w:cs="宋体"/>
          <w:szCs w:val="21"/>
        </w:rPr>
      </w:pPr>
      <w:r>
        <w:rPr>
          <w:rFonts w:hint="eastAsia" w:ascii="宋体" w:hAnsi="宋体" w:cs="宋体"/>
          <w:szCs w:val="21"/>
        </w:rPr>
        <w:t xml:space="preserve">11.光源数量：≥32；</w:t>
      </w:r>
      <w:r/>
    </w:p>
    <w:p>
      <w:pPr>
        <w:spacing w:line="360" w:lineRule="auto"/>
        <w:rPr>
          <w:rFonts w:ascii="宋体" w:hAnsi="宋体" w:cs="宋体"/>
          <w:szCs w:val="21"/>
        </w:rPr>
      </w:pPr>
      <w:r>
        <w:rPr>
          <w:rFonts w:hint="eastAsia" w:ascii="宋体" w:hAnsi="宋体" w:cs="宋体"/>
          <w:szCs w:val="21"/>
        </w:rPr>
        <w:t xml:space="preserve">12.探头数量：≥32；</w:t>
      </w:r>
      <w:r/>
    </w:p>
    <w:p>
      <w:pPr>
        <w:spacing w:line="360" w:lineRule="auto"/>
        <w:rPr>
          <w:rFonts w:ascii="宋体" w:hAnsi="宋体" w:cs="宋体"/>
          <w:szCs w:val="21"/>
        </w:rPr>
      </w:pPr>
      <w:r>
        <w:rPr>
          <w:rFonts w:hint="eastAsia" w:ascii="宋体" w:hAnsi="宋体" w:cs="宋体"/>
          <w:szCs w:val="21"/>
        </w:rPr>
        <w:t xml:space="preserve">▲13.非断层下的有效测量（2.55cm≤最长发射-探测器距离≤4cm）的最大通道：≥106通道；</w:t>
      </w:r>
      <w:r/>
    </w:p>
    <w:p>
      <w:pPr>
        <w:spacing w:line="360" w:lineRule="auto"/>
        <w:rPr>
          <w:rFonts w:ascii="宋体" w:hAnsi="宋体" w:cs="宋体"/>
          <w:szCs w:val="21"/>
        </w:rPr>
      </w:pPr>
      <w:r>
        <w:rPr>
          <w:rFonts w:hint="eastAsia" w:ascii="宋体" w:hAnsi="宋体" w:cs="宋体"/>
          <w:szCs w:val="21"/>
        </w:rPr>
        <w:t xml:space="preserve">14.发射探头光功率：单波长≥60mW；</w:t>
      </w:r>
      <w:r/>
    </w:p>
    <w:p>
      <w:pPr>
        <w:spacing w:line="360" w:lineRule="auto"/>
        <w:rPr>
          <w:rFonts w:ascii="宋体" w:hAnsi="宋体" w:cs="宋体"/>
          <w:szCs w:val="21"/>
        </w:rPr>
      </w:pPr>
      <w:r>
        <w:rPr>
          <w:rFonts w:hint="eastAsia" w:ascii="宋体" w:hAnsi="宋体" w:cs="宋体"/>
          <w:szCs w:val="21"/>
        </w:rPr>
        <w:t xml:space="preserve">▲15.近红外设备为落地式一体机型设备（非悬挂式、非简易穿戴式、非便携设备）；</w:t>
      </w:r>
      <w:r/>
    </w:p>
    <w:p>
      <w:pPr>
        <w:spacing w:line="360" w:lineRule="auto"/>
        <w:rPr>
          <w:rFonts w:ascii="宋体" w:hAnsi="宋体" w:cs="宋体"/>
          <w:szCs w:val="21"/>
        </w:rPr>
      </w:pPr>
      <w:r/>
      <w:bookmarkStart w:id="52" w:name="OLE_LINK1"/>
      <w:r>
        <w:rPr>
          <w:rFonts w:hint="eastAsia" w:ascii="宋体" w:hAnsi="宋体" w:cs="宋体"/>
          <w:szCs w:val="21"/>
        </w:rPr>
        <w:t xml:space="preserve">16.光纤帽：可根据不同需求提供前额叶、额顶叶、顶叶与语言区、顶叶等多种头帽，适用不同头围人群，实现自由探测不同大脑区域；</w:t>
      </w:r>
      <w:bookmarkEnd w:id="52"/>
      <w:r>
        <w:rPr>
          <w:rFonts w:hint="eastAsia" w:ascii="宋体" w:hAnsi="宋体" w:cs="宋体"/>
          <w:szCs w:val="21"/>
        </w:rPr>
        <w:t xml:space="preserve">支持光纤帽定制；</w:t>
      </w:r>
      <w:r/>
    </w:p>
    <w:p>
      <w:pPr>
        <w:spacing w:line="360" w:lineRule="auto"/>
        <w:rPr>
          <w:rFonts w:ascii="宋体" w:hAnsi="宋体" w:cs="宋体"/>
          <w:szCs w:val="21"/>
        </w:rPr>
      </w:pPr>
      <w:r>
        <w:rPr>
          <w:rFonts w:hint="eastAsia" w:ascii="宋体" w:hAnsi="宋体" w:cs="宋体"/>
          <w:szCs w:val="21"/>
        </w:rPr>
        <w:t xml:space="preserve">17. 多模态同步研究：脑电图（EEG）、经颅直流电刺激（tDCS）、经颅磁刺激（TMS）等多模态同步研究；</w:t>
      </w:r>
      <w:r/>
    </w:p>
    <w:p>
      <w:pPr>
        <w:spacing w:line="360" w:lineRule="auto"/>
        <w:rPr>
          <w:rFonts w:ascii="宋体" w:hAnsi="宋体" w:cs="宋体"/>
          <w:szCs w:val="21"/>
        </w:rPr>
      </w:pPr>
      <w:r>
        <w:rPr>
          <w:rFonts w:hint="eastAsia" w:ascii="宋体" w:hAnsi="宋体" w:cs="宋体"/>
          <w:szCs w:val="21"/>
        </w:rPr>
        <w:t xml:space="preserve">18.检测软件内置精神科经典的VFT（言语流畅刺激任务），以及数据分析与报告输出，输出指标有波形特征、峰值、均值、重心值、积分值、斜率值等，且带各类精神疾病的评语模板；</w:t>
      </w:r>
      <w:r/>
    </w:p>
    <w:p>
      <w:pPr>
        <w:spacing w:line="360" w:lineRule="auto"/>
        <w:rPr>
          <w:rFonts w:ascii="宋体" w:hAnsi="宋体" w:cs="宋体"/>
          <w:szCs w:val="21"/>
        </w:rPr>
      </w:pPr>
      <w:r>
        <w:rPr>
          <w:rFonts w:hint="eastAsia" w:ascii="宋体" w:hAnsi="宋体" w:cs="宋体"/>
          <w:szCs w:val="21"/>
        </w:rPr>
        <w:t xml:space="preserve">19.检测软件内置静息态任务，以及数据分析与报告输出，输出图像和指标有：功能连接矩阵图、功能连接圈图、连接边数、连接强度等；</w:t>
      </w:r>
      <w:r/>
    </w:p>
    <w:p>
      <w:pPr>
        <w:spacing w:line="360" w:lineRule="auto"/>
        <w:rPr>
          <w:rFonts w:ascii="宋体" w:hAnsi="宋体" w:cs="宋体"/>
          <w:szCs w:val="21"/>
        </w:rPr>
      </w:pPr>
      <w:r>
        <w:rPr>
          <w:rFonts w:hint="eastAsia" w:ascii="宋体" w:hAnsi="宋体" w:cs="宋体"/>
          <w:szCs w:val="21"/>
        </w:rPr>
        <w:t xml:space="preserve">20.检测软件内置肢体运动功能评估任务，以及数据分析与报告输出，输出图像、指标有:脑激活波形图谱、三维脑图、通道功能连接矩阵图、脑功能连接图、积分值、Beta（贝塔值）、连接强度、偏侧化等；</w:t>
      </w:r>
      <w:r/>
    </w:p>
    <w:p>
      <w:pPr>
        <w:spacing w:line="360" w:lineRule="auto"/>
        <w:rPr>
          <w:rFonts w:ascii="宋体" w:hAnsi="宋体" w:cs="宋体"/>
          <w:szCs w:val="21"/>
        </w:rPr>
      </w:pPr>
      <w:r>
        <w:rPr>
          <w:rFonts w:hint="eastAsia" w:ascii="宋体" w:hAnsi="宋体" w:cs="宋体"/>
          <w:szCs w:val="21"/>
        </w:rPr>
        <w:t xml:space="preserve">21.检测软件内置认知测评任务，以及数据分析与评估报告输出，输出图像、指标有静态功能连接矩阵、动态功能连接矩阵、脑功能连接图多尺度熵值图、全局效率、局部效率、多尺度熵值、积分值等；</w:t>
      </w:r>
      <w:r/>
    </w:p>
    <w:p>
      <w:pPr>
        <w:spacing w:line="360" w:lineRule="auto"/>
        <w:rPr>
          <w:rFonts w:ascii="宋体" w:hAnsi="宋体" w:cs="宋体"/>
          <w:szCs w:val="21"/>
        </w:rPr>
      </w:pPr>
      <w:r>
        <w:rPr>
          <w:rFonts w:hint="eastAsia" w:ascii="宋体" w:hAnsi="宋体" w:cs="宋体"/>
          <w:szCs w:val="21"/>
        </w:rPr>
        <w:t xml:space="preserve">22.检测软件支持根据用户需求添加个性化检测方案；</w:t>
      </w:r>
      <w:r/>
    </w:p>
    <w:p>
      <w:pPr>
        <w:spacing w:line="360" w:lineRule="auto"/>
        <w:rPr>
          <w:rFonts w:ascii="宋体" w:hAnsi="宋体" w:cs="宋体"/>
          <w:szCs w:val="21"/>
        </w:rPr>
      </w:pPr>
      <w:r>
        <w:rPr>
          <w:rFonts w:hint="eastAsia" w:ascii="宋体" w:hAnsi="宋体" w:cs="宋体"/>
          <w:szCs w:val="21"/>
        </w:rPr>
        <w:t xml:space="preserve">23.提供基于国际通用开源科研软件的一站式数据分析脚本全套脚本库，任务态与静息态脚本每种不少于15种，提供脚本库说明文件和脚本库截图；以便最大程度降低用户数据分析门槛；</w:t>
      </w:r>
      <w:r/>
    </w:p>
    <w:p>
      <w:pPr>
        <w:spacing w:line="360" w:lineRule="auto"/>
        <w:rPr>
          <w:rFonts w:ascii="宋体" w:hAnsi="宋体" w:cs="宋体"/>
          <w:szCs w:val="21"/>
        </w:rPr>
      </w:pPr>
      <w:r>
        <w:rPr>
          <w:rFonts w:hint="eastAsia" w:ascii="宋体" w:hAnsi="宋体" w:cs="宋体"/>
          <w:szCs w:val="21"/>
        </w:rPr>
        <w:t xml:space="preserve">24. 提供配套厂家同品牌科学研究分析软件，非第三方开源软件，提供数据预处理、伪影识别与校正、典型信号特征提取、一般线性模型脑激活分析、静息态脑网络连接分析、统计分析、可视化显示功能；</w:t>
      </w:r>
      <w:r/>
    </w:p>
    <w:p>
      <w:pPr>
        <w:spacing w:line="360" w:lineRule="auto"/>
        <w:rPr>
          <w:rFonts w:ascii="宋体" w:hAnsi="宋体" w:cs="宋体"/>
          <w:szCs w:val="21"/>
        </w:rPr>
      </w:pPr>
      <w:r>
        <w:rPr>
          <w:rFonts w:hint="eastAsia" w:ascii="宋体" w:hAnsi="宋体" w:cs="宋体"/>
          <w:szCs w:val="21"/>
        </w:rPr>
        <w:t xml:space="preserve">25. 生物安全相容性，探头和头帽可直接与人体接触；</w:t>
      </w:r>
      <w:r/>
    </w:p>
    <w:p>
      <w:pPr>
        <w:spacing w:line="360" w:lineRule="auto"/>
        <w:rPr>
          <w:rFonts w:ascii="宋体" w:hAnsi="宋体" w:cs="宋体"/>
          <w:b/>
          <w:bCs/>
          <w:szCs w:val="21"/>
        </w:rPr>
      </w:pPr>
      <w:r>
        <w:rPr>
          <w:rFonts w:hint="eastAsia" w:ascii="宋体" w:hAnsi="宋体" w:cs="宋体"/>
          <w:b/>
          <w:bCs/>
          <w:szCs w:val="21"/>
        </w:rPr>
        <w:t xml:space="preserve">（二）上下肢主被动运动康复训练系统（脑机接口版）</w:t>
      </w:r>
      <w:r/>
    </w:p>
    <w:p>
      <w:pPr>
        <w:spacing w:line="360" w:lineRule="auto"/>
        <w:rPr>
          <w:rFonts w:ascii="宋体" w:hAnsi="宋体" w:cs="宋体"/>
          <w:szCs w:val="21"/>
        </w:rPr>
      </w:pPr>
      <w:r>
        <w:rPr>
          <w:rFonts w:hint="eastAsia" w:ascii="宋体" w:hAnsi="宋体" w:cs="宋体"/>
          <w:szCs w:val="21"/>
        </w:rPr>
        <w:t xml:space="preserve">1.设备为一体化上下肢主被动运动康复训练系统（脑机接口版），由康复运动设备、康复训练软件、计算机及显示器、脑电监测设备四部分组成，实现“运动训练+脑电监测+神经反馈”闭环康复。</w:t>
      </w:r>
      <w:r/>
    </w:p>
    <w:p>
      <w:pPr>
        <w:spacing w:line="360" w:lineRule="auto"/>
        <w:rPr>
          <w:rFonts w:ascii="宋体" w:hAnsi="宋体" w:cs="宋体"/>
          <w:szCs w:val="21"/>
        </w:rPr>
      </w:pPr>
      <w:r>
        <w:rPr>
          <w:rFonts w:hint="eastAsia" w:ascii="宋体" w:hAnsi="宋体" w:cs="宋体"/>
          <w:szCs w:val="21"/>
        </w:rPr>
        <w:t xml:space="preserve">2.适用于脑卒中、脑外伤、脊髓损伤等所致的上肢功能障碍、下肢运动功能障碍患者的康复训练，同时满足临床科研对脑电数据采集、分析的需求。</w:t>
      </w:r>
      <w:r/>
    </w:p>
    <w:p>
      <w:pPr>
        <w:spacing w:line="360" w:lineRule="auto"/>
        <w:rPr>
          <w:rFonts w:ascii="宋体" w:hAnsi="宋体" w:cs="宋体"/>
          <w:szCs w:val="21"/>
        </w:rPr>
      </w:pPr>
      <w:r>
        <w:rPr>
          <w:rFonts w:hint="eastAsia" w:ascii="宋体" w:hAnsi="宋体" w:cs="宋体"/>
          <w:szCs w:val="21"/>
        </w:rPr>
        <w:t xml:space="preserve">3.训练部位与结构:支持上肢主动训练、下肢主被动训练；上肢具备主动阻力弹簧，可水平旋转。</w:t>
      </w:r>
      <w:r/>
    </w:p>
    <w:p>
      <w:pPr>
        <w:spacing w:line="360" w:lineRule="auto"/>
        <w:rPr>
          <w:rFonts w:ascii="宋体" w:hAnsi="宋体" w:cs="宋体"/>
          <w:szCs w:val="21"/>
        </w:rPr>
      </w:pPr>
      <w:r>
        <w:rPr>
          <w:rFonts w:hint="eastAsia" w:ascii="宋体" w:hAnsi="宋体" w:cs="宋体"/>
          <w:szCs w:val="21"/>
        </w:rPr>
        <w:t xml:space="preserve">4.等速模式：转速设定值分4档（15r/min~50r/min），空载转速误差≤±30%或±3r/min；下肢转速监测误差≤±10%或±2r/min。</w:t>
      </w:r>
      <w:r/>
    </w:p>
    <w:p>
      <w:pPr>
        <w:spacing w:line="360" w:lineRule="auto"/>
        <w:rPr>
          <w:rFonts w:ascii="宋体" w:hAnsi="宋体" w:cs="宋体"/>
          <w:szCs w:val="21"/>
        </w:rPr>
      </w:pPr>
      <w:r>
        <w:rPr>
          <w:rFonts w:hint="eastAsia" w:ascii="宋体" w:hAnsi="宋体" w:cs="宋体"/>
          <w:szCs w:val="21"/>
        </w:rPr>
        <w:t xml:space="preserve">5.痉挛保护：具备痉挛识别与保护功能，痉挛等级1~4级可调；检测到痉挛后设备立即停止运转，20秒内自动恢复；</w:t>
      </w:r>
      <w:r/>
    </w:p>
    <w:p>
      <w:pPr>
        <w:spacing w:line="360" w:lineRule="auto"/>
        <w:rPr>
          <w:rFonts w:ascii="宋体" w:hAnsi="宋体" w:cs="宋体"/>
          <w:szCs w:val="21"/>
        </w:rPr>
      </w:pPr>
      <w:r>
        <w:rPr>
          <w:rFonts w:hint="eastAsia" w:ascii="宋体" w:hAnsi="宋体" w:cs="宋体"/>
          <w:szCs w:val="21"/>
        </w:rPr>
        <w:t xml:space="preserve">6.运行性能：转速变化率≤0.5r/s²，确保运动平稳，避免二次损伤。</w:t>
      </w:r>
      <w:r/>
    </w:p>
    <w:p>
      <w:pPr>
        <w:spacing w:line="360" w:lineRule="auto"/>
        <w:rPr>
          <w:rFonts w:ascii="宋体" w:hAnsi="宋体" w:cs="宋体"/>
          <w:szCs w:val="21"/>
        </w:rPr>
      </w:pPr>
      <w:r>
        <w:rPr>
          <w:rFonts w:hint="eastAsia" w:ascii="宋体" w:hAnsi="宋体" w:cs="宋体"/>
          <w:szCs w:val="21"/>
        </w:rPr>
        <w:t xml:space="preserve">7.用户管理：支持患者登录、注册功能；具备用户管理模块，可编辑患者年龄、性别、手机号、病因等基本信息；支持历史训练数据、脑电数据的数据库管理。</w:t>
      </w:r>
      <w:r/>
    </w:p>
    <w:p>
      <w:pPr>
        <w:spacing w:line="360" w:lineRule="auto"/>
        <w:rPr>
          <w:rFonts w:ascii="宋体" w:hAnsi="宋体" w:cs="宋体"/>
          <w:szCs w:val="21"/>
        </w:rPr>
      </w:pPr>
      <w:r>
        <w:rPr>
          <w:rFonts w:hint="eastAsia" w:ascii="宋体" w:hAnsi="宋体" w:cs="宋体"/>
          <w:szCs w:val="21"/>
        </w:rPr>
        <w:t xml:space="preserve">8.康复训练模块：提供≥2个3D情景引导游戏，虚拟人物与真实患者运动速度实时同步；训练主界面集成显示：训练模式、助力/阻力等级、痉挛等级、训练速度、训练时间、脑参与度值、患者信息及训练设置选项。</w:t>
      </w:r>
      <w:r/>
    </w:p>
    <w:p>
      <w:pPr>
        <w:spacing w:line="360" w:lineRule="auto"/>
        <w:rPr>
          <w:rFonts w:ascii="宋体" w:hAnsi="宋体" w:cs="宋体"/>
          <w:szCs w:val="21"/>
        </w:rPr>
      </w:pPr>
      <w:r>
        <w:rPr>
          <w:rFonts w:hint="eastAsia" w:ascii="宋体" w:hAnsi="宋体" w:cs="宋体"/>
          <w:szCs w:val="21"/>
        </w:rPr>
        <w:t xml:space="preserve">9.训练设置：训练主界面支持自定义设置：训练圈数（1圈/2圈）、训练部位（上下肢/下肢）、训练模式（等速/自动/助力/主动）、最高速度（15/30/45/50r/min）、脑参与度阈值（50%/75%/100%），各项参数自由调节。</w:t>
      </w:r>
      <w:r/>
    </w:p>
    <w:p>
      <w:pPr>
        <w:spacing w:line="360" w:lineRule="auto"/>
        <w:rPr>
          <w:rFonts w:ascii="宋体" w:hAnsi="宋体" w:cs="宋体"/>
          <w:szCs w:val="21"/>
        </w:rPr>
      </w:pPr>
      <w:r>
        <w:rPr>
          <w:rFonts w:hint="eastAsia" w:ascii="宋体" w:hAnsi="宋体" w:cs="宋体"/>
          <w:szCs w:val="21"/>
        </w:rPr>
        <w:t xml:space="preserve">10.历史记录与分析：历史记录界面可查看完整训练报告，包含：患者基本信息、训练参数（模式/阻力/速度/时间）、脑电曲线图及百分比、痉挛次数、对称性监测结果、训练评分等。</w:t>
      </w:r>
      <w:r/>
    </w:p>
    <w:p>
      <w:pPr>
        <w:spacing w:line="360" w:lineRule="auto"/>
        <w:rPr>
          <w:rFonts w:ascii="宋体" w:hAnsi="宋体" w:cs="宋体"/>
          <w:szCs w:val="21"/>
        </w:rPr>
      </w:pPr>
      <w:r>
        <w:rPr>
          <w:rFonts w:hint="eastAsia" w:ascii="宋体" w:hAnsi="宋体" w:cs="宋体"/>
          <w:szCs w:val="21"/>
        </w:rPr>
        <w:t xml:space="preserve">11.评估报告：支持导出训练数据（运动里程、运动时间、能量消耗、痉挛次数等），生成标准化评估报告。</w:t>
      </w:r>
      <w:r/>
    </w:p>
    <w:p>
      <w:pPr>
        <w:spacing w:line="360" w:lineRule="auto"/>
        <w:rPr>
          <w:rFonts w:ascii="宋体" w:hAnsi="宋体" w:cs="宋体"/>
          <w:szCs w:val="21"/>
        </w:rPr>
      </w:pPr>
      <w:r>
        <w:rPr>
          <w:rFonts w:hint="eastAsia" w:ascii="宋体" w:hAnsi="宋体" w:cs="宋体"/>
          <w:szCs w:val="21"/>
        </w:rPr>
        <w:t xml:space="preserve">12.具有可拓展接口与主动康复训练功能，可以外接联机上下肢主被动、康复手、认知软件、下肢外骨骼机器人、经颅磁、经颅时间干涉电刺激（同步及控制）、近红外等相关设备。</w:t>
      </w:r>
      <w:r/>
    </w:p>
    <w:p>
      <w:pPr>
        <w:spacing w:line="360" w:lineRule="auto"/>
        <w:rPr>
          <w:rFonts w:ascii="宋体" w:hAnsi="宋体" w:cs="宋体"/>
          <w:szCs w:val="21"/>
        </w:rPr>
      </w:pPr>
      <w:r>
        <w:rPr>
          <w:rFonts w:hint="eastAsia" w:ascii="宋体" w:hAnsi="宋体" w:cs="宋体"/>
          <w:szCs w:val="21"/>
        </w:rPr>
        <w:t xml:space="preserve">▲13.通道数：≥60通道、湿电极。</w:t>
      </w:r>
      <w:r/>
    </w:p>
    <w:p>
      <w:pPr>
        <w:spacing w:line="360" w:lineRule="auto"/>
        <w:rPr>
          <w:rFonts w:ascii="宋体" w:hAnsi="宋体" w:cs="宋体"/>
          <w:szCs w:val="21"/>
        </w:rPr>
      </w:pPr>
      <w:r>
        <w:rPr>
          <w:rFonts w:hint="eastAsia" w:ascii="宋体" w:hAnsi="宋体" w:cs="宋体"/>
          <w:szCs w:val="21"/>
        </w:rPr>
        <w:t xml:space="preserve">14.采样率：≥2000Hz，满足高频脑电信号的精准采集。</w:t>
      </w:r>
      <w:r/>
    </w:p>
    <w:p>
      <w:pPr>
        <w:spacing w:line="360" w:lineRule="auto"/>
        <w:rPr>
          <w:rFonts w:ascii="宋体" w:hAnsi="宋体" w:cs="宋体"/>
          <w:szCs w:val="21"/>
        </w:rPr>
      </w:pPr>
      <w:r>
        <w:rPr>
          <w:rFonts w:hint="eastAsia" w:ascii="宋体" w:hAnsi="宋体" w:cs="宋体"/>
          <w:szCs w:val="21"/>
        </w:rPr>
        <w:t xml:space="preserve">15.输入噪声：&lt;3μV（峰谷值），保障微弱脑电信号的有效提取。</w:t>
      </w:r>
      <w:r/>
    </w:p>
    <w:p>
      <w:pPr>
        <w:spacing w:line="360" w:lineRule="auto"/>
        <w:rPr>
          <w:rFonts w:ascii="宋体" w:hAnsi="宋体" w:cs="宋体"/>
          <w:szCs w:val="21"/>
        </w:rPr>
      </w:pPr>
      <w:r>
        <w:rPr>
          <w:rFonts w:hint="eastAsia" w:ascii="宋体" w:hAnsi="宋体" w:cs="宋体"/>
          <w:szCs w:val="21"/>
        </w:rPr>
        <w:t xml:space="preserve">16.事件同步：支持WiFi无线同步，时间精度≤1ms，确保脑电与运动事件的精准对齐。</w:t>
      </w:r>
      <w:r/>
    </w:p>
    <w:p>
      <w:pPr>
        <w:spacing w:line="360" w:lineRule="auto"/>
        <w:rPr>
          <w:rFonts w:ascii="宋体" w:hAnsi="宋体" w:cs="宋体"/>
          <w:szCs w:val="21"/>
        </w:rPr>
      </w:pPr>
      <w:r>
        <w:rPr>
          <w:rFonts w:hint="eastAsia" w:ascii="宋体" w:hAnsi="宋体" w:cs="宋体"/>
          <w:szCs w:val="21"/>
        </w:rPr>
        <w:t xml:space="preserve">17.尺寸：≤85(长)×54(宽)×25(厚)mm，便携小巧，适配临床多场景使用。</w:t>
      </w:r>
      <w:r/>
    </w:p>
    <w:p>
      <w:pPr>
        <w:spacing w:line="360" w:lineRule="auto"/>
        <w:rPr>
          <w:rFonts w:ascii="宋体" w:hAnsi="宋体" w:cs="宋体"/>
          <w:szCs w:val="21"/>
        </w:rPr>
      </w:pPr>
      <w:r>
        <w:rPr>
          <w:rFonts w:hint="eastAsia" w:ascii="宋体" w:hAnsi="宋体" w:cs="宋体"/>
          <w:szCs w:val="21"/>
        </w:rPr>
        <w:t xml:space="preserve">▲18.通信方式：采用5GHz无线WiFi信号传输，抗干扰能力强，数据传输稳定。</w:t>
      </w:r>
      <w:r/>
    </w:p>
    <w:p>
      <w:pPr>
        <w:spacing w:line="360" w:lineRule="auto"/>
        <w:rPr>
          <w:rFonts w:ascii="宋体" w:hAnsi="宋体" w:cs="宋体"/>
          <w:szCs w:val="21"/>
        </w:rPr>
      </w:pPr>
      <w:r>
        <w:rPr>
          <w:rFonts w:hint="eastAsia" w:ascii="宋体" w:hAnsi="宋体" w:cs="宋体"/>
          <w:szCs w:val="21"/>
        </w:rPr>
        <w:t xml:space="preserve">19.供电方式：3.85V可替换式锂电池，电池容量&gt;1700mAh，配备专用充电器，支持长时间连续采集。</w:t>
      </w:r>
      <w:r/>
    </w:p>
    <w:p>
      <w:pPr>
        <w:spacing w:line="360" w:lineRule="auto"/>
        <w:rPr>
          <w:rFonts w:ascii="宋体" w:hAnsi="宋体" w:cs="宋体"/>
          <w:szCs w:val="21"/>
        </w:rPr>
      </w:pPr>
      <w:r>
        <w:rPr>
          <w:rFonts w:hint="eastAsia" w:ascii="宋体" w:hAnsi="宋体" w:cs="宋体"/>
          <w:szCs w:val="21"/>
        </w:rPr>
        <w:t xml:space="preserve">20.续航时间：单块电池续航≥10小时，满足全天临床训练与科研采集需求。</w:t>
      </w:r>
      <w:r/>
    </w:p>
    <w:p>
      <w:pPr>
        <w:spacing w:line="360" w:lineRule="auto"/>
        <w:rPr>
          <w:rFonts w:ascii="宋体" w:hAnsi="宋体" w:cs="宋体"/>
          <w:szCs w:val="21"/>
        </w:rPr>
      </w:pPr>
      <w:r>
        <w:rPr>
          <w:rFonts w:hint="eastAsia" w:ascii="宋体" w:hAnsi="宋体" w:cs="宋体"/>
          <w:szCs w:val="21"/>
        </w:rPr>
        <w:t xml:space="preserve">21.姿态检测：支持九轴数据检测（三轴角度、三轴角速度、三轴加速度），数据可与脑电同步记录。</w:t>
      </w:r>
      <w:r/>
    </w:p>
    <w:p>
      <w:pPr>
        <w:spacing w:line="360" w:lineRule="auto"/>
        <w:rPr>
          <w:rFonts w:ascii="宋体" w:hAnsi="宋体" w:cs="宋体"/>
          <w:szCs w:val="21"/>
        </w:rPr>
      </w:pPr>
      <w:r>
        <w:rPr>
          <w:rFonts w:hint="eastAsia" w:ascii="宋体" w:hAnsi="宋体" w:cs="宋体"/>
          <w:szCs w:val="21"/>
        </w:rPr>
        <w:t xml:space="preserve">22.电极兼容性：配套脑电帽兼容盐水电极、湿电极和干电极，电极排布符合国际10-10或10-20系统，适配不同临床采集习惯。</w:t>
      </w:r>
      <w:r/>
    </w:p>
    <w:p>
      <w:pPr>
        <w:spacing w:line="360" w:lineRule="auto"/>
        <w:rPr>
          <w:rFonts w:ascii="宋体" w:hAnsi="宋体" w:cs="宋体"/>
          <w:szCs w:val="21"/>
        </w:rPr>
      </w:pPr>
      <w:r>
        <w:rPr>
          <w:rFonts w:hint="eastAsia" w:ascii="宋体" w:hAnsi="宋体" w:cs="宋体"/>
          <w:szCs w:val="21"/>
        </w:rPr>
        <w:t xml:space="preserve">23.配套脑电采集软件，可以在线查看和离线保存数据。</w:t>
      </w:r>
      <w:r/>
    </w:p>
    <w:p>
      <w:pPr>
        <w:spacing w:line="360" w:lineRule="auto"/>
        <w:rPr>
          <w:rFonts w:ascii="宋体" w:hAnsi="宋体" w:cs="宋体"/>
          <w:szCs w:val="21"/>
        </w:rPr>
      </w:pPr>
      <w:r>
        <w:rPr>
          <w:rFonts w:hint="eastAsia" w:ascii="宋体" w:hAnsi="宋体" w:cs="宋体"/>
          <w:szCs w:val="21"/>
        </w:rPr>
        <w:t xml:space="preserve">24.阻抗检测：可以实时检测计算每个电极的接触阻抗；并通过红绿黄的颜色直观呈现接触状态。</w:t>
      </w:r>
      <w:r/>
    </w:p>
    <w:p>
      <w:pPr>
        <w:spacing w:line="360" w:lineRule="auto"/>
        <w:rPr>
          <w:rFonts w:ascii="宋体" w:hAnsi="宋体" w:cs="宋体"/>
          <w:szCs w:val="21"/>
        </w:rPr>
      </w:pPr>
      <w:r>
        <w:rPr>
          <w:rFonts w:hint="eastAsia" w:ascii="宋体" w:hAnsi="宋体" w:cs="宋体"/>
          <w:szCs w:val="21"/>
        </w:rPr>
        <w:t xml:space="preserve">25.阻抗检测误差：≤±2kΩ或±10%，保障电极接触质量，提升信号信噪比。</w:t>
      </w:r>
      <w:r/>
    </w:p>
    <w:p>
      <w:pPr>
        <w:spacing w:line="360" w:lineRule="auto"/>
        <w:rPr>
          <w:rFonts w:ascii="宋体" w:hAnsi="宋体" w:cs="宋体"/>
          <w:szCs w:val="21"/>
        </w:rPr>
      </w:pPr>
      <w:r>
        <w:rPr>
          <w:rFonts w:hint="eastAsia" w:ascii="宋体" w:hAnsi="宋体" w:cs="宋体"/>
          <w:szCs w:val="21"/>
        </w:rPr>
        <w:t xml:space="preserve">26.时域波形：可以在线实时展示每个通道的脑电时域波形，展示通道可选。</w:t>
      </w:r>
      <w:r/>
    </w:p>
    <w:p>
      <w:pPr>
        <w:spacing w:line="360" w:lineRule="auto"/>
        <w:rPr>
          <w:rFonts w:ascii="宋体" w:hAnsi="宋体" w:cs="宋体"/>
          <w:szCs w:val="21"/>
        </w:rPr>
      </w:pPr>
      <w:r>
        <w:rPr>
          <w:rFonts w:hint="eastAsia" w:ascii="宋体" w:hAnsi="宋体" w:cs="宋体"/>
          <w:szCs w:val="21"/>
        </w:rPr>
        <w:t xml:space="preserve">27.灵敏度可切换为：1μV/mm、10μV/mm、12.5μV/mm、20μV/mm、25μV/mm、50μV/mm和100μV/mm。误差不超过±5%。</w:t>
      </w:r>
      <w:r/>
    </w:p>
    <w:p>
      <w:pPr>
        <w:spacing w:line="360" w:lineRule="auto"/>
        <w:rPr>
          <w:rFonts w:ascii="宋体" w:hAnsi="宋体" w:cs="宋体"/>
          <w:szCs w:val="21"/>
        </w:rPr>
      </w:pPr>
      <w:r>
        <w:rPr>
          <w:rFonts w:hint="eastAsia" w:ascii="宋体" w:hAnsi="宋体" w:cs="宋体"/>
          <w:szCs w:val="21"/>
        </w:rPr>
        <w:t xml:space="preserve">28.滤波器：软件具有带通滤波，可选 1~50Hz, 7~13Hz, 15~50Hz, 15~50Hz, NoFilter；软件具有陷波，可选50Hz, NoFilter。</w:t>
      </w:r>
      <w:r/>
    </w:p>
    <w:p>
      <w:pPr>
        <w:spacing w:line="360" w:lineRule="auto"/>
        <w:rPr>
          <w:rFonts w:ascii="宋体" w:hAnsi="宋体" w:cs="宋体"/>
          <w:szCs w:val="21"/>
        </w:rPr>
      </w:pPr>
      <w:r>
        <w:rPr>
          <w:rFonts w:hint="eastAsia" w:ascii="宋体" w:hAnsi="宋体" w:cs="宋体"/>
          <w:szCs w:val="21"/>
        </w:rPr>
        <w:t xml:space="preserve">29.频域波形：支持在线实时展示各通道脑电频谱，展示通道可选，展示模式可选线性/对数，用于脑电节律分析。</w:t>
      </w:r>
      <w:r/>
    </w:p>
    <w:p>
      <w:pPr>
        <w:spacing w:line="360" w:lineRule="auto"/>
        <w:rPr>
          <w:rFonts w:ascii="宋体" w:hAnsi="宋体" w:cs="宋体"/>
          <w:szCs w:val="21"/>
        </w:rPr>
      </w:pPr>
      <w:r>
        <w:rPr>
          <w:rFonts w:hint="eastAsia" w:ascii="宋体" w:hAnsi="宋体" w:cs="宋体"/>
          <w:szCs w:val="21"/>
        </w:rPr>
        <w:t xml:space="preserve">30.头部姿态：可以实时显示九轴数据，包括三轴角度、三轴角速度、三轴加速度。</w:t>
      </w:r>
      <w:r/>
    </w:p>
    <w:p>
      <w:pPr>
        <w:spacing w:line="360" w:lineRule="auto"/>
        <w:rPr>
          <w:rFonts w:ascii="宋体" w:hAnsi="宋体" w:cs="宋体"/>
          <w:szCs w:val="21"/>
        </w:rPr>
      </w:pPr>
      <w:r>
        <w:rPr>
          <w:rFonts w:hint="eastAsia" w:ascii="宋体" w:hAnsi="宋体" w:cs="宋体"/>
          <w:szCs w:val="21"/>
        </w:rPr>
        <w:t xml:space="preserve">31.提供开源接口：支持Python、Matlab和C/C++。</w:t>
      </w:r>
      <w:r/>
    </w:p>
    <w:p>
      <w:pPr>
        <w:spacing w:line="360" w:lineRule="auto"/>
        <w:rPr>
          <w:rFonts w:ascii="宋体" w:hAnsi="宋体" w:cs="宋体"/>
          <w:szCs w:val="21"/>
        </w:rPr>
      </w:pPr>
      <w:r>
        <w:rPr>
          <w:rFonts w:hint="eastAsia" w:ascii="宋体" w:hAnsi="宋体" w:cs="宋体"/>
          <w:szCs w:val="21"/>
        </w:rPr>
        <w:t xml:space="preserve">▲32.ERP检测：支持P50、P300、N100、N200、MMN、N170、N400等多种事件相关电位（ERP）范式检测，自动生成标准化分析报告。</w:t>
      </w:r>
      <w:r/>
    </w:p>
    <w:p>
      <w:pPr>
        <w:spacing w:line="360" w:lineRule="auto"/>
        <w:rPr>
          <w:rFonts w:ascii="宋体" w:hAnsi="宋体" w:cs="宋体"/>
          <w:szCs w:val="21"/>
        </w:rPr>
      </w:pPr>
      <w:r>
        <w:rPr>
          <w:rFonts w:hint="eastAsia" w:ascii="宋体" w:hAnsi="宋体" w:cs="宋体"/>
          <w:szCs w:val="21"/>
        </w:rPr>
        <w:t xml:space="preserve">▲33.自定义范式：支持自定义范式功能，可设置刺激呈现时长、按键类型、刺激/反应标记、素材随机呈现等，满足个性化科研需求。</w:t>
      </w:r>
      <w:r/>
    </w:p>
    <w:p>
      <w:pPr>
        <w:spacing w:line="360" w:lineRule="auto"/>
        <w:rPr>
          <w:rFonts w:ascii="宋体" w:hAnsi="宋体" w:cs="宋体"/>
          <w:szCs w:val="21"/>
        </w:rPr>
      </w:pPr>
      <w:r>
        <w:rPr>
          <w:rFonts w:hint="eastAsia" w:ascii="宋体" w:hAnsi="宋体" w:cs="宋体"/>
          <w:szCs w:val="21"/>
        </w:rPr>
        <w:t xml:space="preserve">34.同步采集与显示：具有在刺激系统同步触发下实时描绘、储存、回放脑电图原始波和叠加ERP波形变化的功能，并同步采集头部姿态数据。</w:t>
      </w:r>
      <w:r/>
    </w:p>
    <w:p>
      <w:pPr>
        <w:spacing w:line="360" w:lineRule="auto"/>
        <w:rPr>
          <w:rFonts w:ascii="宋体" w:hAnsi="宋体" w:cs="宋体"/>
          <w:szCs w:val="21"/>
        </w:rPr>
      </w:pPr>
      <w:r>
        <w:rPr>
          <w:rFonts w:hint="eastAsia" w:ascii="宋体" w:hAnsi="宋体" w:cs="宋体"/>
          <w:szCs w:val="21"/>
        </w:rPr>
        <w:t xml:space="preserve">35.波形分析工具：支持通过略缩图监控各电极叠加情况，可对脑电进行时程缩放、波幅缩放，实时监控叠加波形，显示各电位点波幅、潜伏期数据。</w:t>
      </w:r>
      <w:r/>
    </w:p>
    <w:p>
      <w:pPr>
        <w:spacing w:line="360" w:lineRule="auto"/>
        <w:rPr>
          <w:rFonts w:ascii="宋体" w:hAnsi="宋体" w:cs="宋体"/>
          <w:szCs w:val="21"/>
        </w:rPr>
      </w:pPr>
      <w:r>
        <w:rPr>
          <w:rFonts w:hint="eastAsia" w:ascii="宋体" w:hAnsi="宋体" w:cs="宋体"/>
          <w:szCs w:val="21"/>
        </w:rPr>
        <w:t xml:space="preserve">36.可显示任意间隔的电位地形图。</w:t>
      </w:r>
      <w:r/>
    </w:p>
    <w:p>
      <w:pPr>
        <w:spacing w:line="360" w:lineRule="auto"/>
        <w:rPr>
          <w:rFonts w:ascii="宋体" w:hAnsi="宋体" w:cs="宋体"/>
          <w:szCs w:val="21"/>
        </w:rPr>
      </w:pPr>
      <w:r>
        <w:rPr>
          <w:rFonts w:hint="eastAsia" w:ascii="宋体" w:hAnsi="宋体" w:cs="宋体"/>
          <w:szCs w:val="21"/>
        </w:rPr>
        <w:t xml:space="preserve">37.无线同步盒打标：配备无线同步盒，打标延时≤1ms，确保事件标记的精准性。</w:t>
      </w:r>
      <w:r/>
    </w:p>
    <w:p>
      <w:pPr>
        <w:spacing w:line="360" w:lineRule="auto"/>
        <w:rPr>
          <w:rFonts w:ascii="宋体" w:hAnsi="宋体" w:cs="宋体"/>
          <w:szCs w:val="21"/>
        </w:rPr>
      </w:pPr>
      <w:r>
        <w:rPr>
          <w:rFonts w:hint="eastAsia" w:ascii="宋体" w:hAnsi="宋体" w:cs="宋体"/>
          <w:szCs w:val="21"/>
        </w:rPr>
        <w:t xml:space="preserve">38.常规认知训练：提供≥9款常规认知训练游戏，包括：记忆方块、养鱼达人、速算碎冰、瑞文推理、图片拼图、物体辨认、人物定向、地点定向、时间定向；训练内容覆盖记忆、注意、计算、思</w:t>
      </w:r>
      <w:r>
        <w:rPr>
          <w:rFonts w:hint="eastAsia" w:ascii="宋体" w:hAnsi="宋体" w:cs="宋体"/>
          <w:szCs w:val="21"/>
        </w:rPr>
        <w:t xml:space="preserve">维、知觉、时间定向等认知维度。</w:t>
      </w:r>
      <w:r/>
    </w:p>
    <w:p>
      <w:pPr>
        <w:spacing w:line="360" w:lineRule="auto"/>
        <w:rPr>
          <w:rFonts w:ascii="宋体" w:hAnsi="宋体" w:cs="宋体"/>
          <w:szCs w:val="21"/>
        </w:rPr>
      </w:pPr>
      <w:r>
        <w:rPr>
          <w:rFonts w:hint="eastAsia" w:ascii="宋体" w:hAnsi="宋体" w:cs="宋体"/>
          <w:szCs w:val="21"/>
        </w:rPr>
        <w:t xml:space="preserve">39.脑机接口训练：提供≥6款脑机接口训练游戏，实现“意念控制+运动反馈”的神经康复。</w:t>
      </w:r>
      <w:r/>
    </w:p>
    <w:p>
      <w:pPr>
        <w:spacing w:line="360" w:lineRule="auto"/>
        <w:rPr>
          <w:rFonts w:ascii="宋体" w:hAnsi="宋体" w:cs="宋体"/>
          <w:szCs w:val="21"/>
        </w:rPr>
      </w:pPr>
      <w:r>
        <w:rPr>
          <w:rFonts w:hint="eastAsia" w:ascii="宋体" w:hAnsi="宋体" w:cs="宋体"/>
          <w:szCs w:val="21"/>
        </w:rPr>
        <w:t xml:space="preserve">40.一体化分析平台：具备脑电分析处理软件，集成文件加载、数据回放、预处理、初级分析、高级分析功能于一体，无需编程即可快速分析，自动生成分析结果和图像。</w:t>
      </w:r>
      <w:r/>
    </w:p>
    <w:p>
      <w:pPr>
        <w:spacing w:line="360" w:lineRule="auto"/>
        <w:rPr>
          <w:rFonts w:ascii="宋体" w:hAnsi="宋体" w:cs="宋体"/>
          <w:szCs w:val="21"/>
        </w:rPr>
      </w:pPr>
      <w:r>
        <w:rPr>
          <w:rFonts w:hint="eastAsia" w:ascii="宋体" w:hAnsi="宋体" w:cs="宋体"/>
          <w:szCs w:val="21"/>
        </w:rPr>
        <w:t xml:space="preserve">41.数据回放：支持数据回放，可查看各通道脑电时域波形，支持添加、删除、编辑标记，以及数据剔除功能。</w:t>
      </w:r>
      <w:r/>
    </w:p>
    <w:p>
      <w:pPr>
        <w:spacing w:line="360" w:lineRule="auto"/>
        <w:rPr>
          <w:rFonts w:ascii="宋体" w:hAnsi="宋体" w:cs="宋体"/>
          <w:szCs w:val="21"/>
        </w:rPr>
      </w:pPr>
      <w:r>
        <w:rPr>
          <w:rFonts w:hint="eastAsia" w:ascii="宋体" w:hAnsi="宋体" w:cs="宋体"/>
          <w:szCs w:val="21"/>
        </w:rPr>
        <w:t xml:space="preserve">42.预处理功能：内置脑电预处理工具，包括通道选择、去基线、带通滤波、陷波、去伪迹、重参考等，提升数据质量。</w:t>
      </w:r>
      <w:r/>
    </w:p>
    <w:p>
      <w:pPr>
        <w:spacing w:line="360" w:lineRule="auto"/>
        <w:rPr>
          <w:rFonts w:ascii="宋体" w:hAnsi="宋体" w:cs="宋体"/>
          <w:szCs w:val="21"/>
        </w:rPr>
      </w:pPr>
      <w:r>
        <w:rPr>
          <w:rFonts w:hint="eastAsia" w:ascii="宋体" w:hAnsi="宋体" w:cs="宋体"/>
          <w:szCs w:val="21"/>
        </w:rPr>
        <w:t xml:space="preserve">43.基础脑电分析：支持脑电基础指标分析，包括绝对功率、相对功率、脑对称指数（BSI）、DTABR、DAR等，量化评估脑功能状态。</w:t>
      </w:r>
      <w:r/>
    </w:p>
    <w:p>
      <w:pPr>
        <w:spacing w:line="360" w:lineRule="auto"/>
        <w:rPr>
          <w:rFonts w:ascii="宋体" w:hAnsi="宋体" w:cs="宋体"/>
          <w:szCs w:val="21"/>
        </w:rPr>
      </w:pPr>
      <w:r>
        <w:rPr>
          <w:rFonts w:hint="eastAsia" w:ascii="宋体" w:hAnsi="宋体" w:cs="宋体"/>
          <w:szCs w:val="21"/>
        </w:rPr>
        <w:t xml:space="preserve">44.时频与地形图分析：支持时频分析（通道、时间范围、频带范围自定义，图像颜色可调）和地形图分析（通道、时间范围、频带范围自定义，图像颜色可调），直观展示脑电时空特征。</w:t>
      </w:r>
      <w:r/>
    </w:p>
    <w:p>
      <w:pPr>
        <w:spacing w:line="360" w:lineRule="auto"/>
        <w:rPr>
          <w:rFonts w:ascii="宋体" w:hAnsi="宋体" w:cs="宋体"/>
          <w:szCs w:val="21"/>
        </w:rPr>
      </w:pPr>
      <w:r>
        <w:rPr>
          <w:rFonts w:hint="eastAsia" w:ascii="宋体" w:hAnsi="宋体" w:cs="宋体"/>
          <w:szCs w:val="21"/>
        </w:rPr>
        <w:t xml:space="preserve">▲45.脑功能连接网络分析：支持脑功能连接网络分析，可评估聚类系数、节点平均度、小世界属性、平均最短路径长度等网络性能指标，绘制脑功能连接网络图像，用于脑网络机制研究。</w:t>
      </w:r>
      <w:r/>
    </w:p>
    <w:p>
      <w:pPr>
        <w:spacing w:line="360" w:lineRule="auto"/>
        <w:rPr>
          <w:rFonts w:ascii="宋体" w:hAnsi="宋体" w:cs="宋体"/>
          <w:szCs w:val="21"/>
        </w:rPr>
      </w:pPr>
      <w:r>
        <w:rPr>
          <w:rFonts w:hint="eastAsia" w:ascii="宋体" w:hAnsi="宋体" w:cs="宋体"/>
          <w:szCs w:val="21"/>
        </w:rPr>
        <w:t xml:space="preserve">▲46.微状态分析：支持微状态分析，可设置状态数，计算状态持续时间、发生率、覆盖率等指标，绘制微状态图像，用于脑动态功能研究。</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b/>
          <w:bCs/>
          <w:szCs w:val="21"/>
        </w:rPr>
      </w:pPr>
      <w:r>
        <w:rPr>
          <w:rFonts w:hint="eastAsia" w:ascii="宋体" w:hAnsi="宋体" w:cs="宋体"/>
          <w:b/>
          <w:bCs/>
          <w:szCs w:val="21"/>
        </w:rPr>
        <w:t xml:space="preserve">（三）电动病床</w:t>
      </w:r>
      <w:r/>
    </w:p>
    <w:p>
      <w:pPr>
        <w:spacing w:line="360" w:lineRule="auto"/>
        <w:rPr>
          <w:rFonts w:ascii="宋体" w:hAnsi="宋体" w:cs="宋体"/>
          <w:szCs w:val="21"/>
        </w:rPr>
      </w:pPr>
      <w:r>
        <w:rPr>
          <w:rFonts w:hint="eastAsia" w:ascii="宋体" w:hAnsi="宋体" w:cs="宋体"/>
          <w:szCs w:val="21"/>
        </w:rPr>
        <w:t xml:space="preserve">1.功能定位：病床兼具患者承载护理功能与下肢功能障碍患者站立辅助训练功能。</w:t>
      </w:r>
      <w:r/>
    </w:p>
    <w:p>
      <w:pPr>
        <w:spacing w:line="360" w:lineRule="auto"/>
        <w:rPr>
          <w:rFonts w:ascii="宋体" w:hAnsi="宋体" w:cs="宋体"/>
          <w:szCs w:val="21"/>
        </w:rPr>
      </w:pPr>
      <w:r>
        <w:rPr>
          <w:rFonts w:hint="eastAsia" w:ascii="宋体" w:hAnsi="宋体" w:cs="宋体"/>
          <w:szCs w:val="21"/>
        </w:rPr>
        <w:t xml:space="preserve">2体位调节：支持多种临床体位切换，包括平卧位、半坐卧位、垂头仰卧位、直立位等，满足术后护理、康复训练、体位引流等多场景需求。双支撑结构，避免单点受力导致的结构失效.</w:t>
      </w:r>
      <w:r/>
    </w:p>
    <w:p>
      <w:pPr>
        <w:spacing w:line="360" w:lineRule="auto"/>
        <w:rPr>
          <w:rFonts w:ascii="宋体" w:hAnsi="宋体" w:cs="宋体"/>
          <w:szCs w:val="21"/>
        </w:rPr>
      </w:pPr>
      <w:r>
        <w:rPr>
          <w:rFonts w:hint="eastAsia" w:ascii="宋体" w:hAnsi="宋体" w:cs="宋体"/>
          <w:szCs w:val="21"/>
        </w:rPr>
        <w:t xml:space="preserve">3.起立角度：床体整体起立角度调节范围不窄于0~85°（±5°）可调；其中垂头仰卧位角度最大角度≥12°，有效预防长期卧床导致的压疮、肺部感染、深静脉血栓等并发症。</w:t>
      </w:r>
      <w:r/>
    </w:p>
    <w:p>
      <w:pPr>
        <w:spacing w:line="360" w:lineRule="auto"/>
        <w:rPr>
          <w:rFonts w:ascii="宋体" w:hAnsi="宋体" w:cs="宋体"/>
          <w:szCs w:val="21"/>
        </w:rPr>
      </w:pPr>
      <w:r>
        <w:rPr>
          <w:rFonts w:hint="eastAsia" w:ascii="宋体" w:hAnsi="宋体" w:cs="宋体"/>
          <w:szCs w:val="21"/>
        </w:rPr>
        <w:t xml:space="preserve">4.背板调节：背板（靠背）角度调整范围0°~60°，满足患者进食、阅读、呼吸支持等半坐卧位需求。</w:t>
      </w:r>
      <w:r/>
    </w:p>
    <w:p>
      <w:pPr>
        <w:spacing w:line="360" w:lineRule="auto"/>
        <w:rPr>
          <w:rFonts w:ascii="宋体" w:hAnsi="宋体" w:cs="宋体"/>
          <w:szCs w:val="21"/>
        </w:rPr>
      </w:pPr>
      <w:r>
        <w:rPr>
          <w:rFonts w:hint="eastAsia" w:ascii="宋体" w:hAnsi="宋体" w:cs="宋体"/>
          <w:szCs w:val="21"/>
        </w:rPr>
        <w:t xml:space="preserve">5.腿板调节：大腿板角度电动调节调整范围0~30°（±5°），配合背板调节优化体位舒适度，减少骶尾部压力。小腿板具有≥7档高度可调。</w:t>
      </w:r>
      <w:r/>
    </w:p>
    <w:p>
      <w:pPr>
        <w:spacing w:line="360" w:lineRule="auto"/>
        <w:rPr>
          <w:rFonts w:ascii="宋体" w:hAnsi="宋体" w:cs="宋体"/>
          <w:szCs w:val="21"/>
        </w:rPr>
      </w:pPr>
      <w:r>
        <w:rPr>
          <w:rFonts w:hint="eastAsia" w:ascii="宋体" w:hAnsi="宋体" w:cs="宋体"/>
          <w:szCs w:val="21"/>
        </w:rPr>
        <w:t xml:space="preserve">6.床面升降：床面支持垂直升降，高度调节范围492~780.6mm。</w:t>
      </w:r>
      <w:r/>
    </w:p>
    <w:p>
      <w:pPr>
        <w:spacing w:line="360" w:lineRule="auto"/>
        <w:rPr>
          <w:rFonts w:ascii="宋体" w:hAnsi="宋体" w:cs="宋体"/>
          <w:szCs w:val="21"/>
        </w:rPr>
      </w:pPr>
      <w:r>
        <w:rPr>
          <w:rFonts w:hint="eastAsia" w:ascii="宋体" w:hAnsi="宋体" w:cs="宋体"/>
          <w:szCs w:val="21"/>
        </w:rPr>
        <w:t xml:space="preserve">7.足部踏板：配备专用足部踏板，用于患者站立辅助训练；踏板在3000N载荷下变形量≤0.5%，踏板支持免工具拆装，</w:t>
      </w:r>
      <w:r/>
    </w:p>
    <w:p>
      <w:pPr>
        <w:spacing w:line="360" w:lineRule="auto"/>
        <w:rPr>
          <w:rFonts w:ascii="宋体" w:hAnsi="宋体" w:cs="宋体"/>
          <w:szCs w:val="21"/>
        </w:rPr>
      </w:pPr>
      <w:r>
        <w:rPr>
          <w:rFonts w:hint="eastAsia" w:ascii="宋体" w:hAnsi="宋体" w:cs="宋体"/>
          <w:szCs w:val="21"/>
        </w:rPr>
        <w:t xml:space="preserve">8.床下净空：床下框离地间距≥150mm，预留充足空间，适配床旁型主被动训练仪器（如四肢联动、床旁踏车等）的底座伸入，满足床边康复训练需求。</w:t>
      </w:r>
      <w:r/>
    </w:p>
    <w:p>
      <w:pPr>
        <w:spacing w:line="360" w:lineRule="auto"/>
        <w:rPr>
          <w:rFonts w:ascii="宋体" w:hAnsi="宋体" w:cs="宋体"/>
          <w:szCs w:val="21"/>
        </w:rPr>
      </w:pPr>
      <w:r>
        <w:rPr>
          <w:rFonts w:hint="eastAsia" w:ascii="宋体" w:hAnsi="宋体" w:cs="宋体"/>
          <w:szCs w:val="21"/>
        </w:rPr>
        <w:t xml:space="preserve">9.护栏配置：两侧配备可折叠式护栏，护栏高度≥350mm；护栏可上下移动，适配不同厚度床垫。</w:t>
      </w:r>
      <w:r/>
    </w:p>
    <w:p>
      <w:pPr>
        <w:spacing w:line="360" w:lineRule="auto"/>
        <w:rPr>
          <w:rFonts w:ascii="宋体" w:hAnsi="宋体" w:cs="宋体"/>
          <w:szCs w:val="21"/>
        </w:rPr>
      </w:pPr>
      <w:r>
        <w:rPr>
          <w:rFonts w:hint="eastAsia" w:ascii="宋体" w:hAnsi="宋体" w:cs="宋体"/>
          <w:szCs w:val="21"/>
        </w:rPr>
        <w:t xml:space="preserve">10.安全绑带：配备≥3条安全保护带，采用魔术贴+卡扣双重固定方式，静态最大承重≥500N；绑带可移动、可拆卸，便于不同体型患者固定。</w:t>
      </w:r>
      <w:r/>
    </w:p>
    <w:p>
      <w:pPr>
        <w:spacing w:line="360" w:lineRule="auto"/>
        <w:rPr>
          <w:rFonts w:ascii="宋体" w:hAnsi="宋体" w:cs="宋体"/>
          <w:szCs w:val="21"/>
        </w:rPr>
      </w:pPr>
      <w:r>
        <w:rPr>
          <w:rFonts w:hint="eastAsia" w:ascii="宋体" w:hAnsi="宋体" w:cs="宋体"/>
          <w:szCs w:val="21"/>
        </w:rPr>
        <w:t xml:space="preserve">11.驱动电机：采用≥5个静音医用电机，控制床体升降、背板调节、腿板调节、整体起立等动作；调节床体电机负载能力≥8000N。</w:t>
      </w:r>
      <w:r/>
    </w:p>
    <w:p>
      <w:pPr>
        <w:spacing w:line="360" w:lineRule="auto"/>
        <w:rPr>
          <w:rFonts w:ascii="宋体" w:hAnsi="宋体" w:cs="宋体"/>
          <w:szCs w:val="21"/>
        </w:rPr>
      </w:pPr>
      <w:r>
        <w:rPr>
          <w:rFonts w:hint="eastAsia" w:ascii="宋体" w:hAnsi="宋体" w:cs="宋体"/>
          <w:szCs w:val="21"/>
        </w:rPr>
        <w:t xml:space="preserve">12.承重与重量：床体最大安全承重≥175kg，整机重量≥200kg，确保设备稳定性。</w:t>
      </w:r>
      <w:r/>
    </w:p>
    <w:p>
      <w:pPr>
        <w:spacing w:line="360" w:lineRule="auto"/>
        <w:rPr>
          <w:rFonts w:ascii="宋体" w:hAnsi="宋体" w:cs="宋体"/>
          <w:szCs w:val="21"/>
        </w:rPr>
      </w:pPr>
      <w:r>
        <w:rPr>
          <w:rFonts w:hint="eastAsia" w:ascii="宋体" w:hAnsi="宋体" w:cs="宋体"/>
          <w:szCs w:val="21"/>
        </w:rPr>
        <w:t xml:space="preserve">13.具有一键CPR功能，一键即可使床体恢复至最低高度的水平位。</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b/>
          <w:bCs/>
          <w:szCs w:val="21"/>
        </w:rPr>
      </w:pPr>
      <w:r>
        <w:rPr>
          <w:rFonts w:hint="eastAsia" w:ascii="宋体" w:hAnsi="宋体" w:cs="宋体"/>
          <w:b/>
          <w:bCs/>
          <w:szCs w:val="21"/>
        </w:rPr>
        <w:t xml:space="preserve">（四）深部经颅电刺激仪</w:t>
      </w:r>
      <w:r/>
    </w:p>
    <w:p>
      <w:pPr>
        <w:spacing w:line="360" w:lineRule="auto"/>
        <w:rPr>
          <w:rFonts w:ascii="宋体" w:hAnsi="宋体" w:cs="宋体"/>
          <w:szCs w:val="21"/>
        </w:rPr>
      </w:pPr>
      <w:r>
        <w:rPr>
          <w:rFonts w:hint="eastAsia" w:ascii="宋体" w:hAnsi="宋体" w:cs="宋体"/>
          <w:szCs w:val="21"/>
        </w:rPr>
        <w:t xml:space="preserve">1.支持多种刺激模式包括：经颅交流电刺激、经颅直流电刺激。</w:t>
      </w:r>
      <w:r/>
    </w:p>
    <w:p>
      <w:pPr>
        <w:spacing w:line="360" w:lineRule="auto"/>
        <w:rPr>
          <w:rFonts w:ascii="宋体" w:hAnsi="宋体" w:cs="宋体"/>
          <w:szCs w:val="21"/>
        </w:rPr>
      </w:pPr>
      <w:r>
        <w:rPr>
          <w:rFonts w:hint="eastAsia" w:ascii="宋体" w:hAnsi="宋体" w:cs="宋体"/>
          <w:szCs w:val="21"/>
        </w:rPr>
        <w:t xml:space="preserve">2.直流刺激及交流刺激的输出电流≥2ma，连续可调，调节步进≤0.01mA。</w:t>
      </w:r>
      <w:r/>
    </w:p>
    <w:p>
      <w:pPr>
        <w:spacing w:line="360" w:lineRule="auto"/>
        <w:rPr>
          <w:rFonts w:ascii="宋体" w:hAnsi="宋体" w:cs="宋体"/>
          <w:szCs w:val="21"/>
        </w:rPr>
      </w:pPr>
      <w:r>
        <w:rPr>
          <w:rFonts w:hint="eastAsia" w:ascii="宋体" w:hAnsi="宋体" w:cs="宋体"/>
          <w:szCs w:val="21"/>
        </w:rPr>
        <w:t xml:space="preserve">3.交流刺激下最大刺激频率≥200 Hz，步进≤0.1Hz。</w:t>
      </w:r>
      <w:r/>
    </w:p>
    <w:p>
      <w:pPr>
        <w:spacing w:line="360" w:lineRule="auto"/>
        <w:rPr>
          <w:rFonts w:ascii="宋体" w:hAnsi="宋体" w:cs="宋体"/>
          <w:szCs w:val="21"/>
        </w:rPr>
      </w:pPr>
      <w:r>
        <w:rPr>
          <w:rFonts w:hint="eastAsia" w:ascii="宋体" w:hAnsi="宋体" w:cs="宋体"/>
          <w:szCs w:val="21"/>
        </w:rPr>
        <w:t xml:space="preserve">4.直流刺激及交流刺激下时间范围0-40min，步进≤1min。 </w:t>
      </w:r>
      <w:r/>
    </w:p>
    <w:p>
      <w:pPr>
        <w:spacing w:line="360" w:lineRule="auto"/>
        <w:rPr>
          <w:rFonts w:ascii="宋体" w:hAnsi="宋体" w:cs="宋体"/>
          <w:szCs w:val="21"/>
        </w:rPr>
      </w:pPr>
      <w:r>
        <w:rPr>
          <w:rFonts w:hint="eastAsia" w:ascii="宋体" w:hAnsi="宋体" w:cs="宋体"/>
          <w:szCs w:val="21"/>
        </w:rPr>
        <w:t xml:space="preserve">▲5.经颅电刺激通道数≥24通道，支持最高4*1通道的高清经颅直流流电刺激或高清经颅交流电刺激HD-tACS聚焦刺激。</w:t>
      </w:r>
      <w:r/>
    </w:p>
    <w:p>
      <w:pPr>
        <w:spacing w:line="360" w:lineRule="auto"/>
        <w:rPr>
          <w:rFonts w:ascii="宋体" w:hAnsi="宋体" w:cs="宋体"/>
          <w:szCs w:val="21"/>
        </w:rPr>
      </w:pPr>
      <w:r>
        <w:rPr>
          <w:rFonts w:hint="eastAsia" w:ascii="宋体" w:hAnsi="宋体" w:cs="宋体"/>
          <w:szCs w:val="21"/>
        </w:rPr>
        <w:t xml:space="preserve">6.系统启动时长≤1分钟；启动刺激与停止刺激延时≤600ms。</w:t>
      </w:r>
      <w:r/>
    </w:p>
    <w:p>
      <w:pPr>
        <w:spacing w:line="360" w:lineRule="auto"/>
        <w:rPr>
          <w:rFonts w:ascii="宋体" w:hAnsi="宋体" w:cs="宋体"/>
          <w:szCs w:val="21"/>
        </w:rPr>
      </w:pPr>
      <w:r>
        <w:rPr>
          <w:rFonts w:hint="eastAsia" w:ascii="宋体" w:hAnsi="宋体" w:cs="宋体"/>
          <w:szCs w:val="21"/>
        </w:rPr>
        <w:t xml:space="preserve">7.具备多种伪刺激功能，包含单侧、双侧伪刺激功能，支持预刺激功能。</w:t>
      </w:r>
      <w:r/>
    </w:p>
    <w:p>
      <w:pPr>
        <w:spacing w:line="360" w:lineRule="auto"/>
        <w:rPr>
          <w:rFonts w:ascii="宋体" w:hAnsi="宋体" w:cs="宋体"/>
          <w:szCs w:val="21"/>
        </w:rPr>
      </w:pPr>
      <w:r>
        <w:rPr>
          <w:rFonts w:hint="eastAsia" w:ascii="宋体" w:hAnsi="宋体" w:cs="宋体"/>
          <w:szCs w:val="21"/>
        </w:rPr>
        <w:t xml:space="preserve">8.刺激阻抗：显示最小负载≤0.01 kΩ，允差±10%，接触阻抗（使用导电膏后）不高于10 kΩ。</w:t>
      </w:r>
      <w:r/>
    </w:p>
    <w:p>
      <w:pPr>
        <w:spacing w:line="360" w:lineRule="auto"/>
        <w:rPr>
          <w:rFonts w:ascii="宋体" w:hAnsi="宋体" w:cs="宋体"/>
          <w:szCs w:val="21"/>
        </w:rPr>
      </w:pPr>
      <w:r>
        <w:rPr>
          <w:rFonts w:hint="eastAsia" w:ascii="宋体" w:hAnsi="宋体" w:cs="宋体"/>
          <w:szCs w:val="21"/>
        </w:rPr>
        <w:t xml:space="preserve">9.刺激前阻抗检测功能：检测精度≤10%；刺激中实时显示每个电极阻抗检测功能：检测精度≤10%。</w:t>
      </w:r>
      <w:r/>
    </w:p>
    <w:p>
      <w:pPr>
        <w:spacing w:line="360" w:lineRule="auto"/>
        <w:rPr>
          <w:rFonts w:ascii="宋体" w:hAnsi="宋体" w:cs="宋体"/>
          <w:szCs w:val="21"/>
        </w:rPr>
      </w:pPr>
      <w:r>
        <w:rPr>
          <w:rFonts w:hint="eastAsia" w:ascii="宋体" w:hAnsi="宋体" w:cs="宋体"/>
          <w:szCs w:val="21"/>
        </w:rPr>
        <w:t xml:space="preserve">10.刺激治疗电极帽：采用氯化银电极，环形电极托可固定在电极帽上的孔中，电极帽固定点数量≥72。</w:t>
      </w:r>
      <w:r/>
    </w:p>
    <w:p>
      <w:pPr>
        <w:spacing w:line="360" w:lineRule="auto"/>
        <w:rPr>
          <w:rFonts w:ascii="宋体" w:hAnsi="宋体" w:cs="宋体"/>
          <w:szCs w:val="21"/>
        </w:rPr>
      </w:pPr>
      <w:r>
        <w:rPr>
          <w:rFonts w:hint="eastAsia" w:ascii="宋体" w:hAnsi="宋体" w:cs="宋体"/>
          <w:szCs w:val="21"/>
        </w:rPr>
        <w:t xml:space="preserve">11.可定制的电极配置，包括海绵电极、盘状电极、TI刺激电极、动物刺激电极等。</w:t>
      </w:r>
      <w:r/>
    </w:p>
    <w:p>
      <w:pPr>
        <w:spacing w:line="360" w:lineRule="auto"/>
        <w:rPr>
          <w:rFonts w:ascii="宋体" w:hAnsi="宋体" w:cs="宋体"/>
          <w:szCs w:val="21"/>
        </w:rPr>
      </w:pPr>
      <w:r>
        <w:rPr>
          <w:rFonts w:hint="eastAsia" w:ascii="宋体" w:hAnsi="宋体" w:cs="宋体"/>
          <w:szCs w:val="21"/>
        </w:rPr>
        <w:t xml:space="preserve">12.可选配从儿童到成人≥8种不同尺寸电极帽；电极帽形变幅度：拉伸变形，拉伸度≤0.5cm。</w:t>
      </w:r>
      <w:r/>
    </w:p>
    <w:p>
      <w:pPr>
        <w:spacing w:line="360" w:lineRule="auto"/>
        <w:rPr>
          <w:rFonts w:ascii="宋体" w:hAnsi="宋体" w:cs="宋体"/>
          <w:szCs w:val="21"/>
        </w:rPr>
      </w:pPr>
      <w:r>
        <w:rPr>
          <w:rFonts w:hint="eastAsia" w:ascii="宋体" w:hAnsi="宋体" w:cs="宋体"/>
          <w:szCs w:val="21"/>
        </w:rPr>
        <w:t xml:space="preserve">13.具备触发输入和触发输出触发接口，具备USB通讯接口；支持上位机控制功能，可实现基于脑电信号的闭环实施调控；支持python/matlab sdk，可通过自定义编程控制参数。</w:t>
      </w:r>
      <w:r/>
    </w:p>
    <w:p>
      <w:pPr>
        <w:spacing w:line="360" w:lineRule="auto"/>
        <w:rPr>
          <w:rFonts w:ascii="宋体" w:hAnsi="宋体" w:cs="宋体"/>
          <w:szCs w:val="21"/>
        </w:rPr>
      </w:pPr>
      <w:r>
        <w:rPr>
          <w:rFonts w:hint="eastAsia" w:ascii="宋体" w:hAnsi="宋体" w:cs="宋体"/>
          <w:szCs w:val="21"/>
        </w:rPr>
        <w:t xml:space="preserve">14.支持刺激电流缓升/缓降功能, 缓升/缓降时间≥30s。</w:t>
      </w:r>
      <w:r/>
    </w:p>
    <w:p>
      <w:pPr>
        <w:spacing w:line="360" w:lineRule="auto"/>
        <w:rPr>
          <w:rFonts w:ascii="宋体" w:hAnsi="宋体" w:cs="宋体"/>
          <w:szCs w:val="21"/>
        </w:rPr>
      </w:pPr>
      <w:r>
        <w:rPr>
          <w:rFonts w:hint="eastAsia" w:ascii="宋体" w:hAnsi="宋体" w:cs="宋体"/>
          <w:szCs w:val="21"/>
        </w:rPr>
        <w:t xml:space="preserve">15.主机配备触摸屏，尺寸≥10寸，可直接在主机输入设置刺激参数。</w:t>
      </w:r>
      <w:r/>
    </w:p>
    <w:p>
      <w:pPr>
        <w:spacing w:line="360" w:lineRule="auto"/>
        <w:rPr>
          <w:rFonts w:ascii="宋体" w:hAnsi="宋体" w:cs="宋体"/>
          <w:szCs w:val="21"/>
        </w:rPr>
      </w:pPr>
      <w:r>
        <w:rPr>
          <w:rFonts w:hint="eastAsia" w:ascii="宋体" w:hAnsi="宋体" w:cs="宋体"/>
          <w:szCs w:val="21"/>
        </w:rPr>
        <w:t xml:space="preserve">16.主机含电池≤9kg，内置电池，方便在不同场景下使用。</w:t>
      </w:r>
      <w:r/>
    </w:p>
    <w:p>
      <w:pPr>
        <w:spacing w:line="360" w:lineRule="auto"/>
        <w:rPr>
          <w:rFonts w:ascii="宋体" w:hAnsi="宋体" w:cs="宋体"/>
          <w:szCs w:val="21"/>
        </w:rPr>
      </w:pPr>
      <w:r>
        <w:rPr>
          <w:rFonts w:hint="eastAsia" w:ascii="宋体" w:hAnsi="宋体" w:cs="宋体"/>
          <w:szCs w:val="21"/>
        </w:rPr>
        <w:t xml:space="preserve">17.支持独立供电和电池供电两种模式，电池工作续航≥8小时。</w:t>
      </w:r>
      <w:r/>
    </w:p>
    <w:p>
      <w:pPr>
        <w:spacing w:line="360" w:lineRule="auto"/>
        <w:rPr>
          <w:rFonts w:ascii="宋体" w:hAnsi="宋体" w:cs="宋体"/>
          <w:szCs w:val="21"/>
        </w:rPr>
      </w:pPr>
      <w:r>
        <w:rPr>
          <w:rFonts w:hint="eastAsia" w:ascii="宋体" w:hAnsi="宋体" w:cs="宋体"/>
          <w:szCs w:val="21"/>
        </w:rPr>
        <w:t xml:space="preserve">18.主机尺寸不超过440×320×190mm，可选配台车，便于在床旁等狭窄环境使用。</w:t>
      </w:r>
      <w:r/>
    </w:p>
    <w:p>
      <w:pPr>
        <w:spacing w:line="360" w:lineRule="auto"/>
        <w:rPr>
          <w:rFonts w:ascii="宋体" w:hAnsi="宋体" w:cs="宋体"/>
          <w:szCs w:val="21"/>
        </w:rPr>
      </w:pPr>
      <w:r>
        <w:rPr>
          <w:rFonts w:hint="eastAsia" w:ascii="宋体" w:hAnsi="宋体" w:cs="宋体"/>
          <w:szCs w:val="21"/>
        </w:rPr>
        <w:t xml:space="preserve">19.配备定制外箱，方便存储、运输，外箱包含产品总质量不超过18kg。</w:t>
      </w:r>
      <w:r/>
    </w:p>
    <w:p>
      <w:pPr>
        <w:spacing w:line="360" w:lineRule="auto"/>
        <w:rPr>
          <w:rFonts w:ascii="宋体" w:hAnsi="宋体" w:cs="宋体"/>
          <w:szCs w:val="21"/>
        </w:rPr>
      </w:pPr>
      <w:r>
        <w:rPr>
          <w:rFonts w:hint="eastAsia" w:ascii="宋体" w:hAnsi="宋体" w:cs="宋体"/>
          <w:szCs w:val="21"/>
        </w:rPr>
        <w:t xml:space="preserve">20.支持经颅时间干涉（TI）刺激、间歇性θ波爆发刺激等模式，支持可编程刺激范式。</w:t>
      </w:r>
      <w:r/>
    </w:p>
    <w:p>
      <w:pPr>
        <w:spacing w:line="360" w:lineRule="auto"/>
        <w:rPr>
          <w:rFonts w:ascii="宋体" w:hAnsi="宋体" w:cs="宋体"/>
          <w:szCs w:val="21"/>
        </w:rPr>
      </w:pPr>
      <w:r>
        <w:rPr>
          <w:rFonts w:hint="eastAsia" w:ascii="宋体" w:hAnsi="宋体" w:cs="宋体"/>
          <w:szCs w:val="21"/>
        </w:rPr>
        <w:t xml:space="preserve">21.支持多种波形：支持包括时间干涉脑深部电刺激（TI）下的正弦波、三角波、双向脉冲波在内的波形设定。</w:t>
      </w:r>
      <w:r/>
    </w:p>
    <w:p>
      <w:pPr>
        <w:spacing w:line="360" w:lineRule="auto"/>
        <w:rPr>
          <w:rFonts w:ascii="宋体" w:hAnsi="宋体" w:cs="宋体"/>
          <w:szCs w:val="21"/>
        </w:rPr>
      </w:pPr>
      <w:r>
        <w:rPr>
          <w:rFonts w:hint="eastAsia" w:ascii="宋体" w:hAnsi="宋体" w:cs="宋体"/>
          <w:szCs w:val="21"/>
        </w:rPr>
        <w:t xml:space="preserve">▲22.经颅时间干涉刺激刺激同时可开启通道数≥4通道，2通道共4个电极组成一组TI刺激，同时可刺激靶点/患者数≥2个。</w:t>
      </w:r>
      <w:r/>
    </w:p>
    <w:p>
      <w:pPr>
        <w:spacing w:line="360" w:lineRule="auto"/>
        <w:rPr>
          <w:rFonts w:ascii="宋体" w:hAnsi="宋体" w:cs="宋体"/>
          <w:szCs w:val="21"/>
        </w:rPr>
      </w:pPr>
      <w:r>
        <w:rPr>
          <w:rFonts w:hint="eastAsia" w:ascii="宋体" w:hAnsi="宋体" w:cs="宋体"/>
          <w:szCs w:val="21"/>
        </w:rPr>
        <w:t xml:space="preserve">23.TI下的最大输出频率≥20000 Hz。</w:t>
      </w:r>
      <w:r/>
    </w:p>
    <w:p>
      <w:pPr>
        <w:spacing w:line="360" w:lineRule="auto"/>
        <w:rPr>
          <w:rFonts w:ascii="宋体" w:hAnsi="宋体" w:cs="宋体"/>
          <w:szCs w:val="21"/>
        </w:rPr>
      </w:pPr>
      <w:r>
        <w:rPr>
          <w:rFonts w:hint="eastAsia" w:ascii="宋体" w:hAnsi="宋体" w:cs="宋体"/>
          <w:szCs w:val="21"/>
        </w:rPr>
        <w:t xml:space="preserve">24.两个通道输出相位偏移180°±0°</w:t>
      </w:r>
      <w:r/>
    </w:p>
    <w:p>
      <w:pPr>
        <w:spacing w:line="360" w:lineRule="auto"/>
        <w:rPr>
          <w:rFonts w:ascii="宋体" w:hAnsi="宋体" w:cs="宋体"/>
          <w:szCs w:val="21"/>
        </w:rPr>
      </w:pPr>
      <w:r>
        <w:rPr>
          <w:rFonts w:hint="eastAsia" w:ascii="宋体" w:hAnsi="宋体" w:cs="宋体"/>
          <w:szCs w:val="21"/>
        </w:rPr>
        <w:t xml:space="preserve">25.输出电压：最大输出电压峰峰值≥70V。</w:t>
      </w:r>
      <w:r/>
    </w:p>
    <w:p>
      <w:pPr>
        <w:spacing w:line="360" w:lineRule="auto"/>
        <w:rPr>
          <w:rFonts w:ascii="宋体" w:hAnsi="宋体" w:cs="宋体"/>
          <w:szCs w:val="21"/>
        </w:rPr>
      </w:pPr>
      <w:r>
        <w:rPr>
          <w:rFonts w:hint="eastAsia" w:ascii="宋体" w:hAnsi="宋体" w:cs="宋体"/>
          <w:szCs w:val="21"/>
        </w:rPr>
        <w:t xml:space="preserve">▲26.刺激电流：支持刺激调节电流，时间干涉刺激的最大电流输出范围≥8mA，峰峰输出≥16mA,精度≤10μA，步进≤1μA。</w:t>
      </w:r>
      <w:r/>
    </w:p>
    <w:p>
      <w:pPr>
        <w:spacing w:line="360" w:lineRule="auto"/>
        <w:rPr>
          <w:rFonts w:ascii="宋体" w:hAnsi="宋体" w:cs="宋体"/>
          <w:szCs w:val="21"/>
        </w:rPr>
      </w:pPr>
      <w:r>
        <w:rPr>
          <w:rFonts w:hint="eastAsia" w:ascii="宋体" w:hAnsi="宋体" w:cs="宋体"/>
          <w:szCs w:val="21"/>
        </w:rPr>
        <w:t xml:space="preserve">▲27.每个通道频率/电流幅度独立可调；支持在刺激中调节电流，恒流≥8mA，精度≤1μA，调节步进≤1μA；支持在刺激中调节频率，精度≤0.01Hz，步进≤0.01Hz。</w:t>
      </w:r>
      <w:r/>
    </w:p>
    <w:p>
      <w:pPr>
        <w:spacing w:line="360" w:lineRule="auto"/>
        <w:rPr>
          <w:rFonts w:ascii="宋体" w:hAnsi="宋体" w:cs="宋体"/>
          <w:szCs w:val="21"/>
        </w:rPr>
      </w:pPr>
      <w:r>
        <w:rPr>
          <w:rFonts w:hint="eastAsia" w:ascii="宋体" w:hAnsi="宋体" w:cs="宋体"/>
          <w:szCs w:val="21"/>
        </w:rPr>
        <w:t xml:space="preserve">28.具备多种爆发刺激功能，包括连续TI Burst刺激模式和间歇TI Burst刺激模式。</w:t>
      </w:r>
      <w:r/>
    </w:p>
    <w:p>
      <w:pPr>
        <w:spacing w:line="360" w:lineRule="auto"/>
        <w:rPr>
          <w:rFonts w:ascii="宋体" w:hAnsi="宋体" w:cs="宋体"/>
          <w:szCs w:val="21"/>
        </w:rPr>
      </w:pPr>
      <w:r>
        <w:rPr>
          <w:rFonts w:hint="eastAsia" w:ascii="宋体" w:hAnsi="宋体" w:cs="宋体"/>
          <w:szCs w:val="21"/>
        </w:rPr>
        <w:t xml:space="preserve">29.每个爆发（Burst）序列时长≥1s，最大误差≤1％;每个爆发（Burst）序列包络数量≥10。</w:t>
      </w:r>
      <w:r/>
    </w:p>
    <w:p>
      <w:pPr>
        <w:spacing w:line="360" w:lineRule="auto"/>
        <w:rPr>
          <w:rFonts w:ascii="宋体" w:hAnsi="宋体" w:cs="宋体"/>
          <w:szCs w:val="21"/>
        </w:rPr>
      </w:pPr>
      <w:r>
        <w:rPr>
          <w:rFonts w:hint="eastAsia" w:ascii="宋体" w:hAnsi="宋体" w:cs="宋体"/>
          <w:szCs w:val="21"/>
        </w:rPr>
        <w:t xml:space="preserve">▲30.提供针对经颅时间干涉刺激的个性化人脑模型正向、逆向算法，电场计算头模型建模时长≤30分钟；正向、逆向计算时长≤5分钟。</w:t>
      </w:r>
      <w:r/>
    </w:p>
    <w:p>
      <w:pPr>
        <w:spacing w:line="360" w:lineRule="auto"/>
        <w:rPr>
          <w:rFonts w:ascii="宋体" w:hAnsi="宋体" w:cs="宋体"/>
          <w:szCs w:val="21"/>
        </w:rPr>
      </w:pPr>
      <w:r>
        <w:rPr>
          <w:rFonts w:hint="eastAsia" w:ascii="宋体" w:hAnsi="宋体" w:cs="宋体"/>
          <w:szCs w:val="21"/>
        </w:rPr>
        <w:t xml:space="preserve">31.提供大鼠、小鼠等动物实验方案，提供动物实验操作培训。</w:t>
      </w:r>
      <w:r/>
    </w:p>
    <w:p>
      <w:pPr>
        <w:spacing w:line="360" w:lineRule="auto"/>
        <w:rPr>
          <w:rFonts w:ascii="宋体" w:hAnsi="宋体" w:cs="宋体"/>
          <w:szCs w:val="21"/>
        </w:rPr>
      </w:pPr>
      <w:r>
        <w:rPr>
          <w:rFonts w:hint="eastAsia" w:ascii="宋体" w:hAnsi="宋体" w:cs="宋体"/>
          <w:szCs w:val="21"/>
        </w:rPr>
        <w:t xml:space="preserve">▲32.提供针对经颅时间干涉刺激的动物颅脑模型，以及个性化电极定位的正向、逆向算法，正向、逆向计算时长≤5分钟。</w:t>
      </w:r>
      <w:r/>
    </w:p>
    <w:p>
      <w:pPr>
        <w:spacing w:line="360" w:lineRule="auto"/>
        <w:rPr>
          <w:rFonts w:ascii="宋体" w:hAnsi="宋体" w:cs="宋体"/>
          <w:szCs w:val="21"/>
        </w:rPr>
      </w:pPr>
      <w:r>
        <w:rPr>
          <w:rFonts w:hint="eastAsia" w:ascii="宋体" w:hAnsi="宋体" w:cs="宋体"/>
          <w:szCs w:val="21"/>
        </w:rPr>
        <w:t xml:space="preserve">▲33.自研算法，提供不同电导率设定，支持自定义个性化电导率；支持全脑任意靶点的选择，可通过脑图谱、图像、坐标等多种方式选择刺激靶点。</w:t>
      </w:r>
      <w:r/>
    </w:p>
    <w:p>
      <w:pPr>
        <w:spacing w:line="360" w:lineRule="auto"/>
        <w:rPr>
          <w:rFonts w:ascii="宋体" w:hAnsi="宋体" w:cs="宋体"/>
          <w:szCs w:val="21"/>
        </w:rPr>
      </w:pPr>
      <w:r>
        <w:rPr>
          <w:rFonts w:hint="eastAsia" w:ascii="宋体" w:hAnsi="宋体" w:cs="宋体"/>
          <w:szCs w:val="21"/>
        </w:rPr>
        <w:t xml:space="preserve">▲34.在基于个体化头MRI构建的头模型上，软件可自动分割出≥450个脑区，便于用户精准选择功能靶点，并且可实现对不同脑区的量化统计分析。</w:t>
      </w:r>
      <w:r/>
    </w:p>
    <w:p>
      <w:pPr>
        <w:spacing w:line="360" w:lineRule="auto"/>
        <w:rPr>
          <w:rFonts w:ascii="宋体" w:hAnsi="宋体" w:cs="宋体"/>
          <w:szCs w:val="21"/>
        </w:rPr>
      </w:pPr>
      <w:r>
        <w:rPr>
          <w:rFonts w:hint="eastAsia" w:ascii="宋体" w:hAnsi="宋体" w:cs="宋体"/>
          <w:szCs w:val="21"/>
        </w:rPr>
        <w:t xml:space="preserve">35.可与脑电采集系统协同，支持刺激过程中无时隙脑电采集，采集脑电信号同步滤除电刺激干扰，自定义脑电事件。</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b/>
          <w:bCs/>
          <w:szCs w:val="21"/>
        </w:rPr>
      </w:pPr>
      <w:r>
        <w:rPr>
          <w:rFonts w:hint="eastAsia" w:ascii="宋体" w:hAnsi="宋体"/>
          <w:b/>
          <w:bCs/>
          <w:szCs w:val="21"/>
        </w:rPr>
        <w:t xml:space="preserve">七、实施要求</w:t>
      </w:r>
      <w:r/>
    </w:p>
    <w:p>
      <w:pPr>
        <w:ind w:firstLine="420"/>
        <w:spacing w:line="360" w:lineRule="auto"/>
        <w:rPr>
          <w:rFonts w:ascii="宋体" w:hAnsi="宋体"/>
          <w:szCs w:val="21"/>
        </w:rPr>
      </w:pPr>
      <w:r>
        <w:rPr>
          <w:rFonts w:hint="eastAsia" w:ascii="宋体" w:hAnsi="宋体"/>
          <w:szCs w:val="21"/>
        </w:rPr>
        <w:t xml:space="preserve">1、货物到达采购单位后，在采购单位技术人员在场的情况下开箱清点货物，组织安装、调试及操作培训，并承担因此发生的一切费用。</w:t>
      </w:r>
      <w:r/>
    </w:p>
    <w:p>
      <w:pPr>
        <w:ind w:firstLine="420"/>
        <w:spacing w:line="360" w:lineRule="auto"/>
        <w:rPr>
          <w:rFonts w:ascii="宋体" w:hAnsi="宋体"/>
          <w:szCs w:val="21"/>
        </w:rPr>
      </w:pPr>
      <w:r>
        <w:rPr>
          <w:rFonts w:hint="eastAsia" w:ascii="宋体" w:hAnsi="宋体"/>
          <w:szCs w:val="21"/>
        </w:rPr>
        <w:t xml:space="preserve">2、投标文件中提供实施方案，内容应包括但不限于①项目团队情况及岗位分工职责、②交货期工序安排、③货物包装运输计划、④安装调试等。</w:t>
      </w:r>
      <w:r/>
    </w:p>
    <w:p>
      <w:pPr>
        <w:ind w:firstLine="420"/>
        <w:spacing w:line="360" w:lineRule="auto"/>
        <w:rPr>
          <w:rFonts w:ascii="宋体" w:hAnsi="宋体"/>
          <w:szCs w:val="21"/>
        </w:rPr>
      </w:pPr>
      <w:r>
        <w:rPr>
          <w:rFonts w:hint="eastAsia" w:ascii="宋体" w:hAnsi="宋体"/>
          <w:szCs w:val="21"/>
        </w:rPr>
        <w:t xml:space="preserve">3、投标人负责保管、看护进场的设备及附配件直至完成安装调试后交付采购单位。</w:t>
      </w:r>
      <w:r/>
    </w:p>
    <w:p>
      <w:pPr>
        <w:ind w:firstLine="420"/>
        <w:spacing w:line="360" w:lineRule="auto"/>
        <w:rPr>
          <w:rFonts w:ascii="宋体" w:hAnsi="宋体"/>
          <w:szCs w:val="21"/>
        </w:rPr>
      </w:pPr>
      <w:r>
        <w:rPr>
          <w:rFonts w:hint="eastAsia" w:ascii="宋体" w:hAnsi="宋体"/>
          <w:szCs w:val="21"/>
        </w:rPr>
        <w:t xml:space="preserve">3.1投标时需提供具体的配置清单（包括但不仅限于硬件、软件部分），可另附技术参数规格文件对投标产品的技术性能做相关说明。</w:t>
      </w:r>
      <w:r/>
    </w:p>
    <w:p>
      <w:pPr>
        <w:ind w:firstLine="420"/>
        <w:spacing w:line="360" w:lineRule="auto"/>
        <w:rPr>
          <w:rFonts w:ascii="宋体" w:hAnsi="宋体"/>
          <w:szCs w:val="21"/>
        </w:rPr>
      </w:pPr>
      <w:r>
        <w:rPr>
          <w:rFonts w:hint="eastAsia" w:ascii="宋体" w:hAnsi="宋体"/>
          <w:szCs w:val="21"/>
        </w:rPr>
        <w:t xml:space="preserve">3.2投标供应商负责完成设备运输、安装、调试、运行和验收交付等工作。投标供应商应提供项目实施方案、进度计划，并根据项目进度列出各个阶段采购人需要配合的内容。</w:t>
      </w:r>
      <w:r/>
    </w:p>
    <w:p>
      <w:pPr>
        <w:ind w:firstLine="420"/>
        <w:spacing w:line="360" w:lineRule="auto"/>
        <w:rPr>
          <w:rFonts w:ascii="宋体" w:hAnsi="宋体"/>
          <w:szCs w:val="21"/>
        </w:rPr>
      </w:pPr>
      <w:r>
        <w:rPr>
          <w:rFonts w:hint="eastAsia" w:ascii="宋体" w:hAnsi="宋体"/>
          <w:szCs w:val="21"/>
        </w:rPr>
        <w:t xml:space="preserve">3.3投标供应商负责货物的运输、安装、调试、试用过程中的现场安全管理，有具体实施方案。若运输、安装、调试及试用过程中发生安全事故，投标供应商应承担全部责任。</w:t>
      </w:r>
      <w:r/>
    </w:p>
    <w:p>
      <w:pPr>
        <w:ind w:firstLine="420"/>
        <w:spacing w:line="360" w:lineRule="auto"/>
        <w:rPr>
          <w:rFonts w:ascii="宋体" w:hAnsi="宋体"/>
          <w:szCs w:val="21"/>
        </w:rPr>
      </w:pPr>
      <w:r>
        <w:rPr>
          <w:rFonts w:hint="eastAsia" w:ascii="宋体" w:hAnsi="宋体"/>
          <w:szCs w:val="21"/>
        </w:rPr>
        <w:t xml:space="preserve">3.4采购人收到货物后，由双方共同进行开箱初检。开箱初检合格后供应商应及时安排安装、调试。</w:t>
      </w:r>
      <w:r/>
    </w:p>
    <w:p>
      <w:pPr>
        <w:ind w:firstLine="420"/>
        <w:spacing w:line="360" w:lineRule="auto"/>
        <w:rPr>
          <w:rFonts w:ascii="宋体" w:hAnsi="宋体"/>
          <w:szCs w:val="21"/>
        </w:rPr>
      </w:pPr>
      <w:r>
        <w:rPr>
          <w:rFonts w:hint="eastAsia" w:ascii="宋体" w:hAnsi="宋体"/>
          <w:szCs w:val="21"/>
        </w:rPr>
        <w:t xml:space="preserve">3.5质量要求应达到前述规定的技术标准，且应使采购人在质保期及质保期过后的设计寿命周期内能实现正常使用的目的。</w:t>
      </w:r>
      <w:r/>
    </w:p>
    <w:p>
      <w:pPr>
        <w:spacing w:line="360" w:lineRule="auto"/>
        <w:rPr>
          <w:rFonts w:ascii="宋体" w:hAnsi="宋体"/>
          <w:b/>
          <w:bCs/>
          <w:szCs w:val="21"/>
        </w:rPr>
      </w:pPr>
      <w:r>
        <w:rPr>
          <w:rFonts w:hint="eastAsia" w:ascii="宋体" w:hAnsi="宋体"/>
          <w:b/>
          <w:bCs/>
          <w:szCs w:val="21"/>
        </w:rPr>
        <w:t xml:space="preserve">八、售后服务要求</w:t>
      </w:r>
      <w:r/>
    </w:p>
    <w:p>
      <w:pPr>
        <w:ind w:firstLine="420"/>
        <w:spacing w:line="360" w:lineRule="auto"/>
        <w:rPr>
          <w:rFonts w:ascii="宋体" w:hAnsi="宋体"/>
          <w:szCs w:val="21"/>
        </w:rPr>
      </w:pPr>
      <w:r>
        <w:rPr>
          <w:rFonts w:hint="eastAsia" w:ascii="宋体" w:hAnsi="宋体"/>
          <w:szCs w:val="21"/>
        </w:rPr>
        <w:t xml:space="preserve">1、质保期要求：所有产品提供整机不低于5年的原厂质保，自验收合格之日起计算。接到维修通知后有专职的技术服务人员上门服务，保证维修响应时间2小时内，工程师12小时内到现场，48小时内需完成维修。</w:t>
      </w:r>
      <w:r/>
    </w:p>
    <w:p>
      <w:pPr>
        <w:ind w:firstLine="420"/>
        <w:spacing w:line="360" w:lineRule="auto"/>
        <w:rPr>
          <w:rFonts w:ascii="宋体" w:hAnsi="宋体"/>
          <w:szCs w:val="21"/>
        </w:rPr>
      </w:pPr>
      <w:r>
        <w:rPr>
          <w:rFonts w:hint="eastAsia" w:ascii="宋体" w:hAnsi="宋体"/>
          <w:szCs w:val="21"/>
        </w:rPr>
        <w:t xml:space="preserve">投标文件中提供针对本项目制定的售后服务管理体系方案，包括售后服务机制、响应时间、故障解决等内容、关于所投产品的售后服务承诺书、优惠措施等。</w:t>
      </w:r>
      <w:r/>
    </w:p>
    <w:p>
      <w:pPr>
        <w:ind w:firstLine="420"/>
        <w:spacing w:line="360" w:lineRule="auto"/>
        <w:rPr>
          <w:rFonts w:ascii="宋体" w:hAnsi="宋体"/>
          <w:szCs w:val="21"/>
        </w:rPr>
      </w:pPr>
      <w:r>
        <w:rPr>
          <w:rFonts w:hint="eastAsia" w:ascii="宋体" w:hAnsi="宋体"/>
          <w:szCs w:val="21"/>
        </w:rPr>
        <w:t xml:space="preserve">投标文件中提供针对本项目制定的应急预案。分析设备有可能出现的重大故障，制定出合理的应急预案。</w:t>
      </w:r>
      <w:r/>
    </w:p>
    <w:p>
      <w:pPr>
        <w:ind w:firstLine="420"/>
        <w:spacing w:line="360" w:lineRule="auto"/>
        <w:rPr>
          <w:rFonts w:ascii="宋体" w:hAnsi="宋体"/>
          <w:szCs w:val="21"/>
        </w:rPr>
      </w:pPr>
      <w:r>
        <w:rPr>
          <w:rFonts w:hint="eastAsia" w:ascii="宋体" w:hAnsi="宋体"/>
          <w:szCs w:val="21"/>
        </w:rPr>
        <w:t xml:space="preserve">2、提供维保收费及售后维保方案，内容包括但不限于①维保收费（包括零配件、备品、备件价格）清单及价格、②维保工作具体维保内容、③维保流程、④维保规范标准、⑤维保档案等情况等情况。</w:t>
      </w:r>
      <w:r/>
    </w:p>
    <w:p>
      <w:pPr>
        <w:ind w:firstLine="420"/>
        <w:spacing w:line="360" w:lineRule="auto"/>
        <w:rPr>
          <w:rFonts w:ascii="宋体" w:hAnsi="宋体"/>
          <w:szCs w:val="21"/>
        </w:rPr>
      </w:pPr>
      <w:r>
        <w:rPr>
          <w:rFonts w:hint="eastAsia" w:ascii="宋体" w:hAnsi="宋体"/>
          <w:szCs w:val="21"/>
        </w:rPr>
        <w:t xml:space="preserve">3、零配件应保证设备使用期内的供应，提供主要零配件的优惠价。零配件供应最长时间不超过3个工作日。并允诺做不到的赔偿条件。维保期结束后免收人工费，维修仅收配件费。投标文件中提供出保后所需更换的易耗品及配件报价。</w:t>
      </w:r>
      <w:r/>
    </w:p>
    <w:p>
      <w:pPr>
        <w:ind w:firstLine="420"/>
        <w:spacing w:line="360" w:lineRule="auto"/>
        <w:rPr>
          <w:rFonts w:ascii="宋体" w:hAnsi="宋体"/>
          <w:szCs w:val="21"/>
        </w:rPr>
      </w:pPr>
      <w:r>
        <w:rPr>
          <w:rFonts w:hint="eastAsia" w:ascii="宋体" w:hAnsi="宋体"/>
          <w:szCs w:val="21"/>
        </w:rPr>
        <w:t xml:space="preserve">4、设备免费维保期内应按国家质量控制相关法规要求提供维保记录及质控记录。</w:t>
      </w:r>
      <w:r/>
    </w:p>
    <w:p>
      <w:pPr>
        <w:ind w:firstLine="420"/>
        <w:spacing w:line="360" w:lineRule="auto"/>
        <w:rPr>
          <w:rFonts w:ascii="宋体" w:hAnsi="宋体"/>
          <w:szCs w:val="21"/>
        </w:rPr>
      </w:pPr>
      <w:r>
        <w:rPr>
          <w:rFonts w:hint="eastAsia" w:ascii="宋体" w:hAnsi="宋体"/>
          <w:szCs w:val="21"/>
        </w:rPr>
        <w:t xml:space="preserve">5、若设备需要接入医院信息系统，所需接口费用一律由中标方承担。</w:t>
      </w:r>
      <w:r/>
    </w:p>
    <w:p>
      <w:pPr>
        <w:ind w:firstLine="420"/>
        <w:spacing w:line="360" w:lineRule="auto"/>
        <w:rPr>
          <w:rFonts w:ascii="宋体" w:hAnsi="宋体"/>
          <w:szCs w:val="21"/>
        </w:rPr>
      </w:pPr>
      <w:r>
        <w:rPr>
          <w:rFonts w:hint="eastAsia" w:ascii="宋体" w:hAnsi="宋体"/>
          <w:szCs w:val="21"/>
        </w:rPr>
        <w:t xml:space="preserve">6、所投设备属于法定或强检设备的，乙方需承担首次计量检测费用。设备验收时需提供第三方计量检验证书(首检)。</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cs="宋体"/>
          <w:bCs/>
          <w:szCs w:val="21"/>
        </w:rPr>
        <w:t xml:space="preserve">投标单位所投产品如需配套耗材或试剂，投标时详细提供设备涉及的所有耗材、试剂等名称、中标号、中标价格、国家医保耗材代码、国家产品流水号等。如不提供视为无需配套耗材或试剂，将来若产生耗材或试剂导致采购人无法正常使用设备，采购人将解除合同并由此产生的一切责任由中标单位负责。</w:t>
      </w:r>
      <w:r/>
    </w:p>
    <w:p>
      <w:pPr>
        <w:spacing w:line="360" w:lineRule="auto"/>
        <w:rPr>
          <w:rFonts w:ascii="宋体" w:hAnsi="宋体"/>
          <w:b/>
          <w:bCs/>
          <w:szCs w:val="21"/>
        </w:rPr>
      </w:pPr>
      <w:r>
        <w:rPr>
          <w:rFonts w:hint="eastAsia" w:ascii="宋体" w:hAnsi="宋体"/>
          <w:b/>
          <w:bCs/>
          <w:szCs w:val="21"/>
        </w:rPr>
        <w:t xml:space="preserve">九、故障应急预案</w:t>
      </w:r>
      <w:r/>
    </w:p>
    <w:p>
      <w:pPr>
        <w:ind w:firstLine="420"/>
        <w:spacing w:line="360" w:lineRule="auto"/>
        <w:rPr>
          <w:rFonts w:ascii="宋体" w:hAnsi="宋体"/>
          <w:szCs w:val="21"/>
        </w:rPr>
      </w:pPr>
      <w:r>
        <w:rPr>
          <w:rFonts w:hint="eastAsia" w:ascii="宋体" w:hAnsi="宋体"/>
          <w:szCs w:val="21"/>
        </w:rPr>
        <w:t xml:space="preserve">投标单位根据往年设备故障案例，分析设备有可能出现的重大故障，制定出合理的应急预案。</w:t>
      </w:r>
      <w:r/>
    </w:p>
    <w:p>
      <w:pPr>
        <w:ind w:firstLine="420"/>
        <w:spacing w:line="360" w:lineRule="auto"/>
        <w:rPr>
          <w:rFonts w:ascii="宋体" w:hAnsi="宋体"/>
          <w:szCs w:val="21"/>
        </w:rPr>
      </w:pPr>
      <w:r>
        <w:rPr>
          <w:rFonts w:hint="eastAsia" w:ascii="宋体" w:hAnsi="宋体"/>
          <w:szCs w:val="21"/>
        </w:rPr>
        <w:t xml:space="preserve">①可能出现的重大故障分析，提供无法开机、宕机情况下提供备机的申请流程和送达方案、提供维修机器的远程解决方案；</w:t>
      </w:r>
      <w:r/>
    </w:p>
    <w:p>
      <w:pPr>
        <w:ind w:firstLine="420"/>
        <w:spacing w:line="360" w:lineRule="auto"/>
        <w:rPr>
          <w:rFonts w:ascii="宋体" w:hAnsi="宋体"/>
          <w:szCs w:val="21"/>
        </w:rPr>
      </w:pPr>
      <w:r>
        <w:rPr>
          <w:rFonts w:hint="eastAsia" w:ascii="宋体" w:hAnsi="宋体"/>
          <w:szCs w:val="21"/>
        </w:rPr>
        <w:t xml:space="preserve">②本项目的重点、难点分析，分析在售后服务过程中可能出现的问题例如售后工程师无法按时到场、或维修配件不能及时到货等情况；</w:t>
      </w:r>
      <w:r/>
    </w:p>
    <w:p>
      <w:pPr>
        <w:ind w:firstLine="420"/>
        <w:spacing w:line="360" w:lineRule="auto"/>
        <w:rPr>
          <w:rFonts w:ascii="宋体" w:hAnsi="宋体"/>
          <w:szCs w:val="21"/>
        </w:rPr>
      </w:pPr>
      <w:r>
        <w:rPr>
          <w:rFonts w:hint="eastAsia" w:ascii="宋体" w:hAnsi="宋体"/>
          <w:szCs w:val="21"/>
        </w:rPr>
        <w:t xml:space="preserve">③针对分析的上述故障应急情况，提供对应的解决方案；</w:t>
      </w:r>
      <w:r/>
    </w:p>
    <w:p>
      <w:pPr>
        <w:spacing w:line="360" w:lineRule="auto"/>
        <w:rPr>
          <w:rFonts w:ascii="宋体" w:hAnsi="宋体"/>
          <w:b/>
          <w:bCs/>
          <w:szCs w:val="21"/>
        </w:rPr>
      </w:pPr>
      <w:r>
        <w:rPr>
          <w:rFonts w:hint="eastAsia" w:ascii="宋体" w:hAnsi="宋体"/>
          <w:b/>
          <w:bCs/>
          <w:szCs w:val="21"/>
        </w:rPr>
        <w:t xml:space="preserve">十、培训方案</w:t>
      </w:r>
      <w:r/>
    </w:p>
    <w:p>
      <w:pPr>
        <w:ind w:firstLine="420"/>
        <w:spacing w:line="360" w:lineRule="auto"/>
        <w:rPr>
          <w:rFonts w:ascii="宋体" w:hAnsi="宋体"/>
          <w:szCs w:val="21"/>
        </w:rPr>
      </w:pPr>
      <w:r>
        <w:rPr>
          <w:rFonts w:hint="eastAsia" w:ascii="宋体" w:hAnsi="宋体"/>
          <w:szCs w:val="21"/>
        </w:rPr>
        <w:t xml:space="preserve">提供对应科室使用培训及医学工程处维护人员培训；提供培训团队组成情况介绍。提供培训方案，内容包括但不限于①培训需求分析、②培训目标计划、③培训内容及方法计划、④负责培训人员情况、⑤培训设备场地等情况介绍。</w:t>
      </w:r>
      <w:r/>
    </w:p>
    <w:p>
      <w:pPr>
        <w:ind w:firstLine="420"/>
        <w:spacing w:line="360" w:lineRule="auto"/>
        <w:rPr>
          <w:rFonts w:ascii="宋体" w:hAnsi="宋体"/>
          <w:szCs w:val="21"/>
        </w:rPr>
      </w:pPr>
      <w:r>
        <w:rPr>
          <w:rFonts w:hint="eastAsia" w:ascii="宋体" w:hAnsi="宋体"/>
          <w:szCs w:val="21"/>
        </w:rPr>
        <w:t xml:space="preserve">①培训需求分析</w:t>
      </w:r>
      <w:r/>
    </w:p>
    <w:p>
      <w:pPr>
        <w:ind w:firstLine="420"/>
        <w:spacing w:line="360" w:lineRule="auto"/>
        <w:rPr>
          <w:rFonts w:ascii="宋体" w:hAnsi="宋体"/>
          <w:szCs w:val="21"/>
        </w:rPr>
      </w:pPr>
      <w:r>
        <w:rPr>
          <w:rFonts w:hint="eastAsia" w:ascii="宋体" w:hAnsi="宋体"/>
          <w:szCs w:val="21"/>
        </w:rPr>
        <w:t xml:space="preserve">针对本项目产品分析科室培训需求，例如分析科室医护人员操作方面的培训需求、应用方面的培训需求、系统维护管理方面的培训需求；</w:t>
      </w:r>
      <w:r/>
    </w:p>
    <w:p>
      <w:pPr>
        <w:ind w:firstLine="420"/>
        <w:spacing w:line="360" w:lineRule="auto"/>
        <w:rPr>
          <w:rFonts w:ascii="宋体" w:hAnsi="宋体"/>
          <w:szCs w:val="21"/>
        </w:rPr>
      </w:pPr>
      <w:r>
        <w:rPr>
          <w:rFonts w:hint="eastAsia" w:ascii="宋体" w:hAnsi="宋体"/>
          <w:szCs w:val="21"/>
        </w:rPr>
        <w:t xml:space="preserve">中标方负责提供设备操作培训及专业厂家维修培训，保证采购单位工程师及操作人员正常操作设备的各种功能及进行设备基础维修。</w:t>
      </w:r>
      <w:r/>
    </w:p>
    <w:p>
      <w:pPr>
        <w:ind w:firstLine="420"/>
        <w:spacing w:line="360" w:lineRule="auto"/>
        <w:rPr>
          <w:rFonts w:ascii="宋体" w:hAnsi="宋体"/>
          <w:szCs w:val="21"/>
        </w:rPr>
      </w:pPr>
      <w:r>
        <w:rPr>
          <w:rFonts w:hint="eastAsia" w:ascii="宋体" w:hAnsi="宋体"/>
          <w:szCs w:val="21"/>
        </w:rPr>
        <w:t xml:space="preserve">终身维修并标明保修期后的具体维修维护事宜（提供生产商支持的售后服务证明文件和售后服务条款）。</w:t>
      </w:r>
      <w:r/>
    </w:p>
    <w:p>
      <w:pPr>
        <w:ind w:firstLine="420"/>
        <w:spacing w:line="360" w:lineRule="auto"/>
        <w:rPr>
          <w:rFonts w:ascii="宋体" w:hAnsi="宋体"/>
          <w:szCs w:val="21"/>
        </w:rPr>
      </w:pPr>
      <w:r>
        <w:rPr>
          <w:rFonts w:hint="eastAsia" w:ascii="宋体" w:hAnsi="宋体"/>
          <w:szCs w:val="21"/>
        </w:rPr>
        <w:t xml:space="preserve">②培训目标计划</w:t>
      </w:r>
      <w:r/>
    </w:p>
    <w:p>
      <w:pPr>
        <w:ind w:firstLine="420"/>
        <w:spacing w:line="360" w:lineRule="auto"/>
        <w:rPr>
          <w:rFonts w:ascii="宋体" w:hAnsi="宋体"/>
          <w:szCs w:val="21"/>
        </w:rPr>
      </w:pPr>
      <w:r>
        <w:rPr>
          <w:rFonts w:hint="eastAsia" w:ascii="宋体" w:hAnsi="宋体"/>
          <w:szCs w:val="21"/>
        </w:rPr>
        <w:t xml:space="preserve">针对本项目，提供培训目标和计划，例如提供设备正式运作前，技术人员对客户操作、使用、系统日常运行、管理、维护等相关培训计划安排、日程表。现场集中培训目标：包括客户操作、系统维护管理等均不得少于1次。培训目标：投标人须提供所需的培训服务，以确保采购人的技术人员能对投标人所提供的设备和装置的设计、日常运作、故障和例行维护、事故处理和解决方面等有</w:t>
      </w:r>
      <w:r>
        <w:rPr>
          <w:rFonts w:hint="eastAsia" w:ascii="宋体" w:hAnsi="宋体"/>
          <w:szCs w:val="21"/>
        </w:rPr>
        <w:t xml:space="preserve">全面性的认识和了解。</w:t>
      </w:r>
      <w:r/>
    </w:p>
    <w:p>
      <w:pPr>
        <w:ind w:firstLine="420"/>
        <w:spacing w:line="360" w:lineRule="auto"/>
        <w:rPr>
          <w:rFonts w:ascii="宋体" w:hAnsi="宋体"/>
          <w:szCs w:val="21"/>
        </w:rPr>
      </w:pPr>
      <w:r>
        <w:rPr>
          <w:rFonts w:hint="eastAsia" w:ascii="宋体" w:hAnsi="宋体"/>
          <w:szCs w:val="21"/>
        </w:rPr>
        <w:t xml:space="preserve">③培训内容及方法计划</w:t>
      </w:r>
      <w:r/>
    </w:p>
    <w:p>
      <w:pPr>
        <w:ind w:firstLine="420"/>
        <w:spacing w:line="360" w:lineRule="auto"/>
        <w:rPr>
          <w:rFonts w:ascii="宋体" w:hAnsi="宋体"/>
          <w:szCs w:val="21"/>
        </w:rPr>
      </w:pPr>
      <w:r>
        <w:rPr>
          <w:rFonts w:hint="eastAsia" w:ascii="宋体" w:hAnsi="宋体"/>
          <w:szCs w:val="21"/>
        </w:rPr>
        <w:t xml:space="preserve">提供并解释有关设计资料、文件、图纸等，以便采购人操作人员对整套系统的各个方面都能熟练掌握。提供培训所需的材料、设备、幻灯片以及其它的培训教材文件，所有教材文件须以中文说明。投标文件中提供详细的培训资料。</w:t>
      </w:r>
      <w:r/>
    </w:p>
    <w:p>
      <w:pPr>
        <w:ind w:firstLine="420"/>
        <w:spacing w:line="360" w:lineRule="auto"/>
        <w:rPr>
          <w:rFonts w:ascii="宋体" w:hAnsi="宋体"/>
          <w:szCs w:val="21"/>
        </w:rPr>
      </w:pPr>
      <w:r>
        <w:rPr>
          <w:rFonts w:hint="eastAsia" w:ascii="宋体" w:hAnsi="宋体"/>
          <w:szCs w:val="21"/>
        </w:rPr>
        <w:t xml:space="preserve">④负责培训人员情况</w:t>
      </w:r>
      <w:r/>
    </w:p>
    <w:p>
      <w:pPr>
        <w:ind w:firstLine="420"/>
        <w:spacing w:line="360" w:lineRule="auto"/>
        <w:rPr>
          <w:rFonts w:ascii="宋体" w:hAnsi="宋体"/>
          <w:szCs w:val="21"/>
        </w:rPr>
      </w:pPr>
      <w:r>
        <w:rPr>
          <w:rFonts w:hint="eastAsia" w:ascii="宋体" w:hAnsi="宋体"/>
          <w:szCs w:val="21"/>
        </w:rPr>
        <w:t xml:space="preserve">投入本项目的负责培训老师，需拟派经验丰富的专业工程师负责进行。设备正式运作前，需提供技术人员对客户操作、使用，系统日常运行、维护等相关培训，现场集中培训不得少于1次。</w:t>
      </w:r>
      <w:r/>
    </w:p>
    <w:p>
      <w:pPr>
        <w:ind w:firstLine="420"/>
        <w:spacing w:line="360" w:lineRule="auto"/>
        <w:rPr>
          <w:rFonts w:ascii="宋体" w:hAnsi="宋体"/>
          <w:szCs w:val="21"/>
        </w:rPr>
      </w:pPr>
      <w:r>
        <w:rPr>
          <w:rFonts w:hint="eastAsia" w:ascii="宋体" w:hAnsi="宋体"/>
          <w:szCs w:val="21"/>
        </w:rPr>
        <w:t xml:space="preserve">⑤培训设备场地等情况介绍</w:t>
      </w:r>
      <w:r/>
    </w:p>
    <w:p>
      <w:pPr>
        <w:ind w:firstLine="420"/>
        <w:spacing w:line="360" w:lineRule="auto"/>
        <w:rPr>
          <w:rFonts w:ascii="宋体" w:hAnsi="宋体"/>
          <w:szCs w:val="21"/>
        </w:rPr>
      </w:pPr>
      <w:r>
        <w:rPr>
          <w:rFonts w:hint="eastAsia" w:ascii="宋体" w:hAnsi="宋体"/>
          <w:szCs w:val="21"/>
        </w:rPr>
        <w:t xml:space="preserve">投标人在投标文件中将培训场地和培训时所需电脑、投影等办公设备进行阐述。培训时提供容纳足够人数的会议室以及办公用品，提供培训演示PPT和现场操作视频等。</w:t>
      </w:r>
      <w:r/>
    </w:p>
    <w:p>
      <w:pPr>
        <w:spacing w:line="360" w:lineRule="auto"/>
        <w:rPr>
          <w:rFonts w:ascii="宋体" w:hAnsi="宋体"/>
          <w:b/>
          <w:bCs/>
          <w:szCs w:val="21"/>
        </w:rPr>
      </w:pPr>
      <w:r>
        <w:rPr>
          <w:rFonts w:hint="eastAsia" w:ascii="宋体" w:hAnsi="宋体"/>
          <w:b/>
          <w:bCs/>
          <w:szCs w:val="21"/>
        </w:rPr>
        <w:t xml:space="preserve">十一、设备质量要求：</w:t>
      </w:r>
      <w:r/>
    </w:p>
    <w:p>
      <w:pPr>
        <w:ind w:firstLine="420"/>
        <w:spacing w:line="360" w:lineRule="auto"/>
        <w:rPr>
          <w:rFonts w:ascii="宋体" w:hAnsi="宋体"/>
          <w:szCs w:val="21"/>
        </w:rPr>
      </w:pPr>
      <w:r>
        <w:rPr>
          <w:rFonts w:hint="eastAsia" w:ascii="宋体" w:hAnsi="宋体"/>
          <w:szCs w:val="21"/>
        </w:rPr>
        <w:t xml:space="preserve">1.设备质量及安装符合国家质量标准和验收规范，并响应招标文件所规定技术性能要求，以及中标人承诺的其他指标。</w:t>
      </w:r>
      <w:r/>
    </w:p>
    <w:p>
      <w:pPr>
        <w:ind w:firstLine="420"/>
        <w:spacing w:line="360" w:lineRule="auto"/>
        <w:rPr>
          <w:rFonts w:ascii="宋体" w:hAnsi="宋体"/>
          <w:szCs w:val="21"/>
        </w:rPr>
      </w:pPr>
      <w:r>
        <w:rPr>
          <w:rFonts w:hint="eastAsia" w:ascii="宋体" w:hAnsi="宋体"/>
          <w:szCs w:val="21"/>
        </w:rPr>
        <w:t xml:space="preserve">2.所投设备各项技术标准应当符合国家（强制性）标准及各项规范要求；国家没有相应标准、规范的，可使用行业标准、规定；非标准设备按招标约定的技术要求和规范。 </w:t>
      </w:r>
      <w:r/>
    </w:p>
    <w:p>
      <w:pPr>
        <w:ind w:firstLine="420"/>
        <w:spacing w:line="360" w:lineRule="auto"/>
        <w:rPr>
          <w:rFonts w:ascii="宋体" w:hAnsi="宋体"/>
          <w:szCs w:val="21"/>
        </w:rPr>
      </w:pPr>
      <w:r>
        <w:rPr>
          <w:rFonts w:hint="eastAsia" w:ascii="宋体" w:hAnsi="宋体"/>
          <w:szCs w:val="21"/>
        </w:rPr>
        <w:t xml:space="preserve">3.所有设备在到达安装现场时须经采购单位技术人员记录验收后才可进行设备安装，验货时须提交该产品的原厂质量合格证明及服务质保证明文件。</w:t>
      </w:r>
      <w:r/>
    </w:p>
    <w:p>
      <w:pPr>
        <w:ind w:firstLine="420"/>
        <w:spacing w:line="360" w:lineRule="auto"/>
        <w:rPr>
          <w:rFonts w:ascii="宋体" w:hAnsi="宋体"/>
          <w:szCs w:val="21"/>
        </w:rPr>
      </w:pPr>
      <w:r>
        <w:rPr>
          <w:rFonts w:hint="eastAsia" w:ascii="宋体" w:hAnsi="宋体"/>
          <w:szCs w:val="21"/>
        </w:rPr>
        <w:t xml:space="preserve">4.所有设备、附（配）件应具备该类产品的功能要求，无瑕疵和缺陷，质量为合格产品，同时有明确的生产厂商或制造厂商。 </w:t>
      </w:r>
      <w:r/>
    </w:p>
    <w:p>
      <w:pPr>
        <w:ind w:firstLine="420"/>
        <w:spacing w:line="360" w:lineRule="auto"/>
        <w:rPr>
          <w:rFonts w:ascii="宋体" w:hAnsi="宋体"/>
          <w:szCs w:val="21"/>
        </w:rPr>
      </w:pPr>
      <w:r>
        <w:rPr>
          <w:rFonts w:hint="eastAsia" w:ascii="宋体" w:hAnsi="宋体"/>
          <w:szCs w:val="21"/>
        </w:rPr>
        <w:t xml:space="preserve">5.缺陷保修：如果设备交付使用后，缺陷多次反复出现，中标方必须提出分析报告和解决方案，更换该产品，直到最后纠正缺陷、投标人提供质保从纠正之日起重新计算质保期。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szCs w:val="21"/>
        </w:rPr>
      </w:pPr>
      <w:r>
        <w:rPr>
          <w:rFonts w:hint="eastAsia" w:ascii="宋体" w:hAnsi="宋体"/>
          <w:szCs w:val="21"/>
        </w:rPr>
        <w:t xml:space="preserve">6.如果是超出投标人的责任范围的疏忽、误操作等情况而导致的更换修正，应由投标人进行修理，其额外费用由双方协商承担。</w:t>
      </w:r>
      <w:r/>
    </w:p>
    <w:p>
      <w:pPr>
        <w:spacing w:line="360" w:lineRule="auto"/>
        <w:rPr>
          <w:rFonts w:ascii="宋体" w:hAnsi="宋体"/>
          <w:szCs w:val="21"/>
        </w:rPr>
      </w:pPr>
      <w:r>
        <w:rPr>
          <w:rFonts w:hint="eastAsia" w:ascii="宋体" w:hAnsi="宋体"/>
          <w:b/>
          <w:bCs/>
          <w:szCs w:val="21"/>
        </w:rPr>
        <w:t xml:space="preserve">十二、验收要求</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1、验收标准：根据政府采购合同要求、招标文件要求、投标文件、承诺及有关行业规定。</w:t>
      </w:r>
      <w:r/>
    </w:p>
    <w:p>
      <w:pPr>
        <w:ind w:firstLine="420"/>
        <w:spacing w:line="360" w:lineRule="auto"/>
        <w:rPr>
          <w:rFonts w:ascii="宋体" w:hAnsi="宋体"/>
          <w:szCs w:val="21"/>
        </w:rPr>
      </w:pPr>
      <w:r>
        <w:rPr>
          <w:rFonts w:hint="eastAsia" w:ascii="宋体" w:hAnsi="宋体"/>
          <w:szCs w:val="21"/>
        </w:rPr>
        <w:t xml:space="preserve">2、乙方应保证所提供的标的物是适销的、全新的、未使用过的，并且是非长期积压的库存商品，材料、设计和工艺良好，没有缺陷，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w:t>
      </w:r>
      <w:r>
        <w:rPr>
          <w:rFonts w:hint="eastAsia" w:ascii="宋体" w:hAnsi="宋体"/>
          <w:szCs w:val="21"/>
        </w:rPr>
        <w:t xml:space="preserve">足或故障负责。标的物质量出现问题，乙方应负责包修、包退、包换，费用由乙方承担。</w:t>
      </w:r>
      <w:r/>
    </w:p>
    <w:p>
      <w:pPr>
        <w:ind w:firstLine="420"/>
        <w:spacing w:line="360" w:lineRule="auto"/>
        <w:rPr>
          <w:rFonts w:ascii="宋体" w:hAnsi="宋体"/>
          <w:szCs w:val="21"/>
        </w:rPr>
      </w:pPr>
      <w:r>
        <w:rPr>
          <w:rFonts w:hint="eastAsia" w:ascii="宋体" w:hAnsi="宋体"/>
          <w:szCs w:val="21"/>
        </w:rPr>
        <w:t xml:space="preserve">3、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360" w:lineRule="auto"/>
        <w:rPr>
          <w:rFonts w:ascii="宋体" w:hAnsi="宋体"/>
          <w:szCs w:val="21"/>
        </w:rPr>
      </w:pPr>
      <w:r>
        <w:rPr>
          <w:rFonts w:hint="eastAsia" w:ascii="宋体" w:hAnsi="宋体"/>
          <w:szCs w:val="21"/>
        </w:rPr>
        <w:t xml:space="preserve">4、项目的验收包括：数量、外观、质量、性能；符合规定的性能，无瑕疵和缺陷，质量为合格产品，可以正常使用。乙方对质量问题负责包退、包换和包修，因此发生的费用由乙方自行负责。甲方将组织专业人员对乙方提供的产品进行检验或抽检，对由此造成甲方的工期耽误等损失，均由乙方承担。</w:t>
      </w:r>
      <w:r/>
    </w:p>
    <w:p>
      <w:pPr>
        <w:ind w:firstLine="420"/>
        <w:spacing w:line="360" w:lineRule="auto"/>
        <w:rPr>
          <w:rFonts w:ascii="宋体" w:hAnsi="宋体"/>
          <w:szCs w:val="21"/>
        </w:rPr>
      </w:pPr>
      <w:r>
        <w:rPr>
          <w:rFonts w:hint="eastAsia" w:ascii="宋体" w:hAnsi="宋体"/>
          <w:szCs w:val="21"/>
        </w:rPr>
        <w:t xml:space="preserve">5、本项目将根据政府采购法及相关法规，《江苏省政府采购履约验收管理办法》以及《关于进一步加强履约验收管理的通知》文件的规定，对供应商进行履约验收，确认验收合格的，将出具《政府采购履约验收书》。《政府采购履约验收书》、合同是申请支付政府采购合同价款的必备资料。</w:t>
      </w:r>
      <w:r/>
    </w:p>
    <w:p>
      <w:pPr>
        <w:spacing w:line="360" w:lineRule="auto"/>
        <w:rPr>
          <w:rFonts w:ascii="宋体" w:hAnsi="宋体"/>
          <w:b/>
          <w:bCs/>
          <w:szCs w:val="21"/>
        </w:rPr>
      </w:pPr>
      <w:r>
        <w:rPr>
          <w:rFonts w:hint="eastAsia" w:ascii="宋体" w:hAnsi="宋体"/>
          <w:b/>
          <w:bCs/>
          <w:szCs w:val="21"/>
        </w:rPr>
        <w:t xml:space="preserve">十三、综合说明</w:t>
      </w:r>
      <w:r/>
    </w:p>
    <w:p>
      <w:pPr>
        <w:ind w:firstLine="420"/>
        <w:spacing w:line="360" w:lineRule="auto"/>
        <w:rPr>
          <w:rFonts w:ascii="宋体" w:hAnsi="宋体"/>
          <w:szCs w:val="21"/>
        </w:rPr>
      </w:pPr>
      <w:r>
        <w:rPr>
          <w:rFonts w:hint="eastAsia" w:ascii="宋体" w:hAnsi="宋体"/>
          <w:szCs w:val="21"/>
        </w:rPr>
        <w:t xml:space="preserve">1、投标单位所投产品应明确所投产品的品牌、型号、规格和外形、尺寸及一些必须说明的技术参数，以及设备配置清单，同时明确生产厂家、型号规格等，并提供详细的技术参数及性能说明书。</w:t>
      </w:r>
      <w:r/>
    </w:p>
    <w:p>
      <w:pPr>
        <w:ind w:firstLine="420"/>
        <w:spacing w:line="360" w:lineRule="auto"/>
        <w:rPr>
          <w:rFonts w:ascii="宋体" w:hAnsi="宋体"/>
          <w:szCs w:val="21"/>
        </w:rPr>
      </w:pPr>
      <w:r>
        <w:rPr>
          <w:rFonts w:hint="eastAsia" w:ascii="宋体" w:hAnsi="宋体"/>
          <w:szCs w:val="21"/>
        </w:rPr>
        <w:t xml:space="preserve">2、投标单位根据招标文件中提出的全部技术规格与要求选择配置并列出所投设备的技术规格，如果以其中某些条款不响应时，应在投标文件中逐条列出，未列出的视同响应。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szCs w:val="21"/>
        </w:rPr>
      </w:pPr>
      <w:r>
        <w:rPr>
          <w:rFonts w:hint="eastAsia" w:ascii="宋体" w:hAnsi="宋体"/>
          <w:szCs w:val="21"/>
        </w:rPr>
        <w:t xml:space="preserve">3、投标总报价一次报定，所报</w:t>
      </w:r>
      <w:r>
        <w:rPr>
          <w:rFonts w:hint="eastAsia" w:ascii="宋体" w:hAnsi="宋体" w:cs="宋体"/>
          <w:szCs w:val="21"/>
        </w:rPr>
        <w:t xml:space="preserve">总价包括但不限于本合同所涉全部货物、辅助材料、安装、调试、培训、验收、人工、机械、运输、仓储、保险、运费、采购代理服务费、各种税费、劳保、专利技术及质保期间等一切费用；</w:t>
      </w:r>
      <w:r>
        <w:rPr>
          <w:rFonts w:hint="eastAsia" w:ascii="宋体" w:hAnsi="宋体" w:cs="宋体"/>
          <w:szCs w:val="21"/>
        </w:rPr>
        <w:t xml:space="preserve">医院平台各系统（如HIS系统、LIS系统、PACS系统等）的接口费用（如有）；与现有/后期设备对接等（如有）；甲方无须支付其他任何费用</w:t>
      </w:r>
      <w:r>
        <w:rPr>
          <w:rFonts w:hint="eastAsia" w:ascii="宋体" w:hAnsi="宋体" w:cs="宋体"/>
          <w:szCs w:val="21"/>
        </w:rPr>
        <w:t xml:space="preserve">。</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4、交货要求：</w:t>
      </w:r>
      <w:r/>
    </w:p>
    <w:p>
      <w:pPr>
        <w:ind w:firstLine="420"/>
        <w:spacing w:line="360" w:lineRule="auto"/>
        <w:rPr>
          <w:rFonts w:ascii="宋体" w:hAnsi="宋体"/>
          <w:szCs w:val="21"/>
        </w:rPr>
      </w:pPr>
      <w:r>
        <w:rPr>
          <w:rFonts w:hint="eastAsia" w:ascii="宋体" w:hAnsi="宋体"/>
          <w:szCs w:val="21"/>
        </w:rPr>
        <w:t xml:space="preserve">4.1交货期限：合同签订生效之后30天内交货并安装调试结束。</w:t>
      </w:r>
      <w:r/>
    </w:p>
    <w:p>
      <w:pPr>
        <w:ind w:firstLine="420"/>
        <w:spacing w:line="360" w:lineRule="auto"/>
        <w:rPr>
          <w:rFonts w:ascii="宋体" w:hAnsi="宋体"/>
          <w:szCs w:val="21"/>
        </w:rPr>
      </w:pPr>
      <w:r>
        <w:rPr>
          <w:rFonts w:hint="eastAsia" w:ascii="宋体" w:hAnsi="宋体"/>
          <w:szCs w:val="21"/>
        </w:rPr>
        <w:t xml:space="preserve">4.2交货地点：苏州市立医院（具体按照采购单位要求）。</w:t>
      </w:r>
      <w:r/>
    </w:p>
    <w:p>
      <w:pPr>
        <w:ind w:firstLine="420"/>
        <w:spacing w:line="360" w:lineRule="auto"/>
        <w:rPr>
          <w:rFonts w:ascii="宋体" w:hAnsi="宋体"/>
          <w:szCs w:val="21"/>
        </w:rPr>
      </w:pPr>
      <w:r>
        <w:rPr>
          <w:rFonts w:hint="eastAsia" w:ascii="宋体" w:hAnsi="宋体"/>
          <w:szCs w:val="21"/>
        </w:rPr>
        <w:t xml:space="preserve">4.3货物交货时，包装须完整无破损，乙方还必须提供以下材料：</w:t>
      </w:r>
      <w:r/>
    </w:p>
    <w:p>
      <w:pPr>
        <w:ind w:firstLine="420"/>
        <w:spacing w:line="360" w:lineRule="auto"/>
        <w:rPr>
          <w:rFonts w:ascii="宋体" w:hAnsi="宋体"/>
          <w:szCs w:val="21"/>
        </w:rPr>
      </w:pPr>
      <w:r>
        <w:rPr>
          <w:rFonts w:hint="eastAsia" w:ascii="宋体" w:hAnsi="宋体"/>
          <w:szCs w:val="21"/>
        </w:rPr>
        <w:t xml:space="preserve">A、货物装箱清单 </w:t>
      </w:r>
      <w:r/>
    </w:p>
    <w:p>
      <w:pPr>
        <w:ind w:firstLine="420"/>
        <w:spacing w:line="360" w:lineRule="auto"/>
        <w:rPr>
          <w:rFonts w:ascii="宋体" w:hAnsi="宋体"/>
          <w:szCs w:val="21"/>
        </w:rPr>
      </w:pPr>
      <w:r>
        <w:rPr>
          <w:rFonts w:hint="eastAsia" w:ascii="宋体" w:hAnsi="宋体"/>
          <w:szCs w:val="21"/>
        </w:rPr>
        <w:t xml:space="preserve">B、合格证（国产设备必须提供）    </w:t>
      </w:r>
      <w:r/>
    </w:p>
    <w:p>
      <w:pPr>
        <w:ind w:firstLine="420"/>
        <w:spacing w:line="360" w:lineRule="auto"/>
        <w:rPr>
          <w:rFonts w:ascii="宋体" w:hAnsi="宋体"/>
          <w:szCs w:val="21"/>
        </w:rPr>
      </w:pPr>
      <w:r>
        <w:rPr>
          <w:rFonts w:hint="eastAsia" w:ascii="宋体" w:hAnsi="宋体"/>
          <w:szCs w:val="21"/>
        </w:rPr>
        <w:t xml:space="preserve">C、报关单&amp;商检单（进口设备）等证明标的物合法、合规来源的证明文件（如需）</w:t>
      </w:r>
      <w:r/>
    </w:p>
    <w:p>
      <w:pPr>
        <w:ind w:firstLine="420"/>
        <w:spacing w:line="360" w:lineRule="auto"/>
        <w:rPr>
          <w:rFonts w:ascii="宋体" w:hAnsi="宋体"/>
          <w:szCs w:val="21"/>
        </w:rPr>
      </w:pPr>
      <w:r>
        <w:rPr>
          <w:rFonts w:hint="eastAsia" w:ascii="宋体" w:hAnsi="宋体"/>
          <w:szCs w:val="21"/>
        </w:rPr>
        <w:t xml:space="preserve">D、医疗器械注册证</w:t>
      </w:r>
      <w:r/>
    </w:p>
    <w:p>
      <w:pPr>
        <w:ind w:firstLine="420"/>
        <w:spacing w:line="360" w:lineRule="auto"/>
        <w:rPr>
          <w:rFonts w:ascii="宋体" w:hAnsi="宋体"/>
          <w:szCs w:val="21"/>
        </w:rPr>
      </w:pPr>
      <w:r>
        <w:rPr>
          <w:rFonts w:hint="eastAsia" w:ascii="宋体" w:hAnsi="宋体"/>
          <w:szCs w:val="21"/>
        </w:rPr>
        <w:t xml:space="preserve">E、培训单          </w:t>
      </w:r>
      <w:r/>
    </w:p>
    <w:p>
      <w:pPr>
        <w:ind w:firstLine="420"/>
        <w:spacing w:line="360" w:lineRule="auto"/>
        <w:rPr>
          <w:rFonts w:ascii="宋体" w:hAnsi="宋体"/>
          <w:szCs w:val="21"/>
        </w:rPr>
      </w:pPr>
      <w:r>
        <w:rPr>
          <w:rFonts w:hint="eastAsia" w:ascii="宋体" w:hAnsi="宋体"/>
          <w:szCs w:val="21"/>
        </w:rPr>
        <w:t xml:space="preserve">F、质量检验合格文件（计量合格证）</w:t>
      </w:r>
      <w:r/>
    </w:p>
    <w:p>
      <w:pPr>
        <w:ind w:firstLine="420"/>
        <w:spacing w:line="360" w:lineRule="auto"/>
        <w:rPr>
          <w:rFonts w:ascii="宋体" w:hAnsi="宋体"/>
          <w:szCs w:val="21"/>
        </w:rPr>
      </w:pPr>
      <w:r>
        <w:rPr>
          <w:rFonts w:hint="eastAsia" w:ascii="宋体" w:hAnsi="宋体"/>
          <w:szCs w:val="21"/>
        </w:rPr>
        <w:t xml:space="preserve">G、中英文技术资料                 </w:t>
      </w:r>
      <w:r/>
    </w:p>
    <w:p>
      <w:pPr>
        <w:ind w:firstLine="420"/>
        <w:spacing w:line="360" w:lineRule="auto"/>
        <w:rPr>
          <w:rFonts w:ascii="宋体" w:hAnsi="宋体"/>
          <w:szCs w:val="21"/>
        </w:rPr>
      </w:pPr>
      <w:r>
        <w:rPr>
          <w:rFonts w:hint="eastAsia" w:ascii="宋体" w:hAnsi="宋体"/>
          <w:szCs w:val="21"/>
        </w:rPr>
        <w:t xml:space="preserve">H、使用维修保养中文说明书</w:t>
      </w:r>
      <w:r/>
    </w:p>
    <w:p>
      <w:pPr>
        <w:ind w:firstLine="420"/>
        <w:spacing w:line="360" w:lineRule="auto"/>
        <w:rPr>
          <w:rFonts w:ascii="宋体" w:hAnsi="宋体"/>
          <w:szCs w:val="21"/>
        </w:rPr>
      </w:pPr>
      <w:r>
        <w:rPr>
          <w:rFonts w:hint="eastAsia" w:ascii="宋体" w:hAnsi="宋体"/>
          <w:szCs w:val="21"/>
        </w:rPr>
        <w:t xml:space="preserve">I、其它必备材料和必备工具等       </w:t>
      </w:r>
      <w:r/>
    </w:p>
    <w:p>
      <w:pPr>
        <w:ind w:firstLine="420"/>
        <w:spacing w:line="360" w:lineRule="auto"/>
        <w:rPr>
          <w:rFonts w:ascii="宋体" w:hAnsi="宋体"/>
          <w:szCs w:val="21"/>
        </w:rPr>
      </w:pPr>
      <w:r>
        <w:rPr>
          <w:rFonts w:hint="eastAsia" w:ascii="宋体" w:hAnsi="宋体"/>
          <w:szCs w:val="21"/>
        </w:rPr>
        <w:t xml:space="preserve">J、保修单等其它必须材料</w:t>
      </w:r>
      <w:r/>
    </w:p>
    <w:p>
      <w:pPr>
        <w:ind w:firstLine="420"/>
        <w:spacing w:line="360" w:lineRule="auto"/>
        <w:rPr>
          <w:rFonts w:ascii="宋体" w:hAnsi="宋体"/>
          <w:szCs w:val="21"/>
        </w:rPr>
      </w:pPr>
      <w:r>
        <w:rPr>
          <w:rFonts w:hint="eastAsia" w:ascii="宋体" w:hAnsi="宋体"/>
          <w:szCs w:val="21"/>
        </w:rPr>
        <w:t xml:space="preserve">5、验收要求：具体按合同要求执行。</w:t>
      </w:r>
      <w:r/>
    </w:p>
    <w:p>
      <w:pPr>
        <w:ind w:firstLine="420"/>
        <w:spacing w:line="360" w:lineRule="auto"/>
        <w:rPr>
          <w:rFonts w:ascii="宋体" w:hAnsi="宋体"/>
          <w:szCs w:val="21"/>
        </w:rPr>
      </w:pPr>
      <w:r>
        <w:rPr>
          <w:rFonts w:hint="eastAsia" w:ascii="宋体" w:hAnsi="宋体"/>
          <w:szCs w:val="21"/>
        </w:rPr>
        <w:t xml:space="preserve">6、凡涉及招标文件的补充说明和修改，均以招标代理机构书面通知为准。</w:t>
      </w:r>
      <w:r/>
    </w:p>
    <w:p>
      <w:pPr>
        <w:ind w:firstLine="420"/>
        <w:spacing w:line="360" w:lineRule="auto"/>
        <w:rPr>
          <w:rFonts w:ascii="宋体" w:hAnsi="宋体"/>
          <w:szCs w:val="21"/>
        </w:rPr>
      </w:pPr>
      <w:r>
        <w:rPr>
          <w:rFonts w:hint="eastAsia" w:ascii="宋体" w:hAnsi="宋体"/>
          <w:szCs w:val="21"/>
        </w:rPr>
        <w:t xml:space="preserve">7、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spacing w:line="360" w:lineRule="auto"/>
        <w:rPr>
          <w:rFonts w:ascii="宋体" w:hAnsi="宋体"/>
          <w:b/>
          <w:bCs/>
          <w:szCs w:val="21"/>
        </w:rPr>
      </w:pPr>
      <w:r>
        <w:rPr>
          <w:rFonts w:hint="eastAsia" w:ascii="宋体" w:hAnsi="宋体"/>
          <w:b/>
          <w:bCs/>
          <w:szCs w:val="21"/>
        </w:rPr>
        <w:t xml:space="preserve">十四</w:t>
      </w:r>
      <w:r>
        <w:rPr>
          <w:rFonts w:hint="eastAsia" w:ascii="宋体" w:hAnsi="宋体"/>
          <w:b/>
          <w:bCs/>
          <w:szCs w:val="21"/>
        </w:rPr>
        <w:t xml:space="preserve">、政策执行</w:t>
      </w:r>
      <w:r/>
    </w:p>
    <w:p>
      <w:pPr>
        <w:ind w:firstLine="420"/>
        <w:spacing w:line="360" w:lineRule="auto"/>
        <w:rPr>
          <w:rFonts w:ascii="宋体" w:hAnsi="宋体"/>
          <w:szCs w:val="21"/>
        </w:rPr>
      </w:pPr>
      <w:r>
        <w:rPr>
          <w:rFonts w:hint="eastAsia" w:ascii="宋体" w:hAnsi="宋体"/>
          <w:szCs w:val="21"/>
        </w:rPr>
        <w:t xml:space="preserve">1、</w:t>
      </w:r>
      <w:r>
        <w:rPr>
          <w:rFonts w:hint="eastAsia"/>
          <w:b/>
          <w:bCs/>
          <w:szCs w:val="21"/>
        </w:rPr>
        <w:t xml:space="preserve">本次招标均不接受进口产品投标。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小型企业和微型企业的投标报价扣除20%后参与评审。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w:t>
      </w:r>
      <w:r>
        <w:rPr>
          <w:rFonts w:hint="eastAsia" w:ascii="宋体" w:hAnsi="宋体" w:cs="宋体"/>
          <w:b/>
          <w:bCs/>
          <w:szCs w:val="21"/>
        </w:rPr>
        <w:t xml:space="preserve">定》（工信部联企业〔2011〕300号），本采购项目对应的中小企业划分标准所属行业为：工业。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3）为助力打好污染防治攻坚战，推广使用绿色包装，根据财政部办公厅、生态环境部办公厅、</w:t>
      </w:r>
      <w:r>
        <w:rPr>
          <w:rFonts w:hint="eastAsia" w:ascii="宋体" w:hAnsi="宋体" w:cs="宋体"/>
        </w:rPr>
        <w:t xml:space="preserve">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ind w:firstLine="420"/>
        <w:spacing w:line="360" w:lineRule="auto"/>
        <w:tabs>
          <w:tab w:val="left" w:pos="567" w:leader="none"/>
        </w:tabs>
        <w:rPr>
          <w:rFonts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ind w:firstLine="420"/>
        <w:spacing w:line="360" w:lineRule="auto"/>
        <w:tabs>
          <w:tab w:val="left" w:pos="567" w:leader="none"/>
        </w:tabs>
        <w:rPr>
          <w:rFonts w:ascii="宋体" w:hAnsi="宋体" w:cs="宋体"/>
        </w:rPr>
      </w:pPr>
      <w:r>
        <w:rPr>
          <w:rFonts w:hint="eastAsia" w:ascii="宋体" w:hAnsi="宋体" w:cs="宋体"/>
        </w:rPr>
        <w:t xml:space="preserve">3.投标（响应）报价低于采购项目最高限价45%的，即投标（响应）报价&lt;采购项目最高限价×45%；</w:t>
      </w:r>
      <w:r/>
    </w:p>
    <w:p>
      <w:pPr>
        <w:ind w:firstLine="420"/>
        <w:spacing w:line="360" w:lineRule="auto"/>
        <w:tabs>
          <w:tab w:val="left" w:pos="567" w:leader="none"/>
        </w:tabs>
        <w:rPr>
          <w:rFonts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4"/>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w:t>
      </w:r>
      <w:r>
        <w:rPr>
          <w:rFonts w:hint="eastAsia" w:ascii="宋体" w:hAnsi="宋体" w:cs="宋体"/>
        </w:rPr>
        <w:t xml:space="preserve">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cs="宋体"/>
        </w:rPr>
      </w:pPr>
      <w:r>
        <w:rPr>
          <w:rFonts w:hint="eastAsia" w:ascii="宋体" w:hAnsi="宋体" w:cs="宋体"/>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1"/>
      <w:r/>
      <w:r/>
    </w:p>
    <w:p>
      <w:pPr>
        <w:pStyle w:val="940"/>
        <w:ind w:firstLine="640"/>
        <w:jc w:val="center"/>
        <w:pageBreakBefore/>
        <w:spacing w:line="360" w:lineRule="auto"/>
        <w:tabs>
          <w:tab w:val="right" w:pos="8302" w:leader="dot"/>
        </w:tabs>
        <w:rPr>
          <w:rStyle w:val="948"/>
          <w:rFonts w:ascii="宋体" w:hAnsi="宋体" w:cs="宋体"/>
          <w:sz w:val="32"/>
          <w:szCs w:val="32"/>
        </w:rPr>
      </w:pPr>
      <w:r>
        <w:rPr>
          <w:rStyle w:val="948"/>
          <w:rFonts w:hint="eastAsia" w:ascii="宋体" w:hAnsi="宋体" w:cs="宋体"/>
          <w:sz w:val="32"/>
          <w:szCs w:val="32"/>
        </w:rPr>
        <w:t xml:space="preserve">第五章合同一般条款  </w:t>
      </w:r>
      <w:r/>
    </w:p>
    <w:p>
      <w:pPr>
        <w:spacing w:line="360" w:lineRule="auto"/>
        <w:rPr>
          <w:rFonts w:ascii="宋体" w:hAnsi="宋体"/>
          <w:b/>
          <w:szCs w:val="21"/>
        </w:rPr>
      </w:pPr>
      <w:r>
        <w:rPr>
          <w:rFonts w:hint="eastAsia" w:ascii="宋体" w:hAnsi="宋体"/>
          <w:b/>
          <w:szCs w:val="21"/>
        </w:rPr>
        <w:t xml:space="preserve">一、合同文件</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合同文件适用法律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8</w:t>
      </w:r>
      <w:r>
        <w:rPr>
          <w:rFonts w:ascii="宋体" w:hAnsi="宋体"/>
          <w:szCs w:val="21"/>
        </w:rPr>
        <w:t xml:space="preserve">.1  </w:t>
      </w:r>
      <w:r>
        <w:rPr>
          <w:rFonts w:hint="eastAsia" w:ascii="宋体" w:hAnsi="宋体"/>
          <w:szCs w:val="21"/>
        </w:rPr>
        <w:t xml:space="preserve">适用于合同文件的法律是中华人民共和国现行法律、法规及甲方所在地的地方性法规。</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合同文件组成和解释顺序</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  </w:t>
      </w:r>
      <w:r>
        <w:rPr>
          <w:rFonts w:hint="eastAsia" w:ascii="宋体" w:hAnsi="宋体"/>
          <w:szCs w:val="21"/>
        </w:rPr>
        <w:t xml:space="preserve">合同文件的组成和解释顺序如下：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.1.1 </w:t>
      </w:r>
      <w:r>
        <w:rPr>
          <w:rFonts w:hint="eastAsia" w:ascii="宋体" w:hAnsi="宋体"/>
          <w:szCs w:val="21"/>
        </w:rPr>
        <w:t xml:space="preserve">合同的特殊性条款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.1.2 </w:t>
      </w:r>
      <w:r>
        <w:rPr>
          <w:rFonts w:hint="eastAsia" w:ascii="宋体" w:hAnsi="宋体"/>
          <w:szCs w:val="21"/>
        </w:rPr>
        <w:t xml:space="preserve">合同的一般性条款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.1.3 </w:t>
      </w:r>
      <w:r>
        <w:rPr>
          <w:rFonts w:hint="eastAsia" w:ascii="宋体" w:hAnsi="宋体"/>
          <w:szCs w:val="21"/>
        </w:rPr>
        <w:t xml:space="preserve">洽商、变更等明确双方权利义务的纪要、协议</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.1.4 </w:t>
      </w:r>
      <w:r>
        <w:rPr>
          <w:rFonts w:hint="eastAsia" w:ascii="宋体" w:hAnsi="宋体"/>
          <w:szCs w:val="21"/>
        </w:rPr>
        <w:t xml:space="preserve">中标通知书、投标书和招标文件</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.1.5 </w:t>
      </w:r>
      <w:r>
        <w:rPr>
          <w:rFonts w:hint="eastAsia" w:ascii="宋体" w:hAnsi="宋体"/>
          <w:szCs w:val="21"/>
        </w:rPr>
        <w:t xml:space="preserve">有关图纸</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.1.6 </w:t>
      </w:r>
      <w:r>
        <w:rPr>
          <w:rFonts w:hint="eastAsia" w:ascii="宋体" w:hAnsi="宋体"/>
          <w:szCs w:val="21"/>
        </w:rPr>
        <w:t xml:space="preserve">标准、规范和其它有关技术资料、技术要求</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.2 </w:t>
      </w:r>
      <w:r>
        <w:rPr>
          <w:rFonts w:hint="eastAsia" w:ascii="宋体" w:hAnsi="宋体"/>
          <w:szCs w:val="21"/>
        </w:rPr>
        <w:t xml:space="preserve">合同的特殊性条款的效力优于合同的一般性条款的效力</w:t>
      </w:r>
      <w:r/>
    </w:p>
    <w:p>
      <w:pPr>
        <w:spacing w:line="360" w:lineRule="auto"/>
        <w:rPr>
          <w:rFonts w:ascii="宋体" w:hAnsi="宋体"/>
          <w:b/>
          <w:szCs w:val="21"/>
        </w:rPr>
      </w:pPr>
      <w:r>
        <w:rPr>
          <w:rFonts w:hint="eastAsia" w:ascii="宋体" w:hAnsi="宋体"/>
          <w:b/>
          <w:szCs w:val="21"/>
        </w:rPr>
        <w:t xml:space="preserve">40</w:t>
      </w:r>
      <w:r>
        <w:rPr>
          <w:rFonts w:ascii="宋体" w:hAnsi="宋体"/>
          <w:b/>
          <w:szCs w:val="21"/>
        </w:rPr>
        <w:t xml:space="preserve">. </w:t>
      </w:r>
      <w:r>
        <w:rPr>
          <w:rFonts w:hint="eastAsia" w:ascii="宋体" w:hAnsi="宋体"/>
          <w:b/>
          <w:szCs w:val="21"/>
        </w:rPr>
        <w:t xml:space="preserve">合同文件使用文字</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.1 </w:t>
      </w:r>
      <w:r>
        <w:rPr>
          <w:rFonts w:hint="eastAsia" w:ascii="宋体" w:hAnsi="宋体" w:eastAsia="宋体"/>
          <w:sz w:val="21"/>
          <w:szCs w:val="21"/>
        </w:rPr>
        <w:t xml:space="preserve">合同文件使用中文书写、解释和说明</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.2 </w:t>
      </w:r>
      <w:r>
        <w:rPr>
          <w:rFonts w:hint="eastAsia" w:ascii="宋体" w:hAnsi="宋体" w:eastAsia="宋体"/>
          <w:sz w:val="21"/>
          <w:szCs w:val="21"/>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360" w:lineRule="auto"/>
        <w:rPr>
          <w:rFonts w:ascii="宋体" w:hAnsi="宋体"/>
          <w:b/>
          <w:szCs w:val="21"/>
        </w:rPr>
      </w:pPr>
      <w:r/>
      <w:bookmarkStart w:id="53" w:name="_Toc13543214"/>
      <w:r>
        <w:rPr>
          <w:rFonts w:hint="eastAsia" w:ascii="宋体" w:hAnsi="宋体"/>
          <w:b/>
          <w:szCs w:val="21"/>
        </w:rPr>
        <w:t xml:space="preserve">二、标的物的一般条款</w:t>
      </w:r>
      <w:bookmarkEnd w:id="53"/>
      <w:r/>
      <w:r/>
    </w:p>
    <w:p>
      <w:pPr>
        <w:spacing w:line="360" w:lineRule="auto"/>
        <w:rPr>
          <w:rFonts w:ascii="宋体" w:hAnsi="宋体"/>
          <w:b/>
          <w:szCs w:val="21"/>
        </w:rPr>
      </w:pPr>
      <w:r>
        <w:rPr>
          <w:rFonts w:hint="eastAsia" w:ascii="宋体" w:hAnsi="宋体"/>
          <w:b/>
          <w:szCs w:val="21"/>
        </w:rPr>
        <w:t xml:space="preserve">41</w:t>
      </w:r>
      <w:r>
        <w:rPr>
          <w:rFonts w:ascii="宋体" w:hAnsi="宋体"/>
          <w:b/>
          <w:szCs w:val="21"/>
        </w:rPr>
        <w:t xml:space="preserve">.  </w:t>
      </w:r>
      <w:r>
        <w:rPr>
          <w:rFonts w:hint="eastAsia" w:ascii="宋体" w:hAnsi="宋体"/>
          <w:b/>
          <w:szCs w:val="21"/>
        </w:rPr>
        <w:t xml:space="preserve">完整物权</w:t>
      </w:r>
      <w:r/>
    </w:p>
    <w:p>
      <w:pPr>
        <w:ind w:firstLine="420"/>
        <w:spacing w:line="360" w:lineRule="auto"/>
        <w:rPr>
          <w:rFonts w:ascii="宋体" w:hAnsi="宋体"/>
          <w:szCs w:val="21"/>
        </w:rPr>
      </w:pPr>
      <w:r>
        <w:rPr>
          <w:rFonts w:hint="eastAsia" w:ascii="宋体" w:hAnsi="宋体"/>
          <w:szCs w:val="21"/>
        </w:rPr>
        <w:t xml:space="preserve">对于出卖的标的物，乙方应当拥有完整物权，并且乙方负有保证第三人不得向甲方主张任何权利（包括知识产权）的义务。</w:t>
      </w:r>
      <w:r/>
    </w:p>
    <w:p>
      <w:pPr>
        <w:spacing w:line="360" w:lineRule="auto"/>
        <w:rPr>
          <w:rFonts w:ascii="宋体" w:hAnsi="宋体"/>
          <w:b/>
          <w:szCs w:val="21"/>
        </w:rPr>
      </w:pPr>
      <w:r>
        <w:rPr>
          <w:rFonts w:hint="eastAsia" w:ascii="宋体" w:hAnsi="宋体"/>
          <w:b/>
          <w:szCs w:val="21"/>
        </w:rPr>
        <w:t xml:space="preserve">42</w:t>
      </w:r>
      <w:r>
        <w:rPr>
          <w:rFonts w:ascii="宋体" w:hAnsi="宋体"/>
          <w:b/>
          <w:szCs w:val="21"/>
        </w:rPr>
        <w:t xml:space="preserve">.  </w:t>
      </w:r>
      <w:r>
        <w:rPr>
          <w:rFonts w:hint="eastAsia" w:ascii="宋体" w:hAnsi="宋体"/>
          <w:b/>
          <w:szCs w:val="21"/>
        </w:rPr>
        <w:t xml:space="preserve">质量保证</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.1 </w:t>
      </w:r>
      <w:r>
        <w:rPr>
          <w:rFonts w:hint="eastAsia" w:ascii="宋体" w:hAnsi="宋体" w:eastAsia="宋体"/>
          <w:sz w:val="21"/>
          <w:szCs w:val="21"/>
        </w:rPr>
        <w:t xml:space="preserve">乙方应保证所供标的物是全新的，未使用过的，并且是非长期积压的库存商品（距离生产日期应在1年内），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.2 </w:t>
      </w:r>
      <w:r>
        <w:rPr>
          <w:rFonts w:hint="eastAsia" w:ascii="宋体" w:hAnsi="宋体" w:eastAsia="宋体"/>
          <w:sz w:val="21"/>
          <w:szCs w:val="21"/>
        </w:rPr>
        <w:t xml:space="preserve">根据甲方按检验标准或行业标准自己检验的结果或当地技监部门的检验结果，或者在质量保证期内，如果标的物的数量、质量或规格与合同不符或证实标的物是有缺陷的，包括潜在缺陷或</w:t>
      </w:r>
      <w:r>
        <w:rPr>
          <w:rFonts w:hint="eastAsia" w:ascii="宋体" w:hAnsi="宋体" w:eastAsia="宋体"/>
          <w:sz w:val="21"/>
          <w:szCs w:val="21"/>
        </w:rPr>
        <w:t xml:space="preserve">使用不符合要求的材料等，甲方应尽快以书面形式通知乙方并提出索赔。</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.3</w:t>
      </w:r>
      <w:r>
        <w:rPr>
          <w:rFonts w:hint="eastAsia" w:ascii="宋体" w:hAnsi="宋体" w:eastAsia="宋体"/>
          <w:sz w:val="21"/>
          <w:szCs w:val="21"/>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spacing w:line="360" w:lineRule="auto"/>
        <w:rPr>
          <w:rFonts w:ascii="宋体" w:hAnsi="宋体"/>
          <w:b/>
          <w:szCs w:val="21"/>
        </w:rPr>
      </w:pPr>
      <w:r>
        <w:rPr>
          <w:rFonts w:hint="eastAsia" w:ascii="宋体" w:hAnsi="宋体"/>
          <w:b/>
          <w:szCs w:val="21"/>
        </w:rPr>
        <w:t xml:space="preserve">43</w:t>
      </w:r>
      <w:r>
        <w:rPr>
          <w:rFonts w:ascii="宋体" w:hAnsi="宋体"/>
          <w:b/>
          <w:szCs w:val="21"/>
        </w:rPr>
        <w:t xml:space="preserve">.  </w:t>
      </w:r>
      <w:r>
        <w:rPr>
          <w:rFonts w:hint="eastAsia" w:ascii="宋体" w:hAnsi="宋体"/>
          <w:b/>
          <w:szCs w:val="21"/>
        </w:rPr>
        <w:t xml:space="preserve">包装</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4</w:t>
      </w:r>
      <w:r>
        <w:rPr>
          <w:rFonts w:ascii="宋体" w:hAnsi="宋体"/>
          <w:b/>
          <w:szCs w:val="21"/>
        </w:rPr>
        <w:t xml:space="preserve">.  </w:t>
      </w:r>
      <w:r>
        <w:rPr>
          <w:rFonts w:hint="eastAsia" w:ascii="宋体" w:hAnsi="宋体"/>
          <w:b/>
          <w:szCs w:val="21"/>
        </w:rPr>
        <w:t xml:space="preserve">伴随服务</w:t>
      </w:r>
      <w:r/>
    </w:p>
    <w:p>
      <w:pPr>
        <w:pStyle w:val="925"/>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  </w:t>
      </w:r>
      <w:r>
        <w:rPr>
          <w:rFonts w:hint="eastAsia" w:ascii="宋体" w:hAnsi="宋体" w:eastAsia="宋体"/>
          <w:sz w:val="21"/>
          <w:szCs w:val="21"/>
        </w:rPr>
        <w:t xml:space="preserve">乙方除应履行按期按量交付合格标的物的义务之外，还应提供下列服务。</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.1.1  </w:t>
      </w:r>
      <w:r>
        <w:rPr>
          <w:rFonts w:hint="eastAsia" w:ascii="宋体" w:hAnsi="宋体" w:eastAsia="宋体"/>
          <w:sz w:val="21"/>
          <w:szCs w:val="21"/>
        </w:rPr>
        <w:t xml:space="preserve">标的物的现场启动、调试、监督；</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.1.2  </w:t>
      </w:r>
      <w:r>
        <w:rPr>
          <w:rFonts w:hint="eastAsia" w:ascii="宋体" w:hAnsi="宋体" w:eastAsia="宋体"/>
          <w:sz w:val="21"/>
          <w:szCs w:val="21"/>
        </w:rPr>
        <w:t xml:space="preserve">提供标的物组装和一般维修所必须的工具；</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.1.3  </w:t>
      </w:r>
      <w:r>
        <w:rPr>
          <w:rFonts w:hint="eastAsia" w:ascii="宋体" w:hAnsi="宋体" w:eastAsia="宋体"/>
          <w:sz w:val="21"/>
          <w:szCs w:val="21"/>
        </w:rPr>
        <w:t xml:space="preserve">在合同规定的期限内对所提供标的物实行运行监督、维修服务的前提条件是该服务并不能免除乙方在质量保证期内所承担的义务；</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.1.4  </w:t>
      </w:r>
      <w:r>
        <w:rPr>
          <w:rFonts w:hint="eastAsia" w:ascii="宋体" w:hAnsi="宋体" w:eastAsia="宋体"/>
          <w:sz w:val="21"/>
          <w:szCs w:val="21"/>
        </w:rPr>
        <w:t xml:space="preserve">对甲方技术人员的技术指导或培训。</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.2  </w:t>
      </w:r>
      <w:r>
        <w:rPr>
          <w:rFonts w:hint="eastAsia" w:ascii="宋体" w:hAnsi="宋体" w:eastAsia="宋体"/>
          <w:sz w:val="21"/>
          <w:szCs w:val="21"/>
        </w:rPr>
        <w:t xml:space="preserve">除合同另有规定之外，伴随服务的费用均已含在合同价款中，甲方不再另行进行支付。</w:t>
      </w:r>
      <w:r/>
    </w:p>
    <w:p>
      <w:pPr>
        <w:spacing w:line="360" w:lineRule="auto"/>
        <w:rPr>
          <w:rFonts w:ascii="宋体" w:hAnsi="宋体"/>
          <w:b/>
          <w:szCs w:val="21"/>
        </w:rPr>
      </w:pPr>
      <w:r/>
      <w:bookmarkStart w:id="54" w:name="_Toc13543215"/>
      <w:r>
        <w:rPr>
          <w:rFonts w:hint="eastAsia" w:ascii="宋体" w:hAnsi="宋体"/>
          <w:b/>
          <w:szCs w:val="21"/>
        </w:rPr>
        <w:t xml:space="preserve">三、标的物的交付、检验和验收</w:t>
      </w:r>
      <w:bookmarkEnd w:id="54"/>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标的物的交付</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.1  </w:t>
      </w:r>
      <w:r>
        <w:rPr>
          <w:rFonts w:hint="eastAsia" w:ascii="宋体" w:hAnsi="宋体" w:eastAsia="宋体"/>
          <w:sz w:val="21"/>
          <w:szCs w:val="21"/>
        </w:rPr>
        <w:t xml:space="preserve">标的物的所有权自标的物交付时转移。</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.2  </w:t>
      </w:r>
      <w:r>
        <w:rPr>
          <w:rFonts w:hint="eastAsia" w:ascii="宋体" w:hAnsi="宋体" w:eastAsia="宋体"/>
          <w:sz w:val="21"/>
          <w:szCs w:val="21"/>
        </w:rPr>
        <w:t xml:space="preserve">乙方应当按照约定的期限和约定的地点交付标的物。</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.3  </w:t>
      </w:r>
      <w:r>
        <w:rPr>
          <w:rFonts w:hint="eastAsia" w:ascii="宋体" w:hAnsi="宋体" w:eastAsia="宋体"/>
          <w:sz w:val="21"/>
          <w:szCs w:val="21"/>
        </w:rPr>
        <w:t xml:space="preserve">乙方应当按照约定或者交易习惯向甲方交付提取标的物单证以外的有关单证和资料。</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检验和验收</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.1  </w:t>
      </w:r>
      <w:r>
        <w:rPr>
          <w:rFonts w:hint="eastAsia" w:ascii="宋体" w:hAnsi="宋体" w:eastAsia="宋体"/>
          <w:sz w:val="21"/>
          <w:szCs w:val="21"/>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.2  </w:t>
      </w:r>
      <w:r>
        <w:rPr>
          <w:rFonts w:hint="eastAsia" w:ascii="宋体" w:hAnsi="宋体" w:eastAsia="宋体"/>
          <w:sz w:val="21"/>
          <w:szCs w:val="21"/>
        </w:rPr>
        <w:t xml:space="preserve">甲方根据合同规定的内容和验收标准进行验收，同时比较乙方出具的检验证明，经检验无误后出具验收合格证明，该证明作为最终付款所需文件的组成部分。</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.3  </w:t>
      </w:r>
      <w:r>
        <w:rPr>
          <w:rFonts w:hint="eastAsia" w:ascii="宋体" w:hAnsi="宋体" w:eastAsia="宋体"/>
          <w:sz w:val="21"/>
          <w:szCs w:val="21"/>
        </w:rPr>
        <w:t xml:space="preserve">验收期限自标的物交付之日起30日内。特殊情况需延长的，双方应在合同的特殊条款中约定。</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.4  </w:t>
      </w:r>
      <w:r>
        <w:rPr>
          <w:rFonts w:hint="eastAsia" w:ascii="宋体" w:hAnsi="宋体" w:eastAsia="宋体"/>
          <w:sz w:val="21"/>
          <w:szCs w:val="21"/>
        </w:rPr>
        <w:t xml:space="preserve">如双方对验收结果有分歧，则以苏州市市场监督管理局下属法定检验机构的检验结果为</w:t>
      </w:r>
      <w:r>
        <w:rPr>
          <w:rFonts w:hint="eastAsia" w:ascii="宋体" w:hAnsi="宋体" w:eastAsia="宋体"/>
          <w:sz w:val="21"/>
          <w:szCs w:val="21"/>
        </w:rPr>
        <w:t xml:space="preserve">准，检验费用由有过失的一方支付。</w:t>
      </w:r>
      <w:r/>
    </w:p>
    <w:p>
      <w:pPr>
        <w:spacing w:line="360" w:lineRule="auto"/>
        <w:rPr>
          <w:rFonts w:ascii="宋体" w:hAnsi="宋体"/>
          <w:b/>
          <w:szCs w:val="21"/>
        </w:rPr>
      </w:pPr>
      <w:r/>
      <w:bookmarkStart w:id="55" w:name="_Toc13543216"/>
      <w:r>
        <w:rPr>
          <w:rFonts w:hint="eastAsia" w:ascii="宋体" w:hAnsi="宋体"/>
          <w:b/>
          <w:szCs w:val="21"/>
        </w:rPr>
        <w:t xml:space="preserve">四、对标的物提出异议的时间和办法</w:t>
      </w:r>
      <w:bookmarkEnd w:id="55"/>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对标的物提出异议的时间和办法</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.1  </w:t>
      </w:r>
      <w:r>
        <w:rPr>
          <w:rFonts w:hint="eastAsia" w:ascii="宋体" w:hAnsi="宋体" w:eastAsia="宋体"/>
          <w:sz w:val="21"/>
          <w:szCs w:val="21"/>
        </w:rPr>
        <w:t xml:space="preserve">甲方在验收过程中，应当于双方约定的检验期间内将标的物的数量或质量不符合约定的情形及处理方式以书面形式通知乙方。</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.2  </w:t>
      </w:r>
      <w:r>
        <w:rPr>
          <w:rFonts w:hint="eastAsia" w:ascii="宋体" w:hAnsi="宋体" w:eastAsia="宋体"/>
          <w:sz w:val="21"/>
          <w:szCs w:val="21"/>
        </w:rPr>
        <w:t xml:space="preserve">如甲方在验收期满后既不出具验收合格证明又未提出书面异议的视为乙方所交标的物符合合同规定。</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.3  </w:t>
      </w:r>
      <w:r>
        <w:rPr>
          <w:rFonts w:hint="eastAsia" w:ascii="宋体" w:hAnsi="宋体" w:eastAsia="宋体"/>
          <w:sz w:val="21"/>
          <w:szCs w:val="21"/>
        </w:rPr>
        <w:t xml:space="preserve">乙方应在收到甲方书面异议后2天内（双方在合同特殊条款另行规定的除外）负责处理问题，否则将视为默认甲方提出的异议和处理意见。</w:t>
      </w:r>
      <w:r/>
    </w:p>
    <w:p>
      <w:pPr>
        <w:spacing w:line="360" w:lineRule="auto"/>
        <w:rPr>
          <w:rFonts w:ascii="宋体" w:hAnsi="宋体"/>
          <w:b/>
          <w:szCs w:val="21"/>
        </w:rPr>
      </w:pPr>
      <w:r/>
      <w:bookmarkStart w:id="56" w:name="_Toc13543217"/>
      <w:r>
        <w:rPr>
          <w:rFonts w:hint="eastAsia" w:ascii="宋体" w:hAnsi="宋体"/>
          <w:b/>
          <w:szCs w:val="21"/>
        </w:rPr>
        <w:t xml:space="preserve">五、合同价款和支付</w:t>
      </w:r>
      <w:bookmarkEnd w:id="56"/>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合同价款和支付</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.1 </w:t>
      </w:r>
      <w:r>
        <w:rPr>
          <w:rFonts w:hint="eastAsia" w:ascii="宋体" w:hAnsi="宋体" w:eastAsia="宋体"/>
          <w:sz w:val="21"/>
          <w:szCs w:val="21"/>
        </w:rPr>
        <w:t xml:space="preserve">本合同的结算货币为人民币，单位元。</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 </w:t>
      </w:r>
      <w:r>
        <w:rPr>
          <w:rFonts w:hint="eastAsia" w:ascii="宋体" w:hAnsi="宋体" w:eastAsia="宋体"/>
          <w:sz w:val="21"/>
          <w:szCs w:val="21"/>
        </w:rPr>
        <w:t xml:space="preserve">乙方应按照双方签订的合同规定交货并在合同特殊条款规定的期限内持下列单据结算货款。</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.2.1 </w:t>
      </w:r>
      <w:r>
        <w:rPr>
          <w:rFonts w:hint="eastAsia" w:ascii="宋体" w:hAnsi="宋体" w:eastAsia="宋体"/>
          <w:sz w:val="21"/>
          <w:szCs w:val="21"/>
        </w:rPr>
        <w:t xml:space="preserve">正式的发票。</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.2.2 </w:t>
      </w:r>
      <w:r>
        <w:rPr>
          <w:rFonts w:hint="eastAsia" w:ascii="宋体" w:hAnsi="宋体" w:eastAsia="宋体"/>
          <w:sz w:val="21"/>
          <w:szCs w:val="21"/>
        </w:rPr>
        <w:t xml:space="preserve">甲方盖章签收后的送货回单和验收合格证明。</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.3 </w:t>
      </w:r>
      <w:r>
        <w:rPr>
          <w:rFonts w:hint="eastAsia" w:ascii="宋体" w:hAnsi="宋体" w:eastAsia="宋体"/>
          <w:sz w:val="21"/>
          <w:szCs w:val="21"/>
        </w:rPr>
        <w:t xml:space="preserve">甲方应按合同特殊条款规定的期限和方式付款。</w:t>
      </w:r>
      <w:r/>
    </w:p>
    <w:p>
      <w:pPr>
        <w:pStyle w:val="92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.4 </w:t>
      </w:r>
      <w:r>
        <w:rPr>
          <w:rFonts w:hint="eastAsia" w:ascii="宋体" w:hAnsi="宋体" w:eastAsia="宋体"/>
          <w:sz w:val="21"/>
          <w:szCs w:val="21"/>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b/>
          <w:szCs w:val="21"/>
        </w:rPr>
      </w:pPr>
      <w:r/>
      <w:bookmarkStart w:id="57" w:name="_Toc13543218"/>
      <w:r>
        <w:rPr>
          <w:rFonts w:hint="eastAsia" w:ascii="宋体" w:hAnsi="宋体"/>
          <w:b/>
          <w:szCs w:val="21"/>
        </w:rPr>
        <w:t xml:space="preserve">六、违约责任</w:t>
      </w:r>
      <w:bookmarkEnd w:id="57"/>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违约责任</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合同一方不履行合同义务或者履行合同义务不符合约定的，应当承担继续履行、采取补救措施或者赔偿损失等违约责任。</w:t>
      </w:r>
      <w:r/>
    </w:p>
    <w:p>
      <w:pPr>
        <w:spacing w:line="360" w:lineRule="auto"/>
        <w:rPr>
          <w:rFonts w:ascii="宋体" w:hAnsi="宋体"/>
          <w:b/>
          <w:szCs w:val="21"/>
        </w:rPr>
      </w:pPr>
      <w:r>
        <w:rPr>
          <w:rFonts w:hint="eastAsia" w:ascii="宋体" w:hAnsi="宋体"/>
          <w:b/>
          <w:szCs w:val="21"/>
        </w:rPr>
        <w:t xml:space="preserve">50</w:t>
      </w:r>
      <w:r>
        <w:rPr>
          <w:rFonts w:ascii="宋体" w:hAnsi="宋体"/>
          <w:b/>
          <w:szCs w:val="21"/>
        </w:rPr>
        <w:t xml:space="preserve">.  </w:t>
      </w:r>
      <w:r>
        <w:rPr>
          <w:rFonts w:hint="eastAsia" w:ascii="宋体" w:hAnsi="宋体"/>
          <w:b/>
          <w:szCs w:val="21"/>
        </w:rPr>
        <w:t xml:space="preserve">甲方违约责任</w:t>
      </w:r>
      <w:r/>
    </w:p>
    <w:p>
      <w:pPr>
        <w:ind w:left="199" w:firstLine="210"/>
        <w:jc w:val="left"/>
        <w:spacing w:line="360" w:lineRule="auto"/>
        <w:rPr>
          <w:rFonts w:ascii="宋体" w:hAnsi="宋体"/>
          <w:szCs w:val="21"/>
        </w:rPr>
      </w:pPr>
      <w:r>
        <w:rPr>
          <w:rFonts w:hint="eastAsia" w:ascii="宋体" w:hAnsi="宋体"/>
          <w:szCs w:val="21"/>
        </w:rPr>
        <w:t xml:space="preserve">50</w:t>
      </w:r>
      <w:r>
        <w:rPr>
          <w:rFonts w:ascii="宋体" w:hAnsi="宋体"/>
          <w:szCs w:val="21"/>
        </w:rPr>
        <w:t xml:space="preserve">.1 </w:t>
      </w:r>
      <w:r>
        <w:rPr>
          <w:rFonts w:hint="eastAsia" w:ascii="宋体" w:hAnsi="宋体"/>
          <w:szCs w:val="21"/>
        </w:rPr>
        <w:t xml:space="preserve">甲方逾期付款的（正当拒付、供方同意延期付款时除外），应按同期银行贷款利率支付拖欠材料款的利息。但乙方不得因拖欠材料款而停止供货。</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50</w:t>
      </w:r>
      <w:r>
        <w:rPr>
          <w:rFonts w:ascii="宋体" w:hAnsi="宋体" w:eastAsia="宋体"/>
          <w:sz w:val="21"/>
          <w:szCs w:val="21"/>
        </w:rPr>
        <w:t xml:space="preserve">.</w:t>
      </w:r>
      <w:r>
        <w:rPr>
          <w:rFonts w:hint="eastAsia" w:ascii="宋体" w:hAnsi="宋体" w:eastAsia="宋体"/>
          <w:sz w:val="21"/>
          <w:szCs w:val="21"/>
        </w:rPr>
        <w:t xml:space="preserve">2甲方违反合同规定，拒绝接收乙方交付的合格标的物，应当承担乙方由此造成的损失，包括运输部门的罚款。</w:t>
      </w:r>
      <w:r/>
    </w:p>
    <w:p>
      <w:pPr>
        <w:spacing w:line="360" w:lineRule="auto"/>
        <w:rPr>
          <w:rFonts w:ascii="宋体" w:hAnsi="宋体"/>
          <w:b/>
          <w:szCs w:val="21"/>
        </w:rPr>
      </w:pPr>
      <w:r>
        <w:rPr>
          <w:rFonts w:hint="eastAsia" w:ascii="宋体" w:hAnsi="宋体"/>
          <w:b/>
          <w:szCs w:val="21"/>
        </w:rPr>
        <w:t xml:space="preserve">51</w:t>
      </w:r>
      <w:r>
        <w:rPr>
          <w:rFonts w:ascii="宋体" w:hAnsi="宋体"/>
          <w:b/>
          <w:szCs w:val="21"/>
        </w:rPr>
        <w:t xml:space="preserve">.  </w:t>
      </w:r>
      <w:r>
        <w:rPr>
          <w:rFonts w:hint="eastAsia" w:ascii="宋体" w:hAnsi="宋体"/>
          <w:b/>
          <w:szCs w:val="21"/>
        </w:rPr>
        <w:t xml:space="preserve">乙方违约责任</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.1  </w:t>
      </w:r>
      <w:r>
        <w:rPr>
          <w:rFonts w:hint="eastAsia" w:ascii="宋体" w:hAnsi="宋体" w:eastAsia="宋体"/>
          <w:sz w:val="21"/>
          <w:szCs w:val="21"/>
        </w:rPr>
        <w:t xml:space="preserve">乙方不能交货（逾期超过十五天视为不能交货），或交货不合格从而影响甲方按期正常</w:t>
      </w:r>
      <w:r>
        <w:rPr>
          <w:rFonts w:hint="eastAsia" w:ascii="宋体" w:hAnsi="宋体" w:eastAsia="宋体"/>
          <w:sz w:val="21"/>
          <w:szCs w:val="21"/>
        </w:rPr>
        <w:t xml:space="preserve">使用的，甲方有权解除合同，乙方必须承担甲方由此引起的一切额外损失（包括但不限于货物差价、运输费用、建设承包方的窝工损失、设备闲置及其他赔偿要求），赔偿金额不低于合同价格。</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.2  乙方逾期</w:t>
      </w:r>
      <w:r>
        <w:rPr>
          <w:rFonts w:hint="eastAsia" w:ascii="宋体" w:hAnsi="宋体" w:eastAsia="宋体"/>
          <w:sz w:val="21"/>
          <w:szCs w:val="21"/>
        </w:rPr>
        <w:t xml:space="preserve">交货（</w:t>
      </w:r>
      <w:r>
        <w:rPr>
          <w:rFonts w:ascii="宋体" w:hAnsi="宋体" w:eastAsia="宋体"/>
          <w:sz w:val="21"/>
          <w:szCs w:val="21"/>
        </w:rPr>
        <w:t xml:space="preserve">即项目全部安装调试完成，整体验收合格并提交</w:t>
      </w:r>
      <w:r>
        <w:rPr>
          <w:rFonts w:hint="eastAsia" w:ascii="宋体" w:hAnsi="宋体" w:eastAsia="宋体"/>
          <w:sz w:val="21"/>
          <w:szCs w:val="21"/>
        </w:rPr>
        <w:t xml:space="preserve">验收</w:t>
      </w:r>
      <w:r>
        <w:rPr>
          <w:rFonts w:ascii="宋体" w:hAnsi="宋体" w:eastAsia="宋体"/>
          <w:sz w:val="21"/>
          <w:szCs w:val="21"/>
        </w:rPr>
        <w:t xml:space="preserve">资料）</w:t>
      </w:r>
      <w:r>
        <w:rPr>
          <w:rFonts w:hint="eastAsia" w:ascii="宋体" w:hAnsi="宋体" w:eastAsia="宋体"/>
          <w:sz w:val="21"/>
          <w:szCs w:val="21"/>
        </w:rPr>
        <w:t xml:space="preserve">，应在交货前与甲方协商，甲方仍需求的，乙方应立即交货并应按照逾期交货部分货款的每天千分之四支付逾期交货违约金，同时承担甲方因此遭致的损失费用。甲方原因引起的工期延误甲方应予以顺延工期，但甲方不承担乙方因此可能发生的任何经济损失。</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51.3乙方提前交货的，须经甲方同意，接货后，仍可按合同规定的付款时间付款。</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51.4甲方凭乙方出具的检验证明及质量担保书收货后，有权基于公共利益的考虑和对质量担保书的信任立即将相应标的物应用于施工。但在质量保证期限内，已使用的标的物被证明不符合合同规定的要求，则甲方有权选择下列一种方法追究乙方的违约责任。</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51.4.1另行采购相应标的物、开挖、重新铺埋等所发生的一切费用均由乙方承担，乙方并应赔偿甲方的其他损失。</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51.4.2乙方向甲方一次性赔偿相当于被证明不符合合同规定批次标的物价款的300%的赔偿金。</w:t>
      </w:r>
      <w:r/>
    </w:p>
    <w:p>
      <w:pPr>
        <w:spacing w:line="360" w:lineRule="auto"/>
        <w:rPr>
          <w:rFonts w:ascii="宋体" w:hAnsi="宋体"/>
          <w:b/>
          <w:szCs w:val="21"/>
        </w:rPr>
      </w:pPr>
      <w:r>
        <w:rPr>
          <w:rFonts w:hint="eastAsia" w:ascii="宋体" w:hAnsi="宋体"/>
          <w:b/>
          <w:szCs w:val="21"/>
        </w:rPr>
        <w:t xml:space="preserve">52</w:t>
      </w:r>
      <w:r>
        <w:rPr>
          <w:rFonts w:ascii="宋体" w:hAnsi="宋体"/>
          <w:b/>
          <w:szCs w:val="21"/>
        </w:rPr>
        <w:t xml:space="preserve">.  </w:t>
      </w:r>
      <w:r>
        <w:rPr>
          <w:rFonts w:hint="eastAsia" w:ascii="宋体" w:hAnsi="宋体"/>
          <w:b/>
          <w:szCs w:val="21"/>
        </w:rPr>
        <w:t xml:space="preserve">不可抗力</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.1 </w:t>
      </w:r>
      <w:r>
        <w:rPr>
          <w:rFonts w:hint="eastAsia" w:ascii="宋体" w:hAnsi="宋体" w:eastAsia="宋体"/>
          <w:sz w:val="21"/>
          <w:szCs w:val="21"/>
        </w:rPr>
        <w:t xml:space="preserve">如果双方中任何一方由于战争，自然灾害、政治原因、禁止性法律规定以及其它经双方同意属于不可抗力的事故，致使合同履行受阻时，履行合同的期限应可延长，延长的期限应不超过14日，延长期内甲方有权另行购买，乙方必须承担甲方包括施工费用在内的所有损失。但由于一方违约或疏忽不属于不可抗力，应按违约责任条款予以处理。</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.2 </w:t>
      </w:r>
      <w:r>
        <w:rPr>
          <w:rFonts w:hint="eastAsia" w:ascii="宋体" w:hAnsi="宋体" w:eastAsia="宋体"/>
          <w:sz w:val="21"/>
          <w:szCs w:val="21"/>
        </w:rPr>
        <w:t xml:space="preserve">受不可抗力影响的一方应在不可抗力发生后以尽快的方式通知另一方，如果不可抗力的时间超过14日，双方有权终止履行合同。</w:t>
      </w:r>
      <w:r/>
    </w:p>
    <w:p>
      <w:pPr>
        <w:spacing w:line="360" w:lineRule="auto"/>
        <w:rPr>
          <w:rFonts w:ascii="宋体" w:hAnsi="宋体"/>
          <w:b/>
          <w:szCs w:val="21"/>
        </w:rPr>
      </w:pPr>
      <w:r/>
      <w:bookmarkStart w:id="58" w:name="_Toc13543219"/>
      <w:r>
        <w:rPr>
          <w:rFonts w:hint="eastAsia" w:ascii="宋体" w:hAnsi="宋体"/>
          <w:b/>
          <w:szCs w:val="21"/>
        </w:rPr>
        <w:t xml:space="preserve">七、索赔</w:t>
      </w:r>
      <w:bookmarkEnd w:id="58"/>
      <w:r/>
      <w:r/>
    </w:p>
    <w:p>
      <w:pPr>
        <w:spacing w:line="360" w:lineRule="auto"/>
        <w:rPr>
          <w:rFonts w:ascii="宋体" w:hAnsi="宋体"/>
          <w:b/>
          <w:szCs w:val="21"/>
        </w:rPr>
      </w:pPr>
      <w:r>
        <w:rPr>
          <w:rFonts w:hint="eastAsia" w:ascii="宋体" w:hAnsi="宋体"/>
          <w:b/>
          <w:szCs w:val="21"/>
        </w:rPr>
        <w:t xml:space="preserve">53</w:t>
      </w:r>
      <w:r>
        <w:rPr>
          <w:rFonts w:ascii="宋体" w:hAnsi="宋体"/>
          <w:b/>
          <w:szCs w:val="21"/>
        </w:rPr>
        <w:t xml:space="preserve">.  </w:t>
      </w:r>
      <w:r>
        <w:rPr>
          <w:rFonts w:hint="eastAsia" w:ascii="宋体" w:hAnsi="宋体"/>
          <w:b/>
          <w:szCs w:val="21"/>
        </w:rPr>
        <w:t xml:space="preserve">索赔</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.1  </w:t>
      </w:r>
      <w:r>
        <w:rPr>
          <w:rFonts w:hint="eastAsia" w:ascii="宋体" w:hAnsi="宋体" w:eastAsia="宋体"/>
          <w:sz w:val="21"/>
          <w:szCs w:val="21"/>
        </w:rPr>
        <w:t xml:space="preserve">甲方有权根据当地产品质量检验机构或其它有权部门出具的检验证书向乙方提出索赔。</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  </w:t>
      </w:r>
      <w:r>
        <w:rPr>
          <w:rFonts w:hint="eastAsia" w:ascii="宋体" w:hAnsi="宋体" w:eastAsia="宋体"/>
          <w:sz w:val="21"/>
          <w:szCs w:val="21"/>
        </w:rPr>
        <w:t xml:space="preserve">在本合同规定的检验期和质量保证期内，如果乙方对甲方提出的索赔或差异有责任，则乙方应按甲方同意的下列一种或多种方式解决索赔事宜：</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.2.1  </w:t>
      </w:r>
      <w:r>
        <w:rPr>
          <w:rFonts w:hint="eastAsia" w:ascii="宋体" w:hAnsi="宋体" w:eastAsia="宋体"/>
          <w:sz w:val="21"/>
          <w:szCs w:val="21"/>
        </w:rPr>
        <w:t xml:space="preserve">乙方同意退货，并按合同规定的货币将货款退还给乙方，并承担由此发生的一切损失和费用，包括利息、银行手续费、运费、保险费、检验费、仓储费、装卸费、工程损失费以及为保护退回标的物所需的其他必要费用。</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.2.2  </w:t>
      </w:r>
      <w:r>
        <w:rPr>
          <w:rFonts w:hint="eastAsia" w:ascii="宋体" w:hAnsi="宋体" w:eastAsia="宋体"/>
          <w:sz w:val="21"/>
          <w:szCs w:val="21"/>
        </w:rPr>
        <w:t xml:space="preserve">根据标的物的低劣程度、损坏程度以及甲方遭受损失的数额，经供需双方可商定降低标的物的价格，对已交付的货款多退少补。</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.2.3</w:t>
      </w:r>
      <w:r>
        <w:rPr>
          <w:rFonts w:hint="eastAsia" w:ascii="宋体" w:hAnsi="宋体" w:eastAsia="宋体"/>
          <w:sz w:val="21"/>
          <w:szCs w:val="21"/>
        </w:rPr>
        <w:t xml:space="preserve">用符合规格、质量和性能要求的标的物来更换有缺陷的部分或修补缺陷部分，乙方应承担一切费用和风险并负担甲方所发生的一切直接费用。同时，供方应按合同规定，相应延长修补或被更换部件或标的物的质量保证期。</w:t>
      </w:r>
      <w:r/>
    </w:p>
    <w:p>
      <w:pPr>
        <w:pStyle w:val="925"/>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.3  </w:t>
      </w:r>
      <w:r>
        <w:rPr>
          <w:rFonts w:hint="eastAsia" w:ascii="宋体" w:hAnsi="宋体" w:eastAsia="宋体"/>
          <w:sz w:val="21"/>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spacing w:line="360" w:lineRule="auto"/>
        <w:rPr>
          <w:rFonts w:ascii="宋体" w:hAnsi="宋体"/>
          <w:b/>
          <w:szCs w:val="21"/>
        </w:rPr>
      </w:pPr>
      <w:r/>
      <w:bookmarkStart w:id="59" w:name="_Toc13543220"/>
      <w:r>
        <w:rPr>
          <w:rFonts w:hint="eastAsia" w:ascii="宋体" w:hAnsi="宋体"/>
          <w:b/>
          <w:szCs w:val="21"/>
        </w:rPr>
        <w:t xml:space="preserve">八、履约保证金</w:t>
      </w:r>
      <w:bookmarkEnd w:id="59"/>
      <w:r/>
      <w:r/>
    </w:p>
    <w:p>
      <w:pPr>
        <w:spacing w:line="360" w:lineRule="auto"/>
        <w:rPr>
          <w:rFonts w:ascii="宋体" w:hAnsi="宋体"/>
          <w:b/>
          <w:szCs w:val="21"/>
        </w:rPr>
      </w:pPr>
      <w:r>
        <w:rPr>
          <w:rFonts w:hint="eastAsia" w:ascii="宋体" w:hAnsi="宋体"/>
          <w:b/>
          <w:szCs w:val="21"/>
        </w:rPr>
        <w:t xml:space="preserve">54</w:t>
      </w:r>
      <w:r>
        <w:rPr>
          <w:rFonts w:ascii="宋体" w:hAnsi="宋体"/>
          <w:b/>
          <w:szCs w:val="21"/>
        </w:rPr>
        <w:t xml:space="preserve">.  </w:t>
      </w:r>
      <w:r>
        <w:rPr>
          <w:rFonts w:hint="eastAsia" w:ascii="宋体" w:hAnsi="宋体"/>
          <w:b/>
          <w:szCs w:val="21"/>
        </w:rPr>
        <w:t xml:space="preserve">无。</w:t>
      </w:r>
      <w:r/>
    </w:p>
    <w:p>
      <w:pPr>
        <w:spacing w:line="360" w:lineRule="auto"/>
        <w:rPr>
          <w:rFonts w:ascii="宋体" w:hAnsi="宋体"/>
          <w:b/>
          <w:szCs w:val="21"/>
        </w:rPr>
      </w:pPr>
      <w:r/>
      <w:bookmarkStart w:id="60" w:name="_Toc13543221"/>
      <w:r>
        <w:rPr>
          <w:rFonts w:hint="eastAsia" w:ascii="宋体" w:hAnsi="宋体"/>
          <w:b/>
          <w:szCs w:val="21"/>
        </w:rPr>
        <w:t xml:space="preserve">九、合同的解除和转让</w:t>
      </w:r>
      <w:bookmarkEnd w:id="60"/>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合同的解除</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.1 </w:t>
      </w:r>
      <w:r>
        <w:rPr>
          <w:rFonts w:hint="eastAsia" w:ascii="宋体" w:hAnsi="宋体"/>
          <w:szCs w:val="21"/>
        </w:rPr>
        <w:t xml:space="preserve">甲方和乙方协商一致，可以解除合同；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 </w:t>
      </w:r>
      <w:r>
        <w:rPr>
          <w:rFonts w:hint="eastAsia" w:ascii="宋体" w:hAnsi="宋体"/>
          <w:szCs w:val="21"/>
        </w:rPr>
        <w:t xml:space="preserve">有下列情形之一，合同一方可以解除合同：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.2.1 </w:t>
      </w:r>
      <w:r>
        <w:rPr>
          <w:rFonts w:hint="eastAsia" w:ascii="宋体" w:hAnsi="宋体"/>
          <w:szCs w:val="21"/>
        </w:rPr>
        <w:t xml:space="preserve">因不可抗力致使不能实现合同目的，未受不可抗力影响的一方有权解除合同；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.2.2 </w:t>
      </w:r>
      <w:r>
        <w:rPr>
          <w:rFonts w:hint="eastAsia" w:ascii="宋体" w:hAnsi="宋体"/>
          <w:szCs w:val="21"/>
        </w:rPr>
        <w:t xml:space="preserve">因合同一方违约导致合同不能履行，另一方有权解除合同；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.3 </w:t>
      </w:r>
      <w:r>
        <w:rPr>
          <w:rFonts w:hint="eastAsia" w:ascii="宋体" w:hAnsi="宋体"/>
          <w:szCs w:val="21"/>
        </w:rPr>
        <w:t xml:space="preserve">有权解除合同的一方，应当在违约事实或不可抗力发生之后三十天内书面通知对方以主张解除合同，合同在书面通知到达对方时解除。</w:t>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合同的转让</w:t>
      </w:r>
      <w:r/>
    </w:p>
    <w:p>
      <w:pPr>
        <w:ind w:firstLine="420"/>
        <w:spacing w:line="360" w:lineRule="auto"/>
        <w:tabs>
          <w:tab w:val="left" w:pos="630" w:leader="none"/>
        </w:tabs>
        <w:rPr>
          <w:rFonts w:ascii="宋体" w:hAnsi="宋体"/>
          <w:szCs w:val="21"/>
        </w:rPr>
      </w:pPr>
      <w:r>
        <w:rPr>
          <w:rFonts w:hint="eastAsia" w:ascii="宋体" w:hAnsi="宋体"/>
          <w:szCs w:val="21"/>
        </w:rPr>
        <w:t xml:space="preserve">合同的部分和全部都不得转让。</w:t>
      </w:r>
      <w:r/>
    </w:p>
    <w:p>
      <w:pPr>
        <w:spacing w:line="360" w:lineRule="auto"/>
        <w:rPr>
          <w:rFonts w:ascii="宋体" w:hAnsi="宋体"/>
          <w:b/>
          <w:szCs w:val="21"/>
        </w:rPr>
      </w:pPr>
      <w:r/>
      <w:bookmarkStart w:id="61" w:name="_Toc13543222"/>
      <w:r>
        <w:rPr>
          <w:rFonts w:hint="eastAsia" w:ascii="宋体" w:hAnsi="宋体"/>
          <w:b/>
          <w:szCs w:val="21"/>
        </w:rPr>
        <w:t xml:space="preserve">十、合同的生效</w:t>
      </w:r>
      <w:bookmarkEnd w:id="61"/>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合同的生效</w:t>
      </w:r>
      <w:r/>
    </w:p>
    <w:p>
      <w:pPr>
        <w:ind w:firstLine="420"/>
        <w:spacing w:line="360" w:lineRule="auto"/>
        <w:rPr>
          <w:rFonts w:ascii="宋体" w:hAnsi="宋体"/>
          <w:szCs w:val="21"/>
        </w:rPr>
      </w:pPr>
      <w:r/>
      <w:bookmarkStart w:id="62" w:name="_Toc13543223"/>
      <w:r>
        <w:rPr>
          <w:rFonts w:hint="eastAsia" w:ascii="宋体" w:hAnsi="宋体"/>
          <w:szCs w:val="21"/>
        </w:rPr>
        <w:t xml:space="preserve">本合同经甲乙双方法定代表人或其委托代理人签字并加盖公章（或合同章）后生效。</w:t>
      </w:r>
      <w:r/>
    </w:p>
    <w:p>
      <w:pPr>
        <w:spacing w:line="360" w:lineRule="auto"/>
        <w:rPr>
          <w:rFonts w:ascii="宋体" w:hAnsi="宋体"/>
          <w:b/>
          <w:szCs w:val="21"/>
        </w:rPr>
      </w:pPr>
      <w:r>
        <w:rPr>
          <w:rFonts w:hint="eastAsia" w:ascii="宋体" w:hAnsi="宋体"/>
          <w:b/>
          <w:szCs w:val="21"/>
        </w:rPr>
        <w:t xml:space="preserve">十一、争议解决</w:t>
      </w:r>
      <w:bookmarkEnd w:id="62"/>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争议解决</w:t>
      </w:r>
      <w:r/>
    </w:p>
    <w:p>
      <w:pPr>
        <w:ind w:firstLine="420"/>
        <w:spacing w:line="360" w:lineRule="auto"/>
        <w:tabs>
          <w:tab w:val="left" w:pos="630" w:leader="none"/>
        </w:tabs>
        <w:rPr>
          <w:rFonts w:ascii="宋体" w:hAnsi="宋体"/>
          <w:szCs w:val="21"/>
        </w:rPr>
      </w:pPr>
      <w:r>
        <w:rPr>
          <w:rFonts w:hint="eastAsia" w:ascii="宋体" w:hAnsi="宋体"/>
          <w:szCs w:val="21"/>
        </w:rPr>
        <w:t xml:space="preserve">甲乙双方因合同发生争议，应在招标代理机构的主持下进行调解，协商不成，任何一方可以甲方所在地人民法院起诉。</w:t>
      </w:r>
      <w:bookmarkStart w:id="63" w:name="_Toc13543224"/>
      <w:r/>
      <w:r/>
    </w:p>
    <w:p>
      <w:pPr>
        <w:spacing w:line="360" w:lineRule="auto"/>
        <w:rPr>
          <w:rFonts w:ascii="宋体" w:hAnsi="宋体"/>
          <w:b/>
          <w:szCs w:val="21"/>
        </w:rPr>
      </w:pPr>
      <w:r>
        <w:rPr>
          <w:rFonts w:hint="eastAsia" w:ascii="宋体" w:hAnsi="宋体"/>
          <w:b/>
          <w:szCs w:val="21"/>
        </w:rPr>
        <w:t xml:space="preserve">十二、附则</w:t>
      </w:r>
      <w:bookmarkEnd w:id="63"/>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合同份数。</w:t>
      </w:r>
      <w:r/>
    </w:p>
    <w:p>
      <w:pPr>
        <w:ind w:firstLine="420"/>
        <w:spacing w:line="360" w:lineRule="auto"/>
        <w:tabs>
          <w:tab w:val="left" w:pos="630" w:leader="none"/>
        </w:tabs>
        <w:rPr>
          <w:rFonts w:ascii="宋体" w:hAnsi="宋体"/>
          <w:szCs w:val="21"/>
        </w:rPr>
      </w:pPr>
      <w:r>
        <w:rPr>
          <w:rFonts w:hint="eastAsia" w:ascii="宋体" w:hAnsi="宋体" w:cs="宋体"/>
          <w:bCs/>
          <w:szCs w:val="21"/>
        </w:rPr>
        <w:t xml:space="preserve">本合同一式叁份，甲方壹份、乙方及招标代理机构各执壹份，具备同等法律效力</w:t>
      </w:r>
      <w:r>
        <w:rPr>
          <w:rFonts w:hint="eastAsia" w:ascii="宋体" w:hAnsi="宋体"/>
          <w:szCs w:val="21"/>
        </w:rPr>
        <w:t xml:space="preserve">。</w:t>
      </w:r>
      <w:r/>
    </w:p>
    <w:p>
      <w:pPr>
        <w:spacing w:line="360" w:lineRule="auto"/>
        <w:rPr>
          <w:rFonts w:ascii="宋体" w:hAnsi="宋体"/>
          <w:b/>
          <w:szCs w:val="21"/>
        </w:rPr>
      </w:pPr>
      <w:r>
        <w:rPr>
          <w:rFonts w:hint="eastAsia" w:ascii="宋体" w:hAnsi="宋体"/>
          <w:b/>
          <w:szCs w:val="21"/>
        </w:rPr>
        <w:t xml:space="preserve">60</w:t>
      </w:r>
      <w:r>
        <w:rPr>
          <w:rFonts w:ascii="宋体" w:hAnsi="宋体"/>
          <w:b/>
          <w:szCs w:val="21"/>
        </w:rPr>
        <w:t xml:space="preserve">.  </w:t>
      </w:r>
      <w:r>
        <w:rPr>
          <w:rFonts w:hint="eastAsia" w:ascii="宋体" w:hAnsi="宋体"/>
          <w:b/>
          <w:szCs w:val="21"/>
        </w:rPr>
        <w:t xml:space="preserve">未尽事宜</w:t>
      </w:r>
      <w:r/>
    </w:p>
    <w:p>
      <w:pPr>
        <w:ind w:firstLine="420"/>
        <w:spacing w:line="360" w:lineRule="auto"/>
        <w:tabs>
          <w:tab w:val="left" w:pos="630" w:leader="none"/>
        </w:tabs>
        <w:rPr>
          <w:rFonts w:ascii="宋体" w:hAnsi="宋体"/>
          <w:szCs w:val="21"/>
        </w:rPr>
      </w:pPr>
      <w:r>
        <w:rPr>
          <w:rFonts w:hint="eastAsia" w:ascii="宋体" w:hAnsi="宋体"/>
          <w:szCs w:val="21"/>
        </w:rPr>
        <w:t xml:space="preserve">本合同未尽事宜应按《中华人民共和国民法典》、《中华人民共和国产品质量法》、《中华人民共和国政府采购法》之规定解释。</w:t>
      </w:r>
      <w:r/>
    </w:p>
    <w:p>
      <w:pPr>
        <w:pStyle w:val="940"/>
        <w:numPr>
          <w:ilvl w:val="0"/>
          <w:numId w:val="5"/>
        </w:numPr>
        <w:ind w:firstLine="640"/>
        <w:jc w:val="center"/>
        <w:pageBreakBefore/>
        <w:spacing w:line="360" w:lineRule="auto"/>
        <w:tabs>
          <w:tab w:val="right" w:pos="8302" w:leader="dot"/>
        </w:tabs>
        <w:rPr>
          <w:rStyle w:val="948"/>
          <w:rFonts w:ascii="宋体" w:hAnsi="宋体" w:cs="宋体"/>
          <w:sz w:val="32"/>
          <w:szCs w:val="32"/>
        </w:rPr>
      </w:pPr>
      <w:r>
        <w:rPr>
          <w:rStyle w:val="948"/>
          <w:rFonts w:hint="eastAsia" w:ascii="宋体" w:hAnsi="宋体" w:cs="宋体"/>
          <w:sz w:val="32"/>
          <w:szCs w:val="32"/>
        </w:rPr>
        <w:t xml:space="preserve">合同特殊条款</w:t>
      </w:r>
      <w:r/>
    </w:p>
    <w:p>
      <w:pPr>
        <w:jc w:val="center"/>
        <w:rPr>
          <w:rFonts w:ascii="宋体" w:hAnsi="宋体"/>
          <w:b/>
          <w:sz w:val="32"/>
          <w:szCs w:val="32"/>
        </w:rPr>
      </w:pPr>
      <w:r/>
      <w:bookmarkStart w:id="64" w:name="_Toc228616325"/>
      <w:r/>
      <w:bookmarkStart w:id="65" w:name="_Toc227034740"/>
      <w:r/>
      <w:bookmarkStart w:id="66" w:name="_Toc221604911"/>
      <w:r/>
      <w:bookmarkStart w:id="67" w:name="_Toc228616409"/>
      <w:r/>
      <w:bookmarkStart w:id="68" w:name="_Toc222198310"/>
      <w:r/>
      <w:bookmarkStart w:id="69" w:name="_Toc221586159"/>
      <w:r/>
      <w:bookmarkStart w:id="70" w:name="_Toc227047093"/>
      <w:r/>
      <w:bookmarkStart w:id="71" w:name="_Toc221701298"/>
      <w:r/>
      <w:bookmarkStart w:id="72" w:name="_Toc226971671"/>
      <w:r/>
      <w:bookmarkStart w:id="73" w:name="_Toc196471483"/>
      <w:r/>
      <w:bookmarkStart w:id="74" w:name="_Toc221605141"/>
      <w:r/>
      <w:bookmarkStart w:id="75" w:name="_Toc229880448"/>
      <w:r/>
      <w:r/>
    </w:p>
    <w:p>
      <w:pPr>
        <w:jc w:val="center"/>
        <w:rPr>
          <w:rFonts w:ascii="宋体" w:hAnsi="宋体"/>
          <w:b/>
          <w:sz w:val="32"/>
          <w:szCs w:val="32"/>
        </w:rPr>
      </w:pPr>
      <w:r>
        <w:rPr>
          <w:rFonts w:hint="eastAsia" w:ascii="宋体" w:hAnsi="宋体"/>
          <w:b/>
          <w:sz w:val="32"/>
          <w:szCs w:val="32"/>
        </w:rPr>
        <w:t xml:space="preserve">政府采购合同</w:t>
      </w:r>
      <w:r/>
    </w:p>
    <w:p>
      <w:pPr>
        <w:jc w:val="left"/>
        <w:spacing w:line="360" w:lineRule="auto"/>
        <w:rPr>
          <w:rFonts w:ascii="Arial" w:hAnsi="Arial" w:cs="Arial"/>
          <w:b/>
        </w:rPr>
      </w:pPr>
      <w:r>
        <w:rPr>
          <w:rFonts w:ascii="Arial" w:hAnsi="Arial" w:cs="Arial"/>
          <w:b/>
        </w:rPr>
        <w:t xml:space="preserve">项目名称：</w:t>
      </w:r>
      <w:r/>
    </w:p>
    <w:p>
      <w:pPr>
        <w:jc w:val="left"/>
        <w:spacing w:line="360" w:lineRule="auto"/>
        <w:rPr>
          <w:rFonts w:ascii="Arial" w:hAnsi="Arial" w:cs="Arial"/>
          <w:b/>
        </w:rPr>
      </w:pPr>
      <w:r>
        <w:rPr>
          <w:rFonts w:ascii="Arial" w:hAnsi="Arial" w:cs="Arial"/>
          <w:b/>
        </w:rPr>
        <w:t xml:space="preserve">项目编号：</w:t>
      </w:r>
      <w:r/>
    </w:p>
    <w:p>
      <w:pPr>
        <w:jc w:val="left"/>
        <w:spacing w:line="360" w:lineRule="auto"/>
        <w:rPr>
          <w:rFonts w:ascii="Arial" w:hAnsi="Arial" w:cs="Arial"/>
          <w:b/>
        </w:rPr>
      </w:pPr>
      <w:r>
        <w:rPr>
          <w:rFonts w:ascii="Arial" w:hAnsi="Arial" w:cs="Arial"/>
          <w:b/>
        </w:rPr>
      </w:r>
      <w:r/>
    </w:p>
    <w:p>
      <w:pPr>
        <w:jc w:val="left"/>
        <w:spacing w:line="360" w:lineRule="auto"/>
        <w:rPr>
          <w:rFonts w:ascii="Arial" w:hAnsi="Arial" w:cs="Arial"/>
        </w:rPr>
      </w:pPr>
      <w:r>
        <w:rPr>
          <w:rFonts w:ascii="Arial" w:hAnsi="Arial" w:cs="Arial"/>
        </w:rPr>
        <w:t xml:space="preserve">甲方：</w:t>
      </w:r>
      <w:r/>
    </w:p>
    <w:p>
      <w:pPr>
        <w:jc w:val="left"/>
        <w:spacing w:line="360" w:lineRule="auto"/>
        <w:rPr>
          <w:rFonts w:ascii="Arial" w:hAnsi="Arial" w:cs="Arial"/>
        </w:rPr>
      </w:pPr>
      <w:r>
        <w:rPr>
          <w:rFonts w:ascii="Arial" w:hAnsi="Arial" w:cs="Arial"/>
        </w:rPr>
        <w:t xml:space="preserve">地址：</w:t>
      </w:r>
      <w:r/>
    </w:p>
    <w:p>
      <w:pPr>
        <w:jc w:val="left"/>
        <w:spacing w:line="360" w:lineRule="auto"/>
        <w:rPr>
          <w:rFonts w:ascii="Arial" w:hAnsi="Arial" w:cs="Arial"/>
        </w:rPr>
      </w:pPr>
      <w:r>
        <w:rPr>
          <w:rFonts w:ascii="Arial" w:hAnsi="Arial" w:cs="Arial"/>
        </w:rPr>
        <w:t xml:space="preserve">电话：</w:t>
      </w:r>
      <w:r/>
    </w:p>
    <w:p>
      <w:pPr>
        <w:jc w:val="left"/>
        <w:spacing w:line="360" w:lineRule="auto"/>
        <w:rPr>
          <w:rFonts w:ascii="Arial" w:hAnsi="Arial" w:cs="Arial"/>
        </w:rPr>
      </w:pPr>
      <w:r>
        <w:rPr>
          <w:rFonts w:ascii="Arial" w:hAnsi="Arial" w:cs="Arial"/>
        </w:rPr>
      </w:r>
      <w:r/>
    </w:p>
    <w:p>
      <w:pPr>
        <w:jc w:val="left"/>
        <w:spacing w:line="360" w:lineRule="auto"/>
        <w:rPr>
          <w:rFonts w:ascii="Arial" w:hAnsi="Arial" w:cs="Arial"/>
        </w:rPr>
      </w:pPr>
      <w:r>
        <w:rPr>
          <w:rFonts w:ascii="Arial" w:hAnsi="Arial" w:cs="Arial"/>
        </w:rPr>
        <w:t xml:space="preserve">乙方：</w:t>
      </w:r>
      <w:r/>
    </w:p>
    <w:p>
      <w:pPr>
        <w:jc w:val="left"/>
        <w:spacing w:line="360" w:lineRule="auto"/>
        <w:rPr>
          <w:rFonts w:ascii="Arial" w:hAnsi="Arial" w:cs="Arial"/>
        </w:rPr>
      </w:pPr>
      <w:r>
        <w:rPr>
          <w:rFonts w:ascii="Arial" w:hAnsi="Arial" w:cs="Arial"/>
        </w:rPr>
        <w:t xml:space="preserve">地址：</w:t>
      </w:r>
      <w:r/>
    </w:p>
    <w:p>
      <w:pPr>
        <w:jc w:val="left"/>
        <w:spacing w:line="360" w:lineRule="auto"/>
        <w:rPr>
          <w:rFonts w:ascii="Arial" w:hAnsi="Arial" w:cs="Arial"/>
        </w:rPr>
      </w:pPr>
      <w:r>
        <w:rPr>
          <w:rFonts w:hint="eastAsia" w:ascii="Arial" w:hAnsi="Arial" w:cs="Arial"/>
        </w:rPr>
        <w:t xml:space="preserve">联系人：</w:t>
      </w:r>
      <w:r/>
    </w:p>
    <w:p>
      <w:pPr>
        <w:jc w:val="left"/>
        <w:spacing w:line="360" w:lineRule="auto"/>
        <w:rPr>
          <w:rFonts w:ascii="Arial" w:hAnsi="Arial" w:cs="Arial"/>
        </w:rPr>
      </w:pPr>
      <w:r>
        <w:rPr>
          <w:rFonts w:ascii="Arial" w:hAnsi="Arial" w:cs="Arial"/>
        </w:rPr>
        <w:t xml:space="preserve">电话：</w:t>
      </w:r>
      <w:r/>
    </w:p>
    <w:p>
      <w:pPr>
        <w:ind w:firstLine="420"/>
        <w:spacing w:line="360" w:lineRule="auto"/>
        <w:rPr>
          <w:rFonts w:ascii="Arial" w:hAnsi="Arial" w:cs="Arial"/>
          <w:szCs w:val="21"/>
          <w:u w:val="single"/>
        </w:rPr>
      </w:pPr>
      <w:r/>
      <w:bookmarkStart w:id="76" w:name="_Toc536633993"/>
      <w:r/>
      <w:bookmarkStart w:id="77" w:name="_Toc2154305"/>
      <w:r>
        <w:rPr>
          <w:rFonts w:ascii="Arial" w:hAnsi="Arial" w:cs="Arial"/>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ascii="Arial" w:hAnsi="Arial" w:cs="Arial"/>
          <w:szCs w:val="21"/>
        </w:rPr>
        <w:t xml:space="preserve"> </w:t>
      </w:r>
      <w:r/>
    </w:p>
    <w:p>
      <w:pPr>
        <w:ind w:firstLine="422"/>
        <w:spacing w:line="360" w:lineRule="auto"/>
        <w:rPr>
          <w:rFonts w:ascii="Arial" w:hAnsi="Arial" w:cs="Arial"/>
          <w:b/>
        </w:rPr>
      </w:pPr>
      <w:r>
        <w:rPr>
          <w:rFonts w:ascii="Arial" w:hAnsi="Arial" w:cs="Arial"/>
          <w:b/>
        </w:rPr>
      </w:r>
      <w:r/>
    </w:p>
    <w:p>
      <w:pPr>
        <w:ind w:firstLine="422"/>
        <w:spacing w:line="360" w:lineRule="auto"/>
        <w:rPr>
          <w:rFonts w:ascii="Arial" w:hAnsi="Arial" w:cs="Arial"/>
          <w:szCs w:val="21"/>
          <w:u w:val="single"/>
        </w:rPr>
      </w:pPr>
      <w:r>
        <w:rPr>
          <w:rFonts w:ascii="Arial" w:hAnsi="Arial" w:cs="Arial"/>
          <w:b/>
        </w:rPr>
        <w:t xml:space="preserve">一、定义：以下术语有特定的含义：</w:t>
      </w:r>
      <w:r/>
    </w:p>
    <w:p>
      <w:pPr>
        <w:ind w:firstLine="420"/>
        <w:spacing w:line="360" w:lineRule="auto"/>
        <w:rPr>
          <w:rFonts w:ascii="Arial" w:hAnsi="Arial" w:cs="Arial"/>
          <w:szCs w:val="21"/>
          <w:u w:val="single"/>
        </w:rPr>
      </w:pPr>
      <w:r>
        <w:rPr>
          <w:rFonts w:ascii="Arial" w:hAnsi="Arial" w:cs="Arial"/>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firstLine="420"/>
        <w:spacing w:line="360" w:lineRule="auto"/>
        <w:rPr>
          <w:rFonts w:ascii="Arial" w:hAnsi="Arial" w:cs="Arial"/>
          <w:szCs w:val="21"/>
          <w:u w:val="single"/>
        </w:rPr>
      </w:pPr>
      <w:r>
        <w:rPr>
          <w:rFonts w:ascii="Arial" w:hAnsi="Arial" w:cs="Arial"/>
        </w:rPr>
        <w:t xml:space="preserve">服务是指根据合同规定乙方应承担的与供货有关的辅助义务，比如运输、</w:t>
      </w:r>
      <w:r>
        <w:rPr>
          <w:rFonts w:hint="eastAsia" w:ascii="Arial" w:hAnsi="Arial" w:cs="Arial"/>
        </w:rPr>
        <w:t xml:space="preserve">卸货、搬运、</w:t>
      </w:r>
      <w:r>
        <w:rPr>
          <w:rFonts w:ascii="Arial" w:hAnsi="Arial" w:cs="Arial"/>
        </w:rPr>
        <w:t xml:space="preserve">保险以及其它伴随服务，比如安装、调试以及送货上门提供技术援助、培训、配合措施、维修响应和合同中规定乙方应承担的其它义务。</w:t>
      </w:r>
      <w:r/>
    </w:p>
    <w:p>
      <w:pPr>
        <w:ind w:firstLine="420"/>
        <w:spacing w:line="360" w:lineRule="auto"/>
        <w:rPr>
          <w:rFonts w:ascii="Arial" w:hAnsi="Arial" w:cs="Arial"/>
          <w:szCs w:val="21"/>
          <w:u w:val="single"/>
        </w:rPr>
      </w:pPr>
      <w:r>
        <w:rPr>
          <w:rFonts w:ascii="Arial" w:hAnsi="Arial" w:cs="Arial"/>
        </w:rPr>
        <w:t xml:space="preserve">合同价是指根据中标的投标文件和合同规定，乙方在正确地履行合同义务后甲方应支付给乙方的价款。</w:t>
      </w:r>
      <w:r/>
    </w:p>
    <w:p>
      <w:pPr>
        <w:ind w:firstLine="420"/>
        <w:spacing w:line="360" w:lineRule="auto"/>
        <w:rPr>
          <w:rFonts w:ascii="Arial" w:hAnsi="Arial" w:cs="Arial"/>
          <w:szCs w:val="21"/>
          <w:u w:val="single"/>
        </w:rPr>
      </w:pPr>
      <w:r>
        <w:rPr>
          <w:rFonts w:ascii="Arial" w:hAnsi="Arial" w:cs="Arial"/>
        </w:rPr>
        <w:t xml:space="preserve">甲方是指合同中明确规定的实际购买货物和接受服务的单位。</w:t>
      </w:r>
      <w:r/>
    </w:p>
    <w:p>
      <w:pPr>
        <w:ind w:firstLine="420"/>
        <w:spacing w:line="360" w:lineRule="auto"/>
        <w:rPr>
          <w:rFonts w:ascii="Arial" w:hAnsi="Arial" w:cs="Arial"/>
          <w:szCs w:val="21"/>
          <w:u w:val="single"/>
        </w:rPr>
      </w:pPr>
      <w:r>
        <w:rPr>
          <w:rFonts w:ascii="Arial" w:hAnsi="Arial" w:cs="Arial"/>
        </w:rPr>
        <w:t xml:space="preserve">乙方是指合同中规定的提供货物和提供服务的单位。</w:t>
      </w:r>
      <w:r/>
    </w:p>
    <w:p>
      <w:pPr>
        <w:ind w:firstLine="420"/>
        <w:spacing w:line="360" w:lineRule="auto"/>
        <w:rPr>
          <w:rFonts w:ascii="Arial" w:hAnsi="Arial" w:cs="Arial"/>
          <w:szCs w:val="21"/>
          <w:u w:val="single"/>
        </w:rPr>
      </w:pPr>
      <w:r>
        <w:rPr>
          <w:rFonts w:ascii="Arial" w:hAnsi="Arial" w:cs="Arial"/>
        </w:rPr>
        <w:t xml:space="preserve">损失是指合同一方因不履行合同义务而导致另一方及第三方的各种损失的费用，还包括守约方</w:t>
      </w:r>
      <w:r>
        <w:rPr>
          <w:rFonts w:ascii="Arial" w:hAnsi="Arial" w:cs="Arial"/>
        </w:rPr>
        <w:t xml:space="preserve">为减轻损失或维护权利而需支付的各种调查费用、车旅费用、律师费用等。</w:t>
      </w:r>
      <w:r/>
    </w:p>
    <w:p>
      <w:pPr>
        <w:ind w:firstLine="422"/>
        <w:spacing w:line="360" w:lineRule="auto"/>
        <w:rPr>
          <w:rFonts w:ascii="Arial" w:hAnsi="Arial" w:cs="Arial"/>
          <w:b/>
        </w:rPr>
      </w:pPr>
      <w:r>
        <w:rPr>
          <w:rFonts w:ascii="Arial" w:hAnsi="Arial" w:cs="Arial"/>
          <w:b/>
        </w:rPr>
      </w:r>
      <w:r/>
    </w:p>
    <w:p>
      <w:pPr>
        <w:ind w:firstLine="422"/>
        <w:spacing w:line="360" w:lineRule="auto"/>
        <w:rPr>
          <w:rFonts w:ascii="Arial" w:hAnsi="Arial" w:cs="Arial"/>
          <w:b/>
          <w:szCs w:val="21"/>
          <w:u w:val="single"/>
        </w:rPr>
      </w:pPr>
      <w:r>
        <w:rPr>
          <w:rFonts w:ascii="Arial" w:hAnsi="Arial" w:cs="Arial"/>
          <w:b/>
        </w:rPr>
        <w:t xml:space="preserve">二、合同标的：</w:t>
      </w:r>
      <w:r/>
    </w:p>
    <w:tbl>
      <w:tblPr>
        <w:tblW w:w="98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74"/>
        <w:gridCol w:w="1367"/>
        <w:gridCol w:w="1350"/>
        <w:gridCol w:w="866"/>
        <w:gridCol w:w="817"/>
        <w:gridCol w:w="1933"/>
        <w:gridCol w:w="1284"/>
        <w:gridCol w:w="1650"/>
      </w:tblGrid>
      <w:tr>
        <w:trPr>
          <w:trHeight w:val="399"/>
        </w:trPr>
        <w:tc>
          <w:tcPr>
            <w:tcW w:w="574" w:type="dxa"/>
            <w:vAlign w:val="center"/>
            <w:textDirection w:val="lrTb"/>
            <w:noWrap/>
          </w:tcPr>
          <w:p>
            <w:pPr>
              <w:jc w:val="center"/>
              <w:spacing w:line="360" w:lineRule="auto"/>
              <w:rPr>
                <w:rFonts w:ascii="Arial" w:hAnsi="Arial" w:cs="Arial"/>
              </w:rPr>
            </w:pPr>
            <w:r>
              <w:rPr>
                <w:rFonts w:ascii="Arial" w:hAnsi="Arial" w:cs="Arial"/>
              </w:rPr>
              <w:t xml:space="preserve">序号</w:t>
            </w:r>
            <w:r/>
          </w:p>
        </w:tc>
        <w:tc>
          <w:tcPr>
            <w:tcW w:w="1367" w:type="dxa"/>
            <w:vAlign w:val="center"/>
            <w:textDirection w:val="lrTb"/>
            <w:noWrap/>
          </w:tcPr>
          <w:p>
            <w:pPr>
              <w:jc w:val="center"/>
              <w:spacing w:line="360" w:lineRule="auto"/>
              <w:rPr>
                <w:rFonts w:ascii="Arial" w:hAnsi="Arial" w:cs="Arial"/>
              </w:rPr>
            </w:pPr>
            <w:r>
              <w:rPr>
                <w:rFonts w:ascii="Arial" w:hAnsi="Arial" w:cs="Arial"/>
              </w:rPr>
              <w:t xml:space="preserve">产品名称</w:t>
            </w:r>
            <w:r/>
          </w:p>
        </w:tc>
        <w:tc>
          <w:tcPr>
            <w:tcW w:w="1350" w:type="dxa"/>
            <w:vAlign w:val="center"/>
            <w:textDirection w:val="lrTb"/>
            <w:noWrap/>
          </w:tcPr>
          <w:p>
            <w:pPr>
              <w:jc w:val="center"/>
              <w:spacing w:line="360" w:lineRule="auto"/>
              <w:rPr>
                <w:rFonts w:ascii="Arial" w:hAnsi="Arial" w:cs="Arial"/>
              </w:rPr>
            </w:pPr>
            <w:r>
              <w:rPr>
                <w:rFonts w:ascii="Arial" w:hAnsi="Arial" w:cs="Arial"/>
              </w:rPr>
              <w:t xml:space="preserve">品牌</w:t>
            </w:r>
            <w:r>
              <w:rPr>
                <w:rFonts w:ascii="Arial" w:hAnsi="Arial" w:cs="Arial"/>
              </w:rPr>
              <w:t xml:space="preserve">/</w:t>
            </w:r>
            <w:r>
              <w:rPr>
                <w:rFonts w:ascii="Arial" w:hAnsi="Arial" w:cs="Arial"/>
              </w:rPr>
              <w:t xml:space="preserve">型号</w:t>
            </w:r>
            <w:r/>
          </w:p>
        </w:tc>
        <w:tc>
          <w:tcPr>
            <w:tcW w:w="866" w:type="dxa"/>
            <w:vAlign w:val="center"/>
            <w:textDirection w:val="lrTb"/>
            <w:noWrap/>
          </w:tcPr>
          <w:p>
            <w:pPr>
              <w:jc w:val="center"/>
              <w:spacing w:line="360" w:lineRule="auto"/>
              <w:rPr>
                <w:rFonts w:ascii="Arial" w:hAnsi="Arial" w:cs="Arial"/>
              </w:rPr>
            </w:pPr>
            <w:r>
              <w:rPr>
                <w:rFonts w:ascii="Arial" w:hAnsi="Arial" w:cs="Arial"/>
              </w:rPr>
              <w:t xml:space="preserve">单位</w:t>
            </w:r>
            <w:r/>
          </w:p>
        </w:tc>
        <w:tc>
          <w:tcPr>
            <w:tcW w:w="817" w:type="dxa"/>
            <w:vAlign w:val="center"/>
            <w:textDirection w:val="lrTb"/>
            <w:noWrap/>
          </w:tcPr>
          <w:p>
            <w:pPr>
              <w:jc w:val="center"/>
              <w:spacing w:line="360" w:lineRule="auto"/>
              <w:rPr>
                <w:rFonts w:ascii="Arial" w:hAnsi="Arial" w:cs="Arial"/>
              </w:rPr>
            </w:pPr>
            <w:r>
              <w:rPr>
                <w:rFonts w:ascii="Arial" w:hAnsi="Arial" w:cs="Arial"/>
              </w:rPr>
              <w:t xml:space="preserve">数量</w:t>
            </w:r>
            <w:r/>
          </w:p>
        </w:tc>
        <w:tc>
          <w:tcPr>
            <w:tcW w:w="1933" w:type="dxa"/>
            <w:vAlign w:val="center"/>
            <w:textDirection w:val="lrTb"/>
            <w:noWrap/>
          </w:tcPr>
          <w:p>
            <w:pPr>
              <w:jc w:val="center"/>
              <w:spacing w:line="360" w:lineRule="auto"/>
              <w:rPr>
                <w:rFonts w:ascii="Arial" w:hAnsi="Arial" w:cs="Arial"/>
              </w:rPr>
            </w:pPr>
            <w:r>
              <w:rPr>
                <w:rFonts w:ascii="Arial" w:hAnsi="Arial" w:cs="Arial"/>
              </w:rPr>
              <w:t xml:space="preserve">生产厂家</w:t>
            </w:r>
            <w:r/>
          </w:p>
        </w:tc>
        <w:tc>
          <w:tcPr>
            <w:tcW w:w="1284" w:type="dxa"/>
            <w:vAlign w:val="center"/>
            <w:textDirection w:val="lrTb"/>
            <w:noWrap/>
          </w:tcPr>
          <w:p>
            <w:pPr>
              <w:jc w:val="center"/>
              <w:spacing w:line="360" w:lineRule="auto"/>
              <w:rPr>
                <w:rFonts w:ascii="Arial" w:hAnsi="Arial" w:cs="Arial"/>
              </w:rPr>
            </w:pPr>
            <w:r>
              <w:rPr>
                <w:rFonts w:ascii="Arial" w:hAnsi="Arial" w:cs="Arial"/>
              </w:rPr>
              <w:t xml:space="preserve">单价（元）</w:t>
            </w:r>
            <w:r/>
          </w:p>
        </w:tc>
        <w:tc>
          <w:tcPr>
            <w:tcW w:w="1650" w:type="dxa"/>
            <w:vAlign w:val="center"/>
            <w:textDirection w:val="lrTb"/>
            <w:noWrap/>
          </w:tcPr>
          <w:p>
            <w:pPr>
              <w:jc w:val="center"/>
              <w:spacing w:line="360" w:lineRule="auto"/>
              <w:rPr>
                <w:rFonts w:ascii="Arial" w:hAnsi="Arial" w:cs="Arial"/>
              </w:rPr>
            </w:pPr>
            <w:r>
              <w:rPr>
                <w:rFonts w:ascii="Arial" w:hAnsi="Arial" w:cs="Arial"/>
              </w:rPr>
              <w:t xml:space="preserve">总价</w:t>
            </w:r>
            <w:r>
              <w:rPr>
                <w:rFonts w:ascii="Arial" w:hAnsi="Arial" w:cs="Arial"/>
              </w:rPr>
              <w:t xml:space="preserve">(</w:t>
            </w:r>
            <w:r>
              <w:rPr>
                <w:rFonts w:ascii="Arial" w:hAnsi="Arial" w:cs="Arial"/>
              </w:rPr>
              <w:t xml:space="preserve">元</w:t>
            </w:r>
            <w:r>
              <w:rPr>
                <w:rFonts w:ascii="Arial" w:hAnsi="Arial" w:cs="Arial"/>
              </w:rPr>
              <w:t xml:space="preserve">)</w:t>
            </w:r>
            <w:r/>
          </w:p>
        </w:tc>
      </w:tr>
      <w:tr>
        <w:trPr>
          <w:trHeight w:val="674"/>
        </w:trPr>
        <w:tc>
          <w:tcPr>
            <w:tcW w:w="574" w:type="dxa"/>
            <w:vAlign w:val="center"/>
            <w:textDirection w:val="lrTb"/>
            <w:noWrap/>
          </w:tcPr>
          <w:p>
            <w:pPr>
              <w:jc w:val="center"/>
              <w:spacing w:line="360" w:lineRule="auto"/>
              <w:rPr>
                <w:rFonts w:ascii="Arial" w:hAnsi="Arial" w:cs="Arial"/>
              </w:rPr>
            </w:pPr>
            <w:r>
              <w:rPr>
                <w:rFonts w:ascii="Arial" w:hAnsi="Arial" w:cs="Arial"/>
              </w:rPr>
              <w:t xml:space="preserve">1</w:t>
            </w:r>
            <w:r/>
          </w:p>
        </w:tc>
        <w:tc>
          <w:tcPr>
            <w:tcW w:w="1367" w:type="dxa"/>
            <w:vAlign w:val="center"/>
            <w:textDirection w:val="lrTb"/>
            <w:noWrap/>
          </w:tcPr>
          <w:p>
            <w:pPr>
              <w:jc w:val="center"/>
              <w:spacing w:line="360" w:lineRule="auto"/>
              <w:rPr>
                <w:rFonts w:ascii="Arial" w:hAnsi="Arial" w:cs="Arial"/>
              </w:rPr>
            </w:pPr>
            <w:r>
              <w:rPr>
                <w:rFonts w:ascii="Arial" w:hAnsi="Arial" w:cs="Arial"/>
              </w:rPr>
            </w:r>
            <w:r/>
          </w:p>
        </w:tc>
        <w:tc>
          <w:tcPr>
            <w:tcW w:w="1350" w:type="dxa"/>
            <w:vAlign w:val="center"/>
            <w:textDirection w:val="lrTb"/>
            <w:noWrap/>
          </w:tcPr>
          <w:p>
            <w:pPr>
              <w:jc w:val="center"/>
              <w:spacing w:line="360" w:lineRule="auto"/>
              <w:rPr>
                <w:rFonts w:ascii="Arial" w:hAnsi="Arial" w:cs="Arial"/>
              </w:rPr>
            </w:pPr>
            <w:r>
              <w:rPr>
                <w:rFonts w:ascii="Arial" w:hAnsi="Arial" w:cs="Arial"/>
              </w:rPr>
            </w:r>
            <w:r/>
          </w:p>
        </w:tc>
        <w:tc>
          <w:tcPr>
            <w:tcW w:w="866" w:type="dxa"/>
            <w:vAlign w:val="center"/>
            <w:textDirection w:val="lrTb"/>
            <w:noWrap/>
          </w:tcPr>
          <w:p>
            <w:pPr>
              <w:jc w:val="center"/>
              <w:spacing w:line="360" w:lineRule="auto"/>
              <w:rPr>
                <w:rFonts w:ascii="Arial" w:hAnsi="Arial" w:cs="Arial"/>
                <w:szCs w:val="21"/>
              </w:rPr>
            </w:pPr>
            <w:r>
              <w:rPr>
                <w:rFonts w:ascii="Arial" w:hAnsi="Arial" w:cs="Arial"/>
                <w:szCs w:val="21"/>
              </w:rPr>
            </w:r>
            <w:r/>
          </w:p>
        </w:tc>
        <w:tc>
          <w:tcPr>
            <w:tcW w:w="817" w:type="dxa"/>
            <w:vAlign w:val="center"/>
            <w:textDirection w:val="lrTb"/>
            <w:noWrap/>
          </w:tcPr>
          <w:p>
            <w:pPr>
              <w:jc w:val="center"/>
              <w:spacing w:line="360" w:lineRule="auto"/>
              <w:rPr>
                <w:rFonts w:ascii="Arial" w:hAnsi="Arial" w:cs="Arial"/>
              </w:rPr>
            </w:pPr>
            <w:r>
              <w:rPr>
                <w:rFonts w:ascii="Arial" w:hAnsi="Arial" w:cs="Arial"/>
              </w:rPr>
            </w:r>
            <w:r/>
          </w:p>
        </w:tc>
        <w:tc>
          <w:tcPr>
            <w:tcW w:w="1933" w:type="dxa"/>
            <w:vAlign w:val="center"/>
            <w:textDirection w:val="lrTb"/>
            <w:noWrap/>
          </w:tcPr>
          <w:p>
            <w:pPr>
              <w:jc w:val="center"/>
              <w:spacing w:line="360" w:lineRule="auto"/>
              <w:rPr>
                <w:rFonts w:ascii="Arial" w:hAnsi="Arial" w:cs="Arial"/>
                <w:szCs w:val="21"/>
              </w:rPr>
            </w:pPr>
            <w:r>
              <w:rPr>
                <w:rFonts w:ascii="Arial" w:hAnsi="Arial" w:cs="Arial"/>
                <w:szCs w:val="21"/>
              </w:rPr>
            </w:r>
            <w:r/>
          </w:p>
        </w:tc>
        <w:tc>
          <w:tcPr>
            <w:tcW w:w="1284" w:type="dxa"/>
            <w:vAlign w:val="center"/>
            <w:textDirection w:val="lrTb"/>
            <w:noWrap/>
          </w:tcPr>
          <w:p>
            <w:pPr>
              <w:jc w:val="center"/>
              <w:spacing w:line="360" w:lineRule="auto"/>
              <w:rPr>
                <w:rFonts w:ascii="Arial" w:hAnsi="Arial" w:cs="Arial"/>
              </w:rPr>
            </w:pPr>
            <w:r>
              <w:rPr>
                <w:rFonts w:ascii="Arial" w:hAnsi="Arial" w:cs="Arial"/>
              </w:rPr>
            </w:r>
            <w:r/>
          </w:p>
        </w:tc>
        <w:tc>
          <w:tcPr>
            <w:tcW w:w="1650" w:type="dxa"/>
            <w:vAlign w:val="center"/>
            <w:textDirection w:val="lrTb"/>
            <w:noWrap/>
          </w:tcPr>
          <w:p>
            <w:pPr>
              <w:jc w:val="center"/>
              <w:spacing w:line="360" w:lineRule="auto"/>
              <w:rPr>
                <w:rFonts w:ascii="Arial" w:hAnsi="Arial" w:cs="Arial"/>
              </w:rPr>
            </w:pPr>
            <w:r>
              <w:rPr>
                <w:rFonts w:ascii="Arial" w:hAnsi="Arial" w:cs="Arial"/>
              </w:rPr>
            </w:r>
            <w:r/>
          </w:p>
        </w:tc>
      </w:tr>
      <w:tr>
        <w:trPr>
          <w:trHeight w:val="788"/>
        </w:trPr>
        <w:tc>
          <w:tcPr>
            <w:tcW w:w="574" w:type="dxa"/>
            <w:vAlign w:val="center"/>
            <w:textDirection w:val="lrTb"/>
            <w:noWrap/>
          </w:tcPr>
          <w:p>
            <w:pPr>
              <w:jc w:val="center"/>
              <w:spacing w:line="360" w:lineRule="auto"/>
              <w:rPr>
                <w:rFonts w:ascii="Arial" w:hAnsi="Arial" w:cs="Arial"/>
              </w:rPr>
            </w:pPr>
            <w:r>
              <w:rPr>
                <w:rFonts w:ascii="Arial" w:hAnsi="Arial" w:cs="Arial"/>
              </w:rPr>
              <w:t xml:space="preserve">2</w:t>
            </w:r>
            <w:r/>
          </w:p>
        </w:tc>
        <w:tc>
          <w:tcPr>
            <w:tcW w:w="1367" w:type="dxa"/>
            <w:vAlign w:val="center"/>
            <w:textDirection w:val="lrTb"/>
            <w:noWrap/>
          </w:tcPr>
          <w:p>
            <w:pPr>
              <w:jc w:val="center"/>
              <w:spacing w:line="360" w:lineRule="auto"/>
              <w:rPr>
                <w:rFonts w:ascii="Arial" w:hAnsi="Arial" w:cs="Arial"/>
              </w:rPr>
            </w:pPr>
            <w:r>
              <w:rPr>
                <w:rFonts w:ascii="Arial" w:hAnsi="Arial" w:cs="Arial"/>
              </w:rPr>
            </w:r>
            <w:r/>
          </w:p>
        </w:tc>
        <w:tc>
          <w:tcPr>
            <w:tcW w:w="1350" w:type="dxa"/>
            <w:vAlign w:val="center"/>
            <w:textDirection w:val="lrTb"/>
            <w:noWrap/>
          </w:tcPr>
          <w:p>
            <w:pPr>
              <w:jc w:val="center"/>
              <w:spacing w:line="360" w:lineRule="auto"/>
              <w:rPr>
                <w:rFonts w:ascii="Arial" w:hAnsi="Arial" w:cs="Arial"/>
              </w:rPr>
            </w:pPr>
            <w:r>
              <w:rPr>
                <w:rFonts w:ascii="Arial" w:hAnsi="Arial" w:cs="Arial"/>
              </w:rPr>
            </w:r>
            <w:r/>
          </w:p>
        </w:tc>
        <w:tc>
          <w:tcPr>
            <w:tcW w:w="866" w:type="dxa"/>
            <w:vAlign w:val="center"/>
            <w:textDirection w:val="lrTb"/>
            <w:noWrap/>
          </w:tcPr>
          <w:p>
            <w:pPr>
              <w:jc w:val="center"/>
              <w:spacing w:line="360" w:lineRule="auto"/>
              <w:rPr>
                <w:rFonts w:ascii="Arial" w:hAnsi="Arial" w:cs="Arial"/>
                <w:szCs w:val="21"/>
              </w:rPr>
            </w:pPr>
            <w:r>
              <w:rPr>
                <w:rFonts w:ascii="Arial" w:hAnsi="Arial" w:cs="Arial"/>
                <w:szCs w:val="21"/>
              </w:rPr>
            </w:r>
            <w:r/>
          </w:p>
        </w:tc>
        <w:tc>
          <w:tcPr>
            <w:tcW w:w="817" w:type="dxa"/>
            <w:vAlign w:val="center"/>
            <w:textDirection w:val="lrTb"/>
            <w:noWrap/>
          </w:tcPr>
          <w:p>
            <w:pPr>
              <w:jc w:val="center"/>
              <w:spacing w:line="360" w:lineRule="auto"/>
              <w:rPr>
                <w:rFonts w:ascii="Arial" w:hAnsi="Arial" w:cs="Arial"/>
              </w:rPr>
            </w:pPr>
            <w:r>
              <w:rPr>
                <w:rFonts w:ascii="Arial" w:hAnsi="Arial" w:cs="Arial"/>
              </w:rPr>
            </w:r>
            <w:r/>
          </w:p>
        </w:tc>
        <w:tc>
          <w:tcPr>
            <w:tcW w:w="1933" w:type="dxa"/>
            <w:vAlign w:val="center"/>
            <w:textDirection w:val="lrTb"/>
            <w:noWrap/>
          </w:tcPr>
          <w:p>
            <w:pPr>
              <w:jc w:val="center"/>
              <w:spacing w:line="360" w:lineRule="auto"/>
              <w:rPr>
                <w:rFonts w:ascii="Arial" w:hAnsi="Arial" w:cs="Arial"/>
                <w:szCs w:val="21"/>
              </w:rPr>
            </w:pPr>
            <w:r>
              <w:rPr>
                <w:rFonts w:ascii="Arial" w:hAnsi="Arial" w:cs="Arial"/>
                <w:szCs w:val="21"/>
              </w:rPr>
            </w:r>
            <w:r/>
          </w:p>
        </w:tc>
        <w:tc>
          <w:tcPr>
            <w:tcW w:w="1284" w:type="dxa"/>
            <w:vAlign w:val="center"/>
            <w:textDirection w:val="lrTb"/>
            <w:noWrap/>
          </w:tcPr>
          <w:p>
            <w:pPr>
              <w:jc w:val="center"/>
              <w:spacing w:line="360" w:lineRule="auto"/>
              <w:rPr>
                <w:rFonts w:ascii="Arial" w:hAnsi="Arial" w:cs="Arial"/>
              </w:rPr>
            </w:pPr>
            <w:r>
              <w:rPr>
                <w:rFonts w:ascii="Arial" w:hAnsi="Arial" w:cs="Arial"/>
              </w:rPr>
            </w:r>
            <w:r/>
          </w:p>
        </w:tc>
        <w:tc>
          <w:tcPr>
            <w:tcW w:w="1650" w:type="dxa"/>
            <w:vAlign w:val="center"/>
            <w:textDirection w:val="lrTb"/>
            <w:noWrap/>
          </w:tcPr>
          <w:p>
            <w:pPr>
              <w:jc w:val="center"/>
              <w:spacing w:line="360" w:lineRule="auto"/>
              <w:rPr>
                <w:rFonts w:ascii="Arial" w:hAnsi="Arial" w:cs="Arial"/>
              </w:rPr>
            </w:pPr>
            <w:r>
              <w:rPr>
                <w:rFonts w:ascii="Arial" w:hAnsi="Arial" w:cs="Arial"/>
              </w:rPr>
            </w:r>
            <w:r/>
          </w:p>
        </w:tc>
      </w:tr>
      <w:tr>
        <w:trPr>
          <w:trHeight w:val="638"/>
        </w:trPr>
        <w:tc>
          <w:tcPr>
            <w:gridSpan w:val="7"/>
            <w:tcW w:w="8191" w:type="dxa"/>
            <w:vAlign w:val="center"/>
            <w:textDirection w:val="lrTb"/>
            <w:noWrap/>
          </w:tcPr>
          <w:p>
            <w:pPr>
              <w:jc w:val="left"/>
              <w:spacing w:line="360" w:lineRule="auto"/>
              <w:rPr>
                <w:rFonts w:ascii="Arial" w:hAnsi="Arial" w:cs="Arial"/>
              </w:rPr>
            </w:pPr>
            <w:r>
              <w:rPr>
                <w:rFonts w:ascii="Arial" w:hAnsi="Arial" w:cs="Arial"/>
              </w:rPr>
              <w:t xml:space="preserve">合计：</w:t>
            </w:r>
            <w:r/>
          </w:p>
        </w:tc>
        <w:tc>
          <w:tcPr>
            <w:tcW w:w="1650" w:type="dxa"/>
            <w:vAlign w:val="center"/>
            <w:textDirection w:val="lrTb"/>
            <w:noWrap/>
          </w:tcPr>
          <w:p>
            <w:pPr>
              <w:jc w:val="center"/>
              <w:spacing w:line="360" w:lineRule="auto"/>
              <w:rPr>
                <w:rFonts w:ascii="Arial" w:hAnsi="Arial" w:cs="Arial"/>
              </w:rPr>
            </w:pPr>
            <w:r>
              <w:rPr>
                <w:rFonts w:ascii="Arial" w:hAnsi="Arial" w:cs="Arial"/>
              </w:rPr>
            </w:r>
            <w:r/>
          </w:p>
        </w:tc>
      </w:tr>
    </w:tbl>
    <w:p>
      <w:pPr>
        <w:jc w:val="left"/>
        <w:spacing w:line="360" w:lineRule="auto"/>
        <w:rPr>
          <w:rFonts w:ascii="Arial" w:hAnsi="Arial" w:cs="Arial"/>
        </w:rPr>
      </w:pPr>
      <w:r>
        <w:rPr>
          <w:rFonts w:ascii="Arial" w:hAnsi="Arial" w:cs="Arial"/>
        </w:rPr>
      </w:r>
      <w:r/>
    </w:p>
    <w:p>
      <w:pPr>
        <w:ind w:firstLine="422"/>
        <w:spacing w:line="360" w:lineRule="auto"/>
        <w:rPr>
          <w:rFonts w:ascii="Arial" w:hAnsi="Arial" w:cs="Arial"/>
        </w:rPr>
      </w:pPr>
      <w:r>
        <w:rPr>
          <w:rFonts w:ascii="Arial" w:hAnsi="Arial" w:cs="Arial"/>
          <w:b/>
        </w:rPr>
        <w:t xml:space="preserve">三、合同总价款：</w:t>
      </w:r>
      <w:r>
        <w:rPr>
          <w:rFonts w:ascii="Arial" w:hAnsi="Arial" w:cs="Arial"/>
        </w:rPr>
        <w:t xml:space="preserve">大写人民币元，小写￥元。</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合同总价款范围：合同总价应</w:t>
      </w:r>
      <w:r>
        <w:rPr>
          <w:rFonts w:hint="eastAsia" w:ascii="Arial" w:hAnsi="Arial" w:cs="Arial"/>
        </w:rPr>
        <w:t xml:space="preserve">包括全部设备、辅助材料、安装、调试、人工、机械、运输、仓储、保险、运费、各种税费、劳保、专利技术、质保期间等一切费用及其他费用；医院平台各系统（如</w:t>
      </w:r>
      <w:r>
        <w:rPr>
          <w:rFonts w:hint="eastAsia" w:ascii="Arial" w:hAnsi="Arial" w:cs="Arial"/>
        </w:rPr>
        <w:t xml:space="preserve">HIS</w:t>
      </w:r>
      <w:r>
        <w:rPr>
          <w:rFonts w:hint="eastAsia" w:ascii="Arial" w:hAnsi="Arial" w:cs="Arial"/>
        </w:rPr>
        <w:t xml:space="preserve">系统、</w:t>
      </w:r>
      <w:r>
        <w:rPr>
          <w:rFonts w:hint="eastAsia" w:ascii="Arial" w:hAnsi="Arial" w:cs="Arial"/>
        </w:rPr>
        <w:t xml:space="preserve">LIS</w:t>
      </w:r>
      <w:r>
        <w:rPr>
          <w:rFonts w:hint="eastAsia" w:ascii="Arial" w:hAnsi="Arial" w:cs="Arial"/>
        </w:rPr>
        <w:t xml:space="preserve">系统）的接口费用；与现有设备对接费用等（如涉及）</w:t>
      </w:r>
      <w:r>
        <w:rPr>
          <w:rFonts w:ascii="Arial" w:hAnsi="Arial" w:cs="Arial"/>
        </w:rPr>
        <w:t xml:space="preserve">。</w:t>
      </w:r>
      <w:r/>
    </w:p>
    <w:p>
      <w:pPr>
        <w:ind w:firstLine="420"/>
        <w:spacing w:line="360" w:lineRule="auto"/>
        <w:rPr>
          <w:rFonts w:ascii="Arial" w:hAnsi="Arial" w:cs="Arial"/>
        </w:rPr>
      </w:pPr>
      <w:r>
        <w:rPr>
          <w:rFonts w:ascii="Arial" w:hAnsi="Arial" w:cs="Arial"/>
        </w:rPr>
        <w:t xml:space="preserve">对于甲方在招标文件中所要求的及乙方在投标文件和合同中所承诺提供的功能，乙方应无条件提供，由于设计及其他原因所造成的额外费用由乙方自行承担。</w:t>
      </w:r>
      <w:r/>
    </w:p>
    <w:p>
      <w:pPr>
        <w:ind w:firstLine="420"/>
        <w:spacing w:line="360" w:lineRule="auto"/>
        <w:rPr>
          <w:rFonts w:ascii="Arial" w:hAnsi="Arial" w:cs="Arial"/>
        </w:rPr>
      </w:pPr>
      <w:r>
        <w:rPr>
          <w:rFonts w:ascii="Arial" w:hAnsi="Arial" w:cs="Arial"/>
        </w:rPr>
      </w:r>
      <w:r/>
    </w:p>
    <w:p>
      <w:pPr>
        <w:ind w:firstLine="422"/>
        <w:spacing w:line="360" w:lineRule="auto"/>
        <w:rPr>
          <w:rFonts w:ascii="Arial" w:hAnsi="Arial" w:cs="Arial"/>
        </w:rPr>
      </w:pPr>
      <w:r>
        <w:rPr>
          <w:rFonts w:ascii="Arial" w:hAnsi="Arial" w:cs="Arial"/>
          <w:b/>
        </w:rPr>
        <w:t xml:space="preserve">四、交货地点、时间、方式：</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交货地点：乙方交货至甲方指定地点，所发生的运输等费用及货物的损坏造成的损失由乙方承担。</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交货时间：</w:t>
      </w:r>
      <w:r>
        <w:rPr>
          <w:rFonts w:hint="eastAsia" w:ascii="宋体" w:hAnsi="宋体" w:cs="宋体"/>
          <w:szCs w:val="21"/>
        </w:rPr>
        <w:t xml:space="preserve">自合同签订生效之后30天内交货并安装调试结束</w:t>
      </w:r>
      <w:r>
        <w:rPr>
          <w:rFonts w:ascii="Arial" w:hAnsi="Arial" w:cs="Arial"/>
        </w:rPr>
        <w:t xml:space="preserve">。</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交货方式：乙方负责将货物安全完好运抵交货地点、安装调试并保证验收合格。</w:t>
      </w:r>
      <w:r/>
    </w:p>
    <w:p>
      <w:pPr>
        <w:ind w:firstLine="420"/>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五、付款方式：</w:t>
      </w:r>
      <w:r/>
    </w:p>
    <w:p>
      <w:pPr>
        <w:ind w:firstLine="420"/>
        <w:spacing w:line="360" w:lineRule="auto"/>
        <w:rPr>
          <w:rFonts w:ascii="Arial" w:hAnsi="Arial" w:cs="Arial"/>
          <w:szCs w:val="21"/>
        </w:rPr>
      </w:pPr>
      <w:r>
        <w:rPr>
          <w:rFonts w:ascii="Arial" w:hAnsi="Arial" w:cs="Arial"/>
          <w:szCs w:val="21"/>
        </w:rPr>
        <w:t xml:space="preserve">1.</w:t>
      </w:r>
      <w:r>
        <w:rPr>
          <w:rFonts w:ascii="Arial" w:hAnsi="Arial" w:cs="Arial"/>
          <w:szCs w:val="21"/>
        </w:rPr>
        <w:t xml:space="preserve">付款步骤：</w:t>
      </w:r>
      <w:r/>
    </w:p>
    <w:p>
      <w:pPr>
        <w:ind w:firstLine="420"/>
        <w:spacing w:line="360" w:lineRule="auto"/>
        <w:rPr>
          <w:rFonts w:ascii="Arial" w:hAnsi="Arial" w:cs="Arial"/>
          <w:szCs w:val="21"/>
        </w:rPr>
      </w:pPr>
      <w:r>
        <w:rPr>
          <w:rFonts w:ascii="Arial" w:hAnsi="Arial" w:cs="Arial"/>
          <w:szCs w:val="21"/>
        </w:rPr>
        <w:t xml:space="preserve">（</w:t>
      </w:r>
      <w:r>
        <w:rPr>
          <w:rFonts w:ascii="Arial" w:hAnsi="Arial" w:cs="Arial"/>
          <w:szCs w:val="21"/>
        </w:rPr>
        <w:t xml:space="preserve">1</w:t>
      </w:r>
      <w:r>
        <w:rPr>
          <w:rFonts w:ascii="Arial" w:hAnsi="Arial" w:cs="Arial"/>
          <w:szCs w:val="21"/>
        </w:rPr>
        <w:t xml:space="preserve">）在采购合同签订生效后，待全部货物到达甲方指定地点</w:t>
      </w:r>
      <w:r>
        <w:rPr>
          <w:rFonts w:hint="eastAsia" w:ascii="Arial" w:hAnsi="Arial" w:cs="Arial"/>
          <w:szCs w:val="21"/>
        </w:rPr>
        <w:t xml:space="preserve">完成安装调试</w:t>
      </w:r>
      <w:r>
        <w:rPr>
          <w:rFonts w:ascii="Arial" w:hAnsi="Arial" w:cs="Arial"/>
          <w:szCs w:val="21"/>
        </w:rPr>
        <w:t xml:space="preserve">，经</w:t>
      </w:r>
      <w:r>
        <w:rPr>
          <w:rFonts w:hint="eastAsia" w:ascii="Arial" w:hAnsi="Arial" w:cs="Arial"/>
          <w:szCs w:val="21"/>
        </w:rPr>
        <w:t xml:space="preserve">甲方最终</w:t>
      </w:r>
      <w:r>
        <w:rPr>
          <w:rFonts w:ascii="Arial" w:hAnsi="Arial" w:cs="Arial"/>
          <w:szCs w:val="21"/>
        </w:rPr>
        <w:t xml:space="preserve">验收合格，由甲方向乙方按合同总价支付</w:t>
      </w:r>
      <w:r>
        <w:rPr>
          <w:rFonts w:ascii="Arial" w:hAnsi="Arial" w:cs="Arial"/>
          <w:szCs w:val="21"/>
        </w:rPr>
        <w:t xml:space="preserve">95%</w:t>
      </w:r>
      <w:r>
        <w:rPr>
          <w:rFonts w:ascii="Arial" w:hAnsi="Arial" w:cs="Arial"/>
          <w:szCs w:val="21"/>
        </w:rPr>
        <w:t xml:space="preserve">的款，余款</w:t>
      </w:r>
      <w:r>
        <w:rPr>
          <w:rFonts w:ascii="Arial" w:hAnsi="Arial" w:cs="Arial"/>
          <w:szCs w:val="21"/>
        </w:rPr>
        <w:t xml:space="preserve">5</w:t>
      </w:r>
      <w:r>
        <w:rPr>
          <w:rFonts w:ascii="Arial" w:hAnsi="Arial" w:cs="Arial"/>
          <w:szCs w:val="21"/>
        </w:rPr>
        <w:t xml:space="preserve">％在验收合格满</w:t>
      </w:r>
      <w:r>
        <w:rPr>
          <w:rFonts w:hint="eastAsia" w:ascii="Arial" w:hAnsi="Arial" w:cs="Arial"/>
          <w:szCs w:val="21"/>
        </w:rPr>
        <w:t xml:space="preserve">一</w:t>
      </w:r>
      <w:r>
        <w:rPr>
          <w:rFonts w:ascii="Arial" w:hAnsi="Arial" w:cs="Arial"/>
          <w:szCs w:val="21"/>
        </w:rPr>
        <w:t xml:space="preserve">年，无质量问题</w:t>
      </w:r>
      <w:r>
        <w:rPr>
          <w:rFonts w:hint="eastAsia" w:ascii="Arial" w:hAnsi="Arial" w:cs="Arial"/>
          <w:szCs w:val="21"/>
        </w:rPr>
        <w:t xml:space="preserve">且乙方不存在其他违约情形</w:t>
      </w:r>
      <w:r>
        <w:rPr>
          <w:rFonts w:ascii="Arial" w:hAnsi="Arial" w:cs="Arial"/>
          <w:szCs w:val="21"/>
        </w:rPr>
        <w:t xml:space="preserve">，由甲方向乙方一次性付清。</w:t>
      </w:r>
      <w:r/>
    </w:p>
    <w:p>
      <w:pPr>
        <w:ind w:firstLine="420"/>
        <w:spacing w:line="400" w:lineRule="exact"/>
        <w:rPr>
          <w:rFonts w:ascii="Arial" w:hAnsi="Arial" w:cs="Arial"/>
        </w:rPr>
      </w:pPr>
      <w:r>
        <w:rPr>
          <w:rFonts w:ascii="Arial" w:hAnsi="Arial" w:cs="Arial"/>
        </w:rPr>
        <w:t xml:space="preserve">（</w:t>
      </w:r>
      <w:r>
        <w:rPr>
          <w:rFonts w:ascii="Arial" w:hAnsi="Arial" w:cs="Arial"/>
        </w:rPr>
        <w:t xml:space="preserve">2</w:t>
      </w:r>
      <w:r>
        <w:rPr>
          <w:rFonts w:ascii="Arial" w:hAnsi="Arial" w:cs="Arial"/>
        </w:rPr>
        <w:t xml:space="preserve">）乙方提请甲方付款前，应提供以下资料：</w:t>
      </w:r>
      <w:r/>
    </w:p>
    <w:p>
      <w:pPr>
        <w:ind w:firstLine="420"/>
        <w:spacing w:line="400" w:lineRule="exact"/>
        <w:rPr>
          <w:rFonts w:ascii="Arial" w:hAnsi="Arial" w:cs="Arial"/>
          <w:szCs w:val="21"/>
        </w:rPr>
      </w:pPr>
      <w:r>
        <w:rPr>
          <w:rFonts w:ascii="Arial" w:hAnsi="Arial" w:cs="Arial"/>
          <w:szCs w:val="21"/>
        </w:rPr>
        <w:t xml:space="preserve">A</w:t>
      </w:r>
      <w:r>
        <w:rPr>
          <w:rFonts w:ascii="Arial" w:hAnsi="Arial" w:cs="Arial"/>
          <w:szCs w:val="21"/>
        </w:rPr>
        <w:t xml:space="preserve">、甲方签收的送货回单。</w:t>
      </w:r>
      <w:r/>
    </w:p>
    <w:p>
      <w:pPr>
        <w:ind w:firstLine="420"/>
        <w:spacing w:line="400" w:lineRule="exact"/>
        <w:rPr>
          <w:rFonts w:ascii="Arial" w:hAnsi="Arial" w:cs="Arial"/>
          <w:szCs w:val="21"/>
        </w:rPr>
      </w:pPr>
      <w:r>
        <w:rPr>
          <w:rFonts w:ascii="Arial" w:hAnsi="Arial" w:cs="Arial"/>
          <w:szCs w:val="21"/>
        </w:rPr>
        <w:t xml:space="preserve">B</w:t>
      </w:r>
      <w:r>
        <w:rPr>
          <w:rFonts w:ascii="Arial" w:hAnsi="Arial" w:cs="Arial"/>
          <w:szCs w:val="21"/>
        </w:rPr>
        <w:t xml:space="preserve">、合格销售发票。</w:t>
      </w:r>
      <w:r/>
    </w:p>
    <w:p>
      <w:pPr>
        <w:ind w:firstLine="420"/>
        <w:spacing w:line="400" w:lineRule="exact"/>
        <w:rPr>
          <w:rFonts w:ascii="Arial" w:hAnsi="Arial" w:cs="Arial"/>
          <w:szCs w:val="21"/>
        </w:rPr>
      </w:pPr>
      <w:r>
        <w:rPr>
          <w:rFonts w:ascii="Arial" w:hAnsi="Arial" w:cs="Arial"/>
          <w:szCs w:val="21"/>
        </w:rPr>
        <w:t xml:space="preserve">C</w:t>
      </w:r>
      <w:r>
        <w:rPr>
          <w:rFonts w:ascii="Arial" w:hAnsi="Arial" w:cs="Arial"/>
          <w:szCs w:val="21"/>
        </w:rPr>
        <w:t xml:space="preserve">、</w:t>
      </w:r>
      <w:r>
        <w:rPr>
          <w:rFonts w:hint="eastAsia" w:ascii="Arial" w:hAnsi="Arial" w:cs="Arial"/>
          <w:szCs w:val="21"/>
        </w:rPr>
        <w:t xml:space="preserve">由甲乙双方及招标代理机构签章</w:t>
      </w:r>
      <w:r>
        <w:rPr>
          <w:rFonts w:ascii="Arial" w:hAnsi="Arial" w:cs="Arial"/>
          <w:szCs w:val="21"/>
        </w:rPr>
        <w:t xml:space="preserve">的《苏州市政府采购合同履行验收报告》</w:t>
      </w:r>
      <w:r/>
    </w:p>
    <w:p>
      <w:pPr>
        <w:ind w:firstLine="420"/>
        <w:spacing w:line="360" w:lineRule="auto"/>
        <w:rPr>
          <w:rFonts w:ascii="Arial" w:hAnsi="Arial" w:cs="Arial"/>
          <w:szCs w:val="21"/>
        </w:rPr>
      </w:pPr>
      <w:r>
        <w:rPr>
          <w:rFonts w:ascii="Arial" w:hAnsi="Arial" w:cs="Arial"/>
          <w:szCs w:val="21"/>
        </w:rPr>
      </w:r>
      <w:r/>
    </w:p>
    <w:p>
      <w:pPr>
        <w:ind w:firstLine="420"/>
        <w:spacing w:line="360" w:lineRule="auto"/>
        <w:rPr>
          <w:rFonts w:ascii="Arial" w:hAnsi="Arial" w:cs="Arial"/>
          <w:szCs w:val="21"/>
        </w:rPr>
      </w:pPr>
      <w:r>
        <w:rPr>
          <w:rFonts w:ascii="Arial" w:hAnsi="Arial" w:cs="Arial"/>
          <w:szCs w:val="21"/>
        </w:rPr>
        <w:t xml:space="preserve">2. </w:t>
      </w:r>
      <w:r>
        <w:rPr>
          <w:rFonts w:hint="eastAsia" w:ascii="Arial" w:hAnsi="Arial" w:cs="Arial"/>
          <w:szCs w:val="21"/>
        </w:rPr>
        <w:t xml:space="preserve">支付方式：银行汇票、转账支票或数字人民币支付价款。乙方账户信息如下：</w:t>
      </w:r>
      <w:r/>
    </w:p>
    <w:p>
      <w:pPr>
        <w:ind w:firstLine="420"/>
        <w:spacing w:line="360" w:lineRule="auto"/>
        <w:rPr>
          <w:rFonts w:ascii="Arial" w:hAnsi="Arial" w:cs="Arial"/>
          <w:szCs w:val="21"/>
        </w:rPr>
      </w:pPr>
      <w:r>
        <w:rPr>
          <w:rFonts w:hint="eastAsia" w:ascii="Arial" w:hAnsi="Arial" w:cs="Arial"/>
          <w:szCs w:val="21"/>
        </w:rPr>
        <w:t xml:space="preserve">开户名称：</w:t>
      </w:r>
      <w:r/>
    </w:p>
    <w:p>
      <w:pPr>
        <w:ind w:firstLine="420"/>
        <w:spacing w:line="360" w:lineRule="auto"/>
        <w:rPr>
          <w:rFonts w:ascii="Arial" w:hAnsi="Arial" w:cs="Arial"/>
          <w:szCs w:val="21"/>
        </w:rPr>
      </w:pPr>
      <w:r>
        <w:rPr>
          <w:rFonts w:hint="eastAsia" w:ascii="Arial" w:hAnsi="Arial" w:cs="Arial"/>
          <w:szCs w:val="21"/>
        </w:rPr>
        <w:t xml:space="preserve">开户银行：</w:t>
      </w:r>
      <w:r/>
    </w:p>
    <w:p>
      <w:pPr>
        <w:ind w:firstLine="420"/>
        <w:spacing w:line="360" w:lineRule="auto"/>
        <w:rPr>
          <w:rFonts w:ascii="Arial" w:hAnsi="Arial" w:cs="Arial"/>
          <w:szCs w:val="21"/>
        </w:rPr>
      </w:pPr>
      <w:r>
        <w:rPr>
          <w:rFonts w:hint="eastAsia" w:ascii="Arial" w:hAnsi="Arial" w:cs="Arial"/>
          <w:szCs w:val="21"/>
        </w:rPr>
        <w:t xml:space="preserve">银行账号：</w:t>
      </w:r>
      <w:r/>
    </w:p>
    <w:p>
      <w:pPr>
        <w:ind w:firstLine="420"/>
        <w:spacing w:line="360" w:lineRule="auto"/>
        <w:rPr>
          <w:rFonts w:ascii="Arial" w:hAnsi="Arial" w:cs="Arial"/>
          <w:szCs w:val="21"/>
        </w:rPr>
      </w:pPr>
      <w:r>
        <w:rPr>
          <w:rFonts w:hint="eastAsia" w:ascii="Arial" w:hAnsi="Arial" w:cs="Arial"/>
          <w:szCs w:val="21"/>
        </w:rPr>
        <w:t xml:space="preserve">数字人民币账户（数币钱包</w:t>
      </w:r>
      <w:r>
        <w:rPr>
          <w:rFonts w:hint="eastAsia" w:ascii="Arial" w:hAnsi="Arial" w:cs="Arial"/>
          <w:szCs w:val="21"/>
        </w:rPr>
        <w:t xml:space="preserve">ID</w:t>
      </w:r>
      <w:r>
        <w:rPr>
          <w:rFonts w:hint="eastAsia" w:ascii="Arial" w:hAnsi="Arial" w:cs="Arial"/>
          <w:szCs w:val="21"/>
        </w:rPr>
        <w:t xml:space="preserve">）</w:t>
      </w:r>
      <w:r>
        <w:rPr>
          <w:rFonts w:ascii="Arial" w:hAnsi="Arial" w:cs="Arial"/>
          <w:szCs w:val="21"/>
        </w:rPr>
        <w:t xml:space="preserve">：</w:t>
      </w:r>
      <w:r/>
    </w:p>
    <w:p>
      <w:pPr>
        <w:pStyle w:val="930"/>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六、验收</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乙方提交的货物由甲方负责验收。</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甲方根据合同的规定接收货物，在接收时对货物的品种、规格、性能、质量、数量、外观以及配件等进行</w:t>
      </w:r>
      <w:r>
        <w:rPr>
          <w:rFonts w:hint="eastAsia" w:ascii="Arial" w:hAnsi="Arial" w:cs="Arial"/>
        </w:rPr>
        <w:t xml:space="preserve">初步</w:t>
      </w:r>
      <w:r>
        <w:rPr>
          <w:rFonts w:ascii="Arial" w:hAnsi="Arial" w:cs="Arial"/>
        </w:rPr>
        <w:t xml:space="preserve">验收。</w:t>
      </w:r>
      <w:r>
        <w:rPr>
          <w:rFonts w:hint="eastAsia" w:ascii="Arial" w:hAnsi="Arial" w:cs="Arial"/>
        </w:rPr>
        <w:t xml:space="preserve">经乙方安装调试完毕，甲方按合同约定对货物的性能等进行最终验收。</w:t>
      </w:r>
      <w:r>
        <w:rPr>
          <w:rFonts w:ascii="Arial" w:hAnsi="Arial" w:cs="Arial"/>
        </w:rPr>
        <w:t xml:space="preserve">甲方对货物的规格技术指标如有异议，以书面形式提出。</w:t>
      </w:r>
      <w:r/>
    </w:p>
    <w:p>
      <w:pPr>
        <w:ind w:firstLine="420"/>
        <w:spacing w:line="360" w:lineRule="auto"/>
        <w:rPr>
          <w:rFonts w:ascii="Arial" w:hAnsi="Arial" w:cs="Arial"/>
        </w:rPr>
      </w:pPr>
      <w:r>
        <w:rPr>
          <w:rFonts w:hint="eastAsia" w:ascii="Arial" w:hAnsi="Arial" w:cs="Arial"/>
        </w:rPr>
        <w:t xml:space="preserve">3.</w:t>
      </w:r>
      <w:r>
        <w:rPr>
          <w:rFonts w:hint="eastAsia" w:ascii="Arial" w:hAnsi="Arial" w:cs="Arial"/>
        </w:rPr>
        <w:t xml:space="preserve">本项目将根据政府采购法及相关法规，《江苏省政府采购履约验收管理办法》以及《关于进一步加强履约验收管理的通知》文件的规定，对供应商进行履约验收，确认验收合格的，将出具《政府采购履约验收书》。《政府采购履约验收书》、合同是申请支付政府采购合同价款的必备资料。</w:t>
      </w:r>
      <w:r/>
    </w:p>
    <w:p>
      <w:pPr>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七、保修期：</w:t>
      </w:r>
      <w:r>
        <w:rPr>
          <w:rFonts w:hint="eastAsia" w:ascii="Arial" w:hAnsi="Arial" w:cs="Arial"/>
          <w:bCs/>
        </w:rPr>
        <w:t xml:space="preserve">按招标文件、投标文件及承诺。</w:t>
      </w:r>
      <w:r/>
    </w:p>
    <w:p>
      <w:pPr>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八、伴随服务</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乙方应提供所交付货物的全套技术文件资料，包括产品目录、软件备份、图纸、操作手册、使用说明、维护手册和服务指南等。</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乙方还应提供下列服务：货物的现场安装、启动和试运行；提供货物组装和维修所需的工具；在质量保证期内对所交付货物提供运行监督、维修、保养等。</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上述伴随服务的费用应包含在合同价中，不单独进行支付。</w:t>
      </w:r>
      <w:r/>
    </w:p>
    <w:p>
      <w:pPr>
        <w:ind w:firstLine="420"/>
        <w:spacing w:line="360" w:lineRule="auto"/>
        <w:rPr>
          <w:rFonts w:ascii="Arial" w:hAnsi="Arial" w:cs="Arial"/>
        </w:rPr>
      </w:pPr>
      <w:r>
        <w:rPr>
          <w:rFonts w:ascii="Arial" w:hAnsi="Arial" w:cs="Arial"/>
        </w:rPr>
        <w:t xml:space="preserve">4.</w:t>
      </w:r>
      <w:r>
        <w:rPr>
          <w:rFonts w:ascii="Arial" w:hAnsi="Arial" w:cs="Arial"/>
        </w:rPr>
        <w:t xml:space="preserve">货物的包装、储运、安装按国家有关规定执行。</w:t>
      </w:r>
      <w:r/>
    </w:p>
    <w:p>
      <w:pPr>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九、质量保证</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乙方应保证所提供的货物是原制造厂商制造的、经过合法销售渠道取得的、全新的、未使用</w:t>
      </w:r>
      <w:r>
        <w:rPr>
          <w:rFonts w:ascii="Arial" w:hAnsi="Arial" w:cs="Arial"/>
        </w:rPr>
        <w:t xml:space="preserve">过的，并完全符合合同规定的品牌、规格型号、技术性能、配置、质量、数量等要求。</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乙方应保证其提供的货物在正确安装、正常使用和保养条件下，在其使用寿命内具有</w:t>
      </w:r>
      <w:r>
        <w:rPr>
          <w:rFonts w:hint="eastAsia" w:ascii="Arial" w:hAnsi="Arial" w:cs="Arial"/>
        </w:rPr>
        <w:t xml:space="preserve">符合合同约定的、</w:t>
      </w:r>
      <w:r>
        <w:rPr>
          <w:rFonts w:ascii="Arial" w:hAnsi="Arial" w:cs="Arial"/>
        </w:rPr>
        <w:t xml:space="preserve">良好的性能。货物</w:t>
      </w:r>
      <w:r>
        <w:rPr>
          <w:rFonts w:hint="eastAsia" w:ascii="Arial" w:hAnsi="Arial" w:cs="Arial"/>
        </w:rPr>
        <w:t xml:space="preserve">经甲方最终</w:t>
      </w:r>
      <w:r>
        <w:rPr>
          <w:rFonts w:ascii="Arial" w:hAnsi="Arial" w:cs="Arial"/>
        </w:rPr>
        <w:t xml:space="preserve">验收后，在质量保证期内，乙方应对由于设计、工艺或材料的缺陷所发生的任何不足或故障负责，所需费用由乙方承担。</w:t>
      </w:r>
      <w:r/>
    </w:p>
    <w:p>
      <w:pPr>
        <w:ind w:firstLine="420"/>
        <w:spacing w:line="360" w:lineRule="auto"/>
        <w:rPr>
          <w:rFonts w:ascii="Arial" w:hAnsi="Arial" w:cs="Arial"/>
        </w:rPr>
      </w:pPr>
      <w:r>
        <w:rPr>
          <w:rFonts w:ascii="Arial" w:hAnsi="Arial" w:cs="Arial"/>
        </w:rPr>
        <w:t xml:space="preserve">4.</w:t>
      </w:r>
      <w:r>
        <w:rPr>
          <w:rFonts w:ascii="Arial" w:hAnsi="Arial" w:cs="Arial"/>
        </w:rPr>
        <w:t xml:space="preserve">在质量保证期内，如果货物的规格型号、配置、技术性能、原产地及制造厂商以及其他质量技术指标与合同约定不符，或证实货物是有</w:t>
      </w:r>
      <w:r>
        <w:rPr>
          <w:rFonts w:hint="eastAsia" w:ascii="Arial" w:hAnsi="Arial" w:cs="Arial"/>
        </w:rPr>
        <w:t xml:space="preserve">瑕疵或</w:t>
      </w:r>
      <w:r>
        <w:rPr>
          <w:rFonts w:ascii="Arial" w:hAnsi="Arial" w:cs="Arial"/>
        </w:rPr>
        <w:t xml:space="preserve">缺陷的，包括潜在的缺陷或使用不符合要求的材料等，甲方</w:t>
      </w:r>
      <w:r>
        <w:rPr>
          <w:rFonts w:hint="eastAsia" w:ascii="Arial" w:hAnsi="Arial" w:cs="Arial"/>
        </w:rPr>
        <w:t xml:space="preserve">可</w:t>
      </w:r>
      <w:r>
        <w:rPr>
          <w:rFonts w:ascii="Arial" w:hAnsi="Arial" w:cs="Arial"/>
        </w:rPr>
        <w:t xml:space="preserve">以书面形式向乙方提出本保证下的索赔。</w:t>
      </w:r>
      <w:r>
        <w:rPr>
          <w:rFonts w:ascii="Arial" w:hAnsi="Arial" w:cs="Arial"/>
        </w:rPr>
        <w:t xml:space="preserve"> </w:t>
      </w:r>
      <w:r/>
    </w:p>
    <w:p>
      <w:pPr>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hint="eastAsia" w:ascii="Arial" w:hAnsi="Arial" w:cs="Arial"/>
          <w:b/>
        </w:rPr>
        <w:t xml:space="preserve">十、</w:t>
      </w:r>
      <w:r>
        <w:rPr>
          <w:rFonts w:ascii="Arial" w:hAnsi="Arial" w:cs="Arial"/>
          <w:b/>
        </w:rPr>
        <w:t xml:space="preserve">索赔</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甲方有权根据当地国家技术监督局、进出口商品检验局或其他具有法定资格的质检机构出具的检验证书向乙方提出索赔。</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如果乙方对缺陷负有责任而甲方提出索赔，乙方应按照甲方同意的下列一种或多种方式解决索赔事宜：</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w:t>
      </w:r>
      <w:r>
        <w:rPr>
          <w:rFonts w:ascii="Arial" w:hAnsi="Arial" w:cs="Arial"/>
        </w:rPr>
        <w:t xml:space="preserve">1</w:t>
      </w:r>
      <w:r>
        <w:rPr>
          <w:rFonts w:ascii="Arial" w:hAnsi="Arial" w:cs="Arial"/>
        </w:rPr>
        <w:t xml:space="preserve">）乙方同意退货并用合同规定的货币将货款退还给甲方，并承担由此发生的一切损失和费用，包括利息、银行手续费、运费、保险费、检验费、仓储费、装卸费以及为保护退回货物所需的其他必要费用。</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w:t>
      </w:r>
      <w:r>
        <w:rPr>
          <w:rFonts w:ascii="Arial" w:hAnsi="Arial" w:cs="Arial"/>
        </w:rPr>
        <w:t xml:space="preserve">2</w:t>
      </w:r>
      <w:r>
        <w:rPr>
          <w:rFonts w:ascii="Arial" w:hAnsi="Arial" w:cs="Arial"/>
        </w:rPr>
        <w:t xml:space="preserve">）根据货物低劣、损坏程度以及甲方所遭受损失的金额，经双方商定降低货物的价格。</w:t>
      </w:r>
      <w:r/>
    </w:p>
    <w:p>
      <w:pPr>
        <w:ind w:firstLine="420"/>
        <w:spacing w:line="360" w:lineRule="auto"/>
        <w:rPr>
          <w:rFonts w:ascii="Arial" w:hAnsi="Arial" w:cs="Arial"/>
        </w:rPr>
      </w:pPr>
      <w:r>
        <w:rPr>
          <w:rFonts w:ascii="Arial" w:hAnsi="Arial" w:cs="Arial"/>
        </w:rPr>
        <w:t xml:space="preserve">（</w:t>
      </w:r>
      <w:r>
        <w:rPr>
          <w:rFonts w:ascii="Arial" w:hAnsi="Arial" w:cs="Arial"/>
        </w:rPr>
        <w:t xml:space="preserve">3</w:t>
      </w:r>
      <w:r>
        <w:rPr>
          <w:rFonts w:ascii="Arial" w:hAnsi="Arial" w:cs="Arial"/>
        </w:rPr>
        <w:t xml:space="preserve">）用符合合同规定的规格、质量和性能要求的新零件、部件或设备来更换有缺陷的部分或修补缺陷部分，乙方应承担一切费用和风险，并负担甲方蒙受的全部直接损失。乙方应</w:t>
      </w:r>
      <w:r>
        <w:rPr>
          <w:rFonts w:hint="eastAsia" w:ascii="Arial" w:hAnsi="Arial" w:cs="Arial"/>
        </w:rPr>
        <w:t xml:space="preserve">自修补或更换完毕经甲方重新验收合格之日起，重新起算</w:t>
      </w:r>
      <w:r>
        <w:rPr>
          <w:rFonts w:ascii="Arial" w:hAnsi="Arial" w:cs="Arial"/>
        </w:rPr>
        <w:t xml:space="preserve">修补和更换件的质量保证期。</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firstLine="422"/>
        <w:spacing w:line="360" w:lineRule="auto"/>
        <w:rPr>
          <w:rFonts w:ascii="Arial" w:hAnsi="Arial" w:cs="Arial"/>
          <w:b/>
        </w:rPr>
      </w:pPr>
      <w:r>
        <w:rPr>
          <w:rFonts w:ascii="Arial" w:hAnsi="Arial" w:cs="Arial"/>
          <w:b/>
        </w:rPr>
        <w:t xml:space="preserve">十</w:t>
      </w:r>
      <w:r>
        <w:rPr>
          <w:rFonts w:hint="eastAsia" w:ascii="Arial" w:hAnsi="Arial" w:cs="Arial"/>
          <w:b/>
        </w:rPr>
        <w:t xml:space="preserve">一</w:t>
      </w:r>
      <w:r>
        <w:rPr>
          <w:rFonts w:ascii="Arial" w:hAnsi="Arial" w:cs="Arial"/>
          <w:b/>
        </w:rPr>
        <w:t xml:space="preserve">、履约延误</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乙方应按照合同规定的时间、地点交货和提供服务；甲方应按照合同规定的时间、地点接收货物和接受服务。</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如果乙方无正当理由拖延交货，将受到以下制裁：加收误期赔偿费、终止合同；如果甲方无正当理由拖延接收货物和接受服务，应承担相应责任。</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930"/>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十</w:t>
      </w:r>
      <w:r>
        <w:rPr>
          <w:rFonts w:hint="eastAsia" w:ascii="Arial" w:hAnsi="Arial" w:cs="Arial"/>
          <w:b/>
        </w:rPr>
        <w:t xml:space="preserve">二</w:t>
      </w:r>
      <w:r>
        <w:rPr>
          <w:rFonts w:ascii="Arial" w:hAnsi="Arial" w:cs="Arial"/>
          <w:b/>
        </w:rPr>
        <w:t xml:space="preserve">、误期赔偿</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误期赔偿费可从应付货款中扣除。</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收取误期赔偿费不影响甲方采取合同规定的其他补救措施的权利。</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4.</w:t>
      </w:r>
      <w:r>
        <w:rPr>
          <w:rFonts w:ascii="Arial" w:hAnsi="Arial" w:cs="Arial"/>
        </w:rPr>
        <w:t xml:space="preserve">延期交货时间超过十五天或交货不符合合同约定满三次的，视为乙方严重违约，甲方有权立即解除合同，乙方仍需向甲方支付全部误期赔偿费，并赔偿甲方合同总额的</w:t>
      </w:r>
      <w:r>
        <w:rPr>
          <w:rFonts w:ascii="Arial" w:hAnsi="Arial" w:cs="Arial"/>
        </w:rPr>
        <w:t xml:space="preserve">20%</w:t>
      </w:r>
      <w:r>
        <w:rPr>
          <w:rFonts w:ascii="Arial" w:hAnsi="Arial" w:cs="Arial"/>
        </w:rPr>
        <w:t xml:space="preserve">，返还甲方已支付的合同款。</w:t>
      </w:r>
      <w:r/>
    </w:p>
    <w:p>
      <w:pPr>
        <w:ind w:firstLine="420"/>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十</w:t>
      </w:r>
      <w:r>
        <w:rPr>
          <w:rFonts w:hint="eastAsia" w:ascii="Arial" w:hAnsi="Arial" w:cs="Arial"/>
          <w:b/>
        </w:rPr>
        <w:t xml:space="preserve">三</w:t>
      </w:r>
      <w:r>
        <w:rPr>
          <w:rFonts w:ascii="Arial" w:hAnsi="Arial" w:cs="Arial"/>
          <w:b/>
        </w:rPr>
        <w:t xml:space="preserve">、不可抗力</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本条所述的</w:t>
      </w:r>
      <w:r>
        <w:rPr>
          <w:rFonts w:ascii="Arial" w:hAnsi="Arial" w:cs="Arial"/>
        </w:rPr>
        <w:t xml:space="preserve">“</w:t>
      </w:r>
      <w:r>
        <w:rPr>
          <w:rFonts w:ascii="Arial" w:hAnsi="Arial" w:cs="Arial"/>
        </w:rPr>
        <w:t xml:space="preserve">不可抗力</w:t>
      </w:r>
      <w:r>
        <w:rPr>
          <w:rFonts w:ascii="Arial" w:hAnsi="Arial" w:cs="Arial"/>
        </w:rPr>
        <w:t xml:space="preserve">”</w:t>
      </w:r>
      <w:r>
        <w:rPr>
          <w:rFonts w:ascii="Arial" w:hAnsi="Arial" w:cs="Arial"/>
        </w:rPr>
        <w:t xml:space="preserve">系指那些双方无法控制，不可预见的事件，但不包括双方的违约或疏忽。这些事件包括但不限于：战争、严重火灾、洪水、台风、地震以及其它双方商定的事件。</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ascii="Arial" w:hAnsi="Arial" w:cs="Arial"/>
        </w:rPr>
        <w:t xml:space="preserve"> </w:t>
      </w:r>
      <w:r/>
    </w:p>
    <w:p>
      <w:pPr>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十</w:t>
      </w:r>
      <w:r>
        <w:rPr>
          <w:rFonts w:hint="eastAsia" w:ascii="Arial" w:hAnsi="Arial" w:cs="Arial"/>
          <w:b/>
        </w:rPr>
        <w:t xml:space="preserve">四</w:t>
      </w:r>
      <w:r>
        <w:rPr>
          <w:rFonts w:ascii="Arial" w:hAnsi="Arial" w:cs="Arial"/>
          <w:b/>
        </w:rPr>
        <w:t xml:space="preserve">、争端的解决</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甲方和乙方应通过友好协商，解决在执行本合同过程中所发生的或与本合同有关的一切争端。如从协商开始十天内仍不能解决，可向有关合同管理部门提请调解。</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如果调解不成，双方中的任何一方可向人民法院提起诉讼。诉讼由</w:t>
      </w:r>
      <w:r>
        <w:rPr>
          <w:rFonts w:hint="eastAsia" w:ascii="Arial" w:hAnsi="Arial" w:cs="Arial"/>
        </w:rPr>
        <w:t xml:space="preserve">甲方所在</w:t>
      </w:r>
      <w:r>
        <w:rPr>
          <w:rFonts w:ascii="Arial" w:hAnsi="Arial" w:cs="Arial"/>
        </w:rPr>
        <w:t xml:space="preserve">地人民法院管辖。</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诉讼费由败诉方负担。</w:t>
      </w:r>
      <w:r/>
    </w:p>
    <w:p>
      <w:pPr>
        <w:ind w:firstLine="420"/>
        <w:spacing w:line="360" w:lineRule="auto"/>
        <w:rPr>
          <w:rFonts w:ascii="Arial" w:hAnsi="Arial" w:cs="Arial"/>
        </w:rPr>
      </w:pPr>
      <w:r>
        <w:rPr>
          <w:rFonts w:ascii="Arial" w:hAnsi="Arial" w:cs="Arial"/>
        </w:rPr>
        <w:t xml:space="preserve">4.</w:t>
      </w:r>
      <w:r>
        <w:rPr>
          <w:rFonts w:ascii="Arial" w:hAnsi="Arial" w:cs="Arial"/>
        </w:rPr>
        <w:t xml:space="preserve">因合同部分履行引发诉讼的，在诉讼期间，除正在进行诉讼的部分外，本合同的其它部分应继续执行。</w:t>
      </w:r>
      <w:r>
        <w:rPr>
          <w:rFonts w:ascii="Arial" w:hAnsi="Arial" w:cs="Arial"/>
        </w:rPr>
        <w:t xml:space="preserve"> </w:t>
      </w:r>
      <w:r/>
    </w:p>
    <w:p>
      <w:pPr>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十</w:t>
      </w:r>
      <w:r>
        <w:rPr>
          <w:rFonts w:hint="eastAsia" w:ascii="Arial" w:hAnsi="Arial" w:cs="Arial"/>
          <w:b/>
        </w:rPr>
        <w:t xml:space="preserve">五</w:t>
      </w:r>
      <w:r>
        <w:rPr>
          <w:rFonts w:ascii="Arial" w:hAnsi="Arial" w:cs="Arial"/>
          <w:b/>
        </w:rPr>
        <w:t xml:space="preserve">、违约终止合同</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在甲方因乙方违约而按合同约定采取的任何补救措施不受影响的情况下，甲方可在下列情况下向乙方发出书面通知，提出终止部分或全部合同。</w:t>
      </w:r>
      <w:r>
        <w:rPr>
          <w:rFonts w:ascii="Arial" w:hAnsi="Arial" w:cs="Arial"/>
        </w:rPr>
        <w:t xml:space="preserve"> </w:t>
      </w:r>
      <w:r/>
    </w:p>
    <w:p>
      <w:pPr>
        <w:ind w:firstLine="200"/>
        <w:spacing w:line="360" w:lineRule="auto"/>
        <w:rPr>
          <w:rFonts w:ascii="Arial" w:hAnsi="Arial" w:cs="Arial"/>
        </w:rPr>
      </w:pPr>
      <w:r>
        <w:rPr>
          <w:rFonts w:ascii="Arial" w:hAnsi="Arial" w:cs="Arial"/>
        </w:rPr>
        <w:t xml:space="preserve">（</w:t>
      </w:r>
      <w:r>
        <w:rPr>
          <w:rFonts w:ascii="Arial" w:hAnsi="Arial" w:cs="Arial"/>
        </w:rPr>
        <w:t xml:space="preserve">1</w:t>
      </w:r>
      <w:r>
        <w:rPr>
          <w:rFonts w:ascii="Arial" w:hAnsi="Arial" w:cs="Arial"/>
        </w:rPr>
        <w:t xml:space="preserve">）如果乙方未能在合同规定的限期或甲方同意延长的限期内提供部分或全部货物和服务。</w:t>
      </w:r>
      <w:r/>
    </w:p>
    <w:p>
      <w:pPr>
        <w:ind w:firstLine="200"/>
        <w:spacing w:line="360" w:lineRule="auto"/>
        <w:rPr>
          <w:rFonts w:ascii="Arial" w:hAnsi="Arial" w:cs="Arial"/>
        </w:rPr>
      </w:pPr>
      <w:r>
        <w:rPr>
          <w:rFonts w:ascii="Arial" w:hAnsi="Arial" w:cs="Arial"/>
        </w:rPr>
        <w:t xml:space="preserve">（</w:t>
      </w:r>
      <w:r>
        <w:rPr>
          <w:rFonts w:ascii="Arial" w:hAnsi="Arial" w:cs="Arial"/>
        </w:rPr>
        <w:t xml:space="preserve">2</w:t>
      </w:r>
      <w:r>
        <w:rPr>
          <w:rFonts w:ascii="Arial" w:hAnsi="Arial" w:cs="Arial"/>
        </w:rPr>
        <w:t xml:space="preserve">）如果乙方未能履行合同规定的其它任何义务。</w:t>
      </w:r>
      <w:r>
        <w:rPr>
          <w:rFonts w:ascii="Arial" w:hAnsi="Arial" w:cs="Arial"/>
        </w:rPr>
        <w:t xml:space="preserve"> </w:t>
      </w:r>
      <w:r/>
    </w:p>
    <w:p>
      <w:pPr>
        <w:ind w:firstLine="200"/>
        <w:spacing w:line="360" w:lineRule="auto"/>
        <w:rPr>
          <w:rFonts w:ascii="Arial" w:hAnsi="Arial" w:cs="Arial"/>
        </w:rPr>
      </w:pPr>
      <w:r>
        <w:rPr>
          <w:rFonts w:ascii="Arial" w:hAnsi="Arial" w:cs="Arial"/>
        </w:rPr>
        <w:t xml:space="preserve">（</w:t>
      </w:r>
      <w:r>
        <w:rPr>
          <w:rFonts w:ascii="Arial" w:hAnsi="Arial" w:cs="Arial"/>
        </w:rPr>
        <w:t xml:space="preserve">3</w:t>
      </w:r>
      <w:r>
        <w:rPr>
          <w:rFonts w:ascii="Arial" w:hAnsi="Arial" w:cs="Arial"/>
        </w:rPr>
        <w:t xml:space="preserve">）如果乙方在本合同的竞争或实施中有腐败和欺诈行为。为此，定义如下：</w:t>
      </w:r>
      <w:r>
        <w:rPr>
          <w:rFonts w:ascii="Arial" w:hAnsi="Arial" w:cs="Arial"/>
        </w:rPr>
        <w:t xml:space="preserve">“</w:t>
      </w:r>
      <w:r>
        <w:rPr>
          <w:rFonts w:ascii="Arial" w:hAnsi="Arial" w:cs="Arial"/>
        </w:rPr>
        <w:t xml:space="preserve">腐败行为</w:t>
      </w:r>
      <w:r>
        <w:rPr>
          <w:rFonts w:ascii="Arial" w:hAnsi="Arial" w:cs="Arial"/>
        </w:rPr>
        <w:t xml:space="preserve">”</w:t>
      </w:r>
      <w:r>
        <w:rPr>
          <w:rFonts w:ascii="Arial" w:hAnsi="Arial" w:cs="Arial"/>
        </w:rPr>
        <w:t xml:space="preserve">是指提供、给予、接受或索取任何有价值的东西来影响采购人员在采购过程或合同实施过程中的行为；</w:t>
      </w:r>
      <w:r>
        <w:rPr>
          <w:rFonts w:ascii="Arial" w:hAnsi="Arial" w:cs="Arial"/>
        </w:rPr>
        <w:t xml:space="preserve">“</w:t>
      </w:r>
      <w:r>
        <w:rPr>
          <w:rFonts w:ascii="Arial" w:hAnsi="Arial" w:cs="Arial"/>
        </w:rPr>
        <w:t xml:space="preserve">欺诈行为</w:t>
      </w:r>
      <w:r>
        <w:rPr>
          <w:rFonts w:ascii="Arial" w:hAnsi="Arial" w:cs="Arial"/>
        </w:rPr>
        <w:t xml:space="preserve">”</w:t>
      </w:r>
      <w:r>
        <w:rPr>
          <w:rFonts w:ascii="Arial" w:hAnsi="Arial" w:cs="Arial"/>
        </w:rPr>
        <w:t xml:space="preserve">是指为了影响采购过程或合同实施过程而谎报事实，损害甲方的利益，包括供货单位之间串通，人为地使供货活动丧失竞争性，损害甲方所能获得的权益。</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如果甲方根据以上的规定，终止了全部或部分合同，甲方可以依其认为适当的条件和方法购买与未交货物类似的货物，乙方应对购买类似货物所超出的那部分费用负责。并且，乙方应继续履行合同中未终止的部分。</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如果甲方违约，应承担相应的违约责任。</w:t>
      </w:r>
      <w:r>
        <w:rPr>
          <w:rFonts w:ascii="Arial" w:hAnsi="Arial" w:cs="Arial"/>
        </w:rPr>
        <w:t xml:space="preserve"> </w:t>
      </w:r>
      <w:r/>
    </w:p>
    <w:p>
      <w:pPr>
        <w:ind w:firstLine="420"/>
        <w:spacing w:line="360" w:lineRule="auto"/>
        <w:rPr>
          <w:rFonts w:ascii="Arial" w:hAnsi="Arial" w:cs="Arial"/>
        </w:rPr>
      </w:pPr>
      <w:r>
        <w:rPr>
          <w:rFonts w:ascii="Arial" w:hAnsi="Arial" w:cs="Arial"/>
        </w:rPr>
      </w:r>
      <w:r/>
    </w:p>
    <w:p>
      <w:pPr>
        <w:ind w:firstLine="422"/>
        <w:spacing w:line="360" w:lineRule="auto"/>
        <w:rPr>
          <w:rFonts w:ascii="Arial" w:hAnsi="Arial" w:cs="Arial"/>
        </w:rPr>
      </w:pPr>
      <w:r>
        <w:rPr>
          <w:rFonts w:ascii="Arial" w:hAnsi="Arial" w:cs="Arial"/>
          <w:b/>
        </w:rPr>
        <w:t xml:space="preserve">十</w:t>
      </w:r>
      <w:r>
        <w:rPr>
          <w:rFonts w:hint="eastAsia" w:ascii="Arial" w:hAnsi="Arial" w:cs="Arial"/>
          <w:b/>
        </w:rPr>
        <w:t xml:space="preserve">六</w:t>
      </w:r>
      <w:r>
        <w:rPr>
          <w:rFonts w:ascii="Arial" w:hAnsi="Arial" w:cs="Arial"/>
          <w:b/>
        </w:rPr>
        <w:t xml:space="preserve">、破产终止合同：</w:t>
      </w:r>
      <w:r>
        <w:rPr>
          <w:rFonts w:ascii="Arial" w:hAnsi="Arial" w:cs="Arial"/>
        </w:rPr>
        <w:t xml:space="preserve">如果乙方破产或丧失清偿能力，甲方可在任何时候以书面形式通知乙方终止合同而不给乙方补偿。该终止合同将不损害或影响甲方已经采取或将要采取任何补救措施的权力。</w:t>
      </w:r>
      <w:r>
        <w:rPr>
          <w:rFonts w:ascii="Arial" w:hAnsi="Arial" w:cs="Arial"/>
        </w:rPr>
        <w:t xml:space="preserve"> </w:t>
      </w:r>
      <w:r/>
    </w:p>
    <w:p>
      <w:pPr>
        <w:ind w:firstLine="420"/>
        <w:spacing w:line="360" w:lineRule="auto"/>
        <w:rPr>
          <w:rFonts w:ascii="Arial" w:hAnsi="Arial" w:cs="Arial"/>
        </w:rPr>
      </w:pPr>
      <w:r>
        <w:rPr>
          <w:rFonts w:ascii="Arial" w:hAnsi="Arial" w:cs="Arial"/>
        </w:rPr>
      </w:r>
      <w:r/>
    </w:p>
    <w:p>
      <w:pPr>
        <w:ind w:firstLine="420"/>
        <w:spacing w:line="360" w:lineRule="auto"/>
        <w:rPr>
          <w:rFonts w:ascii="Arial" w:hAnsi="Arial" w:cs="Arial"/>
        </w:rPr>
      </w:pPr>
      <w:r>
        <w:rPr>
          <w:rFonts w:ascii="Arial" w:hAnsi="Arial" w:cs="Arial"/>
          <w:b/>
        </w:rPr>
        <w:t xml:space="preserve">十</w:t>
      </w:r>
      <w:r>
        <w:rPr>
          <w:rFonts w:hint="eastAsia" w:ascii="Arial" w:hAnsi="Arial" w:cs="Arial"/>
          <w:b/>
        </w:rPr>
        <w:t xml:space="preserve">七</w:t>
      </w:r>
      <w:r>
        <w:rPr>
          <w:rFonts w:ascii="Arial" w:hAnsi="Arial" w:cs="Arial"/>
          <w:b/>
        </w:rPr>
        <w:t xml:space="preserve">、政府采购法对政府采购合同变更终止的规定：</w:t>
      </w:r>
      <w:r>
        <w:rPr>
          <w:rFonts w:ascii="Arial" w:hAnsi="Arial" w:cs="Arial"/>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ascii="Arial" w:hAnsi="Arial" w:cs="Arial"/>
        </w:rPr>
        <w:t xml:space="preserve"> </w:t>
      </w:r>
      <w:r/>
    </w:p>
    <w:p>
      <w:pPr>
        <w:ind w:firstLine="422"/>
        <w:spacing w:line="360" w:lineRule="auto"/>
        <w:rPr>
          <w:rFonts w:ascii="Arial" w:hAnsi="Arial" w:cs="Arial"/>
          <w:b/>
        </w:rPr>
      </w:pPr>
      <w:r>
        <w:rPr>
          <w:rFonts w:ascii="Arial" w:hAnsi="Arial" w:cs="Arial"/>
          <w:b/>
        </w:rPr>
      </w:r>
      <w:r/>
    </w:p>
    <w:p>
      <w:pPr>
        <w:ind w:firstLine="422"/>
        <w:spacing w:line="360" w:lineRule="auto"/>
        <w:rPr>
          <w:rFonts w:ascii="Arial" w:hAnsi="Arial" w:cs="Arial"/>
        </w:rPr>
      </w:pPr>
      <w:r>
        <w:rPr>
          <w:rFonts w:ascii="Arial" w:hAnsi="Arial" w:cs="Arial"/>
          <w:b/>
        </w:rPr>
        <w:t xml:space="preserve">十</w:t>
      </w:r>
      <w:r>
        <w:rPr>
          <w:rFonts w:hint="eastAsia" w:ascii="Arial" w:hAnsi="Arial" w:cs="Arial"/>
          <w:b/>
        </w:rPr>
        <w:t xml:space="preserve">八</w:t>
      </w:r>
      <w:r>
        <w:rPr>
          <w:rFonts w:ascii="Arial" w:hAnsi="Arial" w:cs="Arial"/>
          <w:b/>
        </w:rPr>
        <w:t xml:space="preserve">、合同转让和分包：</w:t>
      </w:r>
      <w:r>
        <w:rPr>
          <w:rFonts w:ascii="Arial" w:hAnsi="Arial" w:cs="Arial"/>
        </w:rPr>
        <w:t xml:space="preserve">本项目不得转包、分包。</w:t>
      </w:r>
      <w:r/>
    </w:p>
    <w:p>
      <w:pPr>
        <w:ind w:firstLine="422"/>
        <w:spacing w:line="360" w:lineRule="auto"/>
        <w:rPr>
          <w:rFonts w:ascii="Arial" w:hAnsi="Arial" w:cs="Arial"/>
          <w:b/>
        </w:rPr>
      </w:pPr>
      <w:r>
        <w:rPr>
          <w:rFonts w:ascii="Arial" w:hAnsi="Arial" w:cs="Arial"/>
          <w:b/>
        </w:rPr>
      </w:r>
      <w:r/>
    </w:p>
    <w:p>
      <w:pPr>
        <w:ind w:firstLine="422"/>
        <w:spacing w:line="360" w:lineRule="auto"/>
        <w:rPr>
          <w:rFonts w:ascii="Arial" w:hAnsi="Arial" w:cs="Arial"/>
        </w:rPr>
      </w:pPr>
      <w:r>
        <w:rPr>
          <w:rFonts w:hint="eastAsia" w:ascii="Arial" w:hAnsi="Arial" w:cs="Arial"/>
          <w:b/>
        </w:rPr>
        <w:t xml:space="preserve">十九</w:t>
      </w:r>
      <w:r>
        <w:rPr>
          <w:rFonts w:ascii="Arial" w:hAnsi="Arial" w:cs="Arial"/>
          <w:b/>
        </w:rPr>
        <w:t xml:space="preserve">、需要补充的合同条款：</w:t>
      </w:r>
      <w:r>
        <w:rPr>
          <w:rFonts w:ascii="Arial" w:hAnsi="Arial" w:cs="Arial"/>
        </w:rPr>
        <w:t xml:space="preserve">（根据评标过程中或者商务谈判时商定的条款和条件在订立合同</w:t>
      </w:r>
      <w:r>
        <w:rPr>
          <w:rFonts w:ascii="Arial" w:hAnsi="Arial" w:cs="Arial"/>
        </w:rPr>
        <w:t xml:space="preserve">时标明）。</w:t>
      </w:r>
      <w:r/>
    </w:p>
    <w:p>
      <w:pPr>
        <w:ind w:firstLine="422"/>
        <w:spacing w:line="360" w:lineRule="auto"/>
        <w:rPr>
          <w:rFonts w:ascii="Arial" w:hAnsi="Arial" w:cs="Arial"/>
        </w:rPr>
      </w:pPr>
      <w:r>
        <w:rPr>
          <w:rFonts w:ascii="Arial" w:hAnsi="Arial" w:cs="Arial"/>
          <w:b/>
        </w:rPr>
        <w:t xml:space="preserve">二十、合同生效</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双方签约人为各自法定代表人或被授权代表。</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本合同系指本文件及其附件中的所有部分，招标文件、中标的投标文件、中标通知书、中标人在招标过程中的澄清和承诺等为本合同不可缺少的组成部分。</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本合同自甲乙双方签字盖章之日起生效。</w:t>
      </w:r>
      <w:r/>
    </w:p>
    <w:p>
      <w:pPr>
        <w:ind w:firstLine="420"/>
        <w:spacing w:line="360" w:lineRule="auto"/>
        <w:rPr>
          <w:rFonts w:ascii="Arial" w:hAnsi="Arial" w:cs="Arial"/>
          <w:szCs w:val="21"/>
        </w:rPr>
      </w:pPr>
      <w:r>
        <w:rPr>
          <w:rFonts w:ascii="Arial" w:hAnsi="Arial" w:cs="Arial"/>
          <w:szCs w:val="21"/>
        </w:rPr>
        <w:t xml:space="preserve">4.</w:t>
      </w:r>
      <w:r>
        <w:rPr>
          <w:rFonts w:ascii="Arial" w:hAnsi="Arial" w:cs="Arial"/>
          <w:szCs w:val="21"/>
        </w:rPr>
        <w:t xml:space="preserve">本合同壹式</w:t>
      </w:r>
      <w:r>
        <w:rPr>
          <w:rFonts w:hint="eastAsia" w:ascii="Arial" w:hAnsi="Arial" w:cs="Arial"/>
          <w:b/>
          <w:szCs w:val="21"/>
        </w:rPr>
        <w:t xml:space="preserve">叁</w:t>
      </w:r>
      <w:r>
        <w:rPr>
          <w:rFonts w:ascii="Arial" w:hAnsi="Arial" w:cs="Arial"/>
          <w:szCs w:val="21"/>
        </w:rPr>
        <w:t xml:space="preserve">份，甲乙双方各执</w:t>
      </w:r>
      <w:r>
        <w:rPr>
          <w:rFonts w:hint="eastAsia" w:ascii="Arial" w:hAnsi="Arial" w:cs="Arial"/>
          <w:b/>
          <w:szCs w:val="21"/>
        </w:rPr>
        <w:t xml:space="preserve">壹</w:t>
      </w:r>
      <w:r>
        <w:rPr>
          <w:rFonts w:ascii="Arial" w:hAnsi="Arial" w:cs="Arial"/>
          <w:szCs w:val="21"/>
        </w:rPr>
        <w:t xml:space="preserve">份，</w:t>
      </w:r>
      <w:r>
        <w:rPr>
          <w:rFonts w:hint="eastAsia" w:ascii="Arial" w:hAnsi="Arial" w:cs="Arial"/>
          <w:szCs w:val="21"/>
        </w:rPr>
        <w:t xml:space="preserve">招标代理机构壹份，</w:t>
      </w:r>
      <w:r>
        <w:rPr>
          <w:rFonts w:ascii="Arial" w:hAnsi="Arial" w:cs="Arial"/>
          <w:szCs w:val="21"/>
        </w:rPr>
        <w:t xml:space="preserve">各份具有同等法律效力。</w:t>
      </w:r>
      <w:r/>
    </w:p>
    <w:p>
      <w:pPr>
        <w:ind w:firstLine="420"/>
        <w:spacing w:line="360" w:lineRule="auto"/>
        <w:rPr>
          <w:rFonts w:ascii="Arial" w:hAnsi="Arial" w:cs="Arial"/>
        </w:rPr>
      </w:pPr>
      <w:r>
        <w:rPr>
          <w:rFonts w:ascii="Arial" w:hAnsi="Arial" w:cs="Arial"/>
        </w:rPr>
        <w:t xml:space="preserve">5.</w:t>
      </w:r>
      <w:r>
        <w:rPr>
          <w:rFonts w:ascii="Arial" w:hAnsi="Arial" w:cs="Arial"/>
        </w:rPr>
        <w:t xml:space="preserve">本合同应按照中华人民共和国的现行法律进行解释。</w:t>
      </w:r>
      <w:r/>
    </w:p>
    <w:p>
      <w:pPr>
        <w:ind w:firstLine="420"/>
        <w:jc w:val="left"/>
        <w:spacing w:line="400" w:lineRule="exact"/>
        <w:rPr>
          <w:rFonts w:ascii="华文楷体" w:hAnsi="华文楷体" w:eastAsia="华文楷体" w:cs="华文楷体"/>
          <w:sz w:val="22"/>
          <w:szCs w:val="21"/>
        </w:rPr>
      </w:pPr>
      <w:r>
        <w:rPr>
          <w:rFonts w:ascii="Arial" w:hAnsi="Arial" w:cs="Arial"/>
        </w:rPr>
        <w:t xml:space="preserve">6.</w:t>
      </w:r>
      <w:r>
        <w:rPr>
          <w:rFonts w:ascii="Arial" w:hAnsi="Arial" w:cs="Arial"/>
        </w:rPr>
        <w:t xml:space="preserve">合同修改：除甲乙双方签署书面修改、补充协议，并成为本合同不可分割的一部分之外，本合同条件不得有任何变化或修改</w:t>
      </w:r>
      <w:r>
        <w:rPr>
          <w:rFonts w:hint="eastAsia" w:ascii="宋体" w:hAnsi="宋体"/>
          <w:szCs w:val="21"/>
        </w:rPr>
        <w:t xml:space="preserve">。</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甲方（签章）：                              乙方（签章）： </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甲方法定(授权)代表人签字：                  乙方法定(授权)代表人签字：   </w:t>
      </w:r>
      <w:r/>
    </w:p>
    <w:p>
      <w:pPr>
        <w:spacing w:line="520" w:lineRule="exact"/>
        <w:rPr>
          <w:spacing w:val="-5"/>
          <w:szCs w:val="21"/>
        </w:rPr>
      </w:pPr>
      <w:r>
        <w:rPr>
          <w:spacing w:val="-5"/>
          <w:szCs w:val="21"/>
        </w:rPr>
      </w:r>
      <w:r/>
    </w:p>
    <w:p>
      <w:pPr>
        <w:spacing w:line="520" w:lineRule="exact"/>
        <w:rPr>
          <w:rFonts w:ascii="宋体" w:hAnsi="宋体" w:cs="宋体"/>
          <w:szCs w:val="21"/>
        </w:rPr>
      </w:pPr>
      <w:r>
        <w:rPr>
          <w:rFonts w:hint="eastAsia" w:ascii="宋体" w:hAnsi="宋体" w:cs="宋体"/>
          <w:szCs w:val="21"/>
        </w:rPr>
        <w:t xml:space="preserve">签约日期：   年   月    日                  签约日期：   年   月    日</w:t>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r/>
    </w:p>
    <w:p>
      <w:r/>
      <w:r/>
    </w:p>
    <w:p>
      <w:pPr>
        <w:pStyle w:val="940"/>
        <w:ind w:firstLine="640"/>
        <w:jc w:val="center"/>
        <w:pageBreakBefore/>
        <w:spacing w:line="360" w:lineRule="auto"/>
        <w:tabs>
          <w:tab w:val="right" w:pos="8302" w:leader="dot"/>
        </w:tabs>
        <w:rPr>
          <w:rFonts w:ascii="宋体" w:hAnsi="宋体" w:eastAsia="宋体" w:cs="宋体"/>
          <w:b/>
          <w:sz w:val="32"/>
          <w:szCs w:val="32"/>
        </w:rPr>
      </w:pPr>
      <w:r>
        <w:rPr>
          <w:rStyle w:val="948"/>
          <w:rFonts w:hint="eastAsia" w:ascii="宋体" w:hAnsi="宋体" w:cs="宋体"/>
          <w:sz w:val="32"/>
          <w:szCs w:val="32"/>
        </w:rPr>
        <w:t xml:space="preserve">第七章  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szCs w:val="21"/>
        </w:rPr>
      </w:pPr>
      <w:r>
        <w:rPr>
          <w:rFonts w:hint="eastAsia" w:ascii="宋体" w:hAnsi="宋体" w:cs="宋体"/>
          <w:szCs w:val="21"/>
        </w:rPr>
        <w:t xml:space="preserve">2．评标委员会各成员独立对每个进入打分程序的有效投标单位的标书技术和资质部分以打分的形式进行评审和评价。 </w:t>
      </w:r>
      <w:r/>
    </w:p>
    <w:p>
      <w:pPr>
        <w:ind w:firstLine="422"/>
        <w:spacing w:line="360" w:lineRule="auto"/>
        <w:rPr>
          <w:rFonts w:ascii="宋体" w:hAnsi="宋体" w:cs="宋体"/>
          <w:szCs w:val="21"/>
        </w:rPr>
      </w:pPr>
      <w:r>
        <w:rPr>
          <w:rFonts w:hint="eastAsia" w:ascii="宋体" w:hAnsi="宋体" w:cs="宋体"/>
          <w:szCs w:val="21"/>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rPr>
          <w:rFonts w:ascii="宋体" w:hAnsi="宋体" w:cs="宋体"/>
          <w:szCs w:val="21"/>
        </w:rPr>
      </w:pPr>
      <w:r>
        <w:rPr>
          <w:rFonts w:hint="eastAsia" w:ascii="宋体" w:hAnsi="宋体" w:cs="宋体"/>
          <w:szCs w:val="21"/>
        </w:rPr>
        <w:t xml:space="preserve">4．如出现评标总得分最高的投标单位有两个或两个以上的，以实际投标报价较低者优先作为中标单位，如果实际投标报价也相同的，则由评标委员会以抽签方式确定中标单位。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tabs>
          <w:tab w:val="left" w:pos="567" w:leader="none"/>
        </w:tabs>
        <w:rPr>
          <w:rFonts w:ascii="宋体" w:hAnsi="宋体"/>
          <w:b/>
        </w:rPr>
      </w:pPr>
      <w:r>
        <w:rPr>
          <w:rFonts w:hint="eastAsia" w:ascii="宋体" w:hAnsi="宋体" w:cs="宋体"/>
          <w:szCs w:val="21"/>
        </w:rPr>
        <w:t xml:space="preserve">5.</w:t>
      </w:r>
      <w:r>
        <w:rPr>
          <w:rFonts w:hint="eastAsia" w:ascii="宋体" w:hAnsi="宋体" w:cs="宋体"/>
          <w:b/>
          <w:bCs/>
          <w:szCs w:val="21"/>
        </w:rPr>
        <w:t xml:space="preserve">本项目核心产品为近红外脑功能成像仪。</w:t>
      </w:r>
      <w:r>
        <w:rPr>
          <w:rFonts w:hint="eastAsia" w:ascii="宋体" w:hAnsi="宋体"/>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rPr>
        <w:t xml:space="preserve">非单一产品采购项目，多家投标人提供的核心产品品牌相同的，按照此规定处理。</w:t>
      </w:r>
      <w:r/>
    </w:p>
    <w:p>
      <w:pPr>
        <w:ind w:firstLine="420"/>
        <w:spacing w:line="360" w:lineRule="auto"/>
        <w:tabs>
          <w:tab w:val="left" w:pos="567" w:leader="none"/>
        </w:tabs>
        <w:rPr>
          <w:rFonts w:ascii="宋体" w:hAnsi="宋体" w:cs="宋体"/>
          <w:b/>
          <w:bCs/>
        </w:rPr>
      </w:pPr>
      <w:r>
        <w:rPr>
          <w:rFonts w:hint="eastAsia" w:ascii="宋体" w:hAnsi="宋体"/>
          <w:b/>
        </w:rPr>
        <w:t xml:space="preserve">6.</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ind w:firstLine="420"/>
        <w:spacing w:line="360" w:lineRule="auto"/>
        <w:tabs>
          <w:tab w:val="left" w:pos="567" w:leader="none"/>
        </w:tabs>
        <w:rPr>
          <w:rFonts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ind w:firstLine="420"/>
        <w:spacing w:line="360" w:lineRule="auto"/>
        <w:tabs>
          <w:tab w:val="left" w:pos="567" w:leader="none"/>
        </w:tabs>
        <w:rPr>
          <w:rFonts w:ascii="宋体" w:hAnsi="宋体" w:cs="宋体"/>
        </w:rPr>
      </w:pPr>
      <w:r>
        <w:rPr>
          <w:rFonts w:hint="eastAsia" w:ascii="宋体" w:hAnsi="宋体" w:cs="宋体"/>
        </w:rPr>
        <w:t xml:space="preserve">3.投标（响应）报价低于采购项目最高限价45%的，即投标（响应）报价&lt;采购项目最高限价×45%；</w:t>
      </w:r>
      <w:r/>
    </w:p>
    <w:p>
      <w:pPr>
        <w:ind w:firstLine="420"/>
        <w:spacing w:line="360" w:lineRule="auto"/>
        <w:tabs>
          <w:tab w:val="left" w:pos="567" w:leader="none"/>
        </w:tabs>
        <w:rPr>
          <w:rFonts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w:t>
      </w:r>
      <w:r>
        <w:rPr>
          <w:rFonts w:hint="eastAsia" w:ascii="宋体" w:hAnsi="宋体" w:cs="宋体"/>
        </w:rPr>
        <w:t xml:space="preserve">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b/>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b/>
        </w:rPr>
      </w:pPr>
      <w:r>
        <w:rPr>
          <w:rFonts w:hint="eastAsia" w:ascii="宋体" w:hAnsi="宋体" w:cs="宋体"/>
          <w:b/>
          <w:szCs w:val="21"/>
          <w:lang w:val="zh-CN"/>
        </w:rPr>
        <w:t xml:space="preserve">二、评分标准：</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（一）价格分：最高为30分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第一步：投标总报价低于或等于采购预算价格的，为有效投标报价。超采购预算的投标报价为无效投标报价。无效投标报价的投标文件不得中标。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用扣除后的价格参与评审，如扣除后的价格为最低价的，则作为评标基准价，成交金额则以实际投标报价为准），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投标报价得分=（评标基准价/投标报价）*价格权值*100，小数点后保留两位（价格权值为30%）</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（二）投标设备的技术与质量（</w:t>
      </w:r>
      <w:r>
        <w:rPr>
          <w:rFonts w:hint="eastAsia" w:ascii="宋体" w:hAnsi="宋体" w:cs="宋体"/>
          <w:b/>
          <w:bCs/>
          <w:szCs w:val="21"/>
        </w:rPr>
        <w:t xml:space="preserve">37</w:t>
      </w:r>
      <w:r>
        <w:rPr>
          <w:rFonts w:hint="eastAsia" w:ascii="宋体" w:hAnsi="宋体" w:cs="宋体"/>
          <w:b/>
          <w:bCs/>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1、技术参数符合性情况（</w:t>
      </w:r>
      <w:r>
        <w:rPr>
          <w:rFonts w:hint="eastAsia" w:ascii="宋体" w:hAnsi="宋体" w:cs="宋体"/>
          <w:szCs w:val="21"/>
        </w:rPr>
        <w:t xml:space="preserve">37</w:t>
      </w:r>
      <w:r>
        <w:rPr>
          <w:rFonts w:hint="eastAsia" w:ascii="宋体" w:hAnsi="宋体" w:cs="宋体"/>
          <w:szCs w:val="21"/>
          <w:lang w:val="zh-CN"/>
        </w:rPr>
        <w:t xml:space="preserve">分）：所投</w:t>
      </w:r>
      <w:r>
        <w:rPr>
          <w:rFonts w:hint="eastAsia" w:ascii="宋体" w:hAnsi="宋体" w:cs="宋体"/>
          <w:szCs w:val="21"/>
        </w:rPr>
        <w:t xml:space="preserve">产品</w:t>
      </w:r>
      <w:r>
        <w:rPr>
          <w:rFonts w:hint="eastAsia" w:ascii="宋体" w:hAnsi="宋体" w:cs="宋体"/>
          <w:szCs w:val="21"/>
          <w:lang w:val="zh-CN"/>
        </w:rPr>
        <w:t xml:space="preserve">的技术参数满足或高于招标文件要求的得</w:t>
      </w:r>
      <w:r>
        <w:rPr>
          <w:rFonts w:hint="eastAsia" w:ascii="宋体" w:hAnsi="宋体" w:cs="宋体"/>
          <w:szCs w:val="21"/>
        </w:rPr>
        <w:t xml:space="preserve">37</w:t>
      </w:r>
      <w:r>
        <w:rPr>
          <w:rFonts w:hint="eastAsia" w:ascii="宋体" w:hAnsi="宋体" w:cs="宋体"/>
          <w:szCs w:val="21"/>
          <w:lang w:val="zh-CN"/>
        </w:rPr>
        <w:t xml:space="preserve">分；标 “▲” 重要技术条款出现一项负偏离扣</w:t>
      </w:r>
      <w:r>
        <w:rPr>
          <w:rFonts w:hint="eastAsia" w:ascii="宋体" w:hAnsi="宋体" w:cs="宋体"/>
          <w:szCs w:val="21"/>
        </w:rPr>
        <w:t xml:space="preserve">1.5</w:t>
      </w:r>
      <w:r>
        <w:rPr>
          <w:rFonts w:hint="eastAsia" w:ascii="宋体" w:hAnsi="宋体" w:cs="宋体"/>
          <w:szCs w:val="21"/>
          <w:lang w:val="zh-CN"/>
        </w:rPr>
        <w:t xml:space="preserve">分；其余普通技术条款出现一项负偏离扣</w:t>
      </w:r>
      <w:r>
        <w:rPr>
          <w:rFonts w:hint="eastAsia" w:ascii="宋体" w:hAnsi="宋体" w:cs="宋体"/>
          <w:szCs w:val="21"/>
        </w:rPr>
        <w:t xml:space="preserve">0.1</w:t>
      </w:r>
      <w:r>
        <w:rPr>
          <w:rFonts w:hint="eastAsia" w:ascii="宋体" w:hAnsi="宋体" w:cs="宋体"/>
          <w:szCs w:val="21"/>
          <w:lang w:val="zh-CN"/>
        </w:rPr>
        <w:t xml:space="preserve">分，本项分值扣至 0 分为止</w:t>
      </w:r>
      <w:r>
        <w:rPr>
          <w:rFonts w:hint="eastAsia" w:ascii="宋体" w:hAnsi="宋体" w:cs="宋体"/>
          <w:szCs w:val="21"/>
        </w:rPr>
        <w:t xml:space="preserve">。</w:t>
      </w:r>
      <w:r>
        <w:rPr>
          <w:rFonts w:hint="eastAsia" w:ascii="宋体" w:hAnsi="宋体" w:cs="宋体"/>
          <w:szCs w:val="21"/>
          <w:lang w:val="zh-CN"/>
        </w:rPr>
        <w:t xml:space="preserve">标</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szCs w:val="21"/>
        </w:rPr>
        <w:t xml:space="preserve">项参数</w:t>
      </w:r>
      <w:r>
        <w:rPr>
          <w:rFonts w:hint="eastAsia" w:ascii="宋体" w:hAnsi="宋体" w:cs="宋体"/>
          <w:szCs w:val="21"/>
          <w:lang w:val="zh-CN"/>
        </w:rPr>
        <w:t xml:space="preserve">各投标人</w:t>
      </w:r>
      <w:r>
        <w:rPr>
          <w:rFonts w:hint="eastAsia" w:ascii="宋体" w:hAnsi="宋体" w:cs="宋体"/>
          <w:szCs w:val="21"/>
        </w:rPr>
        <w:t xml:space="preserve">需按招标文件要求提供对应佐证资料，招标文件未作要求的，投标人可提供包括但不限于公开发行的产品彩页、产品说明书或具有CMA资质的第三方检测机构出具的检测报告等有效证明材料</w:t>
      </w:r>
      <w:r>
        <w:rPr>
          <w:rFonts w:hint="eastAsia" w:ascii="宋体" w:hAnsi="宋体" w:cs="宋体"/>
          <w:szCs w:val="21"/>
          <w:lang w:val="zh-CN"/>
        </w:rPr>
        <w:t xml:space="preserve">。若无法提供有效佐证材料证明参数响应，评标委员会有权认定该项为负偏离。</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（三）</w:t>
      </w:r>
      <w:bookmarkStart w:id="78" w:name="_Hlk4527492"/>
      <w:r>
        <w:rPr>
          <w:rFonts w:hint="eastAsia" w:ascii="宋体" w:hAnsi="宋体" w:cs="宋体"/>
          <w:b/>
          <w:bCs/>
          <w:szCs w:val="21"/>
        </w:rPr>
        <w:t xml:space="preserve">项目</w:t>
      </w:r>
      <w:r>
        <w:rPr>
          <w:rFonts w:hint="eastAsia" w:ascii="宋体" w:hAnsi="宋体" w:cs="宋体"/>
          <w:b/>
          <w:bCs/>
          <w:szCs w:val="21"/>
          <w:lang w:val="zh-CN"/>
        </w:rPr>
        <w:t xml:space="preserve">实施方案（</w:t>
      </w:r>
      <w:r>
        <w:rPr>
          <w:rFonts w:hint="eastAsia" w:ascii="宋体" w:hAnsi="宋体" w:cs="宋体"/>
          <w:b/>
          <w:bCs/>
          <w:szCs w:val="21"/>
        </w:rPr>
        <w:t xml:space="preserve">8</w:t>
      </w:r>
      <w:r>
        <w:rPr>
          <w:rFonts w:hint="eastAsia" w:ascii="宋体" w:hAnsi="宋体" w:cs="宋体"/>
          <w:b/>
          <w:bCs/>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针对本项目设置分工明确的项目管理团队，并具有合理明确的实施方案，以保障货物交付、安装、就位、验收等有效的项目管理，</w:t>
      </w:r>
      <w:r>
        <w:rPr>
          <w:rFonts w:hint="eastAsia" w:ascii="宋体" w:hAnsi="宋体" w:cs="宋体"/>
          <w:szCs w:val="21"/>
        </w:rPr>
        <w:t xml:space="preserve">方案至少包括①</w:t>
      </w:r>
      <w:r>
        <w:rPr>
          <w:rFonts w:hint="eastAsia" w:ascii="宋体" w:hAnsi="宋体" w:cs="宋体"/>
          <w:szCs w:val="21"/>
          <w:lang w:val="zh-CN"/>
        </w:rPr>
        <w:t xml:space="preserve">项目团队情况</w:t>
      </w:r>
      <w:r>
        <w:rPr>
          <w:rFonts w:hint="eastAsia" w:ascii="宋体" w:hAnsi="宋体" w:cs="宋体"/>
          <w:szCs w:val="21"/>
        </w:rPr>
        <w:t xml:space="preserve">及</w:t>
      </w:r>
      <w:r>
        <w:rPr>
          <w:rFonts w:hint="eastAsia" w:ascii="宋体" w:hAnsi="宋体" w:cs="宋体"/>
          <w:szCs w:val="21"/>
          <w:lang w:val="zh-CN"/>
        </w:rPr>
        <w:t xml:space="preserve">岗位分工职责、</w:t>
      </w:r>
      <w:r>
        <w:rPr>
          <w:rFonts w:hint="eastAsia" w:ascii="宋体" w:hAnsi="宋体" w:cs="宋体"/>
          <w:szCs w:val="21"/>
        </w:rPr>
        <w:t xml:space="preserve">②</w:t>
      </w:r>
      <w:r>
        <w:rPr>
          <w:rFonts w:hint="eastAsia" w:ascii="宋体" w:hAnsi="宋体"/>
        </w:rPr>
        <w:t xml:space="preserve">交货期工序安排、</w:t>
      </w:r>
      <w:r>
        <w:rPr>
          <w:rFonts w:hint="eastAsia" w:ascii="宋体" w:hAnsi="宋体" w:cs="宋体"/>
          <w:szCs w:val="21"/>
        </w:rPr>
        <w:t xml:space="preserve">③</w:t>
      </w:r>
      <w:r>
        <w:rPr>
          <w:rFonts w:hint="eastAsia" w:ascii="宋体" w:hAnsi="宋体" w:cs="宋体"/>
          <w:szCs w:val="21"/>
          <w:lang w:val="zh-CN"/>
        </w:rPr>
        <w:t xml:space="preserve">货物包装运输计划、</w:t>
      </w:r>
      <w:r>
        <w:rPr>
          <w:rFonts w:hint="eastAsia" w:ascii="宋体" w:hAnsi="宋体" w:cs="宋体"/>
          <w:szCs w:val="21"/>
          <w:lang w:val="zh-CN"/>
        </w:rPr>
        <w:fldChar w:fldCharType="begin"/>
      </w:r>
      <w:r>
        <w:rPr>
          <w:rFonts w:hint="eastAsia" w:ascii="宋体" w:hAnsi="宋体" w:cs="宋体"/>
          <w:szCs w:val="21"/>
          <w:lang w:val="zh-CN"/>
        </w:rPr>
        <w:instrText xml:space="preserve"> = 4 \* GB3 \* MERGEFORMAT </w:instrText>
      </w:r>
      <w:r>
        <w:rPr>
          <w:rFonts w:hint="eastAsia" w:ascii="宋体" w:hAnsi="宋体" w:cs="宋体"/>
          <w:szCs w:val="21"/>
          <w:lang w:val="zh-CN"/>
        </w:rPr>
        <w:fldChar w:fldCharType="separate"/>
      </w:r>
      <w:r>
        <w:t xml:space="preserve">④</w:t>
      </w:r>
      <w:r>
        <w:rPr>
          <w:rFonts w:hint="eastAsia" w:ascii="宋体" w:hAnsi="宋体" w:cs="宋体"/>
          <w:szCs w:val="21"/>
          <w:lang w:val="zh-CN"/>
        </w:rPr>
        <w:fldChar w:fldCharType="end"/>
      </w:r>
      <w:r>
        <w:rPr>
          <w:rFonts w:hint="eastAsia" w:ascii="宋体" w:hAnsi="宋体" w:cs="宋体"/>
          <w:szCs w:val="21"/>
          <w:lang w:val="zh-CN"/>
        </w:rPr>
        <w:t xml:space="preserve">安装调试等。</w:t>
      </w:r>
      <w:r/>
    </w:p>
    <w:p>
      <w:pPr>
        <w:ind w:firstLine="422"/>
        <w:spacing w:line="360" w:lineRule="auto"/>
        <w:rPr>
          <w:rFonts w:ascii="宋体" w:hAnsi="宋体" w:cs="宋体"/>
          <w:szCs w:val="21"/>
          <w:lang w:val="zh-CN"/>
        </w:rPr>
      </w:pPr>
      <w:r>
        <w:rPr>
          <w:rFonts w:hint="eastAsia" w:ascii="宋体" w:hAnsi="宋体"/>
          <w:szCs w:val="21"/>
        </w:rPr>
        <w:t xml:space="preserve">上述每项应逐条叙述，内容全面合理、可行性强操作性强、贴合项目实际的得2分；内容基本合理、具有一定的可行性、具有一定的操作性、与项目实际基本贴合的得1分；阐述内容及可行性较差的得0.5分；每项叙述内容完全脱离采购需求或未作完整叙述的不得分。本项最高得8分</w:t>
      </w:r>
      <w:r/>
    </w:p>
    <w:p>
      <w:pPr>
        <w:ind w:firstLine="422"/>
        <w:spacing w:line="360" w:lineRule="auto"/>
        <w:rPr>
          <w:rFonts w:ascii="宋体" w:hAnsi="宋体" w:cs="宋体"/>
          <w:b/>
          <w:bCs/>
          <w:szCs w:val="21"/>
        </w:rPr>
      </w:pPr>
      <w:r>
        <w:rPr>
          <w:rFonts w:hint="eastAsia" w:ascii="宋体" w:hAnsi="宋体" w:cs="宋体"/>
          <w:b/>
          <w:bCs/>
          <w:szCs w:val="21"/>
          <w:lang w:val="zh-CN"/>
        </w:rPr>
        <w:t xml:space="preserve">（</w:t>
      </w:r>
      <w:r>
        <w:rPr>
          <w:rFonts w:hint="eastAsia" w:ascii="宋体" w:hAnsi="宋体" w:cs="宋体"/>
          <w:b/>
          <w:bCs/>
          <w:szCs w:val="21"/>
        </w:rPr>
        <w:t xml:space="preserve">四</w:t>
      </w:r>
      <w:r>
        <w:rPr>
          <w:rFonts w:hint="eastAsia" w:ascii="宋体" w:hAnsi="宋体" w:cs="宋体"/>
          <w:b/>
          <w:bCs/>
          <w:szCs w:val="21"/>
          <w:lang w:val="zh-CN"/>
        </w:rPr>
        <w:t xml:space="preserve">）</w:t>
      </w:r>
      <w:r>
        <w:rPr>
          <w:rFonts w:hint="eastAsia" w:ascii="宋体" w:hAnsi="宋体" w:cs="宋体"/>
          <w:b/>
          <w:bCs/>
          <w:szCs w:val="21"/>
        </w:rPr>
        <w:t xml:space="preserve">售后服务要求，22分</w:t>
      </w:r>
      <w:r/>
    </w:p>
    <w:p>
      <w:pPr>
        <w:ind w:firstLine="420"/>
        <w:spacing w:line="360" w:lineRule="auto"/>
        <w:rPr>
          <w:rFonts w:ascii="宋体" w:hAnsi="宋体"/>
          <w:szCs w:val="22"/>
        </w:rPr>
      </w:pPr>
      <w:r>
        <w:rPr>
          <w:rFonts w:hint="eastAsia" w:ascii="宋体" w:hAnsi="宋体"/>
          <w:szCs w:val="22"/>
        </w:rPr>
        <w:t xml:space="preserve">1、故障应急预案（6分）</w:t>
      </w:r>
      <w:r/>
    </w:p>
    <w:p>
      <w:pPr>
        <w:ind w:firstLine="420"/>
        <w:spacing w:line="360" w:lineRule="auto"/>
        <w:rPr>
          <w:rFonts w:ascii="宋体" w:hAnsi="宋体"/>
          <w:szCs w:val="22"/>
        </w:rPr>
      </w:pPr>
      <w:r>
        <w:rPr>
          <w:rFonts w:hint="eastAsia" w:ascii="宋体" w:hAnsi="宋体"/>
          <w:szCs w:val="22"/>
        </w:rPr>
        <w:t xml:space="preserve">投标单位根据往年设备故障案例，分析设备有可能出现的重大故障，制定出合理的应急预案。</w:t>
      </w:r>
      <w:r>
        <w:rPr>
          <w:rFonts w:hint="eastAsia" w:ascii="宋体" w:hAnsi="宋体"/>
          <w:szCs w:val="22"/>
        </w:rPr>
        <w:t xml:space="preserve">方案内容至少包括：</w:t>
      </w:r>
      <w:r>
        <w:rPr>
          <w:rFonts w:hint="eastAsia" w:ascii="宋体" w:hAnsi="宋体" w:cs="宋体"/>
          <w:szCs w:val="21"/>
        </w:rPr>
        <w:t xml:space="preserve">①</w:t>
      </w:r>
      <w:r>
        <w:rPr>
          <w:rFonts w:hint="eastAsia" w:ascii="宋体" w:hAnsi="宋体"/>
          <w:szCs w:val="22"/>
        </w:rPr>
        <w:t xml:space="preserve">可能出现的重大故障、</w:t>
      </w:r>
      <w:r>
        <w:rPr>
          <w:rFonts w:hint="eastAsia" w:ascii="宋体" w:hAnsi="宋体" w:cs="宋体"/>
          <w:szCs w:val="21"/>
        </w:rPr>
        <w:t xml:space="preserve">②</w:t>
      </w:r>
      <w:r>
        <w:rPr>
          <w:rFonts w:hint="eastAsia" w:ascii="宋体" w:hAnsi="宋体"/>
          <w:szCs w:val="22"/>
        </w:rPr>
        <w:t xml:space="preserve">本项目的重点、难点分析、</w:t>
      </w:r>
      <w:r>
        <w:rPr>
          <w:rFonts w:hint="eastAsia" w:ascii="宋体" w:hAnsi="宋体" w:cs="宋体"/>
          <w:szCs w:val="21"/>
        </w:rPr>
        <w:t xml:space="preserve">③</w:t>
      </w:r>
      <w:r>
        <w:rPr>
          <w:rFonts w:hint="eastAsia" w:ascii="宋体" w:hAnsi="宋体"/>
          <w:szCs w:val="22"/>
        </w:rPr>
        <w:t xml:space="preserve">对应的解决方案等。上述每项应逐条叙述，内容全面合理、可行性强操作性强、贴合项目实际的得2分；内容基本合理、具有一定的可行性、具有一定的操作性、与项目实际基本贴合的得1分；阐述内容及可行性较差的得0.5分；每项叙述内容完全脱离采购需求或未作完整叙述的不得分。本项最高得6分。</w:t>
      </w:r>
      <w:r/>
    </w:p>
    <w:p>
      <w:pPr>
        <w:ind w:firstLine="420"/>
        <w:spacing w:line="360" w:lineRule="auto"/>
        <w:rPr>
          <w:rFonts w:ascii="宋体" w:hAnsi="宋体"/>
          <w:szCs w:val="22"/>
        </w:rPr>
      </w:pPr>
      <w:r>
        <w:rPr>
          <w:rFonts w:hint="eastAsia" w:ascii="宋体" w:hAnsi="宋体"/>
          <w:szCs w:val="22"/>
        </w:rPr>
        <w:t xml:space="preserve">2、投标单位质保期满后维保收费及维保方案情况（5分）</w:t>
      </w:r>
      <w:r/>
    </w:p>
    <w:p>
      <w:pPr>
        <w:ind w:firstLine="420"/>
        <w:spacing w:line="360" w:lineRule="auto"/>
        <w:rPr>
          <w:rFonts w:ascii="宋体" w:hAnsi="宋体"/>
          <w:szCs w:val="22"/>
        </w:rPr>
      </w:pPr>
      <w:r>
        <w:rPr>
          <w:rFonts w:hint="eastAsia" w:ascii="宋体" w:hAnsi="宋体"/>
          <w:szCs w:val="22"/>
        </w:rPr>
        <w:t xml:space="preserve">维保收费及维保方案至少包括：①维保收费（包括零配件、备品、备件价格）清单及价格、</w:t>
      </w:r>
      <w:r>
        <w:rPr>
          <w:rFonts w:hint="eastAsia" w:ascii="宋体" w:hAnsi="宋体" w:cs="宋体"/>
          <w:szCs w:val="21"/>
        </w:rPr>
        <w:t xml:space="preserve">②</w:t>
      </w:r>
      <w:r>
        <w:rPr>
          <w:rFonts w:hint="eastAsia" w:ascii="宋体" w:hAnsi="宋体"/>
          <w:szCs w:val="22"/>
        </w:rPr>
        <w:t xml:space="preserve">维保工作具体维保内容、</w:t>
      </w:r>
      <w:r>
        <w:rPr>
          <w:rFonts w:hint="eastAsia" w:ascii="宋体" w:hAnsi="宋体" w:cs="宋体"/>
          <w:szCs w:val="21"/>
        </w:rPr>
        <w:t xml:space="preserve">③</w:t>
      </w:r>
      <w:r>
        <w:rPr>
          <w:rFonts w:hint="eastAsia" w:ascii="宋体" w:hAnsi="宋体"/>
          <w:szCs w:val="22"/>
        </w:rPr>
        <w:t xml:space="preserve">维保流程、</w:t>
      </w:r>
      <w:r>
        <w:rPr>
          <w:rFonts w:hint="eastAsia" w:ascii="宋体" w:hAnsi="宋体" w:cs="宋体"/>
          <w:szCs w:val="21"/>
          <w:lang w:val="zh-CN"/>
        </w:rPr>
        <w:fldChar w:fldCharType="begin"/>
      </w:r>
      <w:r>
        <w:rPr>
          <w:rFonts w:hint="eastAsia" w:ascii="宋体" w:hAnsi="宋体" w:cs="宋体"/>
          <w:szCs w:val="21"/>
          <w:lang w:val="zh-CN"/>
        </w:rPr>
        <w:instrText xml:space="preserve"> = 4 \* GB3 \* MERGEFORMAT </w:instrText>
      </w:r>
      <w:r>
        <w:rPr>
          <w:rFonts w:hint="eastAsia" w:ascii="宋体" w:hAnsi="宋体" w:cs="宋体"/>
          <w:szCs w:val="21"/>
          <w:lang w:val="zh-CN"/>
        </w:rPr>
        <w:fldChar w:fldCharType="separate"/>
      </w:r>
      <w:r>
        <w:t xml:space="preserve">④</w:t>
      </w:r>
      <w:r>
        <w:rPr>
          <w:rFonts w:hint="eastAsia" w:ascii="宋体" w:hAnsi="宋体" w:cs="宋体"/>
          <w:szCs w:val="21"/>
          <w:lang w:val="zh-CN"/>
        </w:rPr>
        <w:fldChar w:fldCharType="end"/>
      </w:r>
      <w:r>
        <w:rPr>
          <w:rFonts w:hint="eastAsia" w:ascii="宋体" w:hAnsi="宋体"/>
          <w:szCs w:val="22"/>
        </w:rPr>
        <w:t xml:space="preserve">维保规范标准、</w:t>
      </w:r>
      <w:r>
        <w:rPr>
          <w:rFonts w:hint="eastAsia" w:ascii="宋体" w:hAnsi="宋体"/>
          <w:szCs w:val="22"/>
        </w:rPr>
        <w:fldChar w:fldCharType="begin"/>
      </w:r>
      <w:r>
        <w:rPr>
          <w:rFonts w:hint="eastAsia" w:ascii="宋体" w:hAnsi="宋体"/>
          <w:szCs w:val="22"/>
        </w:rPr>
        <w:instrText xml:space="preserve"> = 5 \* GB3 \* MERGEFORMAT </w:instrText>
      </w:r>
      <w:r>
        <w:rPr>
          <w:rFonts w:hint="eastAsia" w:ascii="宋体" w:hAnsi="宋体"/>
          <w:szCs w:val="22"/>
        </w:rPr>
        <w:fldChar w:fldCharType="separate"/>
      </w:r>
      <w:r>
        <w:t xml:space="preserve">⑤</w:t>
      </w:r>
      <w:r>
        <w:rPr>
          <w:rFonts w:hint="eastAsia" w:ascii="宋体" w:hAnsi="宋体"/>
          <w:szCs w:val="22"/>
        </w:rPr>
        <w:fldChar w:fldCharType="end"/>
      </w:r>
      <w:r>
        <w:rPr>
          <w:rFonts w:hint="eastAsia" w:ascii="宋体" w:hAnsi="宋体"/>
          <w:szCs w:val="22"/>
        </w:rPr>
        <w:t xml:space="preserve">维保档案等情况。</w:t>
      </w:r>
      <w:r/>
    </w:p>
    <w:p>
      <w:pPr>
        <w:ind w:firstLine="420"/>
        <w:spacing w:line="360" w:lineRule="auto"/>
        <w:rPr>
          <w:rFonts w:ascii="宋体" w:hAnsi="宋体"/>
          <w:szCs w:val="22"/>
        </w:rPr>
      </w:pPr>
      <w:r>
        <w:rPr>
          <w:rFonts w:hint="eastAsia" w:ascii="宋体" w:hAnsi="宋体"/>
          <w:szCs w:val="22"/>
        </w:rPr>
        <w:t xml:space="preserve">①维保清单全面、在市场价基础上提供一定维保收费优惠的得1分；</w:t>
      </w:r>
      <w:r>
        <w:rPr>
          <w:rFonts w:hint="eastAsia" w:ascii="宋体" w:hAnsi="宋体" w:cs="宋体"/>
          <w:szCs w:val="21"/>
        </w:rPr>
        <w:t xml:space="preserve">②-</w:t>
      </w:r>
      <w:r>
        <w:rPr>
          <w:rFonts w:hint="eastAsia" w:ascii="宋体" w:hAnsi="宋体"/>
          <w:szCs w:val="22"/>
        </w:rPr>
        <w:fldChar w:fldCharType="begin"/>
      </w:r>
      <w:r>
        <w:rPr>
          <w:rFonts w:hint="eastAsia" w:ascii="宋体" w:hAnsi="宋体"/>
          <w:szCs w:val="22"/>
        </w:rPr>
        <w:instrText xml:space="preserve"> = 5 \* GB3 \* MERGEFORMAT </w:instrText>
      </w:r>
      <w:r>
        <w:rPr>
          <w:rFonts w:hint="eastAsia" w:ascii="宋体" w:hAnsi="宋体"/>
          <w:szCs w:val="22"/>
        </w:rPr>
        <w:fldChar w:fldCharType="separate"/>
      </w:r>
      <w:r>
        <w:t xml:space="preserve">⑤</w:t>
      </w:r>
      <w:r>
        <w:rPr>
          <w:rFonts w:hint="eastAsia" w:ascii="宋体" w:hAnsi="宋体"/>
          <w:szCs w:val="22"/>
        </w:rPr>
        <w:fldChar w:fldCharType="end"/>
      </w:r>
      <w:r>
        <w:rPr>
          <w:rFonts w:hint="eastAsia" w:ascii="宋体" w:hAnsi="宋体" w:cs="宋体"/>
          <w:szCs w:val="21"/>
        </w:rPr>
        <w:t xml:space="preserve">项方案上述每项应逐条叙述，内容全面合理、可行性强操作性强、贴合项目实际的得1分；阐述内容及可行性较差的得0.5分；每项叙述内容完全脱离采购需求或未作完整叙述的不得分。本项最高得5分。</w:t>
      </w:r>
      <w:r/>
    </w:p>
    <w:p>
      <w:pPr>
        <w:ind w:firstLine="420"/>
        <w:spacing w:line="360" w:lineRule="auto"/>
        <w:rPr>
          <w:rFonts w:ascii="宋体" w:hAnsi="宋体"/>
          <w:szCs w:val="22"/>
        </w:rPr>
      </w:pPr>
      <w:r>
        <w:rPr>
          <w:rFonts w:hint="eastAsia" w:ascii="宋体" w:hAnsi="宋体"/>
          <w:szCs w:val="22"/>
        </w:rPr>
        <w:t xml:space="preserve">3、培训方案（5分）</w:t>
      </w:r>
      <w:r/>
    </w:p>
    <w:p>
      <w:pPr>
        <w:pStyle w:val="932"/>
        <w:rPr>
          <w:rFonts w:ascii="宋体" w:hAnsi="宋体"/>
          <w:sz w:val="21"/>
          <w:szCs w:val="22"/>
        </w:rPr>
      </w:pPr>
      <w:r>
        <w:rPr>
          <w:rFonts w:hint="eastAsia" w:ascii="宋体" w:hAnsi="宋体"/>
          <w:sz w:val="21"/>
          <w:szCs w:val="22"/>
        </w:rPr>
        <w:t xml:space="preserve">培训方案至少包括：①培训需求分析、②培训目标计划、③培训内容及方法计划、④负责培训人员情况、⑤培训设备场地等情况介绍。</w:t>
      </w:r>
      <w:r/>
    </w:p>
    <w:p>
      <w:pPr>
        <w:pStyle w:val="932"/>
        <w:rPr>
          <w:rFonts w:ascii="宋体" w:hAnsi="宋体"/>
          <w:sz w:val="21"/>
          <w:szCs w:val="22"/>
        </w:rPr>
      </w:pPr>
      <w:r>
        <w:rPr>
          <w:rFonts w:hint="eastAsia" w:ascii="宋体" w:hAnsi="宋体"/>
          <w:sz w:val="21"/>
          <w:szCs w:val="22"/>
        </w:rPr>
        <w:t xml:space="preserve">上述每项应逐条叙述，内容全面合理、可行性强操作性强、贴合项目实际的得1分；阐述内容及可行性较差的得0.5分；每项叙述内容完全脱离采购需求或未作完整叙述的不得分。本项最高得5分。</w:t>
      </w:r>
      <w:r/>
    </w:p>
    <w:p>
      <w:pPr>
        <w:pStyle w:val="932"/>
        <w:rPr>
          <w:rFonts w:ascii="宋体" w:hAnsi="宋体"/>
          <w:sz w:val="21"/>
          <w:szCs w:val="22"/>
        </w:rPr>
      </w:pPr>
      <w:r>
        <w:rPr>
          <w:rFonts w:hint="eastAsia" w:ascii="宋体" w:hAnsi="宋体"/>
          <w:sz w:val="21"/>
          <w:szCs w:val="22"/>
        </w:rPr>
        <w:t xml:space="preserve">4、售后服务方案（6分）</w:t>
      </w:r>
      <w:r/>
    </w:p>
    <w:p>
      <w:pPr>
        <w:pStyle w:val="932"/>
        <w:rPr>
          <w:rFonts w:ascii="宋体" w:hAnsi="宋体" w:cs="宋体"/>
          <w:szCs w:val="21"/>
        </w:rPr>
      </w:pPr>
      <w:r>
        <w:rPr>
          <w:rFonts w:hint="eastAsia" w:ascii="宋体" w:hAnsi="宋体"/>
          <w:sz w:val="21"/>
          <w:szCs w:val="22"/>
        </w:rPr>
        <w:t xml:space="preserve">投标人提供售后服务方案至少包括①售后服务具体内容、②售后服务方式、③售后服务人员配备。上述每项应逐条叙述，内容全面合理、可行性强操作性强、贴合项目实际的得2分；内容基本合理、具有一定的可行性、具有一定的操作性、与项目实际基本贴合的得1分；阐述内容及可行性较差的得0.5分；每项叙述内容完全脱离采购需求或未作完整叙述的不得分。本项最高得6分。</w:t>
      </w:r>
      <w:r/>
    </w:p>
    <w:p>
      <w:pPr>
        <w:pStyle w:val="932"/>
        <w:rPr>
          <w:rFonts w:ascii="宋体" w:hAnsi="宋体"/>
          <w:b/>
          <w:bCs/>
          <w:sz w:val="21"/>
          <w:szCs w:val="22"/>
          <w:lang w:val="zh-CN"/>
        </w:rPr>
      </w:pPr>
      <w:r>
        <w:rPr>
          <w:rFonts w:hint="eastAsia" w:ascii="宋体" w:hAnsi="宋体"/>
          <w:b/>
          <w:bCs/>
          <w:sz w:val="21"/>
          <w:szCs w:val="22"/>
          <w:lang w:val="zh-CN"/>
        </w:rPr>
        <w:t xml:space="preserve">（</w:t>
      </w:r>
      <w:r>
        <w:rPr>
          <w:rFonts w:hint="eastAsia" w:ascii="宋体" w:hAnsi="宋体"/>
          <w:b/>
          <w:bCs/>
          <w:sz w:val="21"/>
          <w:szCs w:val="22"/>
        </w:rPr>
        <w:t xml:space="preserve">五</w:t>
      </w:r>
      <w:r>
        <w:rPr>
          <w:rFonts w:hint="eastAsia" w:ascii="宋体" w:hAnsi="宋体"/>
          <w:b/>
          <w:bCs/>
          <w:sz w:val="21"/>
          <w:szCs w:val="22"/>
          <w:lang w:val="zh-CN"/>
        </w:rPr>
        <w:t xml:space="preserve">）项目业绩：</w:t>
      </w:r>
      <w:r>
        <w:rPr>
          <w:rFonts w:hint="eastAsia" w:ascii="宋体" w:hAnsi="宋体"/>
          <w:b/>
          <w:bCs/>
          <w:sz w:val="21"/>
          <w:szCs w:val="22"/>
        </w:rPr>
        <w:t xml:space="preserve">3</w:t>
      </w:r>
      <w:r>
        <w:rPr>
          <w:rFonts w:hint="eastAsia" w:ascii="宋体" w:hAnsi="宋体"/>
          <w:b/>
          <w:bCs/>
          <w:sz w:val="21"/>
          <w:szCs w:val="22"/>
          <w:lang w:val="zh-CN"/>
        </w:rPr>
        <w:t xml:space="preserve">分</w:t>
      </w:r>
      <w:r/>
    </w:p>
    <w:p>
      <w:pPr>
        <w:pStyle w:val="932"/>
        <w:rPr>
          <w:rFonts w:ascii="宋体" w:hAnsi="宋体" w:cs="宋体"/>
          <w:b/>
          <w:szCs w:val="21"/>
        </w:rPr>
      </w:pPr>
      <w:r>
        <w:rPr>
          <w:rFonts w:hint="eastAsia" w:ascii="宋体" w:hAnsi="宋体"/>
          <w:sz w:val="21"/>
          <w:szCs w:val="22"/>
        </w:rPr>
        <w:t xml:space="preserve">投标单位或所投</w:t>
      </w:r>
      <w:r>
        <w:rPr>
          <w:rFonts w:hint="eastAsia" w:ascii="宋体" w:hAnsi="宋体"/>
          <w:sz w:val="21"/>
          <w:szCs w:val="22"/>
          <w:lang w:val="zh-CN"/>
        </w:rPr>
        <w:t xml:space="preserve">产品202</w:t>
      </w:r>
      <w:r>
        <w:rPr>
          <w:rFonts w:hint="eastAsia" w:ascii="宋体" w:hAnsi="宋体"/>
          <w:sz w:val="21"/>
          <w:szCs w:val="22"/>
        </w:rPr>
        <w:t xml:space="preserve">3</w:t>
      </w:r>
      <w:r>
        <w:rPr>
          <w:rFonts w:hint="eastAsia" w:ascii="宋体" w:hAnsi="宋体"/>
          <w:sz w:val="21"/>
          <w:szCs w:val="22"/>
          <w:lang w:val="zh-CN"/>
        </w:rPr>
        <w:t xml:space="preserve">年</w:t>
      </w:r>
      <w:r>
        <w:rPr>
          <w:rFonts w:hint="eastAsia" w:ascii="宋体" w:hAnsi="宋体"/>
          <w:sz w:val="21"/>
          <w:szCs w:val="22"/>
        </w:rPr>
        <w:t xml:space="preserve">1</w:t>
      </w:r>
      <w:r>
        <w:rPr>
          <w:rFonts w:hint="eastAsia" w:ascii="宋体" w:hAnsi="宋体"/>
          <w:sz w:val="21"/>
          <w:szCs w:val="22"/>
          <w:lang w:val="zh-CN"/>
        </w:rPr>
        <w:t xml:space="preserve">月1日（以合同签订日期为准）以来类似项目的</w:t>
      </w:r>
      <w:r>
        <w:rPr>
          <w:rFonts w:hint="eastAsia" w:ascii="宋体" w:hAnsi="宋体"/>
          <w:sz w:val="21"/>
          <w:szCs w:val="22"/>
        </w:rPr>
        <w:t xml:space="preserve">业绩</w:t>
      </w:r>
      <w:r>
        <w:rPr>
          <w:rFonts w:hint="eastAsia" w:ascii="宋体" w:hAnsi="宋体"/>
          <w:sz w:val="21"/>
          <w:szCs w:val="22"/>
          <w:lang w:val="zh-CN"/>
        </w:rPr>
        <w:t xml:space="preserve">，每提供一份得</w:t>
      </w:r>
      <w:r>
        <w:rPr>
          <w:rFonts w:hint="eastAsia" w:ascii="宋体" w:hAnsi="宋体"/>
          <w:sz w:val="21"/>
          <w:szCs w:val="22"/>
        </w:rPr>
        <w:t xml:space="preserve">1</w:t>
      </w:r>
      <w:r>
        <w:rPr>
          <w:rFonts w:hint="eastAsia" w:ascii="宋体" w:hAnsi="宋体"/>
          <w:sz w:val="21"/>
          <w:szCs w:val="22"/>
          <w:lang w:val="zh-CN"/>
        </w:rPr>
        <w:t xml:space="preserve">分,最高</w:t>
      </w:r>
      <w:r>
        <w:rPr>
          <w:rFonts w:hint="eastAsia" w:ascii="宋体" w:hAnsi="宋体"/>
          <w:sz w:val="21"/>
          <w:szCs w:val="22"/>
        </w:rPr>
        <w:t xml:space="preserve">3</w:t>
      </w:r>
      <w:r>
        <w:rPr>
          <w:rFonts w:hint="eastAsia" w:ascii="宋体" w:hAnsi="宋体"/>
          <w:sz w:val="21"/>
          <w:szCs w:val="22"/>
          <w:lang w:val="zh-CN"/>
        </w:rPr>
        <w:t xml:space="preserve">分。（</w:t>
      </w:r>
      <w:r>
        <w:rPr>
          <w:rFonts w:hint="eastAsia" w:ascii="宋体" w:hAnsi="宋体"/>
          <w:b/>
          <w:bCs/>
          <w:sz w:val="21"/>
          <w:szCs w:val="22"/>
          <w:lang w:val="zh-CN"/>
        </w:rPr>
        <w:t xml:space="preserve">注：每份业绩需提供完整合同文件复印件等材料作为佐证材料；如买方名称、供货品牌/型号、合同金额、数量、签订时间等信息缺失，则视作无效业绩。</w:t>
      </w:r>
      <w:r>
        <w:rPr>
          <w:rFonts w:hint="eastAsia" w:ascii="宋体" w:hAnsi="宋体"/>
          <w:sz w:val="21"/>
          <w:szCs w:val="22"/>
          <w:lang w:val="zh-CN"/>
        </w:rPr>
        <w:t xml:space="preserve">）</w:t>
      </w:r>
      <w:bookmarkEnd w:id="78"/>
      <w:r/>
      <w:r/>
    </w:p>
    <w:p>
      <w:pPr>
        <w:spacing w:line="360" w:lineRule="auto"/>
        <w:tabs>
          <w:tab w:val="left" w:pos="567" w:leader="none"/>
        </w:tabs>
        <w:rPr>
          <w:rFonts w:ascii="宋体" w:hAnsi="宋体" w:cs="宋体"/>
          <w:b/>
          <w:szCs w:val="21"/>
        </w:rPr>
      </w:pPr>
      <w:r>
        <w:rPr>
          <w:rFonts w:ascii="宋体" w:hAnsi="宋体" w:cs="宋体"/>
          <w:b/>
          <w:szCs w:val="21"/>
        </w:rPr>
      </w:r>
      <w:r/>
    </w:p>
    <w:p>
      <w:pPr>
        <w:spacing w:line="360" w:lineRule="auto"/>
        <w:tabs>
          <w:tab w:val="left" w:pos="567" w:leader="none"/>
        </w:tabs>
        <w:rPr>
          <w:rFonts w:ascii="宋体" w:hAnsi="宋体" w:cs="宋体"/>
          <w:szCs w:val="21"/>
        </w:rPr>
      </w:pPr>
      <w:r>
        <w:rPr>
          <w:rFonts w:hint="eastAsia" w:ascii="宋体" w:hAnsi="宋体" w:cs="宋体"/>
          <w:b/>
          <w:szCs w:val="21"/>
        </w:rPr>
        <w:t xml:space="preserve">备注：</w:t>
      </w:r>
      <w:r>
        <w:rPr>
          <w:rFonts w:hint="eastAsia" w:ascii="宋体" w:hAnsi="宋体" w:cs="宋体"/>
          <w:szCs w:val="21"/>
        </w:rPr>
        <w:t xml:space="preserve">1.付款步骤、交货期限如有负偏离的不得中标。</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3.要求加盖公章的，电子投标文件中可用电子签章（除特别说明外）。</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4.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spacing w:line="360" w:lineRule="auto"/>
        <w:tabs>
          <w:tab w:val="left" w:pos="567" w:leader="none"/>
        </w:tabs>
        <w:rPr>
          <w:rFonts w:hint="eastAsia" w:ascii="宋体" w:hAnsi="宋体" w:cs="宋体"/>
          <w:szCs w:val="21"/>
        </w:rPr>
      </w:pPr>
      <w:r>
        <w:rPr>
          <w:rFonts w:hint="eastAsia" w:ascii="宋体" w:hAnsi="宋体" w:cs="宋体"/>
          <w:szCs w:val="21"/>
        </w:rPr>
      </w:r>
      <w:r/>
    </w:p>
    <w:p>
      <w:pPr>
        <w:spacing w:line="360" w:lineRule="auto"/>
        <w:tabs>
          <w:tab w:val="left" w:pos="567" w:leader="none"/>
        </w:tabs>
        <w:rPr>
          <w:rFonts w:hint="eastAsia" w:ascii="宋体" w:hAnsi="宋体" w:cs="宋体"/>
          <w:szCs w:val="21"/>
        </w:rPr>
      </w:pPr>
      <w:r>
        <w:rPr>
          <w:rFonts w:hint="eastAsia" w:ascii="宋体" w:hAnsi="宋体" w:cs="宋体"/>
          <w:szCs w:val="21"/>
        </w:rPr>
      </w:r>
      <w:r/>
    </w:p>
    <w:p>
      <w:pPr>
        <w:spacing w:line="360" w:lineRule="auto"/>
        <w:tabs>
          <w:tab w:val="left" w:pos="567" w:leader="none"/>
        </w:tabs>
        <w:rPr>
          <w:rFonts w:ascii="宋体" w:hAnsi="宋体" w:cs="宋体"/>
          <w:szCs w:val="21"/>
        </w:rPr>
      </w:pPr>
      <w:r>
        <w:rPr>
          <w:rFonts w:ascii="宋体" w:hAnsi="宋体" w:cs="宋体"/>
          <w:szCs w:val="21"/>
        </w:rPr>
      </w:r>
      <w:r/>
    </w:p>
    <w:p>
      <w:pPr>
        <w:spacing w:line="360" w:lineRule="auto"/>
        <w:tabs>
          <w:tab w:val="left" w:pos="567" w:leader="none"/>
        </w:tabs>
        <w:rPr>
          <w:rFonts w:ascii="宋体" w:hAnsi="宋体" w:cs="宋体"/>
          <w:szCs w:val="21"/>
        </w:rPr>
      </w:pPr>
      <w:r>
        <w:rPr>
          <w:rFonts w:ascii="宋体" w:hAnsi="宋体" w:cs="宋体"/>
          <w:szCs w:val="21"/>
        </w:rPr>
      </w:r>
      <w:r/>
    </w:p>
    <w:p>
      <w:pPr>
        <w:spacing w:line="360" w:lineRule="auto"/>
        <w:tabs>
          <w:tab w:val="left" w:pos="567" w:leader="none"/>
        </w:tabs>
        <w:rPr>
          <w:rFonts w:ascii="宋体" w:hAnsi="宋体" w:cs="宋体"/>
          <w:szCs w:val="21"/>
        </w:rPr>
      </w:pPr>
      <w:r>
        <w:rPr>
          <w:rFonts w:hint="eastAsia" w:ascii="宋体" w:hAnsi="宋体" w:cs="宋体"/>
          <w:b/>
          <w:bCs/>
          <w:sz w:val="28"/>
          <w:szCs w:val="28"/>
        </w:rPr>
        <w:t xml:space="preserve">全文完</w:t>
      </w:r>
      <w:r/>
    </w:p>
    <w:sectPr>
      <w:headerReference w:type="default" r:id="rId10"/>
      <w:footerReference w:type="default" r:id="rId12"/>
      <w:footnotePr/>
      <w:endnotePr/>
      <w:type w:val="nextPage"/>
      <w:pgSz w:w="11906" w:h="16838" w:orient="portrait"/>
      <w:pgMar w:top="1440" w:right="1417"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华文楷体">
    <w:panose1 w:val="0201060004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37"/>
                          </w:pPr>
                          <w:fldSimple w:instr="PAGE \* MERGEFORMAT">
                            <w:r>
                              <w:t xml:space="preserve">1</w:t>
                            </w:r>
                          </w:fldSimple>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37"/>
                    </w:pPr>
                    <w:fldSimple w:instr="PAGE \* MERGEFORMAT">
                      <w:r>
                        <w:t xml:space="preserve">1</w:t>
                      </w:r>
                    </w:fldSimple>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37"/>
                          </w:pPr>
                          <w:fldSimple w:instr="PAGE \* MERGEFORMAT">
                            <w:r>
                              <w:t xml:space="preserve">1</w:t>
                            </w:r>
                          </w:fldSimple>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37"/>
                    </w:pPr>
                    <w:fldSimple w:instr="PAGE \* MERGEFORMAT">
                      <w:r>
                        <w:t xml:space="preserve">1</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标号：JSZC-320500-CJZB-G2026-0087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标号：JSZC-320500-CJZB-G2026-0087号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18"/>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21"/>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2">
    <w:name w:val="Heading 1 Char"/>
    <w:basedOn w:val="922"/>
    <w:link w:val="917"/>
    <w:uiPriority w:val="9"/>
    <w:rPr>
      <w:rFonts w:ascii="Arial" w:hAnsi="Arial" w:eastAsia="Arial" w:cs="Arial"/>
      <w:sz w:val="40"/>
      <w:szCs w:val="40"/>
    </w:rPr>
  </w:style>
  <w:style w:type="character" w:styleId="753">
    <w:name w:val="Heading 2 Char"/>
    <w:basedOn w:val="922"/>
    <w:link w:val="918"/>
    <w:uiPriority w:val="9"/>
    <w:rPr>
      <w:rFonts w:ascii="Arial" w:hAnsi="Arial" w:eastAsia="Arial" w:cs="Arial"/>
      <w:sz w:val="34"/>
    </w:rPr>
  </w:style>
  <w:style w:type="character" w:styleId="754">
    <w:name w:val="Heading 3 Char"/>
    <w:basedOn w:val="922"/>
    <w:link w:val="919"/>
    <w:uiPriority w:val="9"/>
    <w:rPr>
      <w:rFonts w:ascii="Arial" w:hAnsi="Arial" w:eastAsia="Arial" w:cs="Arial"/>
      <w:sz w:val="30"/>
      <w:szCs w:val="30"/>
    </w:rPr>
  </w:style>
  <w:style w:type="paragraph" w:styleId="755">
    <w:name w:val="Heading 4"/>
    <w:basedOn w:val="916"/>
    <w:next w:val="916"/>
    <w:link w:val="756"/>
    <w:uiPriority w:val="9"/>
    <w:unhideWhenUsed/>
    <w:qFormat/>
    <w:pPr>
      <w:keepLines/>
      <w:keepNext/>
      <w:spacing w:before="320" w:after="200"/>
      <w:outlineLvl w:val="3"/>
    </w:pPr>
    <w:rPr>
      <w:rFonts w:ascii="Arial" w:hAnsi="Arial" w:eastAsia="Arial" w:cs="Arial"/>
      <w:b/>
      <w:bCs/>
      <w:sz w:val="26"/>
      <w:szCs w:val="26"/>
    </w:rPr>
  </w:style>
  <w:style w:type="character" w:styleId="756">
    <w:name w:val="Heading 4 Char"/>
    <w:basedOn w:val="922"/>
    <w:link w:val="755"/>
    <w:uiPriority w:val="9"/>
    <w:rPr>
      <w:rFonts w:ascii="Arial" w:hAnsi="Arial" w:eastAsia="Arial" w:cs="Arial"/>
      <w:b/>
      <w:bCs/>
      <w:sz w:val="26"/>
      <w:szCs w:val="26"/>
    </w:rPr>
  </w:style>
  <w:style w:type="character" w:styleId="757">
    <w:name w:val="Heading 5 Char"/>
    <w:basedOn w:val="922"/>
    <w:link w:val="920"/>
    <w:uiPriority w:val="9"/>
    <w:rPr>
      <w:rFonts w:ascii="Arial" w:hAnsi="Arial" w:eastAsia="Arial" w:cs="Arial"/>
      <w:b/>
      <w:bCs/>
      <w:sz w:val="24"/>
      <w:szCs w:val="24"/>
    </w:rPr>
  </w:style>
  <w:style w:type="character" w:styleId="758">
    <w:name w:val="Heading 6 Char"/>
    <w:basedOn w:val="922"/>
    <w:link w:val="921"/>
    <w:uiPriority w:val="9"/>
    <w:rPr>
      <w:rFonts w:ascii="Arial" w:hAnsi="Arial" w:eastAsia="Arial" w:cs="Arial"/>
      <w:b/>
      <w:bCs/>
      <w:sz w:val="22"/>
      <w:szCs w:val="22"/>
    </w:rPr>
  </w:style>
  <w:style w:type="paragraph" w:styleId="759">
    <w:name w:val="Heading 7"/>
    <w:basedOn w:val="916"/>
    <w:next w:val="916"/>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name w:val="Heading 7 Char"/>
    <w:basedOn w:val="922"/>
    <w:link w:val="759"/>
    <w:uiPriority w:val="9"/>
    <w:rPr>
      <w:rFonts w:ascii="Arial" w:hAnsi="Arial" w:eastAsia="Arial" w:cs="Arial"/>
      <w:b/>
      <w:bCs/>
      <w:i/>
      <w:iCs/>
      <w:sz w:val="22"/>
      <w:szCs w:val="22"/>
    </w:rPr>
  </w:style>
  <w:style w:type="paragraph" w:styleId="761">
    <w:name w:val="Heading 8"/>
    <w:basedOn w:val="916"/>
    <w:next w:val="916"/>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basedOn w:val="922"/>
    <w:link w:val="761"/>
    <w:uiPriority w:val="9"/>
    <w:rPr>
      <w:rFonts w:ascii="Arial" w:hAnsi="Arial" w:eastAsia="Arial" w:cs="Arial"/>
      <w:i/>
      <w:iCs/>
      <w:sz w:val="22"/>
      <w:szCs w:val="22"/>
    </w:rPr>
  </w:style>
  <w:style w:type="paragraph" w:styleId="763">
    <w:name w:val="Heading 9"/>
    <w:basedOn w:val="916"/>
    <w:next w:val="916"/>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basedOn w:val="922"/>
    <w:link w:val="763"/>
    <w:uiPriority w:val="9"/>
    <w:rPr>
      <w:rFonts w:ascii="Arial" w:hAnsi="Arial" w:eastAsia="Arial" w:cs="Arial"/>
      <w:i/>
      <w:iCs/>
      <w:sz w:val="21"/>
      <w:szCs w:val="21"/>
    </w:rPr>
  </w:style>
  <w:style w:type="paragraph" w:styleId="765">
    <w:name w:val="No Spacing"/>
    <w:uiPriority w:val="1"/>
    <w:qFormat/>
    <w:pPr>
      <w:spacing w:before="0" w:after="0" w:line="240" w:lineRule="auto"/>
    </w:pPr>
  </w:style>
  <w:style w:type="paragraph" w:styleId="766">
    <w:name w:val="Title"/>
    <w:basedOn w:val="916"/>
    <w:next w:val="916"/>
    <w:link w:val="767"/>
    <w:uiPriority w:val="10"/>
    <w:qFormat/>
    <w:pPr>
      <w:contextualSpacing/>
      <w:spacing w:before="300" w:after="200"/>
    </w:pPr>
    <w:rPr>
      <w:sz w:val="48"/>
      <w:szCs w:val="48"/>
    </w:rPr>
  </w:style>
  <w:style w:type="character" w:styleId="767">
    <w:name w:val="Title Char"/>
    <w:basedOn w:val="922"/>
    <w:link w:val="766"/>
    <w:uiPriority w:val="10"/>
    <w:rPr>
      <w:sz w:val="48"/>
      <w:szCs w:val="48"/>
    </w:rPr>
  </w:style>
  <w:style w:type="character" w:styleId="768">
    <w:name w:val="Subtitle Char"/>
    <w:basedOn w:val="922"/>
    <w:link w:val="942"/>
    <w:uiPriority w:val="11"/>
    <w:rPr>
      <w:sz w:val="24"/>
      <w:szCs w:val="24"/>
    </w:rPr>
  </w:style>
  <w:style w:type="paragraph" w:styleId="769">
    <w:name w:val="Quote"/>
    <w:basedOn w:val="916"/>
    <w:next w:val="916"/>
    <w:link w:val="770"/>
    <w:uiPriority w:val="29"/>
    <w:qFormat/>
    <w:pPr>
      <w:ind w:left="720" w:right="720"/>
    </w:pPr>
    <w:rPr>
      <w:i/>
    </w:rPr>
  </w:style>
  <w:style w:type="character" w:styleId="770">
    <w:name w:val="Quote Char"/>
    <w:link w:val="769"/>
    <w:uiPriority w:val="29"/>
    <w:rPr>
      <w:i/>
    </w:rPr>
  </w:style>
  <w:style w:type="paragraph" w:styleId="771">
    <w:name w:val="Intense Quote"/>
    <w:basedOn w:val="916"/>
    <w:next w:val="916"/>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character" w:styleId="773">
    <w:name w:val="Header Char"/>
    <w:basedOn w:val="922"/>
    <w:link w:val="939"/>
    <w:uiPriority w:val="99"/>
  </w:style>
  <w:style w:type="character" w:styleId="774">
    <w:name w:val="Footer Char"/>
    <w:basedOn w:val="922"/>
    <w:link w:val="937"/>
    <w:uiPriority w:val="99"/>
  </w:style>
  <w:style w:type="paragraph" w:styleId="775">
    <w:name w:val="Caption"/>
    <w:basedOn w:val="916"/>
    <w:next w:val="916"/>
    <w:uiPriority w:val="35"/>
    <w:semiHidden/>
    <w:unhideWhenUsed/>
    <w:qFormat/>
    <w:pPr>
      <w:spacing w:line="276" w:lineRule="auto"/>
    </w:pPr>
    <w:rPr>
      <w:b/>
      <w:bCs/>
      <w:color w:val="4f81bd" w:themeColor="accent1"/>
      <w:sz w:val="18"/>
      <w:szCs w:val="18"/>
    </w:rPr>
  </w:style>
  <w:style w:type="character" w:styleId="776">
    <w:name w:val="Caption Char"/>
    <w:basedOn w:val="775"/>
    <w:link w:val="937"/>
    <w:uiPriority w:val="99"/>
  </w:style>
  <w:style w:type="table" w:styleId="777">
    <w:name w:val="Table Grid Light"/>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8">
    <w:name w:val="Plain Table 1"/>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basedOn w:val="9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basedOn w:val="9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1 Light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5">
    <w:name w:val="Grid Table 1 Light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6">
    <w:name w:val="Grid Table 1 Light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7">
    <w:name w:val="Grid Table 1 Light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8">
    <w:name w:val="Grid Table 1 Light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9">
    <w:name w:val="Grid Table 1 Light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0">
    <w:name w:val="Grid Table 2"/>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2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2">
    <w:name w:val="Grid Table 2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2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2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2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6">
    <w:name w:val="Grid Table 2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7">
    <w:name w:val="Grid Table 3"/>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basedOn w:val="9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4 - Accent 1"/>
    <w:basedOn w:val="9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6">
    <w:name w:val="Grid Table 4 - Accent 2"/>
    <w:basedOn w:val="9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4 - Accent 3"/>
    <w:basedOn w:val="9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8">
    <w:name w:val="Grid Table 4 - Accent 4"/>
    <w:basedOn w:val="9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9">
    <w:name w:val="Grid Table 4 - Accent 5"/>
    <w:basedOn w:val="9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0">
    <w:name w:val="Grid Table 4 - Accent 6"/>
    <w:basedOn w:val="9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1">
    <w:name w:val="Grid Table 5 Dark"/>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5 Dark- Accent 1"/>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13">
    <w:name w:val="Grid Table 5 Dark - Accent 2"/>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4">
    <w:name w:val="Grid Table 5 Dark - Accent 3"/>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5">
    <w:name w:val="Grid Table 5 Dark- Accent 4"/>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6">
    <w:name w:val="Grid Table 5 Dark - Accent 5"/>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17">
    <w:name w:val="Grid Table 5 Dark - Accent 6"/>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8">
    <w:name w:val="Grid Table 6 Colorful"/>
    <w:basedOn w:val="9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6 Colorful - Accent 1"/>
    <w:basedOn w:val="9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0">
    <w:name w:val="Grid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1">
    <w:name w:val="Grid Table 6 Colorful - Accent 3"/>
    <w:basedOn w:val="9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2">
    <w:name w:val="Grid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3">
    <w:name w:val="Grid Table 6 Colorful - Accent 5"/>
    <w:basedOn w:val="9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4">
    <w:name w:val="Grid Table 6 Colorful - Accent 6"/>
    <w:basedOn w:val="9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5">
    <w:name w:val="Grid Table 7 Colorful"/>
    <w:basedOn w:val="9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Grid Table 7 Colorful - Accent 1"/>
    <w:basedOn w:val="9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7">
    <w:name w:val="Grid Table 7 Colorful - Accent 2"/>
    <w:basedOn w:val="9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7 Colorful - Accent 3"/>
    <w:basedOn w:val="9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7 Colorful - Accent 4"/>
    <w:basedOn w:val="9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7 Colorful - Accent 5"/>
    <w:basedOn w:val="9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1">
    <w:name w:val="Grid Table 7 Colorful - Accent 6"/>
    <w:basedOn w:val="9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2">
    <w:name w:val="List Table 1 Light"/>
    <w:basedOn w:val="9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1 Light - Accent 1"/>
    <w:basedOn w:val="92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4">
    <w:name w:val="List Table 1 Light - Accent 2"/>
    <w:basedOn w:val="92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5">
    <w:name w:val="List Table 1 Light - Accent 3"/>
    <w:basedOn w:val="92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6">
    <w:name w:val="List Table 1 Light - Accent 4"/>
    <w:basedOn w:val="92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7">
    <w:name w:val="List Table 1 Light - Accent 5"/>
    <w:basedOn w:val="92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8">
    <w:name w:val="List Table 1 Light - Accent 6"/>
    <w:basedOn w:val="92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9">
    <w:name w:val="List Table 2"/>
    <w:basedOn w:val="9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2 - Accent 1"/>
    <w:basedOn w:val="9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1">
    <w:name w:val="List Table 2 - Accent 2"/>
    <w:basedOn w:val="9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2">
    <w:name w:val="List Table 2 - Accent 3"/>
    <w:basedOn w:val="9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3">
    <w:name w:val="List Table 2 - Accent 4"/>
    <w:basedOn w:val="9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4">
    <w:name w:val="List Table 2 - Accent 5"/>
    <w:basedOn w:val="9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5">
    <w:name w:val="List Table 2 - Accent 6"/>
    <w:basedOn w:val="9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6">
    <w:name w:val="List Table 3"/>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3 - Accent 1"/>
    <w:basedOn w:val="9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8">
    <w:name w:val="List Table 3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9">
    <w:name w:val="List Table 3 - Accent 3"/>
    <w:basedOn w:val="9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0">
    <w:name w:val="List Table 3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1">
    <w:name w:val="List Table 3 - Accent 5"/>
    <w:basedOn w:val="9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52">
    <w:name w:val="List Table 3 - Accent 6"/>
    <w:basedOn w:val="9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3">
    <w:name w:val="List Table 4"/>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 Accent 1"/>
    <w:basedOn w:val="9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5">
    <w:name w:val="List Table 4 - Accent 2"/>
    <w:basedOn w:val="9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6">
    <w:name w:val="List Table 4 - Accent 3"/>
    <w:basedOn w:val="9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7">
    <w:name w:val="List Table 4 - Accent 4"/>
    <w:basedOn w:val="9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8">
    <w:name w:val="List Table 4 - Accent 5"/>
    <w:basedOn w:val="9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59">
    <w:name w:val="List Table 4 - Accent 6"/>
    <w:basedOn w:val="9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0">
    <w:name w:val="List Table 5 Dark"/>
    <w:basedOn w:val="9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1"/>
    <w:basedOn w:val="9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2"/>
    <w:basedOn w:val="9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3"/>
    <w:basedOn w:val="9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4"/>
    <w:basedOn w:val="9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5"/>
    <w:basedOn w:val="9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6"/>
    <w:basedOn w:val="9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basedOn w:val="9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6 Colorful - Accent 1"/>
    <w:basedOn w:val="9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69">
    <w:name w:val="List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0">
    <w:name w:val="List Table 6 Colorful - Accent 3"/>
    <w:basedOn w:val="9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1">
    <w:name w:val="List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2">
    <w:name w:val="List Table 6 Colorful - Accent 5"/>
    <w:basedOn w:val="9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73">
    <w:name w:val="List Table 6 Colorful - Accent 6"/>
    <w:basedOn w:val="9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4">
    <w:name w:val="List Table 7 Colorful"/>
    <w:basedOn w:val="9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5">
    <w:name w:val="List Table 7 Colorful - Accent 1"/>
    <w:basedOn w:val="9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76">
    <w:name w:val="List Table 7 Colorful - Accent 2"/>
    <w:basedOn w:val="9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7">
    <w:name w:val="List Table 7 Colorful - Accent 3"/>
    <w:basedOn w:val="9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8">
    <w:name w:val="List Table 7 Colorful - Accent 4"/>
    <w:basedOn w:val="9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9">
    <w:name w:val="List Table 7 Colorful - Accent 5"/>
    <w:basedOn w:val="9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0">
    <w:name w:val="List Table 7 Colorful - Accent 6"/>
    <w:basedOn w:val="9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1">
    <w:name w:val="Lined - Accent"/>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Lined - Accent 1"/>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3">
    <w:name w:val="Lined - Accent 2"/>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4">
    <w:name w:val="Lined - Accent 3"/>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5">
    <w:name w:val="Lined - Accent 4"/>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6">
    <w:name w:val="Lined - Accent 5"/>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7">
    <w:name w:val="Lined - Accent 6"/>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8">
    <w:name w:val="Bordered &amp; Lined - Accent"/>
    <w:basedOn w:val="9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Bordered &amp; Lined - Accent 1"/>
    <w:basedOn w:val="9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0">
    <w:name w:val="Bordered &amp; Lined - Accent 2"/>
    <w:basedOn w:val="9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1">
    <w:name w:val="Bordered &amp; Lined - Accent 3"/>
    <w:basedOn w:val="9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2">
    <w:name w:val="Bordered &amp; Lined - Accent 4"/>
    <w:basedOn w:val="9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3">
    <w:name w:val="Bordered &amp; Lined - Accent 5"/>
    <w:basedOn w:val="9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4">
    <w:name w:val="Bordered &amp; Lined - Accent 6"/>
    <w:basedOn w:val="9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5">
    <w:name w:val="Bordered"/>
    <w:basedOn w:val="9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6">
    <w:name w:val="Bordered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7">
    <w:name w:val="Bordered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8">
    <w:name w:val="Bordered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9">
    <w:name w:val="Bordered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0">
    <w:name w:val="Bordered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1">
    <w:name w:val="Bordered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2">
    <w:name w:val="Footnote Text Char"/>
    <w:link w:val="943"/>
    <w:uiPriority w:val="99"/>
    <w:rPr>
      <w:sz w:val="18"/>
    </w:rPr>
  </w:style>
  <w:style w:type="character" w:styleId="903">
    <w:name w:val="footnote reference"/>
    <w:basedOn w:val="922"/>
    <w:uiPriority w:val="99"/>
    <w:unhideWhenUsed/>
    <w:rPr>
      <w:vertAlign w:val="superscript"/>
    </w:rPr>
  </w:style>
  <w:style w:type="paragraph" w:styleId="904">
    <w:name w:val="endnote text"/>
    <w:basedOn w:val="916"/>
    <w:link w:val="905"/>
    <w:uiPriority w:val="99"/>
    <w:semiHidden/>
    <w:unhideWhenUsed/>
    <w:pPr>
      <w:spacing w:after="0" w:line="240" w:lineRule="auto"/>
    </w:pPr>
    <w:rPr>
      <w:sz w:val="20"/>
    </w:rPr>
  </w:style>
  <w:style w:type="character" w:styleId="905">
    <w:name w:val="Endnote Text Char"/>
    <w:link w:val="904"/>
    <w:uiPriority w:val="99"/>
    <w:rPr>
      <w:sz w:val="20"/>
    </w:rPr>
  </w:style>
  <w:style w:type="character" w:styleId="906">
    <w:name w:val="endnote reference"/>
    <w:basedOn w:val="922"/>
    <w:uiPriority w:val="99"/>
    <w:semiHidden/>
    <w:unhideWhenUsed/>
    <w:rPr>
      <w:vertAlign w:val="superscript"/>
    </w:rPr>
  </w:style>
  <w:style w:type="paragraph" w:styleId="907">
    <w:name w:val="toc 2"/>
    <w:basedOn w:val="916"/>
    <w:next w:val="916"/>
    <w:uiPriority w:val="39"/>
    <w:unhideWhenUsed/>
    <w:pPr>
      <w:ind w:left="283" w:right="0" w:firstLine="0"/>
      <w:spacing w:after="57"/>
    </w:pPr>
  </w:style>
  <w:style w:type="paragraph" w:styleId="908">
    <w:name w:val="toc 3"/>
    <w:basedOn w:val="916"/>
    <w:next w:val="916"/>
    <w:uiPriority w:val="39"/>
    <w:unhideWhenUsed/>
    <w:pPr>
      <w:ind w:left="567" w:right="0" w:firstLine="0"/>
      <w:spacing w:after="57"/>
    </w:pPr>
  </w:style>
  <w:style w:type="paragraph" w:styleId="909">
    <w:name w:val="toc 5"/>
    <w:basedOn w:val="916"/>
    <w:next w:val="916"/>
    <w:uiPriority w:val="39"/>
    <w:unhideWhenUsed/>
    <w:pPr>
      <w:ind w:left="1134" w:right="0" w:firstLine="0"/>
      <w:spacing w:after="57"/>
    </w:pPr>
  </w:style>
  <w:style w:type="paragraph" w:styleId="910">
    <w:name w:val="toc 6"/>
    <w:basedOn w:val="916"/>
    <w:next w:val="916"/>
    <w:uiPriority w:val="39"/>
    <w:unhideWhenUsed/>
    <w:pPr>
      <w:ind w:left="1417" w:right="0" w:firstLine="0"/>
      <w:spacing w:after="57"/>
    </w:pPr>
  </w:style>
  <w:style w:type="paragraph" w:styleId="911">
    <w:name w:val="toc 7"/>
    <w:basedOn w:val="916"/>
    <w:next w:val="916"/>
    <w:uiPriority w:val="39"/>
    <w:unhideWhenUsed/>
    <w:pPr>
      <w:ind w:left="1701" w:right="0" w:firstLine="0"/>
      <w:spacing w:after="57"/>
    </w:pPr>
  </w:style>
  <w:style w:type="paragraph" w:styleId="912">
    <w:name w:val="toc 8"/>
    <w:basedOn w:val="916"/>
    <w:next w:val="916"/>
    <w:uiPriority w:val="39"/>
    <w:unhideWhenUsed/>
    <w:pPr>
      <w:ind w:left="1984" w:right="0" w:firstLine="0"/>
      <w:spacing w:after="57"/>
    </w:pPr>
  </w:style>
  <w:style w:type="paragraph" w:styleId="913">
    <w:name w:val="toc 9"/>
    <w:basedOn w:val="916"/>
    <w:next w:val="916"/>
    <w:uiPriority w:val="39"/>
    <w:unhideWhenUsed/>
    <w:pPr>
      <w:ind w:left="2268" w:right="0" w:firstLine="0"/>
      <w:spacing w:after="57"/>
    </w:pPr>
  </w:style>
  <w:style w:type="paragraph" w:styleId="914">
    <w:name w:val="TOC Heading"/>
    <w:uiPriority w:val="39"/>
    <w:unhideWhenUsed/>
  </w:style>
  <w:style w:type="paragraph" w:styleId="915">
    <w:name w:val="table of figures"/>
    <w:basedOn w:val="916"/>
    <w:next w:val="916"/>
    <w:uiPriority w:val="99"/>
    <w:unhideWhenUsed/>
    <w:pPr>
      <w:spacing w:after="0" w:afterAutospacing="0"/>
    </w:pPr>
  </w:style>
  <w:style w:type="paragraph" w:styleId="916" w:default="1">
    <w:name w:val="Normal"/>
    <w:qFormat/>
    <w:pPr>
      <w:jc w:val="both"/>
      <w:widowControl w:val="off"/>
    </w:pPr>
    <w:rPr>
      <w:sz w:val="21"/>
      <w:szCs w:val="24"/>
    </w:rPr>
  </w:style>
  <w:style w:type="paragraph" w:styleId="917">
    <w:name w:val="Heading 1"/>
    <w:basedOn w:val="916"/>
    <w:next w:val="916"/>
    <w:link w:val="961"/>
    <w:qFormat/>
    <w:pPr>
      <w:keepLines/>
      <w:keepNext/>
      <w:spacing w:before="340" w:after="330" w:line="578" w:lineRule="auto"/>
      <w:outlineLvl w:val="0"/>
    </w:pPr>
    <w:rPr>
      <w:b/>
      <w:bCs/>
      <w:sz w:val="44"/>
      <w:szCs w:val="44"/>
    </w:rPr>
  </w:style>
  <w:style w:type="paragraph" w:styleId="918">
    <w:name w:val="Heading 2"/>
    <w:basedOn w:val="916"/>
    <w:next w:val="916"/>
    <w:link w:val="962"/>
    <w:qFormat/>
    <w:pPr>
      <w:numPr>
        <w:ilvl w:val="1"/>
        <w:numId w:val="1"/>
      </w:numPr>
      <w:spacing w:before="156" w:after="156" w:line="360" w:lineRule="auto"/>
      <w:outlineLvl w:val="1"/>
    </w:pPr>
    <w:rPr>
      <w:rFonts w:ascii="Cambria" w:hAnsi="Cambria"/>
      <w:b/>
      <w:bCs/>
      <w:sz w:val="32"/>
      <w:szCs w:val="32"/>
    </w:rPr>
  </w:style>
  <w:style w:type="paragraph" w:styleId="919">
    <w:name w:val="Heading 3"/>
    <w:basedOn w:val="916"/>
    <w:next w:val="925"/>
    <w:link w:val="964"/>
    <w:qFormat/>
    <w:pPr>
      <w:keepLines/>
      <w:keepNext/>
      <w:spacing w:before="260" w:after="260" w:line="416" w:lineRule="auto"/>
      <w:outlineLvl w:val="2"/>
    </w:pPr>
    <w:rPr>
      <w:b/>
      <w:sz w:val="32"/>
      <w:szCs w:val="20"/>
    </w:rPr>
  </w:style>
  <w:style w:type="paragraph" w:styleId="920">
    <w:name w:val="Heading 5"/>
    <w:basedOn w:val="916"/>
    <w:next w:val="916"/>
    <w:link w:val="965"/>
    <w:qFormat/>
    <w:pPr>
      <w:jc w:val="left"/>
      <w:keepLines/>
      <w:keepNext/>
      <w:spacing w:before="280" w:after="290" w:line="376" w:lineRule="auto"/>
      <w:widowControl/>
      <w:outlineLvl w:val="4"/>
    </w:pPr>
    <w:rPr>
      <w:b/>
      <w:bCs/>
      <w:sz w:val="28"/>
      <w:szCs w:val="28"/>
    </w:rPr>
  </w:style>
  <w:style w:type="paragraph" w:styleId="921">
    <w:name w:val="Heading 6"/>
    <w:basedOn w:val="916"/>
    <w:next w:val="916"/>
    <w:link w:val="966"/>
    <w:uiPriority w:val="9"/>
    <w:qFormat/>
    <w:pPr>
      <w:numPr>
        <w:ilvl w:val="5"/>
        <w:numId w:val="1"/>
      </w:numPr>
      <w:keepLines/>
      <w:keepNext/>
      <w:spacing w:before="120" w:after="64" w:line="300" w:lineRule="auto"/>
      <w:outlineLvl w:val="5"/>
    </w:pPr>
    <w:rPr>
      <w:rFonts w:ascii="Arial" w:hAnsi="Arial"/>
      <w:bCs/>
      <w:sz w:val="24"/>
    </w:rPr>
  </w:style>
  <w:style w:type="character" w:styleId="922" w:default="1">
    <w:name w:val="Default Paragraph Font"/>
    <w:uiPriority w:val="1"/>
    <w:semiHidden/>
    <w:unhideWhenUsed/>
  </w:style>
  <w:style w:type="table" w:styleId="923" w:default="1">
    <w:name w:val="Normal Table"/>
    <w:uiPriority w:val="99"/>
    <w:semiHidden/>
    <w:unhideWhenUsed/>
    <w:qFormat/>
    <w:tblPr>
      <w:tblInd w:w="0" w:type="dxa"/>
      <w:tblCellMar>
        <w:left w:w="108" w:type="dxa"/>
        <w:top w:w="0" w:type="dxa"/>
        <w:right w:w="108" w:type="dxa"/>
        <w:bottom w:w="0" w:type="dxa"/>
      </w:tblCellMar>
    </w:tblPr>
  </w:style>
  <w:style w:type="numbering" w:styleId="924" w:default="1">
    <w:name w:val="No List"/>
    <w:uiPriority w:val="99"/>
    <w:semiHidden/>
    <w:unhideWhenUsed/>
  </w:style>
  <w:style w:type="paragraph" w:styleId="925">
    <w:name w:val="Normal Indent"/>
    <w:basedOn w:val="916"/>
    <w:link w:val="963"/>
    <w:qFormat/>
    <w:pPr>
      <w:ind w:firstLine="420"/>
    </w:pPr>
    <w:rPr>
      <w:rFonts w:eastAsia="楷体_GB2312"/>
      <w:sz w:val="24"/>
      <w:szCs w:val="20"/>
    </w:rPr>
  </w:style>
  <w:style w:type="paragraph" w:styleId="926">
    <w:name w:val="table of authorities"/>
    <w:basedOn w:val="916"/>
    <w:next w:val="916"/>
    <w:uiPriority w:val="99"/>
    <w:unhideWhenUsed/>
    <w:qFormat/>
    <w:pPr>
      <w:ind w:left="420"/>
    </w:pPr>
  </w:style>
  <w:style w:type="paragraph" w:styleId="927">
    <w:name w:val="Document Map"/>
    <w:basedOn w:val="916"/>
    <w:next w:val="928"/>
    <w:qFormat/>
    <w:rPr>
      <w:rFonts w:ascii="宋体"/>
      <w:sz w:val="18"/>
      <w:szCs w:val="18"/>
    </w:rPr>
  </w:style>
  <w:style w:type="paragraph" w:styleId="928">
    <w:name w:val="annotation subject"/>
    <w:basedOn w:val="929"/>
    <w:next w:val="916"/>
    <w:link w:val="976"/>
    <w:qFormat/>
    <w:rPr>
      <w:b/>
      <w:bCs/>
    </w:rPr>
  </w:style>
  <w:style w:type="paragraph" w:styleId="929">
    <w:name w:val="annotation text"/>
    <w:basedOn w:val="916"/>
    <w:link w:val="967"/>
    <w:qFormat/>
    <w:pPr>
      <w:jc w:val="left"/>
    </w:pPr>
  </w:style>
  <w:style w:type="paragraph" w:styleId="930">
    <w:name w:val="Body Text"/>
    <w:basedOn w:val="916"/>
    <w:next w:val="931"/>
    <w:link w:val="968"/>
    <w:uiPriority w:val="99"/>
    <w:unhideWhenUsed/>
    <w:qFormat/>
    <w:pPr>
      <w:spacing w:after="120"/>
    </w:pPr>
    <w:rPr>
      <w:sz w:val="20"/>
    </w:rPr>
  </w:style>
  <w:style w:type="paragraph" w:styleId="931">
    <w:name w:val="Body Text First Indent"/>
    <w:basedOn w:val="930"/>
    <w:next w:val="916"/>
    <w:qFormat/>
    <w:pPr>
      <w:ind w:firstLine="420"/>
    </w:pPr>
  </w:style>
  <w:style w:type="paragraph" w:styleId="932">
    <w:name w:val="Body Text Indent"/>
    <w:basedOn w:val="916"/>
    <w:next w:val="916"/>
    <w:link w:val="960"/>
    <w:qFormat/>
    <w:pPr>
      <w:ind w:firstLine="425"/>
      <w:spacing w:line="360" w:lineRule="auto"/>
    </w:pPr>
    <w:rPr>
      <w:sz w:val="24"/>
    </w:rPr>
  </w:style>
  <w:style w:type="paragraph" w:styleId="933">
    <w:name w:val="Block Text"/>
    <w:basedOn w:val="917"/>
    <w:next w:val="916"/>
    <w:qFormat/>
    <w:pPr>
      <w:ind w:left="630" w:right="-609" w:firstLine="420"/>
      <w:spacing w:line="360" w:lineRule="auto"/>
    </w:pPr>
    <w:rPr>
      <w:rFonts w:hint="eastAsia" w:ascii="仿宋_GB2312" w:eastAsia="仿宋_GB2312"/>
      <w:szCs w:val="20"/>
    </w:rPr>
  </w:style>
  <w:style w:type="paragraph" w:styleId="934">
    <w:name w:val="Plain Text"/>
    <w:basedOn w:val="916"/>
    <w:link w:val="969"/>
    <w:qFormat/>
    <w:rPr>
      <w:rFonts w:ascii="宋体" w:hAnsi="Courier New" w:eastAsia="楷体_GB2312"/>
      <w:sz w:val="26"/>
    </w:rPr>
  </w:style>
  <w:style w:type="paragraph" w:styleId="935">
    <w:name w:val="Date"/>
    <w:basedOn w:val="916"/>
    <w:next w:val="916"/>
    <w:link w:val="970"/>
    <w:qFormat/>
    <w:rPr>
      <w:b/>
      <w:bCs/>
      <w:spacing w:val="20"/>
      <w:sz w:val="20"/>
    </w:rPr>
  </w:style>
  <w:style w:type="paragraph" w:styleId="936">
    <w:name w:val="Balloon Text"/>
    <w:basedOn w:val="916"/>
    <w:link w:val="971"/>
    <w:qFormat/>
    <w:rPr>
      <w:sz w:val="18"/>
      <w:szCs w:val="18"/>
    </w:rPr>
  </w:style>
  <w:style w:type="paragraph" w:styleId="937">
    <w:name w:val="Footer"/>
    <w:basedOn w:val="916"/>
    <w:link w:val="972"/>
    <w:uiPriority w:val="99"/>
    <w:qFormat/>
    <w:pPr>
      <w:jc w:val="left"/>
      <w:tabs>
        <w:tab w:val="center" w:pos="4153" w:leader="none"/>
        <w:tab w:val="right" w:pos="8306" w:leader="none"/>
      </w:tabs>
    </w:pPr>
    <w:rPr>
      <w:sz w:val="18"/>
      <w:szCs w:val="18"/>
    </w:rPr>
  </w:style>
  <w:style w:type="paragraph" w:styleId="938">
    <w:name w:val="envelope return"/>
    <w:basedOn w:val="916"/>
    <w:qFormat/>
    <w:rPr>
      <w:rFonts w:ascii="Arial" w:hAnsi="Arial" w:eastAsia="楷体_GB2312"/>
      <w:sz w:val="26"/>
    </w:rPr>
  </w:style>
  <w:style w:type="paragraph" w:styleId="939">
    <w:name w:val="Header"/>
    <w:basedOn w:val="916"/>
    <w:link w:val="973"/>
    <w:qFormat/>
    <w:pPr>
      <w:jc w:val="center"/>
      <w:tabs>
        <w:tab w:val="center" w:pos="4153" w:leader="none"/>
        <w:tab w:val="right" w:pos="8306" w:leader="none"/>
      </w:tabs>
      <w:pBdr>
        <w:bottom w:val="single" w:color="auto" w:sz="6" w:space="1"/>
      </w:pBdr>
    </w:pPr>
    <w:rPr>
      <w:sz w:val="18"/>
      <w:szCs w:val="18"/>
    </w:rPr>
  </w:style>
  <w:style w:type="paragraph" w:styleId="940">
    <w:name w:val="toc 1"/>
    <w:basedOn w:val="916"/>
    <w:next w:val="916"/>
    <w:qFormat/>
    <w:pPr>
      <w:jc w:val="left"/>
    </w:pPr>
    <w:rPr>
      <w:rFonts w:eastAsia="楷体_GB2312"/>
      <w:sz w:val="24"/>
      <w:szCs w:val="20"/>
    </w:rPr>
  </w:style>
  <w:style w:type="paragraph" w:styleId="941">
    <w:name w:val="toc 4"/>
    <w:basedOn w:val="916"/>
    <w:next w:val="916"/>
    <w:qFormat/>
    <w:pPr>
      <w:ind w:left="1260"/>
    </w:pPr>
  </w:style>
  <w:style w:type="paragraph" w:styleId="942">
    <w:name w:val="Subtitle"/>
    <w:basedOn w:val="916"/>
    <w:next w:val="916"/>
    <w:link w:val="974"/>
    <w:qFormat/>
    <w:pPr>
      <w:jc w:val="center"/>
      <w:spacing w:before="240" w:after="60" w:line="312" w:lineRule="auto"/>
      <w:outlineLvl w:val="1"/>
    </w:pPr>
    <w:rPr>
      <w:rFonts w:ascii="宋体" w:hAnsi="Courier New" w:eastAsia="楷体_GB2312"/>
      <w:sz w:val="26"/>
      <w:szCs w:val="20"/>
    </w:rPr>
  </w:style>
  <w:style w:type="paragraph" w:styleId="943">
    <w:name w:val="footnote text"/>
    <w:basedOn w:val="917"/>
    <w:next w:val="933"/>
    <w:qFormat/>
    <w:pPr>
      <w:ind w:firstLine="3584"/>
      <w:spacing w:before="0" w:after="0" w:line="360" w:lineRule="auto"/>
    </w:pPr>
  </w:style>
  <w:style w:type="paragraph" w:styleId="944">
    <w:name w:val="Body Text Indent 3"/>
    <w:basedOn w:val="916"/>
    <w:link w:val="975"/>
    <w:qFormat/>
    <w:pPr>
      <w:ind w:firstLine="480"/>
      <w:jc w:val="left"/>
      <w:spacing w:line="440" w:lineRule="atLeast"/>
    </w:pPr>
    <w:rPr>
      <w:sz w:val="24"/>
    </w:rPr>
  </w:style>
  <w:style w:type="paragraph" w:styleId="945">
    <w:name w:val="Normal (Web)"/>
    <w:basedOn w:val="916"/>
    <w:uiPriority w:val="99"/>
    <w:qFormat/>
    <w:pPr>
      <w:jc w:val="left"/>
      <w:spacing w:beforeAutospacing="1" w:afterAutospacing="1"/>
    </w:pPr>
    <w:rPr>
      <w:sz w:val="24"/>
    </w:rPr>
  </w:style>
  <w:style w:type="paragraph" w:styleId="946">
    <w:name w:val="Body Text First Indent 2"/>
    <w:basedOn w:val="932"/>
    <w:qFormat/>
    <w:pPr>
      <w:ind w:left="420" w:firstLine="210"/>
      <w:spacing w:after="120" w:line="240" w:lineRule="auto"/>
    </w:pPr>
    <w:rPr>
      <w:rFonts w:eastAsia="仿宋_GB2312"/>
      <w:sz w:val="30"/>
    </w:rPr>
  </w:style>
  <w:style w:type="table" w:styleId="947">
    <w:name w:val="Table Grid"/>
    <w:basedOn w:val="923"/>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8">
    <w:name w:val="Strong"/>
    <w:basedOn w:val="922"/>
    <w:qFormat/>
    <w:rPr>
      <w:rFonts w:ascii="Calibri" w:hAnsi="Calibri" w:eastAsia="宋体" w:cs="Times New Roman"/>
      <w:b/>
    </w:rPr>
  </w:style>
  <w:style w:type="character" w:styleId="949">
    <w:name w:val="FollowedHyperlink"/>
    <w:qFormat/>
    <w:rPr>
      <w:color w:val="337ab7"/>
      <w:u w:val="none"/>
    </w:rPr>
  </w:style>
  <w:style w:type="character" w:styleId="950">
    <w:name w:val="Emphasis"/>
    <w:qFormat/>
    <w:rPr>
      <w:i/>
    </w:rPr>
  </w:style>
  <w:style w:type="character" w:styleId="951">
    <w:name w:val="HTML Definition"/>
    <w:qFormat/>
    <w:rPr>
      <w:i/>
    </w:rPr>
  </w:style>
  <w:style w:type="character" w:styleId="952">
    <w:name w:val="Hyperlink"/>
    <w:qFormat/>
    <w:rPr>
      <w:color w:val="337ab7"/>
      <w:u w:val="none"/>
    </w:rPr>
  </w:style>
  <w:style w:type="character" w:styleId="953">
    <w:name w:val="HTML Code"/>
    <w:qFormat/>
    <w:rPr>
      <w:rFonts w:hint="default" w:ascii="Consolas" w:hAnsi="Consolas" w:eastAsia="Consolas" w:cs="Consolas"/>
      <w:color w:val="c7254e"/>
      <w:sz w:val="21"/>
      <w:szCs w:val="21"/>
      <w:shd w:val="clear" w:color="auto" w:fill="f9f2f4"/>
    </w:rPr>
  </w:style>
  <w:style w:type="character" w:styleId="954">
    <w:name w:val="annotation reference"/>
    <w:qFormat/>
    <w:rPr>
      <w:rFonts w:ascii="Calibri" w:hAnsi="Calibri" w:eastAsia="宋体" w:cs="Times New Roman"/>
      <w:sz w:val="21"/>
      <w:szCs w:val="21"/>
    </w:rPr>
  </w:style>
  <w:style w:type="character" w:styleId="955">
    <w:name w:val="HTML Keyboard"/>
    <w:qFormat/>
    <w:rPr>
      <w:rFonts w:ascii="Consolas" w:hAnsi="Consolas" w:eastAsia="Consolas" w:cs="Consolas"/>
      <w:color w:val="ffffff"/>
      <w:sz w:val="21"/>
      <w:szCs w:val="21"/>
      <w:shd w:val="clear" w:color="auto" w:fill="333333"/>
    </w:rPr>
  </w:style>
  <w:style w:type="character" w:styleId="956">
    <w:name w:val="HTML Sample"/>
    <w:qFormat/>
    <w:rPr>
      <w:rFonts w:hint="default" w:ascii="Consolas" w:hAnsi="Consolas" w:eastAsia="Consolas" w:cs="Consolas"/>
      <w:sz w:val="21"/>
      <w:szCs w:val="21"/>
    </w:rPr>
  </w:style>
  <w:style w:type="paragraph" w:styleId="957" w:customStyle="1">
    <w:name w:val="段"/>
    <w:next w:val="916"/>
    <w:qFormat/>
    <w:pPr>
      <w:ind w:firstLine="420"/>
      <w:jc w:val="both"/>
      <w:tabs>
        <w:tab w:val="center" w:pos="4201" w:leader="none"/>
        <w:tab w:val="right" w:pos="9298" w:leader="dot"/>
      </w:tabs>
    </w:pPr>
    <w:rPr>
      <w:rFonts w:ascii="宋体" w:eastAsia="Times New Roman"/>
    </w:rPr>
  </w:style>
  <w:style w:type="paragraph" w:styleId="958" w:customStyle="1">
    <w:name w:val="AONormal"/>
    <w:qFormat/>
    <w:pPr>
      <w:ind w:firstLine="440"/>
      <w:spacing w:line="400" w:lineRule="exact"/>
    </w:pPr>
    <w:rPr>
      <w:rFonts w:ascii="华文楷体" w:hAnsi="华文楷体" w:eastAsia="华文楷体" w:cs="华文楷体"/>
      <w:sz w:val="22"/>
      <w:szCs w:val="21"/>
    </w:rPr>
  </w:style>
  <w:style w:type="paragraph" w:styleId="959" w:customStyle="1">
    <w:name w:val="首行缩进"/>
    <w:basedOn w:val="916"/>
    <w:uiPriority w:val="99"/>
    <w:qFormat/>
    <w:pPr>
      <w:ind w:firstLine="480"/>
    </w:pPr>
    <w:rPr>
      <w:szCs w:val="20"/>
      <w:lang w:val="zh-CN"/>
    </w:rPr>
  </w:style>
  <w:style w:type="character" w:styleId="960" w:customStyle="1">
    <w:name w:val="正文文本缩进 Char"/>
    <w:basedOn w:val="922"/>
    <w:link w:val="932"/>
    <w:qFormat/>
    <w:rPr>
      <w:rFonts w:ascii="Times New Roman" w:hAnsi="Times New Roman" w:eastAsia="宋体" w:cs="Times New Roman"/>
      <w:sz w:val="24"/>
      <w:szCs w:val="24"/>
    </w:rPr>
  </w:style>
  <w:style w:type="character" w:styleId="961" w:customStyle="1">
    <w:name w:val="标题 1 Char"/>
    <w:basedOn w:val="922"/>
    <w:link w:val="917"/>
    <w:qFormat/>
    <w:rPr>
      <w:rFonts w:ascii="Times New Roman" w:hAnsi="Times New Roman" w:eastAsia="宋体" w:cs="Times New Roman"/>
      <w:b/>
      <w:bCs/>
      <w:sz w:val="44"/>
      <w:szCs w:val="44"/>
    </w:rPr>
  </w:style>
  <w:style w:type="character" w:styleId="962" w:customStyle="1">
    <w:name w:val="标题 2 Char"/>
    <w:basedOn w:val="922"/>
    <w:link w:val="918"/>
    <w:qFormat/>
    <w:rPr>
      <w:rFonts w:ascii="Cambria" w:hAnsi="Cambria" w:eastAsia="宋体" w:cs="Times New Roman"/>
      <w:b/>
      <w:bCs/>
      <w:sz w:val="32"/>
      <w:szCs w:val="32"/>
    </w:rPr>
  </w:style>
  <w:style w:type="character" w:styleId="963" w:customStyle="1">
    <w:name w:val="正文缩进 Char"/>
    <w:link w:val="925"/>
    <w:qFormat/>
    <w:rPr>
      <w:rFonts w:ascii="Times New Roman" w:hAnsi="Times New Roman" w:eastAsia="楷体_GB2312" w:cs="Times New Roman"/>
      <w:sz w:val="24"/>
      <w:szCs w:val="20"/>
    </w:rPr>
  </w:style>
  <w:style w:type="character" w:styleId="964" w:customStyle="1">
    <w:name w:val="标题 3 Char"/>
    <w:basedOn w:val="922"/>
    <w:link w:val="919"/>
    <w:qFormat/>
    <w:rPr>
      <w:rFonts w:ascii="Times New Roman" w:hAnsi="Times New Roman" w:eastAsia="宋体" w:cs="Times New Roman"/>
      <w:b/>
      <w:sz w:val="32"/>
      <w:szCs w:val="20"/>
    </w:rPr>
  </w:style>
  <w:style w:type="character" w:styleId="965" w:customStyle="1">
    <w:name w:val="标题 5 Char"/>
    <w:basedOn w:val="922"/>
    <w:link w:val="920"/>
    <w:qFormat/>
    <w:rPr>
      <w:rFonts w:ascii="Times New Roman" w:hAnsi="Times New Roman" w:eastAsia="宋体" w:cs="Times New Roman"/>
      <w:b/>
      <w:bCs/>
      <w:sz w:val="28"/>
      <w:szCs w:val="28"/>
    </w:rPr>
  </w:style>
  <w:style w:type="character" w:styleId="966" w:customStyle="1">
    <w:name w:val="标题 6 Char"/>
    <w:basedOn w:val="922"/>
    <w:link w:val="921"/>
    <w:uiPriority w:val="9"/>
    <w:qFormat/>
    <w:rPr>
      <w:rFonts w:ascii="Arial" w:hAnsi="Arial" w:eastAsia="宋体" w:cs="Times New Roman"/>
      <w:bCs/>
      <w:sz w:val="24"/>
      <w:szCs w:val="24"/>
    </w:rPr>
  </w:style>
  <w:style w:type="character" w:styleId="967" w:customStyle="1">
    <w:name w:val="批注文字 Char"/>
    <w:basedOn w:val="922"/>
    <w:link w:val="929"/>
    <w:qFormat/>
    <w:rPr>
      <w:rFonts w:ascii="Times New Roman" w:hAnsi="Times New Roman" w:eastAsia="宋体" w:cs="Times New Roman"/>
      <w:szCs w:val="24"/>
    </w:rPr>
  </w:style>
  <w:style w:type="character" w:styleId="968" w:customStyle="1">
    <w:name w:val="正文文本 Char1"/>
    <w:basedOn w:val="922"/>
    <w:link w:val="930"/>
    <w:uiPriority w:val="99"/>
    <w:qFormat/>
    <w:rPr>
      <w:rFonts w:ascii="Times New Roman" w:hAnsi="Times New Roman" w:eastAsia="宋体" w:cs="Times New Roman"/>
      <w:sz w:val="20"/>
      <w:szCs w:val="24"/>
    </w:rPr>
  </w:style>
  <w:style w:type="character" w:styleId="969" w:customStyle="1">
    <w:name w:val="纯文本 Char1"/>
    <w:basedOn w:val="922"/>
    <w:link w:val="934"/>
    <w:qFormat/>
    <w:rPr>
      <w:rFonts w:ascii="宋体" w:hAnsi="Courier New" w:eastAsia="楷体_GB2312" w:cs="Times New Roman"/>
      <w:sz w:val="26"/>
      <w:szCs w:val="24"/>
    </w:rPr>
  </w:style>
  <w:style w:type="character" w:styleId="970" w:customStyle="1">
    <w:name w:val="日期 Char"/>
    <w:basedOn w:val="922"/>
    <w:link w:val="935"/>
    <w:qFormat/>
    <w:rPr>
      <w:rFonts w:ascii="Times New Roman" w:hAnsi="Times New Roman" w:eastAsia="宋体" w:cs="Times New Roman"/>
      <w:b/>
      <w:bCs/>
      <w:spacing w:val="20"/>
      <w:sz w:val="20"/>
      <w:szCs w:val="24"/>
    </w:rPr>
  </w:style>
  <w:style w:type="character" w:styleId="971" w:customStyle="1">
    <w:name w:val="批注框文本 Char"/>
    <w:basedOn w:val="922"/>
    <w:link w:val="936"/>
    <w:qFormat/>
    <w:rPr>
      <w:rFonts w:ascii="Times New Roman" w:hAnsi="Times New Roman" w:eastAsia="宋体" w:cs="Times New Roman"/>
      <w:sz w:val="18"/>
      <w:szCs w:val="18"/>
    </w:rPr>
  </w:style>
  <w:style w:type="character" w:styleId="972" w:customStyle="1">
    <w:name w:val="页脚 Char"/>
    <w:basedOn w:val="922"/>
    <w:link w:val="937"/>
    <w:uiPriority w:val="99"/>
    <w:qFormat/>
    <w:rPr>
      <w:rFonts w:ascii="Times New Roman" w:hAnsi="Times New Roman" w:eastAsia="宋体" w:cs="Times New Roman"/>
      <w:sz w:val="18"/>
      <w:szCs w:val="18"/>
    </w:rPr>
  </w:style>
  <w:style w:type="character" w:styleId="973" w:customStyle="1">
    <w:name w:val="页眉 Char"/>
    <w:basedOn w:val="922"/>
    <w:link w:val="939"/>
    <w:qFormat/>
    <w:rPr>
      <w:rFonts w:ascii="Times New Roman" w:hAnsi="Times New Roman" w:eastAsia="宋体" w:cs="Times New Roman"/>
      <w:sz w:val="18"/>
      <w:szCs w:val="18"/>
    </w:rPr>
  </w:style>
  <w:style w:type="character" w:styleId="974" w:customStyle="1">
    <w:name w:val="副标题 Char"/>
    <w:basedOn w:val="922"/>
    <w:link w:val="942"/>
    <w:qFormat/>
    <w:rPr>
      <w:rFonts w:ascii="宋体" w:hAnsi="Courier New" w:eastAsia="楷体_GB2312" w:cs="Times New Roman"/>
      <w:sz w:val="26"/>
      <w:szCs w:val="20"/>
    </w:rPr>
  </w:style>
  <w:style w:type="character" w:styleId="975" w:customStyle="1">
    <w:name w:val="正文文本缩进 3 Char"/>
    <w:basedOn w:val="922"/>
    <w:link w:val="944"/>
    <w:qFormat/>
    <w:rPr>
      <w:rFonts w:ascii="Times New Roman" w:hAnsi="Times New Roman" w:eastAsia="宋体" w:cs="Times New Roman"/>
      <w:sz w:val="24"/>
      <w:szCs w:val="24"/>
    </w:rPr>
  </w:style>
  <w:style w:type="character" w:styleId="976" w:customStyle="1">
    <w:name w:val="批注主题 Char"/>
    <w:basedOn w:val="967"/>
    <w:link w:val="928"/>
    <w:qFormat/>
    <w:rPr>
      <w:rFonts w:ascii="Times New Roman" w:hAnsi="Times New Roman" w:eastAsia="宋体" w:cs="Times New Roman"/>
      <w:b/>
      <w:bCs/>
      <w:szCs w:val="24"/>
    </w:rPr>
  </w:style>
  <w:style w:type="character" w:styleId="977" w:customStyle="1">
    <w:name w:val="hover14"/>
    <w:qFormat/>
    <w:rPr>
      <w:shd w:val="clear" w:color="auto" w:fill="eeeeee"/>
    </w:rPr>
  </w:style>
  <w:style w:type="character" w:styleId="978" w:customStyle="1">
    <w:name w:val="hour_pm"/>
    <w:qFormat/>
  </w:style>
  <w:style w:type="character" w:styleId="979" w:customStyle="1">
    <w:name w:val="first-child"/>
    <w:qFormat/>
  </w:style>
  <w:style w:type="character" w:styleId="980" w:customStyle="1">
    <w:name w:val="正文文本 Char"/>
    <w:uiPriority w:val="99"/>
    <w:qFormat/>
    <w:rPr>
      <w:rFonts w:ascii="Calibri" w:hAnsi="Calibri" w:eastAsia="宋体" w:cs="Times New Roman"/>
      <w:szCs w:val="24"/>
    </w:rPr>
  </w:style>
  <w:style w:type="character" w:styleId="981" w:customStyle="1">
    <w:name w:val="font81"/>
    <w:qFormat/>
    <w:rPr>
      <w:rFonts w:hint="eastAsia" w:ascii="宋体" w:hAnsi="宋体" w:eastAsia="宋体" w:cs="宋体"/>
      <w:b/>
      <w:color w:val="000000"/>
      <w:sz w:val="22"/>
      <w:szCs w:val="22"/>
      <w:u w:val="none"/>
    </w:rPr>
  </w:style>
  <w:style w:type="character" w:styleId="982" w:customStyle="1">
    <w:name w:val="日期 Char1"/>
    <w:qFormat/>
    <w:rPr>
      <w:rFonts w:ascii="Calibri" w:hAnsi="Calibri" w:eastAsia="宋体" w:cs="Times New Roman"/>
      <w:szCs w:val="24"/>
    </w:rPr>
  </w:style>
  <w:style w:type="character" w:styleId="983" w:customStyle="1">
    <w:name w:val="hover13"/>
    <w:qFormat/>
    <w:rPr>
      <w:shd w:val="clear" w:color="auto" w:fill="eeeeee"/>
    </w:rPr>
  </w:style>
  <w:style w:type="character" w:styleId="984" w:customStyle="1">
    <w:name w:val="font71"/>
    <w:qFormat/>
    <w:rPr>
      <w:rFonts w:hint="eastAsia" w:ascii="宋体" w:hAnsi="宋体" w:eastAsia="宋体" w:cs="宋体"/>
      <w:b/>
      <w:color w:val="000000"/>
      <w:sz w:val="22"/>
      <w:szCs w:val="22"/>
      <w:u w:val="none"/>
      <w:vertAlign w:val="superscript"/>
    </w:rPr>
  </w:style>
  <w:style w:type="character" w:styleId="985" w:customStyle="1">
    <w:name w:val="纯文本 Char"/>
    <w:qFormat/>
    <w:rPr>
      <w:rFonts w:ascii="宋体" w:hAnsi="Courier New" w:eastAsia="宋体" w:cs="Courier New"/>
      <w:szCs w:val="21"/>
    </w:rPr>
  </w:style>
  <w:style w:type="character" w:styleId="986" w:customStyle="1">
    <w:name w:val="select2-selection__rendered"/>
    <w:qFormat/>
    <w:rPr>
      <w:sz w:val="18"/>
      <w:szCs w:val="18"/>
    </w:rPr>
  </w:style>
  <w:style w:type="character" w:styleId="987" w:customStyle="1">
    <w:name w:val="first-child1"/>
    <w:qFormat/>
  </w:style>
  <w:style w:type="character" w:styleId="988" w:customStyle="1">
    <w:name w:val="old"/>
    <w:qFormat/>
    <w:rPr>
      <w:color w:val="999999"/>
    </w:rPr>
  </w:style>
  <w:style w:type="character" w:styleId="989" w:customStyle="1">
    <w:name w:val="time"/>
    <w:qFormat/>
    <w:rPr>
      <w:rFonts w:ascii="Arial" w:hAnsi="Arial" w:cs="Arial"/>
    </w:rPr>
  </w:style>
  <w:style w:type="character" w:styleId="990" w:customStyle="1">
    <w:name w:val="Plain Text Char"/>
    <w:link w:val="991"/>
    <w:qFormat/>
    <w:rPr>
      <w:rFonts w:ascii="宋体" w:hAnsi="Courier New" w:eastAsia="楷体_GB2312" w:cs="Times New Roman"/>
      <w:sz w:val="26"/>
    </w:rPr>
  </w:style>
  <w:style w:type="paragraph" w:styleId="991" w:customStyle="1">
    <w:name w:val="纯文本3"/>
    <w:basedOn w:val="916"/>
    <w:link w:val="990"/>
    <w:qFormat/>
    <w:rPr>
      <w:rFonts w:ascii="宋体" w:hAnsi="Courier New" w:eastAsia="楷体_GB2312"/>
      <w:sz w:val="26"/>
      <w:szCs w:val="22"/>
    </w:rPr>
  </w:style>
  <w:style w:type="character" w:styleId="992" w:customStyle="1">
    <w:name w:val="hour_am"/>
    <w:qFormat/>
  </w:style>
  <w:style w:type="character" w:styleId="993" w:customStyle="1">
    <w:name w:val="NormalCharacter"/>
    <w:semiHidden/>
    <w:qFormat/>
    <w:rPr>
      <w:rFonts w:ascii="Times New Roman" w:hAnsi="Times New Roman" w:eastAsia="宋体" w:cs="Times New Roman"/>
    </w:rPr>
  </w:style>
  <w:style w:type="paragraph" w:styleId="994" w:customStyle="1">
    <w:name w:val="纯文本2"/>
    <w:basedOn w:val="916"/>
    <w:qFormat/>
    <w:rPr>
      <w:rFonts w:ascii="宋体" w:hAnsi="Courier New"/>
    </w:rPr>
  </w:style>
  <w:style w:type="paragraph" w:styleId="995" w:customStyle="1">
    <w:name w:val="文本正文"/>
    <w:basedOn w:val="916"/>
    <w:qFormat/>
    <w:pPr>
      <w:ind w:firstLine="560"/>
      <w:jc w:val="left"/>
      <w:spacing w:line="360" w:lineRule="auto"/>
    </w:pPr>
    <w:rPr>
      <w:sz w:val="28"/>
      <w:szCs w:val="28"/>
    </w:rPr>
  </w:style>
  <w:style w:type="paragraph" w:styleId="996" w:customStyle="1">
    <w:name w:val="Plain Text1"/>
    <w:basedOn w:val="916"/>
    <w:qFormat/>
    <w:pPr>
      <w:jc w:val="left"/>
      <w:widowControl/>
    </w:pPr>
    <w:rPr>
      <w:rFonts w:ascii="宋体" w:hAnsi="Courier New" w:eastAsia="楷体_GB2312"/>
      <w:sz w:val="26"/>
      <w:szCs w:val="20"/>
    </w:rPr>
  </w:style>
  <w:style w:type="paragraph" w:styleId="997" w:customStyle="1">
    <w:name w:val="纯文本4"/>
    <w:basedOn w:val="916"/>
    <w:qFormat/>
    <w:rPr>
      <w:rFonts w:ascii="宋体" w:hAnsi="Courier New" w:eastAsia="楷体_GB2312"/>
      <w:sz w:val="26"/>
      <w:szCs w:val="20"/>
    </w:rPr>
  </w:style>
  <w:style w:type="paragraph" w:styleId="998" w:customStyle="1">
    <w:name w:val="Default"/>
    <w:qFormat/>
    <w:pPr>
      <w:widowControl w:val="off"/>
    </w:pPr>
    <w:rPr>
      <w:rFonts w:ascii="宋体"/>
      <w:color w:val="000000"/>
      <w:sz w:val="24"/>
      <w:szCs w:val="24"/>
    </w:rPr>
  </w:style>
  <w:style w:type="paragraph" w:styleId="999">
    <w:name w:val="List Paragraph"/>
    <w:basedOn w:val="916"/>
    <w:uiPriority w:val="99"/>
    <w:qFormat/>
    <w:pPr>
      <w:ind w:firstLine="420"/>
    </w:pPr>
  </w:style>
  <w:style w:type="paragraph" w:styleId="1000" w:customStyle="1">
    <w:name w:val="纯文本1"/>
    <w:basedOn w:val="916"/>
    <w:qFormat/>
    <w:rPr>
      <w:rFonts w:ascii="宋体" w:hAnsi="Courier New" w:eastAsia="楷体_GB2312"/>
      <w:sz w:val="28"/>
      <w:szCs w:val="20"/>
    </w:rPr>
  </w:style>
  <w:style w:type="paragraph" w:styleId="1001" w:customStyle="1">
    <w:name w:val="修订1"/>
    <w:uiPriority w:val="99"/>
    <w:unhideWhenUsed/>
    <w:qFormat/>
    <w:rPr>
      <w:sz w:val="21"/>
      <w:szCs w:val="24"/>
    </w:rPr>
  </w:style>
  <w:style w:type="paragraph" w:styleId="1002" w:customStyle="1">
    <w:name w:val="纯文本5"/>
    <w:basedOn w:val="916"/>
    <w:qFormat/>
    <w:rPr>
      <w:rFonts w:ascii="宋体" w:hAnsi="Courier New" w:eastAsia="楷体_GB2312"/>
      <w:sz w:val="26"/>
      <w:szCs w:val="20"/>
    </w:rPr>
  </w:style>
  <w:style w:type="paragraph" w:styleId="1003" w:customStyle="1">
    <w:name w:val="纯文本6"/>
    <w:basedOn w:val="916"/>
    <w:qFormat/>
    <w:rPr>
      <w:rFonts w:ascii="宋体" w:hAnsi="Courier New" w:eastAsia="楷体_GB2312"/>
      <w:sz w:val="26"/>
      <w:szCs w:val="20"/>
    </w:rPr>
  </w:style>
  <w:style w:type="character" w:styleId="1004" w:customStyle="1">
    <w:name w:val="font21"/>
    <w:basedOn w:val="922"/>
    <w:qFormat/>
    <w:rPr>
      <w:rFonts w:hint="eastAsia" w:ascii="宋体" w:hAnsi="宋体" w:eastAsia="宋体" w:cs="宋体"/>
      <w:color w:val="000000"/>
      <w:sz w:val="22"/>
      <w:szCs w:val="22"/>
      <w:u w:val="none"/>
    </w:rPr>
  </w:style>
  <w:style w:type="paragraph" w:styleId="1005" w:customStyle="1">
    <w:name w:val="正文1"/>
    <w:basedOn w:val="916"/>
    <w:qFormat/>
    <w:rPr>
      <w:rFonts w:ascii="宋体" w:hAnsi="宋体" w:cs="宋体"/>
      <w:sz w:val="24"/>
      <w:szCs w:val="20"/>
      <w:lang w:eastAsia="en-US"/>
    </w:rPr>
  </w:style>
  <w:style w:type="paragraph" w:styleId="1006" w:customStyle="1">
    <w:name w:val="Table Paragraph"/>
    <w:basedOn w:val="916"/>
    <w:uiPriority w:val="1"/>
    <w:qFormat/>
    <w:rPr>
      <w:rFonts w:ascii="宋体" w:hAnsi="宋体" w:cs="宋体"/>
      <w:lang w:val="zh-CN" w:bidi="zh-CN"/>
    </w:rPr>
  </w:style>
  <w:style w:type="paragraph" w:styleId="1007" w:customStyle="1">
    <w:name w:val="Andy_3级"/>
    <w:basedOn w:val="916"/>
    <w:qFormat/>
    <w:pPr>
      <w:ind w:firstLine="510"/>
      <w:spacing w:line="360" w:lineRule="auto"/>
    </w:pPr>
    <w:rPr>
      <w:rFonts w:ascii="Calibri" w:hAnsi="Calibri"/>
      <w:sz w:val="24"/>
    </w:rPr>
  </w:style>
  <w:style w:type="character" w:styleId="1008" w:customStyle="1">
    <w:name w:val="font51"/>
    <w:basedOn w:val="922"/>
    <w:qFormat/>
    <w:rPr>
      <w:rFonts w:hint="eastAsia" w:ascii="宋体" w:hAnsi="宋体" w:eastAsia="宋体" w:cs="宋体"/>
      <w:color w:val="000000"/>
      <w:sz w:val="22"/>
      <w:szCs w:val="22"/>
      <w:u w:val="none"/>
    </w:rPr>
  </w:style>
  <w:style w:type="character" w:styleId="1009" w:customStyle="1">
    <w:name w:val="font31"/>
    <w:basedOn w:val="922"/>
    <w:qFormat/>
    <w:rPr>
      <w:rFonts w:hint="default" w:ascii="Times New Roman" w:hAnsi="Times New Roman" w:cs="Times New Roman"/>
      <w:color w:val="000000"/>
      <w:sz w:val="22"/>
      <w:szCs w:val="22"/>
      <w:u w:val="none"/>
    </w:rPr>
  </w:style>
  <w:style w:type="character" w:styleId="1010" w:customStyle="1">
    <w:name w:val="font11"/>
    <w:basedOn w:val="922"/>
    <w:qFormat/>
    <w:rPr>
      <w:rFonts w:hint="eastAsia" w:ascii="宋体" w:hAnsi="宋体" w:eastAsia="宋体" w:cs="宋体"/>
      <w:color w:val="000000"/>
      <w:sz w:val="22"/>
      <w:szCs w:val="22"/>
      <w:u w:val="none"/>
    </w:rPr>
  </w:style>
  <w:style w:type="paragraph" w:styleId="1011" w:customStyle="1">
    <w:name w:val="文档结构图1"/>
    <w:basedOn w:val="916"/>
    <w:uiPriority w:val="99"/>
    <w:qFormat/>
    <w:pPr>
      <w:shd w:val="clear" w:color="auto" w:fill="000080"/>
    </w:pPr>
  </w:style>
  <w:style w:type="paragraph" w:styleId="1012" w:customStyle="1">
    <w:name w:val="纯文本7"/>
    <w:basedOn w:val="916"/>
    <w:qFormat/>
    <w:rPr>
      <w:rFonts w:ascii="宋体" w:hAnsi="Courier New" w:eastAsia="楷体_GB2312"/>
      <w:sz w:val="26"/>
      <w:szCs w:val="20"/>
    </w:rPr>
  </w:style>
  <w:style w:type="paragraph" w:styleId="1013" w:customStyle="1">
    <w:name w:val="列出段落1"/>
    <w:basedOn w:val="916"/>
    <w:qFormat/>
    <w:pPr>
      <w:ind w:firstLine="420"/>
    </w:pPr>
    <w:rPr>
      <w:szCs w:val="21"/>
    </w:rPr>
  </w:style>
  <w:style w:type="paragraph" w:styleId="1014" w:customStyle="1">
    <w:name w:val="正文缩进1"/>
    <w:basedOn w:val="916"/>
    <w:qFormat/>
    <w:pPr>
      <w:ind w:firstLine="420"/>
      <w:jc w:val="left"/>
    </w:pPr>
    <w:rPr>
      <w:rFonts w:eastAsia="楷体_GB2312"/>
    </w:rPr>
  </w:style>
  <w:style w:type="paragraph" w:styleId="1015" w:customStyle="1">
    <w:name w:val="纯文本8"/>
    <w:basedOn w:val="916"/>
    <w:qFormat/>
    <w:rPr>
      <w:rFonts w:ascii="宋体" w:hAnsi="Courier New" w:eastAsia="楷体_GB2312"/>
      <w:sz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路丽丽</cp:lastModifiedBy>
  <cp:revision>46</cp:revision>
  <dcterms:created xsi:type="dcterms:W3CDTF">2024-06-06T00:59:00Z</dcterms:created>
  <dcterms:modified xsi:type="dcterms:W3CDTF">2026-08-13T06:56:59Z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A0292E6F0B014DB685BC929B9EBF56A3_13</vt:lpwstr>
  </property>
  <property fmtid="{D5CDD505-2E9C-101B-9397-08002B2CF9AE}" pid="4" name="KSOTemplateDocerSaveRecord">
    <vt:lpwstr>eyJoZGlkIjoiZGRlNGE1OWE1NDIxZDAwMTQwZTBiZjRjOWQyYjZkMDIiLCJ1c2VySWQiOiIxMDQzMzQ5ODU4In0=</vt:lpwstr>
  </property>
</Properties>
</file>