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0"/>
        <w:rPr>
          <w:rFonts w:hint="eastAsia"/>
          <w:highlight w:val="none"/>
        </w:rPr>
      </w:pPr>
      <w:r>
        <w:rPr>
          <w:rFonts w:hint="eastAsia"/>
          <w:highlight w:val="none"/>
        </w:rPr>
      </w:r>
      <w:r/>
    </w:p>
    <w:p>
      <w:pPr>
        <w:pStyle w:val="961"/>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eastAsia="宋体" w:cs="Times New Roman"/>
          <w:b/>
          <w:color w:val="000000"/>
          <w:sz w:val="30"/>
          <w:szCs w:val="30"/>
          <w:highlight w:val="none"/>
          <w:lang w:val="en-US" w:eastAsia="zh-CN"/>
        </w:rPr>
        <w:t xml:space="preserve">葛关路629号食堂送餐梯采购项目</w:t>
      </w:r>
      <w:r>
        <w:rPr>
          <w:rFonts w:eastAsia="宋体" w:cs="Times New Roman"/>
          <w:b/>
          <w:color w:val="000000"/>
          <w:sz w:val="30"/>
          <w:szCs w:val="30"/>
          <w:highlight w:val="none"/>
          <w:u w:val="single"/>
          <w:lang w:val="en-US" w:eastAsia="zh-CN"/>
        </w:rPr>
      </w:r>
      <w:r/>
    </w:p>
    <w:p>
      <w:pPr>
        <w:pStyle w:val="87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JSZC-320192-JZCG-G2026-0056</w:t>
      </w:r>
      <w:r>
        <w:rPr>
          <w:rFonts w:hint="eastAsia" w:eastAsia="宋体" w:cs="Times New Roman"/>
          <w:b/>
          <w:color w:val="000000"/>
          <w:sz w:val="30"/>
          <w:szCs w:val="30"/>
          <w:highlight w:val="none"/>
          <w:lang w:eastAsia="zh-CN"/>
        </w:rPr>
      </w:r>
      <w:r/>
    </w:p>
    <w:p>
      <w:pPr>
        <w:pStyle w:val="87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ind w:firstLine="0"/>
        <w:jc w:val="center"/>
        <w:rPr>
          <w:rFonts w:hint="eastAsia"/>
          <w:b/>
          <w:bCs/>
          <w:sz w:val="32"/>
          <w:highlight w:val="none"/>
          <w:lang w:eastAsia="zh-CN"/>
        </w:rPr>
      </w:pPr>
      <w:r>
        <w:rPr>
          <w:rFonts w:hint="eastAsia"/>
          <w:b/>
          <w:bCs/>
          <w:sz w:val="32"/>
          <w:highlight w:val="none"/>
          <w:lang w:eastAsia="zh-CN"/>
        </w:rPr>
        <w:t xml:space="preserve">南京市公共资源交易中心江北新区分中心</w:t>
      </w:r>
      <w:r>
        <w:rPr>
          <w:rFonts w:hint="eastAsia"/>
          <w:b/>
          <w:bCs/>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28359002"/>
      <w:r/>
      <w:bookmarkStart w:id="8" w:name="_Toc28359079"/>
      <w:r/>
      <w:bookmarkStart w:id="9" w:name="_Toc38985263"/>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olor w:val="000000"/>
          <w:sz w:val="24"/>
          <w:szCs w:val="24"/>
          <w:highlight w:val="none"/>
        </w:rPr>
      </w:pPr>
      <w:r/>
      <w:bookmarkEnd w:id="11"/>
      <w:r/>
      <w:bookmarkStart w:id="12" w:name="_Toc28359003"/>
      <w:r/>
      <w:bookmarkStart w:id="13" w:name="_Toc35393622"/>
      <w:r/>
      <w:bookmarkStart w:id="14" w:name="_Toc35393791"/>
      <w:r/>
      <w:bookmarkStart w:id="15" w:name="_Toc38985264"/>
      <w:r/>
      <w:bookmarkStart w:id="16" w:name="_Toc28359080"/>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JSZC-320192-JZCG-G2026-0056 </w:t>
      </w:r>
      <w:r>
        <w:rPr>
          <w:rFonts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葛关路629号食堂送餐梯采购项目</w:t>
      </w:r>
      <w:r>
        <w:rPr>
          <w:rFonts w:hint="eastAsia" w:ascii="宋体" w:hAnsi="宋体" w:eastAsia="宋体"/>
          <w:color w:val="000000"/>
          <w:sz w:val="24"/>
          <w:szCs w:val="24"/>
          <w:highlight w:val="none"/>
          <w:lang w:eastAsia="zh-CN"/>
        </w:rPr>
      </w:r>
      <w:r/>
    </w:p>
    <w:p>
      <w:pPr>
        <w:pStyle w:val="871"/>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3万元</w:t>
      </w:r>
      <w:r>
        <w:rPr>
          <w:rFonts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3万元</w:t>
      </w:r>
      <w:r>
        <w:rPr>
          <w:rFonts w:hint="eastAsia" w:ascii="宋体" w:hAnsi="宋体" w:eastAsia="宋体" w:cs="宋体"/>
          <w:color w:val="000000"/>
          <w:sz w:val="24"/>
          <w:szCs w:val="24"/>
          <w:highlight w:val="none"/>
          <w:lang w:eastAsia="zh-CN"/>
        </w:rPr>
      </w:r>
      <w:r/>
    </w:p>
    <w:p>
      <w:pPr>
        <w:pStyle w:val="871"/>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zh-CN"/>
        </w:rPr>
        <w:t xml:space="preserve">本项目计划在</w:t>
      </w:r>
      <w:r>
        <w:rPr>
          <w:rFonts w:hint="eastAsia" w:ascii="宋体" w:hAnsi="宋体"/>
          <w:color w:val="000000"/>
          <w:sz w:val="24"/>
          <w:szCs w:val="24"/>
          <w:highlight w:val="none"/>
        </w:rPr>
        <w:t xml:space="preserve">葛关路629号食堂</w:t>
      </w:r>
      <w:r>
        <w:rPr>
          <w:rFonts w:hint="eastAsia" w:ascii="宋体" w:hAnsi="宋体"/>
          <w:color w:val="000000"/>
          <w:sz w:val="24"/>
          <w:szCs w:val="24"/>
          <w:highlight w:val="none"/>
          <w:lang w:val="zh-CN"/>
        </w:rPr>
        <w:t xml:space="preserve">加装送餐电梯。</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1"/>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60天（合同签订后60天内交付并完成安装调试及验收等相关工作。）</w:t>
      </w:r>
      <w:r>
        <w:rPr>
          <w:rFonts w:hint="eastAsia" w:ascii="宋体" w:hAnsi="宋体" w:eastAsia="宋体"/>
          <w:color w:val="000000"/>
          <w:sz w:val="24"/>
          <w:szCs w:val="24"/>
          <w:highlight w:val="none"/>
          <w:lang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8985265"/>
      <w:r/>
      <w:bookmarkStart w:id="19" w:name="_Toc28359004"/>
      <w:r/>
      <w:bookmarkStart w:id="20" w:name="_Toc35393792"/>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s="宋体"/>
          <w:sz w:val="24"/>
          <w:szCs w:val="24"/>
          <w:highlight w:val="none"/>
        </w:rPr>
      </w:pPr>
      <w:r/>
      <w:bookmarkStart w:id="22" w:name="_Toc28359005"/>
      <w:r/>
      <w:bookmarkStart w:id="23" w:name="_Toc35393793"/>
      <w:r/>
      <w:bookmarkStart w:id="24" w:name="_Toc35393624"/>
      <w:r/>
      <w:bookmarkStart w:id="25" w:name="_Toc38985266"/>
      <w:r/>
      <w:bookmarkStart w:id="26" w:name="_Toc28359082"/>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1"/>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84"/>
      <w:r/>
      <w:bookmarkStart w:id="28" w:name="_Toc28359007"/>
      <w:r/>
      <w:bookmarkStart w:id="29" w:name="_Toc38985267"/>
      <w:r/>
      <w:bookmarkStart w:id="30" w:name="_Toc35393794"/>
      <w:r/>
      <w:bookmarkStart w:id="31"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4</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1"/>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627"/>
      <w:r/>
      <w:bookmarkStart w:id="36" w:name="_Toc28359085"/>
      <w:r/>
      <w:bookmarkStart w:id="37" w:name="_Toc28359008"/>
      <w:r/>
      <w:bookmarkStart w:id="38" w:name="_Toc38985269"/>
      <w:r/>
      <w:bookmarkStart w:id="39" w:name="_Toc35393796"/>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1"/>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color w:val="0000ff"/>
          <w:sz w:val="24"/>
          <w:szCs w:val="24"/>
          <w:highlight w:val="none"/>
        </w:rPr>
      </w:r>
      <w:r/>
    </w:p>
    <w:p>
      <w:pPr>
        <w:pStyle w:val="871"/>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t>
      </w:r>
      <w:r>
        <w:rPr>
          <w:rFonts w:hint="eastAsia" w:ascii="宋体" w:hAnsi="宋体" w:eastAsia="宋体" w:cs="宋体"/>
          <w:color w:val="000000"/>
          <w:sz w:val="24"/>
          <w:szCs w:val="24"/>
          <w:highlight w:val="none"/>
          <w:lang w:eastAsia="zh-CN"/>
        </w:rPr>
        <w:t xml:space="preserve">（www.ccgp-jiangsu.gov.cn）更正公告。</w:t>
      </w:r>
      <w:r>
        <w:rPr>
          <w:rFonts w:hint="eastAsia" w:ascii="宋体" w:hAnsi="宋体" w:eastAsia="宋体" w:cs="宋体"/>
          <w:color w:val="000000"/>
          <w:sz w:val="24"/>
          <w:szCs w:val="24"/>
          <w:highlight w:val="none"/>
          <w:lang w:eastAsia="zh-CN"/>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采购人《质疑函》收件人：胡文峰，收件地址：</w:t>
      </w:r>
      <w:r>
        <w:rPr>
          <w:rFonts w:hint="eastAsia" w:ascii="宋体" w:hAnsi="宋体" w:eastAsia="宋体" w:cs="Times New Roman"/>
          <w:color w:val="000000"/>
          <w:sz w:val="24"/>
          <w:szCs w:val="21"/>
          <w:highlight w:val="none"/>
          <w:u w:val="none"/>
          <w:lang w:val="en-US" w:eastAsia="zh-CN"/>
        </w:rPr>
        <w:t xml:space="preserve">南京市江北新区太子山路8号307室，</w:t>
      </w:r>
      <w:r>
        <w:rPr>
          <w:rFonts w:hint="eastAsia" w:ascii="宋体" w:hAnsi="宋体" w:eastAsia="宋体" w:cs="Times New Roman"/>
          <w:b w:val="0"/>
          <w:bCs w:val="0"/>
          <w:color w:val="000000"/>
          <w:sz w:val="24"/>
          <w:highlight w:val="none"/>
          <w:lang w:val="en-US" w:eastAsia="zh-CN"/>
        </w:rPr>
        <w:t xml:space="preserve">联系电话：025-58380502。</w:t>
      </w:r>
      <w:r>
        <w:rPr>
          <w:rFonts w:hint="eastAsia" w:ascii="宋体" w:hAnsi="宋体" w:eastAsia="宋体" w:cs="Times New Roman"/>
          <w:b w:val="0"/>
          <w:bCs w:val="0"/>
          <w:color w:val="000000"/>
          <w:sz w:val="24"/>
          <w:highlight w:val="none"/>
          <w:lang w:val="en-US" w:eastAsia="zh-CN"/>
        </w:rPr>
      </w:r>
      <w:r/>
    </w:p>
    <w:p>
      <w:pPr>
        <w:pStyle w:val="871"/>
        <w:ind w:firstLine="372"/>
        <w:jc w:val="both"/>
        <w:keepLines/>
        <w:keepNext/>
        <w:spacing w:before="120" w:after="120" w:line="252" w:lineRule="auto"/>
        <w:widowControl w:val="off"/>
        <w:rPr>
          <w:rFonts w:hint="eastAsia" w:ascii="宋体" w:hAnsi="宋体" w:eastAsia="宋体" w:cs="Times New Roman"/>
          <w:b w:val="0"/>
          <w:bCs w:val="0"/>
          <w:color w:val="000000"/>
          <w:sz w:val="24"/>
          <w:szCs w:val="32"/>
          <w:highlight w:val="none"/>
          <w:lang w:val="en-US" w:eastAsia="zh-CN" w:bidi="ar-SA"/>
        </w:rPr>
        <w:outlineLvl w:val="2"/>
      </w:pPr>
      <w:r>
        <w:rPr>
          <w:rFonts w:hint="eastAsia" w:ascii="宋体" w:hAnsi="宋体" w:eastAsia="宋体" w:cs="Times New Roman"/>
          <w:b w:val="0"/>
          <w:bCs w:val="0"/>
          <w:color w:val="000000"/>
          <w:sz w:val="24"/>
          <w:szCs w:val="32"/>
          <w:highlight w:val="none"/>
          <w:lang w:val="en-US" w:eastAsia="zh-CN" w:bidi="ar-SA"/>
        </w:rPr>
        <w:t xml:space="preserve">交易中心《质疑函》收件人：业务受理窗口（快递运单上的收件人填写“业务受理窗口”即可），收件地址：南京市江北新区天浦路1号5号楼一楼大厅业务受理窗口，联系电话：025-58150937。</w:t>
      </w:r>
      <w:r>
        <w:rPr>
          <w:rFonts w:hint="eastAsia" w:ascii="宋体" w:hAnsi="宋体" w:eastAsia="宋体" w:cs="Times New Roman"/>
          <w:b w:val="0"/>
          <w:bCs w:val="0"/>
          <w:color w:val="000000"/>
          <w:sz w:val="24"/>
          <w:szCs w:val="32"/>
          <w:highlight w:val="none"/>
          <w:lang w:val="en-US" w:eastAsia="zh-CN" w:bidi="ar-SA"/>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称：南京市六合区人民政府大厂街道办事处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color w:val="000000"/>
          <w:sz w:val="24"/>
          <w:szCs w:val="21"/>
          <w:highlight w:val="none"/>
          <w:u w:val="none"/>
          <w:lang w:val="en-US" w:eastAsia="zh-CN"/>
        </w:rPr>
        <w:t xml:space="preserve">南京市江北新区太子山路8号307室</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联系人：胡老师</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b w:val="0"/>
          <w:bCs w:val="0"/>
          <w:color w:val="000000"/>
          <w:sz w:val="24"/>
          <w:highlight w:val="none"/>
          <w:lang w:val="en-US" w:eastAsia="zh-CN"/>
        </w:rPr>
        <w:t xml:space="preserve">025-58380502</w:t>
      </w:r>
      <w:r>
        <w:rPr>
          <w:rFonts w:hint="eastAsia" w:ascii="宋体" w:hAnsi="宋体" w:eastAsia="宋体" w:cs="Times New Roman"/>
          <w:color w:val="000000"/>
          <w:sz w:val="24"/>
          <w:szCs w:val="24"/>
          <w:highlight w:val="none"/>
          <w:u w:val="none"/>
          <w:lang w:val="en-US" w:eastAsia="zh-CN"/>
        </w:rPr>
        <w:t xml:space="preserve"> </w:t>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址：南京市浦口区天浦路1号5号楼    </w:t>
      </w:r>
      <w:r>
        <w:rPr>
          <w:rFonts w:hint="eastAsia" w:ascii="宋体" w:hAnsi="宋体" w:eastAsia="宋体" w:cs="Times New Roman"/>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联系人：郑老师</w:t>
      </w:r>
      <w:r>
        <w:rPr>
          <w:rFonts w:hint="eastAsia" w:ascii="宋体" w:hAnsi="宋体" w:eastAsia="宋体" w:cs="Times New Roman"/>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联系电话：025-58150958 </w:t>
      </w:r>
      <w:r>
        <w:rPr>
          <w:rFonts w:hint="eastAsia" w:ascii="宋体" w:hAnsi="宋体" w:eastAsia="宋体" w:cs="Times New Roman"/>
          <w:sz w:val="24"/>
          <w:szCs w:val="24"/>
          <w:highlight w:val="none"/>
          <w:u w:val="none"/>
          <w:lang w:val="en-US" w:eastAsia="zh-CN"/>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1"/>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b/>
          <w:bCs/>
          <w:color w:val="000000"/>
          <w:sz w:val="24"/>
        </w:rPr>
        <w:t xml:space="preserve">南京江北新区管理委员会</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479757207"/>
      <w:r/>
      <w:bookmarkStart w:id="44" w:name="_Toc20823314"/>
      <w:r/>
      <w:bookmarkStart w:id="45" w:name="_Toc120614221"/>
      <w:r/>
      <w:bookmarkStart w:id="46" w:name="_Toc16938558"/>
      <w:r/>
      <w:bookmarkStart w:id="47" w:name="_Toc513029242"/>
      <w:r>
        <w:rPr>
          <w:rFonts w:hint="eastAsia" w:ascii="宋体" w:hAnsi="宋体" w:eastAsia="宋体" w:cs="Times New Roman"/>
          <w:color w:val="000000"/>
          <w:sz w:val="24"/>
          <w:highlight w:val="none"/>
          <w:lang w:val="zh-CN" w:eastAsia="zh-CN"/>
        </w:rPr>
      </w:r>
      <w:r/>
    </w:p>
    <w:p>
      <w:pPr>
        <w:pStyle w:val="95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0"/>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1"/>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513029243"/>
      <w:r/>
      <w:bookmarkStart w:id="49" w:name="_Toc16938559"/>
      <w:r/>
      <w:bookmarkStart w:id="50" w:name="_Toc20823315"/>
      <w:r/>
      <w:bookmarkStart w:id="51" w:name="_Hlt16619350"/>
      <w:r/>
      <w:bookmarkStart w:id="52" w:name="_Toc20823346"/>
      <w:r/>
      <w:bookmarkStart w:id="53" w:name="_Toc16938590"/>
      <w:r/>
      <w:bookmarkStart w:id="54" w:name="_Toc120614244"/>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南京市公共资源交易中心江北新区分中心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rFonts w:hint="eastAsia"/>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合同签订后，</w:t>
      </w:r>
      <w:r>
        <w:rPr>
          <w:rFonts w:hint="eastAsia" w:ascii="宋体" w:hAnsi="宋体" w:eastAsia="宋体" w:cs="Courier New"/>
          <w:color w:val="000000"/>
          <w:sz w:val="24"/>
          <w:szCs w:val="24"/>
          <w:highlight w:val="none"/>
          <w:lang w:val="en-US" w:eastAsia="zh-CN"/>
        </w:rPr>
        <w:t xml:space="preserve">供货结束并验收合格后，甲方支付合同总价款的80%。剩余20%质保期结束后支付。</w:t>
      </w:r>
      <w:r>
        <w:rPr>
          <w:rFonts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spacing w:line="264" w:lineRule="auto"/>
        <w:rPr>
          <w:rFonts w:eastAsia="宋体"/>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highlight w:val="none"/>
          <w:lang w:val="en-US"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5%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5%</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bookmarkEnd w:id="48"/>
      <w:r/>
      <w:bookmarkEnd w:id="49"/>
      <w:r/>
      <w:bookmarkEnd w:id="50"/>
      <w:r/>
      <w:bookmarkStart w:id="57" w:name="_Hlt16619369"/>
      <w:r/>
      <w:bookmarkEnd w:id="57"/>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cs="Courier New"/>
          <w:color w:val="000000"/>
          <w:sz w:val="24"/>
          <w:szCs w:val="24"/>
          <w:lang w:val="zh-CN"/>
        </w:rPr>
      </w:pPr>
      <w:r>
        <w:rPr>
          <w:rFonts w:hint="eastAsia" w:ascii="宋体" w:hAnsi="宋体" w:cs="Courier New"/>
          <w:color w:val="000000"/>
          <w:sz w:val="24"/>
          <w:szCs w:val="24"/>
          <w:lang w:val="zh-CN"/>
        </w:rPr>
        <w:t xml:space="preserve">本项目根据葛关路629号食堂区域整体规划需要，同时满足一楼和二楼用餐需求，计划在葛关路629号食堂加装送餐电梯，项目包括需供应商提供安装和调试服务，保障设备运转并通过验收。</w:t>
      </w:r>
      <w:r>
        <w:rPr>
          <w:rFonts w:hint="eastAsia" w:ascii="宋体" w:hAnsi="宋体" w:cs="Courier New"/>
          <w:color w:val="000000"/>
          <w:sz w:val="24"/>
          <w:szCs w:val="24"/>
          <w:lang w:val="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1"/>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zh-CN"/>
        </w:rPr>
        <w:t xml:space="preserve">所投产品满足招标文件产品标准和规范要求及《特种设备安全监察条例》最新、《电梯检验规则》最新的要求，同时应达到下列标准和规范最新版本的要求：</w:t>
      </w:r>
      <w:r>
        <w:rPr>
          <w:rFonts w:hint="eastAsia" w:ascii="宋体" w:hAnsi="宋体" w:eastAsia="宋体" w:cs="Times New Roman"/>
          <w:bCs w:val="0"/>
          <w:color w:val="000000"/>
          <w:sz w:val="24"/>
          <w:szCs w:val="24"/>
          <w:highlight w:val="none"/>
          <w:lang w:val="zh-CN"/>
        </w:rPr>
      </w:r>
      <w:r/>
    </w:p>
    <w:p>
      <w:pPr>
        <w:pStyle w:val="871"/>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en-US" w:eastAsia="zh-CN"/>
        </w:rPr>
        <w:t xml:space="preserve">1</w:t>
      </w:r>
      <w:r>
        <w:rPr>
          <w:rFonts w:hint="eastAsia" w:ascii="宋体" w:hAnsi="宋体" w:eastAsia="宋体" w:cs="Times New Roman"/>
          <w:bCs w:val="0"/>
          <w:color w:val="000000"/>
          <w:sz w:val="24"/>
          <w:szCs w:val="24"/>
          <w:highlight w:val="none"/>
          <w:lang w:val="zh-CN"/>
        </w:rPr>
        <w:t xml:space="preserve">．曳引机符合《GB7588—2003电梯制造与安装安全规范》；</w:t>
      </w:r>
      <w:r>
        <w:rPr>
          <w:rFonts w:hint="eastAsia" w:ascii="宋体" w:hAnsi="宋体" w:eastAsia="宋体" w:cs="Times New Roman"/>
          <w:bCs w:val="0"/>
          <w:color w:val="000000"/>
          <w:sz w:val="24"/>
          <w:szCs w:val="24"/>
          <w:highlight w:val="none"/>
          <w:lang w:val="zh-CN"/>
        </w:rPr>
      </w:r>
      <w:r/>
    </w:p>
    <w:p>
      <w:pPr>
        <w:pStyle w:val="871"/>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en-US" w:eastAsia="zh-CN"/>
        </w:rPr>
        <w:t xml:space="preserve">2</w:t>
      </w:r>
      <w:r>
        <w:rPr>
          <w:rFonts w:hint="eastAsia" w:ascii="宋体" w:hAnsi="宋体" w:eastAsia="宋体" w:cs="Times New Roman"/>
          <w:bCs w:val="0"/>
          <w:color w:val="000000"/>
          <w:sz w:val="24"/>
          <w:szCs w:val="24"/>
          <w:highlight w:val="none"/>
          <w:lang w:val="zh-CN"/>
        </w:rPr>
        <w:t xml:space="preserve">．电梯主要参数符合《GB25194-2010杂物电梯制造与安装安全规范》；</w:t>
      </w:r>
      <w:r>
        <w:rPr>
          <w:rFonts w:hint="eastAsia" w:ascii="宋体" w:hAnsi="宋体" w:eastAsia="宋体" w:cs="Times New Roman"/>
          <w:bCs w:val="0"/>
          <w:color w:val="000000"/>
          <w:sz w:val="24"/>
          <w:szCs w:val="24"/>
          <w:highlight w:val="none"/>
          <w:lang w:val="zh-CN"/>
        </w:rPr>
      </w:r>
      <w:r/>
    </w:p>
    <w:p>
      <w:pPr>
        <w:pStyle w:val="871"/>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en-US" w:eastAsia="zh-CN"/>
        </w:rPr>
        <w:t xml:space="preserve">3</w:t>
      </w:r>
      <w:r>
        <w:rPr>
          <w:rFonts w:hint="eastAsia" w:ascii="宋体" w:hAnsi="宋体" w:eastAsia="宋体" w:cs="Times New Roman"/>
          <w:bCs w:val="0"/>
          <w:color w:val="000000"/>
          <w:sz w:val="24"/>
          <w:szCs w:val="24"/>
          <w:highlight w:val="none"/>
          <w:lang w:val="zh-CN"/>
        </w:rPr>
        <w:t xml:space="preserve">．设计制造符合《GB25194-2010 杂物电梯制造与安装安全规范》</w:t>
      </w:r>
      <w:r>
        <w:rPr>
          <w:rFonts w:hint="eastAsia" w:ascii="宋体" w:hAnsi="宋体" w:eastAsia="宋体" w:cs="Times New Roman"/>
          <w:bCs w:val="0"/>
          <w:color w:val="000000"/>
          <w:sz w:val="24"/>
          <w:szCs w:val="24"/>
          <w:highlight w:val="none"/>
          <w:lang w:val="zh-CN"/>
        </w:rPr>
      </w:r>
      <w:r/>
    </w:p>
    <w:p>
      <w:pPr>
        <w:pStyle w:val="871"/>
        <w:ind w:firstLine="480"/>
        <w:spacing w:line="288" w:lineRule="auto"/>
        <w:rPr>
          <w:rFonts w:hint="eastAsia" w:ascii="宋体" w:hAnsi="宋体" w:eastAsia="宋体" w:cs="Times New Roman"/>
          <w:bCs w:val="0"/>
          <w:color w:val="000000"/>
          <w:sz w:val="24"/>
          <w:szCs w:val="24"/>
          <w:highlight w:val="none"/>
          <w:lang w:val="zh-CN"/>
        </w:rPr>
      </w:pPr>
      <w:r>
        <w:rPr>
          <w:rFonts w:hint="eastAsia" w:ascii="宋体" w:hAnsi="宋体" w:eastAsia="宋体" w:cs="Times New Roman"/>
          <w:bCs w:val="0"/>
          <w:color w:val="000000"/>
          <w:sz w:val="24"/>
          <w:szCs w:val="24"/>
          <w:highlight w:val="none"/>
          <w:lang w:val="zh-CN"/>
        </w:rPr>
        <w:t xml:space="preserve">招标文件涉及标准中未标年号的一律采用最新的标准；随着标准的修订，以修订后的最新标准为依据。</w:t>
      </w:r>
      <w:r>
        <w:rPr>
          <w:rFonts w:hint="eastAsia" w:ascii="宋体" w:hAnsi="宋体" w:eastAsia="宋体" w:cs="Times New Roman"/>
          <w:bCs w:val="0"/>
          <w:color w:val="000000"/>
          <w:sz w:val="24"/>
          <w:szCs w:val="24"/>
          <w:highlight w:val="none"/>
          <w:lang w:val="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Style w:val="987"/>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871"/>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61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2"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871"/>
              <w:ind w:firstLine="7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w:t>
            </w:r>
            <w:r>
              <w:rPr>
                <w:rFonts w:hint="eastAsia" w:ascii="宋体" w:hAnsi="宋体" w:eastAsia="宋体" w:cs="宋体"/>
                <w:bCs/>
                <w:color w:val="000000"/>
                <w:sz w:val="24"/>
                <w:szCs w:val="24"/>
                <w:highlight w:val="none"/>
                <w:lang w:val="en-US" w:eastAsia="zh-CN"/>
              </w:rPr>
            </w:r>
            <w:r/>
          </w:p>
        </w:tc>
        <w:tc>
          <w:tcPr>
            <w:tcW w:w="37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355"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30000</w:t>
            </w:r>
            <w:r>
              <w:rPr>
                <w:rFonts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52"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否</w:t>
            </w:r>
            <w:r>
              <w:rPr>
                <w:rFonts w:ascii="宋体" w:hAnsi="宋体" w:eastAsia="宋体" w:cs="宋体"/>
                <w:bCs/>
                <w:color w:val="000000"/>
                <w:sz w:val="24"/>
                <w:szCs w:val="24"/>
                <w:highlight w:val="none"/>
                <w:lang w:val="en-US" w:eastAsia="zh-CN" w:bidi="ar-SA"/>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950"/>
        <w:rPr>
          <w:rFonts w:hint="eastAsia"/>
        </w:rPr>
      </w:pPr>
      <w:r>
        <w:rPr>
          <w:rFonts w:hint="eastAsia"/>
        </w:rPr>
      </w:r>
      <w:r/>
    </w:p>
    <w:tbl>
      <w:tblPr>
        <w:tblW w:w="94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89"/>
        <w:gridCol w:w="1063"/>
        <w:gridCol w:w="1871"/>
        <w:gridCol w:w="1807"/>
        <w:gridCol w:w="2789"/>
      </w:tblGrid>
      <w:tr>
        <w:trPr>
          <w:trHeight w:val="434"/>
        </w:trPr>
        <w:tc>
          <w:tcPr>
            <w:gridSpan w:val="5"/>
            <w:tcBorders>
              <w:top w:val="single" w:color="000000" w:sz="4" w:space="0"/>
              <w:left w:val="single" w:color="000000" w:sz="4" w:space="0"/>
              <w:bottom w:val="single" w:color="000000" w:sz="4" w:space="0"/>
              <w:right w:val="single" w:color="000000" w:sz="4" w:space="0"/>
            </w:tcBorders>
            <w:tcW w:w="9419" w:type="dxa"/>
            <w:vAlign w:val="center"/>
            <w:textDirection w:val="lrTb"/>
            <w:noWrap w:val="false"/>
          </w:tcPr>
          <w:p>
            <w:pPr>
              <w:pStyle w:val="950"/>
              <w:rPr>
                <w:rFonts w:hint="eastAsia"/>
              </w:rPr>
            </w:pPr>
            <w:r>
              <w:rPr>
                <w:rFonts w:hint="eastAsia"/>
              </w:rPr>
              <w:t xml:space="preserve">技术参数不低于以下要求</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restart"/>
            <w:textDirection w:val="lrTb"/>
            <w:noWrap w:val="false"/>
          </w:tcPr>
          <w:p>
            <w:pPr>
              <w:pStyle w:val="950"/>
              <w:ind w:left="0" w:firstLine="0"/>
              <w:rPr>
                <w:rFonts w:hint="eastAsia"/>
              </w:rPr>
            </w:pPr>
            <w:r>
              <w:rPr>
                <w:rFonts w:hint="eastAsia"/>
              </w:rPr>
              <w:t xml:space="preserve">建筑尺寸</w:t>
            </w:r>
            <w:r>
              <w:rPr>
                <w:rFonts w:hint="eastAsia"/>
                <w:lang w:val="zh-CN"/>
              </w:rPr>
              <w:t xml:space="preserve">（仅供参考，</w:t>
            </w:r>
            <w:r>
              <w:rPr>
                <w:rFonts w:hint="eastAsia"/>
              </w:rPr>
              <w:t xml:space="preserve">以现场实际为准</w:t>
            </w:r>
            <w:r>
              <w:rPr>
                <w:rFonts w:hint="eastAsia"/>
                <w:lang w:val="zh-CN"/>
              </w:rPr>
              <w:t xml:space="preserve">）</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井道尺寸（宽*深mm）</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宽1300*深1100</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★开门尺寸（宽*高mm）</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宽800*高800</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★轿厢尺寸（宽*深mm）</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宽800*深800</w:t>
            </w:r>
            <w:r>
              <w:rPr>
                <w:rFonts w:hint="eastAsia"/>
              </w:rPr>
            </w:r>
            <w:r/>
          </w:p>
        </w:tc>
      </w:tr>
      <w:tr>
        <w:trPr>
          <w:trHeight w:val="308"/>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★轿厢净高（mm）</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高800</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底坑深度（mm）</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无</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restart"/>
            <w:textDirection w:val="lrTb"/>
            <w:noWrap w:val="false"/>
          </w:tcPr>
          <w:p>
            <w:pPr>
              <w:pStyle w:val="950"/>
              <w:ind w:left="0" w:firstLine="0"/>
              <w:rPr>
                <w:rFonts w:hint="eastAsia"/>
              </w:rPr>
            </w:pPr>
            <w:r>
              <w:rPr>
                <w:rFonts w:hint="eastAsia"/>
              </w:rPr>
              <w:t xml:space="preserve">配置</w:t>
            </w:r>
            <w:r>
              <w:rPr>
                <w:rFonts w:hint="eastAsia"/>
              </w:rPr>
            </w:r>
            <w:r/>
          </w:p>
          <w:p>
            <w:pPr>
              <w:pStyle w:val="950"/>
              <w:ind w:left="0" w:firstLine="0"/>
              <w:rPr>
                <w:rFonts w:hint="eastAsia"/>
              </w:rPr>
            </w:pPr>
            <w:r>
              <w:rPr>
                <w:rFonts w:hint="eastAsia"/>
              </w:rPr>
              <w:t xml:space="preserve">要求（餐梯）</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拖动方式</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曳引驱动</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传动方式</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曳引机</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控制方式</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单控</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开门方式</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中分</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电源适应</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动力电源：AC 3相 380V 50Hz</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速度</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≥0.4m/s</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层站门</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电梯1.2</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★载重</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≥100kg</w:t>
            </w:r>
            <w:r>
              <w:rPr>
                <w:rFonts w:hint="eastAsia"/>
              </w:rPr>
            </w:r>
            <w:r/>
          </w:p>
        </w:tc>
      </w:tr>
      <w:tr>
        <w:trPr>
          <w:trHeight w:val="90"/>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提升高度（mm）</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以现场尺寸为准</w:t>
            </w:r>
            <w:r>
              <w:rPr>
                <w:rFonts w:hint="eastAsia"/>
              </w:rPr>
            </w:r>
            <w:r/>
          </w:p>
        </w:tc>
      </w:tr>
      <w:tr>
        <w:trPr>
          <w:trHeight w:val="580"/>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电梯轿厢运行时垂直方向和水平方向的振动加速度</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符合国标</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平层准确度</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±5mm</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gridSpan w:val="2"/>
            <w:tcBorders>
              <w:top w:val="single" w:color="000000" w:sz="4" w:space="0"/>
              <w:left w:val="single" w:color="000000" w:sz="4" w:space="0"/>
              <w:bottom w:val="single" w:color="000000" w:sz="4" w:space="0"/>
              <w:right w:val="single" w:color="000000" w:sz="4" w:space="0"/>
            </w:tcBorders>
            <w:tcW w:w="2934" w:type="dxa"/>
            <w:vAlign w:val="center"/>
            <w:textDirection w:val="lrTb"/>
            <w:noWrap w:val="false"/>
          </w:tcPr>
          <w:p>
            <w:pPr>
              <w:pStyle w:val="950"/>
              <w:ind w:left="0" w:firstLine="0"/>
              <w:rPr>
                <w:rFonts w:hint="eastAsia"/>
              </w:rPr>
            </w:pPr>
            <w:r>
              <w:rPr>
                <w:rFonts w:hint="eastAsia"/>
              </w:rPr>
              <w:t xml:space="preserve">驱动主机噪声</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前：63.8，后：63.6，左63.5，右63.4，背景45.0</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restart"/>
            <w:textDirection w:val="lrTb"/>
            <w:noWrap w:val="false"/>
          </w:tcPr>
          <w:p>
            <w:pPr>
              <w:pStyle w:val="950"/>
              <w:ind w:left="0" w:firstLine="0"/>
              <w:rPr>
                <w:rFonts w:hint="eastAsia"/>
              </w:rPr>
            </w:pPr>
            <w:r>
              <w:rPr>
                <w:rFonts w:hint="eastAsia"/>
              </w:rPr>
              <w:t xml:space="preserve">内外</w:t>
            </w:r>
            <w:r>
              <w:rPr>
                <w:rFonts w:hint="eastAsia"/>
              </w:rPr>
            </w:r>
            <w:r/>
          </w:p>
          <w:p>
            <w:pPr>
              <w:pStyle w:val="950"/>
              <w:ind w:left="0" w:firstLine="0"/>
              <w:rPr>
                <w:rFonts w:hint="eastAsia"/>
              </w:rPr>
            </w:pPr>
            <w:r>
              <w:rPr>
                <w:rFonts w:hint="eastAsia"/>
              </w:rPr>
              <w:t xml:space="preserve">装饰</w:t>
            </w:r>
            <w:r>
              <w:rPr>
                <w:rFonts w:hint="eastAsia"/>
              </w:rPr>
            </w:r>
            <w:r/>
          </w:p>
          <w:p>
            <w:pPr>
              <w:pStyle w:val="950"/>
              <w:ind w:left="0" w:firstLine="0"/>
              <w:rPr>
                <w:rFonts w:hint="eastAsia"/>
              </w:rPr>
            </w:pPr>
            <w:r>
              <w:rPr>
                <w:rFonts w:hint="eastAsia"/>
              </w:rPr>
              <w:t xml:space="preserve">要求</w:t>
            </w: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pStyle w:val="950"/>
              <w:rPr>
                <w:rFonts w:hint="eastAsia"/>
              </w:rPr>
            </w:pPr>
            <w:r>
              <w:rPr>
                <w:rFonts w:hint="eastAsia"/>
              </w:rPr>
              <w:t xml:space="preserve">轿厢</w:t>
            </w: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50"/>
              <w:ind w:left="0" w:firstLine="0"/>
              <w:rPr>
                <w:rFonts w:hint="eastAsia"/>
              </w:rPr>
            </w:pPr>
            <w:r>
              <w:rPr>
                <w:rFonts w:hint="eastAsia"/>
              </w:rPr>
              <w:t xml:space="preserve">轿厢顶</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jc w:val="left"/>
              <w:rPr>
                <w:rFonts w:hint="eastAsia"/>
              </w:rPr>
            </w:pPr>
            <w:r>
              <w:rPr>
                <w:rFonts w:hint="eastAsia"/>
              </w:rPr>
              <w:t xml:space="preserve">发纹不锈钢</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50"/>
              <w:ind w:left="0" w:firstLine="0"/>
              <w:rPr>
                <w:rFonts w:hint="eastAsia"/>
              </w:rPr>
            </w:pPr>
            <w:r>
              <w:rPr>
                <w:rFonts w:hint="eastAsia"/>
              </w:rPr>
              <w:t xml:space="preserve">★轿厢壁</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jc w:val="left"/>
              <w:rPr>
                <w:rFonts w:hint="eastAsia"/>
              </w:rPr>
            </w:pPr>
            <w:r>
              <w:rPr>
                <w:rFonts w:hint="eastAsia"/>
              </w:rPr>
              <w:t xml:space="preserve">1.0mm发纹不锈钢</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50"/>
              <w:ind w:left="0" w:firstLine="0"/>
              <w:rPr>
                <w:rFonts w:hint="eastAsia"/>
              </w:rPr>
            </w:pPr>
            <w:r>
              <w:rPr>
                <w:rFonts w:hint="eastAsia"/>
              </w:rPr>
              <w:t xml:space="preserve">★轿厢门</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jc w:val="left"/>
              <w:rPr>
                <w:rFonts w:hint="eastAsia"/>
              </w:rPr>
            </w:pPr>
            <w:r>
              <w:rPr>
                <w:rFonts w:hint="eastAsia"/>
              </w:rPr>
              <w:t xml:space="preserve">1.0mm发纹不锈钢</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pStyle w:val="950"/>
              <w:rPr>
                <w:rFonts w:hint="eastAsia"/>
              </w:rPr>
            </w:pPr>
            <w:r>
              <w:rPr>
                <w:rFonts w:hint="eastAsia"/>
              </w:rPr>
              <w:t xml:space="preserve">厅门</w:t>
            </w:r>
            <w:r>
              <w:rPr>
                <w:rFonts w:hint="eastAsia"/>
              </w:rPr>
            </w:r>
            <w:r/>
          </w:p>
          <w:p>
            <w:pPr>
              <w:pStyle w:val="950"/>
              <w:rPr>
                <w:rFonts w:hint="eastAsia"/>
              </w:rPr>
            </w:pPr>
            <w:r>
              <w:rPr>
                <w:rFonts w:hint="eastAsia"/>
              </w:rPr>
              <w:t xml:space="preserve">及门套</w:t>
            </w: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pStyle w:val="950"/>
              <w:ind w:left="0" w:firstLine="0"/>
              <w:rPr>
                <w:rFonts w:hint="eastAsia"/>
              </w:rPr>
            </w:pPr>
            <w:r>
              <w:rPr>
                <w:rFonts w:hint="eastAsia"/>
              </w:rPr>
              <w:t xml:space="preserve">厅门</w:t>
            </w: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材质</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发纹不锈钢</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厚度</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1.0mm</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颜色</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不锈钢原色</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其他要求</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耐火完整性达120分钟</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pStyle w:val="950"/>
              <w:ind w:left="0" w:firstLine="0"/>
              <w:rPr>
                <w:rFonts w:hint="eastAsia"/>
              </w:rPr>
            </w:pPr>
            <w:r>
              <w:rPr>
                <w:rFonts w:hint="eastAsia"/>
              </w:rPr>
              <w:t xml:space="preserve">小门套</w:t>
            </w: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材质</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发纹不锈钢</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厚度</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1.0mm</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颜色</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不锈钢原色</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pStyle w:val="950"/>
              <w:ind w:left="0" w:firstLine="0"/>
              <w:rPr>
                <w:rFonts w:hint="eastAsia"/>
              </w:rPr>
            </w:pPr>
            <w:r>
              <w:rPr>
                <w:rFonts w:hint="eastAsia"/>
              </w:rPr>
              <w:t xml:space="preserve">楼层召唤</w:t>
            </w: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显示内容</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位置</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面板材质</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发纹不锈钢</w:t>
            </w:r>
            <w:r>
              <w:rPr>
                <w:rFonts w:hint="eastAsia"/>
              </w:rPr>
            </w:r>
            <w:r/>
          </w:p>
        </w:tc>
      </w:tr>
      <w:tr>
        <w:trPr>
          <w:trHeight w:val="285"/>
        </w:trPr>
        <w:tc>
          <w:tcPr>
            <w:tcBorders>
              <w:top w:val="single" w:color="000000" w:sz="4" w:space="0"/>
              <w:left w:val="single" w:color="000000" w:sz="4" w:space="0"/>
              <w:bottom w:val="single" w:color="000000" w:sz="4" w:space="0"/>
              <w:right w:val="single" w:color="000000" w:sz="4" w:space="0"/>
            </w:tcBorders>
            <w:tcW w:w="1889"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95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val="false"/>
          </w:tcPr>
          <w:p>
            <w:pPr>
              <w:pStyle w:val="950"/>
              <w:ind w:left="0" w:firstLine="0"/>
              <w:jc w:val="left"/>
              <w:rPr>
                <w:rFonts w:hint="eastAsia"/>
              </w:rPr>
            </w:pPr>
            <w:r>
              <w:rPr>
                <w:rFonts w:hint="eastAsia"/>
              </w:rPr>
              <w:t xml:space="preserve">安装位置 </w:t>
            </w:r>
            <w:r>
              <w:rPr>
                <w:rFonts w:hint="eastAsia"/>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950"/>
              <w:ind w:left="0" w:firstLine="0"/>
              <w:jc w:val="left"/>
              <w:rPr>
                <w:rFonts w:hint="eastAsia"/>
              </w:rPr>
            </w:pPr>
            <w:r>
              <w:rPr>
                <w:rFonts w:hint="eastAsia"/>
              </w:rPr>
              <w:t xml:space="preserve">餐梯厅门</w:t>
            </w:r>
            <w:r>
              <w:rPr>
                <w:rFonts w:hint="eastAsia"/>
              </w:rPr>
            </w:r>
            <w:r/>
          </w:p>
        </w:tc>
      </w:tr>
      <w:tr>
        <w:trPr>
          <w:trHeight w:val="403"/>
        </w:trPr>
        <w:tc>
          <w:tcPr>
            <w:gridSpan w:val="3"/>
            <w:tcBorders>
              <w:top w:val="single" w:color="000000" w:sz="4" w:space="0"/>
              <w:left w:val="single" w:color="000000" w:sz="4" w:space="0"/>
              <w:bottom w:val="single" w:color="000000" w:sz="4" w:space="0"/>
              <w:right w:val="single" w:color="000000" w:sz="4" w:space="0"/>
            </w:tcBorders>
            <w:tcW w:w="4823" w:type="dxa"/>
            <w:vAlign w:val="center"/>
            <w:textDirection w:val="lrTb"/>
            <w:noWrap w:val="false"/>
          </w:tcPr>
          <w:p>
            <w:pPr>
              <w:pStyle w:val="950"/>
              <w:rPr>
                <w:rFonts w:hint="eastAsia"/>
              </w:rPr>
            </w:pPr>
            <w:r>
              <w:rPr>
                <w:rFonts w:hint="eastAsia"/>
              </w:rPr>
              <w:t xml:space="preserve">功能及要求（餐梯）</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t xml:space="preserve">餐梯功能</w:t>
            </w:r>
            <w:r>
              <w:rPr>
                <w:rFonts w:hint="eastAsia"/>
              </w:rPr>
            </w:r>
            <w:r/>
          </w:p>
          <w:p>
            <w:pPr>
              <w:pStyle w:val="950"/>
              <w:ind w:left="0" w:firstLine="0"/>
              <w:jc w:val="left"/>
              <w:rPr>
                <w:rFonts w:hint="eastAsia"/>
              </w:rPr>
            </w:pPr>
            <w:r>
              <w:rPr>
                <w:rFonts w:hint="eastAsia"/>
              </w:rPr>
              <w:t xml:space="preserve">1.电锁功能</w:t>
            </w:r>
            <w:r>
              <w:rPr>
                <w:rFonts w:hint="eastAsia"/>
              </w:rPr>
            </w:r>
            <w:r/>
          </w:p>
          <w:p>
            <w:pPr>
              <w:pStyle w:val="950"/>
              <w:ind w:left="0" w:firstLine="0"/>
              <w:jc w:val="left"/>
              <w:rPr>
                <w:rFonts w:hint="eastAsia"/>
              </w:rPr>
            </w:pPr>
            <w:r>
              <w:rPr>
                <w:rFonts w:hint="eastAsia"/>
              </w:rPr>
              <w:t xml:space="preserve">基站呼梯盒配备电锁，用于启动和关闭电梯的控制电路。</w:t>
            </w:r>
            <w:r>
              <w:rPr>
                <w:rFonts w:hint="eastAsia"/>
              </w:rPr>
            </w:r>
            <w:r/>
          </w:p>
          <w:p>
            <w:pPr>
              <w:pStyle w:val="950"/>
              <w:ind w:left="0" w:firstLine="0"/>
              <w:jc w:val="left"/>
              <w:rPr>
                <w:rFonts w:hint="eastAsia"/>
              </w:rPr>
            </w:pPr>
            <w:r>
              <w:rPr>
                <w:rFonts w:hint="eastAsia"/>
              </w:rPr>
              <w:t xml:space="preserve">2.自动平层功能</w:t>
            </w:r>
            <w:r>
              <w:rPr>
                <w:rFonts w:hint="eastAsia"/>
              </w:rPr>
            </w:r>
            <w:r/>
          </w:p>
          <w:p>
            <w:pPr>
              <w:pStyle w:val="950"/>
              <w:ind w:left="0" w:firstLine="0"/>
              <w:jc w:val="left"/>
              <w:rPr>
                <w:rFonts w:hint="eastAsia"/>
              </w:rPr>
            </w:pPr>
            <w:r>
              <w:rPr>
                <w:rFonts w:hint="eastAsia"/>
              </w:rPr>
              <w:t xml:space="preserve">当因某种原因，诸如停电或操作不当造成轿厢未停靠在任何一层站的平层位置时，用电锁重新开启电梯，本电梯会自动下行至临近层站平层，并显示停靠的楼层，以便电梯正常运行。</w:t>
            </w:r>
            <w:r>
              <w:rPr>
                <w:rFonts w:hint="eastAsia"/>
              </w:rPr>
            </w:r>
            <w:r/>
          </w:p>
          <w:p>
            <w:pPr>
              <w:pStyle w:val="950"/>
              <w:ind w:left="0" w:firstLine="0"/>
              <w:jc w:val="left"/>
              <w:rPr>
                <w:rFonts w:hint="eastAsia"/>
              </w:rPr>
            </w:pPr>
            <w:r>
              <w:rPr>
                <w:rFonts w:hint="eastAsia"/>
              </w:rPr>
              <w:t xml:space="preserve">3.电气门联锁功能</w:t>
            </w:r>
            <w:r>
              <w:rPr>
                <w:rFonts w:hint="eastAsia"/>
              </w:rPr>
            </w:r>
            <w:r/>
          </w:p>
          <w:p>
            <w:pPr>
              <w:pStyle w:val="950"/>
              <w:ind w:left="0" w:firstLine="0"/>
              <w:jc w:val="left"/>
              <w:rPr>
                <w:rFonts w:hint="eastAsia"/>
              </w:rPr>
            </w:pPr>
            <w:r>
              <w:rPr>
                <w:rFonts w:hint="eastAsia"/>
              </w:rPr>
              <w:t xml:space="preserve">各层厅门均有电气门联锁开关，当任何一层厅门打开时，电梯停止运行，保证人员使用安全。</w:t>
            </w:r>
            <w:r>
              <w:rPr>
                <w:rFonts w:hint="eastAsia"/>
              </w:rPr>
            </w:r>
            <w:r/>
          </w:p>
          <w:p>
            <w:pPr>
              <w:pStyle w:val="950"/>
              <w:ind w:left="0" w:firstLine="0"/>
              <w:jc w:val="left"/>
              <w:rPr>
                <w:rFonts w:hint="eastAsia"/>
              </w:rPr>
            </w:pPr>
            <w:r>
              <w:rPr>
                <w:rFonts w:hint="eastAsia"/>
              </w:rPr>
              <w:t xml:space="preserve">4.层门机械锁功能</w:t>
            </w:r>
            <w:r>
              <w:rPr>
                <w:rFonts w:hint="eastAsia"/>
              </w:rPr>
            </w:r>
            <w:r/>
          </w:p>
          <w:p>
            <w:pPr>
              <w:pStyle w:val="950"/>
              <w:ind w:left="0" w:firstLine="0"/>
              <w:jc w:val="left"/>
              <w:rPr>
                <w:rFonts w:hint="eastAsia"/>
                <w:color w:val="000000"/>
                <w:highlight w:val="none"/>
              </w:rPr>
            </w:pPr>
            <w:r>
              <w:rPr>
                <w:rFonts w:hint="eastAsia"/>
              </w:rPr>
              <w:t xml:space="preserve">每层厅门均装有机械门锁，</w:t>
            </w:r>
            <w:r>
              <w:rPr>
                <w:rFonts w:hint="eastAsia" w:eastAsia="宋体"/>
                <w:color w:val="000000"/>
                <w:highlight w:val="none"/>
                <w:lang w:val="en-US" w:eastAsia="zh-CN"/>
              </w:rPr>
              <w:t xml:space="preserve">用于特殊情况时开启</w:t>
            </w:r>
            <w:r>
              <w:rPr>
                <w:rFonts w:hint="eastAsia"/>
                <w:color w:val="000000"/>
                <w:highlight w:val="none"/>
              </w:rPr>
              <w:t xml:space="preserve">。</w:t>
            </w:r>
            <w:r>
              <w:rPr>
                <w:rFonts w:hint="eastAsia"/>
                <w:color w:val="000000"/>
                <w:highlight w:val="none"/>
              </w:rPr>
            </w:r>
            <w:r/>
          </w:p>
          <w:p>
            <w:pPr>
              <w:pStyle w:val="950"/>
              <w:ind w:left="0" w:firstLine="0"/>
              <w:jc w:val="left"/>
              <w:rPr>
                <w:rFonts w:hint="eastAsia"/>
                <w:color w:val="000000"/>
                <w:highlight w:val="none"/>
              </w:rPr>
            </w:pPr>
            <w:r>
              <w:rPr>
                <w:rFonts w:hint="eastAsia"/>
                <w:color w:val="000000"/>
                <w:highlight w:val="none"/>
              </w:rPr>
              <w:t xml:space="preserve">5.开关门指示功能  </w:t>
            </w:r>
            <w:r>
              <w:rPr>
                <w:rFonts w:hint="eastAsia"/>
                <w:color w:val="000000"/>
                <w:highlight w:val="none"/>
              </w:rPr>
            </w:r>
            <w:r/>
          </w:p>
          <w:p>
            <w:pPr>
              <w:pStyle w:val="950"/>
              <w:ind w:left="0" w:firstLine="0"/>
              <w:jc w:val="left"/>
              <w:rPr>
                <w:rFonts w:hint="eastAsia"/>
                <w:color w:val="000000"/>
                <w:highlight w:val="none"/>
              </w:rPr>
            </w:pPr>
            <w:r>
              <w:rPr>
                <w:rFonts w:hint="eastAsia"/>
                <w:color w:val="000000"/>
                <w:highlight w:val="none"/>
              </w:rPr>
              <w:t xml:space="preserve">电梯运行到站后，开启层门数码显示所在层站，指示灯显示层门开启，所有层门均关闭好后显示指示灯灭。此时电梯可以正常运行。</w:t>
            </w:r>
            <w:r>
              <w:rPr>
                <w:rFonts w:hint="eastAsia"/>
                <w:color w:val="000000"/>
                <w:highlight w:val="none"/>
              </w:rPr>
            </w:r>
            <w:r/>
          </w:p>
          <w:p>
            <w:pPr>
              <w:pStyle w:val="950"/>
              <w:ind w:left="0" w:firstLine="0"/>
              <w:jc w:val="left"/>
              <w:rPr>
                <w:rFonts w:hint="eastAsia"/>
                <w:color w:val="000000"/>
                <w:highlight w:val="none"/>
              </w:rPr>
            </w:pPr>
            <w:r>
              <w:rPr>
                <w:rFonts w:hint="eastAsia"/>
                <w:color w:val="000000"/>
                <w:highlight w:val="none"/>
              </w:rPr>
              <w:t xml:space="preserve">6.轿厢位置运行方向显示功能</w:t>
            </w:r>
            <w:r>
              <w:rPr>
                <w:rFonts w:hint="eastAsia"/>
                <w:color w:val="000000"/>
                <w:highlight w:val="none"/>
              </w:rPr>
            </w:r>
            <w:r/>
          </w:p>
          <w:p>
            <w:pPr>
              <w:pStyle w:val="950"/>
              <w:ind w:left="0" w:firstLine="0"/>
              <w:jc w:val="left"/>
              <w:rPr>
                <w:rFonts w:hint="eastAsia"/>
                <w:color w:val="000000"/>
                <w:highlight w:val="none"/>
              </w:rPr>
            </w:pPr>
            <w:r>
              <w:rPr>
                <w:rFonts w:hint="eastAsia"/>
                <w:color w:val="000000"/>
                <w:highlight w:val="none"/>
              </w:rPr>
              <w:t xml:space="preserve">每层厅外呼梯盒上均有电梯上下运行方向指示箭头，箭头亮时表示电梯正按箭头所指方向运行；箭头灭时，则电梯已停止运行，轿厢位置由数字显示所在楼层。</w:t>
            </w:r>
            <w:r>
              <w:rPr>
                <w:rFonts w:hint="eastAsia"/>
                <w:color w:val="000000"/>
                <w:highlight w:val="none"/>
              </w:rPr>
            </w:r>
            <w:r/>
          </w:p>
          <w:p>
            <w:pPr>
              <w:pStyle w:val="950"/>
              <w:ind w:left="0" w:firstLine="0"/>
              <w:jc w:val="left"/>
              <w:rPr>
                <w:rFonts w:hint="eastAsia"/>
                <w:color w:val="000000"/>
                <w:highlight w:val="none"/>
              </w:rPr>
            </w:pPr>
            <w:r>
              <w:rPr>
                <w:rFonts w:hint="eastAsia"/>
                <w:color w:val="000000"/>
                <w:highlight w:val="none"/>
              </w:rPr>
              <w:t xml:space="preserve">7.故障显示自动诊断功能</w:t>
            </w:r>
            <w:r>
              <w:rPr>
                <w:rFonts w:hint="eastAsia"/>
                <w:color w:val="000000"/>
                <w:highlight w:val="none"/>
              </w:rPr>
            </w:r>
            <w:r/>
          </w:p>
          <w:p>
            <w:pPr>
              <w:pStyle w:val="950"/>
              <w:ind w:left="0" w:firstLine="0"/>
              <w:jc w:val="left"/>
              <w:rPr>
                <w:rFonts w:hint="eastAsia"/>
                <w:color w:val="000000"/>
                <w:highlight w:val="none"/>
              </w:rPr>
            </w:pPr>
            <w:r>
              <w:rPr>
                <w:rFonts w:hint="eastAsia" w:eastAsia="宋体"/>
                <w:color w:val="000000"/>
                <w:highlight w:val="none"/>
                <w:lang w:val="en-US" w:eastAsia="zh-CN"/>
              </w:rPr>
              <w:t xml:space="preserve">电梯配备故障显示自动诊断功能，</w:t>
            </w:r>
            <w:r>
              <w:rPr>
                <w:rFonts w:hint="eastAsia"/>
                <w:color w:val="000000"/>
                <w:highlight w:val="none"/>
              </w:rPr>
              <w:t xml:space="preserve">当电梯出现故障时，厅外显示会以代码形式不断闪烁，从而诊断故障及原因。</w:t>
            </w:r>
            <w:r>
              <w:rPr>
                <w:rFonts w:hint="eastAsia"/>
                <w:color w:val="000000"/>
                <w:highlight w:val="none"/>
              </w:rPr>
            </w:r>
            <w:r/>
          </w:p>
          <w:p>
            <w:pPr>
              <w:pStyle w:val="950"/>
              <w:ind w:left="0" w:firstLine="0"/>
              <w:jc w:val="left"/>
              <w:rPr>
                <w:rFonts w:hint="eastAsia"/>
              </w:rPr>
            </w:pPr>
            <w:r>
              <w:rPr>
                <w:rFonts w:hint="eastAsia"/>
              </w:rPr>
              <w:t xml:space="preserve">8.呼梯应答功能 </w:t>
            </w:r>
            <w:r>
              <w:rPr>
                <w:rFonts w:hint="eastAsia"/>
              </w:rPr>
            </w:r>
            <w:r/>
          </w:p>
          <w:p>
            <w:pPr>
              <w:pStyle w:val="950"/>
              <w:ind w:left="0" w:firstLine="0"/>
              <w:jc w:val="left"/>
              <w:rPr>
                <w:rFonts w:hint="eastAsia"/>
              </w:rPr>
            </w:pPr>
            <w:r>
              <w:rPr>
                <w:rFonts w:hint="eastAsia"/>
              </w:rPr>
              <w:t xml:space="preserve">按下呼梯按钮，被选楼层按钮指示灯亮，到站后撤消记忆，指示灯灭。</w:t>
            </w:r>
            <w:r>
              <w:rPr>
                <w:rFonts w:hint="eastAsia"/>
              </w:rPr>
            </w:r>
            <w:r/>
          </w:p>
          <w:p>
            <w:pPr>
              <w:pStyle w:val="950"/>
              <w:ind w:left="0" w:firstLine="0"/>
              <w:jc w:val="left"/>
              <w:rPr>
                <w:rFonts w:hint="eastAsia"/>
              </w:rPr>
            </w:pPr>
            <w:r>
              <w:rPr>
                <w:rFonts w:hint="eastAsia"/>
              </w:rPr>
              <w:t xml:space="preserve">9.遇障自动停机功能</w:t>
            </w:r>
            <w:r>
              <w:rPr>
                <w:rFonts w:hint="eastAsia"/>
              </w:rPr>
            </w:r>
            <w:r/>
          </w:p>
          <w:p>
            <w:pPr>
              <w:pStyle w:val="950"/>
              <w:ind w:left="0" w:firstLine="0"/>
              <w:jc w:val="left"/>
              <w:rPr>
                <w:rFonts w:hint="eastAsia"/>
              </w:rPr>
            </w:pPr>
            <w:r>
              <w:rPr>
                <w:rFonts w:hint="eastAsia"/>
              </w:rPr>
              <w:t xml:space="preserve">当轿厢或对重遇到障碍时，电梯主机运行时间大于全行程正常运行时间10秒前，电梯主机自动停止运转。</w:t>
            </w:r>
            <w:r>
              <w:rPr>
                <w:rFonts w:hint="eastAsia"/>
              </w:rPr>
            </w:r>
            <w:r/>
          </w:p>
          <w:p>
            <w:pPr>
              <w:pStyle w:val="950"/>
              <w:ind w:left="0" w:firstLine="0"/>
              <w:jc w:val="left"/>
              <w:rPr>
                <w:rFonts w:hint="eastAsia"/>
              </w:rPr>
            </w:pPr>
            <w:r>
              <w:rPr>
                <w:rFonts w:hint="eastAsia"/>
              </w:rPr>
              <w:t xml:space="preserve">10.接触器粘连保护功能</w:t>
            </w:r>
            <w:r>
              <w:rPr>
                <w:rFonts w:hint="eastAsia"/>
              </w:rPr>
            </w:r>
            <w:r/>
          </w:p>
          <w:p>
            <w:pPr>
              <w:pStyle w:val="950"/>
              <w:ind w:left="0" w:firstLine="0"/>
              <w:jc w:val="left"/>
              <w:rPr>
                <w:rFonts w:hint="eastAsia"/>
              </w:rPr>
            </w:pPr>
            <w:r>
              <w:rPr>
                <w:rFonts w:hint="eastAsia"/>
              </w:rPr>
              <w:t xml:space="preserve">如接触器线圈失电后接点未能断开时，电梯不能再次启动以保障安全。</w:t>
            </w:r>
            <w:r>
              <w:rPr>
                <w:rFonts w:hint="eastAsia"/>
              </w:rPr>
            </w:r>
            <w:r/>
          </w:p>
          <w:p>
            <w:pPr>
              <w:pStyle w:val="950"/>
              <w:ind w:left="0" w:firstLine="0"/>
              <w:jc w:val="left"/>
              <w:rPr>
                <w:rFonts w:hint="eastAsia"/>
              </w:rPr>
            </w:pPr>
            <w:r>
              <w:rPr>
                <w:rFonts w:hint="eastAsia"/>
              </w:rPr>
              <w:t xml:space="preserve">11.蜂鸣提示功能</w:t>
            </w:r>
            <w:r>
              <w:rPr>
                <w:rFonts w:hint="eastAsia"/>
              </w:rPr>
            </w:r>
            <w:r/>
          </w:p>
          <w:p>
            <w:pPr>
              <w:pStyle w:val="950"/>
              <w:ind w:left="0" w:firstLine="0"/>
              <w:jc w:val="left"/>
              <w:rPr>
                <w:rFonts w:hint="eastAsia"/>
              </w:rPr>
            </w:pPr>
            <w:r>
              <w:rPr>
                <w:rFonts w:hint="eastAsia"/>
              </w:rPr>
              <w:t xml:space="preserve">具有到站蜂鸣提示功能。</w:t>
            </w:r>
            <w:r>
              <w:rPr>
                <w:rFonts w:hint="eastAsia"/>
              </w:rPr>
            </w:r>
            <w:r/>
          </w:p>
          <w:p>
            <w:pPr>
              <w:pStyle w:val="950"/>
              <w:ind w:left="0" w:firstLine="0"/>
              <w:jc w:val="left"/>
              <w:rPr>
                <w:rFonts w:hint="eastAsia"/>
              </w:rPr>
            </w:pPr>
            <w:r>
              <w:rPr>
                <w:rFonts w:hint="eastAsia"/>
              </w:rPr>
              <w:t xml:space="preserve">12. 缺相、错相保护功能</w:t>
            </w:r>
            <w:r>
              <w:rPr>
                <w:rFonts w:hint="eastAsia"/>
              </w:rPr>
            </w:r>
            <w:r/>
          </w:p>
          <w:p>
            <w:pPr>
              <w:pStyle w:val="950"/>
              <w:ind w:left="0" w:firstLine="0"/>
              <w:jc w:val="left"/>
              <w:rPr>
                <w:rFonts w:hint="eastAsia"/>
              </w:rPr>
            </w:pPr>
            <w:r>
              <w:rPr>
                <w:rFonts w:hint="eastAsia"/>
              </w:rPr>
              <w:t xml:space="preserve">控制系统装有断、错相保护继电器，可防止由于电源相序的变化或缺相而导致的电梯异常运行。</w:t>
            </w:r>
            <w:r>
              <w:rPr>
                <w:rFonts w:hint="eastAsia"/>
              </w:rPr>
            </w:r>
            <w:r/>
          </w:p>
          <w:p>
            <w:pPr>
              <w:pStyle w:val="950"/>
              <w:ind w:left="0" w:firstLine="0"/>
              <w:jc w:val="left"/>
              <w:rPr>
                <w:rFonts w:hint="eastAsia"/>
              </w:rPr>
            </w:pPr>
            <w:r>
              <w:rPr>
                <w:rFonts w:hint="eastAsia"/>
              </w:rPr>
              <w:t xml:space="preserve">13.电机过载保护功能</w:t>
            </w:r>
            <w:r>
              <w:rPr>
                <w:rFonts w:hint="eastAsia"/>
              </w:rPr>
            </w:r>
            <w:r/>
          </w:p>
          <w:p>
            <w:pPr>
              <w:pStyle w:val="950"/>
              <w:ind w:left="0" w:firstLine="0"/>
              <w:jc w:val="left"/>
              <w:rPr>
                <w:rFonts w:hint="eastAsia"/>
              </w:rPr>
            </w:pPr>
            <w:r>
              <w:rPr>
                <w:rFonts w:hint="eastAsia"/>
              </w:rPr>
              <w:t xml:space="preserve">控制系统装有热过载保护继电器，如果轿厢被卡堵，其它保护措施失灵，导致电机过载时，可自动切断电机电源，保护电动机。</w:t>
            </w:r>
            <w:r>
              <w:rPr>
                <w:rFonts w:hint="eastAsia"/>
              </w:rPr>
            </w:r>
            <w:r/>
          </w:p>
          <w:p>
            <w:pPr>
              <w:pStyle w:val="950"/>
              <w:ind w:left="0" w:firstLine="0"/>
              <w:jc w:val="left"/>
              <w:rPr>
                <w:rFonts w:hint="eastAsia"/>
              </w:rPr>
            </w:pPr>
            <w:r>
              <w:rPr>
                <w:rFonts w:hint="eastAsia"/>
              </w:rPr>
              <w:t xml:space="preserve">14.极限保护功能</w:t>
            </w:r>
            <w:r>
              <w:rPr>
                <w:rFonts w:hint="eastAsia"/>
              </w:rPr>
            </w:r>
            <w:r/>
          </w:p>
          <w:p>
            <w:pPr>
              <w:pStyle w:val="950"/>
              <w:ind w:left="0" w:firstLine="0"/>
              <w:jc w:val="left"/>
              <w:rPr>
                <w:rFonts w:hint="eastAsia"/>
              </w:rPr>
            </w:pPr>
            <w:r>
              <w:rPr>
                <w:rFonts w:hint="eastAsia"/>
              </w:rPr>
              <w:t xml:space="preserve">在井道的最上端和最下端装有极限开关，可防止轿厢冲顶或墩底。</w:t>
            </w:r>
            <w:r>
              <w:rPr>
                <w:rFonts w:hint="eastAsia"/>
              </w:rPr>
            </w:r>
            <w:r/>
          </w:p>
          <w:p>
            <w:pPr>
              <w:pStyle w:val="950"/>
              <w:ind w:left="0" w:firstLine="0"/>
              <w:jc w:val="left"/>
              <w:rPr>
                <w:rFonts w:hint="eastAsia"/>
              </w:rPr>
            </w:pPr>
            <w:r>
              <w:rPr>
                <w:rFonts w:hint="eastAsia"/>
              </w:rPr>
              <w:t xml:space="preserve">15.全集选功能</w:t>
            </w:r>
            <w:r>
              <w:rPr>
                <w:rFonts w:hint="eastAsia"/>
              </w:rPr>
            </w:r>
            <w:r/>
          </w:p>
          <w:p>
            <w:pPr>
              <w:pStyle w:val="950"/>
              <w:ind w:left="0" w:firstLine="0"/>
              <w:jc w:val="left"/>
              <w:rPr>
                <w:rFonts w:hint="eastAsia"/>
              </w:rPr>
            </w:pPr>
            <w:r>
              <w:rPr>
                <w:rFonts w:hint="eastAsia"/>
              </w:rPr>
              <w:t xml:space="preserve">可多层同时呼梯，顺向截车，提高使用效率。</w:t>
            </w:r>
            <w:r>
              <w:rPr>
                <w:rFonts w:hint="eastAsia"/>
              </w:rPr>
            </w:r>
            <w:r/>
          </w:p>
          <w:p>
            <w:pPr>
              <w:pStyle w:val="950"/>
              <w:ind w:left="0" w:firstLine="0"/>
              <w:jc w:val="left"/>
              <w:rPr>
                <w:rFonts w:hint="eastAsia"/>
              </w:rPr>
            </w:pPr>
            <w:r>
              <w:rPr>
                <w:rFonts w:hint="eastAsia"/>
              </w:rPr>
              <w:t xml:space="preserve">16.直驶、纠错功能</w:t>
            </w:r>
            <w:r>
              <w:rPr>
                <w:rFonts w:hint="eastAsia"/>
              </w:rPr>
            </w:r>
            <w:r/>
          </w:p>
          <w:p>
            <w:pPr>
              <w:pStyle w:val="950"/>
              <w:ind w:left="0" w:firstLine="0"/>
              <w:jc w:val="left"/>
              <w:rPr>
                <w:rFonts w:hint="eastAsia"/>
              </w:rPr>
            </w:pPr>
            <w:r>
              <w:rPr>
                <w:rFonts w:hint="eastAsia"/>
              </w:rPr>
              <w:t xml:space="preserve">如持续按某层呼梯按钮3秒以上可直驶到该层，同时取消其它层呼梯登记。</w:t>
            </w:r>
            <w:r>
              <w:rPr>
                <w:rFonts w:hint="eastAsia"/>
              </w:rPr>
            </w:r>
            <w:r/>
          </w:p>
          <w:p>
            <w:pPr>
              <w:pStyle w:val="950"/>
              <w:ind w:left="0" w:firstLine="0"/>
              <w:jc w:val="left"/>
              <w:rPr>
                <w:rFonts w:hint="eastAsia"/>
              </w:rPr>
            </w:pPr>
            <w:r>
              <w:rPr>
                <w:rFonts w:hint="eastAsia"/>
              </w:rPr>
              <w:t xml:space="preserve">17. 接触器机械互锁功能 </w:t>
            </w:r>
            <w:r>
              <w:rPr>
                <w:rFonts w:hint="eastAsia"/>
              </w:rPr>
            </w:r>
            <w:r/>
          </w:p>
          <w:p>
            <w:pPr>
              <w:pStyle w:val="950"/>
              <w:ind w:left="0" w:firstLine="0"/>
              <w:jc w:val="left"/>
              <w:rPr>
                <w:rFonts w:hint="eastAsia"/>
              </w:rPr>
            </w:pPr>
            <w:r>
              <w:rPr>
                <w:rFonts w:hint="eastAsia"/>
              </w:rPr>
              <w:t xml:space="preserve">接触器机械互锁保护，特别保证上、下行运行可靠。</w:t>
            </w:r>
            <w:r>
              <w:rPr>
                <w:rFonts w:hint="eastAsia"/>
              </w:rPr>
            </w:r>
            <w:r/>
          </w:p>
          <w:p>
            <w:pPr>
              <w:pStyle w:val="950"/>
              <w:ind w:left="0" w:firstLine="0"/>
              <w:jc w:val="left"/>
              <w:rPr>
                <w:rFonts w:hint="eastAsia"/>
              </w:rPr>
            </w:pPr>
            <w:r>
              <w:rPr>
                <w:rFonts w:hint="eastAsia"/>
              </w:rPr>
              <w:t xml:space="preserve">18.运行/检修功能  </w:t>
            </w:r>
            <w:r>
              <w:rPr>
                <w:rFonts w:hint="eastAsia"/>
              </w:rPr>
            </w:r>
            <w:r/>
          </w:p>
          <w:p>
            <w:pPr>
              <w:pStyle w:val="950"/>
              <w:ind w:left="0" w:firstLine="0"/>
              <w:jc w:val="left"/>
              <w:rPr>
                <w:rFonts w:hint="eastAsia"/>
              </w:rPr>
            </w:pPr>
            <w:r>
              <w:rPr>
                <w:rFonts w:hint="eastAsia"/>
              </w:rPr>
              <w:t xml:space="preserve">将控制箱内的开关拨到检修位置时，按上下按钮电梯可点动运行。</w:t>
            </w:r>
            <w:r>
              <w:rPr>
                <w:rFonts w:hint="eastAsia"/>
              </w:rPr>
            </w:r>
            <w:r/>
          </w:p>
          <w:p>
            <w:pPr>
              <w:pStyle w:val="950"/>
              <w:ind w:left="0" w:firstLine="0"/>
              <w:jc w:val="left"/>
              <w:rPr>
                <w:rFonts w:hint="eastAsia"/>
              </w:rPr>
            </w:pPr>
            <w:r>
              <w:rPr>
                <w:rFonts w:hint="eastAsia"/>
              </w:rPr>
              <w:t xml:space="preserve">19.故障重新启动功能</w:t>
            </w:r>
            <w:r>
              <w:rPr>
                <w:rFonts w:hint="eastAsia"/>
              </w:rPr>
            </w:r>
            <w:r/>
          </w:p>
          <w:p>
            <w:pPr>
              <w:pStyle w:val="950"/>
              <w:ind w:left="0" w:firstLine="0"/>
              <w:jc w:val="left"/>
              <w:rPr>
                <w:rFonts w:hint="eastAsia"/>
              </w:rPr>
            </w:pPr>
            <w:r>
              <w:rPr>
                <w:rFonts w:hint="eastAsia"/>
              </w:rPr>
              <w:t xml:space="preserve">故障重新启动，解除各种故障或检修状态，只有在排除故障后，并且将电柜内检修/运行开关拨到运行位置，重新送电，电梯才能正常运行，防止误操作，保证安全可靠。</w:t>
            </w:r>
            <w:r>
              <w:rPr>
                <w:rFonts w:hint="eastAsia"/>
              </w:rPr>
            </w:r>
            <w:r/>
          </w:p>
          <w:p>
            <w:pPr>
              <w:pStyle w:val="950"/>
              <w:ind w:left="0" w:firstLine="0"/>
              <w:jc w:val="left"/>
              <w:rPr>
                <w:rFonts w:hint="eastAsia"/>
              </w:rPr>
            </w:pPr>
            <w:r>
              <w:rPr>
                <w:rFonts w:hint="eastAsia"/>
              </w:rPr>
              <w:t xml:space="preserve">20.厅、轿门止动装置</w:t>
            </w:r>
            <w:r>
              <w:rPr>
                <w:rFonts w:hint="eastAsia"/>
              </w:rPr>
            </w:r>
            <w:r/>
          </w:p>
          <w:p>
            <w:pPr>
              <w:pStyle w:val="950"/>
              <w:ind w:left="0" w:firstLine="0"/>
              <w:jc w:val="left"/>
              <w:rPr>
                <w:rFonts w:hint="eastAsia"/>
              </w:rPr>
            </w:pPr>
            <w:r>
              <w:rPr>
                <w:rFonts w:hint="eastAsia"/>
              </w:rPr>
              <w:t xml:space="preserve">在厅、轿门上装有可防止电梯在正常运行中由于厅、轿门的非正常开启而导致电梯非正常停止运行的装置，使电梯运行更加安全可靠。</w:t>
            </w:r>
            <w:r>
              <w:rPr>
                <w:rFonts w:hint="eastAsia"/>
              </w:rPr>
            </w:r>
            <w:r/>
          </w:p>
        </w:tc>
      </w:tr>
      <w:tr>
        <w:trPr>
          <w:trHeight w:val="492"/>
        </w:trPr>
        <w:tc>
          <w:tcPr>
            <w:gridSpan w:val="3"/>
            <w:tcBorders>
              <w:top w:val="single" w:color="000000" w:sz="4" w:space="0"/>
              <w:left w:val="single" w:color="000000" w:sz="4" w:space="0"/>
              <w:bottom w:val="single" w:color="000000" w:sz="4" w:space="0"/>
              <w:right w:val="single" w:color="000000" w:sz="4" w:space="0"/>
            </w:tcBorders>
            <w:tcW w:w="4823" w:type="dxa"/>
            <w:vAlign w:val="center"/>
            <w:textDirection w:val="lrTb"/>
            <w:noWrap w:val="false"/>
          </w:tcPr>
          <w:p>
            <w:pPr>
              <w:pStyle w:val="950"/>
              <w:rPr>
                <w:rFonts w:hint="eastAsia"/>
              </w:rPr>
            </w:pPr>
            <w:r>
              <w:rPr>
                <w:rFonts w:hint="eastAsia"/>
              </w:rPr>
              <w:t xml:space="preserve">其他技术要求</w:t>
            </w:r>
            <w:r>
              <w:rPr>
                <w:rFonts w:hint="eastAsia"/>
              </w:rPr>
            </w:r>
            <w:r/>
          </w:p>
        </w:tc>
        <w:tc>
          <w:tcPr>
            <w:gridSpan w:val="2"/>
            <w:tcBorders>
              <w:top w:val="single" w:color="000000" w:sz="4" w:space="0"/>
              <w:left w:val="single" w:color="000000" w:sz="4" w:space="0"/>
              <w:bottom w:val="single" w:color="000000" w:sz="4" w:space="0"/>
              <w:right w:val="single" w:color="000000" w:sz="4" w:space="0"/>
            </w:tcBorders>
            <w:tcW w:w="4596" w:type="dxa"/>
            <w:vAlign w:val="center"/>
            <w:textDirection w:val="lrTb"/>
            <w:noWrap w:val="false"/>
          </w:tcPr>
          <w:p>
            <w:pPr>
              <w:pStyle w:val="950"/>
              <w:ind w:left="0" w:firstLine="0"/>
              <w:jc w:val="left"/>
              <w:rPr>
                <w:rFonts w:hint="eastAsia"/>
              </w:rPr>
            </w:pPr>
            <w:r>
              <w:rPr>
                <w:rFonts w:hint="eastAsia"/>
              </w:rPr>
            </w:r>
            <w:r>
              <w:rPr>
                <w:rFonts w:hint="eastAsia"/>
              </w:rPr>
              <w:t xml:space="preserve">▲</w:t>
            </w:r>
            <w:r>
              <w:rPr>
                <w:rFonts w:hint="eastAsia"/>
              </w:rPr>
              <w:t xml:space="preserve">1.电源要求：交流三相五线380V±7%，50HZ。</w:t>
            </w:r>
            <w:r>
              <w:rPr>
                <w:rFonts w:hint="eastAsia"/>
              </w:rPr>
            </w:r>
            <w:r/>
          </w:p>
          <w:p>
            <w:pPr>
              <w:pStyle w:val="950"/>
              <w:ind w:left="0" w:firstLine="0"/>
              <w:jc w:val="left"/>
              <w:rPr>
                <w:rFonts w:hint="eastAsia"/>
              </w:rPr>
            </w:pPr>
            <w:r>
              <w:rPr>
                <w:rFonts w:hint="eastAsia"/>
              </w:rPr>
            </w: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rPr>
              <w:t xml:space="preserve">2. 电梯设计制造标准</w:t>
            </w:r>
            <w:r>
              <w:rPr>
                <w:rFonts w:hint="eastAsia" w:eastAsia="宋体"/>
                <w:lang w:eastAsia="zh-CN"/>
              </w:rPr>
              <w:t xml:space="preserve">：</w:t>
            </w:r>
            <w:r>
              <w:rPr>
                <w:rFonts w:hint="eastAsia"/>
              </w:rPr>
              <w:t xml:space="preserve">曳引机符合《GB7588—2003电梯制造与安装安全规范》。</w:t>
            </w:r>
            <w:r>
              <w:rPr>
                <w:rFonts w:hint="eastAsia"/>
              </w:rPr>
            </w:r>
            <w:r/>
          </w:p>
          <w:p>
            <w:pPr>
              <w:pStyle w:val="950"/>
              <w:ind w:left="0" w:firstLine="0"/>
              <w:jc w:val="left"/>
              <w:rPr>
                <w:rFonts w:hint="eastAsia"/>
              </w:rPr>
            </w:pPr>
            <w:r>
              <w:rPr>
                <w:rFonts w:hint="eastAsia"/>
              </w:rPr>
            </w:r>
            <w:r>
              <w:rPr>
                <w:rFonts w:hint="eastAsia"/>
              </w:rPr>
              <w:t xml:space="preserve">▲</w:t>
            </w:r>
            <w:r>
              <w:rPr>
                <w:rFonts w:hint="eastAsia"/>
              </w:rPr>
              <w:t xml:space="preserve">3. 楼层和故障显示，防油、防水、防潮密封式按钮；可点击十万次。</w:t>
            </w:r>
            <w:r>
              <w:rPr>
                <w:rFonts w:hint="eastAsia"/>
              </w:rPr>
            </w:r>
            <w:r/>
          </w:p>
          <w:p>
            <w:pPr>
              <w:pStyle w:val="950"/>
              <w:ind w:left="0" w:firstLine="0"/>
              <w:jc w:val="left"/>
              <w:rPr>
                <w:rFonts w:hint="eastAsia"/>
              </w:rPr>
            </w:pPr>
            <w:r>
              <w:rPr>
                <w:rFonts w:hint="eastAsia"/>
              </w:rPr>
            </w:r>
            <w:r>
              <w:rPr>
                <w:rFonts w:hint="eastAsia"/>
              </w:rPr>
              <w:t xml:space="preserve">▲</w:t>
            </w:r>
            <w:r>
              <w:rPr>
                <w:rFonts w:hint="eastAsia"/>
              </w:rPr>
              <w:t xml:space="preserve">4.正式电缆：供应商负责到电梯配电箱进线端的电缆及机房配电箱出线端到电梯控制柜的电缆。</w:t>
            </w:r>
            <w:r>
              <w:rPr>
                <w:rFonts w:hint="eastAsia"/>
              </w:rPr>
            </w:r>
            <w:r/>
          </w:p>
        </w:tc>
      </w:tr>
    </w:tbl>
    <w:p>
      <w:pPr>
        <w:pStyle w:val="950"/>
        <w:rPr>
          <w:rFonts w:hint="eastAsia"/>
        </w:rPr>
      </w:pPr>
      <w:r>
        <w:rPr>
          <w:rFonts w:hint="eastAsia"/>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供应商负责电梯制作、运输、现场安装调试、向政府相关部门报验并承担相关费用。最终得到政府相关部门验收合格、取得新电梯特种设备注册登记证为止，且为交钥匙工程。</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①供应商应保证货物是全新、未使用过的原装合格正品。</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②供应商应保证提供的产品不得侵犯第三方专利权、商标权和工业设计权、版权等。否则供应商应负全部责任，并承担由此引起的一切后果。</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③供应商提供的货物必须符合国家有关质量技术标准及相关法律、法规规定的要求。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①验收标准：供应商提供的设备必须符合国家最新颁布的与之相关的技术规范与标准，同时须满足符合投标响应文件要求。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④供应商授权的技术人员在最终采购方指定地点开箱、安装、调试，协同用户一起进行验收，直至设备技术指标经验收合格，出具验收报告，经最终用户同意签字才能正式交付用户使用。</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⑤产品配置必须符合投标文件要求。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⑥项目验收时间：向政府相关部门报验，最终得到政府相关部门验收合格、取得新电梯特种设备注册登记证后七个工作日内。</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本项目要求整体质保（维保）期不得低于1年，从验收合格之日起计算。</w:t>
      </w:r>
      <w:r>
        <w:rPr>
          <w:rFonts w:ascii="宋体" w:hAnsi="宋体" w:eastAsia="宋体" w:cs="宋体"/>
          <w:b w:val="0"/>
          <w:bCs w:val="0"/>
          <w:color w:val="000000"/>
          <w:sz w:val="24"/>
          <w:szCs w:val="24"/>
          <w:highlight w:val="none"/>
          <w:lang w:val="en-US" w:eastAsia="zh-CN"/>
        </w:rPr>
        <w:t xml:space="preserve">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w:t>
      </w:r>
      <w:r>
        <w:rPr>
          <w:rFonts w:hint="eastAsia" w:ascii="宋体" w:hAnsi="宋体" w:eastAsia="宋体" w:cs="宋体"/>
          <w:b w:val="0"/>
          <w:bCs w:val="0"/>
          <w:color w:val="000000"/>
          <w:sz w:val="24"/>
          <w:szCs w:val="24"/>
          <w:highlight w:val="none"/>
          <w:lang w:val="en-US" w:eastAsia="zh-CN"/>
        </w:rPr>
        <w:t xml:space="preserve">月</w:t>
      </w:r>
      <w:r>
        <w:rPr>
          <w:rFonts w:ascii="宋体" w:hAnsi="宋体" w:eastAsia="宋体" w:cs="宋体"/>
          <w:b w:val="0"/>
          <w:bCs w:val="0"/>
          <w:color w:val="000000"/>
          <w:sz w:val="24"/>
          <w:szCs w:val="24"/>
          <w:highlight w:val="none"/>
          <w:lang w:val="en-US" w:eastAsia="zh-CN"/>
        </w:rPr>
        <w:t xml:space="preserve">维护保养1次</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维护保养及更换损坏件的费用包含在投标总价中。</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fldChar w:fldCharType="begin"/>
      </w:r>
      <w:r>
        <w:rPr>
          <w:rFonts w:hint="eastAsia" w:ascii="宋体" w:hAnsi="宋体" w:eastAsia="宋体" w:cs="宋体"/>
          <w:b w:val="0"/>
          <w:bCs w:val="0"/>
          <w:color w:val="000000"/>
          <w:sz w:val="24"/>
          <w:szCs w:val="24"/>
          <w:highlight w:val="none"/>
          <w:lang w:val="en-US" w:eastAsia="zh-CN"/>
        </w:rPr>
        <w:instrText xml:space="preserve"> = 3 \* GB3 \* MERGEFORMAT </w:instrText>
      </w:r>
      <w:r>
        <w:rPr>
          <w:rFonts w:hint="eastAsia" w:ascii="宋体" w:hAnsi="宋体" w:eastAsia="宋体" w:cs="宋体"/>
          <w:b w:val="0"/>
          <w:bCs w:val="0"/>
          <w:color w:val="000000"/>
          <w:sz w:val="24"/>
          <w:szCs w:val="24"/>
          <w:highlight w:val="none"/>
          <w:lang w:val="en-US" w:eastAsia="zh-CN"/>
        </w:rPr>
        <w:fldChar w:fldCharType="separate"/>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0"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0"/>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61"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w:t>
      </w:r>
      <w:r>
        <w:rPr>
          <w:rFonts w:hint="eastAsia" w:ascii="宋体" w:hAnsi="宋体" w:eastAsia="宋体" w:cs="宋体"/>
          <w:sz w:val="24"/>
          <w:szCs w:val="24"/>
          <w:highlight w:val="none"/>
          <w:lang w:eastAsia="zh-CN"/>
        </w:rPr>
        <w:t xml:space="preserve">选人。</w:t>
      </w:r>
      <w:r>
        <w:rPr>
          <w:rFonts w:hint="eastAsia" w:ascii="宋体" w:hAnsi="宋体" w:eastAsia="宋体" w:cs="宋体"/>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1"/>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w:t>
      </w:r>
      <w:r>
        <w:rPr>
          <w:rFonts w:hint="eastAsia" w:ascii="宋体" w:hAnsi="宋体" w:eastAsia="宋体" w:cs="宋体"/>
          <w:sz w:val="24"/>
          <w:szCs w:val="24"/>
          <w:highlight w:val="none"/>
        </w:rPr>
        <w:t xml:space="preserve">扣除后的价格参与评审。</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70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rPr>
                <w:rFonts w:hint="eastAsia" w:ascii="宋体" w:hAnsi="宋体" w:eastAsia="宋体" w:cs="宋体"/>
                <w:szCs w:val="21"/>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Times New Roman" w:hAnsi="Times New Roman" w:eastAsia="宋体" w:cs="Times New Roman"/>
                <w:color w:val="000000"/>
                <w:sz w:val="21"/>
                <w:szCs w:val="21"/>
                <w:highlight w:val="none"/>
                <w:lang w:val="en-US" w:bidi="ar-SA"/>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91"/>
        </w:trPr>
        <w:tc>
          <w:tcPr>
            <w:tcW w:w="519" w:type="dxa"/>
            <w:vAlign w:val="center"/>
            <w:textDirection w:val="lrTb"/>
            <w:noWrap w:val="false"/>
          </w:tcPr>
          <w:p>
            <w:pPr>
              <w:pStyle w:val="871"/>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2.2</w:t>
            </w:r>
            <w:r>
              <w:rPr>
                <w:rFonts w:hint="eastAsia"/>
                <w:sz w:val="21"/>
                <w:szCs w:val="22"/>
                <w:lang w:val="en-US" w:eastAsia="zh-CN" w:bidi="ar-SA"/>
              </w:rPr>
            </w:r>
            <w:r/>
          </w:p>
        </w:tc>
        <w:tc>
          <w:tcPr>
            <w:tcW w:w="1179" w:type="dxa"/>
            <w:vAlign w:val="center"/>
            <w:textDirection w:val="lrTb"/>
            <w:noWrap w:val="false"/>
          </w:tcPr>
          <w:p>
            <w:pPr>
              <w:pStyle w:val="871"/>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产品兼容</w:t>
            </w:r>
            <w:r>
              <w:rPr>
                <w:rFonts w:hint="eastAsia"/>
                <w:sz w:val="21"/>
                <w:szCs w:val="22"/>
                <w:lang w:val="en-US" w:eastAsia="zh-CN" w:bidi="ar-SA"/>
              </w:rPr>
            </w:r>
            <w:r/>
          </w:p>
        </w:tc>
        <w:tc>
          <w:tcPr>
            <w:tcW w:w="6330" w:type="dxa"/>
            <w:vAlign w:val="center"/>
            <w:textDirection w:val="lrTb"/>
            <w:noWrap w:val="false"/>
          </w:tcPr>
          <w:p>
            <w:pPr>
              <w:pStyle w:val="871"/>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所投电梯主要部件:曳引机、控制柜、限速器与所投电梯整机为同一品牌每满足1项得2分，最多得6分，未提供不得分。(投标人提供承诺书，格式自拟。)</w:t>
            </w:r>
            <w:r>
              <w:rPr>
                <w:rFonts w:hint="eastAsia"/>
                <w:sz w:val="21"/>
                <w:szCs w:val="22"/>
                <w:lang w:val="en-US" w:eastAsia="zh-CN" w:bidi="ar-SA"/>
              </w:rPr>
            </w:r>
            <w:r/>
          </w:p>
        </w:tc>
        <w:tc>
          <w:tcPr>
            <w:tcW w:w="647" w:type="dxa"/>
            <w:vAlign w:val="center"/>
            <w:textDirection w:val="lrTb"/>
            <w:noWrap w:val="false"/>
          </w:tcPr>
          <w:p>
            <w:pPr>
              <w:pStyle w:val="871"/>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6</w:t>
            </w:r>
            <w:r>
              <w:rPr>
                <w:rFonts w:hint="eastAsia"/>
                <w:sz w:val="21"/>
                <w:szCs w:val="22"/>
                <w:lang w:val="en-US" w:eastAsia="zh-CN" w:bidi="ar-SA"/>
              </w:rPr>
            </w:r>
            <w:r/>
          </w:p>
        </w:tc>
        <w:tc>
          <w:tcPr>
            <w:tcW w:w="900" w:type="dxa"/>
            <w:vAlign w:val="center"/>
            <w:textDirection w:val="lrTb"/>
            <w:noWrap w:val="false"/>
          </w:tcPr>
          <w:p>
            <w:pPr>
              <w:pStyle w:val="871"/>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客观分</w:t>
            </w:r>
            <w:r>
              <w:rPr>
                <w:rFonts w:hint="eastAsia"/>
                <w:sz w:val="21"/>
                <w:szCs w:val="22"/>
                <w:lang w:val="en-US" w:eastAsia="zh-CN" w:bidi="ar-SA"/>
              </w:rPr>
            </w:r>
            <w:r/>
          </w:p>
        </w:tc>
      </w:tr>
      <w:tr>
        <w:trPr>
          <w:trHeight w:val="891"/>
        </w:trPr>
        <w:tc>
          <w:tcPr>
            <w:tcW w:w="519" w:type="dxa"/>
            <w:vAlign w:val="center"/>
            <w:textDirection w:val="lrTb"/>
            <w:noWrap w:val="false"/>
          </w:tcPr>
          <w:p>
            <w:pPr>
              <w:pStyle w:val="871"/>
              <w:jc w:val="center"/>
              <w:spacing w:before="68" w:line="62" w:lineRule="atLeast"/>
              <w:rPr>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2.3</w:t>
            </w:r>
            <w:r>
              <w:rPr>
                <w:sz w:val="21"/>
                <w:szCs w:val="22"/>
                <w:lang w:val="en-US" w:eastAsia="zh-CN" w:bidi="ar-SA"/>
              </w:rPr>
            </w:r>
            <w:r/>
          </w:p>
        </w:tc>
        <w:tc>
          <w:tcPr>
            <w:tcW w:w="1179" w:type="dxa"/>
            <w:vAlign w:val="center"/>
            <w:textDirection w:val="lrTb"/>
            <w:noWrap w:val="false"/>
          </w:tcPr>
          <w:p>
            <w:pPr>
              <w:pStyle w:val="871"/>
              <w:spacing w:before="68" w:line="62" w:lineRule="atLeast"/>
              <w:rPr>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检测报告</w:t>
            </w:r>
            <w:r>
              <w:rPr>
                <w:sz w:val="21"/>
                <w:szCs w:val="22"/>
                <w:lang w:val="en-US" w:eastAsia="zh-CN" w:bidi="ar-SA"/>
              </w:rPr>
            </w:r>
            <w:r/>
          </w:p>
        </w:tc>
        <w:tc>
          <w:tcPr>
            <w:tcW w:w="6330" w:type="dxa"/>
            <w:vAlign w:val="center"/>
            <w:textDirection w:val="lrTb"/>
            <w:noWrap w:val="false"/>
          </w:tcPr>
          <w:p>
            <w:pPr>
              <w:pStyle w:val="871"/>
              <w:spacing w:line="62"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投标人提供202</w:t>
            </w:r>
            <w:r>
              <w:rPr>
                <w:rFonts w:hint="eastAsia" w:ascii="宋体" w:hAnsi="宋体" w:cs="宋体"/>
                <w:color w:val="000000"/>
                <w:szCs w:val="21"/>
              </w:rPr>
              <w:t xml:space="preserve">2</w:t>
            </w:r>
            <w:r>
              <w:rPr>
                <w:rFonts w:ascii="宋体" w:hAnsi="宋体" w:cs="宋体"/>
                <w:color w:val="000000"/>
                <w:szCs w:val="21"/>
              </w:rPr>
              <w:t xml:space="preserve">年1月1日（以报告签发日期为准）以来，具有CMA标识的所投电梯产品检测报告，检测内容如下：</w:t>
            </w:r>
            <w:r>
              <w:rPr>
                <w:rFonts w:hint="eastAsia" w:ascii="宋体" w:hAnsi="宋体" w:cs="宋体"/>
                <w:color w:val="000000"/>
                <w:szCs w:val="21"/>
              </w:rPr>
            </w:r>
            <w:r/>
          </w:p>
          <w:p>
            <w:pPr>
              <w:pStyle w:val="871"/>
              <w:spacing w:line="62"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rPr>
                <w:rFonts w:hint="eastAsia" w:ascii="宋体" w:hAnsi="宋体" w:cs="宋体"/>
                <w:color w:val="000000"/>
                <w:szCs w:val="21"/>
              </w:rPr>
              <w:t xml:space="preserve">曳引机经试验，确认符合TSG T7007-2016《电梯型式试验规则》；</w:t>
            </w:r>
            <w:r>
              <w:rPr>
                <w:rFonts w:hint="eastAsia" w:ascii="宋体" w:hAnsi="宋体" w:cs="宋体"/>
                <w:color w:val="000000"/>
                <w:szCs w:val="21"/>
              </w:rPr>
            </w:r>
            <w:r/>
          </w:p>
          <w:p>
            <w:pPr>
              <w:pStyle w:val="871"/>
              <w:spacing w:line="62"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2.控制柜符合TSG T7007-2016《电梯型式试验规则》；</w:t>
            </w:r>
            <w:r>
              <w:rPr>
                <w:rFonts w:ascii="宋体" w:hAnsi="宋体" w:cs="宋体"/>
                <w:color w:val="000000"/>
                <w:szCs w:val="21"/>
              </w:rPr>
            </w:r>
            <w:r/>
          </w:p>
          <w:p>
            <w:pPr>
              <w:pStyle w:val="871"/>
              <w:spacing w:line="62" w:lineRule="atLeast"/>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rPr>
              <w:t xml:space="preserve">3.耐火性符合GB/T 27903-2011《电梯门耐火试验、完整性、隔热性和热通量测定法》</w:t>
            </w:r>
            <w:r>
              <w:rPr>
                <w:rFonts w:hint="eastAsia" w:ascii="宋体" w:hAnsi="宋体" w:cs="宋体"/>
                <w:color w:val="000000"/>
                <w:szCs w:val="21"/>
                <w:lang w:val="en-US" w:eastAsia="zh-CN"/>
              </w:rPr>
              <w:t xml:space="preserve">。</w:t>
            </w:r>
            <w:r>
              <w:rPr>
                <w:rFonts w:hint="eastAsia" w:ascii="宋体" w:hAnsi="宋体" w:eastAsia="宋体" w:cs="宋体"/>
                <w:color w:val="000000"/>
                <w:szCs w:val="21"/>
                <w:lang w:val="en-US" w:eastAsia="zh-CN"/>
              </w:rPr>
            </w:r>
            <w:r/>
          </w:p>
          <w:p>
            <w:pPr>
              <w:pStyle w:val="871"/>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以上每提供</w:t>
            </w:r>
            <w:r>
              <w:rPr>
                <w:rFonts w:ascii="宋体" w:hAnsi="宋体" w:cs="宋体"/>
                <w:color w:val="000000"/>
              </w:rPr>
              <w:t xml:space="preserve">1项符合要求的检测报告得</w:t>
            </w:r>
            <w:r>
              <w:rPr>
                <w:rFonts w:hint="eastAsia" w:ascii="宋体" w:hAnsi="宋体" w:cs="宋体"/>
                <w:color w:val="000000"/>
              </w:rPr>
              <w:t xml:space="preserve">2</w:t>
            </w:r>
            <w:r>
              <w:rPr>
                <w:rFonts w:ascii="宋体" w:hAnsi="宋体" w:cs="宋体"/>
                <w:color w:val="000000"/>
              </w:rPr>
              <w:t xml:space="preserve">分，最多得</w:t>
            </w:r>
            <w:r>
              <w:rPr>
                <w:rFonts w:hint="eastAsia" w:ascii="宋体" w:hAnsi="宋体" w:cs="宋体"/>
                <w:color w:val="000000"/>
              </w:rPr>
              <w:t xml:space="preserve">6</w:t>
            </w:r>
            <w:r>
              <w:rPr>
                <w:rFonts w:ascii="宋体" w:hAnsi="宋体" w:cs="宋体"/>
                <w:color w:val="000000"/>
              </w:rPr>
              <w:t xml:space="preserve">分。</w:t>
            </w:r>
            <w:r/>
          </w:p>
          <w:p>
            <w:pPr>
              <w:pStyle w:val="871"/>
              <w:spacing w:line="62" w:lineRule="atLeast"/>
              <w:rPr>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sz w:val="21"/>
                <w:szCs w:val="22"/>
                <w:lang w:val="en-US" w:eastAsia="zh-CN" w:bidi="ar-SA"/>
              </w:rPr>
            </w:r>
            <w:r/>
          </w:p>
        </w:tc>
        <w:tc>
          <w:tcPr>
            <w:tcW w:w="647" w:type="dxa"/>
            <w:vAlign w:val="center"/>
            <w:textDirection w:val="lrTb"/>
            <w:noWrap w:val="false"/>
          </w:tcPr>
          <w:p>
            <w:pPr>
              <w:pStyle w:val="871"/>
              <w:jc w:val="center"/>
              <w:spacing w:before="68" w:line="62" w:lineRule="atLeast"/>
              <w:rPr>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rPr>
              <w:t xml:space="preserve">6</w:t>
            </w:r>
            <w:r>
              <w:rPr>
                <w:sz w:val="21"/>
                <w:szCs w:val="22"/>
                <w:lang w:val="en-US" w:eastAsia="zh-CN" w:bidi="ar-SA"/>
              </w:rPr>
            </w:r>
            <w:r/>
          </w:p>
        </w:tc>
        <w:tc>
          <w:tcPr>
            <w:tcW w:w="900" w:type="dxa"/>
            <w:vAlign w:val="center"/>
            <w:textDirection w:val="lrTb"/>
            <w:noWrap w:val="false"/>
          </w:tcPr>
          <w:p>
            <w:pPr>
              <w:pStyle w:val="871"/>
              <w:jc w:val="center"/>
              <w:spacing w:before="68" w:line="62" w:lineRule="atLeast"/>
              <w:rPr>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客观分</w:t>
            </w:r>
            <w:r>
              <w:rPr>
                <w:sz w:val="21"/>
                <w:szCs w:val="22"/>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1"/>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评委根据投标人提供的本项目实施方案评分，包括：1.对不可预见因素的预测；2.安装调试；3.实施步骤;4.进度安排；5.质量保证措施；6.文明安全生产措施及优化。以上每项内容逐条阐述。</w:t>
            </w:r>
            <w:r>
              <w:rPr>
                <w:rFonts w:hint="eastAsia" w:ascii="宋体" w:hAnsi="宋体" w:eastAsia="宋体" w:cs="宋体"/>
                <w:color w:val="000000"/>
                <w:sz w:val="21"/>
                <w:szCs w:val="21"/>
                <w:highlight w:val="none"/>
                <w:lang w:val="en-US" w:eastAsia="zh-CN" w:bidi="ar-SA"/>
              </w:rPr>
            </w:r>
            <w:r/>
          </w:p>
          <w:p>
            <w:pPr>
              <w:pStyle w:val="991"/>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(1)以上每项内容科学、合理、操作性强的，得1分；</w:t>
            </w:r>
            <w:r>
              <w:rPr>
                <w:rFonts w:hint="eastAsia" w:ascii="宋体" w:hAnsi="宋体" w:eastAsia="宋体" w:cs="宋体"/>
                <w:color w:val="000000"/>
                <w:sz w:val="21"/>
                <w:szCs w:val="21"/>
                <w:highlight w:val="none"/>
                <w:lang w:val="en-US" w:eastAsia="zh-CN" w:bidi="ar-SA"/>
              </w:rPr>
            </w:r>
            <w:r/>
          </w:p>
          <w:p>
            <w:pPr>
              <w:pStyle w:val="991"/>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(2)以上每项内容基本合理、具备一定的可操作性的，得0.5分；</w:t>
            </w:r>
            <w:r>
              <w:rPr>
                <w:rFonts w:hint="eastAsia" w:ascii="宋体" w:hAnsi="宋体" w:eastAsia="宋体" w:cs="宋体"/>
                <w:color w:val="000000"/>
                <w:sz w:val="21"/>
                <w:szCs w:val="21"/>
                <w:highlight w:val="none"/>
                <w:lang w:val="en-US" w:eastAsia="zh-CN" w:bidi="ar-SA"/>
              </w:rPr>
            </w:r>
            <w:r/>
          </w:p>
          <w:p>
            <w:pPr>
              <w:pStyle w:val="991"/>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(3)以上每项内容不科学、不合理、不具备可操作性或未提供的不得分。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3.2</w:t>
            </w:r>
            <w:r>
              <w:rPr>
                <w:rFonts w:hint="eastAsia"/>
                <w:sz w:val="21"/>
                <w:szCs w:val="22"/>
                <w:lang w:val="en-US" w:eastAsia="zh-CN" w:bidi="ar-SA"/>
              </w:rPr>
            </w:r>
            <w:r/>
          </w:p>
        </w:tc>
        <w:tc>
          <w:tcPr>
            <w:tcW w:w="1179" w:type="dxa"/>
            <w:vAlign w:val="center"/>
            <w:textDirection w:val="lrTb"/>
            <w:noWrap w:val="false"/>
          </w:tcPr>
          <w:p>
            <w:pPr>
              <w:pStyle w:val="871"/>
              <w:spacing w:before="68" w:line="62" w:lineRule="atLeast"/>
              <w:rPr>
                <w:rFonts w:ascii="宋体" w:hAnsi="宋体" w:cs="宋体"/>
                <w:color w:val="000000"/>
                <w:spacing w:val="-2"/>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售后服务</w:t>
            </w:r>
            <w:r>
              <w:rPr>
                <w:rFonts w:ascii="宋体" w:hAnsi="宋体" w:cs="宋体"/>
                <w:color w:val="000000"/>
                <w:spacing w:val="-2"/>
              </w:rPr>
            </w:r>
            <w:r/>
          </w:p>
          <w:p>
            <w:pPr>
              <w:pStyle w:val="871"/>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方案</w:t>
            </w:r>
            <w:r>
              <w:rPr>
                <w:rFonts w:hint="eastAsia"/>
                <w:sz w:val="21"/>
                <w:szCs w:val="22"/>
                <w:lang w:val="en-US" w:eastAsia="zh-CN" w:bidi="ar-SA"/>
              </w:rPr>
            </w:r>
            <w:r/>
          </w:p>
        </w:tc>
        <w:tc>
          <w:tcPr>
            <w:tcW w:w="6330" w:type="dxa"/>
            <w:vAlign w:val="center"/>
            <w:textDirection w:val="lrTb"/>
            <w:noWrap w:val="false"/>
          </w:tcPr>
          <w:p>
            <w:pPr>
              <w:pStyle w:val="871"/>
              <w:spacing w:line="62"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评委根据投标人提供的项目售后服务方案综合评分，包含：1.售后服务内容及故障解决方案；2.售后服务体系；3.专业技术人员保障及服务电话。以上每项内容逐条阐述。</w:t>
            </w:r>
            <w:r>
              <w:rPr>
                <w:rFonts w:hint="eastAsia" w:ascii="宋体" w:hAnsi="宋体" w:cs="宋体"/>
                <w:color w:val="000000"/>
                <w:szCs w:val="21"/>
              </w:rPr>
            </w:r>
            <w:r/>
          </w:p>
          <w:p>
            <w:pPr>
              <w:pStyle w:val="871"/>
              <w:spacing w:line="62"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（1）上述每项内容完整，科学合理、操作性强的，得2分； </w:t>
            </w:r>
            <w:r>
              <w:rPr>
                <w:rFonts w:hint="eastAsia" w:ascii="宋体" w:hAnsi="宋体" w:cs="宋体"/>
                <w:color w:val="000000"/>
                <w:szCs w:val="21"/>
              </w:rPr>
            </w:r>
            <w:r/>
          </w:p>
          <w:p>
            <w:pPr>
              <w:pStyle w:val="871"/>
              <w:spacing w:line="62"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（2）上述每项内容较完整，较科学合理，有可操作性的，得1分； </w:t>
            </w:r>
            <w:r>
              <w:rPr>
                <w:rFonts w:hint="eastAsia" w:ascii="宋体" w:hAnsi="宋体" w:cs="宋体"/>
                <w:color w:val="000000"/>
                <w:szCs w:val="21"/>
              </w:rPr>
            </w:r>
            <w:r/>
          </w:p>
          <w:p>
            <w:pPr>
              <w:pStyle w:val="871"/>
              <w:spacing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（3）上述每项内容不科学合理、无操作性或未提供的不得分。</w:t>
            </w:r>
            <w:r>
              <w:rPr>
                <w:rFonts w:hint="eastAsia"/>
                <w:sz w:val="21"/>
                <w:szCs w:val="22"/>
                <w:lang w:val="en-US" w:eastAsia="zh-CN" w:bidi="ar-SA"/>
              </w:rPr>
            </w:r>
            <w:r/>
          </w:p>
        </w:tc>
        <w:tc>
          <w:tcPr>
            <w:tcW w:w="647" w:type="dxa"/>
            <w:vAlign w:val="center"/>
            <w:textDirection w:val="lrTb"/>
            <w:noWrap w:val="false"/>
          </w:tcPr>
          <w:p>
            <w:pPr>
              <w:pStyle w:val="871"/>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rPr>
              <w:t xml:space="preserve">6</w:t>
            </w:r>
            <w:r>
              <w:rPr>
                <w:rFonts w:hint="eastAsia"/>
                <w:sz w:val="21"/>
                <w:szCs w:val="22"/>
                <w:lang w:val="en-US" w:eastAsia="zh-CN" w:bidi="ar-SA"/>
              </w:rPr>
            </w:r>
            <w:r/>
          </w:p>
        </w:tc>
        <w:tc>
          <w:tcPr>
            <w:tcW w:w="900" w:type="dxa"/>
            <w:vAlign w:val="center"/>
            <w:textDirection w:val="lrTb"/>
            <w:noWrap w:val="false"/>
          </w:tcPr>
          <w:p>
            <w:pPr>
              <w:pStyle w:val="871"/>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主观分</w:t>
            </w:r>
            <w:r>
              <w:rPr>
                <w:rFonts w:hint="eastAsia"/>
                <w:sz w:val="21"/>
                <w:szCs w:val="22"/>
                <w:lang w:val="en-US" w:eastAsia="zh-CN" w:bidi="ar-SA"/>
              </w:rPr>
            </w:r>
            <w:r/>
          </w:p>
        </w:tc>
      </w:tr>
      <w:tr>
        <w:trPr>
          <w:trHeight w:val="133"/>
        </w:trPr>
        <w:tc>
          <w:tcPr>
            <w:tcW w:w="519" w:type="dxa"/>
            <w:vAlign w:val="center"/>
            <w:textDirection w:val="lrTb"/>
            <w:noWrap w:val="false"/>
          </w:tcPr>
          <w:p>
            <w:pPr>
              <w:pStyle w:val="871"/>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3.3</w:t>
            </w:r>
            <w:r>
              <w:rPr>
                <w:rFonts w:hint="eastAsia"/>
                <w:sz w:val="21"/>
                <w:szCs w:val="22"/>
                <w:lang w:val="en-US" w:eastAsia="zh-CN" w:bidi="ar-SA"/>
              </w:rPr>
            </w:r>
            <w:r/>
          </w:p>
        </w:tc>
        <w:tc>
          <w:tcPr>
            <w:tcW w:w="1179" w:type="dxa"/>
            <w:vAlign w:val="center"/>
            <w:textDirection w:val="lrTb"/>
            <w:noWrap w:val="false"/>
          </w:tcPr>
          <w:p>
            <w:pPr>
              <w:pStyle w:val="871"/>
              <w:spacing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培训方案</w:t>
            </w:r>
            <w:r>
              <w:rPr>
                <w:rFonts w:hint="eastAsia"/>
                <w:sz w:val="21"/>
                <w:szCs w:val="22"/>
                <w:lang w:val="en-US" w:eastAsia="zh-CN" w:bidi="ar-SA"/>
              </w:rPr>
            </w:r>
            <w:r/>
          </w:p>
        </w:tc>
        <w:tc>
          <w:tcPr>
            <w:tcW w:w="6330" w:type="dxa"/>
            <w:vAlign w:val="center"/>
            <w:textDirection w:val="lrTb"/>
            <w:noWrap w:val="false"/>
          </w:tcPr>
          <w:p>
            <w:pPr>
              <w:pStyle w:val="871"/>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评委根据投标人提供的项目培训方案综合评分，包括1.培训计划；2.培训人员和培训内容；3.培训频次。以上每项内容逐条阐述。 </w:t>
            </w:r>
            <w:r/>
          </w:p>
          <w:p>
            <w:pPr>
              <w:pStyle w:val="871"/>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（1）以上每项内容完整详细、针对性强的，得2分； </w:t>
            </w:r>
            <w:r/>
          </w:p>
          <w:p>
            <w:pPr>
              <w:pStyle w:val="871"/>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（2）以上每项内容基本满足采购需求，有一定针对性的，得1分； </w:t>
            </w:r>
            <w:r/>
          </w:p>
          <w:p>
            <w:pPr>
              <w:pStyle w:val="871"/>
              <w:spacing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（3）以上每项内容没有针对性或未提供方案的不得分。</w:t>
            </w:r>
            <w:r>
              <w:rPr>
                <w:rFonts w:hint="eastAsia"/>
                <w:sz w:val="21"/>
                <w:szCs w:val="22"/>
                <w:lang w:val="en-US" w:eastAsia="zh-CN" w:bidi="ar-SA"/>
              </w:rPr>
            </w:r>
            <w:r/>
          </w:p>
        </w:tc>
        <w:tc>
          <w:tcPr>
            <w:tcW w:w="647" w:type="dxa"/>
            <w:vAlign w:val="center"/>
            <w:textDirection w:val="lrTb"/>
            <w:noWrap w:val="false"/>
          </w:tcPr>
          <w:p>
            <w:pPr>
              <w:pStyle w:val="871"/>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6</w:t>
            </w:r>
            <w:r>
              <w:rPr>
                <w:rFonts w:hint="eastAsia"/>
                <w:sz w:val="21"/>
                <w:szCs w:val="22"/>
                <w:lang w:val="en-US" w:eastAsia="zh-CN" w:bidi="ar-SA"/>
              </w:rPr>
            </w:r>
            <w:r/>
          </w:p>
        </w:tc>
        <w:tc>
          <w:tcPr>
            <w:tcW w:w="900" w:type="dxa"/>
            <w:vAlign w:val="center"/>
            <w:textDirection w:val="lrTb"/>
            <w:noWrap w:val="false"/>
          </w:tcPr>
          <w:p>
            <w:pPr>
              <w:pStyle w:val="871"/>
              <w:jc w:val="center"/>
              <w:spacing w:before="68"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主观分</w:t>
            </w:r>
            <w:r>
              <w:rPr>
                <w:rFonts w:hint="eastAsia"/>
                <w:sz w:val="21"/>
                <w:szCs w:val="22"/>
                <w:lang w:val="en-US" w:eastAsia="zh-CN" w:bidi="ar-SA"/>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ff"/>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ff"/>
                <w:szCs w:val="21"/>
                <w:highlight w:val="none"/>
              </w:rPr>
            </w:r>
            <w:r/>
          </w:p>
        </w:tc>
      </w:tr>
      <w:tr>
        <w:trPr>
          <w:trHeight w:val="1015"/>
        </w:trPr>
        <w:tc>
          <w:tcPr>
            <w:tcW w:w="519" w:type="dxa"/>
            <w:vAlign w:val="center"/>
            <w:textDirection w:val="lrTb"/>
            <w:noWrap w:val="false"/>
          </w:tcPr>
          <w:p>
            <w:pPr>
              <w:pStyle w:val="871"/>
              <w:jc w:val="center"/>
              <w:spacing w:before="68" w:line="62" w:lineRule="atLeast"/>
              <w:rPr>
                <w:rFonts w:hint="eastAsia" w:ascii="宋体" w:hAnsi="宋体" w:eastAsia="宋体" w:cs="宋体"/>
                <w:color w:val="0000ff"/>
                <w:spacing w:val="-2"/>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rPr>
              <w:t xml:space="preserve">4.1</w:t>
            </w:r>
            <w:r>
              <w:rPr>
                <w:rFonts w:hint="eastAsia" w:ascii="宋体" w:hAnsi="宋体" w:eastAsia="宋体" w:cs="宋体"/>
                <w:color w:val="0000ff"/>
                <w:spacing w:val="-2"/>
                <w:szCs w:val="21"/>
                <w:highlight w:val="none"/>
              </w:rPr>
            </w:r>
            <w:r/>
          </w:p>
        </w:tc>
        <w:tc>
          <w:tcPr>
            <w:tcW w:w="1179" w:type="dxa"/>
            <w:vAlign w:val="center"/>
            <w:textDirection w:val="lrTb"/>
            <w:noWrap w:val="false"/>
          </w:tcPr>
          <w:p>
            <w:pPr>
              <w:pStyle w:val="871"/>
              <w:spacing w:before="69" w:line="62" w:lineRule="atLeast"/>
              <w:rPr>
                <w:rFonts w:hint="eastAsia" w:eastAsia="宋体"/>
                <w:color w:val="0000ff"/>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pacing w:val="-1"/>
              </w:rPr>
              <w:t xml:space="preserve">投标人业绩</w:t>
            </w:r>
            <w:r>
              <w:rPr>
                <w:rFonts w:hint="eastAsia" w:eastAsia="宋体"/>
                <w:color w:val="0000ff"/>
                <w:szCs w:val="21"/>
                <w:highlight w:val="none"/>
                <w:lang w:val="en-US" w:eastAsia="zh-CN"/>
              </w:rPr>
            </w:r>
            <w:r/>
          </w:p>
        </w:tc>
        <w:tc>
          <w:tcPr>
            <w:tcW w:w="6330" w:type="dxa"/>
            <w:vAlign w:val="center"/>
            <w:textDirection w:val="lrTb"/>
            <w:noWrap w:val="false"/>
          </w:tcPr>
          <w:p>
            <w:pPr>
              <w:pStyle w:val="871"/>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投标人或所投产品制造商自2022年1月1日(含)以来销售的同类产品业绩，每提供1个得</w:t>
            </w:r>
            <w:r>
              <w:rPr>
                <w:rFonts w:hint="eastAsia" w:ascii="宋体" w:hAnsi="宋体" w:cs="宋体"/>
                <w:color w:val="000000"/>
              </w:rPr>
              <w:t xml:space="preserve">3</w:t>
            </w:r>
            <w:r>
              <w:rPr>
                <w:rFonts w:ascii="宋体" w:hAnsi="宋体" w:cs="宋体"/>
                <w:color w:val="000000"/>
              </w:rPr>
              <w:t xml:space="preserve">分，最多得</w:t>
            </w:r>
            <w:r>
              <w:rPr>
                <w:rFonts w:hint="eastAsia" w:ascii="宋体" w:hAnsi="宋体" w:cs="宋体"/>
                <w:color w:val="000000"/>
              </w:rPr>
              <w:t xml:space="preserve">6</w:t>
            </w:r>
            <w:r>
              <w:rPr>
                <w:rFonts w:ascii="宋体" w:hAnsi="宋体" w:cs="宋体"/>
                <w:color w:val="000000"/>
              </w:rPr>
              <w:t xml:space="preserve">分。</w:t>
            </w:r>
            <w:r/>
          </w:p>
          <w:p>
            <w:pPr>
              <w:pStyle w:val="871"/>
              <w:spacing w:line="62" w:lineRule="atLeast"/>
              <w:rPr>
                <w:rFonts w:ascii="宋体" w:hAnsi="宋体" w:eastAsia="宋体" w:cs="宋体"/>
                <w:color w:val="0000ff"/>
                <w:sz w:val="21"/>
                <w:szCs w:val="21"/>
                <w:highlight w:val="none"/>
                <w:lang w:val="en-US" w:eastAsia="zh-CN" w:bidi="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（时间以合同签订时间为准，提供有效合同，合同页须清晰可见相应内容）</w:t>
            </w:r>
            <w:r>
              <w:rPr>
                <w:rFonts w:ascii="宋体" w:hAnsi="宋体" w:eastAsia="宋体" w:cs="宋体"/>
                <w:color w:val="0000ff"/>
                <w:sz w:val="21"/>
                <w:szCs w:val="21"/>
                <w:highlight w:val="none"/>
                <w:lang w:val="en-US" w:eastAsia="zh-CN" w:bidi="zh-CN"/>
              </w:rPr>
            </w:r>
            <w:r/>
          </w:p>
        </w:tc>
        <w:tc>
          <w:tcPr>
            <w:tcW w:w="647" w:type="dxa"/>
            <w:vAlign w:val="center"/>
            <w:textDirection w:val="lrTb"/>
            <w:noWrap w:val="false"/>
          </w:tcPr>
          <w:p>
            <w:pPr>
              <w:pStyle w:val="871"/>
              <w:ind w:firstLine="210"/>
              <w:spacing w:line="62" w:lineRule="atLeast"/>
              <w:rPr>
                <w:rFonts w:hint="eastAsia" w:ascii="宋体" w:hAnsi="宋体" w:eastAsia="宋体" w:cs="宋体"/>
                <w:color w:val="0000ff"/>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871"/>
              <w:spacing w:before="68" w:line="62" w:lineRule="atLeast"/>
              <w:rPr>
                <w:rFonts w:hint="eastAsia" w:ascii="宋体" w:hAnsi="宋体" w:eastAsia="宋体" w:cs="宋体"/>
                <w:color w:val="0000ff"/>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客观分</w:t>
            </w:r>
            <w:r>
              <w:rPr>
                <w:rFonts w:hint="eastAsia" w:ascii="宋体" w:hAnsi="宋体" w:eastAsia="宋体" w:cs="宋体"/>
                <w:color w:val="0000ff"/>
                <w:szCs w:val="21"/>
                <w:highlight w:val="none"/>
                <w:lang w:eastAsia="zh-CN"/>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1"/>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1"/>
        <w:jc w:val="center"/>
        <w:rPr>
          <w:rFonts w:hint="eastAsia" w:ascii="宋体" w:hAnsi="宋体"/>
          <w:b/>
          <w:color w:val="000000"/>
          <w:sz w:val="72"/>
          <w:szCs w:val="21"/>
          <w:highlight w:val="none"/>
        </w:rPr>
      </w:pPr>
      <w:r/>
      <w:bookmarkStart w:id="62" w:name="_Hlt26671244"/>
      <w:r/>
      <w:bookmarkEnd w:id="62"/>
      <w:r/>
      <w:bookmarkStart w:id="63" w:name="_Hlt26955039"/>
      <w:r/>
      <w:bookmarkEnd w:id="63"/>
      <w:r/>
      <w:bookmarkStart w:id="64" w:name="_Toc120614282"/>
      <w:r/>
      <w:bookmarkStart w:id="65" w:name="_Toc26554094"/>
      <w:r/>
      <w:bookmarkStart w:id="66" w:name="_Toc49090576"/>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1"/>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4"/>
      <w:r/>
      <w:bookmarkEnd w:id="65"/>
      <w:r/>
      <w:bookmarkEnd w:id="66"/>
      <w:r>
        <w:rPr>
          <w:rFonts w:hint="eastAsia" w:ascii="方正黑体_GBK" w:hAnsi="方正黑体_GBK" w:eastAsia="方正黑体_GBK" w:cs="方正黑体_GBK"/>
          <w:b w:val="0"/>
          <w:bCs w:val="0"/>
          <w:color w:val="000000"/>
          <w:sz w:val="32"/>
          <w:szCs w:val="32"/>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1"/>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1"/>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871"/>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pStyle w:val="871"/>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9"/>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59"/>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1"/>
        <w:ind w:firstLine="0"/>
        <w:rPr>
          <w:rFonts w:hint="eastAsia"/>
          <w:highlight w:val="none"/>
        </w:rPr>
      </w:pPr>
      <w:r>
        <w:rPr>
          <w:rFonts w:hint="eastAsia"/>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1"/>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1"/>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871"/>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3"/>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1"/>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1"/>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rPr>
          <w:rFonts w:ascii="宋体" w:hAnsi="宋体"/>
          <w:sz w:val="24"/>
          <w:szCs w:val="24"/>
          <w:highlight w:val="none"/>
        </w:rPr>
      </w:pPr>
      <w:r>
        <w:rPr>
          <w:rFonts w:ascii="宋体" w:hAnsi="宋体"/>
          <w:sz w:val="24"/>
          <w:szCs w:val="24"/>
          <w:highlight w:val="none"/>
        </w:rPr>
      </w:r>
      <w:r/>
    </w:p>
    <w:p>
      <w:pPr>
        <w:pStyle w:val="871"/>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883"/>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83"/>
        <w:rPr>
          <w:rFonts w:hint="eastAsia"/>
          <w:highlight w:val="none"/>
          <w:lang w:val="en-US" w:eastAsia="zh-CN"/>
        </w:rPr>
      </w:pPr>
      <w:r>
        <w:rPr>
          <w:rFonts w:hint="eastAsia"/>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1"/>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1"/>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1"/>
        <w:ind w:firstLine="480"/>
        <w:rPr>
          <w:rFonts w:hint="eastAsia" w:ascii="宋体" w:hAnsi="宋体"/>
          <w:sz w:val="24"/>
          <w:szCs w:val="24"/>
          <w:highlight w:val="none"/>
        </w:rPr>
      </w:pPr>
      <w:r>
        <w:rPr>
          <w:rFonts w:hint="eastAsia" w:ascii="宋体" w:hAnsi="宋体"/>
          <w:sz w:val="24"/>
          <w:szCs w:val="24"/>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ascii="宋体" w:hAnsi="宋体" w:eastAsia="宋体" w:cs="宋体"/>
          <w:color w:val="000000"/>
          <w:sz w:val="24"/>
          <w:szCs w:val="24"/>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6"/>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1"/>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0"/>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588" w:lineRule="exact"/>
        <w:rPr>
          <w:rFonts w:hint="eastAsia" w:ascii="宋体" w:hAnsi="宋体"/>
          <w:sz w:val="24"/>
          <w:highlight w:val="none"/>
        </w:rPr>
      </w:pPr>
      <w:r>
        <w:rPr>
          <w:rFonts w:hint="eastAsia" w:ascii="宋体" w:hAnsi="宋体"/>
          <w:sz w:val="24"/>
          <w:highlight w:val="none"/>
        </w:rPr>
      </w:r>
      <w:r/>
    </w:p>
    <w:p>
      <w:pPr>
        <w:pStyle w:val="871"/>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1"/>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8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871"/>
        <w:ind w:firstLine="645"/>
        <w:spacing w:line="560" w:lineRule="exact"/>
        <w:rPr>
          <w:rFonts w:ascii="宋体" w:hAnsi="宋体"/>
          <w:sz w:val="24"/>
          <w:highlight w:val="none"/>
        </w:rPr>
      </w:pPr>
      <w:r>
        <w:rPr>
          <w:rFonts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6"/>
          <w:rFonts w:hint="eastAsia"/>
          <w:i w:val="0"/>
          <w:highlight w:val="none"/>
          <w:u w:val="single"/>
          <w:shd w:val="clear" w:color="auto" w:fill="ffffff"/>
        </w:rPr>
        <w:t xml:space="preserve">（产品名称1）</w:t>
      </w:r>
      <w:r>
        <w:rPr>
          <w:rStyle w:val="946"/>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6"/>
          <w:rFonts w:hint="eastAsia"/>
          <w:i w:val="0"/>
          <w:highlight w:val="none"/>
          <w:u w:val="single"/>
          <w:shd w:val="clear" w:color="auto" w:fill="ffffff"/>
        </w:rPr>
        <w:t xml:space="preserve">（厂名）</w:t>
      </w:r>
      <w:r>
        <w:rPr>
          <w:rStyle w:val="946"/>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Style w:val="946"/>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Style w:val="946"/>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Style w:val="946"/>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6"/>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6"/>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6"/>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6"/>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6"/>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6"/>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6"/>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6"/>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8" w:name="OLE_LINK8"/>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9"/>
      </w:pPr>
      <w:r/>
      <w:bookmarkEnd w:id="68"/>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1"/>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1"/>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1"/>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character" w:styleId="890">
    <w:name w:val="标题 3 Char"/>
    <w:next w:val="890"/>
    <w:link w:val="874"/>
    <w:rPr>
      <w:rFonts w:ascii="Times New Roman" w:hAnsi="Times New Roman" w:eastAsia="宋体" w:cs="Times New Roman"/>
      <w:b/>
      <w:bCs/>
      <w:sz w:val="32"/>
      <w:szCs w:val="32"/>
    </w:rPr>
  </w:style>
  <w:style w:type="paragraph" w:styleId="891">
    <w:name w:val="正文缩进"/>
    <w:basedOn w:val="871"/>
    <w:next w:val="891"/>
    <w:link w:val="892"/>
    <w:pPr>
      <w:ind w:firstLine="420"/>
    </w:pPr>
    <w:rPr>
      <w:szCs w:val="21"/>
    </w:rPr>
  </w:style>
  <w:style w:type="character" w:styleId="892">
    <w:name w:val="正文缩进 Char"/>
    <w:next w:val="892"/>
    <w:link w:val="891"/>
    <w:rPr>
      <w:szCs w:val="21"/>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4">
    <w:name w:val="批注文字 字符"/>
    <w:basedOn w:val="881"/>
    <w:next w:val="904"/>
    <w:link w:val="903"/>
    <w:rPr>
      <w:rFonts w:ascii="Calibri" w:hAnsi="Calibri" w:eastAsia="宋体" w:cs="Times New Roman"/>
      <w:sz w:val="21"/>
      <w:szCs w:val="24"/>
    </w:rPr>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Char"/>
    <w:basedOn w:val="881"/>
    <w:next w:val="949"/>
    <w:link w:val="903"/>
    <w:uiPriority w:val="99"/>
    <w:semiHidden/>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7"/>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901"/>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正文文本缩进1"/>
    <w:basedOn w:val="871"/>
    <w:next w:val="995"/>
    <w:link w:val="871"/>
    <w:unhideWhenUsed/>
    <w:qFormat/>
    <w:pPr>
      <w:ind w:left="420"/>
      <w:spacing w:after="120"/>
    </w:pPr>
  </w:style>
  <w:style w:type="paragraph" w:styleId="995">
    <w:name w:val="正文文本首行缩进 2"/>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paragraph" w:styleId="1000">
    <w:name w:val="正文1"/>
    <w:basedOn w:val="871"/>
    <w:next w:val="1000"/>
    <w:link w:val="871"/>
    <w:qFormat/>
    <w:pPr>
      <w:ind w:left="350" w:firstLine="0"/>
    </w:pPr>
    <w:rPr>
      <w:rFonts w:cs="Times New Roman"/>
      <w:sz w:val="20"/>
      <w:szCs w:val="24"/>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郑海燕</cp:lastModifiedBy>
  <cp:revision>5</cp:revision>
  <dcterms:created xsi:type="dcterms:W3CDTF">2023-03-16T02:13:00Z</dcterms:created>
  <dcterms:modified xsi:type="dcterms:W3CDTF">2026-10-14T03:02:14Z</dcterms:modified>
</cp:coreProperties>
</file>