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1"/>
        <w:rPr>
          <w:rFonts w:hint="eastAsia"/>
          <w:color w:val="000000"/>
          <w:highlight w:val="none"/>
        </w:rPr>
      </w:pPr>
      <w:r>
        <w:rPr>
          <w:rFonts w:hint="eastAsia"/>
          <w:color w:val="000000"/>
          <w:highlight w:val="none"/>
        </w:rPr>
      </w:r>
      <w:r/>
    </w:p>
    <w:p>
      <w:pPr>
        <w:pStyle w:val="962"/>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62"/>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w:t>
      </w:r>
      <w:r>
        <w:rPr>
          <w:rFonts w:hint="eastAsia" w:ascii="Times New Roman" w:hAnsi="Times New Roman" w:eastAsia="宋体" w:cs="Times New Roman"/>
          <w:b/>
          <w:color w:val="000000"/>
          <w:sz w:val="30"/>
          <w:szCs w:val="30"/>
          <w:highlight w:val="none"/>
          <w:lang w:eastAsia="zh-CN"/>
        </w:rPr>
        <w:t xml:space="preserve">名称：中科南京软件技术研究院开源软件基础设施扩容升级</w:t>
      </w:r>
      <w:r>
        <w:rPr>
          <w:rFonts w:hint="eastAsia" w:ascii="Times New Roman" w:hAnsi="Times New Roman" w:eastAsia="宋体" w:cs="Times New Roman"/>
          <w:b/>
          <w:color w:val="000000"/>
          <w:sz w:val="30"/>
          <w:szCs w:val="30"/>
          <w:highlight w:val="none"/>
          <w:lang w:eastAsia="zh-CN"/>
        </w:rPr>
      </w:r>
      <w:r/>
    </w:p>
    <w:p>
      <w:pPr>
        <w:pStyle w:val="869"/>
        <w:ind w:firstLine="1506"/>
        <w:jc w:val="center"/>
        <w:rPr>
          <w:rFonts w:ascii="Times New Roman" w:hAnsi="Times New Roman" w:eastAsia="宋体" w:cs="Times New Roman"/>
          <w:b/>
          <w:color w:val="000000"/>
          <w:sz w:val="30"/>
          <w:szCs w:val="30"/>
          <w:highlight w:val="none"/>
          <w:lang w:val="en-US" w:eastAsia="zh-CN"/>
        </w:rPr>
      </w:pPr>
      <w:r>
        <w:rPr>
          <w:rFonts w:hint="eastAsia" w:ascii="Times New Roman" w:hAnsi="Times New Roman" w:eastAsia="宋体" w:cs="Times New Roman"/>
          <w:b/>
          <w:color w:val="000000"/>
          <w:sz w:val="30"/>
          <w:szCs w:val="30"/>
          <w:highlight w:val="none"/>
          <w:lang w:eastAsia="zh-CN"/>
        </w:rPr>
        <w:t xml:space="preserve">项目编号：JSZC-3201</w:t>
      </w:r>
      <w:r>
        <w:rPr>
          <w:rFonts w:hint="eastAsia" w:ascii="Times New Roman" w:hAnsi="Times New Roman" w:eastAsia="宋体" w:cs="Times New Roman"/>
          <w:b/>
          <w:color w:val="000000"/>
          <w:sz w:val="30"/>
          <w:szCs w:val="30"/>
          <w:highlight w:val="none"/>
          <w:lang w:val="en-US" w:eastAsia="zh-CN"/>
        </w:rPr>
        <w:t xml:space="preserve">00</w:t>
      </w:r>
      <w:r>
        <w:rPr>
          <w:rFonts w:hint="eastAsia" w:ascii="Times New Roman" w:hAnsi="Times New Roman" w:eastAsia="宋体" w:cs="Times New Roman"/>
          <w:b/>
          <w:color w:val="000000"/>
          <w:sz w:val="30"/>
          <w:szCs w:val="30"/>
          <w:highlight w:val="none"/>
          <w:lang w:eastAsia="zh-CN"/>
        </w:rPr>
        <w:t xml:space="preserve">-JZCG-G20</w:t>
      </w:r>
      <w:r>
        <w:rPr>
          <w:rFonts w:hint="eastAsia" w:ascii="Times New Roman" w:hAnsi="Times New Roman" w:eastAsia="宋体" w:cs="Times New Roman"/>
          <w:b/>
          <w:color w:val="000000"/>
          <w:sz w:val="30"/>
          <w:szCs w:val="30"/>
          <w:highlight w:val="none"/>
          <w:lang w:val="en-US" w:eastAsia="zh-CN"/>
        </w:rPr>
        <w:t xml:space="preserve">26</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val="en-US" w:eastAsia="zh-CN"/>
        </w:rPr>
        <w:t xml:space="preserve">0371</w:t>
      </w:r>
      <w:r>
        <w:rPr>
          <w:rFonts w:ascii="Times New Roman" w:hAnsi="Times New Roman" w:eastAsia="宋体" w:cs="Times New Roman"/>
          <w:b/>
          <w:color w:val="000000"/>
          <w:sz w:val="30"/>
          <w:szCs w:val="30"/>
          <w:highlight w:val="none"/>
          <w:lang w:val="en-US" w:eastAsia="zh-CN"/>
        </w:rPr>
      </w:r>
      <w:r/>
    </w:p>
    <w:p>
      <w:pPr>
        <w:pStyle w:val="869"/>
        <w:ind w:firstLine="1506"/>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（非专门面向中小企业）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2"/>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69"/>
        <w:jc w:val="center"/>
        <w:spacing w:line="480" w:lineRule="auto"/>
        <w:rPr>
          <w:rFonts w:hint="eastAsia" w:ascii="黑体" w:hAnsi="Arial" w:eastAsia="黑体"/>
          <w:b/>
          <w:color w:val="000000"/>
          <w:sz w:val="44"/>
          <w:szCs w:val="21"/>
          <w:highlight w:val="none"/>
        </w:rPr>
        <w:outlineLvl w:val="0"/>
      </w:pPr>
      <w:r/>
      <w:r/>
      <w:bookmarkStart w:id="1" w:name="_Toc479757206"/>
      <w:r/>
      <w:bookmarkStart w:id="2" w:name="_Toc20823272"/>
      <w:r/>
      <w:bookmarkStart w:id="3" w:name="_Toc513029200"/>
      <w:r/>
      <w:bookmarkStart w:id="4" w:name="_Toc523127445"/>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28</w:t>
      </w:r>
      <w:r/>
    </w:p>
    <w:p>
      <w:pPr>
        <w:pStyle w:val="869"/>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spacing w:line="400" w:lineRule="exact"/>
        <w:rPr>
          <w:rFonts w:hint="eastAsia" w:ascii="宋体" w:hAnsi="宋体" w:eastAsia="宋体" w:cs="Times New Roman"/>
          <w:color w:val="000000"/>
          <w:sz w:val="24"/>
          <w:szCs w:val="24"/>
          <w:highlight w:val="none"/>
        </w:rPr>
      </w:pPr>
      <w:r/>
      <w:bookmarkEnd w:id="11"/>
      <w:r/>
      <w:bookmarkStart w:id="12" w:name="_Toc38985264"/>
      <w:r/>
      <w:bookmarkStart w:id="13" w:name="_Toc35393791"/>
      <w:r/>
      <w:bookmarkStart w:id="14" w:name="_Toc28359003"/>
      <w:r/>
      <w:bookmarkStart w:id="15" w:name="_Toc35393622"/>
      <w:r/>
      <w:bookmarkStart w:id="16" w:name="_Toc28359080"/>
      <w:r>
        <w:rPr>
          <w:rFonts w:hint="eastAsia" w:ascii="宋体" w:hAnsi="宋体" w:eastAsia="宋体" w:cs="Times New Roman"/>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0371</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rPr>
      </w:r>
      <w:r/>
    </w:p>
    <w:p>
      <w:pPr>
        <w:pStyle w:val="869"/>
        <w:ind w:firstLine="48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中科南京软件技术研究院开源软件基础设施扩容升级</w:t>
      </w:r>
      <w:r>
        <w:rPr>
          <w:rFonts w:hint="eastAsia" w:ascii="宋体" w:hAnsi="宋体" w:eastAsia="宋体" w:cs="Times New Roman"/>
          <w:color w:val="000000"/>
          <w:sz w:val="24"/>
          <w:szCs w:val="24"/>
          <w:highlight w:val="none"/>
          <w:lang w:eastAsia="zh-CN"/>
        </w:rPr>
      </w:r>
      <w:r/>
    </w:p>
    <w:p>
      <w:pPr>
        <w:pStyle w:val="869"/>
        <w:ind w:firstLine="480"/>
        <w:spacing w:line="400" w:lineRule="exact"/>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rPr>
        <w:t xml:space="preserve">3.预算金额：</w:t>
      </w:r>
      <w:r>
        <w:rPr>
          <w:rFonts w:hint="eastAsia" w:ascii="宋体" w:hAnsi="宋体"/>
          <w:color w:val="000000"/>
          <w:sz w:val="24"/>
          <w:szCs w:val="24"/>
          <w:highlight w:val="none"/>
          <w:u w:val="none"/>
          <w:lang w:val="en-US" w:eastAsia="zh-CN"/>
        </w:rPr>
        <w:t xml:space="preserve">1400万元</w:t>
      </w:r>
      <w:r>
        <w:rPr>
          <w:rFonts w:hint="eastAsia" w:ascii="宋体" w:hAnsi="宋体" w:eastAsia="宋体" w:cs="Times New Roman"/>
          <w:color w:val="000000"/>
          <w:sz w:val="24"/>
          <w:szCs w:val="24"/>
          <w:highlight w:val="none"/>
          <w:u w:val="none"/>
        </w:rPr>
      </w:r>
      <w:r/>
    </w:p>
    <w:p>
      <w:pPr>
        <w:pStyle w:val="869"/>
        <w:ind w:firstLine="480"/>
        <w:pageBreakBefore w:val="0"/>
        <w:spacing w:line="252" w:lineRule="auto"/>
        <w:widowControl w:val="off"/>
        <w:rPr>
          <w:rFonts w:hint="eastAsia" w:ascii="宋体" w:hAnsi="宋体"/>
          <w:color w:val="000000"/>
          <w:sz w:val="24"/>
          <w:szCs w:val="24"/>
          <w:highlight w:val="none"/>
          <w:u w:val="none"/>
          <w:lang w:val="en-US" w:eastAsia="zh-CN"/>
        </w:rPr>
      </w:pPr>
      <w:r>
        <w:rPr>
          <w:rFonts w:hint="eastAsia" w:ascii="宋体" w:hAnsi="宋体"/>
          <w:color w:val="000000"/>
          <w:sz w:val="24"/>
          <w:szCs w:val="24"/>
          <w:highlight w:val="none"/>
          <w:u w:val="none"/>
        </w:rPr>
        <w:t xml:space="preserve">4.</w:t>
      </w:r>
      <w:r>
        <w:rPr>
          <w:rFonts w:hint="eastAsia" w:ascii="宋体" w:hAnsi="宋体"/>
          <w:color w:val="000000"/>
          <w:sz w:val="24"/>
          <w:szCs w:val="24"/>
          <w:highlight w:val="none"/>
          <w:u w:val="none"/>
          <w:lang w:val="en-US" w:eastAsia="zh-CN"/>
        </w:rPr>
        <w:t xml:space="preserve">最高限价：</w:t>
      </w:r>
      <w:r>
        <w:rPr>
          <w:rFonts w:hint="eastAsia" w:ascii="宋体" w:hAnsi="宋体"/>
          <w:color w:val="000000"/>
          <w:sz w:val="24"/>
          <w:szCs w:val="24"/>
          <w:highlight w:val="none"/>
          <w:u w:val="none"/>
          <w:lang w:val="en-US" w:eastAsia="zh-CN"/>
        </w:rPr>
        <w:t xml:space="preserve">1400万元</w:t>
      </w:r>
      <w:r>
        <w:rPr>
          <w:rFonts w:hint="eastAsia" w:ascii="宋体" w:hAnsi="宋体"/>
          <w:color w:val="000000"/>
          <w:sz w:val="24"/>
          <w:szCs w:val="24"/>
          <w:highlight w:val="none"/>
          <w:u w:val="none"/>
          <w:lang w:val="en-US" w:eastAsia="zh-CN"/>
        </w:rPr>
      </w:r>
      <w:r/>
    </w:p>
    <w:p>
      <w:pPr>
        <w:pStyle w:val="869"/>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u w:val="none"/>
        </w:rPr>
        <w:t xml:space="preserve">5.采购需求（简介）：</w:t>
      </w:r>
      <w:r>
        <w:rPr>
          <w:rFonts w:hint="eastAsia" w:ascii="宋体" w:hAnsi="宋体"/>
          <w:color w:val="000000"/>
          <w:sz w:val="24"/>
          <w:szCs w:val="24"/>
          <w:highlight w:val="none"/>
          <w:u w:val="none"/>
          <w:lang w:val="en-US" w:eastAsia="zh-CN"/>
        </w:rPr>
        <w:t xml:space="preserve">为满足开源软件基础设施大规模、高并发数据处理验证等科研需求，解决现有计算设备性能不足、显存容量有限、多任务调度能力薄弱等问题，采购高性能人工智能计算设备及配套算力集群管理软件，对现有平台进行系统性、针对性的能力提升与技术升级，为相关科研方向的前期论证、仿真验证和成果研制提供稳定、高效、可持续的科研基础设施保障。</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9"/>
        <w:ind w:firstLine="480"/>
        <w:pageBreakBefore w:val="0"/>
        <w:spacing w:line="252" w:lineRule="auto"/>
        <w:widowControl w:val="off"/>
        <w:rPr>
          <w:rFonts w:ascii="宋体" w:hAnsi="宋体" w:eastAsia="宋体" w:cs="宋体"/>
          <w:bCs/>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eastAsia="宋体" w:cs="宋体"/>
          <w:bCs/>
          <w:color w:val="000000"/>
          <w:sz w:val="24"/>
          <w:szCs w:val="24"/>
          <w:highlight w:val="none"/>
          <w:lang w:val="en-US" w:eastAsia="zh-CN"/>
        </w:rPr>
        <w:t xml:space="preserve">签订合同后90天</w:t>
      </w:r>
      <w:r>
        <w:rPr>
          <w:rFonts w:ascii="宋体" w:hAnsi="宋体" w:eastAsia="宋体" w:cs="宋体"/>
          <w:bCs/>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84"/>
      <w:r/>
      <w:bookmarkStart w:id="28" w:name="_Toc35393625"/>
      <w:r/>
      <w:bookmarkStart w:id="29" w:name="_Toc38985267"/>
      <w:r/>
      <w:bookmarkStart w:id="30" w:name="_Toc35393794"/>
      <w:r/>
      <w:bookmarkStart w:id="31"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月6</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00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85"/>
      <w:r/>
      <w:bookmarkStart w:id="36" w:name="_Toc35393796"/>
      <w:r/>
      <w:bookmarkStart w:id="37" w:name="_Toc38985269"/>
      <w:r/>
      <w:bookmarkStart w:id="38" w:name="_Toc28359008"/>
      <w:r/>
      <w:bookmarkStart w:id="39"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69"/>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69"/>
        <w:ind w:firstLine="480"/>
        <w:pageBreakBefore w:val="0"/>
        <w:spacing w:line="252"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采购人《质疑函》收件人：王先生，收件地址：南京市江宁区麒麟街道麒麟人工智能产业园4栋，联系电话：</w:t>
      </w:r>
      <w:r>
        <w:rPr>
          <w:rFonts w:hint="eastAsia" w:ascii="宋体" w:hAnsi="宋体" w:eastAsia="宋体" w:cs="宋体"/>
          <w:color w:val="000000"/>
          <w:sz w:val="24"/>
          <w:szCs w:val="24"/>
          <w:highlight w:val="none"/>
          <w:lang w:val="en-US" w:eastAsia="zh-CN"/>
        </w:rPr>
        <w:t xml:space="preserve">025-86168378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69"/>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w:t>
      </w:r>
      <w:r>
        <w:rPr>
          <w:rFonts w:hint="eastAsia" w:ascii="宋体" w:hAnsi="宋体" w:eastAsia="宋体" w:cs="宋体"/>
          <w:color w:val="000000"/>
          <w:sz w:val="24"/>
          <w:szCs w:val="24"/>
          <w:highlight w:val="none"/>
          <w:lang w:val="en-US" w:eastAsia="zh-CN"/>
        </w:rPr>
        <w:t xml:space="preserve">购人</w:t>
      </w:r>
      <w:r>
        <w:rPr>
          <w:rFonts w:hint="eastAsia" w:ascii="宋体" w:hAnsi="宋体" w:eastAsia="宋体" w:cs="宋体"/>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val="en-US" w:eastAsia="zh-CN"/>
        </w:rPr>
        <w:t xml:space="preserve">名称：</w:t>
      </w:r>
      <w:bookmarkStart w:id="42" w:name="OLE_LINK9"/>
      <w:r>
        <w:rPr>
          <w:rFonts w:hint="eastAsia" w:ascii="宋体" w:hAnsi="宋体" w:eastAsia="宋体" w:cs="宋体"/>
          <w:color w:val="000000"/>
          <w:sz w:val="24"/>
          <w:szCs w:val="24"/>
          <w:highlight w:val="none"/>
          <w:lang w:val="en-US" w:eastAsia="zh-CN"/>
        </w:rPr>
        <w:t xml:space="preserve">中科南京软件技术研究院</w:t>
      </w:r>
      <w:bookmarkEnd w:id="42"/>
      <w:r>
        <w:rPr>
          <w:rFonts w:hint="eastAsia" w:ascii="宋体" w:hAnsi="宋体" w:eastAsia="宋体" w:cs="宋体"/>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地址：南京市麒麟科创园创研路266号人工智能产业园4号楼</w:t>
      </w:r>
      <w:r>
        <w:rPr>
          <w:rFonts w:hint="eastAsia" w:ascii="宋体" w:hAnsi="宋体" w:eastAsia="宋体" w:cs="宋体"/>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联系人：王先生</w:t>
      </w:r>
      <w:r>
        <w:rPr>
          <w:rFonts w:hint="eastAsia" w:ascii="宋体" w:hAnsi="宋体" w:eastAsia="宋体" w:cs="宋体"/>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cs="宋体"/>
          <w:color w:val="000000"/>
          <w:sz w:val="24"/>
          <w:szCs w:val="24"/>
          <w:highlight w:val="none"/>
          <w:lang w:val="en-US" w:eastAsia="zh-CN"/>
        </w:rPr>
        <w:t xml:space="preserve">025-86168378</w:t>
      </w:r>
      <w:r>
        <w:rPr>
          <w:rFonts w:hint="eastAsia" w:ascii="宋体" w:hAnsi="宋体" w:eastAsia="宋体" w:cs="宋体"/>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邹女士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联系电话：025-68505810 </w:t>
      </w:r>
      <w:r>
        <w:rPr>
          <w:rFonts w:hint="eastAsia"/>
          <w:color w:val="000000"/>
          <w:highlight w:val="none"/>
          <w:u w:val="none"/>
        </w:rPr>
      </w:r>
      <w:r/>
    </w:p>
    <w:p>
      <w:pPr>
        <w:pStyle w:val="95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69"/>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color w:val="000000"/>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69"/>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50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69"/>
        <w:ind w:firstLine="420"/>
        <w:jc w:val="left"/>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69"/>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jc w:val="left"/>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olor w:val="000000"/>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69"/>
        <w:ind w:firstLine="420"/>
        <w:jc w:val="left"/>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69"/>
        <w:ind w:firstLine="420"/>
        <w:jc w:val="left"/>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69"/>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69"/>
        <w:ind w:firstLine="420"/>
        <w:jc w:val="left"/>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869"/>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69"/>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3"/>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69"/>
        <w:ind w:firstLine="420"/>
        <w:jc w:val="left"/>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3"/>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szCs w:val="22"/>
          <w:highlight w:val="none"/>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69"/>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869"/>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69"/>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869"/>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69"/>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bookmarkStart w:id="44" w:name="_Toc479757207"/>
      <w:r/>
      <w:bookmarkStart w:id="45" w:name="_Toc513029242"/>
      <w:r/>
      <w:bookmarkStart w:id="46" w:name="_Toc20823314"/>
      <w:r/>
      <w:bookmarkStart w:id="47" w:name="_Toc120614221"/>
      <w:r/>
      <w:bookmarkStart w:id="48" w:name="_Toc16938558"/>
      <w:r>
        <w:rPr>
          <w:rFonts w:hint="eastAsia" w:ascii="宋体" w:hAnsi="宋体" w:eastAsia="宋体" w:cs="Times New Roman"/>
          <w:color w:val="000000"/>
          <w:sz w:val="24"/>
          <w:highlight w:val="none"/>
          <w:lang w:val="zh-CN" w:eastAsia="zh-CN"/>
        </w:rPr>
      </w:r>
      <w:r/>
    </w:p>
    <w:p>
      <w:pPr>
        <w:pStyle w:val="95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1"/>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4"/>
      <w:r/>
      <w:bookmarkEnd w:id="45"/>
      <w:r/>
      <w:bookmarkEnd w:id="46"/>
      <w:r/>
      <w:bookmarkEnd w:id="47"/>
      <w:r/>
      <w:bookmarkEnd w:id="48"/>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69"/>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9" w:name="_Toc16938559"/>
      <w:r/>
      <w:bookmarkStart w:id="50" w:name="_Toc20823315"/>
      <w:r/>
      <w:bookmarkStart w:id="51" w:name="_Toc513029243"/>
      <w:r/>
      <w:bookmarkStart w:id="52" w:name="_Hlt16619350"/>
      <w:r/>
      <w:bookmarkStart w:id="53" w:name="_Toc20823346"/>
      <w:r/>
      <w:bookmarkStart w:id="54" w:name="_Toc120614244"/>
      <w:r/>
      <w:bookmarkStart w:id="55" w:name="_Toc16938590"/>
      <w:r/>
      <w:bookmarkStart w:id="56" w:name="_Toc462564139"/>
      <w:r/>
      <w:bookmarkStart w:id="57"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jc w:val="left"/>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3"/>
      </w:pPr>
      <w:r>
        <w:rPr>
          <w:rFonts w:hint="eastAsia" w:ascii="宋体" w:hAnsi="宋体" w:eastAsia="宋体" w:cs="Courier New"/>
          <w:color w:val="000000"/>
          <w:sz w:val="24"/>
          <w:szCs w:val="24"/>
          <w:highlight w:val="none"/>
        </w:rPr>
        <w:t xml:space="preserve">8.1.1甲方以电汇方式支付货款。对于甲、乙双方交接发票、结算票据事宜，双方一致认同：甲方取得发票并不代表甲方货款已付清，货款已付清是以甲方货款全部到乙方指定账户为准。</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3"/>
      </w:pPr>
      <w:r>
        <w:rPr>
          <w:rFonts w:hint="eastAsia" w:ascii="宋体" w:hAnsi="宋体" w:eastAsia="宋体" w:cs="Courier New"/>
          <w:color w:val="000000"/>
          <w:sz w:val="24"/>
          <w:szCs w:val="24"/>
          <w:highlight w:val="none"/>
        </w:rPr>
        <w:t xml:space="preserve">8.1.2付款方式： </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3"/>
      </w:pPr>
      <w:r>
        <w:rPr>
          <w:rFonts w:hint="eastAsia" w:ascii="宋体" w:hAnsi="宋体" w:eastAsia="宋体" w:cs="Courier New"/>
          <w:color w:val="000000"/>
          <w:sz w:val="24"/>
          <w:szCs w:val="24"/>
          <w:highlight w:val="none"/>
        </w:rPr>
        <w:t xml:space="preserve">合同签订后10个工作日内，甲方向乙方支付合同总金额的30%作为预付款（支付货款=合同总价款×30%）。</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3"/>
      </w:pPr>
      <w:r>
        <w:rPr>
          <w:rFonts w:hint="eastAsia" w:ascii="宋体" w:hAnsi="宋体" w:eastAsia="宋体" w:cs="Courier New"/>
          <w:color w:val="000000"/>
          <w:sz w:val="24"/>
          <w:szCs w:val="24"/>
          <w:highlight w:val="none"/>
        </w:rPr>
        <w:t xml:space="preserve">合同约定的全部产品到达甲方指定地点，验货合格后10个工作日内，甲方向乙方支付合同总金额的40%。（支付货款=合同总价款×40%）</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3"/>
      </w:pPr>
      <w:r>
        <w:rPr>
          <w:rFonts w:hint="eastAsia" w:ascii="宋体" w:hAnsi="宋体" w:eastAsia="宋体" w:cs="Courier New"/>
          <w:color w:val="000000"/>
          <w:sz w:val="24"/>
          <w:szCs w:val="24"/>
          <w:highlight w:val="none"/>
        </w:rPr>
        <w:t xml:space="preserve">在甲方指定地点安装调试完毕并通过审核后10个工作日内，甲方向乙方支付合同总金额的30%。（支付货款=合同总价款×30%）</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3"/>
      </w:pPr>
      <w:r>
        <w:rPr>
          <w:rFonts w:hint="eastAsia" w:ascii="宋体" w:hAnsi="宋体" w:eastAsia="宋体" w:cs="Courier New"/>
          <w:color w:val="000000"/>
          <w:sz w:val="24"/>
          <w:szCs w:val="24"/>
          <w:highlight w:val="none"/>
          <w:lang w:val="en-US" w:eastAsia="zh-CN"/>
        </w:rPr>
        <w:t xml:space="preserve">8.1.3 满足合同约定支付条件且预算资金下达后，甲方收到乙方发票10个工作日内，将资金支付到合同约定的乙方账户，</w:t>
      </w:r>
      <w:r>
        <w:rPr>
          <w:rFonts w:hint="eastAsia" w:ascii="宋体" w:hAnsi="宋体" w:eastAsia="宋体" w:cs="Courier New"/>
          <w:color w:val="000000"/>
          <w:sz w:val="24"/>
          <w:szCs w:val="24"/>
          <w:highlight w:val="none"/>
        </w:rPr>
        <w:t xml:space="preserve">乙方开具的发票不符合甲方要求的，导致甲方未能如期付款，甲方不承担延期付款责任。</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8.1.4 发票为增值税专用发票。</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jc w:val="left"/>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spacing w:line="264" w:lineRule="auto"/>
        <w:rPr>
          <w:rFonts w:eastAsia="宋体"/>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color w:val="000000"/>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lang w:val="en-US" w:eastAsia="zh-CN"/>
        </w:rPr>
        <w:t xml:space="preserve">百分之五</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万分之五</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lang w:val="en-US" w:eastAsia="zh-CN"/>
        </w:rPr>
        <w:t xml:space="preserve">百分之五</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49"/>
      <w:r/>
      <w:bookmarkEnd w:id="50"/>
      <w:r/>
      <w:bookmarkEnd w:id="51"/>
      <w:r/>
      <w:bookmarkStart w:id="58" w:name="_Hlt16619369"/>
      <w:r/>
      <w:bookmarkEnd w:id="58"/>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1"/>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1"/>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2"/>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3"/>
      <w:r/>
      <w:bookmarkEnd w:id="54"/>
      <w:r/>
      <w:bookmarkEnd w:id="55"/>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9" w:name="_Toc49090575"/>
      <w:r/>
      <w:bookmarkStart w:id="60"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支撑大模型训练与微调、多模态感知、科学计算与人工智能交叉研究等工作，解决现有共享算力排队周期长、GPU资源整机独占导致利用率偏低、缺少按课题组核算与审计能力等问题，拟对现有算力机房进行扩容升级，建设统一纳管、弹性调度、可计量的智算基础设施。</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建设目标：采购2台单机8卡的高性能GPU算力服务器及1套配套算力资源管理软件，形成16卡统一资源池，实现多课题组共享、统一资源调度、AI开发训练与模型服务管理、卡时级计量统计和全链路运维审计。</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总体技术要求：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1.本项目采用“硬件设备+管理软件+集成服务”一体化交付方式。</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2.两台服务器须组成统一智算集群，支持分布式训练和推理负载跨节点调度；软件须统一纳管本项目全部GPU资源，并支持后续扩容至不少于8个计算节点。</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需求以性能、功能、接口和服务能力为验收依据，不以特定品牌、型号、专利或供应商作为排斥性条件。涉及“高性能算力服务器”表述，是指显存、带宽、算力和互联能力达到本需求第四章所列指标的同等或更优产品。</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Times New Roman" w:hAnsi="Times New Roman" w:cs="Times New Roman"/>
          <w:sz w:val="24"/>
          <w:szCs w:val="24"/>
          <w:lang w:val="en-US" w:eastAsia="zh-CN"/>
        </w:rPr>
        <w:t xml:space="preserve">所供软硬件均须为全新、合法来源的正式产品；软件可为自研商业软件或经授权的开源商业发行版，应提供完整中文技术文档、合法授权证明和持续服务承诺，禁止使用已停止更行运维的产品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5.平台须支持统一身份认证接口，实现单点登录；涉及模型对外服务时，须具备调用审计、内容安全审核和日志留存能力。</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988"/>
        <w:tblW w:w="502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55"/>
        <w:gridCol w:w="729"/>
        <w:gridCol w:w="698"/>
        <w:gridCol w:w="1061"/>
        <w:gridCol w:w="1201"/>
        <w:gridCol w:w="1036"/>
        <w:gridCol w:w="1205"/>
        <w:gridCol w:w="1281"/>
      </w:tblGrid>
      <w:tr>
        <w:trPr>
          <w:trHeight w:val="470"/>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6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万元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高性能GPU算力服务器</w:t>
            </w:r>
            <w:r>
              <w:rPr>
                <w:rFonts w:hint="eastAsia" w:ascii="宋体" w:hAnsi="宋体" w:eastAsia="宋体" w:cs="宋体"/>
                <w:color w:val="000000"/>
                <w:sz w:val="24"/>
                <w:szCs w:val="24"/>
                <w:highlight w:val="none"/>
                <w:lang w:val="en-US" w:eastAsia="zh-CN"/>
              </w:rPr>
            </w:r>
            <w:r/>
          </w:p>
        </w:tc>
        <w:tc>
          <w:tcPr>
            <w:tcW w:w="371"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355"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635</w:t>
            </w:r>
            <w:r>
              <w:rPr>
                <w:rFonts w:ascii="宋体" w:hAnsi="宋体" w:eastAsia="宋体" w:cs="宋体"/>
                <w:color w:val="000000"/>
                <w:sz w:val="24"/>
                <w:szCs w:val="24"/>
                <w:highlight w:val="none"/>
                <w:lang w:val="en-US" w:eastAsia="zh-CN"/>
              </w:rPr>
            </w:r>
            <w:r/>
          </w:p>
        </w:tc>
        <w:tc>
          <w:tcPr>
            <w:tcW w:w="611"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核心产品（主要产品）</w:t>
            </w:r>
            <w:r>
              <w:rPr>
                <w:rFonts w:hint="eastAsia" w:ascii="宋体" w:hAnsi="宋体" w:eastAsia="宋体" w:cs="宋体"/>
                <w:color w:val="000000"/>
                <w:sz w:val="24"/>
                <w:szCs w:val="24"/>
                <w:highlight w:val="none"/>
                <w:lang w:val="en-US" w:eastAsia="zh-CN"/>
              </w:rPr>
            </w:r>
            <w:r/>
          </w:p>
        </w:tc>
        <w:tc>
          <w:tcPr>
            <w:tcW w:w="527"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val="en-US" w:eastAsia="zh-CN"/>
              </w:rPr>
            </w:r>
            <w:r/>
          </w:p>
        </w:tc>
        <w:tc>
          <w:tcPr>
            <w:tcW w:w="613" w:type="dxa"/>
            <w:vAlign w:val="center"/>
            <w:textDirection w:val="lrTb"/>
            <w:noWrap w:val="false"/>
          </w:tcPr>
          <w:p>
            <w:pPr>
              <w:pStyle w:val="869"/>
              <w:ind w:firstLine="48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否</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bidi="ar-SA"/>
              </w:rPr>
            </w:r>
            <w:r/>
          </w:p>
        </w:tc>
        <w:tc>
          <w:tcPr>
            <w:tcW w:w="995"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算力资源管理软件</w:t>
            </w:r>
            <w:r>
              <w:rPr>
                <w:rFonts w:hint="eastAsia" w:ascii="宋体" w:hAnsi="宋体" w:eastAsia="宋体" w:cs="宋体"/>
                <w:color w:val="000000"/>
                <w:sz w:val="24"/>
                <w:szCs w:val="24"/>
                <w:highlight w:val="none"/>
                <w:lang w:val="en-US" w:eastAsia="zh-CN"/>
              </w:rPr>
            </w:r>
            <w:r/>
          </w:p>
        </w:tc>
        <w:tc>
          <w:tcPr>
            <w:tcW w:w="371"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55"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val="en-US" w:eastAsia="zh-CN"/>
              </w:rPr>
            </w:r>
            <w:r/>
          </w:p>
        </w:tc>
        <w:tc>
          <w:tcPr>
            <w:tcW w:w="611" w:type="dxa"/>
            <w:vAlign w:val="center"/>
            <w:textDirection w:val="lrTb"/>
            <w:noWrap w:val="false"/>
          </w:tcPr>
          <w:p>
            <w:pPr>
              <w:pStyle w:val="869"/>
              <w:ind w:firstLine="480"/>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7"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工业</w:t>
            </w:r>
            <w:r>
              <w:rPr>
                <w:rFonts w:hint="eastAsia" w:ascii="宋体" w:hAnsi="宋体" w:eastAsia="宋体" w:cs="宋体"/>
                <w:color w:val="000000"/>
                <w:sz w:val="24"/>
                <w:szCs w:val="24"/>
                <w:highlight w:val="none"/>
                <w:lang w:val="en-US" w:eastAsia="zh-CN"/>
              </w:rPr>
            </w:r>
            <w:r/>
          </w:p>
        </w:tc>
        <w:tc>
          <w:tcPr>
            <w:tcW w:w="613" w:type="dxa"/>
            <w:vAlign w:val="center"/>
            <w:textDirection w:val="lrTb"/>
            <w:noWrap w:val="false"/>
          </w:tcPr>
          <w:p>
            <w:pPr>
              <w:pStyle w:val="869"/>
              <w:ind w:firstLine="48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r>
            <w:r/>
          </w:p>
        </w:tc>
        <w:tc>
          <w:tcPr>
            <w:tcW w:w="652"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否</w:t>
            </w:r>
            <w:r>
              <w:rPr>
                <w:rFonts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bidi="ar-SA"/>
              </w:rPr>
            </w:r>
            <w:r/>
          </w:p>
        </w:tc>
        <w:tc>
          <w:tcPr>
            <w:tcW w:w="995"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集成实施与培训服务</w:t>
            </w:r>
            <w:r>
              <w:rPr>
                <w:rFonts w:hint="eastAsia" w:ascii="宋体" w:hAnsi="宋体" w:eastAsia="宋体" w:cs="宋体"/>
                <w:color w:val="000000"/>
                <w:sz w:val="24"/>
                <w:szCs w:val="24"/>
                <w:highlight w:val="none"/>
                <w:lang w:val="en-US" w:eastAsia="zh-CN"/>
              </w:rPr>
            </w:r>
            <w:r/>
          </w:p>
        </w:tc>
        <w:tc>
          <w:tcPr>
            <w:tcW w:w="371"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55" w:type="dxa"/>
            <w:vAlign w:val="center"/>
            <w:textDirection w:val="lrTb"/>
            <w:noWrap w:val="false"/>
          </w:tcPr>
          <w:p>
            <w:pPr>
              <w:pStyle w:val="869"/>
              <w:ind w:firstLine="24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val="en-US" w:eastAsia="zh-CN"/>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611" w:type="dxa"/>
            <w:vAlign w:val="center"/>
            <w:textDirection w:val="lrTb"/>
            <w:noWrap w:val="false"/>
          </w:tcPr>
          <w:p>
            <w:pPr>
              <w:pStyle w:val="869"/>
              <w:ind w:firstLine="480"/>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7"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信息传输、软件和信息技术服务业</w:t>
            </w:r>
            <w:r>
              <w:rPr>
                <w:rFonts w:hint="eastAsia" w:ascii="宋体" w:hAnsi="宋体" w:eastAsia="宋体" w:cs="宋体"/>
                <w:color w:val="000000"/>
                <w:sz w:val="24"/>
                <w:szCs w:val="24"/>
                <w:highlight w:val="none"/>
                <w:lang w:val="en-US" w:eastAsia="zh-CN"/>
              </w:rPr>
            </w:r>
            <w:r/>
          </w:p>
        </w:tc>
        <w:tc>
          <w:tcPr>
            <w:tcW w:w="613" w:type="dxa"/>
            <w:vAlign w:val="center"/>
            <w:textDirection w:val="lrTb"/>
            <w:noWrap w:val="false"/>
          </w:tcPr>
          <w:p>
            <w:pPr>
              <w:pStyle w:val="869"/>
              <w:ind w:firstLine="480"/>
              <w:jc w:val="both"/>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r>
            <w:r/>
          </w:p>
        </w:tc>
        <w:tc>
          <w:tcPr>
            <w:tcW w:w="6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bl>
    <w:p>
      <w:pPr>
        <w:pStyle w:val="869"/>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rPr>
        <w:outlineLvl w:val="1"/>
      </w:pPr>
      <w:r>
        <w:rPr>
          <w:rFonts w:hint="eastAsia" w:ascii="黑体" w:hAnsi="黑体" w:eastAsia="黑体" w:cs="黑体"/>
          <w:bCs w:val="0"/>
          <w:color w:val="000000"/>
          <w:sz w:val="24"/>
          <w:szCs w:val="24"/>
          <w:highlight w:val="none"/>
        </w:rPr>
      </w:r>
      <w:r>
        <w:rPr>
          <w:rFonts w:hint="eastAsia" w:ascii="黑体" w:hAnsi="黑体" w:eastAsia="黑体" w:cs="黑体"/>
          <w:bCs w:val="0"/>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高性能GPU算力服务器</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服务器总体要求：每台服务器配置8颗高性能AI加速卡；两台服务器须满足16卡规模的大模型训练、微调和高并发推理需求。表格中</w:t>
      </w:r>
      <w:r>
        <w:rPr>
          <w:rFonts w:hint="eastAsia" w:ascii="宋体" w:hAnsi="宋体" w:eastAsia="宋体" w:cs="宋体"/>
          <w:bCs/>
          <w:color w:val="000000"/>
          <w:sz w:val="24"/>
          <w:szCs w:val="24"/>
          <w:highlight w:val="none"/>
        </w:rPr>
        <w:t xml:space="preserve">★号指标须提供原厂公开资料或第三方测试证明。</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r>
      <w:r/>
    </w:p>
    <w:tbl>
      <w:tblPr>
        <w:tblW w:w="10281" w:type="dxa"/>
        <w:jc w:val="center"/>
        <w:tblInd w:w="-10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100" w:type="dxa"/>
          <w:top w:w="80" w:type="dxa"/>
          <w:right w:w="100" w:type="dxa"/>
          <w:bottom w:w="80" w:type="dxa"/>
        </w:tblCellMar>
        <w:tblLook w:val="04A0" w:firstRow="1" w:lastRow="0" w:firstColumn="1" w:lastColumn="0" w:noHBand="0" w:noVBand="1"/>
      </w:tblPr>
      <w:tblGrid>
        <w:gridCol w:w="1614"/>
        <w:gridCol w:w="8667"/>
      </w:tblGrid>
      <w:tr>
        <w:trPr/>
        <w:tc>
          <w:tcPr>
            <w:tcMar>
              <w:left w:w="100" w:type="dxa"/>
              <w:top w:w="80" w:type="dxa"/>
              <w:right w:w="100" w:type="dxa"/>
              <w:bottom w:w="80" w:type="dxa"/>
            </w:tcMar>
            <w:tcW w:w="1614" w:type="dxa"/>
            <w:vAlign w:val="center"/>
            <w:vMerge w:val="restart"/>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GPU加速卡技术指标</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加速卡数量</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单机配置8颗高端AI加速卡，适用于大模型训练与推理。</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单卡显存容量</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卡高速显存总容量≥120GB，显存介质支持 HBM3 及以上规格。</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单卡显存带宽</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≥3.0TB/s。</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AI计算性能</w:t>
            </w:r>
            <w:r>
              <w:rPr>
                <w:rFonts w:hint="eastAsia" w:ascii="宋体" w:hAnsi="宋体" w:eastAsia="宋体" w:cs="宋体"/>
                <w:bCs/>
                <w:color w:val="000000"/>
                <w:sz w:val="24"/>
                <w:szCs w:val="24"/>
                <w:highlight w:val="none"/>
              </w:rPr>
            </w:r>
            <w:r/>
          </w:p>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AI计算卡需具备高性能算力，其中FP8精度算力≥1900 TFLOPS，BF16/FP16 精度算力≥950 TFLOPS；或提供同等及以上性能证明。</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机内GPU互联</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GPU间支持全互联高速总线，单向互联带宽≥900GB/s；支持GPU间直接访存与集合通信加速。</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存储直连能力</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支持GPU与NVMeSSD之间高效直连数据通路，满足训练数据高速加载。</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restart"/>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服务器系统技术指标</w:t>
            </w: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CPU</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双路配置，每颗CPU≥48核，</w:t>
            </w:r>
            <w:r>
              <w:rPr>
                <w:rFonts w:hint="eastAsia" w:ascii="Times New Roman" w:hAnsi="Times New Roman" w:eastAsia="宋体" w:cs="Times New Roman"/>
                <w:sz w:val="24"/>
                <w:szCs w:val="24"/>
                <w:lang w:val="en-US" w:eastAsia="zh-CN"/>
              </w:rPr>
              <w:t xml:space="preserve">采用2025或2026年发布的主流服务器处理器。</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内存</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单机内存≥</w:t>
            </w:r>
            <w:r>
              <w:rPr>
                <w:rFonts w:hint="eastAsia" w:ascii="宋体" w:hAnsi="宋体" w:eastAsia="宋体" w:cs="宋体"/>
                <w:bCs/>
                <w:color w:val="000000"/>
                <w:sz w:val="24"/>
                <w:szCs w:val="24"/>
                <w:highlight w:val="none"/>
                <w:lang w:val="en-US" w:eastAsia="zh-CN"/>
              </w:rPr>
              <w:t xml:space="preserve">768GB</w:t>
            </w:r>
            <w:r>
              <w:rPr>
                <w:rFonts w:hint="eastAsia" w:ascii="宋体" w:hAnsi="宋体" w:eastAsia="宋体" w:cs="宋体"/>
                <w:bCs/>
                <w:color w:val="000000"/>
                <w:sz w:val="24"/>
                <w:szCs w:val="24"/>
                <w:highlight w:val="none"/>
              </w:rPr>
              <w:t xml:space="preserve">DDR5，支持ECC纠错。</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系统盘</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NVMeSSD，有效容量≥3.84TB。</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数据缓存盘</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NVMeSSD，有效容量≥</w:t>
            </w:r>
            <w:r>
              <w:rPr>
                <w:rFonts w:hint="eastAsia" w:ascii="宋体" w:hAnsi="宋体" w:eastAsia="宋体" w:cs="宋体"/>
                <w:bCs/>
                <w:color w:val="000000"/>
                <w:sz w:val="24"/>
                <w:szCs w:val="24"/>
                <w:highlight w:val="none"/>
                <w:lang w:val="en-US" w:eastAsia="zh-CN"/>
              </w:rPr>
              <w:t xml:space="preserve">7.68</w:t>
            </w:r>
            <w:r>
              <w:rPr>
                <w:rFonts w:hint="eastAsia" w:ascii="宋体" w:hAnsi="宋体" w:eastAsia="宋体" w:cs="宋体"/>
                <w:bCs/>
                <w:color w:val="000000"/>
                <w:sz w:val="24"/>
                <w:szCs w:val="24"/>
                <w:highlight w:val="none"/>
              </w:rPr>
              <w:t xml:space="preserve">TB，用于训练数据本地缓存和高性能读写。</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高速网络接口</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每节点不少于4×400Gbps高速网络接口，用于分布式训练东西向流量；不少于2×100GbE接口用于管理和存储访问。</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可靠性与可维护性</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支持冗余电源（N+1）、硬盘热插拔、带外管理、故障远程诊断及智能功耗管理。</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机柜适配</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标准19英寸机架式安装，单台高度不高于8U，提供滑轨、导轨及理线附件。</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restart"/>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集群网络技术指标</w:t>
            </w: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高速互联</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两台服务器之间实现不少于4×400Gbps的高速互联</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支持RDMA（IB或RoCE）能力。</w:t>
            </w:r>
            <w:r>
              <w:rPr>
                <w:rFonts w:hint="eastAsia" w:ascii="宋体" w:hAnsi="宋体" w:eastAsia="宋体" w:cs="宋体"/>
                <w:bCs/>
                <w:color w:val="000000"/>
                <w:sz w:val="24"/>
                <w:szCs w:val="24"/>
                <w:highlight w:val="none"/>
              </w:rPr>
            </w:r>
            <w:r/>
          </w:p>
        </w:tc>
      </w:tr>
      <w:tr>
        <w:trPr/>
        <w:tc>
          <w:tcPr>
            <w:tcMar>
              <w:left w:w="100" w:type="dxa"/>
              <w:top w:w="80" w:type="dxa"/>
              <w:right w:w="100" w:type="dxa"/>
              <w:bottom w:w="80" w:type="dxa"/>
            </w:tcMar>
            <w:tcW w:w="1614"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Mar>
              <w:left w:w="100" w:type="dxa"/>
              <w:top w:w="80" w:type="dxa"/>
              <w:right w:w="100" w:type="dxa"/>
              <w:bottom w:w="80" w:type="dxa"/>
            </w:tcMar>
            <w:tcW w:w="8667"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管理网络</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提供管理、存储及带外管理网络连接能力，满足设备和平台统一运维。</w:t>
            </w:r>
            <w:r>
              <w:rPr>
                <w:rFonts w:hint="eastAsia" w:ascii="宋体" w:hAnsi="宋体" w:eastAsia="宋体" w:cs="宋体"/>
                <w:bCs/>
                <w:color w:val="000000"/>
                <w:sz w:val="24"/>
                <w:szCs w:val="24"/>
                <w:highlight w:val="none"/>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2.算力资源管理软件</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软件总体要求：软件应面向科研多课题组共享场景，支持硬件资源池化、租户隔离、作业调度、模型服务、计量审计和监控运维。许可应至少覆盖2个节点、16张GPU，并支持平滑扩容。</w:t>
      </w:r>
      <w:r>
        <w:rPr>
          <w:rFonts w:ascii="宋体" w:hAnsi="宋体" w:eastAsia="宋体" w:cs="宋体"/>
          <w:bCs/>
          <w:color w:val="000000"/>
          <w:sz w:val="24"/>
          <w:szCs w:val="24"/>
          <w:highlight w:val="none"/>
          <w:lang w:val="en-US" w:eastAsia="zh-CN"/>
        </w:rPr>
      </w:r>
      <w:r/>
    </w:p>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bl>
      <w:tblPr>
        <w:tblW w:w="996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3"/>
        <w:gridCol w:w="9259"/>
      </w:tblGrid>
      <w:tr>
        <w:trPr/>
        <w:tc>
          <w:tcPr>
            <w:tcBorders>
              <w:top w:val="single" w:color="000000" w:sz="4" w:space="0"/>
              <w:left w:val="single" w:color="000000" w:sz="4" w:space="0"/>
              <w:bottom w:val="none" w:color="000000" w:sz="0" w:space="0"/>
              <w:right w:val="single" w:color="000000" w:sz="4" w:space="0"/>
            </w:tcBorders>
            <w:tcW w:w="703" w:type="dxa"/>
            <w:vAlign w:val="center"/>
            <w:vMerge w:val="restart"/>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算力管理平台</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1.基础设施管理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(1)支持可视化基础设施统一管理节点、加速卡。</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(2)支持对节点调度管理，通过可视化界面配置节点调度策略，包括可调度和禁止调度配置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2.加速卡切分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(1)支持加速卡可视化加速卡在线切分管理，前端页面进行加速卡切分和取消切分，设备在线状态下任意切换卡的虚拟卡/整卡状态无需重启服务器</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(2)同一台加速卡服务器内，支持虚拟卡和物理卡同时并存，支持AI任务根据需求使用同节点的物理卡或虚拟卡而无需重启服务器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(3)支持单卡级别进行加速卡切分，支持按照算力和显存两个维度进行切分或者按照比例切分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(4)支持池化隔离，支持vGPU多任务隔离保护，异常vGPU任务不影响其他正常任务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(5)支持加速卡按不同资源规格进行切分，切分操作时可选择一个或多个预设规格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(6)支持管理员配置资源规格，资源规格包含规格名称、系统类型、加速卡类型（整卡或虚拟卡）、切分模块或切分比例、加速卡数量、CPU（核数）、内存（G）</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3.资源组管理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(1)支持资源组中同时分配物理整卡和虚拟卡，支持根据业务需求动态调整资源组中的资源配额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(2)支持资源组设置为租户独享或者多租户共享</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(3)资源组展示资源组资源信息，包含节点名称、加速卡型号、加速卡模式、加速卡数量和剩余数量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4.项目管理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(1)支持按照项目维度进行资源权限隔离，支持配置项目资源组、项目资源规格、项目成员</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(2)支持项目组成员共享项目组内的资源组、资源规格、数据文件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(3)支持项目资源详情查看，包括：项目名称、创建时间、创建人、成员数量、成员详情、关联资源组、项目配额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5.加速卡调度</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(1)支持设置任务优先级；支持平铺调度、集中调度；支持亲和/反亲和调度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(2)支持FIFO、gang、shceduling、Dominantresourcefairness、binpack多种调度策略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6.发布管理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(1)支持可视化根据项目和资源规格创建部署单元、VCJob</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(2)支持VCJob作业插件设置，支持界面设置VCjob作业重启策略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(3)可视化创建服务、ConfigMap、Secret</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(4)支持ClusterIP、NodePort、ExternalName、loadbalancer多种服务类型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7.计量计费</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(1)支持资源计量管理，计量内容包括：加速卡、显存、CPU、内存关键资源的分配与使用情况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(2)支持资源计费管理，支持创建计费标准，设置是否开启计费并实时统计任务计费明细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(3)支持将计量和计费报表以CSV格式本地导出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8.镜像管理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(1)支持划分为用户镜像、项目镜像和公共镜像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(2)支持镜像预热，支持选择单节点或多节点预热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(3)支持可视化引导式镜像上传，支持可视化对接Harbor、Registry</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9.监控告警</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(1)支持对集群、节点、加速卡、POD、容器进行状态监控</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(2)支持主机节点维度监控，支持查看所有节点监控信息，包括：IP、状态、集群、类型、配置、调度状态、操作、节点内加速卡状态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加速卡维度监控，支持查看所有加速卡监控信息，包括：加速卡数量、加速卡类型数量、卡均任务数量、平均算力使用率、平均显存使用率；单卡算力使用率、单卡显存使用率、加速卡状态、加速卡模式、切分状态，加速卡温度、加速卡功率，加速卡UUID、加速卡名称、所属节点、加速卡型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(4)支持资源告警、组件告警与大模型业务告警（包括大模型微调、大模型在线服务场景）；支持PromQL配置告警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(5)支持通过微信、钉钉、邮件、站内信进行告警通知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90"/>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10.文件管理要求</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(1)支持文件管理，支持上传、下载、复制、共享、移动、删除、批量删除等文件管理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(2)支持按照用户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项目和共享三个类别进行数据权限管理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(3)支持数据共享权限管理，用户可将用户数据共享到项目或共享目录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(4)支持数据预览、支持精准检索和模糊检索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11.模型仓库管理要求</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(1)支持第三方大模型的导入，支持用户通过可视化界面完成模型文件导入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(2)支持对模型进行统一管理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(3)支持对模型仓库中现有版本模型进行模型文件更新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(4)支持对模型仓库中的模型版本进行版本更新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(5)平台兼容当下主流开源大模型</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如：deepseek、智谱、千问、百川、Llama</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c>
          <w:tcPr>
            <w:tcBorders>
              <w:top w:val="none" w:color="000000" w:sz="0"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rPr>
              <w:t xml:space="preserve">12.模型推理管理要求</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(1)支持在线推理服务的创建和管理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(2)平台支持Pytorch、TensorFlow、sklearn、onnx、xgboost、lightgbm、vllm、fastchat、xinference、sglang多种推理框架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(3)支持可视化创建、配置和二次编辑推理任务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(4)支持可视化配置框架参数，包括：最大上下文长度、模型名称、模型路径、自定义参数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(5)支持用户将服务发布为公共服务，支持项目公开和平台公开</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(6)支持对模型服务的API访问路径进行自定义配置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(7)支持可视化框架新增、修改、升级等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br w:type="textWrapping" w:clear="all"/>
            </w:r>
            <w:r>
              <w:rPr>
                <w:rFonts w:hint="eastAsia" w:ascii="宋体" w:hAnsi="宋体" w:eastAsia="宋体" w:cs="宋体"/>
                <w:bCs/>
                <w:color w:val="000000"/>
                <w:sz w:val="24"/>
                <w:szCs w:val="24"/>
                <w:highlight w:val="none"/>
              </w:rPr>
              <w:t xml:space="preserve">(8)支持主流分布式推理框架部署，包含但不限于 VLLM、MindIE 等，支持可视化界面完成分布式推理服务部署操作支持可视化界面操作分布式推理服务的部署。</w:t>
            </w:r>
            <w:r>
              <w:rPr>
                <w:rFonts w:hint="eastAsia" w:ascii="宋体" w:hAnsi="宋体" w:eastAsia="宋体" w:cs="宋体"/>
                <w:bCs/>
                <w:color w:val="000000"/>
                <w:sz w:val="24"/>
                <w:szCs w:val="24"/>
                <w:highlight w:val="none"/>
                <w:lang w:eastAsia="zh-CN"/>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restart"/>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非功能要求</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容量</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支持不少于200个并发用户和500条并发任务记录。</w:t>
            </w:r>
            <w:r>
              <w:rPr>
                <w:rFonts w:hint="eastAsia" w:ascii="宋体" w:hAnsi="宋体" w:eastAsia="宋体" w:cs="宋体"/>
                <w:bCs/>
                <w:color w:val="000000"/>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可用性</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宋体" w:hAnsi="宋体" w:eastAsia="宋体" w:cs="宋体"/>
                <w:bCs/>
                <w:color w:val="000000"/>
                <w:sz w:val="24"/>
                <w:szCs w:val="24"/>
                <w:highlight w:val="none"/>
                <w:lang w:val="en-US" w:eastAsia="zh-CN"/>
              </w:rPr>
              <w:t xml:space="preserve">平台核心服务可用性不低于99.9%。</w:t>
            </w:r>
            <w:r>
              <w:rPr>
                <w:rFonts w:hint="eastAsia" w:ascii="宋体" w:hAnsi="宋体" w:eastAsia="宋体" w:cs="宋体"/>
                <w:bCs/>
                <w:color w:val="000000"/>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性能</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宋体" w:hAnsi="宋体" w:eastAsia="宋体" w:cs="宋体"/>
                <w:bCs/>
                <w:color w:val="000000"/>
                <w:sz w:val="24"/>
                <w:szCs w:val="24"/>
                <w:highlight w:val="none"/>
                <w:lang w:val="en-US" w:eastAsia="zh-CN"/>
              </w:rPr>
              <w:t xml:space="preserve">Web控制台常规操作响应时间不超过3秒。</w:t>
            </w:r>
            <w:r>
              <w:rPr>
                <w:rFonts w:hint="eastAsia" w:ascii="宋体" w:hAnsi="宋体" w:eastAsia="宋体" w:cs="宋体"/>
                <w:bCs/>
                <w:color w:val="000000"/>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安全</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宋体" w:hAnsi="宋体" w:eastAsia="宋体" w:cs="宋体"/>
                <w:bCs/>
                <w:color w:val="000000"/>
                <w:sz w:val="24"/>
                <w:szCs w:val="24"/>
                <w:highlight w:val="none"/>
                <w:lang w:val="en-US" w:eastAsia="zh-CN"/>
              </w:rPr>
              <w:t xml:space="preserve">支持HTTPS传输、用户数据隔离、任务网络隔离、权限分级及不少于180天审计留存。</w:t>
            </w:r>
            <w:r>
              <w:rPr>
                <w:rFonts w:hint="eastAsia" w:ascii="宋体" w:hAnsi="宋体" w:eastAsia="宋体" w:cs="宋体"/>
                <w:bCs/>
                <w:color w:val="000000"/>
                <w:sz w:val="24"/>
                <w:szCs w:val="24"/>
                <w:highlight w:val="none"/>
              </w:rPr>
            </w:r>
            <w:r/>
          </w:p>
        </w:tc>
      </w:tr>
      <w:tr>
        <w:trPr/>
        <w:tc>
          <w:tcPr>
            <w:tcBorders>
              <w:top w:val="none" w:color="000000" w:sz="0" w:space="0"/>
              <w:left w:val="single" w:color="000000" w:sz="4" w:space="0"/>
              <w:bottom w:val="none" w:color="000000" w:sz="0"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开放性</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宋体" w:hAnsi="宋体" w:eastAsia="宋体" w:cs="宋体"/>
                <w:bCs/>
                <w:color w:val="000000"/>
                <w:sz w:val="24"/>
                <w:szCs w:val="24"/>
                <w:highlight w:val="none"/>
                <w:lang w:val="en-US" w:eastAsia="zh-CN"/>
              </w:rPr>
              <w:t xml:space="preserve">提供标准RESTAPI与中文API文档</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t xml:space="preserve">支持与现有身份认证、消息告警和科研管理系统对接。</w:t>
            </w:r>
            <w:r>
              <w:rPr>
                <w:rFonts w:hint="eastAsia" w:ascii="宋体" w:hAnsi="宋体" w:eastAsia="宋体" w:cs="宋体"/>
                <w:bCs/>
                <w:color w:val="000000"/>
                <w:sz w:val="24"/>
                <w:szCs w:val="24"/>
                <w:highlight w:val="none"/>
              </w:rPr>
            </w:r>
            <w:r/>
          </w:p>
        </w:tc>
      </w:tr>
      <w:tr>
        <w:trPr/>
        <w:tc>
          <w:tcPr>
            <w:tcBorders>
              <w:top w:val="none" w:color="000000" w:sz="0" w:space="0"/>
              <w:left w:val="single" w:color="000000" w:sz="4" w:space="0"/>
              <w:bottom w:val="single" w:color="000000" w:sz="4" w:space="0"/>
              <w:right w:val="single" w:color="000000" w:sz="4" w:space="0"/>
            </w:tcBorders>
            <w:tcW w:w="703"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本地化</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提供中文用户界面、中文管理员手册、用户手册和部署运维手册。</w:t>
            </w:r>
            <w:r>
              <w:rPr>
                <w:rFonts w:hint="eastAsia" w:ascii="宋体" w:hAnsi="宋体" w:eastAsia="宋体" w:cs="宋体"/>
                <w:bCs/>
                <w:color w:val="000000"/>
                <w:sz w:val="24"/>
                <w:szCs w:val="24"/>
                <w:highlight w:val="none"/>
              </w:rPr>
            </w:r>
            <w:r/>
          </w:p>
        </w:tc>
      </w:tr>
    </w:tbl>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2.集成实施、培训及服务要求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Times New Roman" w:hAnsi="Times New Roman" w:eastAsia="宋体" w:cs="Times New Roman"/>
          <w:sz w:val="24"/>
          <w:szCs w:val="24"/>
          <w:lang w:val="en-US" w:eastAsia="zh-CN"/>
        </w:rPr>
        <w:t xml:space="preserve">投标人负责设备运输、机房上架、布线</w:t>
      </w:r>
      <w:r>
        <w:rPr>
          <w:rFonts w:hint="eastAsia" w:ascii="Times New Roman" w:hAnsi="Times New Roman" w:cs="Times New Roman"/>
          <w:sz w:val="24"/>
          <w:szCs w:val="24"/>
          <w:lang w:val="en-US" w:eastAsia="zh-CN"/>
        </w:rPr>
        <w:t xml:space="preserve">（含辅材）</w:t>
      </w:r>
      <w:r>
        <w:rPr>
          <w:rFonts w:hint="eastAsia" w:ascii="Times New Roman" w:hAnsi="Times New Roman" w:eastAsia="宋体" w:cs="Times New Roman"/>
          <w:sz w:val="24"/>
          <w:szCs w:val="24"/>
          <w:lang w:val="en-US" w:eastAsia="zh-CN"/>
        </w:rPr>
        <w:t xml:space="preserve">、网络配置、操作系统与基础软件安装、平台部署、集群联调及与统一身份认证系统的对接，包括对原有设备及数据的管理和对接至新的管理平台并纳入统一管理。</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投标人应提交项目实施方案，明确项目经理、实施人员、进度计划、风险控制和交付物清单。</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提供不少于2天的现场培训，至少覆盖管理员运维、课题组资源申请、用户开发训练、模型服务和报表使用等内容。</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硬件提供不少于3年质保，软件提供不少于3年版本升级、补丁和技术支持；支持7×24小时远程响应，重大故障4小时内响应、次工作日到场。</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配合采购人完成安全加固、漏洞修复和等保相关整改（如涉及）</w:t>
      </w:r>
      <w:r>
        <w:rPr>
          <w:rFonts w:hint="eastAsia" w:ascii="Times New Roman" w:hAnsi="Times New Roman" w:eastAsia="宋体" w:cs="Times New Roman"/>
          <w:sz w:val="24"/>
          <w:szCs w:val="24"/>
          <w:lang w:val="en-US" w:eastAsia="zh-CN"/>
        </w:rPr>
        <w:t xml:space="preserve">；如遇机房搬迁、场地调整必须配合采购人完成相关调整工作；对现有节点扩容包含在报价内。</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3.测试要求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到货核验：核对设备配置、加电自检、序列号及授权证明。</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性能测试：完成GPU互联带宽测试、集群通信测试和不少于72小时的连续稳定性压力测试，期间不得出现影响业务的硬件或软件故障。</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应用测试：完成一个模型微调任务和一个推理服务部署演示，验证跨节点训练、任务调度和模型服务能力。</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功能测试：算力资源管理软件模块逐项演示，重点验证GPU切分、队列抢占、课题组配额、卡时计量、审计追溯和告警功能。</w:t>
      </w:r>
      <w:r>
        <w:rPr>
          <w:rFonts w:hint="eastAsia" w:ascii="宋体" w:hAnsi="宋体" w:eastAsia="宋体" w:cs="宋体"/>
          <w:bCs/>
          <w:color w:val="000000"/>
          <w:sz w:val="24"/>
          <w:szCs w:val="24"/>
          <w:highlight w:val="none"/>
          <w:lang w:val="en-US" w:eastAsia="zh-CN"/>
        </w:rPr>
      </w:r>
      <w:r/>
    </w:p>
    <w:p>
      <w:pPr>
        <w:pStyle w:val="869"/>
        <w:ind w:firstLine="480"/>
        <w:spacing w:line="264" w:lineRule="auto"/>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以上测试均需现场提供测试报告。</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4.验收要求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所有软硬件规格、功能和服务满足本需求及投标承诺；全部测试项目通过。</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完成全套文档移交，包括设备清单、网络拓扑、部署文档、管理员账号清单、授权文件、API文档、培训材料和测试报告。</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双方签署验收报告后进入质保和服务期。</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5.付款条件</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以第二部分合同文本内容为准。</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6.交付时间及地点</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（1）交付时间：签订合同后90天内完成供货，通过验收并交付采购人使用。</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（2）交付地点：采购人指定地点。</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7.履约保证金</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bookmarkStart w:id="61" w:name="OLE_LINK1"/>
      <w:r>
        <w:rPr>
          <w:rFonts w:hint="eastAsia" w:ascii="宋体" w:hAnsi="宋体" w:eastAsia="宋体" w:cs="宋体"/>
          <w:bCs/>
          <w:color w:val="000000"/>
          <w:sz w:val="24"/>
          <w:szCs w:val="24"/>
          <w:highlight w:val="none"/>
          <w:lang w:val="en-US" w:eastAsia="zh-CN"/>
        </w:rPr>
        <w:t xml:space="preserve">8.其他要求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bookmarkEnd w:id="61"/>
      <w:r>
        <w:rPr>
          <w:rFonts w:hint="eastAsia" w:ascii="宋体" w:hAnsi="宋体" w:eastAsia="宋体" w:cs="宋体"/>
          <w:bCs/>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eastAsia="宋体" w:cs="宋体"/>
          <w:bCs/>
          <w:color w:val="000000"/>
          <w:sz w:val="24"/>
          <w:szCs w:val="24"/>
          <w:highlight w:val="none"/>
          <w:lang w:val="en-US" w:eastAsia="zh-CN"/>
        </w:rPr>
      </w:r>
      <w:r/>
    </w:p>
    <w:p>
      <w:pPr>
        <w:pStyle w:val="869"/>
        <w:ind w:right="840"/>
        <w:jc w:val="left"/>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shd w:val="nil" w:color="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9"/>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69"/>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69"/>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69"/>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69"/>
        <w:ind w:firstLine="422"/>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sz w:val="24"/>
          <w:szCs w:val="24"/>
          <w:highlight w:val="none"/>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评标基准价/投标报价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价格分值（小数点保留两位）</w:t>
            </w:r>
            <w:r>
              <w:rPr>
                <w:rFonts w:hint="eastAsia" w:ascii="宋体" w:hAnsi="宋体" w:eastAsia="宋体" w:cs="宋体"/>
                <w:color w:val="000000"/>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产品技术参数全部满足招标文件技术要求的得满分，打★指标为必须满足项，如有负偏离将作为无效投标，</w:t>
            </w:r>
            <w:r>
              <w:rPr>
                <w:rFonts w:hint="eastAsia" w:ascii="宋体" w:hAnsi="宋体" w:eastAsia="宋体" w:cs="宋体"/>
                <w:color w:val="000000"/>
                <w:sz w:val="21"/>
                <w:szCs w:val="21"/>
                <w:highlight w:val="none"/>
                <w:lang w:val="en-US" w:eastAsia="zh-CN"/>
              </w:rPr>
              <w:t xml:space="preserve">其余指标（共58个）有1项负偏离扣0.37分。</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技术方案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根据本项目采购需求编制方案，内容包含：1、总体思路和原则；2、系统组成和建设方案；3、系统功能和系统性能；4、系统安全保障设计与原有系统关联。以上每项内容逐项评分：</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描述准确合理，满足业务需求，逻辑架构、物理架构完整、严谨、准确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上述每项内容符合得2分；部分符合得1分；不符合或不提供不得分</w:t>
            </w:r>
            <w:r>
              <w:rPr>
                <w:color w:val="000000"/>
                <w:highlight w:val="none"/>
                <w:lang w:val="en-US"/>
              </w:rPr>
              <w:t xml:space="preserve">。</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Cs w:val="21"/>
                <w:highlight w:val="none"/>
              </w:rPr>
            </w:r>
            <w:r/>
          </w:p>
        </w:tc>
      </w:tr>
      <w:tr>
        <w:trPr>
          <w:trHeight w:val="417"/>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3.1</w:t>
            </w:r>
            <w:r>
              <w:rPr>
                <w:rFonts w:hint="eastAsia" w:ascii="宋体" w:hAnsi="宋体" w:eastAsia="宋体" w:cs="宋体"/>
                <w:color w:val="000000"/>
                <w:spacing w:val="0"/>
                <w:szCs w:val="21"/>
                <w:highlight w:val="none"/>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培训服务方案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根据本项目采购需求编制方案，内容包含：1.</w:t>
            </w:r>
            <w:r>
              <w:rPr>
                <w:rFonts w:hint="eastAsia" w:ascii="宋体" w:hAnsi="宋体" w:eastAsia="宋体" w:cs="宋体"/>
                <w:color w:val="000000"/>
                <w:sz w:val="21"/>
                <w:szCs w:val="21"/>
                <w:highlight w:val="none"/>
                <w:lang w:val="zh-CN" w:eastAsia="zh-CN" w:bidi="ar-SA"/>
              </w:rPr>
              <w:t xml:space="preserve">人员配备、培训体系与培训方式</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培训内容、培训过程</w:t>
            </w:r>
            <w:r>
              <w:rPr>
                <w:rFonts w:hint="eastAsia" w:ascii="宋体" w:hAnsi="宋体" w:eastAsia="宋体" w:cs="宋体"/>
                <w:color w:val="000000"/>
                <w:sz w:val="21"/>
                <w:szCs w:val="21"/>
                <w:highlight w:val="none"/>
                <w:lang w:val="en-US" w:eastAsia="zh-CN" w:bidi="ar-SA"/>
              </w:rPr>
              <w:t xml:space="preserve">与</w:t>
            </w:r>
            <w:r>
              <w:rPr>
                <w:rFonts w:hint="eastAsia" w:ascii="宋体" w:hAnsi="宋体" w:eastAsia="宋体" w:cs="宋体"/>
                <w:color w:val="000000"/>
                <w:sz w:val="21"/>
                <w:szCs w:val="21"/>
                <w:highlight w:val="none"/>
                <w:lang w:val="zh-CN" w:eastAsia="zh-CN" w:bidi="ar-SA"/>
              </w:rPr>
              <w:t xml:space="preserve">培训目标</w:t>
            </w:r>
            <w:r>
              <w:rPr>
                <w:rFonts w:hint="eastAsia" w:ascii="宋体" w:hAnsi="宋体" w:eastAsia="宋体" w:cs="宋体"/>
                <w:color w:val="000000"/>
                <w:sz w:val="21"/>
                <w:szCs w:val="21"/>
                <w:highlight w:val="none"/>
                <w:lang w:val="en-US" w:eastAsia="zh-CN" w:bidi="ar-SA"/>
              </w:rPr>
              <w:t xml:space="preserve">；3.考核</w:t>
            </w:r>
            <w:r>
              <w:rPr>
                <w:rFonts w:hint="eastAsia" w:ascii="宋体" w:hAnsi="宋体" w:eastAsia="宋体" w:cs="宋体"/>
                <w:color w:val="000000"/>
                <w:sz w:val="21"/>
                <w:szCs w:val="21"/>
                <w:highlight w:val="none"/>
                <w:lang w:val="zh-CN" w:eastAsia="zh-CN" w:bidi="ar-SA"/>
              </w:rPr>
              <w:t xml:space="preserve">办法、培训质量保证</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zh-CN" w:eastAsia="zh-CN" w:bidi="ar-SA"/>
              </w:rPr>
              <w:t xml:space="preserve">有具体的保障措施，方案内容完整、目标明确、考核办法具有针对性，充分体现解决问题的能力</w:t>
            </w:r>
            <w:r>
              <w:rPr>
                <w:rFonts w:hint="eastAsia" w:ascii="宋体" w:hAnsi="宋体" w:eastAsia="宋体" w:cs="宋体"/>
                <w:color w:val="000000"/>
                <w:sz w:val="21"/>
                <w:szCs w:val="21"/>
                <w:highlight w:val="none"/>
                <w:lang w:val="en-US" w:eastAsia="zh-CN" w:bidi="ar-SA"/>
              </w:rPr>
              <w:t xml:space="preserve">，且专门针对本项目，符合采购需求和实际情况视为符合；方案内容</w:t>
            </w:r>
            <w:r>
              <w:rPr>
                <w:rFonts w:hint="eastAsia" w:ascii="宋体" w:hAnsi="宋体" w:eastAsia="宋体" w:cs="宋体"/>
                <w:color w:val="000000"/>
                <w:sz w:val="21"/>
                <w:szCs w:val="21"/>
                <w:highlight w:val="none"/>
                <w:lang w:val="zh-CN" w:eastAsia="zh-CN" w:bidi="ar-SA"/>
              </w:rPr>
              <w:t xml:space="preserve">有基本保障措施，方案内容基本完整</w:t>
            </w:r>
            <w:r>
              <w:rPr>
                <w:rFonts w:hint="eastAsia" w:ascii="宋体" w:hAnsi="宋体" w:eastAsia="宋体" w:cs="宋体"/>
                <w:color w:val="000000"/>
                <w:sz w:val="21"/>
                <w:szCs w:val="21"/>
                <w:highlight w:val="none"/>
                <w:lang w:val="en-US" w:eastAsia="zh-CN" w:bidi="ar-SA"/>
              </w:rPr>
              <w:t xml:space="preserve">，非专门针对本项目，部分符合实际情况视为部分符合；方案内容复制粘贴采购需求，非专门针对本项目， 不符合实际情况或未提供视为不符合。</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上述每项内容符合得2分；部分符合得 1 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3.2</w:t>
            </w:r>
            <w:r>
              <w:rPr>
                <w:rFonts w:hint="eastAsia" w:ascii="宋体" w:hAnsi="宋体" w:eastAsia="宋体" w:cs="宋体"/>
                <w:color w:val="000000"/>
                <w:spacing w:val="0"/>
                <w:szCs w:val="21"/>
                <w:highlight w:val="none"/>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根据本项目采购需求编制方案，内容包含：1.售后</w:t>
            </w:r>
            <w:r>
              <w:rPr>
                <w:rFonts w:hint="eastAsia" w:ascii="宋体" w:hAnsi="宋体" w:eastAsia="宋体" w:cs="宋体"/>
                <w:color w:val="000000"/>
                <w:sz w:val="21"/>
                <w:szCs w:val="21"/>
                <w:highlight w:val="none"/>
                <w:lang w:val="zh-CN" w:eastAsia="zh-CN" w:bidi="ar-SA"/>
              </w:rPr>
              <w:t xml:space="preserve">服务内容</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故障解决方案</w:t>
            </w:r>
            <w:r>
              <w:rPr>
                <w:rFonts w:hint="eastAsia" w:ascii="宋体" w:hAnsi="宋体" w:eastAsia="宋体" w:cs="宋体"/>
                <w:color w:val="000000"/>
                <w:sz w:val="21"/>
                <w:szCs w:val="21"/>
                <w:highlight w:val="none"/>
                <w:lang w:val="en-US" w:eastAsia="zh-CN" w:bidi="ar-SA"/>
              </w:rPr>
              <w:t xml:space="preserve">；3.售后服务体系</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专业技术人员保障；</w: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服务电话</w:t>
            </w:r>
            <w:r>
              <w:rPr>
                <w:rFonts w:hint="eastAsia" w:ascii="宋体" w:hAnsi="宋体" w:eastAsia="宋体" w:cs="宋体"/>
                <w:color w:val="000000"/>
                <w:sz w:val="21"/>
                <w:szCs w:val="21"/>
                <w:highlight w:val="none"/>
                <w:lang w:val="en-US" w:eastAsia="zh-CN" w:bidi="ar-SA"/>
              </w:rPr>
              <w:t xml:space="preserve">。以上每项内容逐项评分：</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w:t>
            </w:r>
            <w:r>
              <w:rPr>
                <w:rFonts w:hint="eastAsia" w:ascii="宋体" w:hAnsi="宋体" w:eastAsia="宋体" w:cs="宋体"/>
                <w:color w:val="000000"/>
                <w:sz w:val="21"/>
                <w:szCs w:val="21"/>
                <w:highlight w:val="none"/>
                <w:lang w:val="zh-CN" w:eastAsia="zh-CN" w:bidi="ar-SA"/>
              </w:rPr>
              <w:t xml:space="preserve">服务体系完善，服务内容全面；故障解决方案切实可行，专业技术人员保障充足，响应机制迅速</w:t>
            </w:r>
            <w:r>
              <w:rPr>
                <w:rFonts w:hint="eastAsia" w:ascii="宋体" w:hAnsi="宋体" w:eastAsia="宋体" w:cs="宋体"/>
                <w:color w:val="000000"/>
                <w:sz w:val="21"/>
                <w:szCs w:val="21"/>
                <w:highlight w:val="none"/>
                <w:lang w:val="en-US" w:eastAsia="zh-CN" w:bidi="ar-SA"/>
              </w:rPr>
              <w:t xml:space="preserve">，且专门针对本项目，符合采购需求和实际情况视为符合；方案内容</w:t>
            </w:r>
            <w:r>
              <w:rPr>
                <w:rFonts w:hint="eastAsia" w:ascii="宋体" w:hAnsi="宋体" w:eastAsia="宋体" w:cs="宋体"/>
                <w:color w:val="000000"/>
                <w:sz w:val="21"/>
                <w:szCs w:val="21"/>
                <w:highlight w:val="none"/>
                <w:lang w:val="zh-CN" w:eastAsia="zh-CN" w:bidi="ar-SA"/>
              </w:rPr>
              <w:t xml:space="preserve">有基本保障措施，方案内容基本完整</w:t>
            </w:r>
            <w:r>
              <w:rPr>
                <w:rFonts w:hint="eastAsia" w:ascii="宋体" w:hAnsi="宋体" w:eastAsia="宋体" w:cs="宋体"/>
                <w:color w:val="000000"/>
                <w:sz w:val="21"/>
                <w:szCs w:val="21"/>
                <w:highlight w:val="none"/>
                <w:lang w:val="en-US" w:eastAsia="zh-CN" w:bidi="ar-SA"/>
              </w:rPr>
              <w:t xml:space="preserve">，非专门针对本项目，部分符合实际情况视为部分符合；方案内容复制粘贴采购需求，非专门针对本项目， 不符合实际情况或未提供视为不符合。</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上述每项内容符合得1分；部分符合得 0.5分；不符合或不提供不得分。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69"/>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ascii="宋体" w:hAnsi="宋体" w:eastAsia="宋体" w:cs="宋体"/>
                <w:color w:val="000000"/>
                <w:spacing w:val="-1"/>
                <w:szCs w:val="21"/>
                <w:highlight w:val="none"/>
                <w:lang w:val="en-US" w:eastAsia="zh-CN"/>
              </w:rPr>
              <w:t xml:space="preserve">或产品业绩</w:t>
            </w:r>
            <w:r>
              <w:rPr>
                <w:rFonts w:hint="eastAsia" w:eastAsia="宋体"/>
                <w:color w:val="000000"/>
                <w:szCs w:val="21"/>
                <w:highlight w:val="none"/>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highlight w:val="none"/>
                <w:lang w:val="en-US" w:eastAsia="zh-CN" w:bidi="ar-SA"/>
              </w:rPr>
              <w:t xml:space="preserve">（含）以来类似项目业绩（至</w:t>
            </w:r>
            <w:r>
              <w:rPr>
                <w:rFonts w:hint="eastAsia" w:ascii="宋体" w:hAnsi="宋体" w:eastAsia="宋体" w:cs="宋体"/>
                <w:color w:val="000000"/>
                <w:sz w:val="21"/>
                <w:szCs w:val="21"/>
              </w:rPr>
              <w:t xml:space="preserve">少包含“GPU”或“</w:t>
            </w:r>
            <w:r>
              <w:rPr>
                <w:rFonts w:hint="eastAsia" w:ascii="宋体" w:hAnsi="宋体" w:eastAsia="宋体" w:cs="宋体"/>
                <w:color w:val="000000"/>
                <w:sz w:val="21"/>
                <w:szCs w:val="21"/>
                <w:lang w:val="en-US" w:eastAsia="zh-CN"/>
              </w:rPr>
              <w:t xml:space="preserve">算力</w:t>
            </w:r>
            <w:r>
              <w:rPr>
                <w:rFonts w:hint="eastAsia" w:ascii="宋体" w:hAnsi="宋体" w:eastAsia="宋体" w:cs="宋体"/>
                <w:color w:val="000000"/>
                <w:sz w:val="21"/>
                <w:szCs w:val="21"/>
              </w:rPr>
              <w:t xml:space="preserve">服务器”）</w:t>
            </w:r>
            <w:r>
              <w:rPr>
                <w:rFonts w:hint="eastAsia" w:ascii="宋体" w:hAnsi="宋体" w:eastAsia="宋体" w:cs="宋体"/>
                <w:color w:val="000000"/>
                <w:sz w:val="21"/>
                <w:szCs w:val="21"/>
                <w:highlight w:val="none"/>
                <w:lang w:val="en-US" w:eastAsia="zh-CN" w:bidi="ar-SA"/>
              </w:rPr>
              <w:t xml:space="preserve">，每提供1个得3分，最多得9分。（时间以合同签订时间为准，提供有效合同，合同页须清晰可见相应内容）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履约能力</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项目服务团队人员：</w:t>
            </w:r>
            <w:r>
              <w:rPr>
                <w:rFonts w:hint="eastAsia" w:ascii="宋体" w:hAnsi="宋体" w:eastAsia="宋体" w:cs="宋体"/>
                <w:color w:val="000000"/>
                <w:sz w:val="21"/>
                <w:szCs w:val="21"/>
                <w:lang w:val="zh-CN" w:eastAsia="zh-CN"/>
              </w:rPr>
            </w:r>
            <w:r/>
          </w:p>
          <w:p>
            <w:pPr>
              <w:pStyle w:val="869"/>
              <w:jc w:val="both"/>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项目团队成员具有工信部或人社部颁发信息系统项目管理师，每提供一</w:t>
            </w:r>
            <w:r>
              <w:rPr>
                <w:rFonts w:hint="eastAsia" w:ascii="宋体" w:hAnsi="宋体" w:eastAsia="宋体" w:cs="宋体"/>
                <w:color w:val="000000"/>
                <w:sz w:val="21"/>
                <w:szCs w:val="21"/>
                <w:lang w:val="en-US" w:eastAsia="zh-CN"/>
              </w:rPr>
              <w:t xml:space="preserve">人</w:t>
            </w:r>
            <w:r>
              <w:rPr>
                <w:rFonts w:hint="eastAsia" w:ascii="宋体" w:hAnsi="宋体" w:eastAsia="宋体" w:cs="宋体"/>
                <w:color w:val="000000"/>
                <w:sz w:val="21"/>
                <w:szCs w:val="21"/>
                <w:lang w:val="zh-CN" w:eastAsia="zh-CN"/>
              </w:rPr>
              <w:t xml:space="preserve">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分，最高得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分。</w:t>
            </w:r>
            <w:r>
              <w:rPr>
                <w:rFonts w:hint="eastAsia" w:ascii="宋体" w:hAnsi="宋体" w:eastAsia="宋体" w:cs="宋体"/>
                <w:color w:val="000000"/>
                <w:sz w:val="21"/>
                <w:szCs w:val="21"/>
                <w:lang w:val="zh-CN" w:eastAsia="zh-CN"/>
              </w:rPr>
            </w:r>
            <w:r/>
          </w:p>
          <w:p>
            <w:pPr>
              <w:pStyle w:val="869"/>
              <w:jc w:val="both"/>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（提供上述人员证书以及由投标人为其缴纳的2026年</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月以来任意一个月社保证明，证明材料缺项或未提供的不</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lang w:val="zh-CN" w:eastAsia="zh-CN"/>
              </w:rPr>
              <w:t xml:space="preserve">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ind w:firstLine="210"/>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客观分</w:t>
            </w:r>
            <w:r>
              <w:rPr>
                <w:rFonts w:hint="eastAsia" w:ascii="宋体" w:hAnsi="宋体" w:eastAsia="宋体" w:cs="宋体"/>
                <w:color w:val="000000"/>
                <w:sz w:val="21"/>
                <w:szCs w:val="21"/>
                <w:lang w:eastAsia="zh-CN"/>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5.2</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履约能力</w:t>
            </w:r>
            <w:r>
              <w:rPr>
                <w:rFonts w:hint="eastAsia" w:ascii="宋体" w:hAnsi="宋体" w:eastAsia="宋体" w:cs="宋体"/>
                <w:color w:val="000000"/>
                <w:sz w:val="21"/>
                <w:szCs w:val="21"/>
                <w:lang w:val="zh-CN" w:eastAsia="zh-CN"/>
              </w:rPr>
              <w:t xml:space="preserve">2</w:t>
            </w:r>
            <w:r>
              <w:rPr>
                <w:rFonts w:hint="eastAsia" w:ascii="宋体" w:hAnsi="宋体" w:eastAsia="宋体" w:cs="宋体"/>
                <w:color w:val="000000"/>
                <w:sz w:val="21"/>
                <w:szCs w:val="21"/>
                <w:lang w:val="zh-CN" w:eastAsia="zh-CN"/>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所投产品制造商具备高性能计算及服务平台或GPU计算平台软件或算力管理软件相关的软件著作权，每提供一个得2分，最多得4分。</w:t>
            </w:r>
            <w:r>
              <w:rPr>
                <w:rFonts w:hint="eastAsia" w:ascii="宋体" w:hAnsi="宋体" w:eastAsia="宋体" w:cs="宋体"/>
                <w:color w:val="000000"/>
                <w:sz w:val="21"/>
                <w:szCs w:val="21"/>
                <w:lang w:val="zh-CN" w:eastAsia="zh-CN"/>
              </w:rPr>
            </w:r>
            <w:r/>
          </w:p>
          <w:p>
            <w:pPr>
              <w:pStyle w:val="869"/>
              <w:jc w:val="both"/>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（提供证明文件扫描件，未按要求提供不得分）</w:t>
            </w:r>
            <w:r>
              <w:rPr>
                <w:rFonts w:hint="eastAsia" w:ascii="宋体" w:hAnsi="宋体" w:eastAsia="宋体" w:cs="宋体"/>
                <w:color w:val="000000"/>
                <w:sz w:val="21"/>
                <w:szCs w:val="21"/>
                <w:lang w:val="zh-CN" w:eastAsia="zh-CN"/>
              </w:rPr>
            </w:r>
            <w:r/>
          </w:p>
        </w:tc>
        <w:tc>
          <w:tcPr>
            <w:tcW w:w="647" w:type="dxa"/>
            <w:vAlign w:val="center"/>
            <w:textDirection w:val="lrTb"/>
            <w:noWrap w:val="false"/>
          </w:tcPr>
          <w:p>
            <w:pPr>
              <w:pStyle w:val="869"/>
              <w:ind w:firstLine="210"/>
              <w:jc w:val="both"/>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69"/>
              <w:jc w:val="both"/>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客观分</w:t>
            </w:r>
            <w:r>
              <w:rPr>
                <w:rFonts w:hint="eastAsia" w:ascii="宋体" w:hAnsi="宋体" w:eastAsia="宋体" w:cs="宋体"/>
                <w:color w:val="000000"/>
                <w:sz w:val="21"/>
                <w:szCs w:val="21"/>
                <w:lang w:val="zh-CN" w:eastAsia="zh-CN"/>
              </w:rPr>
            </w:r>
            <w:r/>
          </w:p>
        </w:tc>
      </w:tr>
      <w:tr>
        <w:trPr>
          <w:trHeight w:val="431"/>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ascii="宋体" w:hAnsi="宋体" w:eastAsia="宋体" w:cs="宋体"/>
                <w:color w:val="000000"/>
                <w:spacing w:val="-6"/>
                <w:szCs w:val="21"/>
                <w:highlight w:val="none"/>
                <w:lang w:val="en-US"/>
              </w:rPr>
            </w:pPr>
            <w:r>
              <w:rPr>
                <w:rFonts w:hint="eastAsia" w:ascii="宋体" w:hAnsi="宋体" w:eastAsia="宋体" w:cs="宋体"/>
                <w:b/>
                <w:bCs/>
                <w:color w:val="000000"/>
                <w:spacing w:val="-3"/>
                <w:szCs w:val="21"/>
                <w:highlight w:val="none"/>
                <w:lang w:val="en-US" w:eastAsia="zh-CN"/>
              </w:rPr>
              <w:t xml:space="preserve">6.绿色采购</w:t>
            </w:r>
            <w:r>
              <w:rPr>
                <w:rFonts w:ascii="宋体" w:hAnsi="宋体" w:eastAsia="宋体" w:cs="宋体"/>
                <w:color w:val="000000"/>
                <w:spacing w:val="-6"/>
                <w:szCs w:val="21"/>
                <w:highlight w:val="none"/>
                <w:lang w:val="en-US"/>
              </w:rPr>
            </w:r>
            <w:r/>
          </w:p>
        </w:tc>
      </w:tr>
      <w:tr>
        <w:trPr>
          <w:trHeight w:val="676"/>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6.1</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highlight w:val="none"/>
                <w:lang w:val="en-US" w:eastAsia="zh-CN" w:bidi="ar-SA"/>
              </w:rPr>
            </w:pPr>
            <w:r>
              <w:rPr>
                <w:rFonts w:hint="eastAsia" w:ascii="Times New Roman" w:hAnsi="Times New Roman" w:eastAsia="宋体" w:cs="Times New Roman"/>
                <w:color w:val="000000"/>
                <w:spacing w:val="0"/>
                <w:sz w:val="21"/>
                <w:szCs w:val="21"/>
                <w:highlight w:val="none"/>
                <w:lang w:val="en-US" w:eastAsia="zh-CN"/>
              </w:rPr>
              <w:t xml:space="preserve">环境标志产品</w:t>
            </w:r>
            <w:r>
              <w:rPr>
                <w:rFonts w:hint="eastAsia" w:ascii="宋体" w:hAnsi="宋体" w:eastAsia="宋体" w:cs="宋体"/>
                <w:color w:val="000000"/>
                <w:spacing w:val="-1"/>
                <w:sz w:val="21"/>
                <w:szCs w:val="21"/>
                <w:highlight w:val="none"/>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rPr>
              <w:t xml:space="preserve">投标产品属于财政部、生态环境部公布的</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环境标志产品品目清单</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（财库〔2019〕1</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号）范围内的，投标人提供国家确定的认证机构出具的、处于有效期内的该环境标志产品认证证书的，得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分，最多得1分。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客观分</w:t>
            </w:r>
            <w:r>
              <w:rPr>
                <w:rFonts w:hint="eastAsia" w:ascii="宋体" w:hAnsi="宋体" w:eastAsia="宋体" w:cs="宋体"/>
                <w:color w:val="000000"/>
                <w:spacing w:val="-6"/>
                <w:sz w:val="21"/>
                <w:szCs w:val="21"/>
                <w:highlight w:val="none"/>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9"/>
      <w:r/>
      <w:bookmarkEnd w:id="60"/>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69"/>
        <w:jc w:val="center"/>
        <w:rPr>
          <w:rFonts w:hint="eastAsia" w:ascii="宋体" w:hAnsi="宋体"/>
          <w:b/>
          <w:color w:val="000000"/>
          <w:sz w:val="72"/>
          <w:szCs w:val="21"/>
          <w:highlight w:val="none"/>
        </w:rPr>
      </w:pPr>
      <w:r/>
      <w:bookmarkStart w:id="63" w:name="_Hlt26955039"/>
      <w:r/>
      <w:bookmarkEnd w:id="63"/>
      <w:r/>
      <w:bookmarkStart w:id="64" w:name="_Hlt26671244"/>
      <w:r/>
      <w:bookmarkEnd w:id="64"/>
      <w:r/>
      <w:bookmarkStart w:id="65" w:name="_Toc49090576"/>
      <w:r/>
      <w:bookmarkStart w:id="66" w:name="_Toc26554094"/>
      <w:r/>
      <w:bookmarkStart w:id="67" w:name="_Toc120614282"/>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69"/>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6"/>
      <w:r/>
      <w:bookmarkEnd w:id="57"/>
      <w:r/>
      <w:bookmarkEnd w:id="65"/>
      <w:r/>
      <w:bookmarkEnd w:id="66"/>
      <w:r/>
      <w:bookmarkEnd w:id="67"/>
      <w:r>
        <w:rPr>
          <w:rFonts w:hint="eastAsia" w:ascii="方正黑体_GBK" w:hAnsi="方正黑体_GBK" w:eastAsia="方正黑体_GBK" w:cs="方正黑体_GBK"/>
          <w:b w:val="0"/>
          <w:bCs w:val="0"/>
          <w:color w:val="000000"/>
          <w:sz w:val="32"/>
          <w:szCs w:val="32"/>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869"/>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89"/>
        <w:rPr>
          <w:rFonts w:ascii="宋体" w:hAnsi="宋体"/>
          <w:color w:val="000000"/>
          <w:sz w:val="24"/>
          <w:highlight w:val="none"/>
        </w:rPr>
      </w:pPr>
      <w:r>
        <w:rPr>
          <w:rFonts w:ascii="宋体" w:hAnsi="宋体"/>
          <w:color w:val="000000"/>
          <w:sz w:val="24"/>
          <w:highlight w:val="none"/>
        </w:rPr>
      </w:r>
      <w:r/>
    </w:p>
    <w:p>
      <w:pPr>
        <w:pStyle w:val="989"/>
        <w:rPr>
          <w:rFonts w:ascii="宋体" w:hAnsi="宋体"/>
          <w:color w:val="000000"/>
          <w:sz w:val="24"/>
          <w:highlight w:val="none"/>
        </w:rPr>
      </w:pPr>
      <w:r>
        <w:rPr>
          <w:rFonts w:ascii="宋体" w:hAnsi="宋体"/>
          <w:color w:val="000000"/>
          <w:sz w:val="24"/>
          <w:highlight w:val="none"/>
        </w:rPr>
      </w:r>
      <w:r/>
    </w:p>
    <w:p>
      <w:pPr>
        <w:pStyle w:val="989"/>
        <w:rPr>
          <w:rFonts w:ascii="宋体" w:hAnsi="宋体"/>
          <w:color w:val="000000"/>
          <w:sz w:val="24"/>
          <w:highlight w:val="none"/>
        </w:rPr>
      </w:pPr>
      <w:r>
        <w:rPr>
          <w:rFonts w:ascii="宋体" w:hAnsi="宋体"/>
          <w:color w:val="000000"/>
          <w:sz w:val="24"/>
          <w:highlight w:val="none"/>
        </w:rPr>
      </w:r>
      <w:r/>
    </w:p>
    <w:p>
      <w:pPr>
        <w:pStyle w:val="989"/>
        <w:rPr>
          <w:rFonts w:ascii="宋体" w:hAnsi="宋体"/>
          <w:color w:val="000000"/>
          <w:sz w:val="24"/>
          <w:highlight w:val="none"/>
        </w:rPr>
      </w:pPr>
      <w:r>
        <w:rPr>
          <w:rFonts w:ascii="宋体" w:hAnsi="宋体"/>
          <w:color w:val="000000"/>
          <w:sz w:val="24"/>
          <w:highlight w:val="none"/>
        </w:rPr>
      </w:r>
      <w:r/>
    </w:p>
    <w:p>
      <w:pPr>
        <w:pStyle w:val="989"/>
        <w:rPr>
          <w:rFonts w:ascii="宋体" w:hAnsi="宋体"/>
          <w:color w:val="000000"/>
          <w:sz w:val="24"/>
          <w:szCs w:val="24"/>
          <w:highlight w:val="none"/>
        </w:rPr>
      </w:pPr>
      <w:r>
        <w:rPr>
          <w:rFonts w:ascii="宋体" w:hAnsi="宋体"/>
          <w:color w:val="000000"/>
          <w:sz w:val="24"/>
          <w:highlight w:val="none"/>
        </w:rPr>
      </w:r>
      <w:r>
        <w:rPr>
          <w:rFonts w:ascii="宋体" w:hAnsi="宋体"/>
          <w:color w:val="000000"/>
          <w:sz w:val="24"/>
          <w:highlight w:val="none"/>
        </w:rPr>
      </w:r>
      <w:r/>
    </w:p>
    <w:p>
      <w:pPr>
        <w:pStyle w:val="989"/>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989"/>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989"/>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989"/>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989"/>
        <w:rPr>
          <w:rFonts w:ascii="宋体" w:hAnsi="宋体"/>
          <w:color w:val="000000"/>
          <w:sz w:val="24"/>
          <w:szCs w:val="24"/>
          <w:highlight w:val="none"/>
        </w:rPr>
      </w:pPr>
      <w:r>
        <w:rPr>
          <w:rFonts w:ascii="宋体" w:hAnsi="宋体"/>
          <w:color w:val="000000"/>
          <w:sz w:val="24"/>
          <w:szCs w:val="24"/>
          <w:highlight w:val="none"/>
        </w:rPr>
      </w:r>
      <w:r>
        <w:rPr>
          <w:rFonts w:ascii="宋体" w:hAnsi="宋体"/>
          <w:color w:val="000000"/>
          <w:sz w:val="24"/>
          <w:szCs w:val="24"/>
          <w:highlight w:val="none"/>
        </w:rPr>
      </w:r>
      <w:r/>
    </w:p>
    <w:p>
      <w:pPr>
        <w:pStyle w:val="989"/>
        <w:rPr>
          <w:rFonts w:ascii="宋体" w:hAnsi="宋体"/>
          <w:color w:val="000000"/>
          <w:sz w:val="24"/>
          <w:szCs w:val="24"/>
          <w:highlight w:val="none"/>
        </w:rPr>
      </w:pPr>
      <w:r>
        <w:rPr>
          <w:rFonts w:ascii="宋体" w:hAnsi="宋体"/>
          <w:color w:val="000000"/>
          <w:sz w:val="24"/>
          <w:highlight w:val="none"/>
        </w:rPr>
      </w:r>
      <w:r/>
    </w:p>
    <w:p>
      <w:pPr>
        <w:pStyle w:val="869"/>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69"/>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0"/>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0"/>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color w:val="000000"/>
          <w:sz w:val="24"/>
          <w:szCs w:val="24"/>
          <w:highlight w:val="none"/>
        </w:rPr>
        <w:t xml:space="preserve">代理人联系方式（手机号码）</w:t>
      </w:r>
      <w:r>
        <w:rPr>
          <w:rFonts w:hint="eastAsia"/>
          <w:color w:val="000000"/>
          <w:sz w:val="24"/>
          <w:szCs w:val="24"/>
        </w:rPr>
        <w:t xml:space="preserve">：________________</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960"/>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887"/>
        <w:ind w:firstLine="0"/>
        <w:rPr>
          <w:rFonts w:hint="eastAsia"/>
          <w:color w:val="000000"/>
          <w:highlight w:val="none"/>
        </w:rPr>
      </w:pPr>
      <w:r>
        <w:rPr>
          <w:rFonts w:hint="eastAsia"/>
          <w:color w:val="000000"/>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960"/>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2"/>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rPr>
      </w:r>
      <w:r/>
    </w:p>
    <w:p>
      <w:pPr>
        <w:pStyle w:val="962"/>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并保证在招标文件规定的时间完成项目，交付贵方验收、使用。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41"/>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2"/>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2"/>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2"/>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1"/>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4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1"/>
        <w:rPr>
          <w:rFonts w:hint="eastAsia"/>
          <w:color w:val="000000"/>
          <w:highlight w:val="none"/>
          <w:lang w:val="en-US" w:eastAsia="zh-CN"/>
        </w:rPr>
      </w:pPr>
      <w:r>
        <w:rPr>
          <w:rFonts w:hint="eastAsia"/>
          <w:color w:val="000000"/>
          <w:highlight w:val="none"/>
          <w:lang w:val="en-US" w:eastAsia="zh-CN"/>
        </w:rPr>
      </w:r>
      <w:r/>
    </w:p>
    <w:p>
      <w:pPr>
        <w:pStyle w:val="869"/>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五、核心产品品牌一览表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序号</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val="zh-CN" w:eastAsia="zh-CN"/>
              </w:rPr>
            </w:r>
            <w:r/>
          </w:p>
        </w:tc>
        <w:tc>
          <w:tcPr>
            <w:tcW w:w="2158"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w:t>
            </w:r>
            <w:r>
              <w:rPr>
                <w:rFonts w:hint="eastAsia" w:ascii="宋体" w:hAnsi="宋体" w:eastAsia="宋体" w:cs="Times New Roman"/>
                <w:color w:val="000000"/>
                <w:sz w:val="24"/>
                <w:szCs w:val="24"/>
                <w:highlight w:val="none"/>
                <w:lang w:val="zh-CN" w:eastAsia="zh-CN"/>
              </w:rPr>
              <w:t xml:space="preserve">品牌</w:t>
            </w:r>
            <w:r>
              <w:rPr>
                <w:rFonts w:hint="eastAsia" w:ascii="宋体" w:hAnsi="宋体" w:eastAsia="宋体" w:cs="Times New Roman"/>
                <w:color w:val="000000"/>
                <w:sz w:val="24"/>
                <w:szCs w:val="24"/>
                <w:highlight w:val="none"/>
                <w:lang w:val="zh-CN" w:eastAsia="zh-CN"/>
              </w:rPr>
            </w:r>
            <w:r/>
          </w:p>
        </w:tc>
        <w:tc>
          <w:tcPr>
            <w:tcW w:w="2391" w:type="dxa"/>
            <w:vAlign w:val="center"/>
            <w:textDirection w:val="lrTb"/>
            <w:noWrap w:val="false"/>
          </w:tcPr>
          <w:p>
            <w:pPr>
              <w:pStyle w:val="869"/>
              <w:jc w:val="center"/>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规格或型号</w:t>
            </w:r>
            <w:r>
              <w:rPr>
                <w:rFonts w:hint="eastAsia" w:ascii="宋体" w:hAnsi="宋体" w:eastAsia="宋体" w:cs="Times New Roman"/>
                <w:color w:val="000000"/>
                <w:sz w:val="24"/>
                <w:szCs w:val="24"/>
                <w:highlight w:val="none"/>
                <w:lang w:val="zh-CN" w:eastAsia="zh-CN"/>
              </w:rPr>
            </w:r>
            <w:r/>
          </w:p>
        </w:tc>
      </w:tr>
      <w:tr>
        <w:trPr>
          <w:trHeight w:val="963"/>
        </w:trPr>
        <w:tc>
          <w:tcPr>
            <w:tcW w:w="1044"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391" w:type="dxa"/>
            <w:vAlign w:val="top"/>
            <w:textDirection w:val="lrTb"/>
            <w:noWrap w:val="false"/>
          </w:tcPr>
          <w:p>
            <w:pPr>
              <w:pStyle w:val="869"/>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69"/>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69"/>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w:t>
            </w: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24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869"/>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5"/>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jc w:val="left"/>
        <w:spacing w:line="360" w:lineRule="auto"/>
        <w:rPr>
          <w:rFonts w:hint="eastAsia"/>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69"/>
              <w:jc w:val="center"/>
              <w:rPr>
                <w:color w:val="000000"/>
                <w:highlight w:val="none"/>
              </w:rPr>
            </w:pPr>
            <w:r>
              <w:rPr>
                <w:color w:val="000000"/>
                <w:highlight w:val="none"/>
              </w:rPr>
            </w:r>
            <w:r/>
          </w:p>
          <w:p>
            <w:pPr>
              <w:pStyle w:val="94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35"/>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35"/>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69"/>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color w:val="000000"/>
                <w:highlight w:val="none"/>
              </w:rPr>
            </w:pPr>
            <w:r>
              <w:rPr>
                <w:color w:val="000000"/>
                <w:highlight w:val="none"/>
              </w:rPr>
            </w:r>
            <w:r/>
          </w:p>
          <w:p>
            <w:pPr>
              <w:pStyle w:val="941"/>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69"/>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w:t>
      </w:r>
      <w:r>
        <w:rPr>
          <w:rFonts w:hint="eastAsia" w:ascii="宋体" w:hAnsi="宋体"/>
          <w:color w:val="000000"/>
          <w:sz w:val="24"/>
          <w:szCs w:val="24"/>
          <w:highlight w:val="none"/>
          <w:lang w:val="en-US" w:eastAsia="zh-CN"/>
        </w:rPr>
        <w:t xml:space="preserve">分包</w:t>
      </w:r>
      <w:r>
        <w:rPr>
          <w:rFonts w:hint="eastAsia" w:ascii="宋体" w:hAnsi="宋体"/>
          <w:color w:val="000000"/>
          <w:sz w:val="24"/>
          <w:szCs w:val="24"/>
          <w:highlight w:val="none"/>
        </w:rPr>
        <w:t xml:space="preserve">意向协议的小微企业）的具体情况如下：</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1"/>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ind w:firstLine="0"/>
        <w:jc w:val="left"/>
        <w:spacing w:line="360" w:lineRule="auto"/>
        <w:rPr>
          <w:rFonts w:hint="eastAsia" w:ascii="黑体" w:hAnsi="黑体" w:eastAsia="黑体"/>
          <w:b w:val="0"/>
          <w:bCs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51"/>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69"/>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b/>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69"/>
        <w:spacing w:line="360" w:lineRule="auto"/>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全称）在此达成以下协议：</w:t>
      </w:r>
      <w:r>
        <w:rPr>
          <w:rFonts w:ascii="宋体" w:hAnsi="宋体"/>
          <w:color w:val="000000"/>
          <w:sz w:val="24"/>
          <w:highlight w:val="none"/>
        </w:rPr>
      </w:r>
      <w:r/>
    </w:p>
    <w:p>
      <w:pPr>
        <w:pStyle w:val="869"/>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1），（</w:t>
      </w:r>
      <w:r>
        <w:rPr>
          <w:rFonts w:hint="eastAsia" w:ascii="宋体" w:hAnsi="宋体"/>
          <w:color w:val="000000"/>
          <w:sz w:val="24"/>
          <w:highlight w:val="none"/>
          <w:u w:val="single"/>
          <w:lang w:eastAsia="zh-CN"/>
        </w:rPr>
        <w:t xml:space="preserve">投标人</w:t>
      </w:r>
      <w:r>
        <w:rPr>
          <w:rFonts w:hint="eastAsia" w:ascii="宋体" w:hAnsi="宋体"/>
          <w:color w:val="000000"/>
          <w:sz w:val="24"/>
          <w:highlight w:val="none"/>
          <w:u w:val="single"/>
        </w:rPr>
        <w:t xml:space="preserve">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69"/>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w:t>
      </w:r>
      <w:r>
        <w:rPr>
          <w:rFonts w:hint="eastAsia" w:ascii="宋体" w:hAnsi="宋体"/>
          <w:color w:val="000000"/>
          <w:sz w:val="24"/>
          <w:highlight w:val="none"/>
          <w:u w:val="none"/>
          <w:lang w:eastAsia="zh-CN"/>
        </w:rPr>
        <w:t xml:space="preserve">投标人</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所承担的工作和相应的责任）。</w:t>
      </w:r>
      <w:r>
        <w:rPr>
          <w:rFonts w:ascii="宋体" w:hAnsi="宋体"/>
          <w:color w:val="000000"/>
          <w:sz w:val="24"/>
          <w:highlight w:val="none"/>
        </w:rPr>
      </w:r>
      <w:r/>
    </w:p>
    <w:p>
      <w:pPr>
        <w:pStyle w:val="869"/>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69"/>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9"/>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69"/>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69"/>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69"/>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69"/>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69"/>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69"/>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1"/>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69"/>
        <w:rPr>
          <w:rFonts w:hint="eastAsia"/>
          <w:color w:val="000000"/>
          <w:highlight w:val="none"/>
        </w:rPr>
      </w:pPr>
      <w:r>
        <w:rPr>
          <w:rFonts w:hint="eastAsia"/>
          <w:color w:val="000000"/>
          <w:highlight w:val="none"/>
        </w:rPr>
      </w:r>
      <w:r/>
    </w:p>
    <w:p>
      <w:pPr>
        <w:pStyle w:val="869"/>
        <w:ind w:firstLine="645"/>
        <w:spacing w:line="560" w:lineRule="exact"/>
        <w:rPr>
          <w:rFonts w:ascii="宋体" w:hAnsi="宋体"/>
          <w:color w:val="000000"/>
          <w:sz w:val="24"/>
          <w:highlight w:val="none"/>
        </w:rPr>
      </w:pPr>
      <w:r>
        <w:rPr>
          <w:rFonts w:ascii="宋体" w:hAnsi="宋体"/>
          <w:color w:val="000000"/>
          <w:sz w:val="24"/>
          <w:highlight w:val="none"/>
        </w:rPr>
      </w:r>
      <w:r/>
    </w:p>
    <w:p>
      <w:pPr>
        <w:pStyle w:val="86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69"/>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十二、关于符合本国产品标准的声明函</w:t>
      </w:r>
      <w:r>
        <w:rPr>
          <w:rFonts w:hint="eastAsia" w:ascii="宋体" w:hAnsi="宋体" w:eastAsia="宋体" w:cs="Times New Roman"/>
          <w:color w:val="000000"/>
          <w:sz w:val="24"/>
          <w:highlight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47"/>
          <w:rFonts w:hint="eastAsia"/>
          <w:i w:val="0"/>
          <w:color w:val="000000"/>
          <w:highlight w:val="none"/>
          <w:u w:val="single"/>
          <w:shd w:val="clear" w:color="auto" w:fill="ffffff"/>
        </w:rPr>
        <w:t xml:space="preserve">（产品名称1）</w:t>
      </w:r>
      <w:r>
        <w:rPr>
          <w:rStyle w:val="947"/>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7"/>
          <w:rFonts w:hint="eastAsia"/>
          <w:i w:val="0"/>
          <w:color w:val="000000"/>
          <w:highlight w:val="none"/>
          <w:u w:val="single"/>
          <w:shd w:val="clear" w:color="auto" w:fill="ffffff"/>
        </w:rPr>
        <w:t xml:space="preserve">（厂名）</w:t>
      </w:r>
      <w:r>
        <w:rPr>
          <w:rStyle w:val="947"/>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7"/>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7"/>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47"/>
          <w:rFonts w:hint="eastAsia"/>
          <w:i/>
          <w:strike w:val="0"/>
          <w:color w:val="000000"/>
          <w:highlight w:val="none"/>
          <w:u w:val="single"/>
          <w:shd w:val="clear" w:color="auto" w:fill="ffffff"/>
        </w:rPr>
        <w:t xml:space="preserve">（规定比例）</w:t>
      </w:r>
      <w:r>
        <w:rPr>
          <w:rStyle w:val="947"/>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47"/>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7"/>
          <w:rFonts w:hint="eastAsia"/>
          <w:i/>
          <w:strike w:val="0"/>
          <w:color w:val="000000"/>
          <w:highlight w:val="none"/>
          <w:u w:val="single"/>
          <w:shd w:val="clear" w:color="auto" w:fill="ffffff"/>
        </w:rPr>
        <w:t xml:space="preserve">（关键组件）</w:t>
      </w:r>
      <w:r>
        <w:rPr>
          <w:rStyle w:val="947"/>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47"/>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47"/>
          <w:rFonts w:hint="eastAsia"/>
          <w:i/>
          <w:strike w:val="0"/>
          <w:color w:val="000000"/>
          <w:highlight w:val="none"/>
          <w:u w:val="single"/>
          <w:shd w:val="clear" w:color="auto" w:fill="ffffff"/>
        </w:rPr>
        <w:t xml:space="preserve">（关键工序）</w:t>
      </w:r>
      <w:r>
        <w:rPr>
          <w:rStyle w:val="947"/>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935"/>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47"/>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7"/>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7"/>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7"/>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47"/>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47"/>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7"/>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47"/>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47"/>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935"/>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5"/>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5"/>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5"/>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5"/>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5"/>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5"/>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93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935"/>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highlight w:val="none"/>
          <w:shd w:val="clear" w:color="auto" w:fill="ffffff"/>
        </w:rPr>
        <w:t xml:space="preserve">5.该产品的关键工序要求实施前，“关键工序”栏可不填。</w:t>
      </w:r>
      <w:bookmarkStart w:id="69" w:name="OLE_LINK8"/>
      <w:r>
        <w:rPr>
          <w:rFonts w:hint="eastAsia"/>
          <w:b w:val="0"/>
          <w:bCs w:val="0"/>
          <w:color w:val="000000"/>
          <w:sz w:val="21"/>
          <w:szCs w:val="21"/>
          <w:highlight w:val="none"/>
          <w:shd w:val="clear" w:color="auto" w:fill="ffffff"/>
        </w:rPr>
      </w:r>
      <w:r/>
    </w:p>
    <w:p>
      <w:pPr>
        <w:pStyle w:val="869"/>
        <w:jc w:val="both"/>
        <w:rPr>
          <w:rFonts w:hint="eastAsia" w:ascii="方正小标宋简体" w:hAnsi="方正小标宋简体" w:eastAsia="方正小标宋简体" w:cs="方正小标宋简体"/>
          <w:b w:val="0"/>
          <w:bCs w:val="0"/>
          <w:color w:val="000000"/>
          <w:sz w:val="32"/>
          <w:szCs w:val="32"/>
          <w:highlight w:val="none"/>
        </w:rPr>
      </w:pPr>
      <w:r/>
      <w:bookmarkEnd w:id="69"/>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bCs/>
          <w:color w:val="000000"/>
          <w:sz w:val="32"/>
          <w:szCs w:val="32"/>
          <w:highlight w:val="none"/>
        </w:rPr>
        <w:t xml:space="preserve">质疑函</w:t>
      </w:r>
      <w:r>
        <w:rPr>
          <w:rFonts w:hint="eastAsia" w:ascii="方正小标宋简体" w:hAnsi="方正小标宋简体" w:eastAsia="方正小标宋简体" w:cs="方正小标宋简体"/>
          <w:b/>
          <w:bCs/>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４２</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4"/>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7"/>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7"/>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7"/>
    <w:link w:val="890"/>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12"/>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12"/>
    <w:basedOn w:val="869"/>
    <w:next w:val="883"/>
    <w:link w:val="869"/>
    <w:unhideWhenUsed/>
    <w:qFormat/>
    <w:pPr>
      <w:ind w:left="420"/>
      <w:spacing w:after="120"/>
    </w:pPr>
  </w:style>
  <w:style w:type="paragraph" w:styleId="883">
    <w:name w:val="寄信人地址12"/>
    <w:basedOn w:val="869"/>
    <w:next w:val="883"/>
    <w:link w:val="869"/>
    <w:qFormat/>
    <w:rPr>
      <w:rFonts w:ascii="Arial" w:hAnsi="Arial" w:eastAsia="宋体" w:cs="宋体"/>
    </w:rPr>
  </w:style>
  <w:style w:type="character" w:styleId="884">
    <w:name w:val="标题 1 Char"/>
    <w:next w:val="884"/>
    <w:link w:val="870"/>
    <w:rPr>
      <w:rFonts w:ascii="楷体_GB2312" w:hAnsi="Times New Roman" w:eastAsia="楷体_GB2312" w:cs="Times New Roman"/>
      <w:sz w:val="28"/>
      <w:szCs w:val="28"/>
    </w:rPr>
  </w:style>
  <w:style w:type="character" w:styleId="885">
    <w:name w:val="标题 2 Char"/>
    <w:next w:val="885"/>
    <w:link w:val="871"/>
    <w:rPr>
      <w:rFonts w:ascii="Arial" w:hAnsi="Arial" w:eastAsia="幼圆" w:cs="Arial"/>
      <w:b/>
      <w:bCs/>
      <w:sz w:val="44"/>
      <w:szCs w:val="44"/>
    </w:rPr>
  </w:style>
  <w:style w:type="character" w:styleId="886">
    <w:name w:val="标题 3 Char"/>
    <w:next w:val="886"/>
    <w:link w:val="872"/>
    <w:rPr>
      <w:rFonts w:ascii="Times New Roman" w:hAnsi="Times New Roman" w:eastAsia="宋体" w:cs="Times New Roman"/>
      <w:b/>
      <w:bCs/>
      <w:sz w:val="32"/>
      <w:szCs w:val="32"/>
    </w:rPr>
  </w:style>
  <w:style w:type="paragraph" w:styleId="887">
    <w:name w:val="正文缩进"/>
    <w:basedOn w:val="869"/>
    <w:next w:val="887"/>
    <w:link w:val="888"/>
    <w:pPr>
      <w:ind w:firstLine="420"/>
    </w:pPr>
    <w:rPr>
      <w:szCs w:val="21"/>
    </w:rPr>
  </w:style>
  <w:style w:type="character" w:styleId="888">
    <w:name w:val="正文缩进 Char"/>
    <w:next w:val="888"/>
    <w:link w:val="887"/>
    <w:rPr>
      <w:szCs w:val="21"/>
    </w:rPr>
  </w:style>
  <w:style w:type="character" w:styleId="889">
    <w:name w:val="标题 4 Char"/>
    <w:next w:val="889"/>
    <w:link w:val="873"/>
    <w:rPr>
      <w:rFonts w:ascii="Arial" w:hAnsi="Arial" w:eastAsia="黑体" w:cs="Arial"/>
      <w:b/>
      <w:bCs/>
      <w:sz w:val="28"/>
      <w:szCs w:val="28"/>
    </w:rPr>
  </w:style>
  <w:style w:type="character" w:styleId="890">
    <w:name w:val="标题 5 Char"/>
    <w:next w:val="890"/>
    <w:link w:val="874"/>
    <w:rPr>
      <w:rFonts w:ascii="宋体" w:hAnsi="Times New Roman" w:eastAsia="宋体" w:cs="Times New Roman"/>
      <w:color w:val="000000"/>
      <w:sz w:val="28"/>
      <w:szCs w:val="28"/>
    </w:rPr>
  </w:style>
  <w:style w:type="character" w:styleId="891">
    <w:name w:val="标题 6 Char"/>
    <w:next w:val="891"/>
    <w:link w:val="875"/>
    <w:rPr>
      <w:rFonts w:ascii="Arial" w:hAnsi="Arial" w:eastAsia="黑体" w:cs="Times New Roman"/>
      <w:b/>
      <w:bCs/>
      <w:sz w:val="24"/>
      <w:szCs w:val="24"/>
    </w:rPr>
  </w:style>
  <w:style w:type="character" w:styleId="892">
    <w:name w:val="标题 7 Char"/>
    <w:next w:val="892"/>
    <w:link w:val="876"/>
    <w:rPr>
      <w:rFonts w:ascii="Times New Roman" w:hAnsi="Times New Roman" w:eastAsia="宋体" w:cs="Times New Roman"/>
      <w:b/>
      <w:bCs/>
      <w:sz w:val="24"/>
      <w:szCs w:val="24"/>
    </w:rPr>
  </w:style>
  <w:style w:type="character" w:styleId="893">
    <w:name w:val="标题 8 Char"/>
    <w:next w:val="893"/>
    <w:link w:val="877"/>
    <w:rPr>
      <w:rFonts w:ascii="Arial" w:hAnsi="Arial" w:eastAsia="黑体" w:cs="Times New Roman"/>
      <w:sz w:val="24"/>
      <w:szCs w:val="24"/>
    </w:rPr>
  </w:style>
  <w:style w:type="character" w:styleId="894">
    <w:name w:val="标题 9 Char"/>
    <w:next w:val="894"/>
    <w:link w:val="878"/>
    <w:rPr>
      <w:rFonts w:ascii="Arial" w:hAnsi="Arial" w:eastAsia="黑体" w:cs="Times New Roman"/>
      <w:szCs w:val="21"/>
    </w:rPr>
  </w:style>
  <w:style w:type="paragraph" w:styleId="895">
    <w:name w:val="列表 3"/>
    <w:basedOn w:val="869"/>
    <w:next w:val="895"/>
    <w:link w:val="869"/>
    <w:pPr>
      <w:ind w:left="100" w:hanging="200"/>
    </w:pPr>
    <w:rPr>
      <w:rFonts w:ascii="Times New Roman" w:hAnsi="Times New Roman" w:eastAsia="宋体" w:cs="Times New Roman"/>
      <w:szCs w:val="21"/>
    </w:rPr>
  </w:style>
  <w:style w:type="paragraph" w:styleId="896">
    <w:name w:val="目录 7"/>
    <w:basedOn w:val="869"/>
    <w:next w:val="869"/>
    <w:link w:val="869"/>
    <w:semiHidden/>
    <w:pPr>
      <w:ind w:left="1260"/>
      <w:jc w:val="left"/>
    </w:pPr>
    <w:rPr>
      <w:rFonts w:ascii="Times New Roman" w:hAnsi="Times New Roman" w:eastAsia="宋体" w:cs="Times New Roman"/>
      <w:szCs w:val="21"/>
    </w:rPr>
  </w:style>
  <w:style w:type="paragraph" w:styleId="897">
    <w:name w:val="文档结构图"/>
    <w:basedOn w:val="869"/>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0">
    <w:name w:val="批注文字 Char"/>
    <w:basedOn w:val="879"/>
    <w:next w:val="900"/>
    <w:link w:val="899"/>
    <w:uiPriority w:val="99"/>
    <w:semiHidden/>
  </w:style>
  <w:style w:type="paragraph" w:styleId="901">
    <w:name w:val="正文文本 3"/>
    <w:basedOn w:val="869"/>
    <w:next w:val="901"/>
    <w:link w:val="902"/>
    <w:rPr>
      <w:rFonts w:ascii="仿宋_GB2312" w:hAnsi="Arial" w:eastAsia="仿宋_GB2312" w:cs="Times New Roman"/>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69"/>
    <w:next w:val="907"/>
    <w:link w:val="906"/>
    <w:unhideWhenUsed/>
    <w:pPr>
      <w:ind w:left="420"/>
      <w:spacing w:after="120"/>
    </w:pPr>
  </w:style>
  <w:style w:type="character" w:styleId="906">
    <w:name w:val="正文文本缩进 Char"/>
    <w:basedOn w:val="879"/>
    <w:next w:val="906"/>
    <w:link w:val="905"/>
    <w:uiPriority w:val="99"/>
    <w:semiHidden/>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rPr>
      <w:rFonts w:ascii="Times New Roman" w:hAnsi="Times New Roman" w:eastAsia="宋体" w:cs="Times New Roman"/>
      <w:szCs w:val="21"/>
    </w:rPr>
  </w:style>
  <w:style w:type="paragraph" w:styleId="909">
    <w:name w:val="目录 5"/>
    <w:basedOn w:val="869"/>
    <w:next w:val="869"/>
    <w:link w:val="869"/>
    <w:semiHidden/>
    <w:pPr>
      <w:ind w:left="840"/>
      <w:jc w:val="left"/>
    </w:pPr>
    <w:rPr>
      <w:rFonts w:ascii="Times New Roman" w:hAnsi="Times New Roman" w:eastAsia="宋体" w:cs="Times New Roman"/>
      <w:szCs w:val="21"/>
    </w:rPr>
  </w:style>
  <w:style w:type="paragraph" w:styleId="910">
    <w:name w:val="目录 3"/>
    <w:basedOn w:val="869"/>
    <w:next w:val="869"/>
    <w:link w:val="869"/>
    <w:semiHidden/>
    <w:pPr>
      <w:ind w:left="420"/>
      <w:jc w:val="left"/>
    </w:pPr>
    <w:rPr>
      <w:rFonts w:ascii="Times New Roman" w:hAnsi="Times New Roman" w:eastAsia="宋体" w:cs="Times New Roman"/>
      <w:i/>
      <w:iCs/>
      <w:szCs w:val="24"/>
    </w:rPr>
  </w:style>
  <w:style w:type="paragraph" w:styleId="911">
    <w:name w:val="纯文本"/>
    <w:basedOn w:val="869"/>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pPr>
      <w:ind w:left="1470"/>
      <w:jc w:val="left"/>
    </w:pPr>
    <w:rPr>
      <w:rFonts w:ascii="Times New Roman" w:hAnsi="Times New Roman" w:eastAsia="宋体" w:cs="Times New Roman"/>
      <w:szCs w:val="21"/>
    </w:rPr>
  </w:style>
  <w:style w:type="paragraph" w:styleId="914">
    <w:name w:val="日期"/>
    <w:basedOn w:val="869"/>
    <w:next w:val="869"/>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pPr>
      <w:ind w:left="200" w:hanging="200"/>
    </w:pPr>
    <w:rPr>
      <w:rFonts w:ascii="Times New Roman" w:hAnsi="Times New Roman" w:eastAsia="宋体" w:cs="Times New Roman"/>
      <w:szCs w:val="21"/>
    </w:rPr>
  </w:style>
  <w:style w:type="paragraph" w:styleId="927">
    <w:name w:val="目录 6"/>
    <w:basedOn w:val="869"/>
    <w:next w:val="869"/>
    <w:link w:val="869"/>
    <w:semiHidden/>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899"/>
    <w:next w:val="899"/>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5"/>
    <w:next w:val="869"/>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0"/>
    <w:next w:val="943"/>
    <w:link w:val="869"/>
    <w:pPr>
      <w:jc w:val="both"/>
      <w:widowControl w:val="off"/>
    </w:pPr>
    <w:rPr>
      <w:rFonts w:ascii="Times New Roman" w:hAnsi="Times New Roman" w:eastAsia="宋体" w:cs="Times New Roman"/>
      <w:sz w:val="20"/>
      <w:szCs w:val="20"/>
    </w:rPr>
    <w:tblPr/>
  </w:style>
  <w:style w:type="character" w:styleId="944">
    <w:name w:val="要点"/>
    <w:next w:val="944"/>
    <w:link w:val="869"/>
    <w:qFormat/>
    <w:rPr>
      <w:b/>
      <w:bCs/>
    </w:rPr>
  </w:style>
  <w:style w:type="character" w:styleId="945">
    <w:name w:val="页码"/>
    <w:next w:val="945"/>
    <w:link w:val="869"/>
  </w:style>
  <w:style w:type="character" w:styleId="946">
    <w:name w:val="已访问的超链接"/>
    <w:next w:val="946"/>
    <w:link w:val="869"/>
    <w:rPr>
      <w:color w:val="800080"/>
      <w:u w:val="single"/>
    </w:rPr>
  </w:style>
  <w:style w:type="character" w:styleId="947">
    <w:name w:val="强调"/>
    <w:next w:val="947"/>
    <w:link w:val="869"/>
    <w:qFormat/>
    <w:rPr>
      <w:i/>
    </w:rPr>
  </w:style>
  <w:style w:type="character" w:styleId="948">
    <w:name w:val="超链接"/>
    <w:next w:val="948"/>
    <w:link w:val="869"/>
    <w:rPr>
      <w:color w:val="0000ff"/>
      <w:u w:val="single"/>
    </w:rPr>
  </w:style>
  <w:style w:type="character" w:styleId="949">
    <w:name w:val="批注引用"/>
    <w:next w:val="949"/>
    <w:link w:val="869"/>
    <w:semiHidden/>
    <w:rPr>
      <w:sz w:val="21"/>
      <w:szCs w:val="21"/>
    </w:rPr>
  </w:style>
  <w:style w:type="character" w:styleId="950">
    <w:name w:val="批注文字 字符"/>
    <w:basedOn w:val="879"/>
    <w:next w:val="950"/>
    <w:link w:val="899"/>
    <w:rPr>
      <w:rFonts w:ascii="Calibri" w:hAnsi="Calibri" w:eastAsia="宋体" w:cs="Times New Roman"/>
      <w:sz w:val="21"/>
      <w:szCs w:val="24"/>
    </w:rPr>
  </w:style>
  <w:style w:type="paragraph" w:styleId="951">
    <w:name w:val="索引 41"/>
    <w:basedOn w:val="869"/>
    <w:next w:val="869"/>
    <w:link w:val="869"/>
    <w:semiHidden/>
    <w:qFormat/>
    <w:pPr>
      <w:ind w:left="1260"/>
    </w:pPr>
    <w:rPr>
      <w:rFonts w:ascii="Calibri" w:hAnsi="Calibri" w:eastAsia="Calibri" w:cs="宋体"/>
      <w:sz w:val="20"/>
      <w:lang w:val="zh-CN"/>
    </w:rPr>
  </w:style>
  <w:style w:type="character" w:styleId="952">
    <w:name w:val="font5 Char"/>
    <w:next w:val="952"/>
    <w:link w:val="869"/>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69"/>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69"/>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9"/>
    <w:next w:val="903"/>
    <w:link w:val="869"/>
    <w:pPr>
      <w:spacing w:after="120"/>
    </w:pPr>
    <w:rPr>
      <w:rFonts w:ascii="宋体" w:hAnsi="Arial" w:eastAsia="宋体" w:cs="Times New Roman"/>
      <w:bCs/>
      <w:iCs/>
      <w:szCs w:val="24"/>
    </w:rPr>
  </w:style>
  <w:style w:type="paragraph" w:styleId="958">
    <w:name w:val="xl27"/>
    <w:basedOn w:val="869"/>
    <w:next w:val="95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9"/>
    <w:next w:val="959"/>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9"/>
    <w:next w:val="960"/>
    <w:link w:val="869"/>
    <w:pPr>
      <w:ind w:firstLine="200"/>
      <w:tabs>
        <w:tab w:val="left" w:pos="360" w:leader="none"/>
      </w:tabs>
    </w:pPr>
    <w:rPr>
      <w:rFonts w:ascii="Times New Roman" w:hAnsi="Times New Roman" w:eastAsia="宋体" w:cs="Times New Roman"/>
      <w:sz w:val="28"/>
      <w:szCs w:val="30"/>
    </w:rPr>
  </w:style>
  <w:style w:type="paragraph" w:styleId="961">
    <w:name w:val=" Char"/>
    <w:basedOn w:val="897"/>
    <w:next w:val="961"/>
    <w:link w:val="869"/>
    <w:rPr>
      <w:rFonts w:ascii="Tahoma" w:hAnsi="Tahoma"/>
      <w:sz w:val="24"/>
      <w:szCs w:val="24"/>
    </w:rPr>
  </w:style>
  <w:style w:type="paragraph" w:styleId="962">
    <w:name w:val="普通正文"/>
    <w:basedOn w:val="869"/>
    <w:next w:val="962"/>
    <w:link w:val="869"/>
    <w:pPr>
      <w:ind w:firstLine="480"/>
      <w:jc w:val="left"/>
      <w:spacing w:before="120" w:after="120" w:line="360" w:lineRule="auto"/>
    </w:pPr>
    <w:rPr>
      <w:rFonts w:ascii="Arial" w:hAnsi="Arial" w:eastAsia="宋体" w:cs="Times New Roman"/>
      <w:sz w:val="24"/>
      <w:szCs w:val="24"/>
    </w:rPr>
  </w:style>
  <w:style w:type="paragraph" w:styleId="963">
    <w:name w:val="table_lines"/>
    <w:basedOn w:val="869"/>
    <w:next w:val="963"/>
    <w:link w:val="869"/>
    <w:pPr>
      <w:jc w:val="left"/>
      <w:widowControl/>
    </w:pPr>
    <w:rPr>
      <w:rFonts w:ascii="Times New Roman" w:hAnsi="Times New Roman" w:eastAsia="宋体" w:cs="Times New Roman"/>
      <w:sz w:val="20"/>
      <w:szCs w:val="20"/>
      <w:lang w:val="de-DE" w:eastAsia="de-DE"/>
    </w:rPr>
  </w:style>
  <w:style w:type="paragraph" w:styleId="964">
    <w:name w:val="附录1"/>
    <w:next w:val="964"/>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69"/>
    <w:next w:val="965"/>
    <w:link w:val="869"/>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7"/>
    <w:next w:val="966"/>
    <w:link w:val="869"/>
    <w:pPr>
      <w:spacing w:line="360" w:lineRule="auto"/>
    </w:pPr>
    <w:rPr>
      <w:rFonts w:ascii="Tahoma" w:hAnsi="Tahoma"/>
      <w:sz w:val="24"/>
      <w:szCs w:val="24"/>
    </w:rPr>
  </w:style>
  <w:style w:type="paragraph" w:styleId="967">
    <w:name w:val="列出段落"/>
    <w:basedOn w:val="869"/>
    <w:next w:val="967"/>
    <w:link w:val="869"/>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9"/>
    <w:next w:val="928"/>
    <w:link w:val="869"/>
    <w:pPr>
      <w:ind w:firstLine="420"/>
      <w:spacing w:line="360" w:lineRule="auto"/>
    </w:pPr>
    <w:rPr>
      <w:rFonts w:ascii="Times New Roman" w:hAnsi="Times New Roman" w:eastAsia="宋体" w:cs="Times New Roman"/>
      <w:color w:val="ff0000"/>
      <w:sz w:val="24"/>
      <w:szCs w:val="24"/>
    </w:rPr>
  </w:style>
  <w:style w:type="paragraph" w:styleId="969">
    <w:name w:val="普通 (Web)"/>
    <w:basedOn w:val="869"/>
    <w:next w:val="969"/>
    <w:link w:val="869"/>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9"/>
    <w:next w:val="970"/>
    <w:link w:val="869"/>
    <w:pPr>
      <w:spacing w:line="360" w:lineRule="auto"/>
    </w:pPr>
    <w:rPr>
      <w:rFonts w:ascii="Times New Roman" w:hAnsi="Times New Roman" w:eastAsia="宋体" w:cs="Times New Roman"/>
      <w:sz w:val="24"/>
      <w:szCs w:val="20"/>
    </w:rPr>
  </w:style>
  <w:style w:type="paragraph" w:styleId="971">
    <w:name w:val="样式1"/>
    <w:basedOn w:val="869"/>
    <w:next w:val="971"/>
    <w:link w:val="869"/>
    <w:pPr>
      <w:numPr>
        <w:ilvl w:val="0"/>
        <w:numId w:val="3"/>
      </w:numPr>
      <w:tabs>
        <w:tab w:val="left" w:pos="709" w:leader="none"/>
      </w:tabs>
    </w:pPr>
    <w:rPr>
      <w:rFonts w:ascii="宋体" w:hAnsi="宋体" w:eastAsia="宋体" w:cs="Times New Roman"/>
      <w:szCs w:val="21"/>
    </w:rPr>
  </w:style>
  <w:style w:type="paragraph" w:styleId="972">
    <w:name w:val="font6"/>
    <w:basedOn w:val="869"/>
    <w:next w:val="972"/>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9"/>
    <w:next w:val="973"/>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6">
    <w:name w:val="xl24"/>
    <w:basedOn w:val="869"/>
    <w:next w:val="97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9"/>
    <w:next w:val="977"/>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28"/>
    <w:basedOn w:val="869"/>
    <w:next w:val="979"/>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9"/>
    <w:next w:val="980"/>
    <w:link w:val="869"/>
    <w:pPr>
      <w:jc w:val="left"/>
      <w:spacing w:after="160" w:line="240" w:lineRule="exact"/>
      <w:widowControl/>
    </w:pPr>
    <w:rPr>
      <w:rFonts w:ascii="Verdana" w:hAnsi="Verdana" w:eastAsia="宋体" w:cs="Times New Roman"/>
      <w:sz w:val="20"/>
      <w:szCs w:val="20"/>
      <w:lang w:eastAsia="en-US"/>
    </w:rPr>
  </w:style>
  <w:style w:type="paragraph" w:styleId="981">
    <w:name w:val="xl30"/>
    <w:basedOn w:val="869"/>
    <w:next w:val="981"/>
    <w:link w:val="869"/>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7"/>
    <w:next w:val="982"/>
    <w:link w:val="869"/>
    <w:pPr>
      <w:spacing w:line="360" w:lineRule="auto"/>
    </w:pPr>
    <w:rPr>
      <w:rFonts w:ascii="Tahoma" w:hAnsi="Tahoma"/>
      <w:sz w:val="24"/>
      <w:szCs w:val="24"/>
    </w:rPr>
  </w:style>
  <w:style w:type="paragraph" w:styleId="983">
    <w:name w:val="table_1stline"/>
    <w:basedOn w:val="869"/>
    <w:next w:val="983"/>
    <w:link w:val="869"/>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9"/>
    <w:next w:val="984"/>
    <w:link w:val="869"/>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69"/>
    <w:uiPriority w:val="99"/>
    <w:semiHidden/>
    <w:rPr>
      <w:rFonts w:ascii="Times New Roman" w:hAnsi="Times New Roman"/>
      <w:sz w:val="21"/>
      <w:szCs w:val="21"/>
      <w:lang w:val="en-US" w:eastAsia="zh-CN" w:bidi="ar-SA"/>
    </w:rPr>
  </w:style>
  <w:style w:type="paragraph" w:styleId="987">
    <w:name w:val="无间隔"/>
    <w:next w:val="987"/>
    <w:link w:val="869"/>
    <w:uiPriority w:val="99"/>
    <w:qFormat/>
    <w:pPr>
      <w:jc w:val="both"/>
      <w:widowControl w:val="off"/>
    </w:pPr>
    <w:rPr>
      <w:rFonts w:ascii="Times New Roman" w:hAnsi="Times New Roman"/>
      <w:sz w:val="21"/>
      <w:szCs w:val="21"/>
      <w:lang w:val="en-US" w:eastAsia="zh-CN" w:bidi="ar-SA"/>
    </w:rPr>
  </w:style>
  <w:style w:type="table" w:styleId="988">
    <w:name w:val="Table Normal"/>
    <w:next w:val="988"/>
    <w:link w:val="869"/>
    <w:qFormat/>
    <w:tbl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正文文本 211"/>
    <w:basedOn w:val="869"/>
    <w:next w:val="990"/>
    <w:link w:val="869"/>
    <w:uiPriority w:val="99"/>
    <w:qFormat/>
    <w:pPr>
      <w:jc w:val="center"/>
    </w:pPr>
    <w:rPr>
      <w:b/>
      <w:bCs/>
      <w:sz w:val="20"/>
      <w:szCs w:val="20"/>
    </w:rPr>
  </w:style>
  <w:style w:type="paragraph" w:styleId="991">
    <w:name w:val="正文文本1"/>
    <w:basedOn w:val="869"/>
    <w:next w:val="869"/>
    <w:link w:val="869"/>
    <w:semiHidden/>
    <w:qFormat/>
    <w:rPr>
      <w:rFonts w:ascii="Arial" w:hAnsi="Arial" w:eastAsia="Arial" w:cs="Arial"/>
      <w:sz w:val="21"/>
      <w:szCs w:val="21"/>
      <w:lang w:val="en-US" w:eastAsia="en-US" w:bidi="ar-SA"/>
    </w:rPr>
  </w:style>
  <w:style w:type="paragraph" w:styleId="992">
    <w:name w:val="Table Paragraph"/>
    <w:basedOn w:val="869"/>
    <w:next w:val="992"/>
    <w:link w:val="869"/>
    <w:uiPriority w:val="1"/>
    <w:qFormat/>
    <w:pPr>
      <w:jc w:val="left"/>
    </w:pPr>
    <w:rPr>
      <w:rFonts w:ascii="宋体" w:hAnsi="宋体" w:eastAsia="宋体" w:cs="宋体"/>
      <w:sz w:val="22"/>
      <w:szCs w:val="22"/>
      <w:lang w:val="zh-CN" w:bidi="zh-CN"/>
    </w:rPr>
  </w:style>
  <w:style w:type="table" w:styleId="993">
    <w:name w:val="网格型1"/>
    <w:basedOn w:val="994"/>
    <w:next w:val="993"/>
    <w:link w:val="869"/>
    <w:qFormat/>
    <w:pPr>
      <w:jc w:val="both"/>
      <w:widowControl w:val="off"/>
    </w:pPr>
    <w:tblPr/>
  </w:style>
  <w:style w:type="table" w:styleId="994">
    <w:name w:val="普通表格1"/>
    <w:next w:val="994"/>
    <w:link w:val="869"/>
    <w:uiPriority w:val="99"/>
    <w:unhideWhenUsed/>
    <w:qFormat/>
    <w:tblPr/>
  </w:style>
  <w:style w:type="paragraph" w:styleId="995">
    <w:name w:val="正文文本缩进1"/>
    <w:basedOn w:val="869"/>
    <w:next w:val="996"/>
    <w:link w:val="869"/>
    <w:unhideWhenUsed/>
    <w:qFormat/>
    <w:pPr>
      <w:ind w:left="420"/>
      <w:spacing w:after="120"/>
    </w:pPr>
  </w:style>
  <w:style w:type="paragraph" w:styleId="996">
    <w:name w:val="正文文本首行缩进 2"/>
    <w:basedOn w:val="995"/>
    <w:next w:val="996"/>
    <w:link w:val="869"/>
    <w:qFormat/>
    <w:pPr>
      <w:ind w:left="0" w:firstLine="420"/>
      <w:spacing w:after="0" w:line="360" w:lineRule="auto"/>
    </w:pPr>
    <w:rPr>
      <w:rFonts w:ascii="宋体" w:hAnsi="宋体"/>
      <w:sz w:val="20"/>
      <w:szCs w:val="20"/>
      <w:lang w:val="en-US" w:eastAsia="en-US"/>
    </w:rPr>
  </w:style>
  <w:style w:type="table" w:styleId="997">
    <w:name w:val="Table Normal_0"/>
    <w:next w:val="997"/>
    <w:link w:val="869"/>
    <w:qFormat/>
    <w:tblPr/>
  </w:style>
  <w:style w:type="paragraph" w:styleId="998">
    <w:name w:val="正文首行缩进 211"/>
    <w:basedOn w:val="999"/>
    <w:next w:val="869"/>
    <w:link w:val="869"/>
    <w:qFormat/>
    <w:pPr>
      <w:ind w:left="0" w:firstLine="420"/>
      <w:spacing w:after="0" w:line="360" w:lineRule="auto"/>
    </w:pPr>
    <w:rPr>
      <w:rFonts w:ascii="宋体" w:hAnsi="宋体" w:eastAsia="宋体" w:cs="Times New Roman"/>
      <w:szCs w:val="20"/>
    </w:rPr>
  </w:style>
  <w:style w:type="paragraph" w:styleId="999">
    <w:name w:val="正文文本缩进11"/>
    <w:basedOn w:val="869"/>
    <w:next w:val="1000"/>
    <w:link w:val="869"/>
    <w:unhideWhenUsed/>
    <w:qFormat/>
    <w:pPr>
      <w:ind w:left="420"/>
      <w:spacing w:after="120"/>
    </w:pPr>
  </w:style>
  <w:style w:type="paragraph" w:styleId="1000">
    <w:name w:val="寄信人地址1"/>
    <w:basedOn w:val="869"/>
    <w:next w:val="1000"/>
    <w:link w:val="869"/>
    <w:qFormat/>
    <w:rPr>
      <w:rFonts w:ascii="Arial" w:hAnsi="Arial" w:eastAsia="宋体" w:cs="宋体"/>
    </w:rPr>
  </w:style>
  <w:style w:type="paragraph" w:styleId="1001">
    <w:name w:val="正文1"/>
    <w:basedOn w:val="869"/>
    <w:next w:val="1001"/>
    <w:link w:val="869"/>
    <w:qFormat/>
    <w:pPr>
      <w:ind w:left="350" w:firstLine="0"/>
    </w:pPr>
    <w:rPr>
      <w:rFonts w:cs="Times New Roman"/>
      <w:sz w:val="20"/>
      <w:szCs w:val="24"/>
    </w:rPr>
  </w:style>
  <w:style w:type="paragraph" w:styleId="1002">
    <w:name w:val="正文文本11"/>
    <w:basedOn w:val="869"/>
    <w:next w:val="869"/>
    <w:link w:val="869"/>
    <w:qFormat/>
    <w:rPr>
      <w:rFonts w:ascii="楷体_GB2312" w:hAnsi="Arial" w:eastAsia="楷体_GB2312"/>
      <w:sz w:val="28"/>
      <w:szCs w:val="28"/>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2023-03-16T02:13:00Z</dcterms:created>
  <dcterms:modified xsi:type="dcterms:W3CDTF">2026-10-16T04:37:22Z</dcterms:modified>
</cp:coreProperties>
</file>