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69"/>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69"/>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9"/>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9"/>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9"/>
        <w:ind w:firstLine="32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项目名称：南通市海门区中医院采购区域共享中药房软件项目</w:t>
      </w:r>
      <w:r>
        <w:rPr>
          <w:rFonts w:hint="eastAsia" w:ascii="Arial" w:hAnsi="Arial"/>
          <w:b/>
          <w:bCs/>
          <w:color w:val="000000"/>
          <w:sz w:val="32"/>
          <w:szCs w:val="24"/>
        </w:rPr>
      </w:r>
      <w:r/>
    </w:p>
    <w:p>
      <w:pPr>
        <w:pStyle w:val="869"/>
        <w:ind w:firstLine="320"/>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宋体" w:hAnsi="宋体" w:eastAsia="宋体" w:cs="宋体"/>
          <w:b/>
          <w:bCs/>
          <w:sz w:val="32"/>
          <w:szCs w:val="24"/>
        </w:rPr>
        <w:t xml:space="preserve">：JSZC-320614-JZCG-G2026-0062</w:t>
      </w:r>
      <w:r>
        <w:rPr>
          <w:rFonts w:ascii="Arial" w:hAnsi="Arial"/>
          <w:b/>
          <w:bCs/>
          <w:sz w:val="32"/>
          <w:szCs w:val="24"/>
        </w:rPr>
      </w:r>
      <w:r/>
    </w:p>
    <w:p>
      <w:pPr>
        <w:pStyle w:val="881"/>
        <w:rPr>
          <w:rFonts w:hint="eastAsia"/>
        </w:rPr>
      </w:pPr>
      <w:r>
        <w:rPr>
          <w:rFonts w:hint="eastAsia"/>
        </w:rPr>
      </w:r>
      <w:r/>
    </w:p>
    <w:p>
      <w:pPr>
        <w:pStyle w:val="869"/>
        <w:rPr>
          <w:rFonts w:hint="eastAsia"/>
          <w:b/>
          <w:color w:val="ff0000"/>
          <w:sz w:val="24"/>
          <w:szCs w:val="24"/>
        </w:rPr>
      </w:pPr>
      <w:r>
        <w:rPr>
          <w:rFonts w:hint="eastAsia"/>
          <w:b/>
          <w:color w:val="ff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center"/>
        <w:spacing w:before="120" w:after="120" w:line="360" w:lineRule="auto"/>
        <w:rPr>
          <w:rFonts w:hint="eastAsia" w:ascii="Arial" w:hAnsi="Arial"/>
          <w:b/>
          <w:bCs/>
          <w:sz w:val="32"/>
          <w:szCs w:val="24"/>
        </w:rPr>
      </w:pPr>
      <w:r>
        <w:rPr>
          <w:rFonts w:hint="eastAsia" w:ascii="Arial" w:hAnsi="Arial"/>
          <w:b/>
          <w:bCs/>
          <w:sz w:val="32"/>
          <w:szCs w:val="24"/>
        </w:rPr>
        <w:t xml:space="preserve">南通市海门区公共资源交易中心</w:t>
      </w:r>
      <w:r>
        <w:rPr>
          <w:rFonts w:hint="eastAsia" w:ascii="Arial" w:hAnsi="Arial"/>
          <w:b/>
          <w:bCs/>
          <w:sz w:val="32"/>
          <w:szCs w:val="24"/>
        </w:rPr>
      </w:r>
      <w:r/>
    </w:p>
    <w:p>
      <w:pPr>
        <w:pStyle w:val="86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w:t>
      </w:r>
      <w:r>
        <w:rPr>
          <w:rFonts w:ascii="Arial" w:hAnsi="Arial"/>
          <w:b/>
          <w:bCs/>
          <w:color w:val="000000"/>
          <w:sz w:val="32"/>
          <w:szCs w:val="24"/>
        </w:rPr>
        <w:t xml:space="preserve">9</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69"/>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869"/>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69"/>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69"/>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869"/>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5147" w:type="pct"/>
        <w:tblInd w:w="-2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0063"/>
      </w:tblGrid>
      <w:tr>
        <w:trPr>
          <w:trHeight w:val="846"/>
        </w:trPr>
        <w:tc>
          <w:tcPr>
            <w:tcW w:w="10063" w:type="dxa"/>
            <w:vAlign w:val="center"/>
            <w:textDirection w:val="lrTb"/>
            <w:noWrap w:val="false"/>
          </w:tcPr>
          <w:p>
            <w:pPr>
              <w:pStyle w:val="934"/>
              <w:spacing w:before="0" w:beforeAutospacing="0" w:after="0" w:afterAutospacing="0" w:line="360" w:lineRule="auto"/>
              <w:rPr>
                <w:rFonts w:hint="eastAsia"/>
                <w:sz w:val="28"/>
                <w:szCs w:val="28"/>
              </w:rPr>
            </w:pPr>
            <w:r>
              <w:rPr>
                <w:rFonts w:hint="eastAsia"/>
                <w:sz w:val="28"/>
                <w:szCs w:val="28"/>
              </w:rPr>
              <w:t xml:space="preserve">项目概况</w:t>
            </w:r>
            <w:r>
              <w:rPr>
                <w:rFonts w:hint="eastAsia"/>
                <w:sz w:val="28"/>
                <w:szCs w:val="28"/>
              </w:rPr>
            </w:r>
            <w:r/>
          </w:p>
          <w:p>
            <w:pPr>
              <w:pStyle w:val="934"/>
              <w:ind w:left="279" w:firstLine="280"/>
              <w:jc w:val="left"/>
              <w:spacing w:before="0" w:beforeAutospacing="0" w:after="0" w:afterAutospacing="0" w:line="360" w:lineRule="auto"/>
              <w:rPr>
                <w:rFonts w:hint="eastAsia"/>
                <w:sz w:val="28"/>
                <w:szCs w:val="28"/>
              </w:rPr>
            </w:pPr>
            <w:r>
              <w:rPr>
                <w:rFonts w:hint="eastAsia"/>
                <w:sz w:val="28"/>
                <w:szCs w:val="28"/>
              </w:rPr>
              <w:t xml:space="preserve">南通市海门区中医院采购区域共享中药房软件项</w:t>
            </w:r>
            <w:r>
              <w:rPr>
                <w:rFonts w:hint="eastAsia"/>
                <w:sz w:val="28"/>
                <w:szCs w:val="28"/>
                <w:lang w:eastAsia="zh-CN"/>
              </w:rPr>
              <w:t xml:space="preserve">目</w:t>
            </w:r>
            <w:r>
              <w:rPr>
                <w:rFonts w:hint="eastAsia"/>
                <w:sz w:val="28"/>
                <w:szCs w:val="28"/>
              </w:rPr>
              <w:t xml:space="preserve">JSZC-320614-JZCG-G2026-0062 招标项目的潜在投标人应在江苏政府采购网 获取招标文件，并于2026-</w:t>
            </w:r>
            <w:r>
              <w:rPr>
                <w:rFonts w:hint="eastAsia"/>
                <w:sz w:val="28"/>
                <w:szCs w:val="28"/>
                <w:lang w:val="en-US" w:eastAsia="zh-CN"/>
              </w:rPr>
              <w:t xml:space="preserve">10</w:t>
            </w:r>
            <w:r>
              <w:rPr>
                <w:rFonts w:hint="eastAsia"/>
                <w:sz w:val="28"/>
                <w:szCs w:val="28"/>
              </w:rPr>
              <w:t xml:space="preserve">-14 09:00 （北京时间）前递交投标文件。</w:t>
            </w:r>
            <w:r>
              <w:rPr>
                <w:rFonts w:hint="eastAsia"/>
                <w:sz w:val="28"/>
                <w:szCs w:val="28"/>
              </w:rPr>
            </w:r>
            <w:r/>
          </w:p>
        </w:tc>
      </w:tr>
    </w:tbl>
    <w:p>
      <w:pPr>
        <w:pStyle w:val="934"/>
        <w:ind w:firstLine="560"/>
        <w:spacing w:before="0" w:beforeAutospacing="0" w:after="0" w:afterAutospacing="0" w:line="360" w:lineRule="auto"/>
        <w:rPr>
          <w:rFonts w:hint="eastAsia"/>
          <w:b/>
          <w:bCs/>
          <w:sz w:val="28"/>
          <w:szCs w:val="28"/>
        </w:rPr>
      </w:pPr>
      <w:r>
        <w:rPr>
          <w:rFonts w:hint="eastAsia"/>
          <w:b/>
          <w:bCs/>
          <w:sz w:val="28"/>
          <w:szCs w:val="28"/>
        </w:rPr>
        <w:t xml:space="preserve">一、项目基本情况</w:t>
      </w:r>
      <w:r>
        <w:rPr>
          <w:rFonts w:hint="eastAsia"/>
          <w:b/>
          <w:bCs/>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项目编号：JSZC-320614-JZCG-G2026-0062</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项目名称：南通市海门区中医院采购区域共享中药房软件项目</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采购方式：公开招标</w:t>
      </w:r>
      <w:r>
        <w:rPr>
          <w:rFonts w:hint="eastAsia"/>
          <w:sz w:val="28"/>
          <w:szCs w:val="28"/>
        </w:rPr>
      </w:r>
      <w:r/>
    </w:p>
    <w:p>
      <w:pPr>
        <w:pStyle w:val="934"/>
        <w:ind w:firstLine="560"/>
        <w:spacing w:before="0" w:beforeAutospacing="0" w:after="0" w:afterAutospacing="0" w:line="360" w:lineRule="auto"/>
        <w:rPr>
          <w:rFonts w:hint="eastAsia"/>
          <w:color w:val="000000"/>
          <w:sz w:val="28"/>
          <w:szCs w:val="28"/>
        </w:rPr>
      </w:pPr>
      <w:r>
        <w:rPr>
          <w:rFonts w:hint="eastAsia"/>
          <w:sz w:val="28"/>
          <w:szCs w:val="28"/>
        </w:rPr>
        <w:t xml:space="preserve">预算金额</w:t>
      </w:r>
      <w:r>
        <w:rPr>
          <w:rFonts w:hint="eastAsia"/>
          <w:color w:val="000000"/>
          <w:sz w:val="28"/>
          <w:szCs w:val="28"/>
        </w:rPr>
        <w:t xml:space="preserve">：</w:t>
      </w:r>
      <w:r>
        <w:rPr>
          <w:color w:val="000000"/>
          <w:sz w:val="28"/>
          <w:szCs w:val="28"/>
        </w:rPr>
        <w:t xml:space="preserve">40</w:t>
      </w:r>
      <w:r>
        <w:rPr>
          <w:rFonts w:hint="eastAsia"/>
          <w:color w:val="000000"/>
          <w:sz w:val="28"/>
          <w:szCs w:val="28"/>
        </w:rPr>
        <w:t xml:space="preserve">万元</w:t>
      </w:r>
      <w:r>
        <w:rPr>
          <w:rFonts w:hint="eastAsia"/>
          <w:color w:val="000000"/>
          <w:sz w:val="28"/>
          <w:szCs w:val="28"/>
        </w:rPr>
      </w:r>
      <w:r/>
    </w:p>
    <w:p>
      <w:pPr>
        <w:pStyle w:val="934"/>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最高限价（如有）：</w:t>
      </w:r>
      <w:r>
        <w:rPr>
          <w:color w:val="000000"/>
          <w:sz w:val="28"/>
          <w:szCs w:val="28"/>
        </w:rPr>
        <w:t xml:space="preserve">40</w:t>
      </w:r>
      <w:r>
        <w:rPr>
          <w:rFonts w:hint="eastAsia"/>
          <w:color w:val="000000"/>
          <w:sz w:val="28"/>
          <w:szCs w:val="28"/>
        </w:rPr>
        <w:t xml:space="preserve">万元，投标时接口费与软件开发费分开报价，投标报价超过最高限价的视为无效报价。 </w:t>
      </w:r>
      <w:r>
        <w:rPr>
          <w:rFonts w:hint="eastAsia"/>
          <w:color w:val="000000"/>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采购需求：详见采购文件。</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合同履行期限：详见采购需求。</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本项目（是/否）接受联合体投标：否</w:t>
      </w:r>
      <w:r>
        <w:rPr>
          <w:rFonts w:hint="eastAsia"/>
          <w:sz w:val="28"/>
          <w:szCs w:val="28"/>
        </w:rPr>
      </w:r>
      <w:r/>
    </w:p>
    <w:p>
      <w:pPr>
        <w:pStyle w:val="934"/>
        <w:ind w:firstLine="560"/>
        <w:spacing w:before="0" w:beforeAutospacing="0" w:after="0" w:afterAutospacing="0" w:line="360" w:lineRule="auto"/>
        <w:rPr>
          <w:rFonts w:hint="eastAsia"/>
          <w:b/>
          <w:bCs/>
          <w:sz w:val="28"/>
          <w:szCs w:val="28"/>
        </w:rPr>
      </w:pPr>
      <w:r>
        <w:rPr>
          <w:rFonts w:hint="eastAsia"/>
          <w:b/>
          <w:bCs/>
          <w:sz w:val="28"/>
          <w:szCs w:val="28"/>
        </w:rPr>
        <w:t xml:space="preserve">二、申请人的资格要求：</w:t>
      </w:r>
      <w:r>
        <w:rPr>
          <w:rFonts w:hint="eastAsia"/>
          <w:b/>
          <w:bCs/>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（一）满足《中华人民共和国政府采购法》第二十二条规定：</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1.投标人符合《政府采购法》第二十二条规定条件的声明函（格式见附件4）；</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2.投标函（格式见附件5）。</w:t>
      </w:r>
      <w:r>
        <w:rPr>
          <w:rFonts w:hint="eastAsia"/>
          <w:sz w:val="28"/>
          <w:szCs w:val="28"/>
        </w:rPr>
      </w:r>
      <w:r/>
    </w:p>
    <w:p>
      <w:pPr>
        <w:pStyle w:val="934"/>
        <w:ind w:firstLine="560"/>
        <w:spacing w:before="0" w:beforeAutospacing="0" w:after="0" w:afterAutospacing="0" w:line="360" w:lineRule="auto"/>
        <w:rPr>
          <w:rFonts w:hint="eastAsia"/>
          <w:color w:val="000000"/>
          <w:sz w:val="28"/>
          <w:szCs w:val="28"/>
        </w:rPr>
      </w:pPr>
      <w:r>
        <w:rPr>
          <w:rFonts w:hint="eastAsia"/>
          <w:sz w:val="28"/>
          <w:szCs w:val="28"/>
        </w:rPr>
        <w:t xml:space="preserve">（二）落实政府采购政策需满足的资格要求</w:t>
      </w:r>
      <w:r>
        <w:rPr>
          <w:rFonts w:hint="eastAsia"/>
          <w:color w:val="000000"/>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color w:val="000000"/>
          <w:sz w:val="28"/>
          <w:szCs w:val="28"/>
        </w:rPr>
      </w:r>
      <w:r/>
    </w:p>
    <w:p>
      <w:pPr>
        <w:pStyle w:val="934"/>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（三）本项目的特定资格要求： </w:t>
      </w:r>
      <w:r>
        <w:rPr>
          <w:rFonts w:hint="eastAsia"/>
          <w:color w:val="000000"/>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sz w:val="28"/>
          <w:szCs w:val="28"/>
        </w:rPr>
      </w:r>
      <w:r/>
    </w:p>
    <w:p>
      <w:pPr>
        <w:pStyle w:val="934"/>
        <w:ind w:firstLine="560"/>
        <w:spacing w:before="0" w:beforeAutospacing="0" w:after="0" w:afterAutospacing="0" w:line="360" w:lineRule="auto"/>
        <w:rPr>
          <w:rFonts w:hint="eastAsia"/>
          <w:b/>
          <w:bCs/>
          <w:sz w:val="28"/>
          <w:szCs w:val="28"/>
        </w:rPr>
      </w:pPr>
      <w:r>
        <w:rPr>
          <w:rFonts w:hint="eastAsia"/>
          <w:b/>
          <w:bCs/>
          <w:sz w:val="28"/>
          <w:szCs w:val="28"/>
        </w:rPr>
        <w:t xml:space="preserve">三、获取招标文件</w:t>
      </w:r>
      <w:r>
        <w:rPr>
          <w:rFonts w:hint="eastAsia"/>
          <w:b/>
          <w:bCs/>
          <w:sz w:val="28"/>
          <w:szCs w:val="28"/>
        </w:rPr>
      </w:r>
      <w:r/>
    </w:p>
    <w:p>
      <w:pPr>
        <w:pStyle w:val="869"/>
        <w:ind w:firstLine="56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时间：2026-</w:t>
      </w:r>
      <w:r>
        <w:rPr>
          <w:rFonts w:hint="eastAsia" w:ascii="宋体" w:hAnsi="宋体" w:cs="宋体"/>
          <w:sz w:val="28"/>
          <w:szCs w:val="28"/>
          <w:lang w:val="en-US" w:eastAsia="zh-CN" w:bidi="ar"/>
        </w:rPr>
        <w:t xml:space="preserve">09</w:t>
      </w:r>
      <w:r>
        <w:rPr>
          <w:rFonts w:hint="eastAsia" w:ascii="宋体" w:hAnsi="宋体" w:cs="宋体"/>
          <w:sz w:val="28"/>
          <w:szCs w:val="28"/>
          <w:lang w:bidi="ar"/>
        </w:rPr>
        <w:t xml:space="preserve">-24至2026-</w:t>
      </w:r>
      <w:r>
        <w:rPr>
          <w:rFonts w:hint="eastAsia" w:ascii="宋体" w:hAnsi="宋体" w:cs="宋体"/>
          <w:sz w:val="28"/>
          <w:szCs w:val="28"/>
          <w:lang w:val="en-US" w:eastAsia="zh-CN" w:bidi="ar"/>
        </w:rPr>
        <w:t xml:space="preserve">10</w:t>
      </w:r>
      <w:r>
        <w:rPr>
          <w:rFonts w:hint="eastAsia" w:ascii="宋体" w:hAnsi="宋体" w:cs="宋体"/>
          <w:sz w:val="28"/>
          <w:szCs w:val="28"/>
          <w:lang w:bidi="ar"/>
        </w:rPr>
        <w:t xml:space="preserve">-08，每天上午00:00-12:00,下午12:00-23:59 （北京时间，法定节假日除外） </w:t>
      </w:r>
      <w:r>
        <w:rPr>
          <w:rFonts w:hint="eastAsia" w:ascii="宋体" w:hAnsi="宋体" w:cs="宋体"/>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地点：江苏政府采购网 </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售价：0.00元 </w:t>
      </w:r>
      <w:r>
        <w:rPr>
          <w:rFonts w:hint="eastAsia"/>
          <w:sz w:val="28"/>
          <w:szCs w:val="28"/>
        </w:rPr>
      </w:r>
      <w:r/>
    </w:p>
    <w:p>
      <w:pPr>
        <w:pStyle w:val="934"/>
        <w:ind w:firstLine="560"/>
        <w:spacing w:before="0" w:beforeAutospacing="0" w:after="0" w:afterAutospacing="0" w:line="360" w:lineRule="auto"/>
        <w:rPr>
          <w:rFonts w:hint="eastAsia"/>
          <w:b/>
          <w:bCs/>
          <w:sz w:val="28"/>
          <w:szCs w:val="28"/>
        </w:rPr>
      </w:pPr>
      <w:r>
        <w:rPr>
          <w:rFonts w:hint="eastAsia"/>
          <w:b/>
          <w:bCs/>
          <w:sz w:val="28"/>
          <w:szCs w:val="28"/>
        </w:rPr>
        <w:t xml:space="preserve">四、提交投标文件截止时间、开标时间和地点</w:t>
      </w:r>
      <w:r>
        <w:rPr>
          <w:rFonts w:hint="eastAsia"/>
          <w:b/>
          <w:bCs/>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2026-</w:t>
      </w:r>
      <w:r>
        <w:rPr>
          <w:rFonts w:hint="eastAsia"/>
          <w:sz w:val="28"/>
          <w:szCs w:val="28"/>
          <w:lang w:val="en-US" w:eastAsia="zh-CN"/>
        </w:rPr>
        <w:t xml:space="preserve">10</w:t>
      </w:r>
      <w:r>
        <w:rPr>
          <w:rFonts w:hint="eastAsia"/>
          <w:sz w:val="28"/>
          <w:szCs w:val="28"/>
        </w:rPr>
        <w:t xml:space="preserve">-14 09:00 （北京时间）</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地点：“苏采云”政府采购交易系统网上开标大厅</w:t>
      </w:r>
      <w:r>
        <w:rPr>
          <w:rFonts w:hint="eastAsia"/>
          <w:sz w:val="28"/>
          <w:szCs w:val="28"/>
        </w:rPr>
      </w:r>
      <w:r/>
    </w:p>
    <w:p>
      <w:pPr>
        <w:pStyle w:val="934"/>
        <w:ind w:firstLine="560"/>
        <w:spacing w:before="0" w:beforeAutospacing="0" w:after="0" w:afterAutospacing="0" w:line="360" w:lineRule="auto"/>
        <w:rPr>
          <w:rFonts w:hint="eastAsia"/>
          <w:b/>
          <w:bCs/>
          <w:sz w:val="28"/>
          <w:szCs w:val="28"/>
        </w:rPr>
      </w:pPr>
      <w:r>
        <w:rPr>
          <w:rFonts w:hint="eastAsia"/>
          <w:b/>
          <w:bCs/>
          <w:sz w:val="28"/>
          <w:szCs w:val="28"/>
        </w:rPr>
        <w:t xml:space="preserve">五、公告期限</w:t>
      </w:r>
      <w:r>
        <w:rPr>
          <w:rFonts w:hint="eastAsia"/>
          <w:b/>
          <w:bCs/>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自本公告发布之日起5个工作日。</w:t>
      </w:r>
      <w:r>
        <w:rPr>
          <w:rFonts w:hint="eastAsia"/>
          <w:sz w:val="28"/>
          <w:szCs w:val="28"/>
        </w:rPr>
      </w:r>
      <w:r/>
    </w:p>
    <w:p>
      <w:pPr>
        <w:pStyle w:val="934"/>
        <w:ind w:firstLine="560"/>
        <w:spacing w:before="0" w:beforeAutospacing="0" w:after="0" w:afterAutospacing="0" w:line="360" w:lineRule="auto"/>
        <w:rPr>
          <w:rFonts w:hint="eastAsia"/>
          <w:b/>
          <w:bCs/>
          <w:sz w:val="28"/>
          <w:szCs w:val="28"/>
        </w:rPr>
      </w:pPr>
      <w:r>
        <w:rPr>
          <w:rFonts w:hint="eastAsia"/>
          <w:b/>
          <w:bCs/>
          <w:sz w:val="28"/>
          <w:szCs w:val="28"/>
        </w:rPr>
        <w:t xml:space="preserve">六、其他补充事宜</w:t>
      </w:r>
      <w:r>
        <w:rPr>
          <w:rFonts w:hint="eastAsia"/>
          <w:b/>
          <w:bCs/>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3.本次招标不收取投标保证金。</w:t>
      </w:r>
      <w:r>
        <w:rPr>
          <w:rFonts w:hint="eastAsia"/>
          <w:sz w:val="28"/>
          <w:szCs w:val="28"/>
        </w:rPr>
      </w:r>
      <w:r/>
    </w:p>
    <w:p>
      <w:pPr>
        <w:pStyle w:val="934"/>
        <w:ind w:firstLine="560"/>
        <w:spacing w:before="0" w:beforeAutospacing="0" w:after="0" w:afterAutospacing="0" w:line="360" w:lineRule="auto"/>
        <w:rPr>
          <w:rFonts w:hint="eastAsia"/>
          <w:b/>
          <w:bCs/>
          <w:sz w:val="28"/>
          <w:szCs w:val="28"/>
        </w:rPr>
      </w:pPr>
      <w:r>
        <w:rPr>
          <w:rFonts w:hint="eastAsia"/>
          <w:b/>
          <w:bCs/>
          <w:sz w:val="28"/>
          <w:szCs w:val="28"/>
        </w:rPr>
        <w:t xml:space="preserve">七、对本次招标提出询问，请按以下方式联系</w:t>
      </w:r>
      <w:r>
        <w:rPr>
          <w:rFonts w:hint="eastAsia"/>
          <w:b/>
          <w:bCs/>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1.采购人信息 </w:t>
      </w:r>
      <w:r>
        <w:rPr>
          <w:rFonts w:hint="eastAsia"/>
          <w:sz w:val="28"/>
          <w:szCs w:val="28"/>
        </w:rPr>
      </w:r>
      <w:r/>
    </w:p>
    <w:p>
      <w:pPr>
        <w:pStyle w:val="934"/>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单位名称：南通市海门区中医院</w:t>
      </w:r>
      <w:r>
        <w:rPr>
          <w:rFonts w:hint="eastAsia"/>
          <w:color w:val="000000"/>
          <w:sz w:val="28"/>
          <w:szCs w:val="28"/>
        </w:rPr>
      </w:r>
      <w:r/>
    </w:p>
    <w:p>
      <w:pPr>
        <w:pStyle w:val="934"/>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单位地址：南通市海门区河海路1号</w:t>
      </w:r>
      <w:r>
        <w:rPr>
          <w:rFonts w:hint="eastAsia"/>
          <w:color w:val="000000"/>
          <w:sz w:val="28"/>
          <w:szCs w:val="28"/>
        </w:rPr>
      </w:r>
      <w:r/>
    </w:p>
    <w:p>
      <w:pPr>
        <w:pStyle w:val="934"/>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联系人：郁先生</w:t>
      </w:r>
      <w:r>
        <w:rPr>
          <w:rFonts w:hint="eastAsia"/>
          <w:color w:val="000000"/>
          <w:sz w:val="28"/>
          <w:szCs w:val="28"/>
        </w:rPr>
      </w:r>
      <w:r/>
    </w:p>
    <w:p>
      <w:pPr>
        <w:pStyle w:val="934"/>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联系电话：0</w:t>
      </w:r>
      <w:r>
        <w:rPr>
          <w:color w:val="000000"/>
          <w:sz w:val="28"/>
          <w:szCs w:val="28"/>
        </w:rPr>
        <w:t xml:space="preserve">513-82113523</w:t>
      </w:r>
      <w:r>
        <w:rPr>
          <w:rFonts w:hint="eastAsia"/>
          <w:color w:val="000000"/>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2.采购代理机构信息（如有）</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联系人：王先生</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3.项目联系方式</w:t>
      </w:r>
      <w:r>
        <w:rPr>
          <w:rFonts w:hint="eastAsia"/>
          <w:sz w:val="28"/>
          <w:szCs w:val="28"/>
        </w:rPr>
      </w:r>
      <w:r/>
    </w:p>
    <w:p>
      <w:pPr>
        <w:pStyle w:val="934"/>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rPr>
          <w:rFonts w:hint="eastAsia"/>
          <w:sz w:val="28"/>
          <w:szCs w:val="28"/>
        </w:rPr>
      </w:r>
      <w:r/>
    </w:p>
    <w:p>
      <w:pPr>
        <w:pStyle w:val="934"/>
        <w:ind w:firstLine="560"/>
        <w:spacing w:before="0" w:beforeAutospacing="0" w:after="0" w:afterAutospacing="0" w:line="360" w:lineRule="auto"/>
      </w:pPr>
      <w:r>
        <w:rPr>
          <w:rFonts w:hint="eastAsia"/>
          <w:sz w:val="28"/>
          <w:szCs w:val="28"/>
        </w:rPr>
        <w:t xml:space="preserve">电话：0513-82100351</w:t>
      </w:r>
      <w:r/>
    </w:p>
    <w:p>
      <w:pPr>
        <w:pStyle w:val="869"/>
        <w:ind w:right="840"/>
        <w:rPr>
          <w:rFonts w:hint="eastAsia" w:ascii="宋体" w:hAnsi="宋体"/>
          <w:color w:val="000000"/>
          <w:sz w:val="24"/>
          <w:szCs w:val="24"/>
        </w:rPr>
      </w:pPr>
      <w:r>
        <w:rPr>
          <w:rFonts w:hint="eastAsia" w:ascii="宋体" w:hAnsi="宋体"/>
          <w:color w:val="000000"/>
          <w:sz w:val="24"/>
          <w:szCs w:val="24"/>
        </w:rPr>
      </w:r>
      <w:r/>
    </w:p>
    <w:p>
      <w:pPr>
        <w:pStyle w:val="869"/>
        <w:jc w:val="center"/>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bookmarkEnd w:id="1"/>
      <w:r/>
      <w:bookmarkEnd w:id="2"/>
      <w:r/>
      <w:bookmarkEnd w:id="3"/>
      <w:r/>
      <w:bookmarkEnd w:id="4"/>
      <w:r/>
      <w:bookmarkEnd w:id="5"/>
      <w:r/>
      <w:bookmarkEnd w:id="6"/>
      <w:r/>
      <w:bookmarkStart w:id="7" w:name="_Toc479757207"/>
      <w:r/>
      <w:bookmarkStart w:id="8" w:name="_Toc513029242"/>
      <w:r/>
      <w:bookmarkStart w:id="9" w:name="_Toc120614221"/>
      <w:r/>
      <w:bookmarkStart w:id="10" w:name="_Toc20823314"/>
      <w:r/>
      <w:bookmarkStart w:id="11" w:name="_Toc16938558"/>
      <w:r>
        <w:rPr>
          <w:rFonts w:hint="eastAsia" w:ascii="黑体" w:hAnsi="Arial" w:eastAsia="黑体" w:cs="Arial"/>
          <w:b/>
          <w:bCs/>
          <w:color w:val="000000"/>
          <w:sz w:val="44"/>
          <w:szCs w:val="44"/>
        </w:rPr>
        <w:t xml:space="preserve">第二章  </w:t>
      </w:r>
      <w:bookmarkStart w:id="12" w:name="_Toc120614213"/>
      <w:r/>
      <w:bookmarkStart w:id="13" w:name="_Toc513029202"/>
      <w:r/>
      <w:bookmarkStart w:id="14" w:name="_Toc20823274"/>
      <w:r/>
      <w:bookmarkStart w:id="15" w:name="_Toc16938518"/>
      <w:r>
        <w:rPr>
          <w:rFonts w:hint="eastAsia" w:ascii="黑体" w:hAnsi="Arial" w:eastAsia="黑体" w:cs="Arial"/>
          <w:b/>
          <w:bCs/>
          <w:color w:val="000000"/>
          <w:sz w:val="44"/>
          <w:szCs w:val="44"/>
        </w:rPr>
        <w:t xml:space="preserve">投标人须知</w:t>
      </w:r>
      <w:bookmarkEnd w:id="12"/>
      <w:r/>
      <w:bookmarkEnd w:id="13"/>
      <w:r/>
      <w:bookmarkEnd w:id="14"/>
      <w:r/>
      <w:bookmarkEnd w:id="15"/>
      <w:r>
        <w:rPr>
          <w:rFonts w:hint="eastAsia" w:ascii="黑体" w:hAnsi="Arial" w:eastAsia="黑体" w:cs="Arial"/>
          <w:color w:val="000000"/>
          <w:sz w:val="44"/>
          <w:szCs w:val="44"/>
        </w:rPr>
      </w:r>
      <w:r/>
    </w:p>
    <w:p>
      <w:pPr>
        <w:pStyle w:val="869"/>
        <w:keepLines/>
        <w:keepNext/>
        <w:spacing w:line="360" w:lineRule="auto"/>
        <w:rPr>
          <w:rFonts w:hint="eastAsia" w:ascii="宋体" w:hAnsi="宋体" w:cs="宋体"/>
          <w:b/>
          <w:bCs/>
          <w:color w:val="000000"/>
          <w:sz w:val="24"/>
          <w:szCs w:val="24"/>
        </w:rPr>
        <w:outlineLvl w:val="2"/>
      </w:pPr>
      <w:r/>
      <w:bookmarkStart w:id="16" w:name="_Toc16938519"/>
      <w:r/>
      <w:bookmarkStart w:id="17" w:name="_Toc120614214"/>
      <w:r/>
      <w:bookmarkStart w:id="18" w:name="_Toc513029203"/>
      <w:r/>
      <w:bookmarkStart w:id="19" w:name="_Toc20823275"/>
      <w:r>
        <w:rPr>
          <w:rFonts w:hint="eastAsia" w:ascii="宋体" w:hAnsi="宋体" w:cs="宋体"/>
          <w:b/>
          <w:bCs/>
          <w:color w:val="000000"/>
          <w:sz w:val="24"/>
          <w:szCs w:val="24"/>
        </w:rPr>
        <w:t xml:space="preserve">一、总则</w:t>
      </w:r>
      <w:bookmarkEnd w:id="16"/>
      <w:r/>
      <w:bookmarkEnd w:id="17"/>
      <w:r/>
      <w:bookmarkEnd w:id="18"/>
      <w:r/>
      <w:bookmarkEnd w:id="19"/>
      <w:r/>
      <w:bookmarkStart w:id="20" w:name="_Hlt16619475"/>
      <w:r/>
      <w:bookmarkEnd w:id="20"/>
      <w:r/>
      <w:bookmarkStart w:id="21" w:name="_Toc458694821"/>
      <w:r/>
      <w:bookmarkStart w:id="22" w:name="_Toc20823276"/>
      <w:r/>
      <w:bookmarkStart w:id="23" w:name="_Toc513029204"/>
      <w:r/>
      <w:bookmarkStart w:id="24" w:name="_Toc16938520"/>
      <w:r>
        <w:rPr>
          <w:rFonts w:hint="eastAsia" w:ascii="宋体" w:hAnsi="宋体" w:cs="宋体"/>
          <w:b/>
          <w:bCs/>
          <w:color w:val="000000"/>
          <w:sz w:val="24"/>
          <w:szCs w:val="24"/>
        </w:rPr>
      </w:r>
      <w:r/>
    </w:p>
    <w:p>
      <w:pPr>
        <w:pStyle w:val="869"/>
        <w:ind w:firstLine="48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1</w:t>
      </w:r>
      <w:bookmarkEnd w:id="21"/>
      <w:r>
        <w:rPr>
          <w:rFonts w:hint="eastAsia" w:ascii="宋体" w:hAnsi="宋体" w:cs="宋体"/>
          <w:color w:val="000000"/>
          <w:sz w:val="24"/>
          <w:szCs w:val="24"/>
        </w:rPr>
        <w:t xml:space="preserve">、招标方式</w:t>
      </w:r>
      <w:bookmarkEnd w:id="22"/>
      <w:r/>
      <w:bookmarkEnd w:id="23"/>
      <w:r/>
      <w:bookmarkEnd w:id="24"/>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rPr>
          <w:rFonts w:hint="eastAsia" w:ascii="宋体" w:hAnsi="宋体" w:cs="宋体"/>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bookmarkStart w:id="25" w:name="_Toc16938521"/>
      <w:r/>
      <w:bookmarkStart w:id="26" w:name="_Toc513029205"/>
      <w:r/>
      <w:bookmarkStart w:id="27" w:name="_Toc20823277"/>
      <w:r>
        <w:rPr>
          <w:rFonts w:hint="eastAsia" w:ascii="宋体" w:hAnsi="宋体" w:cs="宋体"/>
          <w:color w:val="000000"/>
          <w:sz w:val="24"/>
          <w:szCs w:val="24"/>
        </w:rPr>
        <w:t xml:space="preserve">2、合格的投标人</w:t>
      </w:r>
      <w:bookmarkEnd w:id="25"/>
      <w:r/>
      <w:bookmarkEnd w:id="26"/>
      <w:r/>
      <w:bookmarkEnd w:id="27"/>
      <w:r>
        <w:rPr>
          <w:rFonts w:hint="eastAsia" w:ascii="宋体" w:hAnsi="宋体" w:cs="宋体"/>
          <w:color w:val="000000"/>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2.1满足招标公告中供应商的资格要求的规定。</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2.2 满足本文件实质性要求的规定。</w:t>
      </w:r>
      <w:r>
        <w:rPr>
          <w:rFonts w:hint="eastAsia" w:ascii="宋体" w:hAnsi="宋体" w:cs="宋体"/>
          <w:sz w:val="24"/>
          <w:szCs w:val="24"/>
        </w:rPr>
      </w:r>
      <w:r/>
    </w:p>
    <w:p>
      <w:pPr>
        <w:pStyle w:val="869"/>
        <w:ind w:firstLine="480"/>
        <w:keepLines/>
        <w:keepNext/>
        <w:spacing w:line="360" w:lineRule="auto"/>
        <w:rPr>
          <w:rFonts w:hint="eastAsia" w:ascii="宋体" w:hAnsi="宋体" w:cs="宋体"/>
          <w:sz w:val="24"/>
          <w:szCs w:val="24"/>
        </w:rPr>
        <w:outlineLvl w:val="3"/>
      </w:pPr>
      <w:r/>
      <w:bookmarkStart w:id="28" w:name="_Toc513029206"/>
      <w:r/>
      <w:bookmarkStart w:id="29" w:name="_Toc20823278"/>
      <w:r/>
      <w:bookmarkStart w:id="30" w:name="_Toc16938522"/>
      <w:r>
        <w:rPr>
          <w:rFonts w:hint="eastAsia" w:ascii="宋体" w:hAnsi="宋体" w:cs="宋体"/>
          <w:sz w:val="24"/>
          <w:szCs w:val="24"/>
        </w:rPr>
        <w:t xml:space="preserve">3、适用法律</w:t>
      </w:r>
      <w:bookmarkEnd w:id="28"/>
      <w:r/>
      <w:bookmarkEnd w:id="29"/>
      <w:r/>
      <w:bookmarkEnd w:id="30"/>
      <w:r>
        <w:rPr>
          <w:rFonts w:hint="eastAsia" w:ascii="宋体" w:hAnsi="宋体" w:cs="宋体"/>
          <w:sz w:val="24"/>
          <w:szCs w:val="24"/>
        </w:rPr>
        <w:t xml:space="preserve">和标准</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rPr>
          <w:rFonts w:hint="eastAsia" w:ascii="宋体" w:hAnsi="宋体" w:cs="宋体"/>
          <w:sz w:val="24"/>
          <w:szCs w:val="24"/>
        </w:rPr>
      </w:r>
      <w:r/>
    </w:p>
    <w:p>
      <w:pPr>
        <w:pStyle w:val="869"/>
        <w:ind w:firstLine="480"/>
        <w:keepLines/>
        <w:keepNext/>
        <w:spacing w:line="360" w:lineRule="auto"/>
        <w:rPr>
          <w:rFonts w:hint="eastAsia" w:ascii="宋体" w:hAnsi="宋体" w:cs="宋体"/>
          <w:sz w:val="24"/>
          <w:szCs w:val="24"/>
        </w:rPr>
        <w:outlineLvl w:val="3"/>
      </w:pPr>
      <w:r/>
      <w:bookmarkStart w:id="31" w:name="_Toc16938523"/>
      <w:r/>
      <w:bookmarkStart w:id="32" w:name="_Toc462564067"/>
      <w:r/>
      <w:bookmarkStart w:id="33" w:name="_Toc513029207"/>
      <w:r/>
      <w:bookmarkStart w:id="34" w:name="_Toc20823279"/>
      <w:r>
        <w:rPr>
          <w:rFonts w:hint="eastAsia" w:ascii="宋体" w:hAnsi="宋体" w:cs="宋体"/>
          <w:sz w:val="24"/>
          <w:szCs w:val="24"/>
        </w:rPr>
        <w:t xml:space="preserve">4、投标费用</w:t>
      </w:r>
      <w:bookmarkEnd w:id="31"/>
      <w:r/>
      <w:bookmarkEnd w:id="32"/>
      <w:r/>
      <w:bookmarkEnd w:id="33"/>
      <w:r/>
      <w:bookmarkEnd w:id="34"/>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4.2本次招标交易中心和采购人不收取标书工本费与中标服务费。</w:t>
      </w:r>
      <w:r>
        <w:rPr>
          <w:rFonts w:hint="eastAsia" w:ascii="宋体" w:hAnsi="宋体" w:cs="宋体"/>
          <w:sz w:val="24"/>
          <w:szCs w:val="24"/>
        </w:rPr>
      </w:r>
      <w:r/>
    </w:p>
    <w:p>
      <w:pPr>
        <w:pStyle w:val="869"/>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5、招标文件的约束力</w:t>
      </w:r>
      <w:r>
        <w:rPr>
          <w:rFonts w:hint="eastAsia" w:ascii="宋体" w:hAnsi="宋体" w:cs="宋体"/>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rPr>
          <w:rFonts w:hint="eastAsia" w:ascii="宋体" w:hAnsi="宋体" w:cs="宋体"/>
          <w:color w:val="000000"/>
          <w:sz w:val="24"/>
          <w:szCs w:val="24"/>
        </w:rPr>
      </w:r>
      <w:r/>
    </w:p>
    <w:p>
      <w:pPr>
        <w:pStyle w:val="869"/>
        <w:keepLines/>
        <w:keepNext/>
        <w:spacing w:line="360" w:lineRule="auto"/>
        <w:rPr>
          <w:rFonts w:hint="eastAsia" w:ascii="宋体" w:hAnsi="宋体" w:cs="宋体"/>
          <w:b/>
          <w:bCs/>
          <w:color w:val="000000"/>
          <w:sz w:val="24"/>
          <w:szCs w:val="24"/>
        </w:rPr>
        <w:outlineLvl w:val="2"/>
      </w:pPr>
      <w:r/>
      <w:bookmarkStart w:id="35" w:name="_Toc20823281"/>
      <w:r/>
      <w:bookmarkStart w:id="36" w:name="_Toc513029209"/>
      <w:r/>
      <w:bookmarkStart w:id="37" w:name="_Toc120614215"/>
      <w:r/>
      <w:bookmarkStart w:id="38" w:name="_Toc16938525"/>
      <w:r>
        <w:rPr>
          <w:rFonts w:hint="eastAsia" w:ascii="宋体" w:hAnsi="宋体" w:cs="宋体"/>
          <w:b/>
          <w:bCs/>
          <w:color w:val="000000"/>
          <w:sz w:val="24"/>
          <w:szCs w:val="24"/>
        </w:rPr>
        <w:t xml:space="preserve">二、招标文件</w:t>
      </w:r>
      <w:bookmarkEnd w:id="35"/>
      <w:r/>
      <w:bookmarkEnd w:id="36"/>
      <w:r/>
      <w:bookmarkEnd w:id="37"/>
      <w:r/>
      <w:bookmarkEnd w:id="38"/>
      <w:r>
        <w:rPr>
          <w:rFonts w:hint="eastAsia" w:ascii="宋体" w:hAnsi="宋体" w:cs="宋体"/>
          <w:b/>
          <w:bCs/>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bookmarkStart w:id="39" w:name="_Toc16938526"/>
      <w:r/>
      <w:bookmarkStart w:id="40" w:name="_Toc20823282"/>
      <w:r/>
      <w:bookmarkStart w:id="41" w:name="_Toc513029210"/>
      <w:r>
        <w:rPr>
          <w:rFonts w:hint="eastAsia" w:ascii="宋体" w:hAnsi="宋体" w:cs="宋体"/>
          <w:color w:val="000000"/>
          <w:sz w:val="24"/>
          <w:szCs w:val="24"/>
        </w:rPr>
        <w:t xml:space="preserve">6、招标文件构成</w:t>
      </w:r>
      <w:bookmarkEnd w:id="39"/>
      <w:r/>
      <w:bookmarkEnd w:id="40"/>
      <w:r/>
      <w:bookmarkEnd w:id="41"/>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bookmarkStart w:id="42" w:name="_Toc20823284"/>
      <w:r/>
      <w:bookmarkStart w:id="43" w:name="_Toc16938528"/>
      <w:r/>
      <w:bookmarkStart w:id="44" w:name="_Toc462564071"/>
      <w:r/>
      <w:bookmarkStart w:id="45" w:name="_Toc513029212"/>
      <w:r>
        <w:rPr>
          <w:rFonts w:hint="eastAsia" w:ascii="宋体" w:hAnsi="宋体" w:cs="宋体"/>
          <w:color w:val="000000"/>
          <w:sz w:val="24"/>
          <w:szCs w:val="24"/>
        </w:rPr>
        <w:t xml:space="preserve">7、招标文件的修改</w:t>
      </w:r>
      <w:bookmarkEnd w:id="42"/>
      <w:r/>
      <w:bookmarkEnd w:id="43"/>
      <w:r/>
      <w:bookmarkEnd w:id="44"/>
      <w:r/>
      <w:bookmarkEnd w:id="45"/>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rPr>
          <w:rFonts w:hint="eastAsia" w:ascii="宋体" w:hAnsi="宋体" w:cs="宋体"/>
          <w:color w:val="000000"/>
          <w:sz w:val="24"/>
          <w:szCs w:val="24"/>
        </w:rPr>
      </w:r>
      <w:r/>
    </w:p>
    <w:p>
      <w:pPr>
        <w:pStyle w:val="869"/>
        <w:keepLines/>
        <w:keepNext/>
        <w:spacing w:line="360" w:lineRule="auto"/>
        <w:rPr>
          <w:rFonts w:hint="eastAsia" w:ascii="宋体" w:hAnsi="宋体" w:cs="宋体"/>
          <w:b/>
          <w:bCs/>
          <w:color w:val="000000"/>
          <w:sz w:val="24"/>
          <w:szCs w:val="24"/>
        </w:rPr>
        <w:outlineLvl w:val="2"/>
      </w:pPr>
      <w:r/>
      <w:bookmarkStart w:id="46" w:name="_Toc16938529"/>
      <w:r/>
      <w:bookmarkStart w:id="47" w:name="_Toc462564072"/>
      <w:r/>
      <w:bookmarkStart w:id="48" w:name="_Toc120614216"/>
      <w:r/>
      <w:bookmarkStart w:id="49" w:name="_Toc20823285"/>
      <w:r/>
      <w:bookmarkStart w:id="50" w:name="_Toc513029213"/>
      <w:r>
        <w:rPr>
          <w:rFonts w:hint="eastAsia" w:ascii="宋体" w:hAnsi="宋体" w:cs="宋体"/>
          <w:b/>
          <w:bCs/>
          <w:color w:val="000000"/>
          <w:sz w:val="24"/>
          <w:szCs w:val="24"/>
        </w:rPr>
        <w:t xml:space="preserve">三、投标文件的编制</w:t>
      </w:r>
      <w:bookmarkEnd w:id="46"/>
      <w:r/>
      <w:bookmarkEnd w:id="47"/>
      <w:r/>
      <w:bookmarkEnd w:id="48"/>
      <w:r/>
      <w:bookmarkEnd w:id="49"/>
      <w:r/>
      <w:bookmarkEnd w:id="50"/>
      <w:r>
        <w:rPr>
          <w:rFonts w:hint="eastAsia" w:ascii="宋体" w:hAnsi="宋体" w:cs="宋体"/>
          <w:b/>
          <w:bCs/>
          <w:color w:val="000000"/>
          <w:sz w:val="24"/>
          <w:szCs w:val="24"/>
        </w:rPr>
      </w:r>
      <w:r/>
    </w:p>
    <w:p>
      <w:pPr>
        <w:pStyle w:val="869"/>
        <w:ind w:firstLine="480"/>
        <w:keepLines/>
        <w:keepNext/>
        <w:spacing w:line="360" w:lineRule="auto"/>
        <w:rPr>
          <w:rFonts w:hint="eastAsia" w:ascii="宋体" w:hAnsi="宋体" w:cs="宋体"/>
          <w:b/>
          <w:color w:val="000000"/>
          <w:sz w:val="24"/>
          <w:szCs w:val="24"/>
        </w:rPr>
        <w:outlineLvl w:val="3"/>
      </w:pPr>
      <w:r/>
      <w:bookmarkStart w:id="51" w:name="_Toc16938530"/>
      <w:r/>
      <w:bookmarkStart w:id="52" w:name="_Toc462564073"/>
      <w:r/>
      <w:bookmarkStart w:id="53" w:name="_Toc513029214"/>
      <w:r/>
      <w:bookmarkStart w:id="54" w:name="_Toc20823286"/>
      <w:r>
        <w:rPr>
          <w:rFonts w:hint="eastAsia" w:ascii="宋体" w:hAnsi="宋体" w:cs="宋体"/>
          <w:color w:val="000000"/>
          <w:sz w:val="24"/>
          <w:szCs w:val="24"/>
        </w:rPr>
        <w:t xml:space="preserve">8、投标文件的语言及度量衡单位</w:t>
      </w:r>
      <w:bookmarkEnd w:id="51"/>
      <w:r/>
      <w:bookmarkEnd w:id="52"/>
      <w:r/>
      <w:bookmarkEnd w:id="53"/>
      <w:r/>
      <w:bookmarkEnd w:id="54"/>
      <w:r>
        <w:rPr>
          <w:rFonts w:hint="eastAsia" w:ascii="宋体" w:hAnsi="宋体" w:cs="宋体"/>
          <w:b/>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rPr>
          <w:rFonts w:hint="eastAsia" w:ascii="宋体" w:hAnsi="宋体" w:cs="宋体"/>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bookmarkStart w:id="55" w:name="_Toc462564074"/>
      <w:r/>
      <w:bookmarkStart w:id="56" w:name="_Toc20823287"/>
      <w:r/>
      <w:bookmarkStart w:id="57" w:name="_Toc16938531"/>
      <w:r/>
      <w:bookmarkStart w:id="58" w:name="_Toc513029215"/>
      <w:r>
        <w:rPr>
          <w:rFonts w:hint="eastAsia" w:ascii="宋体" w:hAnsi="宋体" w:cs="宋体"/>
          <w:color w:val="000000"/>
          <w:sz w:val="24"/>
          <w:szCs w:val="24"/>
        </w:rPr>
        <w:t xml:space="preserve">9、投标文件构成</w:t>
      </w:r>
      <w:bookmarkEnd w:id="55"/>
      <w:r/>
      <w:bookmarkEnd w:id="56"/>
      <w:r/>
      <w:bookmarkEnd w:id="57"/>
      <w:r/>
      <w:bookmarkEnd w:id="58"/>
      <w:r>
        <w:rPr>
          <w:rFonts w:hint="eastAsia" w:ascii="宋体" w:hAnsi="宋体" w:cs="宋体"/>
          <w:color w:val="000000"/>
          <w:sz w:val="24"/>
          <w:szCs w:val="24"/>
        </w:rPr>
      </w:r>
      <w:r/>
    </w:p>
    <w:p>
      <w:pPr>
        <w:pStyle w:val="869"/>
        <w:ind w:firstLine="480"/>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cs="宋体"/>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bookmarkStart w:id="59" w:name="_Toc513029219"/>
      <w:r/>
      <w:bookmarkStart w:id="60" w:name="_Toc49090509"/>
      <w:r/>
      <w:bookmarkStart w:id="61" w:name="_Toc14577354"/>
      <w:r/>
      <w:bookmarkStart w:id="62" w:name="_Toc49090507"/>
      <w:r/>
      <w:bookmarkStart w:id="63" w:name="_Toc49090508"/>
      <w:r/>
      <w:bookmarkStart w:id="64" w:name="_Toc14577355"/>
      <w:r/>
      <w:bookmarkStart w:id="65" w:name="_Toc513029216"/>
      <w:r/>
      <w:bookmarkStart w:id="66" w:name="_Hlt26954838"/>
      <w:r/>
      <w:bookmarkEnd w:id="66"/>
      <w:r/>
      <w:bookmarkStart w:id="67" w:name="_Hlt26668975"/>
      <w:r/>
      <w:bookmarkEnd w:id="67"/>
      <w:r/>
      <w:bookmarkStart w:id="68" w:name="_Hlt26670360"/>
      <w:r/>
      <w:bookmarkEnd w:id="68"/>
      <w:r/>
      <w:bookmarkStart w:id="69" w:name="_Toc14577357"/>
      <w:r>
        <w:rPr>
          <w:rFonts w:hint="eastAsia" w:ascii="宋体" w:hAnsi="宋体" w:cs="宋体"/>
          <w:color w:val="000000"/>
          <w:sz w:val="24"/>
          <w:szCs w:val="24"/>
        </w:rPr>
        <w:t xml:space="preserve">10、证明投标人及投标标的符合招标文件规定的文件</w:t>
      </w:r>
      <w:bookmarkEnd w:id="59"/>
      <w:r/>
      <w:bookmarkEnd w:id="60"/>
      <w:r/>
      <w:bookmarkEnd w:id="69"/>
      <w:r>
        <w:rPr>
          <w:rFonts w:hint="eastAsia" w:ascii="宋体" w:hAnsi="宋体" w:cs="宋体"/>
          <w:color w:val="000000"/>
          <w:sz w:val="24"/>
          <w:szCs w:val="24"/>
        </w:rPr>
      </w:r>
      <w:r/>
    </w:p>
    <w:p>
      <w:pPr>
        <w:pStyle w:val="869"/>
        <w:spacing w:line="360" w:lineRule="auto"/>
        <w:rPr>
          <w:rFonts w:hint="eastAsia" w:ascii="宋体" w:hAnsi="宋体" w:cs="宋体"/>
          <w:color w:val="000000"/>
          <w:sz w:val="24"/>
          <w:szCs w:val="24"/>
        </w:rPr>
      </w:pPr>
      <w:r/>
      <w:bookmarkEnd w:id="61"/>
      <w:r/>
      <w:bookmarkEnd w:id="62"/>
      <w:r/>
      <w:bookmarkEnd w:id="65"/>
      <w:r>
        <w:rPr>
          <w:rFonts w:hint="eastAsia" w:ascii="宋体" w:hAnsi="宋体" w:cs="宋体"/>
          <w:color w:val="000000"/>
          <w:sz w:val="24"/>
          <w:szCs w:val="24"/>
        </w:rPr>
        <w:t xml:space="preserve">    10.1 投标人应按照招标文件要求提交证明文件，证明其及投标标的符合招标文件规定。</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r>
        <w:rPr>
          <w:rFonts w:hint="eastAsia" w:ascii="宋体" w:hAnsi="宋体" w:cs="宋体"/>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bookmarkEnd w:id="63"/>
      <w:r/>
      <w:bookmarkEnd w:id="64"/>
      <w:r>
        <w:rPr>
          <w:rFonts w:hint="eastAsia" w:ascii="宋体" w:hAnsi="宋体" w:cs="宋体"/>
          <w:color w:val="000000"/>
          <w:sz w:val="24"/>
          <w:szCs w:val="24"/>
        </w:rPr>
        <w:t xml:space="preserve">11、投标分项报价表</w:t>
      </w:r>
      <w:r>
        <w:rPr>
          <w:rFonts w:hint="eastAsia" w:ascii="宋体" w:hAnsi="宋体" w:cs="宋体"/>
          <w:color w:val="000000"/>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70" w:name="_Hlt26954840"/>
      <w:r/>
      <w:bookmarkEnd w:id="70"/>
      <w:r>
        <w:rPr>
          <w:rFonts w:hint="eastAsia" w:ascii="宋体" w:hAnsi="宋体" w:cs="宋体"/>
          <w:sz w:val="24"/>
          <w:szCs w:val="24"/>
        </w:rPr>
        <w:t xml:space="preserve">标人按照招标文件规定格式填报投标分项报价表</w:t>
      </w:r>
      <w:bookmarkStart w:id="71" w:name="_Hlt26670399"/>
      <w:r/>
      <w:bookmarkEnd w:id="71"/>
      <w:r>
        <w:rPr>
          <w:rFonts w:hint="eastAsia" w:ascii="宋体" w:hAnsi="宋体" w:cs="宋体"/>
          <w:sz w:val="24"/>
          <w:szCs w:val="24"/>
        </w:rPr>
        <w:t xml:space="preserve">。</w:t>
      </w:r>
      <w:r>
        <w:rPr>
          <w:rFonts w:hint="eastAsia" w:ascii="宋体" w:hAnsi="宋体" w:cs="宋体"/>
          <w:bCs/>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869"/>
        <w:ind w:firstLine="480"/>
        <w:keepLines/>
        <w:keepNext/>
        <w:spacing w:line="360" w:lineRule="auto"/>
        <w:rPr>
          <w:rFonts w:hint="eastAsia" w:ascii="宋体" w:hAnsi="宋体" w:cs="宋体"/>
          <w:sz w:val="24"/>
          <w:szCs w:val="24"/>
        </w:rPr>
        <w:outlineLvl w:val="3"/>
      </w:pPr>
      <w:r/>
      <w:bookmarkStart w:id="72" w:name="_Hlt26670482"/>
      <w:r/>
      <w:bookmarkEnd w:id="72"/>
      <w:r/>
      <w:bookmarkStart w:id="73" w:name="_Hlt26954846"/>
      <w:r/>
      <w:bookmarkEnd w:id="73"/>
      <w:r/>
      <w:bookmarkStart w:id="74" w:name="_Hlt26954731"/>
      <w:r/>
      <w:bookmarkEnd w:id="74"/>
      <w:r/>
      <w:bookmarkStart w:id="75" w:name="_Hlt26670486"/>
      <w:r/>
      <w:bookmarkEnd w:id="75"/>
      <w:r/>
      <w:bookmarkStart w:id="76" w:name="_Hlt26954848"/>
      <w:r/>
      <w:bookmarkEnd w:id="76"/>
      <w:r>
        <w:rPr>
          <w:rFonts w:hint="eastAsia" w:ascii="宋体" w:hAnsi="宋体" w:cs="宋体"/>
          <w:sz w:val="24"/>
          <w:szCs w:val="24"/>
        </w:rPr>
        <w:t xml:space="preserve">12、技术要求响应及偏离表、商务要求响应及偏离表</w:t>
      </w:r>
      <w:r>
        <w:rPr>
          <w:rFonts w:hint="eastAsia" w:ascii="宋体" w:hAnsi="宋体" w:cs="宋体"/>
          <w:sz w:val="24"/>
          <w:szCs w:val="24"/>
        </w:rPr>
      </w:r>
      <w:r/>
    </w:p>
    <w:p>
      <w:pPr>
        <w:pStyle w:val="869"/>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rPr>
          <w:rFonts w:hint="eastAsia" w:ascii="宋体" w:hAnsi="宋体" w:cs="宋体"/>
          <w:sz w:val="24"/>
          <w:szCs w:val="24"/>
          <w:lang w:val="zh-CN"/>
        </w:rPr>
      </w:r>
      <w:r/>
    </w:p>
    <w:p>
      <w:pPr>
        <w:pStyle w:val="869"/>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rPr>
          <w:rFonts w:hint="eastAsia" w:ascii="宋体" w:hAnsi="宋体" w:cs="宋体"/>
          <w:sz w:val="24"/>
          <w:szCs w:val="24"/>
          <w:lang w:val="zh-CN"/>
        </w:rPr>
      </w:r>
      <w:r/>
    </w:p>
    <w:p>
      <w:pPr>
        <w:pStyle w:val="869"/>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rPr>
          <w:rFonts w:hint="eastAsia" w:ascii="宋体" w:hAnsi="宋体" w:cs="宋体"/>
          <w:color w:val="000000"/>
          <w:sz w:val="24"/>
          <w:szCs w:val="24"/>
        </w:rPr>
      </w:r>
      <w:r/>
    </w:p>
    <w:p>
      <w:pPr>
        <w:pStyle w:val="869"/>
        <w:ind w:firstLine="480"/>
        <w:keepLines/>
        <w:keepNext/>
        <w:spacing w:line="360" w:lineRule="auto"/>
        <w:rPr>
          <w:rFonts w:hint="eastAsia" w:ascii="宋体" w:hAnsi="宋体" w:cs="宋体"/>
          <w:sz w:val="24"/>
          <w:szCs w:val="24"/>
        </w:rPr>
        <w:outlineLvl w:val="3"/>
      </w:pPr>
      <w:r/>
      <w:bookmarkStart w:id="77" w:name="_Toc14577359"/>
      <w:r/>
      <w:bookmarkStart w:id="78" w:name="_Toc49090510"/>
      <w:r>
        <w:rPr>
          <w:rFonts w:hint="eastAsia" w:ascii="宋体" w:hAnsi="宋体" w:cs="宋体"/>
          <w:sz w:val="24"/>
          <w:szCs w:val="24"/>
        </w:rPr>
        <w:t xml:space="preserve">14、投标函和开标一览表</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4"/>
        </w:rPr>
      </w:r>
      <w:r/>
    </w:p>
    <w:p>
      <w:pPr>
        <w:pStyle w:val="869"/>
        <w:ind w:firstLine="480"/>
        <w:keepLines/>
        <w:keepNext/>
        <w:spacing w:line="360" w:lineRule="auto"/>
        <w:rPr>
          <w:rFonts w:hint="eastAsia" w:ascii="宋体" w:hAnsi="宋体" w:cs="宋体"/>
          <w:sz w:val="24"/>
          <w:szCs w:val="24"/>
        </w:rPr>
        <w:outlineLvl w:val="3"/>
      </w:pPr>
      <w:r/>
      <w:bookmarkEnd w:id="77"/>
      <w:r/>
      <w:bookmarkEnd w:id="78"/>
      <w:r/>
      <w:bookmarkStart w:id="79" w:name="_Toc14577360"/>
      <w:r/>
      <w:bookmarkStart w:id="80" w:name="_Toc49090511"/>
      <w:r>
        <w:rPr>
          <w:rFonts w:hint="eastAsia" w:ascii="宋体" w:hAnsi="宋体" w:cs="宋体"/>
          <w:sz w:val="24"/>
          <w:szCs w:val="24"/>
        </w:rPr>
        <w:t xml:space="preserve">15、投标有效期</w:t>
      </w:r>
      <w:bookmarkEnd w:id="79"/>
      <w:r/>
      <w:bookmarkEnd w:id="80"/>
      <w:r>
        <w:rPr>
          <w:rFonts w:hint="eastAsia" w:ascii="宋体" w:hAnsi="宋体" w:cs="宋体"/>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rPr>
          <w:rFonts w:hint="eastAsia" w:ascii="宋体" w:hAnsi="宋体" w:cs="宋体"/>
          <w:bCs/>
          <w:sz w:val="24"/>
          <w:szCs w:val="24"/>
        </w:rPr>
      </w:r>
      <w:r/>
    </w:p>
    <w:p>
      <w:pPr>
        <w:pStyle w:val="869"/>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16、投标有效期的延长</w:t>
      </w:r>
      <w:r>
        <w:rPr>
          <w:rFonts w:hint="eastAsia" w:ascii="宋体" w:hAnsi="宋体" w:cs="宋体"/>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rPr>
          <w:rFonts w:hint="eastAsia" w:ascii="宋体" w:hAnsi="宋体" w:cs="宋体"/>
          <w:bCs/>
          <w:sz w:val="24"/>
          <w:szCs w:val="24"/>
        </w:rPr>
      </w:r>
      <w:r/>
    </w:p>
    <w:p>
      <w:pPr>
        <w:pStyle w:val="869"/>
        <w:keepLines/>
        <w:keepNext/>
        <w:spacing w:line="360" w:lineRule="auto"/>
        <w:rPr>
          <w:rFonts w:hint="eastAsia" w:ascii="宋体" w:hAnsi="宋体" w:cs="宋体"/>
          <w:b/>
          <w:bCs/>
          <w:sz w:val="24"/>
          <w:szCs w:val="24"/>
        </w:rPr>
        <w:outlineLvl w:val="2"/>
      </w:pPr>
      <w:r/>
      <w:bookmarkStart w:id="81" w:name="_Toc16938540"/>
      <w:r/>
      <w:bookmarkStart w:id="82" w:name="_Hlt26954739"/>
      <w:r/>
      <w:bookmarkEnd w:id="82"/>
      <w:r/>
      <w:bookmarkStart w:id="83" w:name="_Hlt26954852"/>
      <w:r/>
      <w:bookmarkEnd w:id="83"/>
      <w:r/>
      <w:bookmarkStart w:id="84" w:name="_Toc513029224"/>
      <w:r/>
      <w:bookmarkStart w:id="85" w:name="_Toc120614217"/>
      <w:r/>
      <w:bookmarkStart w:id="86" w:name="_Toc20823296"/>
      <w:r>
        <w:rPr>
          <w:rFonts w:hint="eastAsia" w:ascii="宋体" w:hAnsi="宋体" w:cs="宋体"/>
          <w:b/>
          <w:bCs/>
          <w:sz w:val="24"/>
          <w:szCs w:val="24"/>
        </w:rPr>
        <w:t xml:space="preserve">四、投标文件的递交</w:t>
      </w:r>
      <w:bookmarkEnd w:id="81"/>
      <w:r/>
      <w:bookmarkEnd w:id="84"/>
      <w:r/>
      <w:bookmarkEnd w:id="85"/>
      <w:r/>
      <w:bookmarkEnd w:id="86"/>
      <w:r>
        <w:rPr>
          <w:rFonts w:hint="eastAsia" w:ascii="宋体" w:hAnsi="宋体" w:cs="宋体"/>
          <w:b/>
          <w:bCs/>
          <w:sz w:val="24"/>
          <w:szCs w:val="24"/>
        </w:rPr>
      </w:r>
      <w:r/>
    </w:p>
    <w:p>
      <w:pPr>
        <w:pStyle w:val="869"/>
        <w:ind w:firstLine="480"/>
        <w:keepLines/>
        <w:keepNext/>
        <w:spacing w:line="360" w:lineRule="auto"/>
        <w:rPr>
          <w:rFonts w:hint="eastAsia" w:ascii="宋体" w:hAnsi="宋体" w:cs="宋体"/>
          <w:sz w:val="24"/>
          <w:szCs w:val="24"/>
        </w:rPr>
        <w:outlineLvl w:val="3"/>
      </w:pPr>
      <w:r/>
      <w:bookmarkStart w:id="87" w:name="_Toc16938541"/>
      <w:r/>
      <w:bookmarkStart w:id="88" w:name="_Toc20823297"/>
      <w:r/>
      <w:bookmarkStart w:id="89" w:name="_Toc513029225"/>
      <w:r/>
      <w:bookmarkStart w:id="90" w:name="_Toc462564084"/>
      <w:r>
        <w:rPr>
          <w:rFonts w:hint="eastAsia" w:ascii="宋体" w:hAnsi="宋体" w:cs="宋体"/>
          <w:sz w:val="24"/>
          <w:szCs w:val="24"/>
        </w:rPr>
        <w:t xml:space="preserve">17、电子投标文件</w:t>
      </w:r>
      <w:bookmarkEnd w:id="87"/>
      <w:r/>
      <w:bookmarkEnd w:id="88"/>
      <w:r/>
      <w:bookmarkEnd w:id="89"/>
      <w:r/>
      <w:bookmarkEnd w:id="90"/>
      <w:r>
        <w:rPr>
          <w:rFonts w:hint="eastAsia" w:ascii="宋体" w:hAnsi="宋体" w:cs="宋体"/>
          <w:sz w:val="24"/>
          <w:szCs w:val="24"/>
        </w:rPr>
        <w:t xml:space="preserve">的递交</w:t>
      </w:r>
      <w:r>
        <w:rPr>
          <w:rFonts w:hint="eastAsia" w:ascii="宋体" w:hAnsi="宋体" w:cs="宋体"/>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91" w:name="_Toc20823298"/>
      <w:r/>
      <w:bookmarkStart w:id="92" w:name="_Toc16938542"/>
      <w:r/>
      <w:bookmarkStart w:id="93" w:name="_Toc513029226"/>
      <w:r>
        <w:rPr>
          <w:rFonts w:hint="eastAsia" w:ascii="宋体" w:hAnsi="宋体" w:cs="宋体"/>
          <w:bCs/>
          <w:sz w:val="24"/>
          <w:szCs w:val="24"/>
        </w:rPr>
      </w:r>
      <w:r/>
    </w:p>
    <w:p>
      <w:pPr>
        <w:pStyle w:val="869"/>
        <w:ind w:firstLine="480"/>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18、投标截止日期</w:t>
      </w:r>
      <w:bookmarkEnd w:id="91"/>
      <w:r/>
      <w:bookmarkEnd w:id="92"/>
      <w:r/>
      <w:bookmarkEnd w:id="93"/>
      <w:r>
        <w:rPr>
          <w:rFonts w:hint="eastAsia" w:ascii="宋体" w:hAnsi="宋体" w:cs="宋体"/>
          <w:bCs/>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rPr>
          <w:rFonts w:hint="eastAsia" w:ascii="宋体" w:hAnsi="宋体" w:cs="宋体"/>
          <w:bCs/>
          <w:color w:val="000000"/>
          <w:sz w:val="24"/>
          <w:szCs w:val="24"/>
        </w:rPr>
      </w:r>
      <w:r/>
    </w:p>
    <w:p>
      <w:pPr>
        <w:pStyle w:val="869"/>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bookmarkStart w:id="94" w:name="_Toc20823299"/>
      <w:r/>
      <w:bookmarkStart w:id="95" w:name="_Toc16938543"/>
      <w:r/>
      <w:bookmarkStart w:id="96" w:name="_Toc513029227"/>
      <w:r>
        <w:rPr>
          <w:rFonts w:hint="eastAsia" w:ascii="宋体" w:hAnsi="宋体" w:cs="宋体"/>
          <w:color w:val="000000"/>
          <w:sz w:val="24"/>
          <w:szCs w:val="24"/>
        </w:rPr>
        <w:t xml:space="preserve">19、投标文件</w:t>
      </w:r>
      <w:bookmarkEnd w:id="94"/>
      <w:r/>
      <w:bookmarkEnd w:id="95"/>
      <w:r/>
      <w:bookmarkEnd w:id="96"/>
      <w:r>
        <w:rPr>
          <w:rFonts w:hint="eastAsia" w:ascii="宋体" w:hAnsi="宋体" w:cs="宋体"/>
          <w:color w:val="000000"/>
          <w:sz w:val="24"/>
          <w:szCs w:val="24"/>
        </w:rPr>
        <w:t xml:space="preserve">的拒收</w:t>
      </w:r>
      <w:r>
        <w:rPr>
          <w:rFonts w:hint="eastAsia" w:ascii="宋体" w:hAnsi="宋体" w:cs="宋体"/>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rPr>
          <w:rFonts w:hint="eastAsia" w:ascii="宋体" w:hAnsi="宋体" w:cs="宋体"/>
          <w:bCs/>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bookmarkStart w:id="97" w:name="_Toc16938544"/>
      <w:r/>
      <w:bookmarkStart w:id="98" w:name="_Toc20823300"/>
      <w:r/>
      <w:bookmarkStart w:id="99" w:name="_Toc513029228"/>
      <w:r>
        <w:rPr>
          <w:rFonts w:hint="eastAsia" w:ascii="宋体" w:hAnsi="宋体" w:cs="宋体"/>
          <w:color w:val="000000"/>
          <w:sz w:val="24"/>
          <w:szCs w:val="24"/>
        </w:rPr>
        <w:t xml:space="preserve">20、投标文件的撤回和修改</w:t>
      </w:r>
      <w:bookmarkEnd w:id="97"/>
      <w:r/>
      <w:bookmarkEnd w:id="98"/>
      <w:r/>
      <w:bookmarkEnd w:id="99"/>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 投标文件的撤回</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20.1.1 电子投标文件的撤回</w:t>
      </w:r>
      <w:r>
        <w:rPr>
          <w:rFonts w:hint="eastAsia" w:ascii="宋体" w:hAnsi="宋体" w:cs="宋体"/>
          <w:color w:val="000000"/>
          <w:sz w:val="24"/>
          <w:szCs w:val="24"/>
        </w:rPr>
      </w:r>
      <w:r/>
    </w:p>
    <w:p>
      <w:pPr>
        <w:pStyle w:val="86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 投标文件的修改</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rPr>
          <w:rFonts w:hint="eastAsia" w:ascii="宋体" w:hAnsi="宋体" w:cs="宋体"/>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rPr>
          <w:rFonts w:hint="eastAsia" w:ascii="宋体" w:hAnsi="宋体" w:cs="宋体"/>
          <w:bCs/>
          <w:color w:val="000000"/>
          <w:sz w:val="24"/>
          <w:szCs w:val="24"/>
        </w:rPr>
      </w:r>
      <w:r/>
    </w:p>
    <w:p>
      <w:pPr>
        <w:pStyle w:val="869"/>
        <w:keepLines/>
        <w:keepNext/>
        <w:spacing w:line="360" w:lineRule="auto"/>
        <w:rPr>
          <w:rFonts w:hint="eastAsia" w:ascii="宋体" w:hAnsi="宋体" w:cs="宋体"/>
          <w:b/>
          <w:bCs/>
          <w:color w:val="000000"/>
          <w:sz w:val="24"/>
          <w:szCs w:val="24"/>
        </w:rPr>
        <w:outlineLvl w:val="2"/>
      </w:pPr>
      <w:r/>
      <w:bookmarkStart w:id="100" w:name="_Toc16938545"/>
      <w:r/>
      <w:bookmarkStart w:id="101" w:name="_Toc513029229"/>
      <w:r/>
      <w:bookmarkStart w:id="102" w:name="_Toc120614218"/>
      <w:r/>
      <w:bookmarkStart w:id="103" w:name="_Toc20823301"/>
      <w:r>
        <w:rPr>
          <w:rFonts w:hint="eastAsia" w:ascii="宋体" w:hAnsi="宋体" w:cs="宋体"/>
          <w:b/>
          <w:bCs/>
          <w:color w:val="000000"/>
          <w:sz w:val="24"/>
          <w:szCs w:val="24"/>
        </w:rPr>
        <w:t xml:space="preserve">五、开标与评标</w:t>
      </w:r>
      <w:bookmarkEnd w:id="100"/>
      <w:r/>
      <w:bookmarkEnd w:id="101"/>
      <w:r/>
      <w:bookmarkEnd w:id="102"/>
      <w:r/>
      <w:bookmarkEnd w:id="103"/>
      <w:r>
        <w:rPr>
          <w:rFonts w:hint="eastAsia" w:ascii="宋体" w:hAnsi="宋体" w:cs="宋体"/>
          <w:b/>
          <w:bCs/>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bookmarkStart w:id="104" w:name="_Toc513029230"/>
      <w:r/>
      <w:bookmarkStart w:id="105" w:name="_Toc20823302"/>
      <w:r/>
      <w:bookmarkStart w:id="106" w:name="_Toc16938546"/>
      <w:r>
        <w:rPr>
          <w:rFonts w:hint="eastAsia" w:ascii="宋体" w:hAnsi="宋体" w:cs="宋体"/>
          <w:color w:val="000000"/>
          <w:sz w:val="24"/>
          <w:szCs w:val="24"/>
        </w:rPr>
        <w:t xml:space="preserve">21、开标</w:t>
      </w:r>
      <w:bookmarkEnd w:id="104"/>
      <w:r/>
      <w:bookmarkEnd w:id="105"/>
      <w:r/>
      <w:bookmarkEnd w:id="106"/>
      <w:r>
        <w:rPr>
          <w:rFonts w:hint="eastAsia" w:ascii="宋体" w:hAnsi="宋体" w:cs="宋体"/>
          <w:color w:val="000000"/>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sz w:val="24"/>
          <w:szCs w:val="24"/>
        </w:rPr>
      </w:r>
      <w:r/>
    </w:p>
    <w:p>
      <w:pPr>
        <w:pStyle w:val="869"/>
        <w:ind w:firstLine="480"/>
        <w:keepLines/>
        <w:keepNext/>
        <w:spacing w:line="360" w:lineRule="auto"/>
        <w:rPr>
          <w:rFonts w:hint="eastAsia" w:ascii="宋体" w:hAnsi="宋体" w:cs="宋体"/>
          <w:sz w:val="24"/>
          <w:szCs w:val="24"/>
        </w:rPr>
        <w:outlineLvl w:val="3"/>
      </w:pPr>
      <w:r/>
      <w:bookmarkStart w:id="107" w:name="_Toc513029231"/>
      <w:r/>
      <w:bookmarkStart w:id="108" w:name="_Toc20823303"/>
      <w:r/>
      <w:bookmarkStart w:id="109" w:name="_Toc16938547"/>
      <w:r>
        <w:rPr>
          <w:rFonts w:hint="eastAsia" w:ascii="宋体" w:hAnsi="宋体" w:cs="宋体"/>
          <w:sz w:val="24"/>
          <w:szCs w:val="24"/>
        </w:rPr>
        <w:t xml:space="preserve">22、评标委员会</w:t>
      </w:r>
      <w:r>
        <w:rPr>
          <w:rFonts w:hint="eastAsia" w:ascii="宋体" w:hAnsi="宋体" w:cs="宋体"/>
          <w:sz w:val="24"/>
          <w:szCs w:val="24"/>
        </w:rPr>
      </w:r>
      <w:r/>
    </w:p>
    <w:p>
      <w:pPr>
        <w:pStyle w:val="869"/>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rPr>
          <w:rFonts w:hint="eastAsia" w:ascii="宋体" w:hAnsi="宋体" w:cs="宋体"/>
          <w:b/>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rPr>
          <w:rFonts w:hint="eastAsia" w:ascii="宋体" w:hAnsi="宋体" w:cs="宋体"/>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23、评标过程的保密与公正</w:t>
      </w:r>
      <w:r>
        <w:rPr>
          <w:rFonts w:hint="eastAsia" w:ascii="宋体" w:hAnsi="宋体" w:cs="宋体"/>
          <w:color w:val="000000"/>
          <w:sz w:val="24"/>
          <w:szCs w:val="24"/>
        </w:rPr>
      </w:r>
      <w:r/>
    </w:p>
    <w:p>
      <w:pPr>
        <w:pStyle w:val="869"/>
        <w:ind w:firstLine="480"/>
        <w:spacing w:line="360" w:lineRule="auto"/>
        <w:rPr>
          <w:rFonts w:hint="eastAsia" w:ascii="宋体" w:hAnsi="宋体" w:cs="宋体"/>
          <w:bCs/>
          <w:color w:val="000000"/>
          <w:sz w:val="24"/>
          <w:szCs w:val="24"/>
        </w:rPr>
      </w:pPr>
      <w:r/>
      <w:bookmarkEnd w:id="107"/>
      <w:r/>
      <w:bookmarkEnd w:id="108"/>
      <w:r/>
      <w:bookmarkEnd w:id="109"/>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rPr>
          <w:rFonts w:hint="eastAsia" w:ascii="宋体" w:hAnsi="宋体" w:cs="宋体"/>
          <w:bCs/>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rPr>
          <w:rFonts w:hint="eastAsia" w:ascii="宋体" w:hAnsi="宋体" w:cs="宋体"/>
          <w:color w:val="000000"/>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869"/>
        <w:ind w:firstLine="480"/>
        <w:keepLines/>
        <w:keepNext/>
        <w:spacing w:line="360" w:lineRule="auto"/>
        <w:rPr>
          <w:rFonts w:hint="eastAsia" w:ascii="宋体" w:hAnsi="宋体" w:cs="宋体"/>
          <w:color w:val="000000"/>
          <w:sz w:val="24"/>
          <w:szCs w:val="24"/>
        </w:rPr>
        <w:outlineLvl w:val="3"/>
      </w:pPr>
      <w:r/>
      <w:bookmarkStart w:id="110" w:name="_Toc513029232"/>
      <w:r/>
      <w:bookmarkStart w:id="111" w:name="_Toc20823304"/>
      <w:r/>
      <w:bookmarkStart w:id="112" w:name="_Toc16938548"/>
      <w:r>
        <w:rPr>
          <w:rFonts w:hint="eastAsia" w:ascii="宋体" w:hAnsi="宋体" w:cs="宋体"/>
          <w:color w:val="000000"/>
          <w:sz w:val="24"/>
          <w:szCs w:val="24"/>
        </w:rPr>
        <w:t xml:space="preserve">24、投标文件的澄清</w:t>
      </w:r>
      <w:bookmarkEnd w:id="110"/>
      <w:r/>
      <w:bookmarkEnd w:id="111"/>
      <w:r/>
      <w:bookmarkEnd w:id="112"/>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bookmarkStart w:id="113" w:name="_Toc20823305"/>
      <w:r/>
      <w:bookmarkStart w:id="114" w:name="_Toc16938549"/>
      <w:r/>
      <w:bookmarkStart w:id="115" w:name="_Toc513029233"/>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rPr>
          <w:rFonts w:hint="eastAsia" w:ascii="宋体" w:hAnsi="宋体" w:cs="宋体"/>
          <w:color w:val="000000"/>
          <w:sz w:val="24"/>
          <w:szCs w:val="24"/>
        </w:rPr>
      </w:r>
      <w:r/>
    </w:p>
    <w:p>
      <w:pPr>
        <w:pStyle w:val="86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rPr>
          <w:rFonts w:hint="eastAsia" w:ascii="宋体" w:hAnsi="宋体" w:cs="宋体"/>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13"/>
      <w:r/>
      <w:bookmarkEnd w:id="114"/>
      <w:r/>
      <w:bookmarkEnd w:id="115"/>
      <w:r>
        <w:rPr>
          <w:rFonts w:hint="eastAsia" w:ascii="宋体" w:hAnsi="宋体" w:cs="宋体"/>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rPr>
          <w:rFonts w:hint="eastAsia" w:ascii="宋体" w:hAnsi="宋体" w:cs="宋体"/>
          <w:bCs/>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rPr>
          <w:rFonts w:hint="eastAsia" w:ascii="宋体" w:hAnsi="宋体" w:cs="宋体"/>
          <w:bCs/>
          <w:color w:val="000000"/>
          <w:sz w:val="24"/>
          <w:szCs w:val="24"/>
        </w:rPr>
      </w:r>
      <w:r/>
    </w:p>
    <w:p>
      <w:pPr>
        <w:pStyle w:val="869"/>
        <w:ind w:firstLine="480"/>
        <w:spacing w:line="360" w:lineRule="auto"/>
        <w:rPr>
          <w:rFonts w:hint="eastAsia" w:ascii="宋体" w:hAnsi="宋体" w:cs="宋体"/>
          <w:color w:val="000000"/>
          <w:sz w:val="24"/>
          <w:szCs w:val="24"/>
        </w:rPr>
      </w:pPr>
      <w:r/>
      <w:bookmarkStart w:id="116" w:name="_Toc16938550"/>
      <w:r/>
      <w:bookmarkStart w:id="117" w:name="_Toc513029234"/>
      <w:r/>
      <w:bookmarkStart w:id="118" w:name="_Toc20823306"/>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szCs w:val="24"/>
        </w:rPr>
      </w:r>
      <w:r/>
    </w:p>
    <w:p>
      <w:pPr>
        <w:pStyle w:val="86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cs="宋体"/>
          <w:color w:val="000000"/>
          <w:sz w:val="24"/>
          <w:szCs w:val="24"/>
        </w:rPr>
      </w:r>
      <w:r/>
    </w:p>
    <w:p>
      <w:pPr>
        <w:pStyle w:val="869"/>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25.8 异常低价投标审查</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rPr>
          <w:rFonts w:hint="eastAsia" w:ascii="宋体" w:hAnsi="宋体" w:cs="宋体"/>
          <w:sz w:val="24"/>
          <w:szCs w:val="24"/>
        </w:rPr>
      </w:r>
      <w:r/>
    </w:p>
    <w:p>
      <w:pPr>
        <w:pStyle w:val="869"/>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rPr>
          <w:rFonts w:ascii="宋体" w:hAnsi="宋体" w:cs="宋体"/>
          <w:sz w:val="24"/>
          <w:szCs w:val="24"/>
        </w:rPr>
      </w:r>
      <w:r/>
    </w:p>
    <w:p>
      <w:pPr>
        <w:pStyle w:val="869"/>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rPr>
          <w:rFonts w:ascii="宋体" w:hAnsi="宋体" w:cs="宋体"/>
          <w:sz w:val="24"/>
          <w:szCs w:val="24"/>
        </w:rPr>
      </w:r>
      <w:r/>
    </w:p>
    <w:p>
      <w:pPr>
        <w:pStyle w:val="869"/>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rPr>
          <w:rFonts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（4）评标委员会</w:t>
      </w:r>
      <w:r>
        <w:rPr>
          <w:rFonts w:ascii="宋体" w:hAnsi="宋体" w:cs="宋体"/>
          <w:sz w:val="24"/>
          <w:szCs w:val="24"/>
        </w:rPr>
        <w:t xml:space="preserve">基于专业判断，认为供应商报价过低，有可能影响产品质量或者不能诚信履约的其他情形。</w:t>
      </w:r>
      <w:r>
        <w:rPr>
          <w:rFonts w:hint="eastAsia" w:ascii="宋体" w:hAnsi="宋体" w:cs="宋体"/>
          <w:sz w:val="24"/>
          <w:szCs w:val="24"/>
        </w:rPr>
      </w:r>
      <w:r/>
    </w:p>
    <w:p>
      <w:pPr>
        <w:pStyle w:val="869"/>
        <w:ind w:firstLine="480"/>
        <w:spacing w:line="360" w:lineRule="auto"/>
        <w:rPr>
          <w:rFonts w:ascii="宋体" w:hAnsi="宋体" w:cs="宋体"/>
          <w:sz w:val="24"/>
          <w:szCs w:val="24"/>
        </w:rPr>
      </w:pPr>
      <w:r>
        <w:rPr>
          <w:rFonts w:hint="eastAsia" w:ascii="宋体" w:hAnsi="宋体" w:cs="宋体"/>
          <w:sz w:val="24"/>
          <w:szCs w:val="24"/>
        </w:rPr>
        <w:t xml:space="preserve">25.8.2 评标委员会</w:t>
      </w:r>
      <w:r>
        <w:rPr>
          <w:rFonts w:ascii="宋体" w:hAnsi="宋体" w:cs="宋体"/>
          <w:sz w:val="24"/>
          <w:szCs w:val="24"/>
        </w:rPr>
        <w:t xml:space="preserve">启动异常低价投标（响应）审查后，属于前述第1项至第4项情形的，应当要求相关供应商</w:t>
      </w:r>
      <w:r>
        <w:rPr>
          <w:rFonts w:hint="eastAsia" w:ascii="宋体" w:hAnsi="宋体" w:cs="宋体"/>
          <w:sz w:val="24"/>
          <w:szCs w:val="24"/>
        </w:rPr>
        <w:t xml:space="preserve">通过“苏采云”系统</w:t>
      </w:r>
      <w:r>
        <w:rPr>
          <w:rFonts w:ascii="宋体" w:hAnsi="宋体" w:cs="宋体"/>
          <w:sz w:val="24"/>
          <w:szCs w:val="24"/>
        </w:rPr>
        <w:t xml:space="preserve">在</w:t>
      </w:r>
      <w:r>
        <w:rPr>
          <w:rFonts w:hint="eastAsia" w:ascii="宋体" w:hAnsi="宋体" w:cs="宋体"/>
          <w:sz w:val="24"/>
          <w:szCs w:val="24"/>
        </w:rPr>
        <w:t xml:space="preserve">30分钟</w:t>
      </w:r>
      <w:r>
        <w:rPr>
          <w:rFonts w:ascii="宋体" w:hAnsi="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sz w:val="24"/>
          <w:szCs w:val="24"/>
        </w:rPr>
      </w:r>
      <w:r/>
    </w:p>
    <w:p>
      <w:pPr>
        <w:pStyle w:val="869"/>
        <w:ind w:firstLine="480"/>
        <w:spacing w:line="360" w:lineRule="auto"/>
        <w:rPr>
          <w:rFonts w:ascii="宋体" w:hAnsi="宋体" w:cs="宋体"/>
          <w:sz w:val="24"/>
          <w:szCs w:val="24"/>
        </w:rPr>
      </w:pPr>
      <w:r>
        <w:rPr>
          <w:rFonts w:hint="eastAsia" w:ascii="宋体" w:hAnsi="宋体" w:cs="宋体"/>
          <w:sz w:val="24"/>
          <w:szCs w:val="24"/>
        </w:rPr>
        <w:t xml:space="preserve">评标委员会</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评标委员会</w:t>
      </w:r>
      <w:r>
        <w:rPr>
          <w:rFonts w:ascii="宋体" w:hAnsi="宋体" w:cs="宋体"/>
          <w:sz w:val="24"/>
          <w:szCs w:val="24"/>
        </w:rPr>
        <w:t xml:space="preserve">应当将其作为无效投标（响应）处理。</w:t>
      </w:r>
      <w:r>
        <w:rPr>
          <w:rFonts w:ascii="宋体" w:hAnsi="宋体" w:cs="宋体"/>
          <w:sz w:val="24"/>
          <w:szCs w:val="24"/>
        </w:rPr>
      </w:r>
      <w:r/>
    </w:p>
    <w:p>
      <w:pPr>
        <w:pStyle w:val="869"/>
        <w:ind w:firstLine="480"/>
        <w:spacing w:line="360" w:lineRule="auto"/>
        <w:rPr>
          <w:rFonts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评标委员会</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评标委员会</w:t>
      </w:r>
      <w:r>
        <w:rPr>
          <w:rFonts w:ascii="宋体" w:hAnsi="宋体" w:cs="宋体"/>
          <w:sz w:val="24"/>
          <w:szCs w:val="24"/>
        </w:rPr>
        <w:t xml:space="preserve">借助互联网等渠道查询相关信息的，应当严格遵守评审工作纪律，不得实施影响评审公正的行为。</w:t>
      </w:r>
      <w:r>
        <w:rPr>
          <w:rFonts w:ascii="宋体" w:hAnsi="宋体" w:cs="宋体"/>
          <w:sz w:val="24"/>
          <w:szCs w:val="24"/>
        </w:rPr>
      </w:r>
      <w:r/>
    </w:p>
    <w:p>
      <w:pPr>
        <w:pStyle w:val="869"/>
        <w:ind w:firstLine="480"/>
        <w:spacing w:line="360" w:lineRule="auto"/>
        <w:rPr>
          <w:rFonts w:hint="eastAsia"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评标委员会</w:t>
      </w:r>
      <w:r>
        <w:rPr>
          <w:rFonts w:ascii="宋体" w:hAnsi="宋体" w:cs="宋体"/>
          <w:sz w:val="24"/>
          <w:szCs w:val="24"/>
        </w:rPr>
        <w:t xml:space="preserve">有关互联网浏览、查询历史一并归档。 </w:t>
      </w:r>
      <w:r>
        <w:rPr>
          <w:rFonts w:hint="eastAsia" w:ascii="宋体" w:hAnsi="宋体" w:cs="宋体"/>
          <w:sz w:val="24"/>
          <w:szCs w:val="24"/>
        </w:rPr>
      </w:r>
      <w:r/>
    </w:p>
    <w:p>
      <w:pPr>
        <w:pStyle w:val="869"/>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w:t>
      </w:r>
      <w:bookmarkEnd w:id="116"/>
      <w:r/>
      <w:bookmarkEnd w:id="117"/>
      <w:r/>
      <w:bookmarkEnd w:id="118"/>
      <w:r>
        <w:rPr>
          <w:rFonts w:hint="eastAsia" w:ascii="宋体" w:hAnsi="宋体" w:cs="宋体"/>
          <w:sz w:val="24"/>
          <w:szCs w:val="24"/>
        </w:rPr>
        <w:t xml:space="preserve">无效投标条款和废标条款</w:t>
      </w:r>
      <w:r>
        <w:rPr>
          <w:rFonts w:hint="eastAsia" w:ascii="宋体" w:hAnsi="宋体" w:cs="宋体"/>
          <w:sz w:val="24"/>
          <w:szCs w:val="24"/>
        </w:rPr>
      </w:r>
      <w:r/>
    </w:p>
    <w:p>
      <w:pPr>
        <w:pStyle w:val="869"/>
        <w:ind w:firstLine="480"/>
        <w:spacing w:line="360" w:lineRule="auto"/>
        <w:rPr>
          <w:rFonts w:hint="eastAsia" w:ascii="宋体" w:hAnsi="宋体" w:cs="宋体"/>
          <w:bCs/>
          <w:sz w:val="24"/>
          <w:szCs w:val="24"/>
        </w:rPr>
      </w:pPr>
      <w:r/>
      <w:bookmarkStart w:id="119" w:name="_Toc20823307"/>
      <w:r/>
      <w:bookmarkStart w:id="120" w:name="_Toc16938551"/>
      <w:r/>
      <w:bookmarkStart w:id="121" w:name="_Toc513029235"/>
      <w:r>
        <w:rPr>
          <w:rFonts w:hint="eastAsia" w:ascii="宋体" w:hAnsi="宋体" w:cs="宋体"/>
          <w:bCs/>
          <w:sz w:val="24"/>
          <w:szCs w:val="24"/>
        </w:rPr>
        <w:t xml:space="preserve">26.1无效投标条款</w:t>
      </w:r>
      <w:r>
        <w:rPr>
          <w:rFonts w:hint="eastAsia" w:ascii="宋体" w:hAnsi="宋体" w:cs="宋体"/>
          <w:bCs/>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rPr>
          <w:rFonts w:hint="eastAsia" w:ascii="宋体" w:hAnsi="宋体" w:cs="宋体"/>
          <w:bCs/>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rPr>
          <w:rFonts w:hint="eastAsia" w:ascii="宋体" w:hAnsi="宋体" w:cs="宋体"/>
          <w:bCs/>
          <w:color w:val="000000"/>
          <w:sz w:val="24"/>
          <w:szCs w:val="24"/>
        </w:rPr>
      </w:r>
      <w:r/>
    </w:p>
    <w:p>
      <w:pPr>
        <w:pStyle w:val="869"/>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rPr>
          <w:rFonts w:hint="eastAsia" w:ascii="宋体" w:hAnsi="宋体" w:cs="宋体"/>
          <w:bCs/>
          <w:i/>
          <w:color w:val="000000"/>
          <w:sz w:val="24"/>
          <w:szCs w:val="24"/>
          <w:u w:val="single"/>
        </w:rPr>
      </w:r>
      <w:r/>
    </w:p>
    <w:p>
      <w:pPr>
        <w:pStyle w:val="869"/>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Cs/>
          <w:i/>
          <w:color w:val="000000"/>
          <w:sz w:val="24"/>
          <w:szCs w:val="24"/>
          <w:u w:val="single"/>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rPr>
          <w:rFonts w:hint="eastAsia" w:ascii="宋体" w:hAnsi="宋体" w:cs="宋体"/>
          <w:bCs/>
          <w:color w:val="000000"/>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rPr>
          <w:rFonts w:hint="eastAsia" w:ascii="宋体" w:hAnsi="宋体" w:cs="宋体"/>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rPr>
          <w:rFonts w:hint="eastAsia" w:ascii="宋体" w:hAnsi="宋体" w:cs="宋体"/>
          <w:bCs/>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rPr>
          <w:rFonts w:hint="eastAsia" w:ascii="宋体" w:hAnsi="宋体" w:cs="宋体"/>
          <w:bCs/>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26.1.14 不同投标人MAC地址、标书制作工具客户端标识码一致的。</w:t>
      </w:r>
      <w:r>
        <w:rPr>
          <w:rFonts w:hint="eastAsia" w:ascii="宋体" w:hAnsi="宋体" w:cs="宋体"/>
          <w:bCs/>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26.1.15 其他法律、法规及本招标文件规定的属无效投标的情形。</w:t>
      </w:r>
      <w:r>
        <w:rPr>
          <w:rFonts w:hint="eastAsia" w:ascii="宋体" w:hAnsi="宋体" w:cs="宋体"/>
          <w:bCs/>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sz w:val="24"/>
          <w:szCs w:val="24"/>
        </w:rPr>
        <w:t xml:space="preserve">26.2废标条款 </w:t>
      </w:r>
      <w:r>
        <w:rPr>
          <w:rFonts w:hint="eastAsia" w:ascii="宋体" w:hAnsi="宋体" w:cs="宋体"/>
          <w:bCs/>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rPr>
          <w:rFonts w:hint="eastAsia" w:ascii="宋体" w:hAnsi="宋体" w:cs="宋体"/>
          <w:bCs/>
          <w:color w:val="000000"/>
          <w:sz w:val="24"/>
          <w:szCs w:val="24"/>
        </w:rPr>
      </w:r>
      <w:r/>
    </w:p>
    <w:p>
      <w:pPr>
        <w:pStyle w:val="869"/>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rPr>
          <w:rFonts w:hint="eastAsia" w:ascii="宋体" w:hAnsi="宋体" w:cs="宋体"/>
          <w:bCs/>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4"/>
        </w:rPr>
      </w:r>
      <w:r/>
    </w:p>
    <w:p>
      <w:pPr>
        <w:pStyle w:val="869"/>
        <w:keepLines/>
        <w:keepNext/>
        <w:spacing w:line="360" w:lineRule="auto"/>
        <w:rPr>
          <w:rFonts w:hint="eastAsia" w:ascii="宋体" w:hAnsi="宋体" w:cs="宋体"/>
          <w:b/>
          <w:bCs/>
          <w:color w:val="000000"/>
          <w:sz w:val="24"/>
          <w:szCs w:val="24"/>
        </w:rPr>
        <w:outlineLvl w:val="2"/>
      </w:pPr>
      <w:r/>
      <w:bookmarkStart w:id="122" w:name="_Toc120614219"/>
      <w:r>
        <w:rPr>
          <w:rFonts w:hint="eastAsia" w:ascii="宋体" w:hAnsi="宋体" w:cs="宋体"/>
          <w:b/>
          <w:bCs/>
          <w:color w:val="000000"/>
          <w:sz w:val="24"/>
          <w:szCs w:val="24"/>
        </w:rPr>
        <w:t xml:space="preserve">六、</w:t>
      </w:r>
      <w:bookmarkEnd w:id="119"/>
      <w:r/>
      <w:bookmarkEnd w:id="120"/>
      <w:r/>
      <w:bookmarkEnd w:id="121"/>
      <w:r>
        <w:rPr>
          <w:rFonts w:hint="eastAsia" w:ascii="宋体" w:hAnsi="宋体" w:cs="宋体"/>
          <w:b/>
          <w:bCs/>
          <w:color w:val="000000"/>
          <w:sz w:val="24"/>
          <w:szCs w:val="24"/>
        </w:rPr>
        <w:t xml:space="preserve">定标</w:t>
      </w:r>
      <w:bookmarkEnd w:id="122"/>
      <w:r>
        <w:rPr>
          <w:rFonts w:hint="eastAsia" w:ascii="宋体" w:hAnsi="宋体" w:cs="宋体"/>
          <w:b/>
          <w:bCs/>
          <w:color w:val="000000"/>
          <w:sz w:val="24"/>
          <w:szCs w:val="24"/>
        </w:rPr>
      </w:r>
      <w:r/>
    </w:p>
    <w:p>
      <w:pPr>
        <w:pStyle w:val="869"/>
        <w:ind w:firstLine="480"/>
        <w:keepLines/>
        <w:keepNext/>
        <w:spacing w:line="360" w:lineRule="auto"/>
        <w:rPr>
          <w:rFonts w:hint="eastAsia" w:ascii="宋体" w:hAnsi="宋体" w:cs="宋体"/>
          <w:bCs/>
          <w:color w:val="000000"/>
          <w:sz w:val="24"/>
          <w:szCs w:val="24"/>
        </w:rPr>
        <w:outlineLvl w:val="3"/>
      </w:pPr>
      <w:r/>
      <w:bookmarkStart w:id="123" w:name="_Toc20823310"/>
      <w:r/>
      <w:bookmarkStart w:id="124" w:name="_Toc513029238"/>
      <w:r/>
      <w:bookmarkStart w:id="125" w:name="_Toc16938554"/>
      <w:r>
        <w:rPr>
          <w:rFonts w:hint="eastAsia" w:ascii="宋体" w:hAnsi="宋体" w:cs="宋体"/>
          <w:bCs/>
          <w:color w:val="000000"/>
          <w:sz w:val="24"/>
          <w:szCs w:val="24"/>
        </w:rPr>
        <w:t xml:space="preserve">27、</w:t>
      </w:r>
      <w:bookmarkEnd w:id="124"/>
      <w:r>
        <w:rPr>
          <w:rFonts w:hint="eastAsia" w:ascii="宋体" w:hAnsi="宋体" w:cs="宋体"/>
          <w:bCs/>
          <w:color w:val="000000"/>
          <w:sz w:val="24"/>
          <w:szCs w:val="24"/>
        </w:rPr>
        <w:t xml:space="preserve">确定</w:t>
      </w:r>
      <w:bookmarkEnd w:id="123"/>
      <w:r/>
      <w:bookmarkEnd w:id="125"/>
      <w:r>
        <w:rPr>
          <w:rFonts w:hint="eastAsia" w:ascii="宋体" w:hAnsi="宋体" w:cs="宋体"/>
          <w:bCs/>
          <w:color w:val="000000"/>
          <w:sz w:val="24"/>
          <w:szCs w:val="24"/>
        </w:rPr>
        <w:t xml:space="preserve">中标单位</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rPr>
          <w:rFonts w:hint="eastAsia" w:ascii="宋体" w:hAnsi="宋体" w:cs="宋体"/>
          <w:bCs/>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27.4.1提供虚假材料谋取中标的。</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bookmarkStart w:id="126" w:name="_Toc200451960"/>
      <w:r>
        <w:rPr>
          <w:rFonts w:hint="eastAsia" w:ascii="宋体" w:hAnsi="宋体" w:cs="宋体"/>
          <w:color w:val="000000"/>
          <w:sz w:val="24"/>
          <w:szCs w:val="24"/>
        </w:rPr>
        <w:t xml:space="preserve">27.5 </w:t>
      </w:r>
      <w:r>
        <w:rPr>
          <w:rFonts w:hint="eastAsia" w:ascii="宋体" w:hAnsi="宋体" w:cs="宋体"/>
          <w:color w:val="000000"/>
          <w:sz w:val="24"/>
          <w:szCs w:val="24"/>
        </w:rPr>
        <w:t xml:space="preserve">有下列情形之一的，视为投标人串通投标，投标无效：</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rPr>
          <w:rFonts w:hint="eastAsia" w:ascii="宋体" w:hAnsi="宋体" w:cs="宋体"/>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28、质疑处理</w:t>
      </w:r>
      <w:bookmarkEnd w:id="126"/>
      <w:r>
        <w:rPr>
          <w:rFonts w:hint="eastAsia" w:ascii="宋体" w:hAnsi="宋体" w:cs="宋体"/>
          <w:bCs/>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hint="eastAsia" w:ascii="宋体" w:hAnsi="宋体" w:cs="宋体"/>
          <w:color w:val="000000"/>
          <w:sz w:val="24"/>
          <w:szCs w:val="24"/>
        </w:rPr>
      </w:r>
      <w:r/>
    </w:p>
    <w:p>
      <w:pPr>
        <w:pStyle w:val="86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28.2.1</w:t>
      </w:r>
      <w:r>
        <w:rPr>
          <w:rFonts w:hint="eastAsia" w:ascii="宋体" w:hAnsi="宋体" w:cs="宋体"/>
          <w:color w:val="000000"/>
          <w:sz w:val="24"/>
          <w:szCs w:val="24"/>
        </w:rPr>
        <w:t xml:space="preserve">对可以质疑的采购文件提出质疑的，为收到采购文件之日或者采购文件公告期限届满之日；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28.2.2</w:t>
      </w:r>
      <w:r>
        <w:rPr>
          <w:rFonts w:hint="eastAsia"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28.2.3</w:t>
      </w:r>
      <w:r>
        <w:rPr>
          <w:rFonts w:hint="eastAsia"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szCs w:val="24"/>
        </w:rPr>
      </w:r>
      <w:r/>
    </w:p>
    <w:p>
      <w:pPr>
        <w:pStyle w:val="869"/>
        <w:ind w:firstLine="480"/>
        <w:spacing w:line="360" w:lineRule="auto"/>
        <w:rPr>
          <w:rFonts w:hint="eastAsia"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rPr>
          <w:rFonts w:hint="eastAsia" w:ascii="宋体" w:hAnsi="宋体" w:cs="宋体"/>
          <w:b/>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 以下情形的质疑不予受理</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28.5.2 超出政府采购法定期限的质疑。</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29、中标通知书</w:t>
      </w:r>
      <w:r>
        <w:rPr>
          <w:rFonts w:hint="eastAsia" w:ascii="宋体" w:hAnsi="宋体" w:cs="宋体"/>
          <w:bCs/>
          <w:color w:val="000000"/>
          <w:sz w:val="24"/>
          <w:szCs w:val="24"/>
        </w:rPr>
      </w:r>
      <w:r/>
    </w:p>
    <w:p>
      <w:pPr>
        <w:pStyle w:val="869"/>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bookmarkStart w:id="127" w:name="_Toc120614220"/>
      <w:r/>
      <w:bookmarkStart w:id="128" w:name="_Toc20823308"/>
      <w:r/>
      <w:bookmarkStart w:id="129" w:name="_Toc513029236"/>
      <w:r/>
      <w:bookmarkStart w:id="130" w:name="_Toc16938552"/>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rPr>
          <w:rFonts w:hint="eastAsia" w:ascii="宋体" w:hAnsi="宋体" w:cs="宋体"/>
          <w:sz w:val="24"/>
          <w:szCs w:val="24"/>
        </w:rPr>
      </w:r>
      <w:r/>
    </w:p>
    <w:p>
      <w:pPr>
        <w:pStyle w:val="869"/>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27"/>
      <w:r>
        <w:rPr>
          <w:rFonts w:hint="eastAsia" w:ascii="宋体" w:hAnsi="宋体" w:cs="宋体"/>
          <w:b/>
          <w:bCs/>
          <w:color w:val="000000"/>
          <w:sz w:val="24"/>
          <w:szCs w:val="24"/>
        </w:rPr>
      </w:r>
      <w:r/>
    </w:p>
    <w:p>
      <w:pPr>
        <w:pStyle w:val="869"/>
        <w:ind w:firstLine="480"/>
        <w:keepLines/>
        <w:keepNext/>
        <w:spacing w:line="360" w:lineRule="auto"/>
        <w:rPr>
          <w:rFonts w:hint="eastAsia" w:ascii="宋体" w:hAnsi="宋体" w:cs="宋体"/>
          <w:bCs/>
          <w:color w:val="000000"/>
          <w:sz w:val="24"/>
          <w:szCs w:val="24"/>
        </w:rPr>
        <w:outlineLvl w:val="3"/>
      </w:pPr>
      <w:r/>
      <w:bookmarkEnd w:id="128"/>
      <w:r/>
      <w:bookmarkEnd w:id="129"/>
      <w:r/>
      <w:bookmarkEnd w:id="130"/>
      <w:r/>
      <w:bookmarkStart w:id="131" w:name="_Toc513029237"/>
      <w:r/>
      <w:bookmarkStart w:id="132" w:name="_Toc16938553"/>
      <w:r/>
      <w:bookmarkStart w:id="133" w:name="_Toc20823309"/>
      <w:r>
        <w:rPr>
          <w:rFonts w:hint="eastAsia" w:ascii="宋体" w:hAnsi="宋体" w:cs="宋体"/>
          <w:bCs/>
          <w:color w:val="000000"/>
          <w:sz w:val="24"/>
          <w:szCs w:val="24"/>
        </w:rPr>
        <w:t xml:space="preserve">30、签订合同</w:t>
      </w:r>
      <w:r>
        <w:rPr>
          <w:rFonts w:hint="eastAsia" w:ascii="宋体" w:hAnsi="宋体" w:cs="宋体"/>
          <w:bCs/>
          <w:color w:val="000000"/>
          <w:sz w:val="24"/>
          <w:szCs w:val="24"/>
        </w:rPr>
      </w:r>
      <w:r/>
    </w:p>
    <w:p>
      <w:pPr>
        <w:pStyle w:val="869"/>
        <w:ind w:firstLine="480"/>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rPr>
          <w:rFonts w:hint="eastAsia" w:ascii="宋体" w:hAnsi="宋体" w:cs="宋体"/>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color w:val="000000"/>
          <w:sz w:val="24"/>
          <w:szCs w:val="24"/>
        </w:rPr>
      </w:r>
      <w:r/>
    </w:p>
    <w:p>
      <w:pPr>
        <w:pStyle w:val="869"/>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rPr>
          <w:rFonts w:hint="eastAsia" w:ascii="宋体" w:hAnsi="宋体" w:cs="宋体"/>
          <w:bCs/>
          <w:color w:val="000000"/>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s="宋体"/>
          <w:color w:val="000000"/>
          <w:sz w:val="24"/>
          <w:szCs w:val="24"/>
        </w:rPr>
      </w:r>
      <w:r/>
    </w:p>
    <w:p>
      <w:pPr>
        <w:pStyle w:val="869"/>
        <w:ind w:firstLine="480"/>
        <w:keepLines/>
        <w:keepNext/>
        <w:spacing w:line="360" w:lineRule="auto"/>
        <w:rPr>
          <w:rFonts w:hint="eastAsia" w:ascii="宋体" w:hAnsi="宋体" w:cs="宋体"/>
          <w:bCs/>
          <w:color w:val="000000"/>
          <w:sz w:val="24"/>
          <w:szCs w:val="24"/>
        </w:rPr>
        <w:outlineLvl w:val="3"/>
      </w:pPr>
      <w:r/>
      <w:bookmarkEnd w:id="131"/>
      <w:r/>
      <w:bookmarkEnd w:id="132"/>
      <w:r/>
      <w:bookmarkEnd w:id="133"/>
      <w:r>
        <w:rPr>
          <w:rFonts w:hint="eastAsia" w:ascii="宋体" w:hAnsi="宋体" w:cs="宋体"/>
          <w:bCs/>
          <w:color w:val="000000"/>
          <w:sz w:val="24"/>
          <w:szCs w:val="24"/>
        </w:rPr>
        <w:t xml:space="preserve">32、政府采购履约资金扶持政策</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rPr>
          <w:rFonts w:hint="eastAsia" w:ascii="宋体" w:hAnsi="宋体" w:cs="宋体"/>
          <w:bCs/>
          <w:color w:val="000000"/>
          <w:sz w:val="24"/>
          <w:szCs w:val="24"/>
        </w:rPr>
      </w:r>
      <w:r/>
    </w:p>
    <w:p>
      <w:pPr>
        <w:pStyle w:val="86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69"/>
        <w:ind w:firstLine="420"/>
        <w:spacing w:line="400" w:lineRule="exact"/>
        <w:rPr>
          <w:rFonts w:hint="eastAsia"/>
          <w:color w:val="000000"/>
          <w:szCs w:val="21"/>
        </w:rPr>
      </w:pPr>
      <w:r>
        <w:rPr>
          <w:rFonts w:hint="eastAsia"/>
          <w:color w:val="000000"/>
          <w:szCs w:val="21"/>
        </w:rPr>
      </w:r>
      <w:r/>
    </w:p>
    <w:p>
      <w:pPr>
        <w:pStyle w:val="86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shd w:val="nil"/>
        <w:rPr>
          <w:rFonts w:hint="eastAsia" w:ascii="黑体" w:eastAsia="黑体"/>
          <w:color w:val="000000"/>
          <w:sz w:val="44"/>
          <w:szCs w:val="44"/>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r>
    </w:p>
    <w:p>
      <w:pPr>
        <w:pStyle w:val="869"/>
        <w:jc w:val="center"/>
        <w:keepNext/>
        <w:rPr>
          <w:rFonts w:hint="eastAsia" w:ascii="黑体" w:eastAsia="黑体"/>
          <w:color w:val="000000"/>
          <w:sz w:val="44"/>
          <w:szCs w:val="44"/>
          <w:highlight w:val="none"/>
        </w:rPr>
        <w:outlineLvl w:val="0"/>
      </w:pPr>
      <w:r>
        <w:rPr>
          <w:rFonts w:hint="eastAsia" w:ascii="黑体" w:eastAsia="黑体"/>
          <w:bCs/>
          <w:color w:val="000000"/>
          <w:sz w:val="44"/>
          <w:szCs w:val="28"/>
        </w:rPr>
        <w:t xml:space="preserve">第三章  合同</w:t>
      </w:r>
      <w:bookmarkEnd w:id="7"/>
      <w:r/>
      <w:bookmarkEnd w:id="8"/>
      <w:r/>
      <w:bookmarkEnd w:id="9"/>
      <w:r/>
      <w:bookmarkEnd w:id="10"/>
      <w:r/>
      <w:bookmarkEnd w:id="11"/>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69"/>
        <w:spacing w:line="400" w:lineRule="exact"/>
        <w:rPr>
          <w:rFonts w:ascii="宋体" w:hAnsi="宋体"/>
          <w:bCs/>
          <w:color w:val="ff0000"/>
          <w:sz w:val="24"/>
          <w:szCs w:val="24"/>
          <w:highlight w:val="yellow"/>
        </w:rPr>
      </w:pPr>
      <w:r/>
      <w:bookmarkStart w:id="134" w:name="_Toc513029243"/>
      <w:r/>
      <w:bookmarkStart w:id="135" w:name="_Toc3995"/>
      <w:r/>
      <w:bookmarkStart w:id="136" w:name="_Toc20823315"/>
      <w:r/>
      <w:bookmarkStart w:id="137" w:name="_Toc16938559"/>
      <w:r/>
      <w:bookmarkStart w:id="138" w:name="_Hlt16619350"/>
      <w:r/>
      <w:bookmarkStart w:id="139" w:name="_Toc20823346"/>
      <w:r/>
      <w:bookmarkStart w:id="140" w:name="_Toc16938590"/>
      <w:r/>
      <w:bookmarkStart w:id="141" w:name="_Toc120614244"/>
      <w:r/>
      <w:bookmarkStart w:id="142" w:name="_Toc479757211"/>
      <w:r/>
      <w:bookmarkStart w:id="143" w:name="_Toc462564139"/>
      <w:r>
        <w:rPr>
          <w:rFonts w:ascii="宋体" w:hAnsi="宋体"/>
          <w:bCs/>
          <w:color w:val="ff0000"/>
          <w:sz w:val="24"/>
          <w:szCs w:val="24"/>
          <w:highlight w:val="yellow"/>
        </w:rPr>
      </w:r>
      <w:r/>
    </w:p>
    <w:p>
      <w:pPr>
        <w:pStyle w:val="869"/>
        <w:spacing w:line="500" w:lineRule="exact"/>
        <w:rPr>
          <w:rFonts w:hint="eastAsia" w:ascii="宋体" w:hAnsi="宋体"/>
          <w:bCs/>
          <w:color w:val="000000"/>
          <w:sz w:val="24"/>
          <w:szCs w:val="24"/>
        </w:rPr>
      </w:pPr>
      <w:r>
        <w:rPr>
          <w:rFonts w:hint="eastAsia" w:ascii="宋体" w:hAnsi="宋体"/>
          <w:bCs/>
          <w:color w:val="000000"/>
          <w:sz w:val="24"/>
          <w:szCs w:val="24"/>
        </w:rPr>
        <w:t xml:space="preserve">拟签订的合同文本：</w:t>
      </w:r>
      <w:r>
        <w:rPr>
          <w:rFonts w:hint="eastAsia" w:ascii="宋体" w:hAnsi="宋体"/>
          <w:bCs/>
          <w:color w:val="000000"/>
          <w:sz w:val="24"/>
          <w:szCs w:val="24"/>
        </w:rPr>
      </w:r>
      <w:r/>
    </w:p>
    <w:p>
      <w:pPr>
        <w:pStyle w:val="869"/>
        <w:spacing w:line="420" w:lineRule="exact"/>
        <w:rPr>
          <w:color w:val="000000"/>
          <w:szCs w:val="21"/>
        </w:rPr>
      </w:pPr>
      <w:r/>
      <w:bookmarkEnd w:id="134"/>
      <w:r/>
      <w:bookmarkEnd w:id="135"/>
      <w:r/>
      <w:bookmarkEnd w:id="136"/>
      <w:r/>
      <w:bookmarkEnd w:id="137"/>
      <w:r>
        <w:rPr>
          <w:rFonts w:hint="eastAsia"/>
          <w:color w:val="000000"/>
          <w:szCs w:val="21"/>
        </w:rPr>
        <w:t xml:space="preserve">甲方：</w:t>
      </w:r>
      <w:r>
        <w:rPr>
          <w:rFonts w:hint="eastAsia" w:ascii="宋体" w:hAnsi="宋体" w:cs="宋体"/>
          <w:color w:val="000000"/>
        </w:rPr>
        <w:t xml:space="preserve">南通市海门区中医院</w:t>
      </w:r>
      <w:r>
        <w:rPr>
          <w:color w:val="000000"/>
          <w:szCs w:val="21"/>
        </w:rPr>
      </w:r>
      <w:r/>
    </w:p>
    <w:p>
      <w:pPr>
        <w:pStyle w:val="869"/>
        <w:spacing w:line="420" w:lineRule="exact"/>
        <w:rPr>
          <w:color w:val="000000"/>
          <w:szCs w:val="21"/>
        </w:rPr>
      </w:pPr>
      <w:r>
        <w:rPr>
          <w:rFonts w:hint="eastAsia"/>
          <w:color w:val="000000"/>
          <w:szCs w:val="21"/>
        </w:rPr>
        <w:t xml:space="preserve">乙方：  </w:t>
      </w:r>
      <w:r>
        <w:rPr>
          <w:color w:val="000000"/>
          <w:szCs w:val="21"/>
        </w:rPr>
      </w:r>
      <w:r/>
    </w:p>
    <w:p>
      <w:pPr>
        <w:pStyle w:val="869"/>
        <w:ind w:firstLine="420"/>
        <w:spacing w:line="420" w:lineRule="exact"/>
        <w:rPr>
          <w:color w:val="000000"/>
          <w:szCs w:val="21"/>
        </w:rPr>
      </w:pPr>
      <w:r>
        <w:rPr>
          <w:color w:val="000000"/>
          <w:szCs w:val="21"/>
        </w:rPr>
        <w:t xml:space="preserve">根据《</w:t>
      </w:r>
      <w:r>
        <w:rPr>
          <w:rFonts w:hint="eastAsia"/>
          <w:color w:val="000000"/>
          <w:szCs w:val="21"/>
        </w:rPr>
        <w:t xml:space="preserve">中华人民共和国民法典</w:t>
      </w:r>
      <w:r>
        <w:rPr>
          <w:color w:val="000000"/>
          <w:szCs w:val="21"/>
        </w:rPr>
        <w:t xml:space="preserve">》有关规定，为明确采购单位（甲方）和供应单位（</w:t>
      </w:r>
      <w:r>
        <w:rPr>
          <w:rFonts w:hint="eastAsia"/>
          <w:color w:val="000000"/>
          <w:szCs w:val="21"/>
        </w:rPr>
        <w:t xml:space="preserve">乙</w:t>
      </w:r>
      <w:r>
        <w:rPr>
          <w:color w:val="000000"/>
          <w:szCs w:val="21"/>
        </w:rPr>
        <w:t xml:space="preserve">方）购销过程中的权利、义务和经济责任，经双方友好协商，签订以下条款，共同遵守。</w:t>
      </w:r>
      <w:r>
        <w:rPr>
          <w:color w:val="000000"/>
          <w:szCs w:val="21"/>
        </w:rPr>
      </w:r>
      <w:r/>
    </w:p>
    <w:p>
      <w:pPr>
        <w:pStyle w:val="869"/>
        <w:numPr>
          <w:ilvl w:val="0"/>
          <w:numId w:val="4"/>
        </w:numPr>
        <w:spacing w:line="420" w:lineRule="exact"/>
        <w:rPr>
          <w:b/>
          <w:bCs/>
          <w:color w:val="000000"/>
          <w:szCs w:val="21"/>
        </w:rPr>
      </w:pPr>
      <w:r>
        <w:rPr>
          <w:rFonts w:hint="eastAsia"/>
          <w:b/>
          <w:bCs/>
          <w:color w:val="000000"/>
          <w:szCs w:val="21"/>
        </w:rPr>
        <w:t xml:space="preserve">购销内容（详细参数见附件）：                               单位：元</w:t>
      </w:r>
      <w:r>
        <w:rPr>
          <w:b/>
          <w:bCs/>
          <w:color w:val="000000"/>
          <w:szCs w:val="21"/>
        </w:rPr>
      </w:r>
      <w:r/>
    </w:p>
    <w:tbl>
      <w:tblPr>
        <w:tblW w:w="920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20"/>
        <w:gridCol w:w="1128"/>
        <w:gridCol w:w="1689"/>
        <w:gridCol w:w="844"/>
        <w:gridCol w:w="900"/>
        <w:gridCol w:w="1170"/>
        <w:gridCol w:w="1249"/>
      </w:tblGrid>
      <w:tr>
        <w:trPr>
          <w:cantSplit/>
        </w:trPr>
        <w:tc>
          <w:tcPr>
            <w:tcBorders>
              <w:top w:val="single" w:color="000000" w:sz="6" w:space="0"/>
              <w:left w:val="single" w:color="000000" w:sz="6" w:space="0"/>
              <w:bottom w:val="single" w:color="000000" w:sz="6" w:space="0"/>
              <w:right w:val="single" w:color="000000" w:sz="6" w:space="0"/>
            </w:tcBorders>
            <w:tcW w:w="2220" w:type="dxa"/>
            <w:vAlign w:val="top"/>
            <w:textDirection w:val="lrTb"/>
            <w:noWrap w:val="false"/>
          </w:tcPr>
          <w:p>
            <w:pPr>
              <w:pStyle w:val="869"/>
              <w:jc w:val="center"/>
              <w:spacing w:after="60"/>
              <w:rPr>
                <w:rFonts w:ascii="宋体" w:hAnsi="宋体"/>
                <w:b/>
                <w:bCs/>
                <w:color w:val="000000"/>
              </w:rPr>
            </w:pPr>
            <w:r>
              <w:rPr>
                <w:rFonts w:hint="eastAsia" w:ascii="宋体" w:hAnsi="宋体"/>
                <w:b/>
                <w:bCs/>
                <w:color w:val="000000"/>
              </w:rPr>
              <w:t xml:space="preserve">名称</w:t>
            </w: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1128" w:type="dxa"/>
            <w:vAlign w:val="top"/>
            <w:textDirection w:val="lrTb"/>
            <w:noWrap w:val="false"/>
          </w:tcPr>
          <w:p>
            <w:pPr>
              <w:pStyle w:val="869"/>
              <w:jc w:val="center"/>
              <w:spacing w:after="60"/>
              <w:rPr>
                <w:rFonts w:ascii="宋体" w:hAnsi="宋体"/>
                <w:b/>
                <w:bCs/>
                <w:color w:val="000000"/>
              </w:rPr>
            </w:pPr>
            <w:r>
              <w:rPr>
                <w:rFonts w:hint="eastAsia" w:ascii="宋体" w:hAnsi="宋体"/>
                <w:b/>
                <w:bCs/>
                <w:color w:val="000000"/>
              </w:rPr>
              <w:t xml:space="preserve">标准</w:t>
            </w: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1689" w:type="dxa"/>
            <w:vAlign w:val="top"/>
            <w:textDirection w:val="lrTb"/>
            <w:noWrap w:val="false"/>
          </w:tcPr>
          <w:p>
            <w:pPr>
              <w:pStyle w:val="869"/>
              <w:jc w:val="center"/>
              <w:spacing w:after="60"/>
              <w:rPr>
                <w:rFonts w:ascii="宋体" w:hAnsi="宋体"/>
                <w:b/>
                <w:bCs/>
                <w:color w:val="000000"/>
              </w:rPr>
            </w:pPr>
            <w:r>
              <w:rPr>
                <w:rFonts w:hint="eastAsia" w:ascii="宋体" w:hAnsi="宋体"/>
                <w:b/>
                <w:bCs/>
                <w:color w:val="000000"/>
              </w:rPr>
              <w:t xml:space="preserve">生产厂家/产地</w:t>
            </w: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869"/>
              <w:jc w:val="center"/>
              <w:spacing w:after="60"/>
              <w:rPr>
                <w:rFonts w:ascii="宋体" w:hAnsi="宋体"/>
                <w:b/>
                <w:bCs/>
                <w:color w:val="000000"/>
              </w:rPr>
            </w:pPr>
            <w:r>
              <w:rPr>
                <w:rFonts w:hint="eastAsia" w:ascii="宋体" w:hAnsi="宋体"/>
                <w:b/>
                <w:bCs/>
                <w:color w:val="000000"/>
              </w:rPr>
              <w:t xml:space="preserve">数量</w:t>
            </w: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869"/>
              <w:jc w:val="center"/>
              <w:spacing w:after="60"/>
              <w:rPr>
                <w:rFonts w:ascii="宋体" w:hAnsi="宋体"/>
                <w:b/>
                <w:bCs/>
                <w:color w:val="000000"/>
              </w:rPr>
            </w:pPr>
            <w:r>
              <w:rPr>
                <w:rFonts w:hint="eastAsia" w:ascii="宋体" w:hAnsi="宋体"/>
                <w:b/>
                <w:bCs/>
                <w:color w:val="000000"/>
              </w:rPr>
              <w:t xml:space="preserve">单位</w:t>
            </w: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1170" w:type="dxa"/>
            <w:vAlign w:val="top"/>
            <w:textDirection w:val="lrTb"/>
            <w:noWrap w:val="false"/>
          </w:tcPr>
          <w:p>
            <w:pPr>
              <w:pStyle w:val="869"/>
              <w:jc w:val="center"/>
              <w:spacing w:after="60"/>
              <w:rPr>
                <w:rFonts w:ascii="宋体" w:hAnsi="宋体"/>
                <w:b/>
                <w:bCs/>
                <w:color w:val="000000"/>
              </w:rPr>
            </w:pPr>
            <w:r>
              <w:rPr>
                <w:rFonts w:hint="eastAsia" w:ascii="宋体" w:hAnsi="宋体"/>
                <w:b/>
                <w:bCs/>
                <w:color w:val="000000"/>
              </w:rPr>
              <w:t xml:space="preserve">单价</w:t>
            </w: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1249" w:type="dxa"/>
            <w:vAlign w:val="top"/>
            <w:textDirection w:val="lrTb"/>
            <w:noWrap w:val="false"/>
          </w:tcPr>
          <w:p>
            <w:pPr>
              <w:pStyle w:val="869"/>
              <w:jc w:val="center"/>
              <w:spacing w:after="60"/>
              <w:rPr>
                <w:rFonts w:ascii="宋体" w:hAnsi="宋体"/>
                <w:b/>
                <w:bCs/>
                <w:color w:val="000000"/>
              </w:rPr>
            </w:pPr>
            <w:r>
              <w:rPr>
                <w:rFonts w:hint="eastAsia" w:ascii="宋体" w:hAnsi="宋体"/>
                <w:b/>
                <w:bCs/>
                <w:color w:val="000000"/>
              </w:rPr>
              <w:t xml:space="preserve">总价</w:t>
            </w:r>
            <w:r>
              <w:rPr>
                <w:rFonts w:ascii="宋体" w:hAnsi="宋体"/>
                <w:b/>
                <w:bCs/>
                <w:color w:val="000000"/>
              </w:rPr>
            </w:r>
            <w:r/>
          </w:p>
        </w:tc>
      </w:tr>
      <w:tr>
        <w:trPr>
          <w:cantSplit/>
        </w:trPr>
        <w:tc>
          <w:tcPr>
            <w:tcBorders>
              <w:top w:val="single" w:color="000000" w:sz="6" w:space="0"/>
              <w:left w:val="single" w:color="000000" w:sz="6" w:space="0"/>
              <w:bottom w:val="single" w:color="000000" w:sz="6" w:space="0"/>
              <w:right w:val="single" w:color="000000" w:sz="6" w:space="0"/>
            </w:tcBorders>
            <w:tcW w:w="2220" w:type="dxa"/>
            <w:vAlign w:val="center"/>
            <w:textDirection w:val="lrTb"/>
            <w:noWrap w:val="false"/>
          </w:tcPr>
          <w:p>
            <w:pPr>
              <w:pStyle w:val="869"/>
              <w:jc w:val="center"/>
              <w:spacing w:after="60"/>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1128" w:type="dxa"/>
            <w:vAlign w:val="center"/>
            <w:textDirection w:val="lrTb"/>
            <w:noWrap w:val="false"/>
          </w:tcPr>
          <w:p>
            <w:pPr>
              <w:pStyle w:val="869"/>
              <w:jc w:val="center"/>
              <w:spacing w:after="60"/>
              <w:rPr>
                <w:rFonts w:ascii="宋体" w:hAnsi="宋体"/>
                <w:b/>
                <w:bCs/>
                <w:color w:val="000000"/>
              </w:rPr>
            </w:pP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1689" w:type="dxa"/>
            <w:vAlign w:val="center"/>
            <w:textDirection w:val="lrTb"/>
            <w:noWrap w:val="false"/>
          </w:tcPr>
          <w:p>
            <w:pPr>
              <w:pStyle w:val="869"/>
              <w:jc w:val="center"/>
              <w:spacing w:after="60"/>
              <w:rPr>
                <w:rFonts w:ascii="宋体" w:hAnsi="宋体"/>
                <w:b/>
                <w:bCs/>
                <w:color w:val="000000"/>
              </w:rPr>
            </w:pP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869"/>
              <w:jc w:val="center"/>
              <w:spacing w:after="60"/>
              <w:rPr>
                <w:rFonts w:ascii="宋体" w:hAnsi="宋体"/>
                <w:b/>
                <w:bCs/>
                <w:color w:val="000000"/>
              </w:rPr>
            </w:pP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69"/>
              <w:jc w:val="center"/>
              <w:spacing w:after="60"/>
              <w:rPr>
                <w:rFonts w:ascii="宋体" w:hAnsi="宋体"/>
                <w:b/>
                <w:bCs/>
                <w:color w:val="000000"/>
              </w:rPr>
            </w:pP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869"/>
              <w:jc w:val="center"/>
              <w:spacing w:after="60"/>
              <w:rPr>
                <w:rFonts w:ascii="宋体" w:hAnsi="宋体"/>
                <w:b/>
                <w:bCs/>
                <w:color w:val="000000"/>
              </w:rPr>
            </w:pPr>
            <w:r>
              <w:rPr>
                <w:rFonts w:ascii="宋体" w:hAnsi="宋体"/>
                <w:b/>
                <w:bCs/>
                <w:color w:val="000000"/>
              </w:rPr>
            </w:r>
            <w:r/>
          </w:p>
        </w:tc>
        <w:tc>
          <w:tcPr>
            <w:tcBorders>
              <w:top w:val="single" w:color="000000" w:sz="6" w:space="0"/>
              <w:left w:val="single" w:color="000000" w:sz="6" w:space="0"/>
              <w:bottom w:val="single" w:color="000000" w:sz="6" w:space="0"/>
              <w:right w:val="single" w:color="000000" w:sz="6" w:space="0"/>
            </w:tcBorders>
            <w:tcW w:w="1249" w:type="dxa"/>
            <w:vAlign w:val="center"/>
            <w:textDirection w:val="lrTb"/>
            <w:noWrap w:val="false"/>
          </w:tcPr>
          <w:p>
            <w:pPr>
              <w:pStyle w:val="869"/>
              <w:jc w:val="center"/>
              <w:spacing w:after="60"/>
              <w:rPr>
                <w:rFonts w:ascii="宋体" w:hAnsi="宋体"/>
                <w:b/>
                <w:bCs/>
                <w:color w:val="000000"/>
              </w:rPr>
            </w:pPr>
            <w:r>
              <w:rPr>
                <w:rFonts w:ascii="宋体" w:hAnsi="宋体"/>
                <w:b/>
                <w:bCs/>
                <w:color w:val="000000"/>
              </w:rPr>
            </w:r>
            <w:r/>
          </w:p>
        </w:tc>
      </w:tr>
      <w:tr>
        <w:trPr>
          <w:cantSplit/>
          <w:trHeight w:val="429"/>
        </w:trPr>
        <w:tc>
          <w:tcPr>
            <w:gridSpan w:val="7"/>
            <w:tcBorders>
              <w:top w:val="single" w:color="000000" w:sz="6" w:space="0"/>
              <w:left w:val="single" w:color="000000" w:sz="6" w:space="0"/>
              <w:bottom w:val="single" w:color="000000" w:sz="6" w:space="0"/>
              <w:right w:val="single" w:color="000000" w:sz="6" w:space="0"/>
            </w:tcBorders>
            <w:tcW w:w="9200" w:type="dxa"/>
            <w:vAlign w:val="top"/>
            <w:textDirection w:val="lrTb"/>
            <w:noWrap w:val="false"/>
          </w:tcPr>
          <w:p>
            <w:pPr>
              <w:pStyle w:val="869"/>
              <w:spacing w:after="60"/>
              <w:rPr>
                <w:rFonts w:ascii="宋体" w:hAnsi="宋体"/>
                <w:b/>
                <w:bCs/>
                <w:color w:val="000000"/>
              </w:rPr>
            </w:pPr>
            <w:r>
              <w:rPr>
                <w:rFonts w:hint="eastAsia" w:ascii="宋体" w:hAnsi="宋体"/>
                <w:b/>
                <w:bCs/>
                <w:color w:val="000000"/>
              </w:rPr>
              <w:t xml:space="preserve">总金额</w:t>
            </w:r>
            <w:r>
              <w:rPr>
                <w:rFonts w:ascii="宋体" w:hAnsi="宋体"/>
                <w:b/>
                <w:bCs/>
                <w:color w:val="000000"/>
              </w:rPr>
              <w:t xml:space="preserve">(</w:t>
            </w:r>
            <w:r>
              <w:rPr>
                <w:rFonts w:hint="eastAsia" w:ascii="宋体" w:hAnsi="宋体"/>
                <w:b/>
                <w:bCs/>
                <w:color w:val="000000"/>
              </w:rPr>
              <w:t xml:space="preserve">人民币</w:t>
            </w:r>
            <w:r>
              <w:rPr>
                <w:rFonts w:ascii="宋体" w:hAnsi="宋体"/>
                <w:b/>
                <w:bCs/>
                <w:color w:val="000000"/>
              </w:rPr>
              <w:t xml:space="preserve">): </w:t>
            </w:r>
            <w:r>
              <w:rPr>
                <w:rFonts w:hint="eastAsia" w:ascii="宋体" w:hAnsi="宋体"/>
                <w:b/>
                <w:bCs/>
                <w:color w:val="000000"/>
              </w:rPr>
              <w:t xml:space="preserve"> </w:t>
            </w:r>
            <w:r>
              <w:rPr>
                <w:rFonts w:ascii="宋体" w:hAnsi="宋体"/>
                <w:b/>
                <w:bCs/>
                <w:color w:val="000000"/>
              </w:rPr>
            </w:r>
            <w:r/>
          </w:p>
        </w:tc>
      </w:tr>
    </w:tbl>
    <w:p>
      <w:pPr>
        <w:pStyle w:val="869"/>
        <w:ind w:left="360"/>
        <w:spacing w:line="420" w:lineRule="exact"/>
        <w:rPr>
          <w:b/>
          <w:bCs/>
          <w:color w:val="000000"/>
          <w:szCs w:val="21"/>
        </w:rPr>
      </w:pPr>
      <w:r>
        <w:rPr>
          <w:rFonts w:hint="eastAsia"/>
          <w:b/>
          <w:bCs/>
          <w:color w:val="000000"/>
          <w:szCs w:val="21"/>
        </w:rPr>
        <w:t xml:space="preserve">上述费用包含：安装调试费、施工费、培训费、售后服务费、税费、接口费等。软件维保1年。</w:t>
      </w:r>
      <w:r>
        <w:rPr>
          <w:b/>
          <w:bCs/>
          <w:color w:val="000000"/>
          <w:szCs w:val="21"/>
        </w:rPr>
      </w:r>
      <w:r/>
    </w:p>
    <w:p>
      <w:pPr>
        <w:pStyle w:val="869"/>
        <w:spacing w:line="420" w:lineRule="exact"/>
        <w:rPr>
          <w:b/>
          <w:bCs/>
          <w:szCs w:val="21"/>
        </w:rPr>
      </w:pPr>
      <w:r>
        <w:rPr>
          <w:rFonts w:hint="eastAsia"/>
          <w:b/>
          <w:bCs/>
          <w:szCs w:val="21"/>
        </w:rPr>
        <w:t xml:space="preserve">2、价格与支付</w:t>
      </w:r>
      <w:r>
        <w:rPr>
          <w:b/>
          <w:bCs/>
          <w:szCs w:val="21"/>
        </w:rPr>
        <w:t xml:space="preserve">：</w:t>
      </w:r>
      <w:r>
        <w:rPr>
          <w:b/>
          <w:bCs/>
          <w:szCs w:val="21"/>
        </w:rPr>
      </w:r>
      <w:r/>
    </w:p>
    <w:p>
      <w:pPr>
        <w:pStyle w:val="869"/>
        <w:ind w:left="735" w:hanging="420"/>
        <w:spacing w:line="420" w:lineRule="exact"/>
        <w:rPr>
          <w:b/>
          <w:bCs/>
          <w:szCs w:val="21"/>
          <w:u w:val="single"/>
        </w:rPr>
      </w:pPr>
      <w:r>
        <w:rPr>
          <w:szCs w:val="21"/>
        </w:rPr>
        <w:t xml:space="preserve">2.1</w:t>
      </w:r>
      <w:r>
        <w:rPr>
          <w:rFonts w:hint="eastAsia"/>
          <w:szCs w:val="21"/>
        </w:rPr>
        <w:t xml:space="preserve">合同含税总金额为人民币（大写）：</w:t>
      </w:r>
      <w:r>
        <w:rPr>
          <w:rFonts w:hint="eastAsia" w:ascii="宋体" w:hAnsi="宋体" w:cs="宋体"/>
          <w:b/>
          <w:bCs/>
          <w:sz w:val="22"/>
          <w:u w:val="single"/>
          <w:lang w:bidi="ar"/>
        </w:rPr>
        <w:t xml:space="preserve">      </w:t>
      </w:r>
      <w:r>
        <w:rPr>
          <w:rFonts w:hint="eastAsia"/>
          <w:szCs w:val="21"/>
        </w:rPr>
        <w:t xml:space="preserve">，包括所有运输、运杂、保险、税金、安装、调试、售后服务费用。</w:t>
      </w:r>
      <w:r>
        <w:rPr>
          <w:b/>
          <w:bCs/>
          <w:szCs w:val="21"/>
          <w:u w:val="single"/>
        </w:rPr>
      </w:r>
      <w:r/>
    </w:p>
    <w:p>
      <w:pPr>
        <w:pStyle w:val="869"/>
        <w:ind w:left="735" w:hanging="315"/>
        <w:spacing w:line="400" w:lineRule="exact"/>
        <w:rPr>
          <w:szCs w:val="21"/>
        </w:rPr>
      </w:pPr>
      <w:r>
        <w:rPr>
          <w:szCs w:val="21"/>
        </w:rPr>
        <w:t xml:space="preserve">2.2</w:t>
      </w:r>
      <w:r>
        <w:rPr>
          <w:rFonts w:hint="eastAsia"/>
          <w:b/>
          <w:bCs/>
          <w:szCs w:val="21"/>
        </w:rPr>
        <w:t xml:space="preserve">付款方式：</w:t>
      </w:r>
      <w:r>
        <w:rPr>
          <w:rFonts w:hint="eastAsia" w:ascii="Times New Roman" w:hAnsi="Times New Roman" w:eastAsia="宋体" w:cs="Times New Roman"/>
          <w:szCs w:val="21"/>
          <w:lang w:val="zh-CN"/>
        </w:rPr>
        <w:t xml:space="preserve">项目完成</w:t>
      </w:r>
      <w:r>
        <w:rPr>
          <w:rFonts w:hint="eastAsia" w:ascii="Times New Roman" w:hAnsi="Times New Roman" w:eastAsia="宋体" w:cs="Times New Roman"/>
          <w:szCs w:val="21"/>
        </w:rPr>
        <w:t xml:space="preserve">并经采购人验收合格后90天内支付合同价款90%，余款验收合格满一年后付清。</w:t>
      </w:r>
      <w:r>
        <w:rPr>
          <w:szCs w:val="21"/>
        </w:rPr>
      </w:r>
      <w:r/>
    </w:p>
    <w:p>
      <w:pPr>
        <w:pStyle w:val="869"/>
        <w:ind w:firstLine="525"/>
        <w:spacing w:line="420" w:lineRule="exact"/>
        <w:rPr>
          <w:szCs w:val="21"/>
        </w:rPr>
      </w:pPr>
      <w:r>
        <w:rPr>
          <w:rFonts w:hint="eastAsia"/>
          <w:szCs w:val="21"/>
        </w:rPr>
        <w:t xml:space="preserve">乙方属于：□一般纳税人   □小规模纳税人  □其他。</w:t>
      </w:r>
      <w:r>
        <w:rPr>
          <w:szCs w:val="21"/>
        </w:rPr>
      </w:r>
      <w:r/>
    </w:p>
    <w:p>
      <w:pPr>
        <w:pStyle w:val="869"/>
        <w:ind w:firstLine="315"/>
        <w:spacing w:line="420" w:lineRule="exact"/>
        <w:rPr>
          <w:szCs w:val="21"/>
        </w:rPr>
      </w:pPr>
      <w:r>
        <w:rPr>
          <w:szCs w:val="21"/>
        </w:rPr>
        <w:t xml:space="preserve">2.3</w:t>
      </w:r>
      <w:r>
        <w:rPr>
          <w:rFonts w:hint="eastAsia"/>
          <w:szCs w:val="21"/>
        </w:rPr>
        <w:t xml:space="preserve">付款方式：银行转账</w:t>
      </w:r>
      <w:r>
        <w:rPr>
          <w:szCs w:val="21"/>
        </w:rPr>
      </w:r>
      <w:r/>
    </w:p>
    <w:p>
      <w:pPr>
        <w:pStyle w:val="869"/>
        <w:ind w:firstLine="1575"/>
        <w:spacing w:line="420" w:lineRule="exact"/>
        <w:rPr>
          <w:szCs w:val="21"/>
        </w:rPr>
      </w:pPr>
      <w:r>
        <w:rPr>
          <w:rFonts w:hint="eastAsia"/>
          <w:szCs w:val="21"/>
        </w:rPr>
        <w:t xml:space="preserve">名　称： </w:t>
      </w:r>
      <w:r>
        <w:rPr>
          <w:szCs w:val="21"/>
        </w:rPr>
      </w:r>
      <w:r/>
    </w:p>
    <w:p>
      <w:pPr>
        <w:pStyle w:val="869"/>
        <w:ind w:firstLine="1575"/>
        <w:spacing w:line="420" w:lineRule="exact"/>
        <w:rPr>
          <w:szCs w:val="21"/>
        </w:rPr>
      </w:pPr>
      <w:r>
        <w:rPr>
          <w:rFonts w:hint="eastAsia"/>
          <w:szCs w:val="21"/>
        </w:rPr>
        <w:t xml:space="preserve">开户行： </w:t>
      </w:r>
      <w:r>
        <w:rPr>
          <w:szCs w:val="21"/>
        </w:rPr>
      </w:r>
      <w:r/>
    </w:p>
    <w:p>
      <w:pPr>
        <w:pStyle w:val="869"/>
        <w:ind w:firstLine="1575"/>
        <w:spacing w:line="420" w:lineRule="exact"/>
        <w:rPr>
          <w:szCs w:val="21"/>
        </w:rPr>
      </w:pPr>
      <w:r>
        <w:rPr>
          <w:rFonts w:hint="eastAsia"/>
          <w:szCs w:val="21"/>
        </w:rPr>
        <w:t xml:space="preserve">账　号： </w:t>
      </w:r>
      <w:r>
        <w:rPr>
          <w:szCs w:val="21"/>
        </w:rPr>
      </w:r>
      <w:r/>
    </w:p>
    <w:p>
      <w:pPr>
        <w:pStyle w:val="869"/>
        <w:spacing w:line="420" w:lineRule="exact"/>
        <w:rPr>
          <w:b/>
          <w:bCs/>
          <w:szCs w:val="21"/>
        </w:rPr>
      </w:pPr>
      <w:r>
        <w:rPr>
          <w:rFonts w:hint="eastAsia"/>
          <w:b/>
          <w:bCs/>
          <w:szCs w:val="21"/>
        </w:rPr>
        <w:t xml:space="preserve">3、</w:t>
      </w:r>
      <w:r>
        <w:rPr>
          <w:b/>
          <w:bCs/>
          <w:szCs w:val="21"/>
        </w:rPr>
        <w:t xml:space="preserve">交</w:t>
      </w:r>
      <w:r>
        <w:rPr>
          <w:rFonts w:hint="eastAsia"/>
          <w:b/>
          <w:bCs/>
          <w:szCs w:val="21"/>
        </w:rPr>
        <w:t xml:space="preserve">付</w:t>
      </w:r>
      <w:r>
        <w:rPr>
          <w:b/>
          <w:bCs/>
          <w:szCs w:val="21"/>
        </w:rPr>
        <w:t xml:space="preserve">地点</w:t>
      </w:r>
      <w:r>
        <w:rPr>
          <w:rFonts w:hint="eastAsia"/>
          <w:b/>
          <w:bCs/>
          <w:szCs w:val="21"/>
        </w:rPr>
        <w:t xml:space="preserve">时间</w:t>
      </w:r>
      <w:r>
        <w:rPr>
          <w:b/>
          <w:bCs/>
          <w:szCs w:val="21"/>
        </w:rPr>
        <w:t xml:space="preserve">：</w:t>
      </w:r>
      <w:r>
        <w:rPr>
          <w:b/>
          <w:bCs/>
          <w:szCs w:val="21"/>
        </w:rPr>
      </w:r>
      <w:r/>
    </w:p>
    <w:p>
      <w:pPr>
        <w:pStyle w:val="869"/>
        <w:ind w:firstLine="315"/>
        <w:spacing w:line="420" w:lineRule="exact"/>
        <w:rPr>
          <w:szCs w:val="21"/>
        </w:rPr>
      </w:pPr>
      <w:r>
        <w:rPr>
          <w:rFonts w:hint="eastAsia"/>
          <w:szCs w:val="21"/>
        </w:rPr>
        <w:t xml:space="preserve">3.1合同签定后，乙方按照甲方要求进行生产，并在</w:t>
      </w:r>
      <w:r>
        <w:rPr>
          <w:szCs w:val="21"/>
        </w:rPr>
        <w:t xml:space="preserve">30</w:t>
      </w:r>
      <w:r>
        <w:rPr>
          <w:rFonts w:hint="eastAsia"/>
          <w:szCs w:val="21"/>
        </w:rPr>
        <w:t xml:space="preserve">个工作日内交付到甲方指定地点</w:t>
      </w:r>
      <w:r>
        <w:rPr>
          <w:rFonts w:hint="eastAsia"/>
          <w:szCs w:val="21"/>
          <w:u w:val="single"/>
        </w:rPr>
        <w:t xml:space="preserve"> 南通市海门区中医院 </w:t>
      </w:r>
      <w:r>
        <w:rPr>
          <w:rFonts w:hint="eastAsia"/>
          <w:szCs w:val="21"/>
        </w:rPr>
        <w:t xml:space="preserve">。</w:t>
      </w:r>
      <w:r>
        <w:rPr>
          <w:szCs w:val="21"/>
        </w:rPr>
      </w:r>
      <w:r/>
    </w:p>
    <w:p>
      <w:pPr>
        <w:pStyle w:val="869"/>
        <w:ind w:firstLine="315"/>
        <w:spacing w:line="420" w:lineRule="exact"/>
        <w:rPr>
          <w:szCs w:val="21"/>
        </w:rPr>
      </w:pPr>
      <w:r>
        <w:rPr>
          <w:rFonts w:hint="eastAsia"/>
          <w:szCs w:val="21"/>
        </w:rPr>
        <w:t xml:space="preserve">3.2非因甲方原因或甲方事先书面同意，本条所约定的交付日期不得顺延。</w:t>
      </w:r>
      <w:r>
        <w:rPr>
          <w:szCs w:val="21"/>
        </w:rPr>
      </w:r>
      <w:r/>
    </w:p>
    <w:p>
      <w:pPr>
        <w:pStyle w:val="869"/>
        <w:ind w:firstLine="315"/>
        <w:spacing w:line="420" w:lineRule="exact"/>
        <w:rPr>
          <w:szCs w:val="21"/>
        </w:rPr>
      </w:pPr>
      <w:r>
        <w:rPr>
          <w:rFonts w:hint="eastAsia"/>
          <w:szCs w:val="21"/>
        </w:rPr>
        <w:t xml:space="preserve">3.3乙方应在启运产品前提前通知甲方产品运抵指定交付地点的时间，并获得甲方对交货时间的认可。</w:t>
      </w:r>
      <w:r>
        <w:rPr>
          <w:szCs w:val="21"/>
        </w:rPr>
      </w:r>
      <w:r/>
    </w:p>
    <w:p>
      <w:pPr>
        <w:pStyle w:val="869"/>
        <w:ind w:firstLine="315"/>
        <w:spacing w:line="420" w:lineRule="exact"/>
        <w:rPr>
          <w:szCs w:val="21"/>
        </w:rPr>
      </w:pPr>
      <w:r>
        <w:rPr>
          <w:rFonts w:hint="eastAsia"/>
          <w:szCs w:val="21"/>
        </w:rPr>
        <w:t xml:space="preserve">3.</w:t>
      </w:r>
      <w:r>
        <w:rPr>
          <w:szCs w:val="21"/>
        </w:rPr>
        <w:t xml:space="preserve">4</w:t>
      </w:r>
      <w:r>
        <w:rPr>
          <w:rFonts w:hint="eastAsia"/>
          <w:szCs w:val="21"/>
        </w:rPr>
        <w:t xml:space="preserve">乙方在交付产品的同时需向乙方提供有关产品的附随资料，包括但不限于：</w:t>
      </w:r>
      <w:r>
        <w:rPr>
          <w:szCs w:val="21"/>
        </w:rPr>
        <w:t xml:space="preserve">产品使用说明、合格证书、功能说明、质量保证、</w:t>
      </w:r>
      <w:r>
        <w:rPr>
          <w:rFonts w:hint="eastAsia"/>
          <w:szCs w:val="21"/>
        </w:rPr>
        <w:t xml:space="preserve">银联认证资质证明文件、国家密码管理认证资质证书</w:t>
      </w:r>
      <w:r>
        <w:rPr>
          <w:szCs w:val="21"/>
        </w:rPr>
        <w:t xml:space="preserve">等</w:t>
      </w:r>
      <w:r>
        <w:rPr>
          <w:rFonts w:hint="eastAsia"/>
          <w:szCs w:val="21"/>
        </w:rPr>
        <w:t xml:space="preserve">。如乙方提供的资料不符合本合同的约定或不能满足产品正常使用的需求，甲方有权拒绝接受交付。因上述原因导致产品交付超过本条约定的交付日期的，视为乙方迟延交付。</w:t>
      </w:r>
      <w:r>
        <w:rPr>
          <w:szCs w:val="21"/>
        </w:rPr>
      </w:r>
      <w:r/>
    </w:p>
    <w:p>
      <w:pPr>
        <w:pStyle w:val="869"/>
        <w:ind w:firstLine="315"/>
        <w:spacing w:line="420" w:lineRule="exact"/>
        <w:rPr>
          <w:szCs w:val="21"/>
        </w:rPr>
      </w:pPr>
      <w:r>
        <w:rPr>
          <w:szCs w:val="21"/>
        </w:rPr>
      </w:r>
      <w:r/>
    </w:p>
    <w:p>
      <w:pPr>
        <w:pStyle w:val="869"/>
        <w:spacing w:line="420" w:lineRule="exact"/>
        <w:rPr>
          <w:b/>
          <w:bCs/>
          <w:szCs w:val="21"/>
        </w:rPr>
      </w:pPr>
      <w:r>
        <w:rPr>
          <w:rFonts w:hint="eastAsia"/>
          <w:b/>
          <w:bCs/>
          <w:szCs w:val="21"/>
        </w:rPr>
        <w:t xml:space="preserve">4、质量验收标准：</w:t>
      </w:r>
      <w:r>
        <w:rPr>
          <w:b/>
          <w:bCs/>
          <w:szCs w:val="21"/>
        </w:rPr>
      </w:r>
      <w:r/>
    </w:p>
    <w:p>
      <w:pPr>
        <w:pStyle w:val="869"/>
        <w:ind w:firstLine="315"/>
        <w:spacing w:line="420" w:lineRule="exact"/>
        <w:rPr>
          <w:szCs w:val="21"/>
        </w:rPr>
      </w:pPr>
      <w:r>
        <w:rPr>
          <w:rFonts w:hint="eastAsia"/>
          <w:szCs w:val="21"/>
        </w:rPr>
        <w:t xml:space="preserve">4.1乙方承诺本合同项下产品系经过严格测试、成熟稳定、无病毒及重大缺陷的软件产品。由于乙方提供的产品存在重大缺陷给甲方造成的损失，由乙方负责赔偿。</w:t>
      </w:r>
      <w:r>
        <w:rPr>
          <w:szCs w:val="21"/>
        </w:rPr>
      </w:r>
      <w:r/>
    </w:p>
    <w:p>
      <w:pPr>
        <w:pStyle w:val="869"/>
        <w:ind w:firstLine="315"/>
        <w:spacing w:line="420" w:lineRule="exact"/>
        <w:rPr>
          <w:szCs w:val="21"/>
        </w:rPr>
      </w:pPr>
      <w:r>
        <w:rPr>
          <w:rFonts w:hint="eastAsia"/>
          <w:szCs w:val="21"/>
        </w:rPr>
        <w:t xml:space="preserve">4.2乙方声明并承诺其所提供的产品及相关服务不存在任何侵犯第三方所有权、知识产权、使用权等合法权益的情形。</w:t>
      </w:r>
      <w:r>
        <w:rPr>
          <w:szCs w:val="21"/>
        </w:rPr>
      </w:r>
      <w:r/>
    </w:p>
    <w:p>
      <w:pPr>
        <w:pStyle w:val="869"/>
        <w:ind w:firstLine="315"/>
        <w:spacing w:line="420" w:lineRule="exact"/>
        <w:rPr>
          <w:szCs w:val="21"/>
        </w:rPr>
      </w:pPr>
      <w:r>
        <w:rPr>
          <w:rFonts w:hint="eastAsia"/>
          <w:szCs w:val="21"/>
        </w:rPr>
        <w:t xml:space="preserve">若因乙方交付的产品及相关服务侵犯第三方的所有权、知识产权、使用权等合法权益而引起或者乙方及其人员因违反本合同的约定而引起第三方对甲方的任何交涉、要求、索赔或诉讼，乙方承诺和保证为甲方抗辩，采取一切措施使甲方不牵涉到任何有关的纠纷当中，保护甲方利益不受损害。因上述原因导致的一切责任和费用均由乙方自行承担，并应对甲方由此产生的损失（包括但不限于律师代理费、诉讼费、赔偿费、为处理纠纷所付出的合理支出及其它相关合理费用）进行赔偿。</w:t>
      </w:r>
      <w:r>
        <w:rPr>
          <w:szCs w:val="21"/>
        </w:rPr>
      </w:r>
      <w:r/>
    </w:p>
    <w:p>
      <w:pPr>
        <w:pStyle w:val="869"/>
        <w:ind w:firstLine="420"/>
        <w:jc w:val="left"/>
        <w:rPr>
          <w:szCs w:val="21"/>
        </w:rPr>
      </w:pPr>
      <w:r>
        <w:rPr>
          <w:rFonts w:hint="eastAsia"/>
          <w:szCs w:val="21"/>
        </w:rPr>
        <w:t xml:space="preserve">4.</w:t>
      </w:r>
      <w:r>
        <w:rPr>
          <w:szCs w:val="21"/>
        </w:rPr>
        <w:t xml:space="preserve">4</w:t>
      </w:r>
      <w:r>
        <w:rPr>
          <w:rFonts w:hint="eastAsia"/>
          <w:szCs w:val="21"/>
        </w:rPr>
        <w:t xml:space="preserve">若乙方提供的产品为非自身生产或开发的产品，乙方应保证提供本合同项下的产品已获得产品原厂商的合法有效的许可或授权，且本合同项下所有产品均为原厂商生产或开发的全新合格产品。</w:t>
      </w:r>
      <w:r>
        <w:rPr>
          <w:szCs w:val="21"/>
        </w:rPr>
      </w:r>
      <w:r/>
    </w:p>
    <w:p>
      <w:pPr>
        <w:pStyle w:val="869"/>
        <w:ind w:firstLine="420"/>
        <w:jc w:val="left"/>
        <w:rPr>
          <w:szCs w:val="21"/>
        </w:rPr>
      </w:pPr>
      <w:r>
        <w:rPr>
          <w:rFonts w:hint="eastAsia"/>
          <w:szCs w:val="21"/>
        </w:rPr>
        <w:t xml:space="preserve">4.</w:t>
      </w:r>
      <w:r>
        <w:rPr>
          <w:szCs w:val="21"/>
        </w:rPr>
        <w:t xml:space="preserve">5</w:t>
      </w:r>
      <w:r>
        <w:rPr>
          <w:rFonts w:hint="eastAsia"/>
          <w:szCs w:val="21"/>
        </w:rPr>
        <w:t xml:space="preserve">未经甲方书面同意，乙方不得通过任何形式将本合同项下的全部或者部分权利义务转让给第三人。</w:t>
      </w:r>
      <w:r>
        <w:rPr>
          <w:szCs w:val="21"/>
        </w:rPr>
      </w:r>
      <w:r/>
    </w:p>
    <w:p>
      <w:pPr>
        <w:pStyle w:val="869"/>
        <w:ind w:firstLine="420"/>
        <w:jc w:val="left"/>
        <w:rPr>
          <w:szCs w:val="21"/>
        </w:rPr>
      </w:pPr>
      <w:r>
        <w:rPr>
          <w:rFonts w:hint="eastAsia"/>
          <w:szCs w:val="21"/>
        </w:rPr>
        <w:t xml:space="preserve">4.6甲方对本合同项下采购的软件拥有所有权和使用权。</w:t>
      </w:r>
      <w:r>
        <w:rPr>
          <w:szCs w:val="21"/>
        </w:rPr>
      </w:r>
      <w:r/>
    </w:p>
    <w:p>
      <w:pPr>
        <w:pStyle w:val="869"/>
        <w:spacing w:line="420" w:lineRule="exact"/>
        <w:rPr>
          <w:b/>
          <w:bCs/>
          <w:szCs w:val="21"/>
        </w:rPr>
      </w:pPr>
      <w:r>
        <w:rPr>
          <w:rFonts w:hint="eastAsia"/>
          <w:b/>
          <w:bCs/>
          <w:szCs w:val="21"/>
        </w:rPr>
        <w:t xml:space="preserve">5、安装：</w:t>
      </w:r>
      <w:r>
        <w:rPr>
          <w:b/>
          <w:bCs/>
          <w:szCs w:val="21"/>
        </w:rPr>
      </w:r>
      <w:r/>
    </w:p>
    <w:p>
      <w:pPr>
        <w:pStyle w:val="869"/>
        <w:ind w:firstLine="315"/>
        <w:spacing w:line="420" w:lineRule="exact"/>
        <w:rPr>
          <w:szCs w:val="21"/>
        </w:rPr>
      </w:pPr>
      <w:r>
        <w:rPr>
          <w:rFonts w:hint="eastAsia"/>
          <w:szCs w:val="21"/>
        </w:rPr>
        <w:t xml:space="preserve">5.1销售合同一经签署，乙方将通知甲方做好安装的必要准备。</w:t>
      </w:r>
      <w:r>
        <w:rPr>
          <w:szCs w:val="21"/>
        </w:rPr>
      </w:r>
      <w:r/>
    </w:p>
    <w:p>
      <w:pPr>
        <w:pStyle w:val="869"/>
        <w:ind w:firstLine="315"/>
        <w:spacing w:line="420" w:lineRule="exact"/>
        <w:rPr>
          <w:szCs w:val="21"/>
        </w:rPr>
      </w:pPr>
      <w:r>
        <w:rPr>
          <w:rFonts w:hint="eastAsia"/>
          <w:szCs w:val="21"/>
        </w:rPr>
        <w:t xml:space="preserve">5.</w:t>
      </w:r>
      <w:r>
        <w:rPr>
          <w:szCs w:val="21"/>
        </w:rPr>
        <w:t xml:space="preserve">2</w:t>
      </w:r>
      <w:r>
        <w:rPr>
          <w:rFonts w:hint="eastAsia"/>
          <w:szCs w:val="21"/>
        </w:rPr>
        <w:t xml:space="preserve">乙方在完成安装调试后向甲方发出书面的《验收单》，经确认签字后视为设备保修期的开始。</w:t>
      </w:r>
      <w:r>
        <w:rPr>
          <w:szCs w:val="21"/>
        </w:rPr>
      </w:r>
      <w:r/>
    </w:p>
    <w:p>
      <w:pPr>
        <w:pStyle w:val="869"/>
        <w:ind w:firstLine="315"/>
        <w:spacing w:line="420" w:lineRule="exact"/>
        <w:rPr>
          <w:szCs w:val="21"/>
        </w:rPr>
      </w:pPr>
      <w:r>
        <w:rPr>
          <w:rFonts w:hint="eastAsia"/>
          <w:szCs w:val="21"/>
        </w:rPr>
        <w:t xml:space="preserve">5.4乙方应在产品交付之日起5日内完成产品的安装调试，甲方不再向乙方支付本合同约定金额外的安装调试费。</w:t>
      </w:r>
      <w:r>
        <w:rPr>
          <w:szCs w:val="21"/>
        </w:rPr>
      </w:r>
      <w:r/>
    </w:p>
    <w:p>
      <w:pPr>
        <w:pStyle w:val="869"/>
        <w:spacing w:line="420" w:lineRule="exact"/>
        <w:rPr>
          <w:szCs w:val="21"/>
        </w:rPr>
      </w:pPr>
      <w:r>
        <w:rPr>
          <w:rFonts w:hint="eastAsia"/>
          <w:b/>
          <w:bCs/>
          <w:szCs w:val="21"/>
        </w:rPr>
        <w:t xml:space="preserve">6、售后服务</w:t>
      </w:r>
      <w:r>
        <w:rPr>
          <w:szCs w:val="21"/>
        </w:rPr>
      </w:r>
      <w:r/>
    </w:p>
    <w:p>
      <w:pPr>
        <w:pStyle w:val="869"/>
        <w:ind w:left="525" w:hanging="210"/>
        <w:spacing w:line="420" w:lineRule="exact"/>
        <w:rPr>
          <w:szCs w:val="21"/>
        </w:rPr>
      </w:pPr>
      <w:r>
        <w:rPr>
          <w:rFonts w:hint="eastAsia"/>
          <w:szCs w:val="21"/>
        </w:rPr>
        <w:t xml:space="preserve">6.1项目验收完成后进入质保期，质保期内提供同版本软件免费客户化修改与免费升级服务，并为用户后续的医院信息化建设提供长期的技术支持。</w:t>
      </w:r>
      <w:r>
        <w:rPr>
          <w:szCs w:val="21"/>
        </w:rPr>
      </w:r>
      <w:r/>
    </w:p>
    <w:p>
      <w:pPr>
        <w:pStyle w:val="869"/>
        <w:ind w:left="525" w:hanging="210"/>
        <w:spacing w:line="420" w:lineRule="exact"/>
        <w:rPr>
          <w:szCs w:val="21"/>
        </w:rPr>
      </w:pPr>
      <w:r>
        <w:rPr>
          <w:rFonts w:hint="eastAsia"/>
          <w:szCs w:val="21"/>
        </w:rPr>
        <w:t xml:space="preserve">6.2供应商在接到系统故障通知后，供应商必须在30分钟内响应。对于影响系统正常运行的严重故障(包括由系统软硬件等原因引起的)，供应商的相关技术人员必须在接到故障通知后8小时内赶到现场，查找原因，提出解决方案，并工作直至故障修妥完全恢复正常工作为止，一般要求保证系统在24小时之内修复。</w:t>
      </w:r>
      <w:r>
        <w:rPr>
          <w:szCs w:val="21"/>
        </w:rPr>
      </w:r>
      <w:r/>
    </w:p>
    <w:p>
      <w:pPr>
        <w:pStyle w:val="869"/>
        <w:ind w:left="525" w:hanging="210"/>
        <w:spacing w:line="420" w:lineRule="exact"/>
        <w:rPr>
          <w:szCs w:val="21"/>
        </w:rPr>
      </w:pPr>
      <w:r>
        <w:rPr>
          <w:rFonts w:hint="eastAsia"/>
          <w:szCs w:val="21"/>
        </w:rPr>
        <w:t xml:space="preserve">6.3保修期内，乙方承诺对甲方人员提供免费的与产品有关的现场技术培训。培训材料、培训计划、培训教师由乙方制作，但需事先经过甲方的审定认可。</w:t>
      </w:r>
      <w:r>
        <w:rPr>
          <w:szCs w:val="21"/>
        </w:rPr>
      </w:r>
      <w:r/>
    </w:p>
    <w:p>
      <w:pPr>
        <w:pStyle w:val="869"/>
        <w:spacing w:line="420" w:lineRule="exact"/>
        <w:rPr>
          <w:b/>
          <w:bCs/>
          <w:szCs w:val="21"/>
        </w:rPr>
      </w:pPr>
      <w:r>
        <w:rPr>
          <w:rFonts w:hint="eastAsia"/>
          <w:b/>
          <w:bCs/>
          <w:szCs w:val="21"/>
        </w:rPr>
        <w:t xml:space="preserve">7、双方</w:t>
      </w:r>
      <w:r>
        <w:rPr>
          <w:b/>
          <w:bCs/>
          <w:szCs w:val="21"/>
        </w:rPr>
        <w:t xml:space="preserve">责任</w:t>
      </w:r>
      <w:r>
        <w:rPr>
          <w:b/>
          <w:bCs/>
          <w:szCs w:val="21"/>
        </w:rPr>
      </w:r>
      <w:r/>
    </w:p>
    <w:p>
      <w:pPr>
        <w:pStyle w:val="869"/>
        <w:ind w:firstLine="315"/>
        <w:spacing w:line="420" w:lineRule="exact"/>
        <w:rPr>
          <w:szCs w:val="21"/>
        </w:rPr>
      </w:pPr>
      <w:r>
        <w:rPr>
          <w:rFonts w:hint="eastAsia"/>
          <w:szCs w:val="21"/>
        </w:rPr>
        <w:t xml:space="preserve">甲方：</w:t>
      </w:r>
      <w:r>
        <w:rPr>
          <w:szCs w:val="21"/>
        </w:rPr>
      </w:r>
      <w:r/>
    </w:p>
    <w:p>
      <w:pPr>
        <w:pStyle w:val="869"/>
        <w:ind w:firstLine="315"/>
        <w:spacing w:line="420" w:lineRule="exact"/>
        <w:rPr>
          <w:szCs w:val="21"/>
        </w:rPr>
      </w:pPr>
      <w:r>
        <w:rPr>
          <w:rFonts w:hint="eastAsia"/>
          <w:szCs w:val="21"/>
        </w:rPr>
        <w:t xml:space="preserve">1.乙方送货或代运的产品，如无正当理由甲方拒绝接货，甲方应承担因而造成的损失和运输费用。</w:t>
      </w:r>
      <w:r>
        <w:rPr>
          <w:szCs w:val="21"/>
        </w:rPr>
      </w:r>
      <w:r/>
    </w:p>
    <w:p>
      <w:pPr>
        <w:pStyle w:val="869"/>
        <w:ind w:left="525" w:hanging="210"/>
        <w:spacing w:line="420" w:lineRule="exact"/>
        <w:rPr>
          <w:szCs w:val="21"/>
        </w:rPr>
      </w:pPr>
      <w:r>
        <w:rPr>
          <w:szCs w:val="21"/>
        </w:rPr>
        <w:t xml:space="preserve">2</w:t>
      </w:r>
      <w:r>
        <w:rPr>
          <w:rFonts w:hint="eastAsia"/>
          <w:szCs w:val="21"/>
        </w:rPr>
        <w:t xml:space="preserve">.乙方全部履行合同，甲方按照付款进度在收到乙方的付款通知并审定无误按期付款，如有违约，甲方按合同总价每日万分之一支付延期付款违约金，最高不超过合同总价的5%。</w:t>
      </w:r>
      <w:r>
        <w:rPr>
          <w:szCs w:val="21"/>
        </w:rPr>
      </w:r>
      <w:r/>
    </w:p>
    <w:p>
      <w:pPr>
        <w:pStyle w:val="869"/>
        <w:spacing w:line="420" w:lineRule="exact"/>
        <w:rPr>
          <w:szCs w:val="21"/>
        </w:rPr>
      </w:pPr>
      <w:r>
        <w:rPr>
          <w:rFonts w:hint="eastAsia"/>
          <w:szCs w:val="21"/>
        </w:rPr>
        <w:t xml:space="preserve">乙方：</w:t>
      </w:r>
      <w:r>
        <w:rPr>
          <w:szCs w:val="21"/>
        </w:rPr>
      </w:r>
      <w:r/>
    </w:p>
    <w:p>
      <w:pPr>
        <w:pStyle w:val="869"/>
        <w:ind w:left="525" w:hanging="210"/>
        <w:spacing w:line="420" w:lineRule="exact"/>
        <w:rPr>
          <w:szCs w:val="21"/>
        </w:rPr>
      </w:pPr>
      <w:r>
        <w:rPr>
          <w:rFonts w:hint="eastAsia"/>
          <w:szCs w:val="21"/>
        </w:rPr>
        <w:t xml:space="preserve">1．除不可抗拒因素外，乙方不能按期交货，或因运输及安装中设备缺损需要更换而影响实际交付使用时，乙方必须向甲方支付延期交货或延期交付使用的违约金，如有违约，乙方按合同总价每日万分之四支付延期违约金，最高不超过合同总价的5%。</w:t>
      </w:r>
      <w:r>
        <w:rPr>
          <w:szCs w:val="21"/>
        </w:rPr>
      </w:r>
      <w:r/>
    </w:p>
    <w:p>
      <w:pPr>
        <w:pStyle w:val="869"/>
        <w:ind w:left="525" w:hanging="210"/>
        <w:spacing w:line="420" w:lineRule="exact"/>
        <w:rPr>
          <w:szCs w:val="21"/>
        </w:rPr>
      </w:pPr>
      <w:r>
        <w:rPr>
          <w:rFonts w:hint="eastAsia"/>
          <w:szCs w:val="21"/>
        </w:rPr>
        <w:t xml:space="preserve">2．延期交货时间超过15天或交货不合格从而影响甲方按期正常使用的视为乙方严重违约，甲方有权立即终止合同。</w:t>
      </w:r>
      <w:r>
        <w:rPr>
          <w:szCs w:val="21"/>
        </w:rPr>
      </w:r>
      <w:r/>
    </w:p>
    <w:p>
      <w:pPr>
        <w:pStyle w:val="869"/>
        <w:spacing w:line="420" w:lineRule="exact"/>
        <w:rPr>
          <w:b/>
          <w:bCs/>
          <w:szCs w:val="21"/>
        </w:rPr>
      </w:pPr>
      <w:r>
        <w:rPr>
          <w:rFonts w:hint="eastAsia"/>
          <w:b/>
          <w:bCs/>
          <w:szCs w:val="21"/>
        </w:rPr>
        <w:t xml:space="preserve">8、合同构成</w:t>
      </w:r>
      <w:r>
        <w:rPr>
          <w:b/>
          <w:bCs/>
          <w:szCs w:val="21"/>
        </w:rPr>
      </w:r>
      <w:r/>
    </w:p>
    <w:p>
      <w:pPr>
        <w:pStyle w:val="869"/>
        <w:ind w:left="525" w:hanging="210"/>
        <w:spacing w:line="420" w:lineRule="exact"/>
        <w:rPr>
          <w:szCs w:val="21"/>
        </w:rPr>
      </w:pPr>
      <w:r>
        <w:rPr>
          <w:rFonts w:hint="eastAsia"/>
          <w:szCs w:val="21"/>
        </w:rPr>
        <w:t xml:space="preserve">下述文件是构成合同不可分割的部分，具有同等法律效力，应一并阅读和理解：1、本合同协议书；2、中标通知书；3、采购文件及附件；4、投标文件及附件；5、经双方协商一致达成的补充协议。</w:t>
      </w:r>
      <w:r>
        <w:rPr>
          <w:szCs w:val="21"/>
        </w:rPr>
      </w:r>
      <w:r/>
    </w:p>
    <w:p>
      <w:pPr>
        <w:pStyle w:val="869"/>
        <w:spacing w:line="420" w:lineRule="exact"/>
        <w:rPr>
          <w:b/>
          <w:bCs/>
          <w:szCs w:val="21"/>
        </w:rPr>
      </w:pPr>
      <w:r>
        <w:rPr>
          <w:b/>
          <w:bCs/>
          <w:szCs w:val="21"/>
        </w:rPr>
        <w:t xml:space="preserve">9</w:t>
      </w:r>
      <w:r>
        <w:rPr>
          <w:rFonts w:hint="eastAsia"/>
          <w:b/>
          <w:bCs/>
          <w:szCs w:val="21"/>
        </w:rPr>
        <w:t xml:space="preserve">、</w:t>
      </w:r>
      <w:r>
        <w:rPr>
          <w:b/>
          <w:bCs/>
          <w:szCs w:val="21"/>
        </w:rPr>
        <w:t xml:space="preserve">特别条款</w:t>
      </w:r>
      <w:r>
        <w:rPr>
          <w:b/>
          <w:bCs/>
          <w:szCs w:val="21"/>
        </w:rPr>
      </w:r>
      <w:r/>
    </w:p>
    <w:p>
      <w:pPr>
        <w:pStyle w:val="869"/>
        <w:ind w:firstLine="315"/>
        <w:spacing w:line="420" w:lineRule="exact"/>
        <w:rPr>
          <w:szCs w:val="21"/>
        </w:rPr>
      </w:pPr>
      <w:r>
        <w:rPr>
          <w:rFonts w:hint="eastAsia"/>
          <w:szCs w:val="21"/>
        </w:rPr>
        <w:t xml:space="preserve">1．本合同经双方签章后生效，本合同系指本文件。</w:t>
      </w:r>
      <w:r>
        <w:rPr>
          <w:szCs w:val="21"/>
        </w:rPr>
      </w:r>
      <w:r/>
    </w:p>
    <w:p>
      <w:pPr>
        <w:pStyle w:val="869"/>
        <w:ind w:firstLine="315"/>
        <w:spacing w:line="420" w:lineRule="exact"/>
        <w:rPr>
          <w:szCs w:val="21"/>
        </w:rPr>
      </w:pPr>
      <w:r>
        <w:rPr>
          <w:rFonts w:hint="eastAsia"/>
          <w:szCs w:val="21"/>
        </w:rPr>
        <w:t xml:space="preserve">2．本合同壹式肆份，甲方执叁份、乙方执壹份，各份具有同等法律效力。</w:t>
      </w:r>
      <w:r>
        <w:rPr>
          <w:szCs w:val="21"/>
        </w:rPr>
      </w:r>
      <w:r/>
    </w:p>
    <w:p>
      <w:pPr>
        <w:pStyle w:val="869"/>
        <w:spacing w:line="420" w:lineRule="exact"/>
        <w:rPr>
          <w:b/>
          <w:bCs/>
          <w:szCs w:val="21"/>
        </w:rPr>
      </w:pPr>
      <w:r>
        <w:rPr>
          <w:b/>
          <w:bCs/>
          <w:szCs w:val="21"/>
        </w:rPr>
        <w:t xml:space="preserve">10</w:t>
      </w:r>
      <w:r>
        <w:rPr>
          <w:rFonts w:hint="eastAsia"/>
          <w:b/>
          <w:bCs/>
          <w:szCs w:val="21"/>
        </w:rPr>
        <w:t xml:space="preserve">、争议的解决</w:t>
      </w:r>
      <w:r>
        <w:rPr>
          <w:b/>
          <w:bCs/>
          <w:szCs w:val="21"/>
        </w:rPr>
      </w:r>
      <w:r/>
    </w:p>
    <w:p>
      <w:pPr>
        <w:pStyle w:val="869"/>
        <w:ind w:firstLine="315"/>
        <w:spacing w:line="420" w:lineRule="exact"/>
        <w:rPr>
          <w:szCs w:val="21"/>
        </w:rPr>
      </w:pPr>
      <w:r>
        <w:rPr>
          <w:rFonts w:hint="eastAsia"/>
          <w:szCs w:val="21"/>
        </w:rPr>
        <w:t xml:space="preserve">本合同未尽事宜，签约双方应友好协商解决。协商不成，任何一方均可向甲方所在地管辖权的人民法院提起诉讼。</w:t>
      </w:r>
      <w:r>
        <w:rPr>
          <w:szCs w:val="21"/>
        </w:rPr>
      </w:r>
      <w:r/>
    </w:p>
    <w:p>
      <w:pPr>
        <w:pStyle w:val="869"/>
        <w:spacing w:line="420" w:lineRule="exact"/>
        <w:rPr>
          <w:b/>
          <w:bCs/>
          <w:szCs w:val="21"/>
        </w:rPr>
      </w:pPr>
      <w:r>
        <w:rPr>
          <w:b/>
          <w:bCs/>
          <w:szCs w:val="21"/>
        </w:rPr>
        <w:t xml:space="preserve">合同签定地：</w:t>
      </w:r>
      <w:r>
        <w:rPr>
          <w:rFonts w:hint="eastAsia"/>
          <w:b/>
          <w:bCs/>
          <w:szCs w:val="21"/>
        </w:rPr>
        <w:t xml:space="preserve">江苏省南通市海门区中医院</w:t>
      </w:r>
      <w:r>
        <w:rPr>
          <w:b/>
          <w:bCs/>
          <w:szCs w:val="21"/>
        </w:rPr>
      </w:r>
      <w:r/>
    </w:p>
    <w:p>
      <w:pPr>
        <w:pStyle w:val="869"/>
        <w:spacing w:line="420" w:lineRule="exact"/>
        <w:rPr>
          <w:b/>
          <w:bCs/>
          <w:szCs w:val="21"/>
        </w:rPr>
      </w:pPr>
      <w:r>
        <w:rPr>
          <w:b/>
          <w:bCs/>
          <w:szCs w:val="21"/>
        </w:rPr>
      </w:r>
      <w:r/>
    </w:p>
    <w:p>
      <w:pPr>
        <w:pStyle w:val="869"/>
        <w:jc w:val="left"/>
        <w:spacing w:line="360" w:lineRule="auto"/>
        <w:rPr>
          <w:b/>
          <w:bCs/>
          <w:szCs w:val="21"/>
        </w:rPr>
      </w:pPr>
      <w:r>
        <w:rPr>
          <w:rFonts w:hint="eastAsia"/>
          <w:b/>
          <w:bCs/>
          <w:szCs w:val="21"/>
        </w:rPr>
        <w:t xml:space="preserve">甲方：南通市海门区中医院                            乙</w:t>
      </w:r>
      <w:r>
        <w:rPr>
          <w:b/>
          <w:bCs/>
          <w:szCs w:val="21"/>
        </w:rPr>
        <w:t xml:space="preserve">方：</w:t>
      </w:r>
      <w:r>
        <w:rPr>
          <w:rFonts w:hint="eastAsia"/>
          <w:b/>
          <w:bCs/>
          <w:szCs w:val="21"/>
        </w:rPr>
        <w:t xml:space="preserve">  </w:t>
      </w:r>
      <w:r>
        <w:rPr>
          <w:b/>
          <w:bCs/>
          <w:szCs w:val="21"/>
        </w:rPr>
        <w:t xml:space="preserve">     </w:t>
      </w:r>
      <w:r>
        <w:rPr>
          <w:b/>
          <w:bCs/>
          <w:szCs w:val="21"/>
        </w:rPr>
      </w:r>
      <w:r/>
    </w:p>
    <w:p>
      <w:pPr>
        <w:pStyle w:val="869"/>
        <w:jc w:val="left"/>
        <w:spacing w:line="360" w:lineRule="auto"/>
        <w:rPr>
          <w:b/>
          <w:bCs/>
          <w:szCs w:val="21"/>
        </w:rPr>
      </w:pPr>
      <w:r>
        <w:rPr>
          <w:b/>
          <w:bCs/>
          <w:szCs w:val="21"/>
        </w:rPr>
      </w:r>
      <w:r/>
    </w:p>
    <w:p>
      <w:pPr>
        <w:pStyle w:val="869"/>
        <w:spacing w:line="420" w:lineRule="exact"/>
        <w:rPr>
          <w:rFonts w:ascii="宋体" w:hAnsi="宋体"/>
          <w:b/>
          <w:sz w:val="28"/>
          <w:szCs w:val="28"/>
        </w:rPr>
      </w:pPr>
      <w:r>
        <w:rPr>
          <w:b/>
          <w:bCs/>
          <w:szCs w:val="21"/>
        </w:rPr>
        <w:t xml:space="preserve">法定代表人（授权代表）：   </w:t>
      </w:r>
      <w:r>
        <w:rPr>
          <w:rFonts w:hint="eastAsia"/>
          <w:b/>
          <w:bCs/>
          <w:szCs w:val="21"/>
        </w:rPr>
        <w:t xml:space="preserve">           </w:t>
      </w:r>
      <w:r>
        <w:rPr>
          <w:b/>
          <w:bCs/>
          <w:szCs w:val="21"/>
        </w:rPr>
        <w:t xml:space="preserve">        </w:t>
      </w:r>
      <w:r>
        <w:rPr>
          <w:rFonts w:hint="eastAsia"/>
          <w:b/>
          <w:bCs/>
          <w:szCs w:val="21"/>
        </w:rPr>
        <w:t xml:space="preserve">       </w:t>
      </w:r>
      <w:r>
        <w:rPr>
          <w:b/>
          <w:bCs/>
          <w:szCs w:val="21"/>
        </w:rPr>
        <w:t xml:space="preserve">法定代表人（授权代表）：   </w:t>
      </w:r>
      <w:r>
        <w:rPr>
          <w:rFonts w:ascii="宋体" w:hAnsi="宋体"/>
          <w:b/>
          <w:sz w:val="28"/>
          <w:szCs w:val="28"/>
        </w:rPr>
      </w:r>
      <w:r/>
    </w:p>
    <w:p>
      <w:pPr>
        <w:pStyle w:val="869"/>
        <w:jc w:val="left"/>
        <w:spacing w:line="420" w:lineRule="exact"/>
        <w:rPr>
          <w:b/>
          <w:bCs/>
          <w:szCs w:val="21"/>
        </w:rPr>
      </w:pPr>
      <w:r>
        <w:rPr>
          <w:rFonts w:hint="eastAsia"/>
          <w:b/>
          <w:bCs/>
          <w:szCs w:val="21"/>
        </w:rPr>
        <w:t xml:space="preserve">           </w:t>
      </w:r>
      <w:r>
        <w:rPr>
          <w:b/>
          <w:bCs/>
          <w:szCs w:val="21"/>
        </w:rPr>
      </w:r>
      <w:r/>
    </w:p>
    <w:p>
      <w:pPr>
        <w:pStyle w:val="869"/>
        <w:jc w:val="left"/>
        <w:spacing w:line="420" w:lineRule="exact"/>
        <w:rPr>
          <w:b/>
          <w:bCs/>
          <w:szCs w:val="21"/>
        </w:rPr>
      </w:pPr>
      <w:r>
        <w:rPr>
          <w:rFonts w:hint="eastAsia"/>
          <w:b/>
          <w:bCs/>
          <w:szCs w:val="21"/>
        </w:rPr>
        <w:t xml:space="preserve">                             </w:t>
      </w:r>
      <w:r>
        <w:rPr>
          <w:b/>
          <w:bCs/>
          <w:szCs w:val="21"/>
        </w:rPr>
        <w:t xml:space="preserve">            </w:t>
      </w:r>
      <w:r>
        <w:rPr>
          <w:rFonts w:hint="eastAsia"/>
          <w:b/>
          <w:bCs/>
          <w:szCs w:val="21"/>
        </w:rPr>
        <w:t xml:space="preserve">   </w:t>
      </w:r>
      <w:r>
        <w:rPr>
          <w:b/>
          <w:bCs/>
          <w:szCs w:val="21"/>
        </w:rPr>
      </w:r>
      <w:r/>
    </w:p>
    <w:p>
      <w:pPr>
        <w:pStyle w:val="869"/>
        <w:jc w:val="center"/>
        <w:spacing w:line="360" w:lineRule="auto"/>
        <w:rPr>
          <w:rFonts w:ascii="宋体" w:hAnsi="宋体"/>
          <w:b/>
          <w:bCs/>
          <w:sz w:val="36"/>
          <w:szCs w:val="36"/>
        </w:rPr>
      </w:pPr>
      <w:r>
        <w:rPr>
          <w:b/>
          <w:bCs/>
          <w:szCs w:val="21"/>
        </w:rPr>
        <w:t xml:space="preserve">签约日期：</w:t>
      </w:r>
      <w:r>
        <w:rPr>
          <w:rFonts w:hint="eastAsia"/>
          <w:b/>
          <w:bCs/>
          <w:szCs w:val="21"/>
        </w:rPr>
        <w:t xml:space="preserve"> </w:t>
      </w:r>
      <w:r>
        <w:rPr>
          <w:b/>
          <w:bCs/>
          <w:szCs w:val="21"/>
        </w:rPr>
        <w:t xml:space="preserve">           </w:t>
      </w:r>
      <w:r>
        <w:rPr>
          <w:rFonts w:hint="eastAsia"/>
          <w:b/>
          <w:bCs/>
          <w:szCs w:val="21"/>
        </w:rPr>
        <w:t xml:space="preserve">                               </w:t>
      </w:r>
      <w:r>
        <w:rPr>
          <w:b/>
          <w:bCs/>
          <w:szCs w:val="21"/>
        </w:rPr>
        <w:t xml:space="preserve">签约日期：</w:t>
      </w:r>
      <w:r>
        <w:rPr>
          <w:rFonts w:hint="eastAsia"/>
          <w:b/>
          <w:bCs/>
          <w:szCs w:val="21"/>
        </w:rPr>
        <w:t xml:space="preserve"> </w:t>
      </w:r>
      <w:r>
        <w:rPr>
          <w:b/>
          <w:bCs/>
          <w:szCs w:val="21"/>
        </w:rPr>
        <w:t xml:space="preserve">     </w:t>
      </w:r>
      <w:r>
        <w:rPr>
          <w:rFonts w:ascii="宋体" w:hAnsi="宋体"/>
          <w:b/>
          <w:bCs/>
          <w:sz w:val="36"/>
          <w:szCs w:val="36"/>
        </w:rPr>
      </w:r>
      <w:r/>
    </w:p>
    <w:p>
      <w:pPr>
        <w:pStyle w:val="90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0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69"/>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w:t>
      </w:r>
      <w:r>
        <w:rPr>
          <w:rFonts w:hint="eastAsia" w:ascii="黑体" w:hAnsi="Courier New" w:eastAsia="黑体" w:cs="Courier New"/>
          <w:bCs/>
          <w:color w:val="000000"/>
          <w:sz w:val="44"/>
          <w:szCs w:val="21"/>
          <w:lang w:val="en-US" w:eastAsia="zh-CN"/>
        </w:rPr>
        <w:t xml:space="preserve"> </w:t>
      </w:r>
      <w:r>
        <w:rPr>
          <w:rFonts w:hint="eastAsia" w:ascii="黑体" w:hAnsi="Courier New" w:eastAsia="黑体" w:cs="Courier New"/>
          <w:bCs/>
          <w:color w:val="000000"/>
          <w:sz w:val="44"/>
          <w:szCs w:val="21"/>
        </w:rPr>
        <w:t xml:space="preserve">采购需求</w:t>
      </w:r>
      <w:bookmarkEnd w:id="139"/>
      <w:r/>
      <w:bookmarkEnd w:id="140"/>
      <w:r/>
      <w:bookmarkEnd w:id="141"/>
      <w:r>
        <w:rPr>
          <w:rFonts w:hint="eastAsia" w:ascii="宋体" w:hAnsi="宋体" w:cs="Courier New"/>
          <w:color w:val="000000"/>
          <w:sz w:val="24"/>
          <w:szCs w:val="24"/>
        </w:rPr>
      </w:r>
      <w:r/>
    </w:p>
    <w:p>
      <w:pPr>
        <w:pStyle w:val="869"/>
        <w:spacing w:line="0" w:lineRule="atLeast"/>
        <w:rPr>
          <w:rFonts w:ascii="宋体" w:hAnsi="宋体"/>
          <w:color w:val="000000"/>
          <w:sz w:val="24"/>
          <w:szCs w:val="24"/>
        </w:rPr>
      </w:pPr>
      <w:r/>
      <w:bookmarkStart w:id="144" w:name="_Toc49090575"/>
      <w:r/>
      <w:bookmarkStart w:id="145" w:name="_Toc26554093"/>
      <w:r>
        <w:rPr>
          <w:rFonts w:ascii="宋体" w:hAnsi="宋体"/>
          <w:color w:val="000000"/>
          <w:sz w:val="24"/>
          <w:szCs w:val="24"/>
        </w:rPr>
      </w:r>
      <w:r/>
    </w:p>
    <w:p>
      <w:pPr>
        <w:pStyle w:val="869"/>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一、采购标的清单</w:t>
      </w:r>
      <w:r>
        <w:rPr>
          <w:rFonts w:hint="eastAsia" w:ascii="宋体" w:hAnsi="宋体" w:cs="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89"/>
        <w:gridCol w:w="3789"/>
      </w:tblGrid>
      <w:tr>
        <w:trPr>
          <w:cantSplit/>
        </w:trPr>
        <w:tc>
          <w:tcPr>
            <w:tcW w:w="2789" w:type="dxa"/>
            <w:vAlign w:val="center"/>
            <w:textDirection w:val="lrTb"/>
            <w:noWrap w:val="false"/>
          </w:tcPr>
          <w:p>
            <w:pPr>
              <w:pStyle w:val="86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采购标的</w:t>
            </w:r>
            <w:r>
              <w:rPr>
                <w:rFonts w:hint="eastAsia" w:ascii="宋体" w:hAnsi="宋体" w:cs="宋体"/>
                <w:color w:val="000000"/>
                <w:sz w:val="24"/>
                <w:szCs w:val="24"/>
              </w:rPr>
            </w:r>
            <w:r/>
          </w:p>
        </w:tc>
        <w:tc>
          <w:tcPr>
            <w:tcW w:w="3789" w:type="dxa"/>
            <w:vAlign w:val="center"/>
            <w:textDirection w:val="lrTb"/>
            <w:noWrap w:val="false"/>
          </w:tcPr>
          <w:p>
            <w:pPr>
              <w:pStyle w:val="86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对应中小企业划分标准所属行业</w:t>
            </w:r>
            <w:r>
              <w:rPr>
                <w:rFonts w:hint="eastAsia" w:ascii="宋体" w:hAnsi="宋体" w:cs="宋体"/>
                <w:color w:val="000000"/>
                <w:sz w:val="24"/>
                <w:szCs w:val="24"/>
              </w:rPr>
            </w:r>
            <w:r/>
          </w:p>
        </w:tc>
      </w:tr>
      <w:tr>
        <w:trPr>
          <w:cantSplit/>
          <w:trHeight w:val="291"/>
        </w:trPr>
        <w:tc>
          <w:tcPr>
            <w:tcW w:w="2789" w:type="dxa"/>
            <w:vAlign w:val="top"/>
            <w:textDirection w:val="lrTb"/>
            <w:noWrap w:val="false"/>
          </w:tcPr>
          <w:p>
            <w:pPr>
              <w:pStyle w:val="86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区域共享中药房软件</w:t>
            </w:r>
            <w:r>
              <w:rPr>
                <w:rFonts w:hint="eastAsia" w:ascii="宋体" w:hAnsi="宋体" w:cs="宋体"/>
                <w:color w:val="000000"/>
                <w:sz w:val="24"/>
                <w:szCs w:val="24"/>
              </w:rPr>
            </w:r>
            <w:r/>
          </w:p>
        </w:tc>
        <w:tc>
          <w:tcPr>
            <w:tcW w:w="3789" w:type="dxa"/>
            <w:vAlign w:val="top"/>
            <w:textDirection w:val="lrTb"/>
            <w:noWrap w:val="false"/>
          </w:tcPr>
          <w:p>
            <w:pPr>
              <w:pStyle w:val="86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软件和信息技术服务业</w:t>
            </w:r>
            <w:r>
              <w:rPr>
                <w:rFonts w:hint="eastAsia" w:ascii="宋体" w:hAnsi="宋体" w:cs="宋体"/>
                <w:color w:val="000000"/>
                <w:sz w:val="24"/>
                <w:szCs w:val="24"/>
              </w:rPr>
            </w:r>
            <w:r/>
          </w:p>
        </w:tc>
      </w:tr>
    </w:tbl>
    <w:p>
      <w:pPr>
        <w:pStyle w:val="869"/>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二、技术要求</w:t>
      </w:r>
      <w:r>
        <w:rPr>
          <w:rFonts w:hint="eastAsia" w:ascii="宋体" w:hAnsi="宋体" w:cs="宋体"/>
          <w:b/>
          <w:color w:val="000000"/>
          <w:sz w:val="24"/>
          <w:szCs w:val="24"/>
        </w:rPr>
      </w:r>
      <w:r/>
    </w:p>
    <w:p>
      <w:pPr>
        <w:pStyle w:val="988"/>
        <w:ind w:firstLine="480"/>
        <w:spacing w:line="360" w:lineRule="auto"/>
        <w:rPr>
          <w:rFonts w:ascii="宋体" w:hAnsi="宋体" w:cs="Arial"/>
          <w:b/>
          <w:color w:val="000000"/>
          <w:sz w:val="24"/>
          <w:szCs w:val="21"/>
        </w:rPr>
      </w:pPr>
      <w:r>
        <w:rPr>
          <w:rFonts w:hint="eastAsia" w:ascii="宋体" w:hAnsi="宋体" w:cs="FZFSK--GBK1-0"/>
          <w:color w:val="000000"/>
          <w:sz w:val="24"/>
          <w:szCs w:val="21"/>
        </w:rPr>
        <w:t xml:space="preserve">要求完成中医院现有HIS系统及18家</w:t>
      </w:r>
      <w:r>
        <w:rPr>
          <w:rFonts w:hint="eastAsia" w:ascii="宋体" w:hAnsi="宋体" w:cs="微软雅黑"/>
          <w:color w:val="000000"/>
          <w:sz w:val="24"/>
          <w:szCs w:val="21"/>
          <w:shd w:val="clear" w:color="auto" w:fill="ffffff"/>
        </w:rPr>
        <w:t xml:space="preserve">基层医院</w:t>
      </w:r>
      <w:r>
        <w:rPr>
          <w:rFonts w:hint="eastAsia" w:ascii="宋体" w:hAnsi="宋体" w:cs="FZFSK--GBK1-0"/>
          <w:color w:val="000000"/>
          <w:sz w:val="24"/>
          <w:szCs w:val="21"/>
        </w:rPr>
        <w:t xml:space="preserve">HIS系统数据与中药房系统对接工作。</w:t>
      </w:r>
      <w:r>
        <w:rPr>
          <w:rFonts w:ascii="宋体" w:hAnsi="宋体" w:cs="Arial"/>
          <w:b/>
          <w:color w:val="000000"/>
          <w:sz w:val="24"/>
          <w:szCs w:val="21"/>
        </w:rPr>
      </w:r>
      <w:r/>
    </w:p>
    <w:p>
      <w:pPr>
        <w:pStyle w:val="940"/>
        <w:ind w:firstLine="480"/>
        <w:rPr>
          <w:color w:val="000000"/>
          <w:sz w:val="24"/>
          <w:szCs w:val="21"/>
        </w:rPr>
      </w:pPr>
      <w:r>
        <w:rPr>
          <w:color w:val="000000"/>
          <w:sz w:val="24"/>
          <w:szCs w:val="21"/>
        </w:rPr>
        <w:t xml:space="preserve">1、挂号</w:t>
      </w:r>
      <w:r>
        <w:rPr>
          <w:rFonts w:hint="eastAsia"/>
          <w:color w:val="000000"/>
          <w:sz w:val="24"/>
          <w:szCs w:val="21"/>
        </w:rPr>
        <w:t xml:space="preserve">记录</w:t>
      </w:r>
      <w:r>
        <w:rPr>
          <w:color w:val="000000"/>
          <w:sz w:val="24"/>
          <w:szCs w:val="21"/>
        </w:rPr>
        <w:t xml:space="preserve">同步接口</w:t>
      </w:r>
      <w:r>
        <w:rPr>
          <w:rFonts w:hint="eastAsia"/>
          <w:color w:val="000000"/>
          <w:sz w:val="24"/>
          <w:szCs w:val="21"/>
        </w:rPr>
        <w:t xml:space="preserve">（提供截图证明）</w:t>
      </w:r>
      <w:r>
        <w:rPr>
          <w:color w:val="000000"/>
          <w:sz w:val="24"/>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1745"/>
        <w:gridCol w:w="6174"/>
      </w:tblGrid>
      <w:tr>
        <w:trPr/>
        <w:tc>
          <w:tcPr>
            <w:tcW w:w="1317"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序号</w:t>
            </w:r>
            <w:r>
              <w:rPr>
                <w:rFonts w:ascii="Calibri" w:hAnsi="Calibri"/>
                <w:color w:val="000000"/>
              </w:rPr>
            </w:r>
            <w:r/>
          </w:p>
        </w:tc>
        <w:tc>
          <w:tcPr>
            <w:tcW w:w="1745"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参数项</w:t>
            </w:r>
            <w:r>
              <w:rPr>
                <w:rFonts w:ascii="Calibri" w:hAnsi="Calibri"/>
                <w:color w:val="000000"/>
              </w:rPr>
            </w:r>
            <w:r/>
          </w:p>
        </w:tc>
        <w:tc>
          <w:tcPr>
            <w:tcW w:w="6174"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技术指标要求</w:t>
            </w:r>
            <w:r>
              <w:rPr>
                <w:rFonts w:ascii="Calibri" w:hAnsi="Calibri"/>
                <w:color w:val="000000"/>
              </w:rPr>
            </w:r>
            <w:r/>
          </w:p>
        </w:tc>
      </w:tr>
      <w:tr>
        <w:trPr>
          <w:trHeight w:val="594"/>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1.1</w:t>
            </w:r>
            <w:r>
              <w:rPr>
                <w:rFonts w:ascii="Calibri" w:hAnsi="Calibri"/>
                <w:color w:val="000000"/>
              </w:rPr>
            </w:r>
            <w:r/>
          </w:p>
        </w:tc>
        <w:tc>
          <w:tcPr>
            <w:tcW w:w="1745" w:type="dxa"/>
            <w:vAlign w:val="top"/>
            <w:textDirection w:val="lrTb"/>
            <w:noWrap w:val="false"/>
          </w:tcPr>
          <w:p>
            <w:pPr>
              <w:pStyle w:val="886"/>
              <w:ind w:left="0" w:firstLine="0"/>
              <w:jc w:val="center"/>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接口功能</w:t>
            </w:r>
            <w:r>
              <w:rPr>
                <w:rFonts w:ascii="Calibri" w:hAnsi="Calibri"/>
                <w:color w:val="000000"/>
              </w:rPr>
            </w:r>
            <w:r/>
          </w:p>
        </w:tc>
        <w:tc>
          <w:tcPr>
            <w:tcW w:w="6174"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实现基层医院</w:t>
            </w:r>
            <w:r>
              <w:rPr>
                <w:rFonts w:ascii="Segoe UI" w:hAnsi="Segoe UI" w:eastAsia="Segoe UI" w:cs="Segoe UI"/>
                <w:color w:val="000000"/>
                <w:sz w:val="22"/>
                <w:szCs w:val="22"/>
                <w:shd w:val="clear" w:color="auto" w:fill="ffffff"/>
              </w:rPr>
              <w:t xml:space="preserve">HIS</w:t>
            </w:r>
            <w:r>
              <w:rPr>
                <w:rFonts w:hint="eastAsia" w:ascii="微软雅黑" w:hAnsi="微软雅黑" w:eastAsia="微软雅黑" w:cs="微软雅黑"/>
                <w:color w:val="000000"/>
                <w:sz w:val="22"/>
                <w:szCs w:val="22"/>
                <w:shd w:val="clear" w:color="auto" w:fill="ffffff"/>
              </w:rPr>
              <w:t xml:space="preserve">系统与中医院信息系统之间挂号信息的实时同步，确保患者挂号信息准确传递至中医院</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1.2</w:t>
            </w:r>
            <w:r>
              <w:rPr>
                <w:rFonts w:ascii="Calibri" w:hAnsi="Calibri"/>
                <w:color w:val="000000"/>
              </w:rPr>
            </w:r>
            <w:r/>
          </w:p>
        </w:tc>
        <w:tc>
          <w:tcPr>
            <w:tcW w:w="1745"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同步方式</w:t>
            </w:r>
            <w:r>
              <w:rPr>
                <w:rFonts w:ascii="Calibri" w:hAnsi="Calibri"/>
                <w:color w:val="000000"/>
              </w:rPr>
            </w:r>
            <w:r/>
          </w:p>
        </w:tc>
        <w:tc>
          <w:tcPr>
            <w:tcW w:w="6174"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支持实时同步（患者挂号成功后自动触发）与批量同步（定时任务）两种模式</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1.3</w:t>
            </w:r>
            <w:r>
              <w:rPr>
                <w:rFonts w:ascii="Calibri" w:hAnsi="Calibri"/>
                <w:color w:val="000000"/>
              </w:rPr>
            </w:r>
            <w:r/>
          </w:p>
        </w:tc>
        <w:tc>
          <w:tcPr>
            <w:tcW w:w="1745"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同步字段</w:t>
            </w:r>
            <w:r>
              <w:rPr>
                <w:rFonts w:ascii="Calibri" w:hAnsi="Calibri"/>
                <w:color w:val="000000"/>
              </w:rPr>
            </w:r>
            <w:r/>
          </w:p>
        </w:tc>
        <w:tc>
          <w:tcPr>
            <w:tcW w:w="6174"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须包含但不限于：就诊流水号、患者姓名、身份证号、联系电话、挂号科室、挂号医生、挂号时间、就诊序号、医保类型、患者类型（自费</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医保）</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1.4</w:t>
            </w:r>
            <w:r>
              <w:rPr>
                <w:rFonts w:ascii="Calibri" w:hAnsi="Calibri"/>
                <w:color w:val="000000"/>
              </w:rPr>
            </w:r>
            <w:r/>
          </w:p>
        </w:tc>
        <w:tc>
          <w:tcPr>
            <w:tcW w:w="1745"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数据格式</w:t>
            </w:r>
            <w:r>
              <w:rPr>
                <w:rFonts w:ascii="Calibri" w:hAnsi="Calibri"/>
                <w:color w:val="000000"/>
              </w:rPr>
            </w:r>
            <w:r/>
          </w:p>
        </w:tc>
        <w:tc>
          <w:tcPr>
            <w:tcW w:w="6174" w:type="dxa"/>
            <w:vAlign w:val="top"/>
            <w:textDirection w:val="lrTb"/>
            <w:noWrap w:val="false"/>
          </w:tcPr>
          <w:p>
            <w:pPr>
              <w:pStyle w:val="886"/>
              <w:ind w:firstLine="0"/>
              <w:rPr>
                <w:rFonts w:ascii="Calibri" w:hAnsi="Calibri"/>
                <w:color w:val="000000"/>
              </w:rPr>
            </w:pPr>
            <w:r>
              <w:rPr>
                <w:rFonts w:ascii="Segoe UI" w:hAnsi="Segoe UI" w:eastAsia="Segoe UI" w:cs="Segoe UI"/>
                <w:color w:val="000000"/>
                <w:sz w:val="22"/>
                <w:szCs w:val="22"/>
                <w:shd w:val="clear" w:color="auto" w:fill="ffffff"/>
              </w:rPr>
              <w:t xml:space="preserve">JSON</w:t>
            </w:r>
            <w:r>
              <w:rPr>
                <w:rFonts w:hint="eastAsia" w:ascii="微软雅黑" w:hAnsi="微软雅黑" w:eastAsia="微软雅黑" w:cs="微软雅黑"/>
                <w:color w:val="000000"/>
                <w:sz w:val="22"/>
                <w:szCs w:val="22"/>
                <w:shd w:val="clear" w:color="auto" w:fill="ffffff"/>
              </w:rPr>
              <w:t xml:space="preserve">格式，</w:t>
            </w:r>
            <w:r>
              <w:rPr>
                <w:rFonts w:ascii="Segoe UI" w:hAnsi="Segoe UI" w:eastAsia="Segoe UI" w:cs="Segoe UI"/>
                <w:color w:val="000000"/>
                <w:sz w:val="22"/>
                <w:szCs w:val="22"/>
                <w:shd w:val="clear" w:color="auto" w:fill="ffffff"/>
              </w:rPr>
              <w:t xml:space="preserve">UTF-8</w:t>
            </w:r>
            <w:r>
              <w:rPr>
                <w:rFonts w:hint="eastAsia" w:ascii="微软雅黑" w:hAnsi="微软雅黑" w:eastAsia="微软雅黑" w:cs="微软雅黑"/>
                <w:color w:val="000000"/>
                <w:sz w:val="22"/>
                <w:szCs w:val="22"/>
                <w:shd w:val="clear" w:color="auto" w:fill="ffffff"/>
              </w:rPr>
              <w:t xml:space="preserve">编码，</w:t>
            </w:r>
            <w:r>
              <w:rPr>
                <w:rFonts w:ascii="Segoe UI" w:hAnsi="Segoe UI" w:eastAsia="Segoe UI" w:cs="Segoe UI"/>
                <w:color w:val="000000"/>
                <w:sz w:val="22"/>
                <w:szCs w:val="22"/>
                <w:shd w:val="clear" w:color="auto" w:fill="ffffff"/>
              </w:rPr>
              <w:t xml:space="preserve">Content-Type</w:t>
            </w:r>
            <w:r>
              <w:rPr>
                <w:rFonts w:hint="eastAsia" w:ascii="微软雅黑" w:hAnsi="微软雅黑" w:eastAsia="微软雅黑" w:cs="微软雅黑"/>
                <w:color w:val="000000"/>
                <w:sz w:val="22"/>
                <w:szCs w:val="22"/>
                <w:shd w:val="clear" w:color="auto" w:fill="ffffff"/>
              </w:rPr>
              <w:t xml:space="preserve">为</w:t>
            </w:r>
            <w:r>
              <w:rPr>
                <w:rFonts w:ascii="Segoe UI" w:hAnsi="Segoe UI" w:eastAsia="Segoe UI" w:cs="Segoe UI"/>
                <w:color w:val="000000"/>
                <w:sz w:val="22"/>
                <w:szCs w:val="22"/>
                <w:shd w:val="clear" w:color="auto" w:fill="ffffff"/>
              </w:rPr>
              <w:t xml:space="preserve">application/json</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1.5</w:t>
            </w:r>
            <w:r>
              <w:rPr>
                <w:rFonts w:ascii="Calibri" w:hAnsi="Calibri"/>
                <w:color w:val="000000"/>
              </w:rPr>
            </w:r>
            <w:r/>
          </w:p>
        </w:tc>
        <w:tc>
          <w:tcPr>
            <w:tcW w:w="1745"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异常处理</w:t>
            </w:r>
            <w:r>
              <w:rPr>
                <w:rFonts w:ascii="Calibri" w:hAnsi="Calibri"/>
                <w:color w:val="000000"/>
              </w:rPr>
            </w:r>
            <w:r/>
          </w:p>
        </w:tc>
        <w:tc>
          <w:tcPr>
            <w:tcW w:w="6174"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同步失败时须支持自动重试机制（重试次数不少于</w:t>
            </w:r>
            <w:r>
              <w:rPr>
                <w:rFonts w:ascii="Segoe UI" w:hAnsi="Segoe UI" w:eastAsia="Segoe UI" w:cs="Segoe UI"/>
                <w:color w:val="000000"/>
                <w:sz w:val="22"/>
                <w:szCs w:val="22"/>
                <w:shd w:val="clear" w:color="auto" w:fill="ffffff"/>
              </w:rPr>
              <w:t xml:space="preserve">3</w:t>
            </w:r>
            <w:r>
              <w:rPr>
                <w:rFonts w:hint="eastAsia" w:ascii="微软雅黑" w:hAnsi="微软雅黑" w:eastAsia="微软雅黑" w:cs="微软雅黑"/>
                <w:color w:val="000000"/>
                <w:sz w:val="22"/>
                <w:szCs w:val="22"/>
                <w:shd w:val="clear" w:color="auto" w:fill="ffffff"/>
              </w:rPr>
              <w:t xml:space="preserve">次），并提供人工补录界面</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1.6</w:t>
            </w:r>
            <w:r>
              <w:rPr>
                <w:rFonts w:ascii="Calibri" w:hAnsi="Calibri"/>
                <w:color w:val="000000"/>
              </w:rPr>
            </w:r>
            <w:r/>
          </w:p>
        </w:tc>
        <w:tc>
          <w:tcPr>
            <w:tcW w:w="1745" w:type="dxa"/>
            <w:vAlign w:val="top"/>
            <w:textDirection w:val="lrTb"/>
            <w:noWrap w:val="false"/>
          </w:tcPr>
          <w:p>
            <w:pPr>
              <w:pStyle w:val="886"/>
              <w:ind w:left="0" w:firstLine="0"/>
              <w:jc w:val="center"/>
              <w:rPr>
                <w:rFonts w:ascii="Segoe UI" w:hAnsi="Segoe UI" w:eastAsia="Segoe UI" w:cs="Segoe UI"/>
                <w:color w:val="000000"/>
                <w:sz w:val="22"/>
                <w:szCs w:val="22"/>
                <w:shd w:val="clear" w:color="auto" w:fill="ffffff"/>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日志记录</w:t>
            </w:r>
            <w:r>
              <w:rPr>
                <w:rFonts w:ascii="Segoe UI" w:hAnsi="Segoe UI" w:eastAsia="Segoe UI" w:cs="Segoe UI"/>
                <w:color w:val="000000"/>
                <w:sz w:val="22"/>
                <w:szCs w:val="22"/>
                <w:shd w:val="clear" w:color="auto" w:fill="ffffff"/>
              </w:rPr>
            </w:r>
            <w:r/>
          </w:p>
        </w:tc>
        <w:tc>
          <w:tcPr>
            <w:tcW w:w="6174"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每次同步操作须记录请求报文、响应报文、时间戳、操作结果，日志保存周期不少于</w:t>
            </w:r>
            <w:r>
              <w:rPr>
                <w:rFonts w:ascii="Segoe UI" w:hAnsi="Segoe UI" w:eastAsia="Segoe UI" w:cs="Segoe UI"/>
                <w:color w:val="000000"/>
                <w:sz w:val="22"/>
                <w:szCs w:val="22"/>
                <w:shd w:val="clear" w:color="auto" w:fill="ffffff"/>
              </w:rPr>
              <w:t xml:space="preserve">180</w:t>
            </w:r>
            <w:r>
              <w:rPr>
                <w:rFonts w:hint="eastAsia" w:ascii="微软雅黑" w:hAnsi="微软雅黑" w:eastAsia="微软雅黑" w:cs="微软雅黑"/>
                <w:color w:val="000000"/>
                <w:sz w:val="22"/>
                <w:szCs w:val="22"/>
                <w:shd w:val="clear" w:color="auto" w:fill="ffffff"/>
              </w:rPr>
              <w:t xml:space="preserve">天</w:t>
            </w:r>
            <w:r>
              <w:rPr>
                <w:rFonts w:ascii="Calibri" w:hAnsi="Calibri"/>
                <w:color w:val="000000"/>
              </w:rPr>
            </w:r>
            <w:r/>
          </w:p>
        </w:tc>
      </w:tr>
    </w:tbl>
    <w:p>
      <w:pPr>
        <w:pStyle w:val="886"/>
        <w:rPr>
          <w:color w:val="000000"/>
          <w:sz w:val="24"/>
        </w:rPr>
      </w:pPr>
      <w:r>
        <w:rPr>
          <w:color w:val="000000"/>
          <w:sz w:val="24"/>
        </w:rPr>
      </w:r>
      <w:r/>
    </w:p>
    <w:p>
      <w:pPr>
        <w:pStyle w:val="940"/>
        <w:numPr>
          <w:ilvl w:val="0"/>
          <w:numId w:val="4"/>
        </w:numPr>
        <w:jc w:val="left"/>
        <w:rPr>
          <w:color w:val="000000"/>
          <w:sz w:val="24"/>
          <w:szCs w:val="21"/>
        </w:rPr>
      </w:pPr>
      <w:r>
        <w:rPr>
          <w:color w:val="000000"/>
          <w:sz w:val="24"/>
          <w:szCs w:val="21"/>
        </w:rPr>
        <w:t xml:space="preserve">收费</w:t>
      </w:r>
      <w:r>
        <w:rPr>
          <w:rFonts w:hint="eastAsia"/>
          <w:color w:val="000000"/>
          <w:sz w:val="24"/>
          <w:szCs w:val="21"/>
        </w:rPr>
        <w:t xml:space="preserve">记录</w:t>
      </w:r>
      <w:r>
        <w:rPr>
          <w:color w:val="000000"/>
          <w:sz w:val="24"/>
          <w:szCs w:val="21"/>
        </w:rPr>
        <w:t xml:space="preserve">同步接口</w:t>
      </w:r>
      <w:r>
        <w:rPr>
          <w:rFonts w:hint="eastAsia"/>
          <w:color w:val="000000"/>
          <w:sz w:val="24"/>
          <w:szCs w:val="21"/>
        </w:rPr>
        <w:t xml:space="preserve">（提供截图证明）</w:t>
      </w:r>
      <w:r>
        <w:rPr>
          <w:color w:val="000000"/>
          <w:sz w:val="24"/>
          <w:szCs w:val="21"/>
        </w:rPr>
      </w:r>
      <w:r/>
    </w:p>
    <w:tbl>
      <w:tblPr>
        <w:tblW w:w="0" w:type="auto"/>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050"/>
        <w:gridCol w:w="5869"/>
      </w:tblGrid>
      <w:tr>
        <w:trPr/>
        <w:tc>
          <w:tcPr>
            <w:tcW w:w="1317"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序号</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参数项</w:t>
            </w:r>
            <w:r>
              <w:rPr>
                <w:rFonts w:ascii="Calibri" w:hAnsi="Calibri"/>
                <w:color w:val="000000"/>
              </w:rPr>
            </w:r>
            <w:r/>
          </w:p>
        </w:tc>
        <w:tc>
          <w:tcPr>
            <w:tcW w:w="5869"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技术指标要求</w:t>
            </w:r>
            <w:r>
              <w:rPr>
                <w:rFonts w:ascii="Calibri" w:hAnsi="Calibri"/>
                <w:color w:val="000000"/>
              </w:rPr>
            </w:r>
            <w:r/>
          </w:p>
        </w:tc>
      </w:tr>
      <w:tr>
        <w:trPr>
          <w:trHeight w:val="594"/>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2.1</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接口功能</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实现基层医院</w:t>
            </w:r>
            <w:r>
              <w:rPr>
                <w:rFonts w:ascii="Segoe UI" w:hAnsi="Segoe UI" w:eastAsia="Segoe UI" w:cs="Segoe UI"/>
                <w:color w:val="000000"/>
                <w:sz w:val="22"/>
                <w:szCs w:val="22"/>
                <w:shd w:val="clear" w:color="auto" w:fill="ffffff"/>
              </w:rPr>
              <w:t xml:space="preserve">HIS</w:t>
            </w:r>
            <w:r>
              <w:rPr>
                <w:rFonts w:hint="eastAsia" w:ascii="微软雅黑" w:hAnsi="微软雅黑" w:eastAsia="微软雅黑" w:cs="微软雅黑"/>
                <w:color w:val="000000"/>
                <w:sz w:val="22"/>
                <w:szCs w:val="22"/>
                <w:shd w:val="clear" w:color="auto" w:fill="ffffff"/>
              </w:rPr>
              <w:t xml:space="preserve">系统收费信息向中医院信息系统的实时同步，确保代煎费用与处方关联准确</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2.2</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触发时机</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患者完成缴费后自动触发收费信息同步</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2.3</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同步字段</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须包含但不限于：收费流水号、处方编号、收费项目明细、收费金额、医保支付金额、自付金额、收费时间、收费操作员、支付方式（现金</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医保</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微信</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支付宝等）</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2.4</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费用关联</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收费记录须与挂号记录、处方记录建立关联，支持按处方查询费用明细</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2.5</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数据一致性</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收费信息同步须支持幂等性，避免重复收费记录产生</w:t>
            </w:r>
            <w:r>
              <w:rPr>
                <w:rFonts w:ascii="Calibri" w:hAnsi="Calibri"/>
                <w:color w:val="000000"/>
              </w:rPr>
            </w:r>
            <w:r/>
          </w:p>
        </w:tc>
      </w:tr>
    </w:tbl>
    <w:p>
      <w:pPr>
        <w:pStyle w:val="886"/>
        <w:ind w:firstLine="0"/>
        <w:rPr>
          <w:color w:val="000000"/>
        </w:rPr>
      </w:pPr>
      <w:r>
        <w:rPr>
          <w:color w:val="000000"/>
        </w:rPr>
      </w:r>
      <w:r/>
    </w:p>
    <w:p>
      <w:pPr>
        <w:pStyle w:val="940"/>
        <w:numPr>
          <w:ilvl w:val="0"/>
          <w:numId w:val="4"/>
        </w:numPr>
        <w:rPr>
          <w:color w:val="000000"/>
          <w:sz w:val="24"/>
          <w:szCs w:val="24"/>
        </w:rPr>
      </w:pPr>
      <w:r>
        <w:rPr>
          <w:color w:val="000000"/>
          <w:sz w:val="24"/>
          <w:szCs w:val="24"/>
        </w:rPr>
        <w:t xml:space="preserve">退费</w:t>
      </w:r>
      <w:r>
        <w:rPr>
          <w:rFonts w:hint="eastAsia"/>
          <w:color w:val="000000"/>
          <w:sz w:val="24"/>
          <w:szCs w:val="24"/>
        </w:rPr>
        <w:t xml:space="preserve">记录</w:t>
      </w:r>
      <w:r>
        <w:rPr>
          <w:color w:val="000000"/>
          <w:sz w:val="24"/>
          <w:szCs w:val="24"/>
        </w:rPr>
        <w:t xml:space="preserve">同步接口</w:t>
      </w:r>
      <w:r>
        <w:rPr>
          <w:rFonts w:hint="eastAsia"/>
          <w:color w:val="000000"/>
          <w:sz w:val="24"/>
          <w:szCs w:val="24"/>
        </w:rPr>
        <w:t xml:space="preserve">（提供截图证明）</w:t>
      </w:r>
      <w:r>
        <w:rPr>
          <w:color w:val="000000"/>
          <w:sz w:val="24"/>
          <w:szCs w:val="24"/>
        </w:rPr>
      </w:r>
      <w:r/>
    </w:p>
    <w:tbl>
      <w:tblPr>
        <w:tblW w:w="0" w:type="auto"/>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050"/>
        <w:gridCol w:w="5869"/>
      </w:tblGrid>
      <w:tr>
        <w:trPr/>
        <w:tc>
          <w:tcPr>
            <w:tcW w:w="1317"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序号</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参数项</w:t>
            </w:r>
            <w:r>
              <w:rPr>
                <w:rFonts w:ascii="Calibri" w:hAnsi="Calibri"/>
                <w:color w:val="000000"/>
              </w:rPr>
            </w:r>
            <w:r/>
          </w:p>
        </w:tc>
        <w:tc>
          <w:tcPr>
            <w:tcW w:w="5869"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技术指标要求</w:t>
            </w:r>
            <w:r>
              <w:rPr>
                <w:rFonts w:ascii="Calibri" w:hAnsi="Calibri"/>
                <w:color w:val="000000"/>
              </w:rPr>
            </w:r>
            <w:r/>
          </w:p>
        </w:tc>
      </w:tr>
      <w:tr>
        <w:trPr>
          <w:trHeight w:val="594"/>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3.1</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接口功能</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实现基层医院</w:t>
            </w:r>
            <w:r>
              <w:rPr>
                <w:rFonts w:ascii="Segoe UI" w:hAnsi="Segoe UI" w:eastAsia="Segoe UI" w:cs="Segoe UI"/>
                <w:color w:val="000000"/>
                <w:sz w:val="22"/>
                <w:szCs w:val="22"/>
                <w:shd w:val="clear" w:color="auto" w:fill="ffffff"/>
              </w:rPr>
              <w:t xml:space="preserve">HIS</w:t>
            </w:r>
            <w:r>
              <w:rPr>
                <w:rFonts w:hint="eastAsia" w:ascii="微软雅黑" w:hAnsi="微软雅黑" w:eastAsia="微软雅黑" w:cs="微软雅黑"/>
                <w:color w:val="000000"/>
                <w:sz w:val="22"/>
                <w:szCs w:val="22"/>
                <w:shd w:val="clear" w:color="auto" w:fill="ffffff"/>
              </w:rPr>
              <w:t xml:space="preserve">系统退费信息向中医院信息系统的实时同步，确保退费后处方状态及时更新</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3.2</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同步字段</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须包含但不限于：退费流水号、原收费流水号、处方编号、退费明细、退费金额、退费原因、退费时间、退费操作员</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3.3</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状态联动</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退费成功后，关联处方状态须自动更新为</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已退费</w:t>
            </w:r>
            <w:r>
              <w:rPr>
                <w:rFonts w:ascii="Segoe UI" w:hAnsi="Segoe UI" w:eastAsia="Segoe UI" w:cs="Segoe UI"/>
                <w:color w:val="000000"/>
                <w:sz w:val="22"/>
                <w:szCs w:val="22"/>
                <w:shd w:val="clear" w:color="auto" w:fill="ffffff"/>
              </w:rPr>
              <w:t xml:space="preserve">”</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3.4</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原路退回</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退费方式须与原支付方式对应，支持原路退回</w:t>
            </w:r>
            <w:r>
              <w:rPr>
                <w:rFonts w:ascii="Calibri" w:hAnsi="Calibri"/>
                <w:color w:val="000000"/>
              </w:rPr>
            </w:r>
            <w:r/>
          </w:p>
        </w:tc>
      </w:tr>
    </w:tbl>
    <w:p>
      <w:pPr>
        <w:pStyle w:val="886"/>
        <w:ind w:left="420" w:firstLine="0"/>
        <w:rPr>
          <w:color w:val="000000"/>
        </w:rPr>
      </w:pPr>
      <w:r>
        <w:rPr>
          <w:color w:val="000000"/>
        </w:rPr>
      </w:r>
      <w:r/>
    </w:p>
    <w:p>
      <w:pPr>
        <w:pStyle w:val="940"/>
        <w:numPr>
          <w:ilvl w:val="0"/>
          <w:numId w:val="4"/>
        </w:numPr>
        <w:rPr>
          <w:color w:val="000000"/>
          <w:sz w:val="24"/>
          <w:szCs w:val="24"/>
        </w:rPr>
      </w:pPr>
      <w:r>
        <w:rPr>
          <w:color w:val="000000"/>
          <w:sz w:val="24"/>
          <w:szCs w:val="24"/>
        </w:rPr>
        <w:t xml:space="preserve">发药</w:t>
      </w:r>
      <w:r>
        <w:rPr>
          <w:rFonts w:hint="eastAsia"/>
          <w:color w:val="000000"/>
          <w:sz w:val="24"/>
          <w:szCs w:val="24"/>
        </w:rPr>
        <w:t xml:space="preserve">记录</w:t>
      </w:r>
      <w:r>
        <w:rPr>
          <w:color w:val="000000"/>
          <w:sz w:val="24"/>
          <w:szCs w:val="24"/>
        </w:rPr>
        <w:t xml:space="preserve">同步接口</w:t>
      </w:r>
      <w:r>
        <w:rPr>
          <w:rFonts w:hint="eastAsia"/>
          <w:color w:val="000000"/>
          <w:sz w:val="24"/>
          <w:szCs w:val="24"/>
        </w:rPr>
        <w:t xml:space="preserve">（中医院→基层医院）（提供截图证明）</w:t>
      </w:r>
      <w:r>
        <w:rPr>
          <w:color w:val="000000"/>
          <w:sz w:val="24"/>
          <w:szCs w:val="24"/>
        </w:rPr>
      </w:r>
      <w:r/>
    </w:p>
    <w:tbl>
      <w:tblPr>
        <w:tblW w:w="0" w:type="auto"/>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050"/>
        <w:gridCol w:w="5869"/>
      </w:tblGrid>
      <w:tr>
        <w:trPr/>
        <w:tc>
          <w:tcPr>
            <w:tcW w:w="1317"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序号</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参数项</w:t>
            </w:r>
            <w:r>
              <w:rPr>
                <w:rFonts w:ascii="Calibri" w:hAnsi="Calibri"/>
                <w:color w:val="000000"/>
              </w:rPr>
            </w:r>
            <w:r/>
          </w:p>
        </w:tc>
        <w:tc>
          <w:tcPr>
            <w:tcW w:w="5869"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技术指标要求</w:t>
            </w:r>
            <w:r>
              <w:rPr>
                <w:rFonts w:ascii="Calibri" w:hAnsi="Calibri"/>
                <w:color w:val="000000"/>
              </w:rPr>
            </w:r>
            <w:r/>
          </w:p>
        </w:tc>
      </w:tr>
      <w:tr>
        <w:trPr>
          <w:trHeight w:val="594"/>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4.1</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接口功能</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实现</w:t>
            </w:r>
            <w:r>
              <w:rPr>
                <w:rFonts w:hint="eastAsia" w:ascii="Segoe UI" w:hAnsi="Segoe UI" w:cs="Segoe UI"/>
                <w:color w:val="000000"/>
                <w:sz w:val="22"/>
                <w:szCs w:val="22"/>
                <w:shd w:val="clear" w:color="auto" w:fill="ffffff"/>
              </w:rPr>
              <w:t xml:space="preserve">基层卫生院向中医院发送处方，经前置审方软件审核后，</w:t>
            </w:r>
            <w:r>
              <w:rPr>
                <w:rFonts w:hint="eastAsia" w:ascii="微软雅黑" w:hAnsi="微软雅黑" w:eastAsia="微软雅黑" w:cs="微软雅黑"/>
                <w:color w:val="000000"/>
                <w:sz w:val="22"/>
                <w:szCs w:val="22"/>
                <w:shd w:val="clear" w:color="auto" w:fill="ffffff"/>
              </w:rPr>
              <w:t xml:space="preserve">中医院信息系统向</w:t>
            </w:r>
            <w:r>
              <w:rPr>
                <w:rFonts w:hint="eastAsia" w:ascii="Segoe UI" w:hAnsi="Segoe UI" w:cs="Segoe UI"/>
                <w:color w:val="000000"/>
                <w:sz w:val="22"/>
                <w:szCs w:val="22"/>
                <w:shd w:val="clear" w:color="auto" w:fill="ffffff"/>
              </w:rPr>
              <w:t xml:space="preserve">基层医院HIS</w:t>
            </w:r>
            <w:r>
              <w:rPr>
                <w:rFonts w:hint="eastAsia" w:ascii="微软雅黑" w:hAnsi="微软雅黑" w:eastAsia="微软雅黑" w:cs="微软雅黑"/>
                <w:color w:val="000000"/>
                <w:sz w:val="22"/>
                <w:szCs w:val="22"/>
                <w:shd w:val="clear" w:color="auto" w:fill="ffffff"/>
              </w:rPr>
              <w:t xml:space="preserve">系统的发药记录推送，确保发药信息同步至</w:t>
            </w:r>
            <w:r>
              <w:rPr>
                <w:rFonts w:hint="eastAsia" w:ascii="Segoe UI" w:hAnsi="Segoe UI" w:cs="Segoe UI"/>
                <w:color w:val="000000"/>
                <w:sz w:val="22"/>
                <w:szCs w:val="22"/>
                <w:shd w:val="clear" w:color="auto" w:fill="ffffff"/>
              </w:rPr>
              <w:t xml:space="preserve">基层医院。</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4.2</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同步字段</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须包含但不限于：发药流水号、处方编号、药品名称、药品编码、规格、数量、发药日期、发药操作员、领取方式（自取</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配送）、配送单号</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4.3</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状态更新</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发药同步后，</w:t>
            </w:r>
            <w:r>
              <w:rPr>
                <w:rFonts w:ascii="Segoe UI" w:hAnsi="Segoe UI" w:eastAsia="Segoe UI" w:cs="Segoe UI"/>
                <w:color w:val="000000"/>
                <w:sz w:val="22"/>
                <w:szCs w:val="22"/>
                <w:shd w:val="clear" w:color="auto" w:fill="ffffff"/>
              </w:rPr>
              <w:t xml:space="preserve">HIS</w:t>
            </w:r>
            <w:r>
              <w:rPr>
                <w:rFonts w:hint="eastAsia" w:ascii="微软雅黑" w:hAnsi="微软雅黑" w:eastAsia="微软雅黑" w:cs="微软雅黑"/>
                <w:color w:val="000000"/>
                <w:sz w:val="22"/>
                <w:szCs w:val="22"/>
                <w:shd w:val="clear" w:color="auto" w:fill="ffffff"/>
              </w:rPr>
              <w:t xml:space="preserve">系统中对应处方状态须自动更新为</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已发药</w:t>
            </w:r>
            <w:r>
              <w:rPr>
                <w:rFonts w:ascii="Segoe UI" w:hAnsi="Segoe UI" w:eastAsia="Segoe UI" w:cs="Segoe UI"/>
                <w:color w:val="000000"/>
                <w:sz w:val="22"/>
                <w:szCs w:val="22"/>
                <w:shd w:val="clear" w:color="auto" w:fill="ffffff"/>
              </w:rPr>
              <w:t xml:space="preserve">”</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4.4</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代煎成品标识</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发药记录须明确标识为</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代煎汤剂</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，并标注煎药数量、包装规格（每袋</w:t>
            </w:r>
            <w:r>
              <w:rPr>
                <w:rFonts w:ascii="Segoe UI" w:hAnsi="Segoe UI" w:eastAsia="Segoe UI" w:cs="Segoe UI"/>
                <w:color w:val="000000"/>
                <w:sz w:val="22"/>
                <w:szCs w:val="22"/>
                <w:shd w:val="clear" w:color="auto" w:fill="ffffff"/>
              </w:rPr>
              <w:t xml:space="preserve">ml</w:t>
            </w:r>
            <w:r>
              <w:rPr>
                <w:rFonts w:hint="eastAsia" w:ascii="微软雅黑" w:hAnsi="微软雅黑" w:eastAsia="微软雅黑" w:cs="微软雅黑"/>
                <w:color w:val="000000"/>
                <w:sz w:val="22"/>
                <w:szCs w:val="22"/>
                <w:shd w:val="clear" w:color="auto" w:fill="ffffff"/>
              </w:rPr>
              <w:t xml:space="preserve">数及总袋数）</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4.5</w:t>
            </w:r>
            <w:r>
              <w:rPr>
                <w:rFonts w:ascii="Calibri" w:hAnsi="Calibri"/>
                <w:color w:val="000000"/>
              </w:rPr>
            </w:r>
            <w:r/>
          </w:p>
        </w:tc>
        <w:tc>
          <w:tcPr>
            <w:tcW w:w="2050" w:type="dxa"/>
            <w:vAlign w:val="top"/>
            <w:textDirection w:val="lrTb"/>
            <w:noWrap w:val="false"/>
          </w:tcPr>
          <w:p>
            <w:pPr>
              <w:pStyle w:val="886"/>
              <w:ind w:left="0" w:firstLine="0"/>
              <w:jc w:val="center"/>
              <w:rPr>
                <w:rFonts w:ascii="Segoe UI" w:hAnsi="Segoe UI" w:eastAsia="Segoe UI" w:cs="Segoe UI"/>
                <w:color w:val="000000"/>
                <w:sz w:val="22"/>
                <w:szCs w:val="22"/>
                <w:shd w:val="clear" w:color="auto" w:fill="ffffff"/>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配送信息</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如为配送发药，须同步配送地址、联系人、联系电话、配送公司、配送单号、预计送达时间</w:t>
            </w:r>
            <w:r>
              <w:rPr>
                <w:rFonts w:ascii="Segoe UI" w:hAnsi="Segoe UI" w:eastAsia="Segoe UI" w:cs="Segoe UI"/>
                <w:color w:val="000000"/>
                <w:sz w:val="22"/>
                <w:szCs w:val="22"/>
                <w:shd w:val="clear" w:color="auto" w:fill="ffffff"/>
              </w:rPr>
            </w:r>
            <w:r/>
          </w:p>
        </w:tc>
      </w:tr>
    </w:tbl>
    <w:p>
      <w:pPr>
        <w:pStyle w:val="940"/>
        <w:numPr>
          <w:ilvl w:val="0"/>
          <w:numId w:val="4"/>
        </w:numPr>
        <w:rPr>
          <w:color w:val="000000"/>
          <w:sz w:val="24"/>
          <w:szCs w:val="24"/>
        </w:rPr>
      </w:pPr>
      <w:r>
        <w:rPr>
          <w:color w:val="000000"/>
          <w:sz w:val="24"/>
          <w:szCs w:val="24"/>
        </w:rPr>
        <w:t xml:space="preserve">发药</w:t>
      </w:r>
      <w:r>
        <w:rPr>
          <w:rFonts w:hint="eastAsia"/>
          <w:color w:val="000000"/>
          <w:sz w:val="24"/>
          <w:szCs w:val="24"/>
        </w:rPr>
        <w:t xml:space="preserve">记录</w:t>
      </w:r>
      <w:r>
        <w:rPr>
          <w:color w:val="000000"/>
          <w:sz w:val="24"/>
          <w:szCs w:val="24"/>
        </w:rPr>
        <w:t xml:space="preserve">同步接口</w:t>
      </w:r>
      <w:r>
        <w:rPr>
          <w:rFonts w:hint="eastAsia"/>
          <w:color w:val="000000"/>
          <w:sz w:val="24"/>
          <w:szCs w:val="24"/>
        </w:rPr>
        <w:t xml:space="preserve">（中医院→第三方煎药系统）（提供截图证明）</w:t>
      </w:r>
      <w:r>
        <w:rPr>
          <w:color w:val="000000"/>
          <w:sz w:val="24"/>
          <w:szCs w:val="24"/>
        </w:rPr>
      </w:r>
      <w:r/>
    </w:p>
    <w:tbl>
      <w:tblPr>
        <w:tblW w:w="0" w:type="auto"/>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050"/>
        <w:gridCol w:w="5869"/>
      </w:tblGrid>
      <w:tr>
        <w:trPr>
          <w:trHeight w:val="90"/>
        </w:trPr>
        <w:tc>
          <w:tcPr>
            <w:tcW w:w="1317"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序号</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参数项</w:t>
            </w:r>
            <w:r>
              <w:rPr>
                <w:rFonts w:ascii="Calibri" w:hAnsi="Calibri"/>
                <w:color w:val="000000"/>
              </w:rPr>
            </w:r>
            <w:r/>
          </w:p>
        </w:tc>
        <w:tc>
          <w:tcPr>
            <w:tcW w:w="5869"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技术指标要求</w:t>
            </w:r>
            <w:r>
              <w:rPr>
                <w:rFonts w:ascii="Calibri" w:hAnsi="Calibri"/>
                <w:color w:val="000000"/>
              </w:rPr>
            </w:r>
            <w:r/>
          </w:p>
        </w:tc>
      </w:tr>
      <w:tr>
        <w:trPr>
          <w:trHeight w:val="562"/>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5.1</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接口功能</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实现中医院信息系统向第三方代煎服务企业系统的发药记录推送，确保代煎完成后的发药信息同步至代煎系统</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5.2</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同步字段</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须包含但不限于：发药流水号、处方编号、药品名称、药品编码、规格、数量、发药日期、发药操作员、领取方式（自取</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配送）、配送单号</w:t>
            </w:r>
            <w:r>
              <w:rPr>
                <w:rFonts w:ascii="Calibri" w:hAnsi="Calibri"/>
                <w:color w:val="000000"/>
              </w:rPr>
            </w:r>
            <w:r/>
          </w:p>
        </w:tc>
      </w:tr>
      <w:tr>
        <w:trPr>
          <w:trHeight w:val="291"/>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5.3</w:t>
            </w:r>
            <w:r>
              <w:rPr>
                <w:rFonts w:ascii="Calibri" w:hAnsi="Calibri"/>
                <w:color w:val="000000"/>
              </w:rPr>
            </w:r>
            <w:r/>
          </w:p>
        </w:tc>
        <w:tc>
          <w:tcPr>
            <w:tcW w:w="2050" w:type="dxa"/>
            <w:vAlign w:val="top"/>
            <w:textDirection w:val="lrTb"/>
            <w:noWrap w:val="false"/>
          </w:tcPr>
          <w:p>
            <w:pPr>
              <w:pStyle w:val="886"/>
              <w:ind w:left="0" w:firstLine="0"/>
              <w:jc w:val="center"/>
              <w:rPr>
                <w:rFonts w:ascii="Segoe UI" w:hAnsi="Segoe UI" w:eastAsia="Segoe UI" w:cs="Segoe UI"/>
                <w:color w:val="000000"/>
                <w:sz w:val="22"/>
                <w:szCs w:val="22"/>
                <w:shd w:val="clear" w:color="auto" w:fill="ffffff"/>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状态回传</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第三方代煎系统接收发药记录后，关联的代煎任务状态自动更新为</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已完成</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已发药</w:t>
            </w:r>
            <w:r>
              <w:rPr>
                <w:rFonts w:ascii="Segoe UI" w:hAnsi="Segoe UI" w:eastAsia="Segoe UI" w:cs="Segoe UI"/>
                <w:color w:val="000000"/>
                <w:sz w:val="22"/>
                <w:szCs w:val="22"/>
                <w:shd w:val="clear" w:color="auto" w:fill="ffffff"/>
              </w:rPr>
              <w:t xml:space="preserve">”</w:t>
            </w:r>
            <w:r>
              <w:rPr>
                <w:rFonts w:ascii="Segoe UI" w:hAnsi="Segoe UI" w:eastAsia="Segoe UI" w:cs="Segoe UI"/>
                <w:color w:val="000000"/>
                <w:sz w:val="22"/>
                <w:szCs w:val="22"/>
                <w:shd w:val="clear" w:color="auto" w:fill="ffffff"/>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5.4</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代煎成品标识</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发药记录须明确标识为</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代煎汤剂</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，并标注煎药数量、包装规格（每袋</w:t>
            </w:r>
            <w:r>
              <w:rPr>
                <w:rFonts w:ascii="Segoe UI" w:hAnsi="Segoe UI" w:eastAsia="Segoe UI" w:cs="Segoe UI"/>
                <w:color w:val="000000"/>
                <w:sz w:val="22"/>
                <w:szCs w:val="22"/>
                <w:shd w:val="clear" w:color="auto" w:fill="ffffff"/>
              </w:rPr>
              <w:t xml:space="preserve">ml</w:t>
            </w:r>
            <w:r>
              <w:rPr>
                <w:rFonts w:hint="eastAsia" w:ascii="微软雅黑" w:hAnsi="微软雅黑" w:eastAsia="微软雅黑" w:cs="微软雅黑"/>
                <w:color w:val="000000"/>
                <w:sz w:val="22"/>
                <w:szCs w:val="22"/>
                <w:shd w:val="clear" w:color="auto" w:fill="ffffff"/>
              </w:rPr>
              <w:t xml:space="preserve">数及总袋数）</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5.5</w:t>
            </w:r>
            <w:r>
              <w:rPr>
                <w:rFonts w:ascii="Calibri" w:hAnsi="Calibri"/>
                <w:color w:val="000000"/>
              </w:rPr>
            </w:r>
            <w:r/>
          </w:p>
        </w:tc>
        <w:tc>
          <w:tcPr>
            <w:tcW w:w="2050" w:type="dxa"/>
            <w:vAlign w:val="top"/>
            <w:textDirection w:val="lrTb"/>
            <w:noWrap w:val="false"/>
          </w:tcPr>
          <w:p>
            <w:pPr>
              <w:pStyle w:val="886"/>
              <w:ind w:left="0" w:firstLine="0"/>
              <w:jc w:val="center"/>
              <w:rPr>
                <w:rFonts w:ascii="Segoe UI" w:hAnsi="Segoe UI" w:eastAsia="Segoe UI" w:cs="Segoe UI"/>
                <w:color w:val="000000"/>
                <w:sz w:val="22"/>
                <w:szCs w:val="22"/>
                <w:shd w:val="clear" w:color="auto" w:fill="ffffff"/>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配送信息</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如为配送发药，须同步配送地址、联系人、联系电话、配送公司、配送单号、预计送达时间</w:t>
            </w:r>
            <w:r>
              <w:rPr>
                <w:rFonts w:ascii="Segoe UI" w:hAnsi="Segoe UI" w:eastAsia="Segoe UI" w:cs="Segoe UI"/>
                <w:color w:val="000000"/>
                <w:sz w:val="22"/>
                <w:szCs w:val="22"/>
                <w:shd w:val="clear" w:color="auto" w:fill="ffffff"/>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5.6</w:t>
            </w:r>
            <w:r>
              <w:rPr>
                <w:rFonts w:ascii="Calibri" w:hAnsi="Calibri"/>
                <w:color w:val="000000"/>
              </w:rPr>
            </w:r>
            <w:r/>
          </w:p>
        </w:tc>
        <w:tc>
          <w:tcPr>
            <w:tcW w:w="2050" w:type="dxa"/>
            <w:vAlign w:val="top"/>
            <w:textDirection w:val="lrTb"/>
            <w:noWrap w:val="false"/>
          </w:tcPr>
          <w:p>
            <w:pPr>
              <w:pStyle w:val="886"/>
              <w:ind w:left="0" w:firstLine="0"/>
              <w:jc w:val="center"/>
              <w:rPr>
                <w:rFonts w:ascii="Segoe UI" w:hAnsi="Segoe UI" w:eastAsia="Segoe UI" w:cs="Segoe UI"/>
                <w:color w:val="000000"/>
                <w:sz w:val="22"/>
                <w:szCs w:val="22"/>
                <w:shd w:val="clear" w:color="auto" w:fill="ffffff"/>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签收回传</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第三方代煎系统接收患者签收信息后，支持将签收状态回传至中医院信息系统</w:t>
            </w:r>
            <w:r>
              <w:rPr>
                <w:rFonts w:ascii="Segoe UI" w:hAnsi="Segoe UI" w:eastAsia="Segoe UI" w:cs="Segoe UI"/>
                <w:color w:val="000000"/>
                <w:sz w:val="22"/>
                <w:szCs w:val="22"/>
                <w:shd w:val="clear" w:color="auto" w:fill="ffffff"/>
              </w:rPr>
            </w:r>
            <w:r/>
          </w:p>
        </w:tc>
      </w:tr>
    </w:tbl>
    <w:p>
      <w:pPr>
        <w:pStyle w:val="886"/>
        <w:ind w:left="420" w:firstLine="0"/>
        <w:rPr>
          <w:color w:val="000000"/>
        </w:rPr>
      </w:pPr>
      <w:r>
        <w:rPr>
          <w:color w:val="000000"/>
        </w:rPr>
      </w:r>
      <w:r/>
    </w:p>
    <w:p>
      <w:pPr>
        <w:pStyle w:val="940"/>
        <w:numPr>
          <w:ilvl w:val="0"/>
          <w:numId w:val="4"/>
        </w:numPr>
        <w:rPr>
          <w:color w:val="000000"/>
          <w:sz w:val="24"/>
          <w:szCs w:val="24"/>
        </w:rPr>
      </w:pPr>
      <w:r>
        <w:rPr>
          <w:color w:val="000000"/>
          <w:sz w:val="24"/>
          <w:szCs w:val="24"/>
        </w:rPr>
        <w:t xml:space="preserve">退药</w:t>
      </w:r>
      <w:r>
        <w:rPr>
          <w:rFonts w:hint="eastAsia"/>
          <w:color w:val="000000"/>
          <w:sz w:val="24"/>
          <w:szCs w:val="24"/>
        </w:rPr>
        <w:t xml:space="preserve">记录</w:t>
      </w:r>
      <w:r>
        <w:rPr>
          <w:color w:val="000000"/>
          <w:sz w:val="24"/>
          <w:szCs w:val="24"/>
        </w:rPr>
        <w:t xml:space="preserve">同步接口</w:t>
      </w:r>
      <w:r>
        <w:rPr>
          <w:rFonts w:hint="eastAsia"/>
          <w:color w:val="000000"/>
          <w:sz w:val="24"/>
          <w:szCs w:val="24"/>
        </w:rPr>
        <w:t xml:space="preserve">（提供截图证明）</w:t>
      </w:r>
      <w:r>
        <w:rPr>
          <w:color w:val="000000"/>
          <w:sz w:val="24"/>
          <w:szCs w:val="24"/>
        </w:rPr>
      </w:r>
      <w:r/>
    </w:p>
    <w:tbl>
      <w:tblPr>
        <w:tblW w:w="0" w:type="auto"/>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050"/>
        <w:gridCol w:w="5869"/>
      </w:tblGrid>
      <w:tr>
        <w:trPr/>
        <w:tc>
          <w:tcPr>
            <w:tcW w:w="1317"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序号</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参数项</w:t>
            </w:r>
            <w:r>
              <w:rPr>
                <w:rFonts w:ascii="Calibri" w:hAnsi="Calibri"/>
                <w:color w:val="000000"/>
              </w:rPr>
            </w:r>
            <w:r/>
          </w:p>
        </w:tc>
        <w:tc>
          <w:tcPr>
            <w:tcW w:w="5869"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技术指标要求</w:t>
            </w:r>
            <w:r>
              <w:rPr>
                <w:rFonts w:ascii="Calibri" w:hAnsi="Calibri"/>
                <w:color w:val="000000"/>
              </w:rPr>
            </w:r>
            <w:r/>
          </w:p>
        </w:tc>
      </w:tr>
      <w:tr>
        <w:trPr>
          <w:trHeight w:val="594"/>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6.1</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接口功能</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实现退药信息在三级系统间的逐级同步，确保退药记录完整可追溯</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6.2</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同步字段</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须包含但不限于：退药流水号、原发药流水号、处方编号、退药药品明细、退药数量、退药原因、退药时间、退药操作员</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6.3</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状态联动</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退药同步后，关联处方状态自动更新为</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已退药</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，关联费用信息同步更新</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6.4</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退药校验</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已签收的代煎药品退药须记录退回原因，支持退回药品库存重新入库</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6.5</w:t>
            </w:r>
            <w:r>
              <w:rPr>
                <w:rFonts w:ascii="Calibri" w:hAnsi="Calibri"/>
                <w:color w:val="000000"/>
              </w:rPr>
            </w:r>
            <w:r/>
          </w:p>
        </w:tc>
        <w:tc>
          <w:tcPr>
            <w:tcW w:w="2050" w:type="dxa"/>
            <w:vAlign w:val="top"/>
            <w:textDirection w:val="lrTb"/>
            <w:noWrap w:val="false"/>
          </w:tcPr>
          <w:p>
            <w:pPr>
              <w:pStyle w:val="886"/>
              <w:ind w:left="0" w:firstLine="0"/>
              <w:jc w:val="center"/>
              <w:rPr>
                <w:rFonts w:ascii="Segoe UI" w:hAnsi="Segoe UI" w:eastAsia="Segoe UI" w:cs="Segoe UI"/>
                <w:color w:val="000000"/>
                <w:sz w:val="22"/>
                <w:szCs w:val="22"/>
                <w:shd w:val="clear" w:color="auto" w:fill="ffffff"/>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流程联动</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退药信息同步后，关联的收费记录须标识</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退药待退费</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，提示后续完成退费操作</w:t>
            </w:r>
            <w:r>
              <w:rPr>
                <w:rFonts w:ascii="Segoe UI" w:hAnsi="Segoe UI" w:eastAsia="Segoe UI" w:cs="Segoe UI"/>
                <w:color w:val="000000"/>
                <w:sz w:val="22"/>
                <w:szCs w:val="22"/>
                <w:shd w:val="clear" w:color="auto" w:fill="ffffff"/>
              </w:rPr>
            </w:r>
            <w:r/>
          </w:p>
        </w:tc>
      </w:tr>
    </w:tbl>
    <w:p>
      <w:pPr>
        <w:pStyle w:val="886"/>
        <w:ind w:left="420" w:firstLine="0"/>
        <w:rPr>
          <w:color w:val="000000"/>
        </w:rPr>
      </w:pPr>
      <w:r>
        <w:rPr>
          <w:color w:val="000000"/>
        </w:rPr>
      </w:r>
      <w:r/>
    </w:p>
    <w:p>
      <w:pPr>
        <w:pStyle w:val="940"/>
        <w:numPr>
          <w:ilvl w:val="0"/>
          <w:numId w:val="4"/>
        </w:numPr>
        <w:rPr>
          <w:color w:val="000000"/>
          <w:sz w:val="24"/>
          <w:szCs w:val="24"/>
        </w:rPr>
      </w:pPr>
      <w:r>
        <w:rPr>
          <w:rFonts w:hint="eastAsia"/>
          <w:color w:val="000000"/>
          <w:sz w:val="24"/>
          <w:szCs w:val="24"/>
        </w:rPr>
        <w:t xml:space="preserve">第</w:t>
      </w:r>
      <w:r>
        <w:rPr>
          <w:color w:val="000000"/>
          <w:sz w:val="24"/>
          <w:szCs w:val="24"/>
        </w:rPr>
        <w:t xml:space="preserve">三方煎药调用接口</w:t>
      </w:r>
      <w:r>
        <w:rPr>
          <w:color w:val="000000"/>
          <w:sz w:val="24"/>
          <w:szCs w:val="24"/>
        </w:rPr>
      </w:r>
      <w:r/>
    </w:p>
    <w:tbl>
      <w:tblPr>
        <w:tblW w:w="0" w:type="auto"/>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050"/>
        <w:gridCol w:w="5869"/>
      </w:tblGrid>
      <w:tr>
        <w:trPr/>
        <w:tc>
          <w:tcPr>
            <w:tcW w:w="1317"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序号</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参数项</w:t>
            </w:r>
            <w:r>
              <w:rPr>
                <w:rFonts w:ascii="Calibri" w:hAnsi="Calibri"/>
                <w:color w:val="000000"/>
              </w:rPr>
            </w:r>
            <w:r/>
          </w:p>
        </w:tc>
        <w:tc>
          <w:tcPr>
            <w:tcW w:w="5869"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技术指标要求</w:t>
            </w:r>
            <w:r>
              <w:rPr>
                <w:rFonts w:ascii="Calibri" w:hAnsi="Calibri"/>
                <w:color w:val="000000"/>
              </w:rPr>
            </w:r>
            <w:r/>
          </w:p>
        </w:tc>
      </w:tr>
      <w:tr>
        <w:trPr>
          <w:trHeight w:val="594"/>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7.1</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接口功能</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实现医疗机构与第三方代煎服务企业之间的数据交互，支持处方推送、状态回传、煎药进度查询等功能</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7.2</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通信协议</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采用</w:t>
            </w:r>
            <w:r>
              <w:rPr>
                <w:rFonts w:ascii="Segoe UI" w:hAnsi="Segoe UI" w:eastAsia="Segoe UI" w:cs="Segoe UI"/>
                <w:color w:val="000000"/>
                <w:sz w:val="22"/>
                <w:szCs w:val="22"/>
                <w:shd w:val="clear" w:color="auto" w:fill="ffffff"/>
              </w:rPr>
              <w:t xml:space="preserve">HTTPS</w:t>
            </w:r>
            <w:r>
              <w:rPr>
                <w:rFonts w:hint="eastAsia" w:ascii="微软雅黑" w:hAnsi="微软雅黑" w:eastAsia="微软雅黑" w:cs="微软雅黑"/>
                <w:color w:val="000000"/>
                <w:sz w:val="22"/>
                <w:szCs w:val="22"/>
                <w:shd w:val="clear" w:color="auto" w:fill="ffffff"/>
              </w:rPr>
              <w:t xml:space="preserve">协议，数据格式</w:t>
            </w:r>
            <w:r>
              <w:rPr>
                <w:rFonts w:ascii="Segoe UI" w:hAnsi="Segoe UI" w:eastAsia="Segoe UI" w:cs="Segoe UI"/>
                <w:color w:val="000000"/>
                <w:sz w:val="22"/>
                <w:szCs w:val="22"/>
                <w:shd w:val="clear" w:color="auto" w:fill="ffffff"/>
              </w:rPr>
              <w:t xml:space="preserve">JSON</w:t>
            </w:r>
            <w:r>
              <w:rPr>
                <w:rFonts w:hint="eastAsia" w:ascii="微软雅黑" w:hAnsi="微软雅黑" w:eastAsia="微软雅黑" w:cs="微软雅黑"/>
                <w:color w:val="000000"/>
                <w:sz w:val="22"/>
                <w:szCs w:val="22"/>
                <w:shd w:val="clear" w:color="auto" w:fill="ffffff"/>
              </w:rPr>
              <w:t xml:space="preserve">，</w:t>
            </w:r>
            <w:r>
              <w:rPr>
                <w:rFonts w:ascii="Segoe UI" w:hAnsi="Segoe UI" w:eastAsia="Segoe UI" w:cs="Segoe UI"/>
                <w:color w:val="000000"/>
                <w:sz w:val="22"/>
                <w:szCs w:val="22"/>
                <w:shd w:val="clear" w:color="auto" w:fill="ffffff"/>
              </w:rPr>
              <w:t xml:space="preserve">UTF-8</w:t>
            </w:r>
            <w:r>
              <w:rPr>
                <w:rFonts w:hint="eastAsia" w:ascii="微软雅黑" w:hAnsi="微软雅黑" w:eastAsia="微软雅黑" w:cs="微软雅黑"/>
                <w:color w:val="000000"/>
                <w:sz w:val="22"/>
                <w:szCs w:val="22"/>
                <w:shd w:val="clear" w:color="auto" w:fill="ffffff"/>
              </w:rPr>
              <w:t xml:space="preserve">编码</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7.3</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认证方式</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须支持基于</w:t>
            </w:r>
            <w:r>
              <w:rPr>
                <w:rFonts w:ascii="Segoe UI" w:hAnsi="Segoe UI" w:eastAsia="Segoe UI" w:cs="Segoe UI"/>
                <w:color w:val="000000"/>
                <w:sz w:val="22"/>
                <w:szCs w:val="22"/>
                <w:shd w:val="clear" w:color="auto" w:fill="ffffff"/>
              </w:rPr>
              <w:t xml:space="preserve">token</w:t>
            </w:r>
            <w:r>
              <w:rPr>
                <w:rFonts w:hint="eastAsia" w:ascii="微软雅黑" w:hAnsi="微软雅黑" w:eastAsia="微软雅黑" w:cs="微软雅黑"/>
                <w:color w:val="000000"/>
                <w:sz w:val="22"/>
                <w:szCs w:val="22"/>
                <w:shd w:val="clear" w:color="auto" w:fill="ffffff"/>
              </w:rPr>
              <w:t xml:space="preserve">或</w:t>
            </w:r>
            <w:r>
              <w:rPr>
                <w:rFonts w:ascii="Segoe UI" w:hAnsi="Segoe UI" w:eastAsia="Segoe UI" w:cs="Segoe UI"/>
                <w:color w:val="000000"/>
                <w:sz w:val="22"/>
                <w:szCs w:val="22"/>
                <w:shd w:val="clear" w:color="auto" w:fill="ffffff"/>
              </w:rPr>
              <w:t xml:space="preserve">API Key</w:t>
            </w:r>
            <w:r>
              <w:rPr>
                <w:rFonts w:hint="eastAsia" w:ascii="微软雅黑" w:hAnsi="微软雅黑" w:eastAsia="微软雅黑" w:cs="微软雅黑"/>
                <w:color w:val="000000"/>
                <w:sz w:val="22"/>
                <w:szCs w:val="22"/>
                <w:shd w:val="clear" w:color="auto" w:fill="ffffff"/>
              </w:rPr>
              <w:t xml:space="preserve">的接口认证机制</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7.4</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处方推送字段</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须包含：处方编号、患者基本信息（姓名、性别、年龄、联系方式）、诊断信息、处方明细（饮片名称、规格、数量、煎煮要求）、剂数、服用方法、医嘱说明</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7.5</w:t>
            </w:r>
            <w:r>
              <w:rPr>
                <w:rFonts w:ascii="Calibri" w:hAnsi="Calibri"/>
                <w:color w:val="000000"/>
              </w:rPr>
            </w:r>
            <w:r/>
          </w:p>
        </w:tc>
        <w:tc>
          <w:tcPr>
            <w:tcW w:w="2050" w:type="dxa"/>
            <w:vAlign w:val="top"/>
            <w:textDirection w:val="lrTb"/>
            <w:noWrap w:val="false"/>
          </w:tcPr>
          <w:p>
            <w:pPr>
              <w:pStyle w:val="886"/>
              <w:ind w:left="0" w:firstLine="0"/>
              <w:jc w:val="center"/>
              <w:rPr>
                <w:rFonts w:ascii="Segoe UI" w:hAnsi="Segoe UI" w:eastAsia="Segoe UI" w:cs="Segoe UI"/>
                <w:color w:val="000000"/>
                <w:sz w:val="22"/>
                <w:szCs w:val="22"/>
                <w:shd w:val="clear" w:color="auto" w:fill="ffffff"/>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状态回传</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Segoe UI" w:hAnsi="Segoe UI" w:cs="Segoe UI"/>
                <w:color w:val="000000"/>
                <w:sz w:val="22"/>
                <w:szCs w:val="22"/>
                <w:shd w:val="clear" w:color="auto" w:fill="ffffff"/>
              </w:rPr>
              <w:t xml:space="preserve">第</w:t>
            </w:r>
            <w:r>
              <w:rPr>
                <w:rFonts w:hint="eastAsia" w:ascii="微软雅黑" w:hAnsi="微软雅黑" w:eastAsia="微软雅黑" w:cs="微软雅黑"/>
                <w:color w:val="000000"/>
                <w:sz w:val="22"/>
                <w:szCs w:val="22"/>
                <w:shd w:val="clear" w:color="auto" w:fill="ffffff"/>
              </w:rPr>
              <w:t xml:space="preserve">三方代煎服务企业须支持以下状态实时回传：已接单、已调配、已煎煮、已完成、已配送、已签收、异常退单</w:t>
            </w:r>
            <w:r>
              <w:rPr>
                <w:rFonts w:ascii="Segoe UI" w:hAnsi="Segoe UI" w:eastAsia="Segoe UI" w:cs="Segoe UI"/>
                <w:color w:val="000000"/>
                <w:sz w:val="22"/>
                <w:szCs w:val="22"/>
                <w:shd w:val="clear" w:color="auto" w:fill="ffffff"/>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7.6</w:t>
            </w:r>
            <w:r>
              <w:rPr>
                <w:rFonts w:ascii="Calibri" w:hAnsi="Calibri"/>
                <w:color w:val="000000"/>
              </w:rPr>
            </w:r>
            <w:r/>
          </w:p>
        </w:tc>
        <w:tc>
          <w:tcPr>
            <w:tcW w:w="2050" w:type="dxa"/>
            <w:vAlign w:val="top"/>
            <w:textDirection w:val="lrTb"/>
            <w:noWrap w:val="false"/>
          </w:tcPr>
          <w:p>
            <w:pPr>
              <w:pStyle w:val="886"/>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进度查询</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支持按处方编号或时间范围查询煎药进度和状态</w:t>
            </w:r>
            <w:r>
              <w:rPr>
                <w:rFonts w:ascii="Segoe UI" w:hAnsi="Segoe UI" w:eastAsia="Segoe UI" w:cs="Segoe UI"/>
                <w:color w:val="000000"/>
                <w:sz w:val="22"/>
                <w:szCs w:val="22"/>
                <w:shd w:val="clear" w:color="auto" w:fill="ffffff"/>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7.7</w:t>
            </w:r>
            <w:r>
              <w:rPr>
                <w:rFonts w:ascii="Calibri" w:hAnsi="Calibri"/>
                <w:color w:val="000000"/>
              </w:rPr>
            </w:r>
            <w:r/>
          </w:p>
        </w:tc>
        <w:tc>
          <w:tcPr>
            <w:tcW w:w="2050" w:type="dxa"/>
            <w:vAlign w:val="top"/>
            <w:textDirection w:val="lrTb"/>
            <w:noWrap w:val="false"/>
          </w:tcPr>
          <w:p>
            <w:pPr>
              <w:pStyle w:val="886"/>
              <w:ind w:left="0" w:firstLine="0"/>
              <w:jc w:val="center"/>
              <w:rPr>
                <w:rFonts w:ascii="Segoe UI" w:hAnsi="Segoe UI" w:eastAsia="Segoe UI" w:cs="Segoe UI"/>
                <w:color w:val="000000"/>
                <w:sz w:val="22"/>
                <w:szCs w:val="22"/>
                <w:shd w:val="clear" w:color="auto" w:fill="ffffff"/>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异常处理</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Segoe UI" w:hAnsi="Segoe UI" w:cs="Segoe UI"/>
                <w:color w:val="000000"/>
                <w:sz w:val="22"/>
                <w:szCs w:val="22"/>
                <w:shd w:val="clear" w:color="auto" w:fill="ffffff"/>
              </w:rPr>
              <w:t xml:space="preserve">第</w:t>
            </w:r>
            <w:r>
              <w:rPr>
                <w:rFonts w:hint="eastAsia" w:ascii="微软雅黑" w:hAnsi="微软雅黑" w:eastAsia="微软雅黑" w:cs="微软雅黑"/>
                <w:color w:val="000000"/>
                <w:sz w:val="22"/>
                <w:szCs w:val="22"/>
                <w:shd w:val="clear" w:color="auto" w:fill="ffffff"/>
              </w:rPr>
              <w:t xml:space="preserve">三方接口调用超时（设定阈值</w:t>
            </w:r>
            <w:r>
              <w:rPr>
                <w:rFonts w:ascii="Segoe UI" w:hAnsi="Segoe UI" w:eastAsia="Segoe UI" w:cs="Segoe UI"/>
                <w:color w:val="000000"/>
                <w:sz w:val="22"/>
                <w:szCs w:val="22"/>
                <w:shd w:val="clear" w:color="auto" w:fill="ffffff"/>
              </w:rPr>
              <w:t xml:space="preserve">≤30</w:t>
            </w:r>
            <w:r>
              <w:rPr>
                <w:rFonts w:hint="eastAsia" w:ascii="微软雅黑" w:hAnsi="微软雅黑" w:eastAsia="微软雅黑" w:cs="微软雅黑"/>
                <w:color w:val="000000"/>
                <w:sz w:val="22"/>
                <w:szCs w:val="22"/>
                <w:shd w:val="clear" w:color="auto" w:fill="ffffff"/>
              </w:rPr>
              <w:t xml:space="preserve">秒）须有熔断机制，支持手动重发和补单功能</w:t>
            </w:r>
            <w:r>
              <w:rPr>
                <w:rFonts w:ascii="Segoe UI" w:hAnsi="Segoe UI" w:eastAsia="Segoe UI" w:cs="Segoe UI"/>
                <w:color w:val="000000"/>
                <w:sz w:val="22"/>
                <w:szCs w:val="22"/>
                <w:shd w:val="clear" w:color="auto" w:fill="ffffff"/>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7.8</w:t>
            </w:r>
            <w:r>
              <w:rPr>
                <w:rFonts w:ascii="Calibri" w:hAnsi="Calibri"/>
                <w:color w:val="000000"/>
              </w:rPr>
            </w:r>
            <w:r/>
          </w:p>
        </w:tc>
        <w:tc>
          <w:tcPr>
            <w:tcW w:w="2050" w:type="dxa"/>
            <w:vAlign w:val="top"/>
            <w:textDirection w:val="lrTb"/>
            <w:noWrap w:val="false"/>
          </w:tcPr>
          <w:p>
            <w:pPr>
              <w:pStyle w:val="886"/>
              <w:ind w:left="0" w:firstLine="0"/>
              <w:jc w:val="center"/>
              <w:rPr>
                <w:rFonts w:ascii="Segoe UI" w:hAnsi="Segoe UI" w:eastAsia="Segoe UI" w:cs="Segoe UI"/>
                <w:color w:val="000000"/>
                <w:sz w:val="22"/>
                <w:szCs w:val="22"/>
                <w:shd w:val="clear" w:color="auto" w:fill="ffffff"/>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数据安全</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患者姓名、联系方式等敏感信息须加密传输（建议采用</w:t>
            </w:r>
            <w:r>
              <w:rPr>
                <w:rFonts w:ascii="Segoe UI" w:hAnsi="Segoe UI" w:eastAsia="Segoe UI" w:cs="Segoe UI"/>
                <w:color w:val="000000"/>
                <w:sz w:val="22"/>
                <w:szCs w:val="22"/>
                <w:shd w:val="clear" w:color="auto" w:fill="ffffff"/>
              </w:rPr>
              <w:t xml:space="preserve">AES</w:t>
            </w:r>
            <w:r>
              <w:rPr>
                <w:rFonts w:hint="eastAsia" w:ascii="微软雅黑" w:hAnsi="微软雅黑" w:eastAsia="微软雅黑" w:cs="微软雅黑"/>
                <w:color w:val="000000"/>
                <w:sz w:val="22"/>
                <w:szCs w:val="22"/>
                <w:shd w:val="clear" w:color="auto" w:fill="ffffff"/>
              </w:rPr>
              <w:t xml:space="preserve">加密），接口调用须记录完整日志</w:t>
            </w:r>
            <w:r>
              <w:rPr>
                <w:rFonts w:ascii="Segoe UI" w:hAnsi="Segoe UI" w:eastAsia="Segoe UI" w:cs="Segoe UI"/>
                <w:color w:val="000000"/>
                <w:sz w:val="22"/>
                <w:szCs w:val="22"/>
                <w:shd w:val="clear" w:color="auto" w:fill="ffffff"/>
              </w:rPr>
            </w:r>
            <w:r/>
          </w:p>
        </w:tc>
      </w:tr>
    </w:tbl>
    <w:p>
      <w:pPr>
        <w:pStyle w:val="886"/>
        <w:ind w:left="420" w:firstLine="0"/>
        <w:rPr>
          <w:color w:val="000000"/>
        </w:rPr>
      </w:pPr>
      <w:r>
        <w:rPr>
          <w:color w:val="000000"/>
        </w:rPr>
      </w:r>
      <w:r/>
    </w:p>
    <w:p>
      <w:pPr>
        <w:pStyle w:val="940"/>
        <w:numPr>
          <w:ilvl w:val="0"/>
          <w:numId w:val="4"/>
        </w:numPr>
        <w:rPr>
          <w:color w:val="000000"/>
          <w:sz w:val="24"/>
          <w:szCs w:val="24"/>
        </w:rPr>
      </w:pPr>
      <w:r>
        <w:rPr>
          <w:color w:val="000000"/>
          <w:sz w:val="24"/>
          <w:szCs w:val="24"/>
        </w:rPr>
        <w:t xml:space="preserve">药品信息同步接口</w:t>
      </w:r>
      <w:r>
        <w:rPr>
          <w:rFonts w:hint="eastAsia"/>
          <w:color w:val="000000"/>
          <w:sz w:val="24"/>
          <w:szCs w:val="24"/>
        </w:rPr>
        <w:t xml:space="preserve">（中医院→基层医院）</w:t>
      </w:r>
      <w:r>
        <w:rPr>
          <w:color w:val="000000"/>
          <w:sz w:val="24"/>
          <w:szCs w:val="24"/>
        </w:rPr>
      </w:r>
      <w:r/>
    </w:p>
    <w:tbl>
      <w:tblPr>
        <w:tblW w:w="0" w:type="auto"/>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050"/>
        <w:gridCol w:w="5869"/>
      </w:tblGrid>
      <w:tr>
        <w:trPr/>
        <w:tc>
          <w:tcPr>
            <w:tcW w:w="1317"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序号</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参数项</w:t>
            </w:r>
            <w:r>
              <w:rPr>
                <w:rFonts w:ascii="Calibri" w:hAnsi="Calibri"/>
                <w:color w:val="000000"/>
              </w:rPr>
            </w:r>
            <w:r/>
          </w:p>
        </w:tc>
        <w:tc>
          <w:tcPr>
            <w:tcW w:w="5869"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技术指标要求</w:t>
            </w:r>
            <w:r>
              <w:rPr>
                <w:rFonts w:ascii="Calibri" w:hAnsi="Calibri"/>
                <w:color w:val="000000"/>
              </w:rPr>
            </w:r>
            <w:r/>
          </w:p>
        </w:tc>
      </w:tr>
      <w:tr>
        <w:trPr>
          <w:trHeight w:val="594"/>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8.1</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接口功能</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实现中医院与各基层医院之间中药饮片药品字典信息的统一管理与同步，确保区域内药品信息一致性</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8.2</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同步方式</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支持全量同步（首次初始化）和增量同步（日常更新）两种模式</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8.3</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同步字段</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须包含但不限于：药品编码、药品名称、药品规格、剂型、单位、单价、生产厂家、批准文号、医保编码、医保类别、药房库存量、库存警戒线</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8.4</w:t>
            </w:r>
            <w:r>
              <w:rPr>
                <w:rFonts w:ascii="Calibri" w:hAnsi="Calibri"/>
                <w:color w:val="000000"/>
              </w:rPr>
            </w:r>
            <w:r/>
          </w:p>
        </w:tc>
        <w:tc>
          <w:tcPr>
            <w:tcW w:w="2050" w:type="dxa"/>
            <w:vAlign w:val="top"/>
            <w:textDirection w:val="lrTb"/>
            <w:noWrap w:val="false"/>
          </w:tcPr>
          <w:p>
            <w:pPr>
              <w:pStyle w:val="886"/>
              <w:ind w:left="0" w:firstLine="0"/>
              <w:jc w:val="center"/>
              <w:rPr>
                <w:rFonts w:ascii="Calibri" w:hAnsi="Calibri"/>
                <w:color w:val="000000"/>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同步频率</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增量同步支持实时触发和定时同步（每日至少</w:t>
            </w:r>
            <w:r>
              <w:rPr>
                <w:rFonts w:ascii="Segoe UI" w:hAnsi="Segoe UI" w:eastAsia="Segoe UI" w:cs="Segoe UI"/>
                <w:color w:val="000000"/>
                <w:sz w:val="22"/>
                <w:szCs w:val="22"/>
                <w:shd w:val="clear" w:color="auto" w:fill="ffffff"/>
              </w:rPr>
              <w:t xml:space="preserve">1</w:t>
            </w:r>
            <w:r>
              <w:rPr>
                <w:rFonts w:hint="eastAsia" w:ascii="微软雅黑" w:hAnsi="微软雅黑" w:eastAsia="微软雅黑" w:cs="微软雅黑"/>
                <w:color w:val="000000"/>
                <w:sz w:val="22"/>
                <w:szCs w:val="22"/>
                <w:shd w:val="clear" w:color="auto" w:fill="ffffff"/>
              </w:rPr>
              <w:t xml:space="preserve">次）</w:t>
            </w:r>
            <w:r>
              <w:rPr>
                <w:rFonts w:ascii="Calibri" w:hAnsi="Calibri"/>
                <w:color w:val="000000"/>
              </w:rPr>
            </w:r>
            <w:r/>
          </w:p>
        </w:tc>
      </w:tr>
    </w:tbl>
    <w:p>
      <w:pPr>
        <w:pStyle w:val="940"/>
        <w:numPr>
          <w:ilvl w:val="0"/>
          <w:numId w:val="4"/>
        </w:numPr>
        <w:rPr>
          <w:color w:val="000000"/>
          <w:sz w:val="24"/>
          <w:szCs w:val="24"/>
        </w:rPr>
      </w:pPr>
      <w:r>
        <w:rPr>
          <w:color w:val="000000"/>
          <w:sz w:val="24"/>
          <w:szCs w:val="24"/>
        </w:rPr>
        <w:t xml:space="preserve">药品信息同步接口</w:t>
      </w:r>
      <w:r>
        <w:rPr>
          <w:rFonts w:hint="eastAsia"/>
          <w:color w:val="000000"/>
          <w:sz w:val="24"/>
          <w:szCs w:val="24"/>
        </w:rPr>
        <w:t xml:space="preserve">（中医院→第三方煎药系统）</w:t>
      </w:r>
      <w:r>
        <w:rPr>
          <w:color w:val="000000"/>
          <w:sz w:val="24"/>
          <w:szCs w:val="24"/>
        </w:rPr>
      </w:r>
      <w:r/>
    </w:p>
    <w:tbl>
      <w:tblPr>
        <w:tblW w:w="0" w:type="auto"/>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050"/>
        <w:gridCol w:w="5869"/>
      </w:tblGrid>
      <w:tr>
        <w:trPr/>
        <w:tc>
          <w:tcPr>
            <w:tcW w:w="1317"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序号</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参数项</w:t>
            </w:r>
            <w:r>
              <w:rPr>
                <w:rFonts w:ascii="Calibri" w:hAnsi="Calibri"/>
                <w:color w:val="000000"/>
              </w:rPr>
            </w:r>
            <w:r/>
          </w:p>
        </w:tc>
        <w:tc>
          <w:tcPr>
            <w:tcW w:w="5869"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技术指标要求</w:t>
            </w:r>
            <w:r>
              <w:rPr>
                <w:rFonts w:ascii="Calibri" w:hAnsi="Calibri"/>
                <w:color w:val="000000"/>
              </w:rPr>
            </w:r>
            <w:r/>
          </w:p>
        </w:tc>
      </w:tr>
      <w:tr>
        <w:trPr>
          <w:trHeight w:val="594"/>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9.1</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接口功能</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实现中医院中药饮片字典向第三方代煎服务企业系统的同步推送，确保代煎处方药品信息准确一致</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9.2</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同步方式</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支持全量同步（首次初始化）和增量同步（日常更新）两种模式</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9.3</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同步字段</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须包含但不限于：药品编码、药品名称、药品规格、剂型、单位、单价、生产厂家、批准文号、医保编码、医保类别、药房库存量、库存警戒线</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9.4</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同步频率</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增量同步支持实时触发和定时同步（每日至少</w:t>
            </w:r>
            <w:r>
              <w:rPr>
                <w:rFonts w:ascii="Segoe UI" w:hAnsi="Segoe UI" w:eastAsia="Segoe UI" w:cs="Segoe UI"/>
                <w:color w:val="000000"/>
                <w:sz w:val="22"/>
                <w:szCs w:val="22"/>
                <w:shd w:val="clear" w:color="auto" w:fill="ffffff"/>
              </w:rPr>
              <w:t xml:space="preserve">1</w:t>
            </w:r>
            <w:r>
              <w:rPr>
                <w:rFonts w:hint="eastAsia" w:ascii="微软雅黑" w:hAnsi="微软雅黑" w:eastAsia="微软雅黑" w:cs="微软雅黑"/>
                <w:color w:val="000000"/>
                <w:sz w:val="22"/>
                <w:szCs w:val="22"/>
                <w:shd w:val="clear" w:color="auto" w:fill="ffffff"/>
              </w:rPr>
              <w:t xml:space="preserve">次）</w:t>
            </w:r>
            <w:r>
              <w:rPr>
                <w:rFonts w:ascii="Calibri" w:hAnsi="Calibri"/>
                <w:color w:val="000000"/>
              </w:rPr>
            </w:r>
            <w:r/>
          </w:p>
        </w:tc>
      </w:tr>
    </w:tbl>
    <w:p>
      <w:pPr>
        <w:pStyle w:val="940"/>
        <w:numPr>
          <w:ilvl w:val="0"/>
          <w:numId w:val="4"/>
        </w:numPr>
        <w:rPr>
          <w:color w:val="000000"/>
          <w:sz w:val="24"/>
          <w:szCs w:val="24"/>
        </w:rPr>
      </w:pPr>
      <w:r>
        <w:rPr>
          <w:rFonts w:hint="eastAsia"/>
          <w:color w:val="000000"/>
          <w:sz w:val="24"/>
          <w:szCs w:val="24"/>
        </w:rPr>
        <w:t xml:space="preserve">区域共享中药房</w:t>
      </w:r>
      <w:r>
        <w:rPr>
          <w:color w:val="000000"/>
          <w:sz w:val="24"/>
          <w:szCs w:val="24"/>
        </w:rPr>
        <w:t xml:space="preserve">功能</w:t>
      </w:r>
      <w:r>
        <w:rPr>
          <w:rFonts w:hint="eastAsia"/>
          <w:color w:val="000000"/>
          <w:sz w:val="24"/>
          <w:szCs w:val="24"/>
        </w:rPr>
        <w:t xml:space="preserve">建设</w:t>
      </w:r>
      <w:r>
        <w:rPr>
          <w:color w:val="000000"/>
          <w:sz w:val="24"/>
          <w:szCs w:val="24"/>
        </w:rPr>
      </w:r>
      <w:r/>
    </w:p>
    <w:tbl>
      <w:tblPr>
        <w:tblW w:w="0" w:type="auto"/>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050"/>
        <w:gridCol w:w="5869"/>
      </w:tblGrid>
      <w:tr>
        <w:trPr/>
        <w:tc>
          <w:tcPr>
            <w:tcW w:w="1317"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序号</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参数项</w:t>
            </w:r>
            <w:r>
              <w:rPr>
                <w:rFonts w:ascii="Calibri" w:hAnsi="Calibri"/>
                <w:color w:val="000000"/>
              </w:rPr>
            </w:r>
            <w:r/>
          </w:p>
        </w:tc>
        <w:tc>
          <w:tcPr>
            <w:tcW w:w="5869"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技术指标要求</w:t>
            </w:r>
            <w:r>
              <w:rPr>
                <w:rFonts w:ascii="Calibri" w:hAnsi="Calibri"/>
                <w:color w:val="000000"/>
              </w:rPr>
            </w:r>
            <w:r/>
          </w:p>
        </w:tc>
      </w:tr>
      <w:tr>
        <w:trPr>
          <w:trHeight w:val="594"/>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10.1</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功能定位</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在中医院现有信息系统中进行功能改造，建立区域共享中药房，实现区域内统一开展中药饮片采购、调配、煎煮和配送服务</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10.2</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多机构接入</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须支持区域内多家医疗机构同时接入</w:t>
            </w:r>
            <w:r>
              <w:rPr>
                <w:rFonts w:hint="eastAsia" w:ascii="Segoe UI" w:hAnsi="Segoe UI" w:cs="Segoe UI"/>
                <w:color w:val="000000"/>
                <w:sz w:val="22"/>
                <w:szCs w:val="22"/>
                <w:shd w:val="clear" w:color="auto" w:fill="ffffff"/>
              </w:rPr>
              <w:t xml:space="preserve">区域共享中药房</w:t>
            </w:r>
            <w:r>
              <w:rPr>
                <w:rFonts w:hint="eastAsia" w:ascii="微软雅黑" w:hAnsi="微软雅黑" w:eastAsia="微软雅黑" w:cs="微软雅黑"/>
                <w:color w:val="000000"/>
                <w:sz w:val="22"/>
                <w:szCs w:val="22"/>
                <w:shd w:val="clear" w:color="auto" w:fill="ffffff"/>
              </w:rPr>
              <w:t xml:space="preserve">，各机构独立管理本机构处方和患者信息</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10.3</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处方接收</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支持接入机构通过接口或平台上传中药饮片处方至</w:t>
            </w:r>
            <w:r>
              <w:rPr>
                <w:rFonts w:hint="eastAsia" w:ascii="Segoe UI" w:hAnsi="Segoe UI" w:cs="Segoe UI"/>
                <w:color w:val="000000"/>
                <w:sz w:val="22"/>
                <w:szCs w:val="22"/>
                <w:shd w:val="clear" w:color="auto" w:fill="ffffff"/>
              </w:rPr>
              <w:t xml:space="preserve">区域共享中药房</w:t>
            </w:r>
            <w:r>
              <w:rPr>
                <w:rFonts w:hint="eastAsia" w:ascii="微软雅黑" w:hAnsi="微软雅黑" w:eastAsia="微软雅黑" w:cs="微软雅黑"/>
                <w:color w:val="000000"/>
                <w:sz w:val="22"/>
                <w:szCs w:val="22"/>
                <w:shd w:val="clear" w:color="auto" w:fill="ffffff"/>
              </w:rPr>
              <w:t xml:space="preserve">，自动生成接单记录</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10.4</w:t>
            </w:r>
            <w:r>
              <w:rPr>
                <w:rFonts w:ascii="Calibri" w:hAnsi="Calibri"/>
                <w:color w:val="000000"/>
              </w:rPr>
            </w:r>
            <w:r/>
          </w:p>
        </w:tc>
        <w:tc>
          <w:tcPr>
            <w:tcW w:w="2050" w:type="dxa"/>
            <w:vAlign w:val="top"/>
            <w:textDirection w:val="lrTb"/>
            <w:noWrap w:val="false"/>
          </w:tcPr>
          <w:p>
            <w:pPr>
              <w:pStyle w:val="886"/>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统一调配</w:t>
            </w:r>
            <w:r>
              <w:rPr>
                <w:rFonts w:ascii="Calibri" w:hAnsi="Calibri"/>
                <w:color w:val="000000"/>
              </w:rPr>
            </w:r>
            <w:r/>
          </w:p>
        </w:tc>
        <w:tc>
          <w:tcPr>
            <w:tcW w:w="5869" w:type="dxa"/>
            <w:vAlign w:val="top"/>
            <w:textDirection w:val="lrTb"/>
            <w:noWrap w:val="false"/>
          </w:tcPr>
          <w:p>
            <w:pPr>
              <w:pStyle w:val="886"/>
              <w:ind w:firstLine="0"/>
              <w:rPr>
                <w:rFonts w:ascii="Calibri" w:hAnsi="Calibri"/>
                <w:color w:val="000000"/>
              </w:rPr>
            </w:pPr>
            <w:r>
              <w:rPr>
                <w:rFonts w:hint="eastAsia" w:ascii="微软雅黑" w:hAnsi="微软雅黑" w:eastAsia="微软雅黑" w:cs="微软雅黑"/>
                <w:color w:val="000000"/>
                <w:sz w:val="22"/>
                <w:szCs w:val="22"/>
                <w:shd w:val="clear" w:color="auto" w:fill="ffffff"/>
              </w:rPr>
              <w:t xml:space="preserve">支持</w:t>
            </w:r>
            <w:r>
              <w:rPr>
                <w:rFonts w:hint="eastAsia" w:ascii="Segoe UI" w:hAnsi="Segoe UI" w:cs="Segoe UI"/>
                <w:color w:val="000000"/>
                <w:sz w:val="22"/>
                <w:szCs w:val="22"/>
                <w:shd w:val="clear" w:color="auto" w:fill="ffffff"/>
              </w:rPr>
              <w:t xml:space="preserve">区域共享中药房</w:t>
            </w:r>
            <w:r>
              <w:rPr>
                <w:rFonts w:hint="eastAsia" w:ascii="微软雅黑" w:hAnsi="微软雅黑" w:eastAsia="微软雅黑" w:cs="微软雅黑"/>
                <w:color w:val="000000"/>
                <w:sz w:val="22"/>
                <w:szCs w:val="22"/>
                <w:shd w:val="clear" w:color="auto" w:fill="ffffff"/>
              </w:rPr>
              <w:t xml:space="preserve">对接收处方进行统一审核、调配，系统须具备处方审核工作流</w:t>
            </w:r>
            <w:r>
              <w:rPr>
                <w:rFonts w:hint="eastAsia" w:ascii="Segoe UI" w:hAnsi="Segoe UI" w:cs="Segoe UI"/>
                <w:color w:val="000000"/>
                <w:sz w:val="22"/>
                <w:szCs w:val="22"/>
                <w:shd w:val="clear" w:color="auto" w:fill="ffffff"/>
              </w:rPr>
              <w:t xml:space="preserve">程</w:t>
            </w:r>
            <w:r>
              <w:rPr>
                <w:rFonts w:hint="eastAsia" w:ascii="微软雅黑" w:hAnsi="微软雅黑" w:eastAsia="微软雅黑" w:cs="微软雅黑"/>
                <w:color w:val="000000"/>
                <w:sz w:val="22"/>
                <w:szCs w:val="22"/>
                <w:shd w:val="clear" w:color="auto" w:fill="ffffff"/>
              </w:rPr>
              <w:t xml:space="preserve">（审方</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调配</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复核</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煎煮</w:t>
            </w:r>
            <w:r>
              <w:rPr>
                <w:rFonts w:ascii="Segoe UI" w:hAnsi="Segoe UI" w:eastAsia="Segoe UI" w:cs="Segoe UI"/>
                <w:color w:val="000000"/>
                <w:sz w:val="22"/>
                <w:szCs w:val="22"/>
                <w:shd w:val="clear" w:color="auto" w:fill="ffffff"/>
              </w:rPr>
              <w:t xml:space="preserve">→</w:t>
            </w:r>
            <w:r>
              <w:rPr>
                <w:rFonts w:hint="eastAsia" w:ascii="微软雅黑" w:hAnsi="微软雅黑" w:eastAsia="微软雅黑" w:cs="微软雅黑"/>
                <w:color w:val="000000"/>
                <w:sz w:val="22"/>
                <w:szCs w:val="22"/>
                <w:shd w:val="clear" w:color="auto" w:fill="ffffff"/>
              </w:rPr>
              <w:t xml:space="preserve">发药）</w:t>
            </w:r>
            <w:r>
              <w:rPr>
                <w:rFonts w:ascii="Calibri" w:hAnsi="Calibri"/>
                <w:color w:val="000000"/>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10.5</w:t>
            </w:r>
            <w:r>
              <w:rPr>
                <w:rFonts w:ascii="Calibri" w:hAnsi="Calibri"/>
                <w:color w:val="000000"/>
              </w:rPr>
            </w:r>
            <w:r/>
          </w:p>
        </w:tc>
        <w:tc>
          <w:tcPr>
            <w:tcW w:w="2050" w:type="dxa"/>
            <w:vAlign w:val="top"/>
            <w:textDirection w:val="lrTb"/>
            <w:noWrap w:val="false"/>
          </w:tcPr>
          <w:p>
            <w:pPr>
              <w:pStyle w:val="886"/>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库存共享</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支持</w:t>
            </w:r>
            <w:r>
              <w:rPr>
                <w:rFonts w:hint="eastAsia" w:ascii="Segoe UI" w:hAnsi="Segoe UI" w:cs="Segoe UI"/>
                <w:color w:val="000000"/>
                <w:sz w:val="22"/>
                <w:szCs w:val="22"/>
                <w:shd w:val="clear" w:color="auto" w:fill="ffffff"/>
              </w:rPr>
              <w:t xml:space="preserve">区域共享中药房</w:t>
            </w:r>
            <w:r>
              <w:rPr>
                <w:rFonts w:hint="eastAsia" w:ascii="微软雅黑" w:hAnsi="微软雅黑" w:eastAsia="微软雅黑" w:cs="微软雅黑"/>
                <w:color w:val="000000"/>
                <w:sz w:val="22"/>
                <w:szCs w:val="22"/>
                <w:shd w:val="clear" w:color="auto" w:fill="ffffff"/>
              </w:rPr>
              <w:t xml:space="preserve">库存统一管理，接入机构可在线查询</w:t>
            </w:r>
            <w:r>
              <w:rPr>
                <w:rFonts w:hint="eastAsia" w:ascii="Segoe UI" w:hAnsi="Segoe UI" w:cs="Segoe UI"/>
                <w:color w:val="000000"/>
                <w:sz w:val="22"/>
                <w:szCs w:val="22"/>
                <w:shd w:val="clear" w:color="auto" w:fill="ffffff"/>
              </w:rPr>
              <w:t xml:space="preserve">区域共享中药房</w:t>
            </w:r>
            <w:r>
              <w:rPr>
                <w:rFonts w:hint="eastAsia" w:ascii="微软雅黑" w:hAnsi="微软雅黑" w:eastAsia="微软雅黑" w:cs="微软雅黑"/>
                <w:color w:val="000000"/>
                <w:sz w:val="22"/>
                <w:szCs w:val="22"/>
                <w:shd w:val="clear" w:color="auto" w:fill="ffffff"/>
              </w:rPr>
              <w:t xml:space="preserve">药品库存情况</w:t>
            </w:r>
            <w:r>
              <w:rPr>
                <w:rFonts w:ascii="Segoe UI" w:hAnsi="Segoe UI" w:eastAsia="Segoe UI" w:cs="Segoe UI"/>
                <w:color w:val="000000"/>
                <w:sz w:val="22"/>
                <w:szCs w:val="22"/>
                <w:shd w:val="clear" w:color="auto" w:fill="ffffff"/>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10.6</w:t>
            </w:r>
            <w:r>
              <w:rPr>
                <w:rFonts w:ascii="Calibri" w:hAnsi="Calibri"/>
                <w:color w:val="000000"/>
              </w:rPr>
            </w:r>
            <w:r/>
          </w:p>
        </w:tc>
        <w:tc>
          <w:tcPr>
            <w:tcW w:w="2050" w:type="dxa"/>
            <w:vAlign w:val="top"/>
            <w:textDirection w:val="lrTb"/>
            <w:noWrap w:val="false"/>
          </w:tcPr>
          <w:p>
            <w:pPr>
              <w:pStyle w:val="886"/>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配送管理</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支持配送地址管理、配送单生成、配送状态追踪、签收确认全流程管理</w:t>
            </w:r>
            <w:r>
              <w:rPr>
                <w:rFonts w:ascii="Segoe UI" w:hAnsi="Segoe UI" w:eastAsia="Segoe UI" w:cs="Segoe UI"/>
                <w:color w:val="000000"/>
                <w:sz w:val="22"/>
                <w:szCs w:val="22"/>
                <w:shd w:val="clear" w:color="auto" w:fill="ffffff"/>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10.7</w:t>
            </w:r>
            <w:r>
              <w:rPr>
                <w:rFonts w:ascii="Calibri" w:hAnsi="Calibri"/>
                <w:color w:val="000000"/>
              </w:rPr>
            </w:r>
            <w:r/>
          </w:p>
        </w:tc>
        <w:tc>
          <w:tcPr>
            <w:tcW w:w="2050" w:type="dxa"/>
            <w:vAlign w:val="top"/>
            <w:textDirection w:val="lrTb"/>
            <w:noWrap w:val="false"/>
          </w:tcPr>
          <w:p>
            <w:pPr>
              <w:pStyle w:val="886"/>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费用结算</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支持</w:t>
            </w:r>
            <w:r>
              <w:rPr>
                <w:rFonts w:hint="eastAsia" w:ascii="Segoe UI" w:hAnsi="Segoe UI" w:cs="Segoe UI"/>
                <w:color w:val="000000"/>
                <w:sz w:val="22"/>
                <w:szCs w:val="22"/>
                <w:shd w:val="clear" w:color="auto" w:fill="ffffff"/>
              </w:rPr>
              <w:t xml:space="preserve">区域共享中药房</w:t>
            </w:r>
            <w:r>
              <w:rPr>
                <w:rFonts w:hint="eastAsia" w:ascii="微软雅黑" w:hAnsi="微软雅黑" w:eastAsia="微软雅黑" w:cs="微软雅黑"/>
                <w:color w:val="000000"/>
                <w:sz w:val="22"/>
                <w:szCs w:val="22"/>
                <w:shd w:val="clear" w:color="auto" w:fill="ffffff"/>
              </w:rPr>
              <w:t xml:space="preserve">与接入机构之间按月或按订单进行费用结算对账</w:t>
            </w:r>
            <w:r>
              <w:rPr>
                <w:rFonts w:ascii="Segoe UI" w:hAnsi="Segoe UI" w:eastAsia="Segoe UI" w:cs="Segoe UI"/>
                <w:color w:val="000000"/>
                <w:sz w:val="22"/>
                <w:szCs w:val="22"/>
                <w:shd w:val="clear" w:color="auto" w:fill="ffffff"/>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10.8</w:t>
            </w:r>
            <w:r>
              <w:rPr>
                <w:rFonts w:ascii="Calibri" w:hAnsi="Calibri"/>
                <w:color w:val="000000"/>
              </w:rPr>
            </w:r>
            <w:r/>
          </w:p>
        </w:tc>
        <w:tc>
          <w:tcPr>
            <w:tcW w:w="2050" w:type="dxa"/>
            <w:vAlign w:val="top"/>
            <w:textDirection w:val="lrTb"/>
            <w:noWrap w:val="false"/>
          </w:tcPr>
          <w:p>
            <w:pPr>
              <w:pStyle w:val="886"/>
              <w:ind w:left="0" w:firstLine="0"/>
              <w:jc w:val="center"/>
              <w:rPr>
                <w:rFonts w:ascii="Segoe UI" w:hAnsi="Segoe UI" w:eastAsia="Segoe UI" w:cs="Segoe UI"/>
                <w:color w:val="000000"/>
                <w:sz w:val="22"/>
                <w:szCs w:val="22"/>
                <w:shd w:val="clear" w:color="auto" w:fill="ffffff"/>
              </w:rPr>
            </w:pPr>
            <w:r>
              <w:rPr>
                <w:rFonts w:hint="eastAsia" w:cs="宋体"/>
                <w:color w:val="000000"/>
                <w:szCs w:val="24"/>
              </w:rPr>
              <w:t xml:space="preserve">▲</w:t>
            </w:r>
            <w:r>
              <w:rPr>
                <w:rFonts w:hint="eastAsia" w:ascii="微软雅黑" w:hAnsi="微软雅黑" w:eastAsia="微软雅黑" w:cs="微软雅黑"/>
                <w:color w:val="000000"/>
                <w:sz w:val="22"/>
                <w:szCs w:val="22"/>
                <w:shd w:val="clear" w:color="auto" w:fill="ffffff"/>
              </w:rPr>
              <w:t xml:space="preserve">报表统计</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须提供区域代煎</w:t>
            </w:r>
            <w:r>
              <w:rPr>
                <w:rFonts w:hint="eastAsia" w:ascii="Segoe UI" w:hAnsi="Segoe UI" w:cs="Segoe UI"/>
                <w:color w:val="000000"/>
                <w:sz w:val="22"/>
                <w:szCs w:val="22"/>
                <w:shd w:val="clear" w:color="auto" w:fill="ffffff"/>
              </w:rPr>
              <w:t xml:space="preserve">、代配</w:t>
            </w:r>
            <w:r>
              <w:rPr>
                <w:rFonts w:hint="eastAsia" w:ascii="微软雅黑" w:hAnsi="微软雅黑" w:eastAsia="微软雅黑" w:cs="微软雅黑"/>
                <w:color w:val="000000"/>
                <w:sz w:val="22"/>
                <w:szCs w:val="22"/>
                <w:shd w:val="clear" w:color="auto" w:fill="ffffff"/>
              </w:rPr>
              <w:t xml:space="preserve">服务统计报表，包含各机构处方量、代煎量、</w:t>
            </w:r>
            <w:r>
              <w:rPr>
                <w:rFonts w:hint="eastAsia" w:ascii="Segoe UI" w:hAnsi="Segoe UI" w:cs="Segoe UI"/>
                <w:color w:val="000000"/>
                <w:sz w:val="22"/>
                <w:szCs w:val="22"/>
                <w:shd w:val="clear" w:color="auto" w:fill="ffffff"/>
              </w:rPr>
              <w:t xml:space="preserve">代配量、</w:t>
            </w:r>
            <w:r>
              <w:rPr>
                <w:rFonts w:hint="eastAsia" w:ascii="微软雅黑" w:hAnsi="微软雅黑" w:eastAsia="微软雅黑" w:cs="微软雅黑"/>
                <w:color w:val="000000"/>
                <w:sz w:val="22"/>
                <w:szCs w:val="22"/>
                <w:shd w:val="clear" w:color="auto" w:fill="ffffff"/>
              </w:rPr>
              <w:t xml:space="preserve">费用汇总、质量指标等</w:t>
            </w:r>
            <w:r>
              <w:rPr>
                <w:rFonts w:ascii="Segoe UI" w:hAnsi="Segoe UI" w:eastAsia="Segoe UI" w:cs="Segoe UI"/>
                <w:color w:val="000000"/>
                <w:sz w:val="22"/>
                <w:szCs w:val="22"/>
                <w:shd w:val="clear" w:color="auto" w:fill="ffffff"/>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10.9</w:t>
            </w:r>
            <w:r>
              <w:rPr>
                <w:rFonts w:ascii="Calibri" w:hAnsi="Calibri"/>
                <w:color w:val="000000"/>
              </w:rPr>
            </w:r>
            <w:r/>
          </w:p>
        </w:tc>
        <w:tc>
          <w:tcPr>
            <w:tcW w:w="2050" w:type="dxa"/>
            <w:vAlign w:val="top"/>
            <w:textDirection w:val="lrTb"/>
            <w:noWrap w:val="false"/>
          </w:tcPr>
          <w:p>
            <w:pPr>
              <w:pStyle w:val="886"/>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权限管理</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须支持不同层级用户权限控制（系统管理员、机构管理员、药师、操作员等），支持按机构、按角色分配权限</w:t>
            </w:r>
            <w:r>
              <w:rPr>
                <w:rFonts w:ascii="Segoe UI" w:hAnsi="Segoe UI" w:eastAsia="Segoe UI" w:cs="Segoe UI"/>
                <w:color w:val="000000"/>
                <w:sz w:val="22"/>
                <w:szCs w:val="22"/>
                <w:shd w:val="clear" w:color="auto" w:fill="ffffff"/>
              </w:rPr>
            </w:r>
            <w:r/>
          </w:p>
        </w:tc>
      </w:tr>
      <w:tr>
        <w:trPr/>
        <w:tc>
          <w:tcPr>
            <w:tcW w:w="1317" w:type="dxa"/>
            <w:vAlign w:val="top"/>
            <w:textDirection w:val="lrTb"/>
            <w:noWrap w:val="false"/>
          </w:tcPr>
          <w:p>
            <w:pPr>
              <w:pStyle w:val="886"/>
              <w:rPr>
                <w:rFonts w:ascii="Calibri" w:hAnsi="Calibri"/>
                <w:color w:val="000000"/>
              </w:rPr>
            </w:pPr>
            <w:r>
              <w:rPr>
                <w:rFonts w:hint="eastAsia" w:ascii="Calibri" w:hAnsi="Calibri"/>
                <w:color w:val="000000"/>
              </w:rPr>
              <w:t xml:space="preserve">10.10</w:t>
            </w:r>
            <w:r>
              <w:rPr>
                <w:rFonts w:ascii="Calibri" w:hAnsi="Calibri"/>
                <w:color w:val="000000"/>
              </w:rPr>
            </w:r>
            <w:r/>
          </w:p>
        </w:tc>
        <w:tc>
          <w:tcPr>
            <w:tcW w:w="2050" w:type="dxa"/>
            <w:vAlign w:val="top"/>
            <w:textDirection w:val="lrTb"/>
            <w:noWrap w:val="false"/>
          </w:tcPr>
          <w:p>
            <w:pPr>
              <w:pStyle w:val="886"/>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日志审计</w:t>
            </w:r>
            <w:r>
              <w:rPr>
                <w:rFonts w:ascii="Segoe UI" w:hAnsi="Segoe UI" w:eastAsia="Segoe UI" w:cs="Segoe UI"/>
                <w:color w:val="000000"/>
                <w:sz w:val="22"/>
                <w:szCs w:val="22"/>
                <w:shd w:val="clear" w:color="auto" w:fill="ffffff"/>
              </w:rPr>
            </w:r>
            <w:r/>
          </w:p>
        </w:tc>
        <w:tc>
          <w:tcPr>
            <w:tcW w:w="5869" w:type="dxa"/>
            <w:vAlign w:val="top"/>
            <w:textDirection w:val="lrTb"/>
            <w:noWrap w:val="false"/>
          </w:tcPr>
          <w:p>
            <w:pPr>
              <w:pStyle w:val="886"/>
              <w:ind w:firstLine="0"/>
              <w:rPr>
                <w:rFonts w:ascii="Segoe UI" w:hAnsi="Segoe UI" w:eastAsia="Segoe UI" w:cs="Segoe UI"/>
                <w:color w:val="000000"/>
                <w:sz w:val="22"/>
                <w:szCs w:val="22"/>
                <w:shd w:val="clear" w:color="auto" w:fill="ffffff"/>
              </w:rPr>
            </w:pPr>
            <w:r>
              <w:rPr>
                <w:rFonts w:hint="eastAsia" w:ascii="微软雅黑" w:hAnsi="微软雅黑" w:eastAsia="微软雅黑" w:cs="微软雅黑"/>
                <w:color w:val="000000"/>
                <w:sz w:val="22"/>
                <w:szCs w:val="22"/>
                <w:shd w:val="clear" w:color="auto" w:fill="ffffff"/>
              </w:rPr>
              <w:t xml:space="preserve">所有处方流转、药品调配、煎药操作须全程留痕，支持操作日志审计追溯</w:t>
            </w:r>
            <w:r>
              <w:rPr>
                <w:rFonts w:ascii="Segoe UI" w:hAnsi="Segoe UI" w:eastAsia="Segoe UI" w:cs="Segoe UI"/>
                <w:color w:val="000000"/>
                <w:sz w:val="22"/>
                <w:szCs w:val="22"/>
                <w:shd w:val="clear" w:color="auto" w:fill="ffffff"/>
              </w:rPr>
            </w:r>
            <w:r/>
          </w:p>
        </w:tc>
      </w:tr>
    </w:tbl>
    <w:p>
      <w:pPr>
        <w:pStyle w:val="886"/>
        <w:ind w:left="420" w:firstLine="0"/>
      </w:pPr>
      <w:r/>
      <w:r/>
    </w:p>
    <w:p>
      <w:pPr>
        <w:pStyle w:val="869"/>
        <w:spacing w:line="360" w:lineRule="auto"/>
        <w:rPr>
          <w:rFonts w:hint="eastAsia" w:ascii="宋体" w:hAnsi="宋体" w:cs="宋体"/>
          <w:b/>
          <w:bCs/>
          <w:sz w:val="24"/>
          <w:szCs w:val="24"/>
        </w:rPr>
      </w:pPr>
      <w:r>
        <w:rPr>
          <w:rFonts w:hint="eastAsia" w:ascii="宋体" w:hAnsi="宋体" w:cs="宋体"/>
          <w:b/>
          <w:bCs/>
          <w:sz w:val="24"/>
          <w:szCs w:val="24"/>
        </w:rPr>
        <w:t xml:space="preserve">三、商务要求</w:t>
      </w:r>
      <w:r>
        <w:rPr>
          <w:rFonts w:hint="eastAsia" w:ascii="宋体" w:hAnsi="宋体" w:cs="宋体"/>
          <w:b/>
          <w:bCs/>
          <w:sz w:val="24"/>
          <w:szCs w:val="24"/>
        </w:rPr>
      </w:r>
      <w:r/>
    </w:p>
    <w:p>
      <w:pPr>
        <w:pStyle w:val="869"/>
        <w:ind w:left="214" w:firstLine="494"/>
        <w:spacing w:line="360" w:lineRule="auto"/>
        <w:rPr>
          <w:rFonts w:ascii="宋体" w:hAnsi="宋体"/>
          <w:color w:val="000000"/>
          <w:sz w:val="24"/>
          <w:szCs w:val="24"/>
        </w:rPr>
      </w:pPr>
      <w:r>
        <w:rPr>
          <w:rFonts w:hint="eastAsia" w:ascii="宋体" w:hAnsi="宋体"/>
          <w:color w:val="000000"/>
          <w:sz w:val="24"/>
          <w:szCs w:val="24"/>
        </w:rPr>
        <w:t xml:space="preserve">1.所有招标要求条款投标供应商均必须如实反映响应或偏离情况，如投标单位虚假响应招标文件要求，则一切后果由投标供应商自行承担。招标单位保留追究法律责任的权利。</w:t>
      </w:r>
      <w:r>
        <w:rPr>
          <w:rFonts w:ascii="宋体" w:hAnsi="宋体"/>
          <w:color w:val="000000"/>
          <w:sz w:val="24"/>
          <w:szCs w:val="24"/>
        </w:rPr>
      </w:r>
      <w:r/>
    </w:p>
    <w:p>
      <w:pPr>
        <w:pStyle w:val="869"/>
        <w:ind w:left="214" w:firstLine="494"/>
        <w:spacing w:line="360" w:lineRule="auto"/>
        <w:rPr>
          <w:rFonts w:hint="eastAsia" w:ascii="宋体" w:hAnsi="宋体" w:cs="宋体"/>
          <w:bCs/>
          <w:color w:val="000000"/>
          <w:sz w:val="24"/>
          <w:szCs w:val="24"/>
          <w:lang w:val="zh-CN"/>
        </w:rPr>
      </w:pPr>
      <w:r>
        <w:rPr>
          <w:rFonts w:hint="eastAsia" w:ascii="宋体" w:hAnsi="宋体"/>
          <w:color w:val="000000"/>
          <w:sz w:val="24"/>
          <w:szCs w:val="24"/>
        </w:rPr>
        <w:t xml:space="preserve">2.本项目工期为签订合同后</w:t>
      </w:r>
      <w:r>
        <w:rPr>
          <w:rFonts w:ascii="宋体" w:hAnsi="宋体"/>
          <w:color w:val="000000"/>
          <w:sz w:val="24"/>
          <w:szCs w:val="24"/>
        </w:rPr>
        <w:t xml:space="preserve">30</w:t>
      </w:r>
      <w:r>
        <w:rPr>
          <w:rFonts w:hint="eastAsia" w:ascii="宋体" w:hAnsi="宋体"/>
          <w:color w:val="000000"/>
          <w:sz w:val="24"/>
          <w:szCs w:val="24"/>
        </w:rPr>
        <w:t xml:space="preserve">天，维保期为1年（自验收合格，双方签署验收报告之日起计算）。在保修期内，供方提供免费维护服务。使用方提出维护要求后，1个工作日内予以解决。若不能解决，则投标方应在接到通知的2个工作日内委派合格的技术人员赶抵用户现场提供维护服务。</w:t>
      </w:r>
      <w:r>
        <w:rPr>
          <w:rFonts w:hint="eastAsia" w:ascii="宋体" w:hAnsi="宋体" w:cs="宋体"/>
          <w:bCs/>
          <w:color w:val="000000"/>
          <w:sz w:val="24"/>
          <w:szCs w:val="24"/>
          <w:lang w:val="zh-CN"/>
        </w:rPr>
      </w:r>
      <w:r/>
    </w:p>
    <w:p>
      <w:pPr>
        <w:pStyle w:val="869"/>
        <w:ind w:left="214" w:firstLine="494"/>
        <w:jc w:val="left"/>
        <w:spacing w:line="360" w:lineRule="auto"/>
        <w:tabs>
          <w:tab w:val="left" w:pos="720" w:leader="none"/>
        </w:tabs>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lang w:val="zh-CN"/>
        </w:rPr>
        <w:t xml:space="preserve">付款方式：项目完成</w:t>
      </w:r>
      <w:r>
        <w:rPr>
          <w:rFonts w:hint="eastAsia" w:ascii="宋体" w:hAnsi="宋体"/>
          <w:color w:val="000000"/>
          <w:sz w:val="24"/>
          <w:szCs w:val="24"/>
        </w:rPr>
        <w:t xml:space="preserve">并经采购人验收合格后9</w:t>
      </w:r>
      <w:r>
        <w:rPr>
          <w:rFonts w:ascii="宋体" w:hAnsi="宋体"/>
          <w:color w:val="000000"/>
          <w:sz w:val="24"/>
          <w:szCs w:val="24"/>
        </w:rPr>
        <w:t xml:space="preserve">0</w:t>
      </w:r>
      <w:r>
        <w:rPr>
          <w:rFonts w:hint="eastAsia" w:ascii="宋体" w:hAnsi="宋体"/>
          <w:color w:val="000000"/>
          <w:sz w:val="24"/>
          <w:szCs w:val="24"/>
        </w:rPr>
        <w:t xml:space="preserve">天内支付合同价款90%，余款验收合格满一年后付清。</w:t>
      </w:r>
      <w:r>
        <w:rPr>
          <w:rFonts w:hint="eastAsia" w:ascii="宋体" w:hAnsi="宋体"/>
          <w:color w:val="000000"/>
          <w:sz w:val="24"/>
          <w:szCs w:val="24"/>
        </w:rPr>
      </w:r>
      <w:r/>
    </w:p>
    <w:p>
      <w:pPr>
        <w:pStyle w:val="869"/>
        <w:ind w:left="214" w:firstLine="494"/>
        <w:jc w:val="left"/>
        <w:spacing w:line="360" w:lineRule="auto"/>
        <w:tabs>
          <w:tab w:val="left" w:pos="720" w:leader="none"/>
        </w:tabs>
        <w:rPr>
          <w:rFonts w:ascii="宋体" w:hAnsi="宋体"/>
          <w:color w:val="000000"/>
          <w:sz w:val="24"/>
          <w:szCs w:val="24"/>
        </w:rPr>
      </w:pPr>
      <w:r>
        <w:rPr>
          <w:rFonts w:hint="eastAsia" w:ascii="宋体" w:hAnsi="宋体"/>
          <w:color w:val="000000"/>
          <w:sz w:val="24"/>
          <w:szCs w:val="24"/>
        </w:rPr>
        <w:t xml:space="preserve">4.本项目包含与HIS的所有对接费用，采购方不再承担其他额外费用，考虑到软件差异性，投标人可到我院进行现场勘查（相关费用自理），了解安装位置及应用部署架构，若因未现场勘查或者现场勘查错误造成的任何后果，全部责任由投标人自负。</w:t>
      </w:r>
      <w:r>
        <w:rPr>
          <w:rFonts w:ascii="宋体" w:hAnsi="宋体"/>
          <w:color w:val="000000"/>
          <w:sz w:val="24"/>
          <w:szCs w:val="24"/>
        </w:rPr>
      </w:r>
      <w:r/>
    </w:p>
    <w:p>
      <w:pPr>
        <w:pStyle w:val="869"/>
        <w:spacing w:line="360" w:lineRule="auto"/>
        <w:rPr>
          <w:rFonts w:hint="eastAsia" w:ascii="宋体" w:hAnsi="宋体" w:cs="宋体"/>
          <w:b/>
          <w:color w:val="000000"/>
          <w:sz w:val="24"/>
          <w:szCs w:val="24"/>
        </w:rPr>
      </w:pPr>
      <w:r/>
      <w:bookmarkStart w:id="146" w:name="_Toc120614281"/>
      <w:r>
        <w:rPr>
          <w:rFonts w:hint="eastAsia" w:ascii="宋体" w:hAnsi="宋体" w:cs="宋体"/>
          <w:b/>
          <w:color w:val="000000"/>
          <w:sz w:val="24"/>
          <w:szCs w:val="24"/>
        </w:rPr>
        <w:t xml:space="preserve">四、其他要求</w:t>
      </w:r>
      <w:r>
        <w:rPr>
          <w:rFonts w:hint="eastAsia" w:ascii="宋体" w:hAnsi="宋体" w:cs="宋体"/>
          <w:b/>
          <w:color w:val="000000"/>
          <w:sz w:val="24"/>
          <w:szCs w:val="24"/>
        </w:rPr>
      </w:r>
      <w:r/>
    </w:p>
    <w:p>
      <w:pPr>
        <w:pStyle w:val="869"/>
        <w:ind w:firstLine="480"/>
        <w:jc w:val="left"/>
        <w:spacing w:line="360" w:lineRule="auto"/>
        <w:tabs>
          <w:tab w:val="left" w:pos="720" w:leader="none"/>
        </w:tabs>
        <w:rPr>
          <w:rFonts w:hint="eastAsia" w:ascii="宋体" w:hAnsi="宋体"/>
          <w:sz w:val="24"/>
          <w:szCs w:val="24"/>
        </w:rPr>
      </w:pPr>
      <w:r>
        <w:rPr>
          <w:rFonts w:hint="eastAsia" w:ascii="宋体" w:hAnsi="宋体"/>
          <w:sz w:val="24"/>
          <w:szCs w:val="24"/>
        </w:rPr>
        <w:t xml:space="preserve">1.项目属性:服务类项目。</w:t>
      </w:r>
      <w:r>
        <w:rPr>
          <w:rFonts w:hint="eastAsia" w:ascii="宋体" w:hAnsi="宋体"/>
          <w:sz w:val="24"/>
          <w:szCs w:val="24"/>
        </w:rPr>
      </w:r>
      <w:r/>
    </w:p>
    <w:p>
      <w:pPr>
        <w:pStyle w:val="869"/>
        <w:ind w:firstLine="480"/>
        <w:jc w:val="left"/>
        <w:spacing w:line="360" w:lineRule="auto"/>
        <w:tabs>
          <w:tab w:val="left" w:pos="72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履约保证金：</w:t>
      </w:r>
      <w:r>
        <w:rPr>
          <w:rFonts w:hint="eastAsia" w:ascii="宋体" w:hAnsi="宋体"/>
          <w:sz w:val="24"/>
          <w:szCs w:val="24"/>
        </w:rPr>
        <w:t xml:space="preserve">无。</w:t>
      </w:r>
      <w:r>
        <w:rPr>
          <w:rFonts w:ascii="宋体" w:hAnsi="宋体"/>
          <w:sz w:val="24"/>
          <w:szCs w:val="24"/>
        </w:rPr>
      </w:r>
      <w:r/>
    </w:p>
    <w:p>
      <w:pPr>
        <w:pStyle w:val="869"/>
        <w:jc w:val="center"/>
        <w:spacing w:line="360" w:lineRule="auto"/>
        <w:tabs>
          <w:tab w:val="left" w:pos="720" w:leader="none"/>
        </w:tabs>
        <w:rPr>
          <w:rFonts w:hint="eastAsia" w:ascii="黑体" w:eastAsia="黑体"/>
          <w:bCs/>
          <w:color w:val="000000"/>
          <w:sz w:val="44"/>
          <w:szCs w:val="28"/>
        </w:rPr>
      </w:pPr>
      <w:r>
        <w:rPr>
          <w:rFonts w:hint="eastAsia" w:ascii="宋体" w:hAnsi="宋体"/>
          <w:szCs w:val="21"/>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69"/>
        <w:ind w:firstLine="480"/>
        <w:spacing w:line="360" w:lineRule="auto"/>
        <w:rPr>
          <w:rFonts w:hint="eastAsia" w:ascii="宋体" w:hAnsi="宋体" w:cs="宋体"/>
          <w:color w:val="ff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rPr>
          <w:rFonts w:hint="eastAsia" w:ascii="宋体" w:hAnsi="宋体" w:cs="宋体"/>
          <w:color w:val="ff0000"/>
          <w:sz w:val="24"/>
          <w:szCs w:val="24"/>
        </w:rPr>
      </w:r>
      <w:r/>
    </w:p>
    <w:tbl>
      <w:tblPr>
        <w:tblW w:w="0" w:type="auto"/>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pStyle w:val="869"/>
              <w:jc w:val="center"/>
              <w:spacing w:line="360" w:lineRule="auto"/>
              <w:rPr>
                <w:rFonts w:hint="eastAsia" w:ascii="宋体" w:hAnsi="宋体" w:cs="宋体"/>
                <w:sz w:val="24"/>
                <w:szCs w:val="24"/>
              </w:rPr>
            </w:pPr>
            <w:r>
              <w:rPr>
                <w:rFonts w:hint="eastAsia" w:ascii="宋体" w:hAnsi="宋体" w:cs="宋体"/>
                <w:sz w:val="24"/>
                <w:szCs w:val="24"/>
              </w:rPr>
              <w:t xml:space="preserve">采购包号</w:t>
            </w:r>
            <w:r>
              <w:rPr>
                <w:rFonts w:hint="eastAsia" w:ascii="宋体" w:hAnsi="宋体" w:cs="宋体"/>
                <w:sz w:val="24"/>
                <w:szCs w:val="24"/>
              </w:rPr>
            </w:r>
            <w:r/>
          </w:p>
        </w:tc>
        <w:tc>
          <w:tcPr>
            <w:tcW w:w="1610" w:type="dxa"/>
            <w:vAlign w:val="center"/>
            <w:textDirection w:val="lrTb"/>
            <w:noWrap w:val="false"/>
          </w:tcPr>
          <w:p>
            <w:pPr>
              <w:pStyle w:val="869"/>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选取中标候选人数量</w:t>
            </w:r>
            <w:r>
              <w:rPr>
                <w:rFonts w:hint="eastAsia" w:ascii="宋体" w:hAnsi="宋体" w:cs="宋体"/>
                <w:sz w:val="24"/>
                <w:szCs w:val="24"/>
              </w:rPr>
            </w:r>
            <w:r/>
          </w:p>
        </w:tc>
        <w:tc>
          <w:tcPr>
            <w:tcW w:w="6112" w:type="dxa"/>
            <w:vAlign w:val="center"/>
            <w:textDirection w:val="lrTb"/>
            <w:noWrap w:val="false"/>
          </w:tcPr>
          <w:p>
            <w:pPr>
              <w:pStyle w:val="869"/>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选取中标候选人的原则</w:t>
            </w:r>
            <w:r>
              <w:rPr>
                <w:rFonts w:hint="eastAsia" w:ascii="宋体" w:hAnsi="宋体" w:cs="宋体"/>
                <w:sz w:val="24"/>
                <w:szCs w:val="24"/>
              </w:rPr>
            </w:r>
            <w:r/>
          </w:p>
        </w:tc>
      </w:tr>
      <w:tr>
        <w:trPr/>
        <w:tc>
          <w:tcPr>
            <w:tcW w:w="1148" w:type="dxa"/>
            <w:vAlign w:val="center"/>
            <w:textDirection w:val="lrTb"/>
            <w:noWrap w:val="false"/>
          </w:tcPr>
          <w:p>
            <w:pPr>
              <w:pStyle w:val="869"/>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610" w:type="dxa"/>
            <w:vAlign w:val="center"/>
            <w:textDirection w:val="lrTb"/>
            <w:noWrap w:val="false"/>
          </w:tcPr>
          <w:p>
            <w:pPr>
              <w:pStyle w:val="869"/>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112" w:type="dxa"/>
            <w:vAlign w:val="center"/>
            <w:textDirection w:val="lrTb"/>
            <w:noWrap w:val="false"/>
          </w:tcPr>
          <w:p>
            <w:pPr>
              <w:pStyle w:val="869"/>
              <w:jc w:val="left"/>
              <w:spacing w:line="360" w:lineRule="auto"/>
              <w:rPr>
                <w:rFonts w:hint="eastAsia"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rPr>
                <w:rFonts w:hint="eastAsia" w:ascii="宋体" w:hAnsi="宋体" w:cs="宋体"/>
                <w:sz w:val="24"/>
                <w:szCs w:val="24"/>
              </w:rPr>
            </w:r>
            <w:r/>
          </w:p>
        </w:tc>
      </w:tr>
    </w:tbl>
    <w:p>
      <w:pPr>
        <w:pStyle w:val="869"/>
        <w:ind w:firstLine="480"/>
        <w:jc w:val="left"/>
        <w:spacing w:line="360" w:lineRule="auto"/>
        <w:rPr>
          <w:rFonts w:hint="eastAsia" w:ascii="宋体" w:hAnsi="宋体" w:cs="宋体"/>
          <w:sz w:val="24"/>
          <w:szCs w:val="24"/>
          <w:highlight w:val="yellow"/>
        </w:rPr>
      </w:pPr>
      <w:r>
        <w:rPr>
          <w:rFonts w:hint="eastAsia" w:ascii="宋体" w:hAnsi="宋体" w:cs="宋体"/>
          <w:b/>
          <w:sz w:val="24"/>
          <w:szCs w:val="24"/>
        </w:rPr>
        <w:t xml:space="preserve">政府采购政策功能落实</w:t>
      </w:r>
      <w:r>
        <w:rPr>
          <w:rFonts w:hint="eastAsia" w:ascii="宋体" w:hAnsi="宋体" w:cs="宋体"/>
          <w:sz w:val="24"/>
          <w:szCs w:val="24"/>
          <w:highlight w:val="yellow"/>
        </w:rPr>
      </w:r>
      <w:r/>
    </w:p>
    <w:p>
      <w:pPr>
        <w:pStyle w:val="869"/>
        <w:ind w:firstLine="480"/>
        <w:jc w:val="left"/>
        <w:spacing w:line="360" w:lineRule="auto"/>
        <w:rPr>
          <w:rFonts w:hint="eastAsia" w:ascii="宋体" w:hAnsi="宋体" w:cs="宋体"/>
          <w:sz w:val="24"/>
          <w:szCs w:val="24"/>
        </w:rPr>
      </w:pPr>
      <w:r>
        <w:rPr>
          <w:rFonts w:hint="eastAsia" w:ascii="宋体" w:hAnsi="宋体" w:cs="宋体"/>
          <w:sz w:val="24"/>
          <w:szCs w:val="24"/>
        </w:rPr>
        <w:t xml:space="preserve">专门面向中小企业采购的项目或者采购包，不再执行价格评审优惠的扶持政策。</w:t>
      </w:r>
      <w:r>
        <w:rPr>
          <w:rFonts w:hint="eastAsia" w:ascii="宋体" w:hAnsi="宋体" w:cs="宋体"/>
          <w:sz w:val="24"/>
          <w:szCs w:val="24"/>
        </w:rPr>
      </w:r>
      <w:r/>
    </w:p>
    <w:p>
      <w:pPr>
        <w:pStyle w:val="869"/>
        <w:ind w:firstLine="480"/>
        <w:jc w:val="left"/>
        <w:spacing w:line="360" w:lineRule="auto"/>
        <w:rPr>
          <w:rFonts w:hint="eastAsia" w:ascii="宋体" w:hAnsi="宋体" w:cs="宋体"/>
          <w:b/>
          <w:color w:val="000000"/>
          <w:sz w:val="24"/>
          <w:szCs w:val="24"/>
          <w:highlight w:val="yellow"/>
        </w:rPr>
      </w:pPr>
      <w:r>
        <w:rPr>
          <w:rFonts w:hint="eastAsia" w:ascii="宋体" w:hAnsi="宋体" w:cs="宋体"/>
          <w:b/>
          <w:color w:val="000000"/>
          <w:sz w:val="24"/>
          <w:szCs w:val="24"/>
        </w:rPr>
        <w:t xml:space="preserve">评标方法与评审标准</w:t>
      </w:r>
      <w:r>
        <w:rPr>
          <w:rFonts w:hint="eastAsia" w:ascii="宋体" w:hAnsi="宋体" w:cs="宋体"/>
          <w:b/>
          <w:color w:val="000000"/>
          <w:sz w:val="24"/>
          <w:szCs w:val="24"/>
          <w:highlight w:val="yellow"/>
        </w:rPr>
      </w:r>
      <w:r/>
    </w:p>
    <w:p>
      <w:pPr>
        <w:pStyle w:val="869"/>
        <w:ind w:firstLine="440"/>
        <w:spacing w:line="360" w:lineRule="auto"/>
        <w:rPr>
          <w:rFonts w:ascii="宋体" w:hAnsi="宋体" w:cs="宋体"/>
          <w:b/>
          <w:bCs/>
          <w:sz w:val="22"/>
          <w:szCs w:val="24"/>
        </w:rPr>
      </w:pPr>
      <w:r>
        <w:rPr>
          <w:rFonts w:hint="eastAsia" w:ascii="宋体" w:hAnsi="宋体" w:cs="宋体"/>
          <w:b/>
          <w:bCs/>
          <w:sz w:val="22"/>
          <w:szCs w:val="24"/>
        </w:rPr>
        <w:t xml:space="preserve">下</w:t>
      </w:r>
      <w:r>
        <w:rPr>
          <w:rFonts w:hint="eastAsia" w:ascii="宋体" w:hAnsi="宋体" w:cs="宋体"/>
          <w:b/>
          <w:bCs/>
          <w:sz w:val="22"/>
          <w:szCs w:val="24"/>
          <w:highlight w:val="none"/>
        </w:rPr>
        <w:t xml:space="preserve">列序号（5-</w:t>
      </w:r>
      <w:r>
        <w:rPr>
          <w:rFonts w:ascii="宋体" w:hAnsi="宋体" w:cs="宋体"/>
          <w:b/>
          <w:bCs/>
          <w:sz w:val="22"/>
          <w:szCs w:val="24"/>
          <w:highlight w:val="none"/>
        </w:rPr>
        <w:t xml:space="preserve">10</w:t>
      </w:r>
      <w:r>
        <w:rPr>
          <w:rFonts w:hint="eastAsia" w:ascii="宋体" w:hAnsi="宋体" w:cs="宋体"/>
          <w:b/>
          <w:bCs/>
          <w:sz w:val="22"/>
          <w:szCs w:val="24"/>
          <w:highlight w:val="none"/>
        </w:rPr>
        <w:t xml:space="preserve">）评</w:t>
      </w:r>
      <w:r>
        <w:rPr>
          <w:rFonts w:hint="eastAsia" w:ascii="宋体" w:hAnsi="宋体" w:cs="宋体"/>
          <w:b/>
          <w:bCs/>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rPr>
          <w:rFonts w:ascii="宋体" w:hAnsi="宋体" w:cs="宋体"/>
          <w:b/>
          <w:bCs/>
          <w:sz w:val="22"/>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485"/>
        <w:gridCol w:w="857"/>
        <w:gridCol w:w="6404"/>
      </w:tblGrid>
      <w:tr>
        <w:trPr/>
        <w:tc>
          <w:tcPr>
            <w:tcW w:w="811" w:type="dxa"/>
            <w:vAlign w:val="center"/>
            <w:textDirection w:val="lrTb"/>
            <w:noWrap w:val="false"/>
          </w:tcPr>
          <w:p>
            <w:pPr>
              <w:pStyle w:val="869"/>
              <w:jc w:val="cente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序号</w:t>
            </w:r>
            <w:r>
              <w:rPr>
                <w:rFonts w:hint="eastAsia" w:ascii="宋体" w:hAnsi="宋体" w:cs="宋体"/>
                <w:b/>
                <w:bCs/>
                <w:color w:val="000000"/>
                <w:szCs w:val="21"/>
                <w:lang w:val="zh-CN"/>
              </w:rPr>
            </w:r>
            <w:r/>
          </w:p>
        </w:tc>
        <w:tc>
          <w:tcPr>
            <w:tcW w:w="1485" w:type="dxa"/>
            <w:vAlign w:val="center"/>
            <w:textDirection w:val="lrTb"/>
            <w:noWrap w:val="false"/>
          </w:tcPr>
          <w:p>
            <w:pPr>
              <w:pStyle w:val="869"/>
              <w:jc w:val="cente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评分项名称</w:t>
            </w:r>
            <w:r>
              <w:rPr>
                <w:rFonts w:hint="eastAsia" w:ascii="宋体" w:hAnsi="宋体" w:cs="宋体"/>
                <w:b/>
                <w:bCs/>
                <w:color w:val="000000"/>
                <w:szCs w:val="21"/>
                <w:lang w:val="zh-CN"/>
              </w:rPr>
            </w:r>
            <w:r/>
          </w:p>
        </w:tc>
        <w:tc>
          <w:tcPr>
            <w:tcW w:w="857" w:type="dxa"/>
            <w:vAlign w:val="center"/>
            <w:textDirection w:val="lrTb"/>
            <w:noWrap w:val="false"/>
          </w:tcPr>
          <w:p>
            <w:pPr>
              <w:pStyle w:val="869"/>
              <w:jc w:val="cente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分值</w:t>
            </w:r>
            <w:r>
              <w:rPr>
                <w:rFonts w:hint="eastAsia" w:ascii="宋体" w:hAnsi="宋体" w:cs="宋体"/>
                <w:b/>
                <w:bCs/>
                <w:color w:val="000000"/>
                <w:szCs w:val="21"/>
                <w:lang w:val="zh-CN"/>
              </w:rPr>
            </w:r>
            <w:r/>
          </w:p>
        </w:tc>
        <w:tc>
          <w:tcPr>
            <w:tcW w:w="6404" w:type="dxa"/>
            <w:vAlign w:val="top"/>
            <w:textDirection w:val="lrTb"/>
            <w:noWrap w:val="false"/>
          </w:tcPr>
          <w:p>
            <w:pPr>
              <w:pStyle w:val="869"/>
              <w:ind w:firstLine="424"/>
              <w:jc w:val="cente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评审标准</w:t>
            </w:r>
            <w:r>
              <w:rPr>
                <w:rFonts w:hint="eastAsia" w:ascii="宋体" w:hAnsi="宋体" w:cs="宋体"/>
                <w:b/>
                <w:bCs/>
                <w:color w:val="000000"/>
                <w:szCs w:val="21"/>
                <w:lang w:val="zh-CN"/>
              </w:rPr>
            </w:r>
            <w:r/>
          </w:p>
        </w:tc>
      </w:tr>
      <w:tr>
        <w:trPr/>
        <w:tc>
          <w:tcPr>
            <w:tcW w:w="811" w:type="dxa"/>
            <w:vAlign w:val="center"/>
            <w:textDirection w:val="lrTb"/>
            <w:noWrap w:val="false"/>
          </w:tcPr>
          <w:p>
            <w:pPr>
              <w:pStyle w:val="869"/>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zh-CN"/>
              </w:rPr>
            </w:r>
            <w:r/>
          </w:p>
        </w:tc>
        <w:tc>
          <w:tcPr>
            <w:tcW w:w="1485" w:type="dxa"/>
            <w:vAlign w:val="center"/>
            <w:textDirection w:val="lrTb"/>
            <w:noWrap w:val="false"/>
          </w:tcPr>
          <w:p>
            <w:pPr>
              <w:pStyle w:val="869"/>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价格分</w:t>
            </w:r>
            <w:r>
              <w:rPr>
                <w:rFonts w:hint="eastAsia" w:ascii="宋体" w:hAnsi="宋体" w:cs="宋体"/>
                <w:color w:val="000000"/>
                <w:szCs w:val="21"/>
                <w:lang w:val="zh-CN"/>
              </w:rPr>
            </w:r>
            <w:r/>
          </w:p>
        </w:tc>
        <w:tc>
          <w:tcPr>
            <w:tcW w:w="857"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40</w:t>
            </w:r>
            <w:r>
              <w:rPr>
                <w:rFonts w:hint="eastAsia" w:ascii="宋体" w:hAnsi="宋体" w:cs="宋体"/>
                <w:color w:val="000000"/>
                <w:szCs w:val="21"/>
              </w:rPr>
            </w:r>
            <w:r/>
          </w:p>
        </w:tc>
        <w:tc>
          <w:tcPr>
            <w:tcW w:w="6404" w:type="dxa"/>
            <w:vAlign w:val="top"/>
            <w:textDirection w:val="lrTb"/>
            <w:noWrap w:val="false"/>
          </w:tcPr>
          <w:p>
            <w:pPr>
              <w:pStyle w:val="869"/>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color w:val="000000"/>
                <w:szCs w:val="21"/>
                <w:lang w:val="zh-CN"/>
              </w:rPr>
            </w:r>
            <w:r/>
          </w:p>
        </w:tc>
      </w:tr>
      <w:tr>
        <w:trPr/>
        <w:tc>
          <w:tcPr>
            <w:tcW w:w="811" w:type="dxa"/>
            <w:vAlign w:val="center"/>
            <w:textDirection w:val="lrTb"/>
            <w:noWrap w:val="false"/>
          </w:tcPr>
          <w:p>
            <w:pPr>
              <w:pStyle w:val="869"/>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lang w:val="zh-CN"/>
              </w:rPr>
            </w:r>
            <w:r/>
          </w:p>
        </w:tc>
        <w:tc>
          <w:tcPr>
            <w:tcW w:w="1485" w:type="dxa"/>
            <w:vAlign w:val="center"/>
            <w:textDirection w:val="lrTb"/>
            <w:noWrap w:val="false"/>
          </w:tcPr>
          <w:p>
            <w:pPr>
              <w:pStyle w:val="86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技术参数</w:t>
            </w:r>
            <w:r>
              <w:rPr>
                <w:rFonts w:hint="eastAsia" w:ascii="宋体" w:hAnsi="宋体" w:cs="宋体"/>
                <w:color w:val="000000"/>
                <w:szCs w:val="21"/>
              </w:rPr>
            </w:r>
            <w:r/>
          </w:p>
        </w:tc>
        <w:tc>
          <w:tcPr>
            <w:tcW w:w="857"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44</w:t>
            </w:r>
            <w:r>
              <w:rPr>
                <w:rFonts w:hint="eastAsia" w:ascii="宋体" w:hAnsi="宋体" w:cs="宋体"/>
                <w:color w:val="000000"/>
                <w:szCs w:val="21"/>
              </w:rPr>
            </w:r>
            <w:r/>
          </w:p>
        </w:tc>
        <w:tc>
          <w:tcPr>
            <w:tcW w:w="6404" w:type="dxa"/>
            <w:vAlign w:val="top"/>
            <w:textDirection w:val="lrTb"/>
            <w:noWrap w:val="false"/>
          </w:tcPr>
          <w:p>
            <w:pPr>
              <w:pStyle w:val="869"/>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根据投标人对采购文件具体需求的响应程度：全部响应即满足采购文件功能技术参数及商务要求等的 得44分，带“▲”为重要参数有负偏离的每项扣1分，扣完为止、一般参数有负偏离的每项扣0.5分，扣完为止。（投标人需按照本采购文件第三部分项目具体功能技术要求和商务要求等，在“技术参数响应及偏离表”以及“商务条款响应及偏离表”中如实详细填列所投产品的参数及商务承诺，并按采购文件要求提供相应证明材料的编号并在偏离响应表中标明所在页码，未提供证明材料的视为负偏离）</w:t>
            </w:r>
            <w:r>
              <w:rPr>
                <w:rFonts w:hint="eastAsia" w:ascii="宋体" w:hAnsi="宋体" w:cs="宋体"/>
                <w:color w:val="000000"/>
                <w:szCs w:val="21"/>
              </w:rPr>
            </w:r>
            <w:r/>
          </w:p>
          <w:p>
            <w:pPr>
              <w:pStyle w:val="881"/>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带“▲”为重要参数需提供截图证明</w:t>
            </w:r>
            <w:r>
              <w:rPr>
                <w:rFonts w:hint="eastAsia" w:ascii="宋体" w:hAnsi="宋体" w:eastAsia="宋体" w:cs="宋体"/>
                <w:color w:val="000000"/>
                <w:sz w:val="21"/>
                <w:szCs w:val="21"/>
              </w:rPr>
            </w:r>
            <w:r/>
          </w:p>
        </w:tc>
      </w:tr>
      <w:tr>
        <w:trPr/>
        <w:tc>
          <w:tcPr>
            <w:tcW w:w="811" w:type="dxa"/>
            <w:vAlign w:val="center"/>
            <w:textDirection w:val="lrTb"/>
            <w:noWrap w:val="false"/>
          </w:tcPr>
          <w:p>
            <w:pPr>
              <w:pStyle w:val="869"/>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lang w:val="zh-CN"/>
              </w:rPr>
            </w:r>
            <w:r/>
          </w:p>
        </w:tc>
        <w:tc>
          <w:tcPr>
            <w:tcW w:w="1485" w:type="dxa"/>
            <w:vAlign w:val="center"/>
            <w:textDirection w:val="lrTb"/>
            <w:noWrap w:val="false"/>
          </w:tcPr>
          <w:p>
            <w:pPr>
              <w:pStyle w:val="86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业绩</w:t>
            </w:r>
            <w:r>
              <w:rPr>
                <w:rFonts w:hint="eastAsia" w:ascii="宋体" w:hAnsi="宋体" w:cs="宋体"/>
                <w:color w:val="000000"/>
                <w:szCs w:val="21"/>
              </w:rPr>
            </w:r>
            <w:r/>
          </w:p>
        </w:tc>
        <w:tc>
          <w:tcPr>
            <w:tcW w:w="857" w:type="dxa"/>
            <w:vAlign w:val="center"/>
            <w:textDirection w:val="lrTb"/>
            <w:noWrap w:val="false"/>
          </w:tcPr>
          <w:p>
            <w:pPr>
              <w:pStyle w:val="869"/>
              <w:jc w:val="center"/>
              <w:spacing w:line="360" w:lineRule="auto"/>
              <w:widowControl/>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r>
            <w:r/>
          </w:p>
        </w:tc>
        <w:tc>
          <w:tcPr>
            <w:tcW w:w="6404" w:type="dxa"/>
            <w:vAlign w:val="center"/>
            <w:textDirection w:val="lrTb"/>
            <w:noWrap w:val="false"/>
          </w:tcPr>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投标人提供类似项目的案例（案例主要标的物至少包含：信息系统接口类），每提供1个得1分，最多</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（提供合同复印件加盖公章，合同须能反映项目名称、主要标的物，签订时间和签章清晰可见）</w:t>
            </w:r>
            <w:r>
              <w:rPr>
                <w:rFonts w:hint="eastAsia" w:ascii="宋体" w:hAnsi="宋体" w:cs="宋体"/>
                <w:color w:val="000000"/>
                <w:szCs w:val="21"/>
              </w:rPr>
            </w:r>
            <w:r/>
          </w:p>
        </w:tc>
      </w:tr>
      <w:tr>
        <w:trPr/>
        <w:tc>
          <w:tcPr>
            <w:tcW w:w="811"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485" w:type="dxa"/>
            <w:vAlign w:val="center"/>
            <w:textDirection w:val="lrTb"/>
            <w:noWrap w:val="false"/>
          </w:tcPr>
          <w:p>
            <w:pPr>
              <w:pStyle w:val="869"/>
              <w:jc w:val="center"/>
              <w:spacing w:line="360" w:lineRule="auto"/>
              <w:rPr>
                <w:rFonts w:hint="eastAsia" w:ascii="宋体" w:hAnsi="宋体" w:cs="宋体"/>
                <w:color w:val="000000"/>
                <w:szCs w:val="21"/>
                <w:lang w:val="zh-CN"/>
              </w:rPr>
            </w:pPr>
            <w:r>
              <w:rPr>
                <w:rFonts w:hint="eastAsia" w:ascii="宋体" w:hAnsi="宋体" w:cs="宋体"/>
                <w:color w:val="000000"/>
                <w:szCs w:val="21"/>
              </w:rPr>
              <w:t xml:space="preserve">统一售后运维平台服务</w:t>
            </w:r>
            <w:r>
              <w:rPr>
                <w:rFonts w:hint="eastAsia" w:ascii="宋体" w:hAnsi="宋体" w:cs="宋体"/>
                <w:color w:val="000000"/>
                <w:szCs w:val="21"/>
                <w:lang w:val="zh-CN"/>
              </w:rPr>
            </w:r>
            <w:r/>
          </w:p>
        </w:tc>
        <w:tc>
          <w:tcPr>
            <w:tcW w:w="857"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6404" w:type="dxa"/>
            <w:vAlign w:val="top"/>
            <w:textDirection w:val="lrTb"/>
            <w:noWrap w:val="false"/>
          </w:tcPr>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投标人能够同时提供PC端、移动端的全流程闭环追溯服务，得1分。</w:t>
            </w:r>
            <w:r>
              <w:rPr>
                <w:rFonts w:hint="eastAsia" w:ascii="宋体" w:hAnsi="宋体" w:cs="宋体"/>
                <w:color w:val="000000"/>
                <w:szCs w:val="21"/>
              </w:rPr>
            </w:r>
            <w:r/>
          </w:p>
          <w:p>
            <w:pPr>
              <w:pStyle w:val="869"/>
              <w:spacing w:line="360" w:lineRule="auto"/>
              <w:rPr>
                <w:rFonts w:hint="eastAsia"/>
                <w:color w:val="000000"/>
              </w:rPr>
            </w:pPr>
            <w:r>
              <w:rPr>
                <w:rFonts w:hint="eastAsia" w:ascii="宋体" w:hAnsi="宋体" w:cs="宋体"/>
                <w:color w:val="000000"/>
                <w:szCs w:val="21"/>
              </w:rPr>
              <w:t xml:space="preserve">（需提供PC端、移动端售后服务管理信息系统流程图及售后服务管理信息系统功能截图并加盖公章，否则不得分）</w:t>
            </w:r>
            <w:r>
              <w:rPr>
                <w:rFonts w:hint="eastAsia"/>
                <w:color w:val="000000"/>
              </w:rPr>
            </w:r>
            <w:r/>
          </w:p>
        </w:tc>
      </w:tr>
      <w:tr>
        <w:trPr/>
        <w:tc>
          <w:tcPr>
            <w:tcW w:w="811"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485" w:type="dxa"/>
            <w:vAlign w:val="center"/>
            <w:textDirection w:val="lrTb"/>
            <w:noWrap w:val="false"/>
          </w:tcPr>
          <w:p>
            <w:pPr>
              <w:pStyle w:val="869"/>
              <w:jc w:val="center"/>
              <w:spacing w:line="360" w:lineRule="auto"/>
              <w:rPr>
                <w:rFonts w:hint="eastAsia" w:ascii="宋体" w:hAnsi="宋体" w:cs="宋体"/>
                <w:color w:val="000000"/>
                <w:szCs w:val="21"/>
                <w:lang w:val="zh-CN"/>
              </w:rPr>
            </w:pPr>
            <w:r>
              <w:rPr>
                <w:rFonts w:hint="eastAsia" w:ascii="宋体" w:hAnsi="宋体" w:cs="宋体"/>
                <w:color w:val="000000"/>
                <w:szCs w:val="21"/>
              </w:rPr>
              <w:t xml:space="preserve">需求分析报告</w:t>
            </w:r>
            <w:r>
              <w:rPr>
                <w:rFonts w:hint="eastAsia" w:ascii="宋体" w:hAnsi="宋体" w:cs="宋体"/>
                <w:color w:val="000000"/>
                <w:szCs w:val="21"/>
                <w:lang w:val="zh-CN"/>
              </w:rPr>
            </w:r>
            <w:r/>
          </w:p>
        </w:tc>
        <w:tc>
          <w:tcPr>
            <w:tcW w:w="857"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6404" w:type="dxa"/>
            <w:vAlign w:val="top"/>
            <w:textDirection w:val="lrTb"/>
            <w:noWrap w:val="false"/>
          </w:tcPr>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需求分析报告对采购人现状及业务、技术需求有充分认识和理解，分析科学深入，对于维保服务重点、难点具有明确合理的应对措施，得2分。</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需求分析报告对采购人现状及业务、技术需求认识和理解不够充分，分析不够科学深入，对于维保服务重点、难点的应对措施考虑不全面，得1分。</w:t>
            </w:r>
            <w:r>
              <w:rPr>
                <w:rFonts w:hint="eastAsia" w:ascii="宋体" w:hAnsi="宋体" w:cs="宋体"/>
                <w:color w:val="000000"/>
                <w:szCs w:val="21"/>
              </w:rPr>
            </w:r>
            <w:r/>
          </w:p>
          <w:p>
            <w:pPr>
              <w:pStyle w:val="869"/>
              <w:spacing w:line="360" w:lineRule="auto"/>
              <w:rPr>
                <w:rFonts w:hint="eastAsia" w:ascii="宋体" w:hAnsi="宋体" w:cs="宋体"/>
                <w:color w:val="000000"/>
                <w:szCs w:val="21"/>
                <w:lang w:val="zh-CN"/>
              </w:rPr>
            </w:pPr>
            <w:r>
              <w:rPr>
                <w:rFonts w:hint="eastAsia" w:ascii="宋体" w:hAnsi="宋体" w:cs="宋体"/>
                <w:color w:val="000000"/>
                <w:szCs w:val="21"/>
              </w:rPr>
              <w:t xml:space="preserve">需求分析报告对采购人现状及业务、技术需求没有认识和理解，分析浅显，对于维保服务重点、难点未做考虑，得0分。</w:t>
            </w:r>
            <w:r>
              <w:rPr>
                <w:rFonts w:hint="eastAsia" w:ascii="宋体" w:hAnsi="宋体" w:cs="宋体"/>
                <w:color w:val="000000"/>
                <w:szCs w:val="21"/>
                <w:lang w:val="zh-CN"/>
              </w:rPr>
            </w:r>
            <w:r/>
          </w:p>
        </w:tc>
      </w:tr>
      <w:tr>
        <w:trPr/>
        <w:tc>
          <w:tcPr>
            <w:tcW w:w="811"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485" w:type="dxa"/>
            <w:vAlign w:val="center"/>
            <w:textDirection w:val="lrTb"/>
            <w:noWrap w:val="false"/>
          </w:tcPr>
          <w:p>
            <w:pPr>
              <w:pStyle w:val="869"/>
              <w:jc w:val="center"/>
              <w:spacing w:line="360" w:lineRule="auto"/>
              <w:rPr>
                <w:rFonts w:hint="eastAsia" w:ascii="宋体" w:hAnsi="宋体" w:cs="宋体"/>
                <w:color w:val="000000"/>
                <w:szCs w:val="21"/>
                <w:lang w:val="zh-CN"/>
              </w:rPr>
            </w:pPr>
            <w:r>
              <w:rPr>
                <w:rFonts w:hint="eastAsia" w:ascii="宋体" w:hAnsi="宋体" w:cs="宋体"/>
                <w:color w:val="000000"/>
                <w:szCs w:val="21"/>
              </w:rPr>
              <w:t xml:space="preserve">总体实施方案</w:t>
            </w:r>
            <w:r>
              <w:rPr>
                <w:rFonts w:hint="eastAsia" w:ascii="宋体" w:hAnsi="宋体" w:cs="宋体"/>
                <w:color w:val="000000"/>
                <w:szCs w:val="21"/>
                <w:lang w:val="zh-CN"/>
              </w:rPr>
            </w:r>
            <w:r/>
          </w:p>
        </w:tc>
        <w:tc>
          <w:tcPr>
            <w:tcW w:w="857"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6404" w:type="dxa"/>
            <w:vAlign w:val="top"/>
            <w:textDirection w:val="lrTb"/>
            <w:noWrap w:val="false"/>
          </w:tcPr>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总体实施方案全面，具有合理的服务体系、组织架构，具有明确的进度控制、风险控制管理、质量保障措施、信息安全管理措施、文档管理措施，得2分；</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总体实施方案不够全面，服务体系、组织架构不够合理，进度控制、风险控制管理、质量保障措施、信息安全管理措施、文档管理措施不全，得1分；</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实施方案不全面，服务体系、组织架构不合理，进度控制、风险控制管理、质量保障措施、信息安全管理措施、文档管理措施严重缺漏，得0分。</w:t>
            </w:r>
            <w:r>
              <w:rPr>
                <w:rFonts w:hint="eastAsia" w:ascii="宋体" w:hAnsi="宋体" w:cs="宋体"/>
                <w:color w:val="000000"/>
                <w:szCs w:val="21"/>
              </w:rPr>
            </w:r>
            <w:r/>
          </w:p>
        </w:tc>
      </w:tr>
      <w:tr>
        <w:trPr/>
        <w:tc>
          <w:tcPr>
            <w:tcW w:w="811"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1485" w:type="dxa"/>
            <w:vAlign w:val="center"/>
            <w:textDirection w:val="lrTb"/>
            <w:noWrap w:val="false"/>
          </w:tcPr>
          <w:p>
            <w:pPr>
              <w:pStyle w:val="869"/>
              <w:jc w:val="center"/>
              <w:spacing w:line="360" w:lineRule="auto"/>
              <w:rPr>
                <w:rFonts w:hint="eastAsia" w:ascii="宋体" w:hAnsi="宋体" w:cs="宋体"/>
                <w:color w:val="000000"/>
                <w:szCs w:val="21"/>
                <w:lang w:val="zh-CN"/>
              </w:rPr>
            </w:pPr>
            <w:r>
              <w:rPr>
                <w:rFonts w:hint="eastAsia" w:ascii="宋体" w:hAnsi="宋体" w:cs="宋体"/>
                <w:color w:val="000000"/>
                <w:szCs w:val="21"/>
              </w:rPr>
              <w:t xml:space="preserve">项目管理方案</w:t>
            </w:r>
            <w:r>
              <w:rPr>
                <w:rFonts w:hint="eastAsia" w:ascii="宋体" w:hAnsi="宋体" w:cs="宋体"/>
                <w:color w:val="000000"/>
                <w:szCs w:val="21"/>
                <w:lang w:val="zh-CN"/>
              </w:rPr>
            </w:r>
            <w:r/>
          </w:p>
        </w:tc>
        <w:tc>
          <w:tcPr>
            <w:tcW w:w="857"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6404" w:type="dxa"/>
            <w:vAlign w:val="top"/>
            <w:textDirection w:val="lrTb"/>
            <w:noWrap w:val="false"/>
          </w:tcPr>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投标人提供针对本项目的项目管理方案（至少包含项目实施方案、项目监控方案，项目沟通方案、项目组织方案等）。</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项目管理方案全面，具有合理完善的实施方案、项目监控方案，项目沟通方案、项目组织方案的，得2分；</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项目管理方案较全面，具有基本完善的实施方案、项目监控方案，项目沟通方案、项目组织方案，得1分；</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项目管理方案不全，实施方案、项目监控方案，项目沟通方案、项目组织方案严重缺漏，得0分；</w:t>
            </w:r>
            <w:r>
              <w:rPr>
                <w:rFonts w:hint="eastAsia" w:ascii="宋体" w:hAnsi="宋体" w:cs="宋体"/>
                <w:color w:val="000000"/>
                <w:szCs w:val="21"/>
              </w:rPr>
            </w:r>
            <w:r/>
          </w:p>
        </w:tc>
      </w:tr>
      <w:tr>
        <w:trPr/>
        <w:tc>
          <w:tcPr>
            <w:tcW w:w="811"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1485" w:type="dxa"/>
            <w:vAlign w:val="center"/>
            <w:textDirection w:val="lrTb"/>
            <w:noWrap w:val="false"/>
          </w:tcPr>
          <w:p>
            <w:pPr>
              <w:pStyle w:val="86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突发事件应急处理预案</w:t>
            </w:r>
            <w:r>
              <w:rPr>
                <w:rFonts w:hint="eastAsia" w:ascii="宋体" w:hAnsi="宋体" w:cs="宋体"/>
                <w:color w:val="000000"/>
                <w:szCs w:val="21"/>
              </w:rPr>
            </w:r>
            <w:r/>
          </w:p>
        </w:tc>
        <w:tc>
          <w:tcPr>
            <w:tcW w:w="857"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6404" w:type="dxa"/>
            <w:vAlign w:val="top"/>
            <w:textDirection w:val="lrTb"/>
            <w:noWrap w:val="false"/>
          </w:tcPr>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投标人提供的应急预案需能根据不同场景（包括软件系统故障、硬件系统故障、网络故障、服务器故障等）出具相应的应急措施、服务响应及应急保障。</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应急预案细化全面，应急措施科学合理，服务响应及时高效，应急保障人力及物资安排合理，2分；</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应急预案较全面，应急措施恰当，服务响应较及时，具有基本的应急保障人力及物资安排，得1分；</w:t>
            </w:r>
            <w:r>
              <w:rPr>
                <w:rFonts w:hint="eastAsia" w:ascii="宋体" w:hAnsi="宋体" w:cs="宋体"/>
                <w:color w:val="000000"/>
                <w:szCs w:val="21"/>
              </w:rPr>
            </w:r>
            <w:r/>
          </w:p>
          <w:p>
            <w:pPr>
              <w:pStyle w:val="869"/>
              <w:spacing w:line="360" w:lineRule="auto"/>
              <w:rPr>
                <w:rFonts w:hint="eastAsia" w:ascii="宋体" w:hAnsi="宋体" w:cs="宋体"/>
                <w:color w:val="000000"/>
                <w:szCs w:val="21"/>
                <w:lang w:val="zh-CN"/>
              </w:rPr>
            </w:pPr>
            <w:r>
              <w:rPr>
                <w:rFonts w:hint="eastAsia" w:ascii="宋体" w:hAnsi="宋体" w:cs="宋体"/>
                <w:color w:val="000000"/>
                <w:szCs w:val="21"/>
              </w:rPr>
              <w:t xml:space="preserve">应急预案不全，应急措施混乱，服务响应时间滞后，未考虑人力及物资安排或安排不合理，得0分；</w:t>
            </w:r>
            <w:r>
              <w:rPr>
                <w:rFonts w:hint="eastAsia" w:ascii="宋体" w:hAnsi="宋体" w:cs="宋体"/>
                <w:color w:val="000000"/>
                <w:szCs w:val="21"/>
                <w:lang w:val="zh-CN"/>
              </w:rPr>
            </w:r>
            <w:r/>
          </w:p>
        </w:tc>
      </w:tr>
      <w:tr>
        <w:trPr/>
        <w:tc>
          <w:tcPr>
            <w:tcW w:w="811"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1485" w:type="dxa"/>
            <w:vAlign w:val="center"/>
            <w:textDirection w:val="lrTb"/>
            <w:noWrap w:val="false"/>
          </w:tcPr>
          <w:p>
            <w:pPr>
              <w:pStyle w:val="86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培训方案</w:t>
            </w:r>
            <w:r>
              <w:rPr>
                <w:rFonts w:hint="eastAsia" w:ascii="宋体" w:hAnsi="宋体" w:cs="宋体"/>
                <w:color w:val="000000"/>
                <w:szCs w:val="21"/>
              </w:rPr>
            </w:r>
            <w:r/>
          </w:p>
        </w:tc>
        <w:tc>
          <w:tcPr>
            <w:tcW w:w="857"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6404" w:type="dxa"/>
            <w:vAlign w:val="top"/>
            <w:textDirection w:val="lrTb"/>
            <w:noWrap w:val="false"/>
          </w:tcPr>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投标人培训方案全面合理有效，具有详细的培训计划、培训师资力量、培训内容，得2分。</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培训方案基本合理有效，具有较为详细的培训计划、培训师资力量、培训内容，得1分</w:t>
            </w:r>
            <w:r>
              <w:rPr>
                <w:rFonts w:hint="eastAsia" w:ascii="宋体" w:hAnsi="宋体" w:cs="宋体"/>
                <w:color w:val="000000"/>
                <w:szCs w:val="21"/>
              </w:rPr>
            </w:r>
            <w:r/>
          </w:p>
          <w:p>
            <w:pPr>
              <w:pStyle w:val="869"/>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培训方案不够全面，有效性欠缺，培训计划、培训师资力量、培训内容不够详细，得0分。</w:t>
            </w:r>
            <w:r>
              <w:rPr>
                <w:rFonts w:hint="eastAsia" w:ascii="宋体" w:hAnsi="宋体" w:cs="宋体"/>
                <w:color w:val="000000"/>
                <w:szCs w:val="21"/>
                <w:lang w:val="zh-CN"/>
              </w:rPr>
            </w:r>
            <w:r/>
          </w:p>
        </w:tc>
      </w:tr>
      <w:tr>
        <w:trPr/>
        <w:tc>
          <w:tcPr>
            <w:tcW w:w="811"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1485" w:type="dxa"/>
            <w:vAlign w:val="center"/>
            <w:textDirection w:val="lrTb"/>
            <w:noWrap w:val="false"/>
          </w:tcPr>
          <w:p>
            <w:pPr>
              <w:pStyle w:val="86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系统漏洞整改服务方案</w:t>
            </w:r>
            <w:r>
              <w:rPr>
                <w:rFonts w:hint="eastAsia" w:ascii="宋体" w:hAnsi="宋体" w:cs="宋体"/>
                <w:color w:val="000000"/>
                <w:szCs w:val="21"/>
              </w:rPr>
            </w:r>
            <w:r/>
          </w:p>
        </w:tc>
        <w:tc>
          <w:tcPr>
            <w:tcW w:w="857" w:type="dxa"/>
            <w:vAlign w:val="center"/>
            <w:textDirection w:val="lrTb"/>
            <w:noWrap w:val="false"/>
          </w:tcPr>
          <w:p>
            <w:pPr>
              <w:pStyle w:val="869"/>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6404" w:type="dxa"/>
            <w:vAlign w:val="top"/>
            <w:textDirection w:val="lrTb"/>
            <w:noWrap w:val="false"/>
          </w:tcPr>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根据投标人提供的系统漏洞整改服务方案进行评分.</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系统漏洞整改服务方案科学、合理、完整，能完全满足采购需求的，得2分；</w:t>
            </w:r>
            <w:r>
              <w:rPr>
                <w:rFonts w:hint="eastAsia" w:ascii="宋体" w:hAnsi="宋体" w:cs="宋体"/>
                <w:color w:val="000000"/>
                <w:szCs w:val="21"/>
              </w:rPr>
            </w:r>
            <w:r/>
          </w:p>
          <w:p>
            <w:pPr>
              <w:pStyle w:val="869"/>
              <w:spacing w:line="360" w:lineRule="auto"/>
              <w:widowControl/>
              <w:rPr>
                <w:rFonts w:hint="eastAsia" w:ascii="宋体" w:hAnsi="宋体" w:cs="宋体"/>
                <w:color w:val="000000"/>
                <w:szCs w:val="21"/>
              </w:rPr>
            </w:pPr>
            <w:r>
              <w:rPr>
                <w:rFonts w:hint="eastAsia" w:ascii="宋体" w:hAnsi="宋体" w:cs="宋体"/>
                <w:color w:val="000000"/>
                <w:szCs w:val="21"/>
              </w:rPr>
              <w:t xml:space="preserve">系统漏洞整改服务方案比较合理、完整，能较好的满足采购需求的，得1分；</w:t>
            </w:r>
            <w:r>
              <w:rPr>
                <w:rFonts w:hint="eastAsia" w:ascii="宋体" w:hAnsi="宋体" w:cs="宋体"/>
                <w:color w:val="000000"/>
                <w:szCs w:val="21"/>
              </w:rPr>
            </w:r>
            <w:r/>
          </w:p>
          <w:p>
            <w:pPr>
              <w:pStyle w:val="869"/>
              <w:spacing w:line="360" w:lineRule="auto"/>
              <w:rPr>
                <w:rFonts w:hint="eastAsia" w:ascii="宋体" w:hAnsi="宋体" w:cs="宋体"/>
                <w:color w:val="000000"/>
                <w:szCs w:val="21"/>
                <w:lang w:val="zh-CN"/>
              </w:rPr>
            </w:pPr>
            <w:r>
              <w:rPr>
                <w:rFonts w:hint="eastAsia" w:ascii="宋体" w:hAnsi="宋体" w:cs="宋体"/>
                <w:color w:val="000000"/>
                <w:szCs w:val="21"/>
              </w:rPr>
              <w:t xml:space="preserve">系统漏洞整改服务方案基本合理、不够完整，能基本满足采购需求的，得0分；</w:t>
            </w:r>
            <w:r>
              <w:rPr>
                <w:rFonts w:hint="eastAsia" w:ascii="宋体" w:hAnsi="宋体" w:cs="宋体"/>
                <w:color w:val="000000"/>
                <w:szCs w:val="21"/>
                <w:lang w:val="zh-CN"/>
              </w:rPr>
            </w:r>
            <w:r/>
          </w:p>
        </w:tc>
      </w:tr>
    </w:tbl>
    <w:p>
      <w:pPr>
        <w:pStyle w:val="869"/>
        <w:ind w:firstLine="444"/>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rPr>
          <w:rFonts w:hint="eastAsia" w:ascii="宋体" w:hAnsi="宋体" w:cs="宋体"/>
          <w:b/>
          <w:bCs/>
          <w:sz w:val="22"/>
          <w:szCs w:val="28"/>
          <w:lang w:val="zh-CN"/>
        </w:rPr>
      </w:r>
      <w:r/>
    </w:p>
    <w:p>
      <w:pPr>
        <w:pStyle w:val="869"/>
        <w:ind w:firstLine="444"/>
        <w:spacing w:line="360" w:lineRule="auto"/>
        <w:rPr>
          <w:rFonts w:hint="eastAsia" w:ascii="宋体" w:hAnsi="宋体" w:cs="宋体"/>
          <w:sz w:val="28"/>
          <w:szCs w:val="28"/>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rPr>
          <w:rFonts w:hint="eastAsia" w:ascii="宋体" w:hAnsi="宋体" w:cs="宋体"/>
          <w:sz w:val="28"/>
          <w:szCs w:val="28"/>
        </w:rPr>
      </w:r>
      <w:r/>
    </w:p>
    <w:p>
      <w:pPr>
        <w:pStyle w:val="869"/>
        <w:jc w:val="center"/>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4"/>
      <w:r/>
      <w:bookmarkEnd w:id="145"/>
      <w:r/>
      <w:bookmarkEnd w:id="146"/>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69"/>
        <w:jc w:val="center"/>
        <w:rPr>
          <w:rFonts w:hint="eastAsia" w:ascii="宋体" w:hAnsi="宋体"/>
          <w:b/>
          <w:color w:val="000000"/>
          <w:sz w:val="72"/>
          <w:szCs w:val="21"/>
        </w:rPr>
      </w:pPr>
      <w:r/>
      <w:bookmarkStart w:id="147" w:name="_Hlt26955039"/>
      <w:r/>
      <w:bookmarkEnd w:id="147"/>
      <w:r/>
      <w:bookmarkStart w:id="148" w:name="_Hlt26671244"/>
      <w:r/>
      <w:bookmarkEnd w:id="148"/>
      <w:r/>
      <w:bookmarkStart w:id="149" w:name="_Toc26554094"/>
      <w:r/>
      <w:bookmarkStart w:id="150" w:name="_Toc49090576"/>
      <w:r/>
      <w:bookmarkStart w:id="151" w:name="_Toc120614282"/>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9"/>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9"/>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69"/>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69"/>
        <w:ind w:left="480"/>
        <w:spacing w:line="360" w:lineRule="auto"/>
        <w:rPr>
          <w:rFonts w:hint="eastAsia" w:ascii="宋体" w:hAnsi="宋体"/>
          <w:sz w:val="24"/>
          <w:szCs w:val="21"/>
        </w:rPr>
      </w:pPr>
      <w:r>
        <w:rPr>
          <w:rFonts w:hint="eastAsia" w:ascii="宋体" w:hAnsi="宋体"/>
          <w:sz w:val="24"/>
          <w:szCs w:val="21"/>
        </w:rPr>
        <w:t xml:space="preserve">1.开标一览表（格式见附件1）</w:t>
      </w:r>
      <w:r>
        <w:rPr>
          <w:rFonts w:hint="eastAsia" w:ascii="宋体" w:hAnsi="宋体"/>
          <w:sz w:val="24"/>
          <w:szCs w:val="21"/>
        </w:rPr>
      </w:r>
      <w:r/>
    </w:p>
    <w:p>
      <w:pPr>
        <w:pStyle w:val="869"/>
        <w:ind w:left="480"/>
        <w:spacing w:line="360" w:lineRule="auto"/>
        <w:rPr>
          <w:rFonts w:hint="eastAsia" w:ascii="宋体" w:hAnsi="宋体"/>
          <w:sz w:val="24"/>
          <w:szCs w:val="21"/>
        </w:rPr>
      </w:pPr>
      <w:r>
        <w:rPr>
          <w:rFonts w:hint="eastAsia" w:ascii="宋体" w:hAnsi="宋体"/>
          <w:sz w:val="24"/>
          <w:szCs w:val="21"/>
        </w:rPr>
        <w:t xml:space="preserve">2.投标分项报价表（格式见附件2）</w:t>
      </w:r>
      <w:r>
        <w:rPr>
          <w:rFonts w:hint="eastAsia" w:ascii="宋体" w:hAnsi="宋体"/>
          <w:sz w:val="24"/>
          <w:szCs w:val="21"/>
        </w:rPr>
      </w:r>
      <w:r/>
    </w:p>
    <w:p>
      <w:pPr>
        <w:pStyle w:val="869"/>
        <w:ind w:left="480"/>
        <w:spacing w:line="360" w:lineRule="auto"/>
        <w:rPr>
          <w:rFonts w:ascii="宋体" w:hAnsi="宋体"/>
          <w:sz w:val="24"/>
          <w:szCs w:val="21"/>
        </w:rPr>
      </w:pPr>
      <w:r>
        <w:rPr>
          <w:rFonts w:hint="eastAsia" w:ascii="宋体" w:hAnsi="宋体"/>
          <w:sz w:val="24"/>
          <w:szCs w:val="21"/>
        </w:rPr>
        <w:t xml:space="preserve">3.法人授权委托书（格式见附件3）</w:t>
      </w:r>
      <w:r>
        <w:rPr>
          <w:rFonts w:ascii="宋体" w:hAnsi="宋体"/>
          <w:sz w:val="24"/>
          <w:szCs w:val="21"/>
        </w:rPr>
      </w:r>
      <w:r/>
    </w:p>
    <w:p>
      <w:pPr>
        <w:pStyle w:val="869"/>
        <w:ind w:left="480"/>
        <w:spacing w:line="360" w:lineRule="auto"/>
        <w:rPr>
          <w:rFonts w:hint="eastAsia"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rPr>
          <w:rFonts w:hint="eastAsia" w:ascii="宋体" w:hAnsi="宋体"/>
          <w:sz w:val="24"/>
          <w:szCs w:val="21"/>
        </w:rPr>
      </w:r>
      <w:r/>
    </w:p>
    <w:p>
      <w:pPr>
        <w:pStyle w:val="869"/>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69"/>
        <w:ind w:firstLine="480"/>
        <w:spacing w:line="360" w:lineRule="auto"/>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投标人符合《政府采购法》第二十二条规定条件的承诺函</w:t>
      </w:r>
      <w:r>
        <w:rPr>
          <w:rFonts w:hint="eastAsia" w:ascii="宋体" w:hAnsi="宋体"/>
          <w:sz w:val="24"/>
          <w:szCs w:val="24"/>
        </w:rPr>
        <w:t xml:space="preserve">（格式见附件4）</w:t>
      </w:r>
      <w:r>
        <w:rPr>
          <w:rFonts w:hint="eastAsia" w:ascii="宋体" w:hAnsi="宋体" w:cs="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sz w:val="24"/>
          <w:szCs w:val="24"/>
        </w:rPr>
      </w:r>
      <w:r/>
    </w:p>
    <w:p>
      <w:pPr>
        <w:pStyle w:val="869"/>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rPr>
          <w:rFonts w:hint="eastAsia" w:ascii="宋体" w:hAnsi="宋体"/>
          <w:sz w:val="24"/>
          <w:szCs w:val="24"/>
        </w:rPr>
      </w:r>
      <w:r/>
    </w:p>
    <w:p>
      <w:pPr>
        <w:pStyle w:val="869"/>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rPr>
          <w:rFonts w:ascii="宋体" w:hAnsi="宋体"/>
          <w:sz w:val="24"/>
          <w:szCs w:val="24"/>
        </w:rPr>
      </w:r>
      <w:r/>
    </w:p>
    <w:p>
      <w:pPr>
        <w:pStyle w:val="869"/>
        <w:ind w:left="480"/>
        <w:spacing w:line="360" w:lineRule="auto"/>
        <w:rPr>
          <w:rFonts w:hint="eastAsia"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rPr>
          <w:rFonts w:hint="eastAsia" w:ascii="宋体" w:hAnsi="宋体"/>
          <w:b/>
          <w:sz w:val="24"/>
          <w:szCs w:val="21"/>
        </w:rPr>
      </w:r>
      <w:r/>
    </w:p>
    <w:p>
      <w:pPr>
        <w:pStyle w:val="869"/>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rPr>
          <w:rFonts w:hint="eastAsia" w:ascii="宋体" w:hAnsi="宋体"/>
          <w:sz w:val="24"/>
          <w:szCs w:val="24"/>
        </w:rPr>
      </w:r>
      <w:r/>
    </w:p>
    <w:p>
      <w:pPr>
        <w:pStyle w:val="869"/>
        <w:ind w:firstLine="480"/>
        <w:jc w:val="left"/>
        <w:spacing w:line="360" w:lineRule="auto"/>
        <w:rPr>
          <w:rFonts w:hint="eastAsia" w:ascii="宋体" w:hAnsi="宋体"/>
          <w:b/>
          <w:sz w:val="24"/>
          <w:szCs w:val="24"/>
        </w:rPr>
      </w:pPr>
      <w:r>
        <w:rPr>
          <w:rFonts w:hint="eastAsia" w:ascii="宋体" w:hAnsi="宋体"/>
          <w:b/>
          <w:sz w:val="24"/>
          <w:szCs w:val="24"/>
        </w:rPr>
        <w:t xml:space="preserve">四、根据评审标准须提供的方案、措施、承诺等支撑文件资料</w:t>
      </w:r>
      <w:r>
        <w:rPr>
          <w:rFonts w:hint="eastAsia" w:ascii="宋体" w:hAnsi="宋体"/>
          <w:b/>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rPr>
          <w:rFonts w:hint="eastAsia" w:ascii="宋体" w:hAnsi="宋体"/>
          <w:sz w:val="24"/>
          <w:szCs w:val="24"/>
        </w:rPr>
      </w:r>
      <w:r/>
    </w:p>
    <w:p>
      <w:pPr>
        <w:pStyle w:val="869"/>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rPr>
          <w:rFonts w:ascii="宋体" w:hAnsi="宋体"/>
          <w:b/>
          <w:sz w:val="24"/>
          <w:szCs w:val="21"/>
        </w:rPr>
      </w:r>
      <w:r/>
    </w:p>
    <w:p>
      <w:pPr>
        <w:pStyle w:val="869"/>
        <w:ind w:firstLine="480"/>
        <w:spacing w:line="360" w:lineRule="auto"/>
        <w:rPr>
          <w:rFonts w:hint="eastAsia" w:ascii="宋体" w:hAnsi="宋体"/>
          <w:sz w:val="24"/>
          <w:szCs w:val="21"/>
        </w:rPr>
      </w:pPr>
      <w:r>
        <w:rPr>
          <w:rFonts w:hint="eastAsia" w:ascii="宋体" w:hAnsi="宋体"/>
          <w:sz w:val="24"/>
          <w:szCs w:val="21"/>
        </w:rPr>
        <w:t xml:space="preserve">1.中小企业声明函（格式见附件6）</w:t>
      </w:r>
      <w:r>
        <w:rPr>
          <w:rFonts w:hint="eastAsia" w:ascii="宋体" w:hAnsi="宋体"/>
          <w:sz w:val="24"/>
          <w:szCs w:val="21"/>
        </w:rPr>
      </w:r>
      <w:r/>
    </w:p>
    <w:p>
      <w:pPr>
        <w:pStyle w:val="869"/>
        <w:ind w:firstLine="480"/>
        <w:spacing w:line="360" w:lineRule="auto"/>
        <w:rPr>
          <w:rFonts w:hint="eastAsia" w:ascii="宋体" w:hAnsi="宋体"/>
          <w:sz w:val="24"/>
          <w:szCs w:val="21"/>
        </w:rPr>
      </w:pPr>
      <w:r>
        <w:rPr>
          <w:rFonts w:hint="eastAsia" w:ascii="宋体" w:hAnsi="宋体"/>
          <w:sz w:val="24"/>
          <w:szCs w:val="21"/>
        </w:rPr>
        <w:t xml:space="preserve">2.残疾人福利性单位声明函（格式见附件7）</w:t>
      </w:r>
      <w:r>
        <w:rPr>
          <w:rFonts w:hint="eastAsia" w:ascii="宋体" w:hAnsi="宋体"/>
          <w:sz w:val="24"/>
          <w:szCs w:val="21"/>
        </w:rPr>
      </w:r>
      <w:r/>
    </w:p>
    <w:p>
      <w:pPr>
        <w:pStyle w:val="869"/>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rPr>
          <w:rFonts w:hint="eastAsia" w:ascii="宋体" w:hAnsi="宋体"/>
          <w:b/>
          <w:sz w:val="24"/>
          <w:szCs w:val="24"/>
        </w:rPr>
      </w:r>
      <w:r/>
    </w:p>
    <w:p>
      <w:pPr>
        <w:pStyle w:val="870"/>
        <w:keepNext w:val="0"/>
        <w:widowControl/>
        <w:rPr>
          <w:rFonts w:hint="eastAsia" w:ascii="宋体" w:hAnsi="宋体" w:eastAsia="宋体" w:cs="宋体"/>
          <w:sz w:val="32"/>
          <w:szCs w:val="32"/>
        </w:rPr>
      </w:pPr>
      <w:r>
        <w:rPr>
          <w:rStyle w:val="943"/>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934"/>
      </w:pPr>
      <w:r>
        <w:t xml:space="preserve">项目编号：</w:t>
      </w:r>
      <w:r/>
    </w:p>
    <w:p>
      <w:pPr>
        <w:pStyle w:val="934"/>
      </w:pPr>
      <w:r>
        <w:t xml:space="preserve">货币单位：人民币元</w:t>
      </w:r>
      <w:r/>
    </w:p>
    <w:p>
      <w:pPr>
        <w:pStyle w:val="934"/>
      </w:pPr>
      <w:r>
        <w:t xml:space="preserve">投标人名称（公章）：</w:t>
      </w:r>
      <w:r/>
    </w:p>
    <w:tbl>
      <w:tblPr>
        <w:tblW w:w="0" w:type="auto"/>
        <w:tblCellSpacing w:w="15"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34"/>
              <w:jc w:val="center"/>
            </w:pPr>
            <w:r>
              <w:t xml:space="preserve">项目名称</w:t>
            </w:r>
            <w:r/>
          </w:p>
        </w:tc>
        <w:tc>
          <w:tcPr>
            <w:tcW w:w="2992" w:type="dxa"/>
            <w:vAlign w:val="center"/>
            <w:textDirection w:val="lrTb"/>
            <w:noWrap w:val="false"/>
          </w:tcPr>
          <w:p>
            <w:pPr>
              <w:pStyle w:val="934"/>
              <w:jc w:val="center"/>
            </w:pPr>
            <w:r>
              <w:t xml:space="preserve">项目内容</w:t>
            </w:r>
            <w:r/>
          </w:p>
        </w:tc>
        <w:tc>
          <w:tcPr>
            <w:tcW w:w="3175" w:type="dxa"/>
            <w:vAlign w:val="center"/>
            <w:textDirection w:val="lrTb"/>
            <w:noWrap w:val="false"/>
          </w:tcPr>
          <w:p>
            <w:pPr>
              <w:pStyle w:val="934"/>
              <w:jc w:val="center"/>
            </w:pPr>
            <w:r>
              <w:t xml:space="preserve">总价（小写）</w:t>
            </w:r>
            <w:r/>
          </w:p>
        </w:tc>
      </w:tr>
      <w:tr>
        <w:trPr>
          <w:tblCellSpacing w:w="15" w:type="dxa"/>
          <w:trHeight w:val="648"/>
        </w:trPr>
        <w:tc>
          <w:tcPr>
            <w:tcW w:w="3292" w:type="dxa"/>
            <w:vAlign w:val="center"/>
            <w:textDirection w:val="lrTb"/>
            <w:noWrap w:val="false"/>
          </w:tcPr>
          <w:p>
            <w:pPr>
              <w:pStyle w:val="934"/>
              <w:jc w:val="center"/>
            </w:pPr>
            <w:r/>
            <w:r/>
          </w:p>
        </w:tc>
        <w:tc>
          <w:tcPr>
            <w:tcW w:w="2992" w:type="dxa"/>
            <w:vAlign w:val="center"/>
            <w:textDirection w:val="lrTb"/>
            <w:noWrap w:val="false"/>
          </w:tcPr>
          <w:p>
            <w:pPr>
              <w:pStyle w:val="934"/>
              <w:jc w:val="center"/>
            </w:pPr>
            <w:r>
              <w:t xml:space="preserve">详见投标文件</w:t>
            </w:r>
            <w:r/>
          </w:p>
        </w:tc>
        <w:tc>
          <w:tcPr>
            <w:tcW w:w="3175" w:type="dxa"/>
            <w:vAlign w:val="center"/>
            <w:textDirection w:val="lrTb"/>
            <w:noWrap w:val="false"/>
          </w:tcPr>
          <w:p>
            <w:pPr>
              <w:pStyle w:val="934"/>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934"/>
              <w:jc w:val="center"/>
            </w:pPr>
            <w:r>
              <w:t xml:space="preserve">总价（大写）：</w:t>
            </w:r>
            <w:r/>
          </w:p>
        </w:tc>
        <w:tc>
          <w:tcPr>
            <w:gridSpan w:val="2"/>
            <w:tcW w:w="6242" w:type="dxa"/>
            <w:vAlign w:val="center"/>
            <w:textDirection w:val="lrTb"/>
            <w:noWrap w:val="false"/>
          </w:tcPr>
          <w:p>
            <w:pPr>
              <w:pStyle w:val="934"/>
            </w:pPr>
            <w:r>
              <w:t xml:space="preserve">金额大写 </w:t>
            </w:r>
            <w:r/>
          </w:p>
        </w:tc>
      </w:tr>
    </w:tbl>
    <w:p>
      <w:pPr>
        <w:pStyle w:val="934"/>
      </w:pPr>
      <w:r>
        <w:t xml:space="preserve"> </w:t>
      </w:r>
      <w:r/>
    </w:p>
    <w:p>
      <w:pPr>
        <w:pStyle w:val="869"/>
        <w:rPr>
          <w:rFonts w:ascii="宋体" w:hAnsi="宋体"/>
          <w:sz w:val="24"/>
          <w:szCs w:val="24"/>
        </w:rPr>
      </w:pPr>
      <w:r>
        <w:rPr>
          <w:rFonts w:ascii="宋体" w:hAnsi="宋体"/>
          <w:sz w:val="24"/>
          <w:szCs w:val="24"/>
        </w:rPr>
      </w:r>
      <w:r/>
    </w:p>
    <w:p>
      <w:pPr>
        <w:pStyle w:val="869"/>
        <w:rPr>
          <w:rFonts w:ascii="宋体" w:hAnsi="宋体"/>
          <w:sz w:val="24"/>
          <w:szCs w:val="24"/>
        </w:rPr>
      </w:pPr>
      <w:r>
        <w:rPr>
          <w:rFonts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869"/>
        <w:rPr>
          <w:rFonts w:hint="eastAsia" w:ascii="宋体" w:hAnsi="宋体"/>
          <w:b/>
          <w:sz w:val="24"/>
          <w:szCs w:val="24"/>
        </w:rPr>
      </w:pPr>
      <w:r>
        <w:rPr>
          <w:rFonts w:hint="eastAsia" w:ascii="宋体" w:hAnsi="宋体"/>
          <w:b/>
          <w:sz w:val="24"/>
          <w:szCs w:val="24"/>
        </w:rPr>
      </w:r>
      <w:r/>
    </w:p>
    <w:p>
      <w:pPr>
        <w:pStyle w:val="869"/>
        <w:rPr>
          <w:rFonts w:hint="eastAsia" w:ascii="宋体" w:hAnsi="宋体"/>
          <w:b/>
          <w:sz w:val="24"/>
          <w:szCs w:val="24"/>
        </w:rPr>
      </w:pPr>
      <w:r>
        <w:rPr>
          <w:rFonts w:hint="eastAsia" w:ascii="宋体" w:hAnsi="宋体"/>
          <w:b/>
          <w:sz w:val="24"/>
          <w:szCs w:val="24"/>
        </w:rPr>
      </w:r>
      <w:r/>
    </w:p>
    <w:p>
      <w:pPr>
        <w:pStyle w:val="869"/>
        <w:jc w:val="center"/>
        <w:rPr>
          <w:rFonts w:ascii="宋体" w:hAnsi="宋体"/>
          <w:b/>
          <w:sz w:val="24"/>
          <w:szCs w:val="24"/>
        </w:rPr>
      </w:pPr>
      <w:r>
        <w:rPr>
          <w:rFonts w:ascii="宋体" w:hAnsi="宋体"/>
          <w:b/>
          <w:sz w:val="24"/>
          <w:szCs w:val="24"/>
        </w:rPr>
      </w:r>
      <w:r/>
    </w:p>
    <w:p>
      <w:pPr>
        <w:pStyle w:val="869"/>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rPr>
      </w:r>
      <w:r/>
    </w:p>
    <w:p>
      <w:pPr>
        <w:pStyle w:val="869"/>
        <w:jc w:val="center"/>
        <w:rPr>
          <w:rFonts w:ascii="宋体" w:hAnsi="宋体" w:cs="宋体"/>
          <w:b/>
          <w:color w:val="000000"/>
          <w:sz w:val="32"/>
          <w:szCs w:val="32"/>
        </w:rPr>
      </w:pPr>
      <w:r>
        <w:rPr>
          <w:rFonts w:hint="eastAsia" w:ascii="宋体" w:hAnsi="宋体" w:cs="宋体"/>
          <w:b/>
          <w:color w:val="000000"/>
          <w:sz w:val="32"/>
          <w:szCs w:val="32"/>
        </w:rPr>
        <w:t xml:space="preserve">投标分项报价表</w:t>
      </w:r>
      <w:r>
        <w:rPr>
          <w:rFonts w:ascii="宋体" w:hAnsi="宋体" w:cs="宋体"/>
          <w:b/>
          <w:color w:val="000000"/>
          <w:sz w:val="32"/>
          <w:szCs w:val="32"/>
        </w:rPr>
      </w:r>
      <w:r/>
    </w:p>
    <w:tbl>
      <w:tblPr>
        <w:tblW w:w="9221" w:type="dxa"/>
        <w:jc w:val="center"/>
        <w:tblInd w:w="-27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117"/>
        <w:gridCol w:w="2190"/>
        <w:gridCol w:w="734"/>
        <w:gridCol w:w="1083"/>
        <w:gridCol w:w="1143"/>
      </w:tblGrid>
      <w:tr>
        <w:trPr>
          <w:cantSplit/>
          <w:trHeight w:val="294"/>
        </w:trPr>
        <w:tc>
          <w:tcPr>
            <w:tcW w:w="95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1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21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7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83"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6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143"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6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954"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r>
            <w:r/>
          </w:p>
        </w:tc>
        <w:tc>
          <w:tcPr>
            <w:tcW w:w="31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中医院软件开发费</w:t>
            </w:r>
            <w:r>
              <w:rPr>
                <w:rFonts w:hint="eastAsia" w:ascii="宋体" w:hAnsi="宋体"/>
                <w:sz w:val="24"/>
                <w:szCs w:val="24"/>
              </w:rPr>
            </w:r>
            <w:r/>
          </w:p>
        </w:tc>
        <w:tc>
          <w:tcPr>
            <w:tcW w:w="21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合同签订后9</w:t>
            </w:r>
            <w:r>
              <w:rPr>
                <w:rFonts w:ascii="宋体" w:hAnsi="宋体"/>
                <w:sz w:val="24"/>
                <w:szCs w:val="24"/>
              </w:rPr>
              <w:t xml:space="preserve">0</w:t>
            </w:r>
            <w:r>
              <w:rPr>
                <w:rFonts w:hint="eastAsia" w:ascii="宋体" w:hAnsi="宋体"/>
                <w:sz w:val="24"/>
                <w:szCs w:val="24"/>
              </w:rPr>
              <w:t xml:space="preserve">日</w:t>
            </w:r>
            <w:r>
              <w:rPr>
                <w:rFonts w:hint="eastAsia" w:ascii="宋体" w:hAnsi="宋体"/>
                <w:sz w:val="24"/>
                <w:szCs w:val="24"/>
              </w:rPr>
            </w:r>
            <w:r/>
          </w:p>
        </w:tc>
        <w:tc>
          <w:tcPr>
            <w:tcW w:w="7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8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4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954"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r>
            <w:r/>
          </w:p>
        </w:tc>
        <w:tc>
          <w:tcPr>
            <w:tcW w:w="31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中医院接口费</w:t>
            </w:r>
            <w:r>
              <w:rPr>
                <w:rFonts w:hint="eastAsia" w:ascii="宋体" w:hAnsi="宋体"/>
                <w:sz w:val="24"/>
                <w:szCs w:val="24"/>
              </w:rPr>
            </w:r>
            <w:r/>
          </w:p>
        </w:tc>
        <w:tc>
          <w:tcPr>
            <w:tcW w:w="21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合同签订后9</w:t>
            </w:r>
            <w:r>
              <w:rPr>
                <w:rFonts w:ascii="宋体" w:hAnsi="宋体"/>
                <w:sz w:val="24"/>
                <w:szCs w:val="24"/>
              </w:rPr>
              <w:t xml:space="preserve">0</w:t>
            </w:r>
            <w:r>
              <w:rPr>
                <w:rFonts w:hint="eastAsia" w:ascii="宋体" w:hAnsi="宋体"/>
                <w:sz w:val="24"/>
                <w:szCs w:val="24"/>
              </w:rPr>
              <w:t xml:space="preserve">日</w:t>
            </w:r>
            <w:r>
              <w:rPr>
                <w:rFonts w:hint="eastAsia" w:ascii="宋体" w:hAnsi="宋体"/>
                <w:sz w:val="24"/>
                <w:szCs w:val="24"/>
              </w:rPr>
            </w:r>
            <w:r/>
          </w:p>
        </w:tc>
        <w:tc>
          <w:tcPr>
            <w:tcW w:w="7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8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4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954"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3</w:t>
            </w:r>
            <w:r>
              <w:rPr>
                <w:rFonts w:hint="eastAsia" w:ascii="宋体" w:hAnsi="宋体"/>
                <w:sz w:val="24"/>
                <w:szCs w:val="24"/>
              </w:rPr>
            </w:r>
            <w:r/>
          </w:p>
        </w:tc>
        <w:tc>
          <w:tcPr>
            <w:tcW w:w="31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8</w:t>
            </w:r>
            <w:r>
              <w:rPr>
                <w:rFonts w:hint="eastAsia" w:ascii="宋体" w:hAnsi="宋体"/>
                <w:sz w:val="24"/>
                <w:szCs w:val="24"/>
              </w:rPr>
              <w:t xml:space="preserve">家基层医院软件开发费</w:t>
            </w:r>
            <w:r>
              <w:rPr>
                <w:rFonts w:hint="eastAsia" w:ascii="宋体" w:hAnsi="宋体"/>
                <w:sz w:val="24"/>
                <w:szCs w:val="24"/>
              </w:rPr>
            </w:r>
            <w:r/>
          </w:p>
        </w:tc>
        <w:tc>
          <w:tcPr>
            <w:tcW w:w="21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合同签订后9</w:t>
            </w:r>
            <w:r>
              <w:rPr>
                <w:rFonts w:ascii="宋体" w:hAnsi="宋体"/>
                <w:sz w:val="24"/>
                <w:szCs w:val="24"/>
              </w:rPr>
              <w:t xml:space="preserve">0</w:t>
            </w:r>
            <w:r>
              <w:rPr>
                <w:rFonts w:hint="eastAsia" w:ascii="宋体" w:hAnsi="宋体"/>
                <w:sz w:val="24"/>
                <w:szCs w:val="24"/>
              </w:rPr>
              <w:t xml:space="preserve">日</w:t>
            </w:r>
            <w:r>
              <w:rPr>
                <w:rFonts w:hint="eastAsia" w:ascii="宋体" w:hAnsi="宋体"/>
                <w:sz w:val="24"/>
                <w:szCs w:val="24"/>
              </w:rPr>
            </w:r>
            <w:r/>
          </w:p>
        </w:tc>
        <w:tc>
          <w:tcPr>
            <w:tcW w:w="7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8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4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954" w:type="dxa"/>
            <w:vAlign w:val="center"/>
            <w:textDirection w:val="lrTb"/>
            <w:noWrap w:val="false"/>
          </w:tcPr>
          <w:p>
            <w:pPr>
              <w:pStyle w:val="869"/>
              <w:jc w:val="center"/>
              <w:spacing w:line="0" w:lineRule="atLeast"/>
              <w:rPr>
                <w:rFonts w:ascii="宋体" w:hAnsi="宋体"/>
                <w:sz w:val="24"/>
                <w:szCs w:val="24"/>
              </w:rPr>
            </w:pPr>
            <w:r>
              <w:rPr>
                <w:rFonts w:ascii="宋体" w:hAnsi="宋体"/>
                <w:sz w:val="24"/>
                <w:szCs w:val="24"/>
              </w:rPr>
              <w:t xml:space="preserve">4</w:t>
            </w:r>
            <w:r>
              <w:rPr>
                <w:rFonts w:ascii="宋体" w:hAnsi="宋体"/>
                <w:sz w:val="24"/>
                <w:szCs w:val="24"/>
              </w:rPr>
            </w:r>
            <w:r/>
          </w:p>
        </w:tc>
        <w:tc>
          <w:tcPr>
            <w:tcW w:w="3117"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家基层医院接口费</w:t>
            </w:r>
            <w:r>
              <w:rPr>
                <w:rFonts w:hint="eastAsia" w:ascii="宋体" w:hAnsi="宋体"/>
                <w:sz w:val="24"/>
                <w:szCs w:val="24"/>
              </w:rPr>
            </w:r>
            <w:r/>
          </w:p>
        </w:tc>
        <w:tc>
          <w:tcPr>
            <w:tcW w:w="21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合同签订后9</w:t>
            </w:r>
            <w:r>
              <w:rPr>
                <w:rFonts w:ascii="宋体" w:hAnsi="宋体"/>
                <w:sz w:val="24"/>
                <w:szCs w:val="24"/>
              </w:rPr>
              <w:t xml:space="preserve">0</w:t>
            </w:r>
            <w:r>
              <w:rPr>
                <w:rFonts w:hint="eastAsia" w:ascii="宋体" w:hAnsi="宋体"/>
                <w:sz w:val="24"/>
                <w:szCs w:val="24"/>
              </w:rPr>
              <w:t xml:space="preserve">日</w:t>
            </w:r>
            <w:r>
              <w:rPr>
                <w:rFonts w:hint="eastAsia" w:ascii="宋体" w:hAnsi="宋体"/>
                <w:sz w:val="24"/>
                <w:szCs w:val="24"/>
              </w:rPr>
            </w:r>
            <w:r/>
          </w:p>
        </w:tc>
        <w:tc>
          <w:tcPr>
            <w:tcW w:w="7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8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4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gridSpan w:val="6"/>
            <w:tcW w:w="9221" w:type="dxa"/>
            <w:vAlign w:val="center"/>
            <w:textDirection w:val="lrTb"/>
            <w:noWrap w:val="false"/>
          </w:tcPr>
          <w:p>
            <w:pPr>
              <w:pStyle w:val="869"/>
              <w:jc w:val="both"/>
              <w:spacing w:line="0" w:lineRule="atLeast"/>
              <w:rPr>
                <w:rFonts w:hint="eastAsia" w:ascii="宋体" w:hAnsi="宋体" w:eastAsia="宋体"/>
                <w:sz w:val="24"/>
                <w:szCs w:val="24"/>
                <w:lang w:val="en-US" w:eastAsia="zh-CN"/>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hint="eastAsia" w:ascii="宋体" w:hAnsi="宋体" w:eastAsia="宋体"/>
                <w:sz w:val="24"/>
                <w:szCs w:val="24"/>
                <w:lang w:val="en-US" w:eastAsia="zh-CN"/>
              </w:rPr>
            </w:r>
            <w:r/>
          </w:p>
        </w:tc>
      </w:tr>
    </w:tbl>
    <w:p>
      <w:pPr>
        <w:pStyle w:val="869"/>
        <w:spacing w:line="400" w:lineRule="exact"/>
        <w:rPr>
          <w:rFonts w:hint="eastAsia" w:ascii="宋体" w:hAnsi="宋体" w:cs="宋体"/>
          <w:sz w:val="24"/>
          <w:szCs w:val="24"/>
        </w:rPr>
      </w:pPr>
      <w:r>
        <w:rPr>
          <w:rFonts w:hint="eastAsia" w:ascii="宋体" w:hAnsi="宋体" w:cs="宋体"/>
          <w:sz w:val="24"/>
          <w:szCs w:val="24"/>
        </w:rPr>
      </w:r>
      <w:r/>
    </w:p>
    <w:p>
      <w:pPr>
        <w:pStyle w:val="869"/>
        <w:spacing w:line="40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69"/>
        <w:spacing w:line="40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sz w:val="24"/>
          <w:szCs w:val="24"/>
        </w:rPr>
      </w:r>
      <w:r/>
    </w:p>
    <w:p>
      <w:pPr>
        <w:pStyle w:val="869"/>
        <w:spacing w:line="40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rPr>
          <w:rFonts w:hint="eastAsia" w:ascii="宋体" w:hAnsi="宋体" w:cs="宋体"/>
          <w:sz w:val="24"/>
          <w:szCs w:val="24"/>
        </w:rPr>
      </w:r>
      <w:r/>
    </w:p>
    <w:p>
      <w:pPr>
        <w:pStyle w:val="869"/>
        <w:spacing w:line="400" w:lineRule="exact"/>
        <w:rPr>
          <w:rFonts w:hint="eastAsia" w:ascii="宋体" w:hAnsi="宋体" w:cs="宋体"/>
          <w:sz w:val="24"/>
          <w:szCs w:val="24"/>
        </w:rPr>
      </w:pPr>
      <w:r>
        <w:rPr>
          <w:rFonts w:hint="eastAsia" w:ascii="宋体" w:hAnsi="宋体" w:cs="宋体"/>
          <w:sz w:val="24"/>
          <w:szCs w:val="24"/>
        </w:rPr>
        <w:t xml:space="preserve">3.投标时各医院接口费与软件开发费分开报价，投标报价超过最高限价的视为无效报价。</w:t>
      </w:r>
      <w:r>
        <w:rPr>
          <w:rFonts w:hint="eastAsia" w:ascii="宋体" w:hAnsi="宋体" w:cs="宋体"/>
          <w:sz w:val="24"/>
          <w:szCs w:val="24"/>
        </w:rPr>
      </w:r>
      <w:r/>
    </w:p>
    <w:p>
      <w:pPr>
        <w:pStyle w:val="869"/>
        <w:jc w:val="center"/>
        <w:rPr>
          <w:rFonts w:hint="eastAsia" w:ascii="宋体" w:hAnsi="宋体" w:cs="宋体"/>
          <w:b/>
          <w:sz w:val="24"/>
          <w:szCs w:val="24"/>
        </w:rPr>
      </w:pPr>
      <w:r>
        <w:rPr>
          <w:rFonts w:hint="eastAsia" w:ascii="宋体" w:hAnsi="宋体" w:cs="宋体"/>
          <w:b/>
          <w:sz w:val="24"/>
          <w:szCs w:val="24"/>
        </w:rPr>
      </w:r>
      <w:r/>
    </w:p>
    <w:p>
      <w:pPr>
        <w:pStyle w:val="869"/>
        <w:jc w:val="center"/>
        <w:rPr>
          <w:rFonts w:hint="eastAsia" w:ascii="宋体" w:hAnsi="宋体"/>
          <w:b/>
          <w:sz w:val="24"/>
          <w:szCs w:val="24"/>
        </w:rPr>
      </w:pPr>
      <w:r>
        <w:rPr>
          <w:rFonts w:hint="eastAsia" w:ascii="宋体" w:hAnsi="宋体"/>
          <w:b/>
          <w:sz w:val="24"/>
          <w:szCs w:val="24"/>
        </w:rPr>
      </w:r>
      <w:r/>
    </w:p>
    <w:p>
      <w:pPr>
        <w:pStyle w:val="869"/>
        <w:jc w:val="center"/>
        <w:rPr>
          <w:rFonts w:hint="eastAsia" w:ascii="宋体" w:hAnsi="宋体"/>
          <w:b/>
          <w:sz w:val="24"/>
          <w:szCs w:val="24"/>
        </w:rPr>
      </w:pPr>
      <w:r>
        <w:rPr>
          <w:rFonts w:hint="eastAsia" w:ascii="宋体" w:hAnsi="宋体"/>
          <w:b/>
          <w:sz w:val="24"/>
          <w:szCs w:val="24"/>
        </w:rPr>
      </w:r>
      <w:r/>
    </w:p>
    <w:p>
      <w:pPr>
        <w:pStyle w:val="869"/>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rPr>
          <w:rFonts w:hint="eastAsia" w:ascii="宋体" w:hAnsi="宋体"/>
          <w:bCs/>
          <w:color w:val="000000"/>
          <w:sz w:val="24"/>
          <w:szCs w:val="21"/>
        </w:rPr>
      </w:r>
      <w:r/>
    </w:p>
    <w:p>
      <w:pPr>
        <w:pStyle w:val="869"/>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法人授权委托书</w:t>
      </w:r>
      <w:r>
        <w:rPr>
          <w:rFonts w:hint="eastAsia" w:ascii="宋体" w:hAnsi="宋体" w:cs="宋体"/>
          <w:b/>
          <w:bCs/>
          <w:sz w:val="32"/>
          <w:szCs w:val="32"/>
        </w:rPr>
      </w:r>
      <w:r/>
    </w:p>
    <w:p>
      <w:pPr>
        <w:pStyle w:val="869"/>
        <w:spacing w:line="360" w:lineRule="auto"/>
        <w:widowControl/>
        <w:rPr>
          <w:rFonts w:hint="eastAsia" w:ascii="宋体" w:hAnsi="宋体" w:cs="宋体"/>
          <w:sz w:val="32"/>
          <w:szCs w:val="32"/>
        </w:rPr>
      </w:pPr>
      <w:r>
        <w:rPr>
          <w:rFonts w:hint="eastAsia" w:ascii="宋体" w:hAnsi="宋体" w:cs="宋体"/>
          <w:sz w:val="32"/>
          <w:szCs w:val="32"/>
        </w:rPr>
      </w:r>
      <w:r/>
    </w:p>
    <w:p>
      <w:pPr>
        <w:pStyle w:val="869"/>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rPr>
          <w:rFonts w:hint="eastAsia" w:ascii="宋体" w:hAnsi="宋体" w:cs="宋体"/>
          <w:sz w:val="24"/>
          <w:szCs w:val="24"/>
        </w:rPr>
      </w:r>
      <w:r/>
    </w:p>
    <w:p>
      <w:pPr>
        <w:pStyle w:val="869"/>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rPr>
          <w:rFonts w:hint="eastAsia" w:ascii="宋体" w:hAnsi="宋体" w:cs="宋体"/>
          <w:sz w:val="24"/>
          <w:szCs w:val="24"/>
        </w:rPr>
      </w:r>
      <w:r/>
    </w:p>
    <w:p>
      <w:pPr>
        <w:pStyle w:val="869"/>
        <w:ind w:firstLine="560"/>
        <w:spacing w:line="360" w:lineRule="auto"/>
        <w:widowControl/>
        <w:rPr>
          <w:rFonts w:hint="eastAsia"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903"/>
        <w:ind w:right="-46" w:firstLine="560"/>
        <w:spacing w:line="583" w:lineRule="auto"/>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rPr>
          <w:rFonts w:hint="eastAsia" w:ascii="宋体" w:hAnsi="宋体" w:eastAsia="宋体" w:cs="宋体"/>
          <w:spacing w:val="-3"/>
          <w:sz w:val="24"/>
          <w:szCs w:val="24"/>
        </w:rPr>
      </w:r>
      <w:r/>
    </w:p>
    <w:tbl>
      <w:tblPr>
        <w:tblW w:w="6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69"/>
              <w:spacing w:line="360" w:lineRule="auto"/>
              <w:tabs>
                <w:tab w:val="left" w:pos="5580" w:leader="none"/>
              </w:tabs>
              <w:rPr>
                <w:rFonts w:ascii="宋体" w:hAnsi="宋体"/>
                <w:sz w:val="24"/>
              </w:rPr>
            </w:pPr>
            <w:r>
              <w:rPr>
                <w:rFonts w:ascii="宋体" w:hAnsi="宋体"/>
                <w:sz w:val="24"/>
              </w:rPr>
            </w:r>
            <w:r/>
          </w:p>
          <w:p>
            <w:pPr>
              <w:pStyle w:val="869"/>
              <w:spacing w:line="360" w:lineRule="auto"/>
              <w:tabs>
                <w:tab w:val="left" w:pos="5580" w:leader="none"/>
              </w:tabs>
              <w:rPr>
                <w:rFonts w:ascii="宋体" w:hAnsi="宋体"/>
                <w:sz w:val="24"/>
              </w:rPr>
            </w:pPr>
            <w:r>
              <w:rPr>
                <w:rFonts w:ascii="宋体" w:hAnsi="宋体"/>
                <w:sz w:val="24"/>
              </w:rPr>
            </w:r>
            <w:r/>
          </w:p>
          <w:p>
            <w:pPr>
              <w:pStyle w:val="869"/>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69"/>
              <w:spacing w:line="360" w:lineRule="auto"/>
              <w:tabs>
                <w:tab w:val="left" w:pos="5580" w:leader="none"/>
              </w:tabs>
              <w:rPr>
                <w:rFonts w:ascii="宋体" w:hAnsi="宋体"/>
                <w:sz w:val="24"/>
              </w:rPr>
            </w:pPr>
            <w:r>
              <w:rPr>
                <w:rFonts w:ascii="宋体" w:hAnsi="宋体"/>
                <w:sz w:val="24"/>
              </w:rPr>
            </w:r>
            <w:r/>
          </w:p>
          <w:p>
            <w:pPr>
              <w:pStyle w:val="869"/>
              <w:spacing w:line="360" w:lineRule="auto"/>
              <w:tabs>
                <w:tab w:val="left" w:pos="5580" w:leader="none"/>
              </w:tabs>
              <w:rPr>
                <w:rFonts w:ascii="宋体" w:hAnsi="宋体"/>
                <w:sz w:val="24"/>
              </w:rPr>
            </w:pPr>
            <w:r>
              <w:rPr>
                <w:rFonts w:ascii="宋体" w:hAnsi="宋体"/>
                <w:sz w:val="24"/>
              </w:rPr>
            </w:r>
            <w:r/>
          </w:p>
          <w:p>
            <w:pPr>
              <w:pStyle w:val="869"/>
              <w:spacing w:line="360" w:lineRule="auto"/>
              <w:tabs>
                <w:tab w:val="left" w:pos="5580" w:leader="none"/>
              </w:tabs>
              <w:rPr>
                <w:rFonts w:ascii="宋体" w:hAnsi="宋体"/>
                <w:sz w:val="24"/>
              </w:rPr>
            </w:pPr>
            <w:r>
              <w:rPr>
                <w:rFonts w:ascii="宋体" w:hAnsi="宋体"/>
                <w:sz w:val="24"/>
              </w:rPr>
            </w:r>
            <w:r/>
          </w:p>
        </w:tc>
      </w:tr>
      <w:tr>
        <w:trPr>
          <w:trHeight w:val="2319"/>
        </w:trPr>
        <w:tc>
          <w:tcPr>
            <w:tcW w:w="3410" w:type="dxa"/>
            <w:vAlign w:val="top"/>
            <w:textDirection w:val="lrTb"/>
            <w:noWrap/>
          </w:tcPr>
          <w:p>
            <w:pPr>
              <w:pStyle w:val="869"/>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69"/>
              <w:spacing w:line="360" w:lineRule="auto"/>
              <w:tabs>
                <w:tab w:val="left" w:pos="5580" w:leader="none"/>
              </w:tabs>
              <w:rPr>
                <w:rFonts w:ascii="宋体" w:hAnsi="宋体"/>
                <w:sz w:val="24"/>
              </w:rPr>
            </w:pPr>
            <w:r>
              <w:rPr>
                <w:rFonts w:ascii="宋体" w:hAnsi="宋体"/>
                <w:sz w:val="24"/>
              </w:rPr>
            </w:r>
            <w:r/>
          </w:p>
        </w:tc>
      </w:tr>
    </w:tbl>
    <w:p>
      <w:pPr>
        <w:pStyle w:val="869"/>
        <w:contextualSpacing/>
        <w:ind w:firstLine="540"/>
        <w:spacing w:line="360" w:lineRule="auto"/>
        <w:widowControl/>
        <w:rPr>
          <w:rFonts w:hint="eastAsia" w:ascii="宋体" w:hAnsi="宋体" w:cs="宋体"/>
          <w:b/>
          <w:sz w:val="28"/>
          <w:szCs w:val="28"/>
        </w:rPr>
      </w:pPr>
      <w:r>
        <w:rPr>
          <w:rFonts w:hint="eastAsia" w:ascii="宋体" w:hAnsi="宋体" w:cs="宋体"/>
          <w:b/>
          <w:sz w:val="28"/>
          <w:szCs w:val="28"/>
        </w:rPr>
      </w:r>
      <w:r/>
    </w:p>
    <w:p>
      <w:pPr>
        <w:pStyle w:val="903"/>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rPr>
          <w:rFonts w:ascii="宋体" w:hAnsi="宋体" w:eastAsia="宋体"/>
          <w:spacing w:val="-3"/>
          <w:sz w:val="24"/>
          <w:szCs w:val="24"/>
        </w:rPr>
      </w:r>
      <w:r/>
    </w:p>
    <w:p>
      <w:pPr>
        <w:pStyle w:val="903"/>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法定代表人签字或盖电子章：</w:t>
      </w:r>
      <w:r>
        <w:rPr>
          <w:rFonts w:hint="eastAsia" w:ascii="宋体" w:hAnsi="宋体" w:eastAsia="宋体"/>
          <w:spacing w:val="-3"/>
          <w:sz w:val="24"/>
          <w:szCs w:val="24"/>
        </w:rPr>
      </w:r>
      <w:r/>
    </w:p>
    <w:p>
      <w:pPr>
        <w:pStyle w:val="903"/>
        <w:ind w:right="-46" w:firstLine="4110"/>
        <w:spacing w:line="583"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rPr>
          <w:rFonts w:hint="eastAsia" w:ascii="宋体" w:hAnsi="宋体" w:eastAsia="宋体" w:cs="宋体"/>
          <w:sz w:val="24"/>
          <w:szCs w:val="24"/>
        </w:rPr>
      </w:r>
      <w:r/>
    </w:p>
    <w:p>
      <w:pPr>
        <w:pStyle w:val="869"/>
        <w:rPr>
          <w:rFonts w:hint="eastAsia"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rPr>
          <w:rFonts w:hint="eastAsia" w:ascii="宋体" w:hAnsi="宋体"/>
          <w:b/>
          <w:color w:val="000000"/>
          <w:sz w:val="24"/>
          <w:szCs w:val="21"/>
        </w:rPr>
      </w:r>
      <w:r/>
    </w:p>
    <w:p>
      <w:pPr>
        <w:pStyle w:val="869"/>
        <w:jc w:val="center"/>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rPr>
          <w:rFonts w:hint="eastAsia" w:ascii="宋体" w:hAnsi="宋体" w:cs="宋体"/>
          <w:b/>
          <w:color w:val="000000"/>
          <w:sz w:val="32"/>
          <w:szCs w:val="32"/>
        </w:rPr>
      </w:r>
      <w:r/>
    </w:p>
    <w:p>
      <w:pPr>
        <w:pStyle w:val="869"/>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869"/>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rPr>
          <w:rFonts w:hint="eastAsia" w:ascii="宋体" w:hAnsi="宋体" w:cs="宋体"/>
          <w:b/>
          <w:bCs/>
          <w:color w:val="000000"/>
          <w:sz w:val="24"/>
        </w:rPr>
      </w:r>
      <w:r/>
    </w:p>
    <w:p>
      <w:pPr>
        <w:pStyle w:val="869"/>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869"/>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869"/>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869"/>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869"/>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869"/>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869"/>
        <w:ind w:firstLine="482"/>
        <w:spacing w:line="500" w:lineRule="exact"/>
        <w:rPr>
          <w:rFonts w:hint="eastAsia" w:ascii="宋体" w:hAnsi="宋体" w:cs="宋体"/>
          <w:color w:val="000000"/>
          <w:sz w:val="24"/>
        </w:rPr>
      </w:pPr>
      <w:r>
        <w:rPr>
          <w:rFonts w:hint="eastAsia" w:ascii="宋体" w:hAnsi="宋体" w:cs="宋体"/>
          <w:color w:val="000000"/>
          <w:sz w:val="24"/>
        </w:rPr>
      </w:r>
      <w:r/>
    </w:p>
    <w:p>
      <w:pPr>
        <w:pStyle w:val="869"/>
        <w:spacing w:line="500" w:lineRule="exact"/>
        <w:rPr>
          <w:rFonts w:hint="eastAsia" w:ascii="宋体" w:hAnsi="宋体" w:cs="宋体"/>
          <w:color w:val="000000"/>
          <w:sz w:val="24"/>
        </w:rPr>
      </w:pPr>
      <w:r>
        <w:rPr>
          <w:rFonts w:hint="eastAsia" w:ascii="宋体" w:hAnsi="宋体" w:cs="宋体"/>
          <w:color w:val="000000"/>
          <w:sz w:val="24"/>
        </w:rPr>
      </w:r>
      <w:r/>
    </w:p>
    <w:p>
      <w:pPr>
        <w:pStyle w:val="869"/>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供应商全称（加盖电子公章）：</w:t>
      </w:r>
      <w:r>
        <w:rPr>
          <w:rFonts w:hint="eastAsia" w:ascii="宋体" w:hAnsi="宋体" w:cs="宋体"/>
          <w:bCs/>
          <w:color w:val="000000"/>
          <w:sz w:val="24"/>
          <w:szCs w:val="21"/>
        </w:rPr>
      </w:r>
      <w:r/>
    </w:p>
    <w:p>
      <w:pPr>
        <w:pStyle w:val="869"/>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869"/>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69"/>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69"/>
        <w:keepLines/>
        <w:keepNext/>
        <w:spacing w:line="360" w:lineRule="auto"/>
        <w:rPr>
          <w:rFonts w:hint="eastAsia"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rPr>
          <w:rFonts w:hint="eastAsia" w:ascii="宋体" w:hAnsi="宋体"/>
          <w:b/>
          <w:color w:val="000000"/>
          <w:sz w:val="24"/>
          <w:szCs w:val="21"/>
        </w:rPr>
      </w:r>
      <w:r/>
    </w:p>
    <w:p>
      <w:pPr>
        <w:pStyle w:val="869"/>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69"/>
        <w:jc w:val="left"/>
        <w:spacing w:line="420" w:lineRule="exact"/>
        <w:rPr>
          <w:rFonts w:hint="eastAsia" w:ascii="宋体" w:hAnsi="宋体"/>
          <w:color w:val="000000"/>
          <w:sz w:val="24"/>
          <w:szCs w:val="21"/>
        </w:rPr>
      </w:pPr>
      <w:r>
        <w:rPr>
          <w:rFonts w:hint="eastAsia" w:ascii="宋体" w:hAnsi="宋体"/>
          <w:color w:val="000000"/>
          <w:sz w:val="24"/>
          <w:szCs w:val="21"/>
        </w:rPr>
        <w:t xml:space="preserve">致：南通市海门区公共资源交易中心</w:t>
      </w:r>
      <w:r>
        <w:rPr>
          <w:rFonts w:hint="eastAsia" w:ascii="宋体" w:hAnsi="宋体"/>
          <w:color w:val="000000"/>
          <w:sz w:val="24"/>
          <w:szCs w:val="21"/>
        </w:rPr>
      </w:r>
      <w:r/>
    </w:p>
    <w:p>
      <w:pPr>
        <w:pStyle w:val="959"/>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rPr>
          <w:rFonts w:ascii="宋体" w:hAnsi="宋体" w:cs="宋体"/>
        </w:rPr>
      </w:r>
      <w:r/>
    </w:p>
    <w:p>
      <w:pPr>
        <w:pStyle w:val="959"/>
        <w:spacing w:before="0" w:after="0"/>
        <w:rPr>
          <w:rFonts w:ascii="宋体" w:hAnsi="宋体" w:cs="宋体"/>
        </w:rPr>
      </w:pPr>
      <w:r>
        <w:rPr>
          <w:rFonts w:hint="eastAsia" w:ascii="宋体" w:hAnsi="宋体" w:cs="宋体"/>
        </w:rPr>
        <w:t xml:space="preserve">据此函，_________(被授权人姓名）兹宣布同意如下：</w:t>
      </w:r>
      <w:r>
        <w:rPr>
          <w:rFonts w:ascii="宋体" w:hAnsi="宋体" w:cs="宋体"/>
        </w:rPr>
      </w:r>
      <w:r/>
    </w:p>
    <w:p>
      <w:pPr>
        <w:pStyle w:val="86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6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6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6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6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6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69"/>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6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69"/>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9"/>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9"/>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rPr>
          <w:rFonts w:ascii="宋体" w:hAnsi="宋体" w:cs="宋体"/>
          <w:sz w:val="24"/>
          <w:szCs w:val="24"/>
        </w:rPr>
      </w:r>
      <w:r/>
    </w:p>
    <w:p>
      <w:pPr>
        <w:pStyle w:val="869"/>
        <w:ind w:left="420" w:firstLine="336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9"/>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69"/>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附件6 </w:t>
      </w:r>
      <w:r>
        <w:rPr>
          <w:rFonts w:hint="eastAsia" w:ascii="宋体" w:hAnsi="宋体"/>
          <w:b/>
          <w:sz w:val="24"/>
          <w:szCs w:val="21"/>
        </w:rPr>
      </w:r>
      <w:r/>
    </w:p>
    <w:p>
      <w:pPr>
        <w:pStyle w:val="869"/>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rPr>
          <w:rFonts w:hint="eastAsia" w:ascii="宋体" w:hAnsi="宋体" w:cs="宋体"/>
          <w:b/>
          <w:bCs/>
          <w:sz w:val="28"/>
          <w:szCs w:val="28"/>
          <w:lang w:bidi="zh-CN"/>
        </w:rPr>
      </w:r>
      <w:r/>
    </w:p>
    <w:p>
      <w:pPr>
        <w:pStyle w:val="869"/>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sz w:val="28"/>
          <w:szCs w:val="28"/>
          <w:u w:val="single"/>
        </w:rPr>
        <w:t xml:space="preserve">南通市海门区中医院</w:t>
      </w:r>
      <w:r>
        <w:rPr>
          <w:rFonts w:hint="eastAsia" w:ascii="宋体" w:hAnsi="宋体" w:cs="宋体"/>
          <w:sz w:val="28"/>
          <w:szCs w:val="28"/>
          <w:lang w:bidi="zh-CN"/>
        </w:rPr>
        <w:t xml:space="preserve">的</w:t>
      </w:r>
      <w:r>
        <w:rPr>
          <w:rFonts w:hint="eastAsia"/>
          <w:sz w:val="28"/>
          <w:szCs w:val="28"/>
          <w:u w:val="single"/>
        </w:rPr>
        <w:t xml:space="preserve">南通市海门区中医院采购区域共享中药房软件项目</w:t>
      </w:r>
      <w:r>
        <w:rPr>
          <w:rFonts w:hint="eastAsia" w:ascii="宋体" w:hAnsi="宋体" w:cs="宋体"/>
          <w:sz w:val="28"/>
          <w:szCs w:val="28"/>
          <w:lang w:bidi="zh-CN"/>
        </w:rPr>
        <w:t xml:space="preserve">采购活动，服务全部由符合政策要求的中小企业承接。相关企业的具体情况如下：</w:t>
      </w:r>
      <w:r>
        <w:rPr>
          <w:rFonts w:hint="eastAsia" w:ascii="宋体" w:hAnsi="宋体" w:cs="宋体"/>
          <w:sz w:val="28"/>
          <w:szCs w:val="28"/>
          <w:lang w:bidi="zh-CN"/>
        </w:rPr>
      </w:r>
      <w:r/>
    </w:p>
    <w:p>
      <w:pPr>
        <w:pStyle w:val="869"/>
        <w:ind w:firstLine="560"/>
        <w:jc w:val="left"/>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sz w:val="28"/>
          <w:szCs w:val="28"/>
          <w:u w:val="single"/>
        </w:rPr>
        <w:t xml:space="preserve">区域共享中药房软件</w:t>
      </w:r>
      <w:r>
        <w:rPr>
          <w:rFonts w:hint="eastAsia" w:ascii="宋体" w:hAnsi="宋体" w:cs="宋体"/>
          <w:sz w:val="28"/>
          <w:szCs w:val="28"/>
          <w:lang w:bidi="zh-CN"/>
        </w:rPr>
        <w:t xml:space="preserve">，属于</w:t>
      </w:r>
      <w:r>
        <w:rPr>
          <w:rFonts w:hint="eastAsia"/>
          <w:sz w:val="28"/>
          <w:szCs w:val="28"/>
          <w:u w:val="single"/>
        </w:rPr>
        <w:t xml:space="preserve">软件和信息技术服务业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rPr>
          <w:rFonts w:hint="eastAsia" w:ascii="宋体" w:hAnsi="宋体" w:cs="宋体"/>
          <w:sz w:val="28"/>
          <w:szCs w:val="28"/>
          <w:lang w:bidi="zh-CN"/>
        </w:rPr>
      </w:r>
      <w:r/>
    </w:p>
    <w:p>
      <w:pPr>
        <w:pStyle w:val="869"/>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cs="宋体"/>
          <w:sz w:val="28"/>
          <w:szCs w:val="28"/>
          <w:lang w:bidi="zh-CN"/>
        </w:rPr>
      </w:r>
      <w:r/>
    </w:p>
    <w:p>
      <w:pPr>
        <w:pStyle w:val="869"/>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rPr>
          <w:rFonts w:hint="eastAsia" w:ascii="宋体" w:hAnsi="宋体" w:cs="宋体"/>
          <w:sz w:val="28"/>
          <w:szCs w:val="28"/>
          <w:lang w:bidi="zh-CN"/>
        </w:rPr>
      </w:r>
      <w:r/>
    </w:p>
    <w:p>
      <w:pPr>
        <w:pStyle w:val="869"/>
        <w:jc w:val="left"/>
        <w:widowControl/>
        <w:rPr>
          <w:sz w:val="22"/>
          <w:szCs w:val="28"/>
        </w:rPr>
      </w:pPr>
      <w:r>
        <w:rPr>
          <w:rFonts w:hint="eastAsia" w:ascii="宋体" w:hAnsi="宋体" w:cs="宋体"/>
          <w:color w:val="000000"/>
          <w:szCs w:val="21"/>
          <w:lang w:bidi="ar"/>
        </w:rPr>
        <w:t xml:space="preserve">注：1.如项目属性为“服务”或“工程”，请按本表填写。 </w:t>
      </w:r>
      <w:r>
        <w:rPr>
          <w:sz w:val="22"/>
          <w:szCs w:val="28"/>
        </w:rPr>
      </w:r>
      <w:r/>
    </w:p>
    <w:p>
      <w:pPr>
        <w:pStyle w:val="869"/>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rPr>
          <w:rFonts w:hint="eastAsia" w:ascii="宋体" w:hAnsi="宋体" w:cs="宋体"/>
          <w:color w:val="000000"/>
          <w:szCs w:val="21"/>
          <w:lang w:bidi="ar"/>
        </w:rPr>
      </w:r>
      <w:r/>
    </w:p>
    <w:p>
      <w:pPr>
        <w:pStyle w:val="869"/>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cs="宋体"/>
          <w:color w:val="000000"/>
          <w:szCs w:val="21"/>
          <w:lang w:bidi="ar"/>
        </w:rPr>
      </w:r>
      <w:r/>
    </w:p>
    <w:p>
      <w:pPr>
        <w:pStyle w:val="869"/>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rPr>
          <w:rFonts w:hint="eastAsia" w:ascii="宋体" w:hAnsi="宋体" w:cs="宋体"/>
          <w:color w:val="000000"/>
          <w:szCs w:val="21"/>
          <w:lang w:bidi="ar"/>
        </w:rPr>
      </w:r>
      <w:r/>
    </w:p>
    <w:p>
      <w:pPr>
        <w:pStyle w:val="869"/>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cs="宋体"/>
          <w:color w:val="000000"/>
          <w:szCs w:val="21"/>
          <w:lang w:bidi="ar"/>
        </w:rPr>
      </w:r>
      <w:r/>
    </w:p>
    <w:p>
      <w:pPr>
        <w:pStyle w:val="869"/>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color w:val="000000"/>
          <w:szCs w:val="21"/>
          <w:lang w:bidi="ar"/>
        </w:rPr>
      </w:r>
      <w:r/>
    </w:p>
    <w:p>
      <w:pPr>
        <w:pStyle w:val="869"/>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69"/>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69"/>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企业名称（盖章）：</w:t>
      </w:r>
      <w:r>
        <w:rPr>
          <w:rFonts w:hint="eastAsia" w:ascii="宋体" w:hAnsi="宋体" w:cs="宋体"/>
          <w:sz w:val="28"/>
          <w:szCs w:val="28"/>
          <w:lang w:bidi="zh-CN"/>
        </w:rPr>
      </w:r>
      <w:r/>
    </w:p>
    <w:p>
      <w:pPr>
        <w:pStyle w:val="869"/>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日期：</w:t>
      </w:r>
      <w:r>
        <w:rPr>
          <w:rFonts w:hint="eastAsia" w:ascii="宋体" w:hAnsi="宋体" w:cs="宋体"/>
          <w:sz w:val="28"/>
          <w:szCs w:val="28"/>
          <w:lang w:bidi="zh-CN"/>
        </w:rPr>
      </w:r>
      <w:r/>
    </w:p>
    <w:p>
      <w:pPr>
        <w:pStyle w:val="869"/>
        <w:spacing w:line="300" w:lineRule="auto"/>
        <w:rPr>
          <w:rFonts w:hint="eastAsia" w:ascii="宋体" w:hAnsi="宋体"/>
          <w:b/>
          <w:sz w:val="24"/>
          <w:szCs w:val="24"/>
        </w:rPr>
        <w:outlineLvl w:val="0"/>
      </w:pPr>
      <w:r>
        <w:rPr>
          <w:rFonts w:ascii="黑体" w:hAnsi="黑体" w:eastAsia="黑体"/>
          <w:b/>
          <w:color w:val="000000"/>
          <w:sz w:val="32"/>
          <w:szCs w:val="32"/>
        </w:rPr>
        <w:br w:type="page" w:clear="all"/>
      </w:r>
      <w:r>
        <w:rPr>
          <w:rFonts w:hint="eastAsia" w:ascii="宋体" w:hAnsi="宋体"/>
          <w:b/>
          <w:sz w:val="24"/>
          <w:szCs w:val="24"/>
        </w:rPr>
        <w:t xml:space="preserve">附件7</w:t>
      </w:r>
      <w:r>
        <w:rPr>
          <w:rFonts w:hint="eastAsia" w:ascii="宋体" w:hAnsi="宋体"/>
          <w:b/>
          <w:sz w:val="24"/>
          <w:szCs w:val="24"/>
        </w:rPr>
      </w:r>
      <w:r/>
    </w:p>
    <w:p>
      <w:pPr>
        <w:pStyle w:val="869"/>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69"/>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869"/>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rPr>
          <w:rFonts w:hint="eastAsia" w:ascii="宋体" w:hAnsi="宋体" w:cs="宋体"/>
          <w:sz w:val="28"/>
          <w:szCs w:val="28"/>
        </w:rPr>
      </w:r>
      <w:r/>
    </w:p>
    <w:p>
      <w:pPr>
        <w:pStyle w:val="869"/>
        <w:spacing w:line="588" w:lineRule="exact"/>
        <w:rPr>
          <w:rFonts w:hint="eastAsia" w:ascii="宋体" w:hAnsi="宋体" w:cs="宋体"/>
          <w:sz w:val="28"/>
          <w:szCs w:val="28"/>
        </w:rPr>
      </w:pPr>
      <w:r>
        <w:rPr>
          <w:rFonts w:hint="eastAsia" w:ascii="宋体" w:hAnsi="宋体" w:cs="宋体"/>
          <w:sz w:val="28"/>
          <w:szCs w:val="28"/>
        </w:rPr>
      </w:r>
      <w:r/>
    </w:p>
    <w:p>
      <w:pPr>
        <w:pStyle w:val="86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cs="宋体"/>
          <w:color w:val="000000"/>
          <w:szCs w:val="21"/>
          <w:lang w:bidi="ar"/>
        </w:rPr>
      </w:r>
      <w:r/>
    </w:p>
    <w:p>
      <w:pPr>
        <w:pStyle w:val="869"/>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color w:val="000000"/>
          <w:szCs w:val="21"/>
          <w:lang w:bidi="ar"/>
        </w:rPr>
      </w:r>
      <w:r/>
    </w:p>
    <w:p>
      <w:pPr>
        <w:pStyle w:val="869"/>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9"/>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9"/>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9"/>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rPr>
          <w:rFonts w:hint="eastAsia" w:ascii="宋体" w:hAnsi="宋体" w:cs="宋体"/>
          <w:sz w:val="28"/>
          <w:szCs w:val="28"/>
        </w:rPr>
      </w:r>
      <w:r/>
    </w:p>
    <w:p>
      <w:pPr>
        <w:pStyle w:val="869"/>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rPr>
          <w:rFonts w:hint="eastAsia" w:ascii="宋体" w:hAnsi="宋体" w:cs="宋体"/>
          <w:sz w:val="28"/>
          <w:szCs w:val="28"/>
        </w:rPr>
      </w:r>
      <w:r/>
    </w:p>
    <w:p>
      <w:pPr>
        <w:pStyle w:val="869"/>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rPr>
          <w:rFonts w:hint="eastAsia" w:ascii="宋体" w:hAnsi="宋体"/>
          <w:b/>
          <w:sz w:val="24"/>
          <w:szCs w:val="24"/>
        </w:rPr>
      </w:r>
      <w:r/>
    </w:p>
    <w:p>
      <w:pPr>
        <w:pStyle w:val="869"/>
        <w:jc w:val="center"/>
        <w:rPr>
          <w:rFonts w:hint="eastAsia" w:ascii="宋体" w:hAnsi="宋体"/>
          <w:b/>
          <w:sz w:val="24"/>
          <w:szCs w:val="24"/>
        </w:rPr>
      </w:pPr>
      <w:r>
        <w:rPr>
          <w:rFonts w:hint="eastAsia" w:ascii="宋体" w:hAnsi="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69"/>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附件9</w:t>
      </w:r>
      <w:r>
        <w:rPr>
          <w:rFonts w:ascii="宋体" w:hAnsi="宋体"/>
          <w:b/>
          <w:sz w:val="24"/>
          <w:szCs w:val="24"/>
        </w:rPr>
        <w:t xml:space="preserve"> </w:t>
      </w:r>
      <w:r>
        <w:rPr>
          <w:rFonts w:ascii="宋体" w:hAnsi="宋体"/>
          <w:b/>
          <w:sz w:val="24"/>
          <w:szCs w:val="24"/>
        </w:rPr>
      </w:r>
      <w:r/>
    </w:p>
    <w:p>
      <w:pPr>
        <w:pStyle w:val="869"/>
        <w:jc w:val="center"/>
        <w:rPr>
          <w:rFonts w:hint="eastAsia" w:ascii="宋体" w:hAnsi="宋体"/>
          <w:b/>
          <w:sz w:val="24"/>
          <w:szCs w:val="24"/>
        </w:rPr>
      </w:pPr>
      <w:r>
        <w:rPr>
          <w:rFonts w:hint="eastAsia" w:ascii="宋体" w:hAnsi="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9"/>
        <w:spacing w:line="400" w:lineRule="exact"/>
        <w:rPr>
          <w:rFonts w:hint="eastAsia" w:ascii="宋体" w:hAnsi="宋体"/>
          <w:sz w:val="24"/>
          <w:szCs w:val="24"/>
        </w:rPr>
      </w:pPr>
      <w:r>
        <w:rPr>
          <w:rFonts w:hint="eastAsia" w:ascii="宋体" w:hAnsi="宋体"/>
          <w:sz w:val="24"/>
          <w:szCs w:val="24"/>
        </w:rPr>
      </w:r>
      <w:r/>
    </w:p>
    <w:p>
      <w:pPr>
        <w:pStyle w:val="869"/>
        <w:jc w:val="center"/>
        <w:rPr>
          <w:rFonts w:hint="eastAsia"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ind w:firstLine="240"/>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9"/>
        <w:rPr>
          <w:rFonts w:hint="eastAsia" w:ascii="宋体" w:hAnsi="宋体"/>
          <w:b/>
          <w:sz w:val="24"/>
          <w:szCs w:val="21"/>
        </w:rPr>
      </w:pPr>
      <w:r>
        <w:rPr>
          <w:rFonts w:hint="eastAsia" w:ascii="宋体" w:hAnsi="宋体"/>
          <w:b/>
          <w:sz w:val="24"/>
          <w:szCs w:val="21"/>
        </w:rPr>
      </w:r>
      <w:r/>
    </w:p>
    <w:p>
      <w:pPr>
        <w:pStyle w:val="869"/>
        <w:ind w:left="480"/>
        <w:rPr>
          <w:rFonts w:ascii="宋体" w:hAnsi="宋体"/>
          <w:b/>
          <w:color w:val="000000"/>
          <w:sz w:val="24"/>
          <w:szCs w:val="21"/>
        </w:rPr>
      </w:pPr>
      <w:r>
        <w:rPr>
          <w:rFonts w:ascii="宋体" w:hAnsi="宋体"/>
          <w:b/>
          <w:color w:val="000000"/>
          <w:sz w:val="24"/>
          <w:szCs w:val="21"/>
        </w:rPr>
      </w:r>
      <w:r/>
    </w:p>
    <w:p>
      <w:pPr>
        <w:pStyle w:val="869"/>
        <w:ind w:left="480"/>
        <w:rPr>
          <w:rFonts w:hint="eastAsia" w:ascii="宋体" w:hAnsi="宋体"/>
          <w:b/>
          <w:color w:val="000000"/>
          <w:sz w:val="24"/>
          <w:szCs w:val="21"/>
        </w:rPr>
      </w:pPr>
      <w:r>
        <w:rPr>
          <w:rFonts w:hint="eastAsia" w:ascii="宋体" w:hAnsi="宋体"/>
          <w:b/>
          <w:color w:val="000000"/>
          <w:sz w:val="24"/>
          <w:szCs w:val="21"/>
        </w:rPr>
      </w:r>
      <w:r/>
    </w:p>
    <w:p>
      <w:pPr>
        <w:pStyle w:val="869"/>
        <w:rPr>
          <w:rFonts w:hint="eastAsia" w:ascii="宋体" w:hAnsi="宋体" w:cs="仿宋"/>
          <w:b/>
          <w:bCs/>
          <w:color w:val="000000"/>
          <w:sz w:val="32"/>
          <w:szCs w:val="32"/>
        </w:rPr>
      </w:pPr>
      <w:r>
        <w:rPr>
          <w:rFonts w:hint="eastAsia" w:ascii="宋体" w:hAnsi="宋体"/>
          <w:b/>
          <w:color w:val="000000"/>
          <w:sz w:val="24"/>
          <w:szCs w:val="21"/>
        </w:rPr>
        <w:br w:type="page" w:clear="all"/>
      </w:r>
      <w:bookmarkEnd w:id="142"/>
      <w:r/>
      <w:bookmarkEnd w:id="143"/>
      <w:r/>
      <w:bookmarkEnd w:id="149"/>
      <w:r/>
      <w:bookmarkEnd w:id="150"/>
      <w:r/>
      <w:bookmarkEnd w:id="151"/>
      <w:r>
        <w:rPr>
          <w:rFonts w:hint="eastAsia" w:ascii="方正魏碑_GBK" w:hAnsi="方正魏碑_GBK" w:eastAsia="方正魏碑_GBK" w:cs="方正魏碑_GBK"/>
          <w:b/>
          <w:sz w:val="24"/>
          <w:szCs w:val="24"/>
        </w:rPr>
        <w:t xml:space="preserve">附件10  </w:t>
      </w:r>
      <w:r>
        <w:rPr>
          <w:rFonts w:hint="eastAsia" w:ascii="宋体" w:hAnsi="宋体" w:cs="仿宋"/>
          <w:b/>
          <w:bCs/>
          <w:color w:val="000000"/>
          <w:sz w:val="32"/>
          <w:szCs w:val="32"/>
        </w:rPr>
      </w:r>
      <w:r/>
    </w:p>
    <w:p>
      <w:pPr>
        <w:pStyle w:val="869"/>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9"/>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9"/>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9"/>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附件11  </w:t>
      </w:r>
      <w:r>
        <w:rPr>
          <w:rFonts w:ascii="宋体" w:hAnsi="宋体"/>
          <w:color w:val="000000"/>
          <w:sz w:val="24"/>
          <w:szCs w:val="24"/>
        </w:rPr>
      </w:r>
      <w:r/>
    </w:p>
    <w:p>
      <w:pPr>
        <w:pStyle w:val="869"/>
        <w:jc w:val="center"/>
        <w:spacing w:line="360" w:lineRule="auto"/>
        <w:rPr>
          <w:rFonts w:ascii="方正小标宋简体" w:eastAsia="方正小标宋简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rPr>
      </w:r>
      <w:r/>
    </w:p>
    <w:p>
      <w:pPr>
        <w:pStyle w:val="869"/>
        <w:spacing w:line="360" w:lineRule="auto"/>
        <w:rPr>
          <w:rFonts w:eastAsia="仿宋_GB2312"/>
          <w:sz w:val="32"/>
        </w:rPr>
      </w:pPr>
      <w:r>
        <w:rPr>
          <w:rFonts w:eastAsia="仿宋_GB2312"/>
          <w:sz w:val="32"/>
        </w:rPr>
      </w:r>
      <w:r/>
    </w:p>
    <w:p>
      <w:pPr>
        <w:pStyle w:val="869"/>
        <w:spacing w:line="360" w:lineRule="auto"/>
        <w:rPr>
          <w:rFonts w:eastAsia="仿宋_GB2312"/>
          <w:sz w:val="32"/>
        </w:rPr>
      </w:pPr>
      <w:r>
        <w:rPr>
          <w:rFonts w:hint="eastAsia" w:eastAsia="仿宋_GB2312"/>
          <w:sz w:val="32"/>
        </w:rPr>
        <w:t xml:space="preserve">各政府采购供应商：</w:t>
      </w:r>
      <w:r>
        <w:rPr>
          <w:rFonts w:eastAsia="仿宋_GB2312"/>
          <w:sz w:val="32"/>
        </w:rPr>
      </w:r>
      <w:r/>
    </w:p>
    <w:p>
      <w:pPr>
        <w:pStyle w:val="869"/>
        <w:ind w:firstLine="640"/>
        <w:spacing w:line="360" w:lineRule="auto"/>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869"/>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869"/>
        <w:ind w:firstLine="640"/>
        <w:spacing w:line="360" w:lineRule="auto"/>
        <w:rPr>
          <w:rFonts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_GB2312"/>
          <w:sz w:val="32"/>
        </w:rPr>
      </w:r>
      <w:r/>
    </w:p>
    <w:p>
      <w:pPr>
        <w:pStyle w:val="881"/>
      </w:pPr>
      <w:r/>
      <w:r/>
    </w:p>
    <w:p>
      <w:pPr>
        <w:pStyle w:val="881"/>
      </w:pPr>
      <w:r/>
      <w:r/>
    </w:p>
    <w:p>
      <w:pPr>
        <w:pStyle w:val="881"/>
      </w:pPr>
      <w:r/>
      <w:r/>
    </w:p>
    <w:p>
      <w:pPr>
        <w:pStyle w:val="881"/>
      </w:pPr>
      <w:r/>
      <w:r/>
    </w:p>
    <w:p>
      <w:pPr>
        <w:pStyle w:val="881"/>
      </w:pPr>
      <w:r/>
      <w:r/>
    </w:p>
    <w:p>
      <w:pPr>
        <w:pStyle w:val="881"/>
      </w:pPr>
      <w:r/>
      <w:r/>
    </w:p>
    <w:p>
      <w:pPr>
        <w:pStyle w:val="881"/>
        <w:ind w:firstLine="0"/>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仿宋">
    <w:panose1 w:val="02010609060101010101"/>
  </w:font>
  <w:font w:name="Segoe UI">
    <w:panose1 w:val="020B0502040204020203"/>
  </w:font>
  <w:font w:name="FZFSK--GBK1-0">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47</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9"/>
        <w:ind w:left="360" w:hanging="360"/>
      </w:pPr>
    </w:lvl>
    <w:lvl w:ilvl="1">
      <w:start w:val="1"/>
      <w:numFmt w:val="lowerLetter"/>
      <w:isLgl w:val="false"/>
      <w:suff w:val="tab"/>
      <w:lvlText w:val="%2)"/>
      <w:lvlJc w:val="left"/>
      <w:pPr>
        <w:pStyle w:val="869"/>
        <w:ind w:left="840" w:hanging="420"/>
      </w:pPr>
    </w:lvl>
    <w:lvl w:ilvl="2">
      <w:start w:val="1"/>
      <w:numFmt w:val="lowerRoman"/>
      <w:isLgl w:val="false"/>
      <w:suff w:val="tab"/>
      <w:lvlText w:val="%3."/>
      <w:lvlJc w:val="right"/>
      <w:pPr>
        <w:pStyle w:val="869"/>
        <w:ind w:left="1260" w:hanging="420"/>
      </w:pPr>
    </w:lvl>
    <w:lvl w:ilvl="3">
      <w:start w:val="1"/>
      <w:numFmt w:val="decimal"/>
      <w:isLgl w:val="false"/>
      <w:suff w:val="tab"/>
      <w:lvlText w:val="%4."/>
      <w:lvlJc w:val="left"/>
      <w:pPr>
        <w:pStyle w:val="869"/>
        <w:ind w:left="1680" w:hanging="420"/>
      </w:pPr>
    </w:lvl>
    <w:lvl w:ilvl="4">
      <w:start w:val="1"/>
      <w:numFmt w:val="lowerLetter"/>
      <w:isLgl w:val="false"/>
      <w:suff w:val="tab"/>
      <w:lvlText w:val="%5)"/>
      <w:lvlJc w:val="left"/>
      <w:pPr>
        <w:pStyle w:val="869"/>
        <w:ind w:left="2100" w:hanging="420"/>
      </w:pPr>
    </w:lvl>
    <w:lvl w:ilvl="5">
      <w:start w:val="1"/>
      <w:numFmt w:val="lowerRoman"/>
      <w:isLgl w:val="false"/>
      <w:suff w:val="tab"/>
      <w:lvlText w:val="%6."/>
      <w:lvlJc w:val="right"/>
      <w:pPr>
        <w:pStyle w:val="869"/>
        <w:ind w:left="2520" w:hanging="420"/>
      </w:pPr>
    </w:lvl>
    <w:lvl w:ilvl="6">
      <w:start w:val="1"/>
      <w:numFmt w:val="decimal"/>
      <w:isLgl w:val="false"/>
      <w:suff w:val="tab"/>
      <w:lvlText w:val="%7."/>
      <w:lvlJc w:val="left"/>
      <w:pPr>
        <w:pStyle w:val="869"/>
        <w:ind w:left="2940" w:hanging="420"/>
      </w:pPr>
    </w:lvl>
    <w:lvl w:ilvl="7">
      <w:start w:val="1"/>
      <w:numFmt w:val="lowerLetter"/>
      <w:isLgl w:val="false"/>
      <w:suff w:val="tab"/>
      <w:lvlText w:val="%8)"/>
      <w:lvlJc w:val="left"/>
      <w:pPr>
        <w:pStyle w:val="869"/>
        <w:ind w:left="3360" w:hanging="420"/>
      </w:pPr>
    </w:lvl>
    <w:lvl w:ilvl="8">
      <w:start w:val="1"/>
      <w:numFmt w:val="lowerRoman"/>
      <w:isLgl w:val="false"/>
      <w:suff w:val="tab"/>
      <w:lvlText w:val="%9."/>
      <w:lvlJc w:val="right"/>
      <w:pPr>
        <w:pStyle w:val="869"/>
        <w:ind w:left="3780" w:hanging="420"/>
      </w:p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4"/>
    <w:qFormat/>
    <w:pPr>
      <w:jc w:val="center"/>
      <w:keepNext/>
      <w:outlineLvl w:val="0"/>
    </w:pPr>
    <w:rPr>
      <w:rFonts w:ascii="楷体_GB2312" w:hAnsi="Times New Roman" w:eastAsia="楷体_GB2312" w:cs="Times New Roman"/>
      <w:sz w:val="28"/>
      <w:szCs w:val="28"/>
    </w:rPr>
  </w:style>
  <w:style w:type="paragraph" w:styleId="871">
    <w:name w:val="标题 2"/>
    <w:basedOn w:val="869"/>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6"/>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90"/>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1"/>
    <w:basedOn w:val="882"/>
    <w:next w:val="881"/>
    <w:link w:val="869"/>
    <w:qFormat/>
    <w:pPr>
      <w:ind w:firstLine="200"/>
      <w:spacing w:line="360" w:lineRule="auto"/>
    </w:pPr>
    <w:rPr>
      <w:rFonts w:ascii="仿宋_GB2312" w:hAnsi="Times New Roman" w:eastAsia="仿宋_GB2312"/>
      <w:sz w:val="30"/>
      <w:szCs w:val="30"/>
    </w:rPr>
  </w:style>
  <w:style w:type="paragraph" w:styleId="882">
    <w:name w:val="正文文本1"/>
    <w:basedOn w:val="883"/>
    <w:next w:val="869"/>
    <w:link w:val="869"/>
    <w:uiPriority w:val="99"/>
    <w:unhideWhenUsed/>
    <w:qFormat/>
    <w:rPr>
      <w:rFonts w:ascii="??_GB2312" w:hAnsi="??_GB2312"/>
      <w:sz w:val="28"/>
      <w:szCs w:val="28"/>
    </w:rPr>
  </w:style>
  <w:style w:type="paragraph" w:styleId="883">
    <w:name w:val="正文11"/>
    <w:next w:val="882"/>
    <w:link w:val="869"/>
    <w:qFormat/>
    <w:pPr>
      <w:jc w:val="both"/>
      <w:widowControl w:val="off"/>
    </w:pPr>
    <w:rPr>
      <w:rFonts w:ascii="Calibri" w:hAnsi="Calibri"/>
      <w:sz w:val="21"/>
      <w:szCs w:val="21"/>
      <w:lang w:val="en-US" w:eastAsia="zh-CN" w:bidi="ar-SA"/>
    </w:rPr>
  </w:style>
  <w:style w:type="character" w:styleId="884">
    <w:name w:val="标题 1 字符"/>
    <w:next w:val="884"/>
    <w:link w:val="870"/>
    <w:rPr>
      <w:rFonts w:ascii="楷体_GB2312" w:hAnsi="Times New Roman" w:eastAsia="楷体_GB2312" w:cs="Times New Roman"/>
      <w:sz w:val="28"/>
      <w:szCs w:val="28"/>
    </w:rPr>
  </w:style>
  <w:style w:type="character" w:styleId="885">
    <w:name w:val="标题 2 字符"/>
    <w:next w:val="885"/>
    <w:link w:val="871"/>
    <w:rPr>
      <w:rFonts w:ascii="Arial" w:hAnsi="Arial" w:eastAsia="幼圆" w:cs="Arial"/>
      <w:b/>
      <w:bCs/>
      <w:sz w:val="44"/>
      <w:szCs w:val="44"/>
    </w:rPr>
  </w:style>
  <w:style w:type="paragraph" w:styleId="886">
    <w:name w:val="正文缩进"/>
    <w:basedOn w:val="869"/>
    <w:next w:val="886"/>
    <w:link w:val="887"/>
    <w:qFormat/>
    <w:pPr>
      <w:ind w:firstLine="420"/>
    </w:pPr>
    <w:rPr>
      <w:szCs w:val="21"/>
    </w:rPr>
  </w:style>
  <w:style w:type="character" w:styleId="887">
    <w:name w:val="正文缩进 字符"/>
    <w:next w:val="887"/>
    <w:link w:val="886"/>
    <w:qFormat/>
    <w:rPr>
      <w:szCs w:val="21"/>
    </w:rPr>
  </w:style>
  <w:style w:type="character" w:styleId="888">
    <w:name w:val="标题 3 字符"/>
    <w:next w:val="888"/>
    <w:link w:val="872"/>
    <w:rPr>
      <w:rFonts w:ascii="Times New Roman" w:hAnsi="Times New Roman" w:eastAsia="宋体" w:cs="Times New Roman"/>
      <w:b/>
      <w:bCs/>
      <w:sz w:val="32"/>
      <w:szCs w:val="32"/>
    </w:rPr>
  </w:style>
  <w:style w:type="character" w:styleId="889">
    <w:name w:val="标题 4 字符"/>
    <w:next w:val="889"/>
    <w:link w:val="873"/>
    <w:rPr>
      <w:rFonts w:ascii="Arial" w:hAnsi="Arial" w:eastAsia="黑体" w:cs="Arial"/>
      <w:b/>
      <w:bCs/>
      <w:sz w:val="28"/>
      <w:szCs w:val="28"/>
    </w:rPr>
  </w:style>
  <w:style w:type="character" w:styleId="890">
    <w:name w:val="标题 5 字符"/>
    <w:next w:val="890"/>
    <w:link w:val="874"/>
    <w:rPr>
      <w:rFonts w:ascii="宋体" w:hAnsi="Times New Roman" w:eastAsia="宋体" w:cs="Times New Roman"/>
      <w:color w:val="000000"/>
      <w:sz w:val="28"/>
      <w:szCs w:val="28"/>
    </w:rPr>
  </w:style>
  <w:style w:type="character" w:styleId="891">
    <w:name w:val="标题 6 字符"/>
    <w:next w:val="891"/>
    <w:link w:val="875"/>
    <w:rPr>
      <w:rFonts w:ascii="Arial" w:hAnsi="Arial" w:eastAsia="黑体" w:cs="Times New Roman"/>
      <w:b/>
      <w:bCs/>
      <w:sz w:val="24"/>
      <w:szCs w:val="24"/>
    </w:rPr>
  </w:style>
  <w:style w:type="character" w:styleId="892">
    <w:name w:val="标题 7 字符"/>
    <w:next w:val="892"/>
    <w:link w:val="876"/>
    <w:rPr>
      <w:rFonts w:ascii="Times New Roman" w:hAnsi="Times New Roman" w:eastAsia="宋体" w:cs="Times New Roman"/>
      <w:b/>
      <w:bCs/>
      <w:sz w:val="24"/>
      <w:szCs w:val="24"/>
    </w:rPr>
  </w:style>
  <w:style w:type="character" w:styleId="893">
    <w:name w:val="标题 8 字符"/>
    <w:next w:val="893"/>
    <w:link w:val="877"/>
    <w:rPr>
      <w:rFonts w:ascii="Arial" w:hAnsi="Arial" w:eastAsia="黑体" w:cs="Times New Roman"/>
      <w:sz w:val="24"/>
      <w:szCs w:val="24"/>
    </w:rPr>
  </w:style>
  <w:style w:type="character" w:styleId="894">
    <w:name w:val="标题 9 字符"/>
    <w:next w:val="894"/>
    <w:link w:val="878"/>
    <w:rPr>
      <w:rFonts w:ascii="Arial" w:hAnsi="Arial" w:eastAsia="黑体" w:cs="Times New Roman"/>
      <w:szCs w:val="21"/>
    </w:rPr>
  </w:style>
  <w:style w:type="paragraph" w:styleId="895">
    <w:name w:val="列表 3"/>
    <w:basedOn w:val="869"/>
    <w:next w:val="895"/>
    <w:link w:val="869"/>
    <w:pPr>
      <w:ind w:left="100" w:hanging="200"/>
    </w:pPr>
    <w:rPr>
      <w:rFonts w:ascii="Times New Roman" w:hAnsi="Times New Roman" w:eastAsia="宋体" w:cs="Times New Roman"/>
      <w:szCs w:val="21"/>
    </w:rPr>
  </w:style>
  <w:style w:type="paragraph" w:styleId="896">
    <w:name w:val="目录 7"/>
    <w:basedOn w:val="869"/>
    <w:next w:val="869"/>
    <w:link w:val="869"/>
    <w:semiHidden/>
    <w:pPr>
      <w:ind w:left="1260"/>
      <w:jc w:val="left"/>
    </w:pPr>
    <w:rPr>
      <w:rFonts w:ascii="Times New Roman" w:hAnsi="Times New Roman" w:eastAsia="宋体" w:cs="Times New Roman"/>
      <w:szCs w:val="21"/>
    </w:rPr>
  </w:style>
  <w:style w:type="paragraph" w:styleId="897">
    <w:name w:val="文档结构图"/>
    <w:basedOn w:val="869"/>
    <w:next w:val="897"/>
    <w:link w:val="898"/>
    <w:semiHidden/>
    <w:pPr>
      <w:shd w:val="clear" w:color="auto" w:fill="000080"/>
    </w:pPr>
    <w:rPr>
      <w:rFonts w:ascii="Times New Roman" w:hAnsi="Times New Roman" w:eastAsia="宋体" w:cs="Times New Roman"/>
      <w:szCs w:val="21"/>
    </w:rPr>
  </w:style>
  <w:style w:type="character" w:styleId="898">
    <w:name w:val="文档结构图 字符"/>
    <w:next w:val="898"/>
    <w:link w:val="897"/>
    <w:semiHidden/>
    <w:rPr>
      <w:rFonts w:ascii="Times New Roman" w:hAnsi="Times New Roman" w:eastAsia="宋体" w:cs="Times New Roman"/>
      <w:szCs w:val="21"/>
      <w:shd w:val="clear" w:color="auto" w:fill="000080"/>
    </w:rPr>
  </w:style>
  <w:style w:type="paragraph" w:styleId="899">
    <w:name w:val="批注文字"/>
    <w:basedOn w:val="869"/>
    <w:next w:val="899"/>
    <w:link w:val="900"/>
    <w:unhideWhenUsed/>
    <w:pPr>
      <w:jc w:val="left"/>
    </w:pPr>
  </w:style>
  <w:style w:type="character" w:styleId="900">
    <w:name w:val="批注文字 字符"/>
    <w:next w:val="900"/>
    <w:link w:val="899"/>
  </w:style>
  <w:style w:type="paragraph" w:styleId="901">
    <w:name w:val="正文文本 3"/>
    <w:basedOn w:val="869"/>
    <w:next w:val="901"/>
    <w:link w:val="902"/>
    <w:rPr>
      <w:rFonts w:ascii="仿宋_GB2312" w:hAnsi="Arial" w:eastAsia="仿宋_GB2312" w:cs="Times New Roman"/>
      <w:sz w:val="32"/>
      <w:szCs w:val="32"/>
    </w:rPr>
  </w:style>
  <w:style w:type="character" w:styleId="902">
    <w:name w:val="正文文本 3 字符"/>
    <w:next w:val="902"/>
    <w:link w:val="901"/>
    <w:rPr>
      <w:rFonts w:ascii="仿宋_GB2312" w:hAnsi="Arial" w:eastAsia="仿宋_GB2312" w:cs="Times New Roman"/>
      <w:sz w:val="32"/>
      <w:szCs w:val="32"/>
    </w:rPr>
  </w:style>
  <w:style w:type="paragraph" w:styleId="903">
    <w:name w:val="正文文本"/>
    <w:basedOn w:val="869"/>
    <w:next w:val="869"/>
    <w:link w:val="904"/>
    <w:rPr>
      <w:rFonts w:ascii="楷体_GB2312" w:hAnsi="Arial" w:eastAsia="楷体_GB2312" w:cs="Times New Roman"/>
      <w:sz w:val="28"/>
      <w:szCs w:val="28"/>
    </w:rPr>
  </w:style>
  <w:style w:type="character" w:styleId="904">
    <w:name w:val="正文文本 字符"/>
    <w:next w:val="904"/>
    <w:link w:val="903"/>
    <w:rPr>
      <w:rFonts w:ascii="楷体_GB2312" w:hAnsi="Arial" w:eastAsia="楷体_GB2312" w:cs="Times New Roman"/>
      <w:sz w:val="28"/>
      <w:szCs w:val="28"/>
    </w:rPr>
  </w:style>
  <w:style w:type="paragraph" w:styleId="905">
    <w:name w:val="正文文本缩进"/>
    <w:basedOn w:val="869"/>
    <w:next w:val="905"/>
    <w:link w:val="906"/>
    <w:unhideWhenUsed/>
    <w:pPr>
      <w:ind w:left="420"/>
      <w:spacing w:after="120"/>
    </w:pPr>
  </w:style>
  <w:style w:type="character" w:styleId="906">
    <w:name w:val="正文文本缩进 字符"/>
    <w:next w:val="906"/>
    <w:link w:val="905"/>
    <w:uiPriority w:val="99"/>
    <w:semiHidden/>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qFormat/>
    <w:rPr>
      <w:rFonts w:ascii="宋体" w:hAnsi="Courier New" w:eastAsia="宋体" w:cs="Courier New"/>
      <w:szCs w:val="21"/>
    </w:rPr>
  </w:style>
  <w:style w:type="character" w:styleId="911">
    <w:name w:val="纯文本 字符"/>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字符"/>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字符"/>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字符"/>
    <w:next w:val="918"/>
    <w:link w:val="917"/>
    <w:semiHidden/>
    <w:rPr>
      <w:rFonts w:ascii="Times New Roman" w:hAnsi="Times New Roman" w:eastAsia="宋体" w:cs="Times New Roman"/>
      <w:sz w:val="18"/>
      <w:szCs w:val="18"/>
    </w:rPr>
  </w:style>
  <w:style w:type="paragraph" w:styleId="919">
    <w:name w:val="页脚"/>
    <w:basedOn w:val="869"/>
    <w:next w:val="919"/>
    <w:link w:val="92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字符"/>
    <w:next w:val="920"/>
    <w:link w:val="919"/>
    <w:uiPriority w:val="9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字符"/>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字符"/>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字符"/>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899"/>
    <w:next w:val="899"/>
    <w:link w:val="937"/>
    <w:semiHidden/>
    <w:rPr>
      <w:rFonts w:ascii="Times New Roman" w:hAnsi="Times New Roman" w:eastAsia="宋体" w:cs="Times New Roman"/>
      <w:b/>
      <w:bCs/>
      <w:szCs w:val="21"/>
    </w:rPr>
  </w:style>
  <w:style w:type="character" w:styleId="937">
    <w:name w:val="批注主题 字符"/>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字符"/>
    <w:next w:val="939"/>
    <w:link w:val="938"/>
    <w:rPr>
      <w:rFonts w:ascii="仿宋_GB2312" w:hAnsi="Times New Roman" w:eastAsia="仿宋_GB2312" w:cs="Times New Roman"/>
      <w:sz w:val="30"/>
      <w:szCs w:val="30"/>
    </w:rPr>
  </w:style>
  <w:style w:type="paragraph" w:styleId="940">
    <w:name w:val="正文首行缩进 2"/>
    <w:basedOn w:val="905"/>
    <w:next w:val="940"/>
    <w:link w:val="941"/>
    <w:pPr>
      <w:ind w:left="0" w:firstLine="420"/>
      <w:spacing w:after="0" w:line="360" w:lineRule="auto"/>
    </w:pPr>
    <w:rPr>
      <w:rFonts w:ascii="宋体" w:hAnsi="宋体" w:eastAsia="宋体" w:cs="Times New Roman"/>
      <w:szCs w:val="20"/>
    </w:rPr>
  </w:style>
  <w:style w:type="character" w:styleId="941">
    <w:name w:val="正文首行缩进 2 字符"/>
    <w:next w:val="941"/>
    <w:link w:val="940"/>
    <w:rPr>
      <w:rFonts w:ascii="宋体" w:hAnsi="宋体" w:eastAsia="宋体" w:cs="Times New Roman"/>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强调"/>
    <w:next w:val="946"/>
    <w:link w:val="869"/>
    <w:qFormat/>
    <w:rPr>
      <w:i/>
    </w:rPr>
  </w:style>
  <w:style w:type="character" w:styleId="947">
    <w:name w:val="超链接"/>
    <w:next w:val="947"/>
    <w:link w:val="869"/>
    <w:rPr>
      <w:color w:val="0000ff"/>
      <w:u w:val="single"/>
    </w:rPr>
  </w:style>
  <w:style w:type="character" w:styleId="948">
    <w:name w:val="批注引用"/>
    <w:next w:val="948"/>
    <w:link w:val="869"/>
    <w:rPr>
      <w:sz w:val="21"/>
      <w:szCs w:val="21"/>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3"/>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7"/>
    <w:next w:val="958"/>
    <w:link w:val="869"/>
    <w:rPr>
      <w:rFonts w:ascii="Tahoma" w:hAnsi="Tahoma"/>
      <w:sz w:val="24"/>
      <w:szCs w:val="24"/>
    </w:rPr>
  </w:style>
  <w:style w:type="paragraph" w:styleId="959">
    <w:name w:val="普通正文"/>
    <w:basedOn w:val="960"/>
    <w:next w:val="959"/>
    <w:link w:val="869"/>
    <w:pPr>
      <w:ind w:firstLine="480"/>
      <w:jc w:val="left"/>
      <w:spacing w:before="120" w:after="120" w:line="360" w:lineRule="auto"/>
    </w:pPr>
    <w:rPr>
      <w:rFonts w:ascii="Arial" w:hAnsi="Arial" w:eastAsia="宋体" w:cs="Times New Roman"/>
      <w:sz w:val="24"/>
      <w:szCs w:val="24"/>
    </w:rPr>
  </w:style>
  <w:style w:type="paragraph" w:styleId="960">
    <w:name w:val="正文1"/>
    <w:next w:val="960"/>
    <w:link w:val="869"/>
    <w:qFormat/>
    <w:pPr>
      <w:jc w:val="both"/>
      <w:widowControl w:val="off"/>
    </w:pPr>
    <w:rPr>
      <w:sz w:val="21"/>
      <w:szCs w:val="21"/>
      <w:lang w:val="en-US" w:eastAsia="zh-CN" w:bidi="ar-SA"/>
    </w:rPr>
  </w:style>
  <w:style w:type="paragraph" w:styleId="961">
    <w:name w:val="table_lines"/>
    <w:basedOn w:val="869"/>
    <w:next w:val="961"/>
    <w:link w:val="869"/>
    <w:pPr>
      <w:jc w:val="left"/>
      <w:widowControl/>
    </w:pPr>
    <w:rPr>
      <w:rFonts w:ascii="Times New Roman" w:hAnsi="Times New Roman" w:eastAsia="宋体" w:cs="Times New Roman"/>
      <w:sz w:val="20"/>
      <w:szCs w:val="20"/>
      <w:lang w:val="de-DE" w:eastAsia="de-DE"/>
    </w:rPr>
  </w:style>
  <w:style w:type="paragraph" w:styleId="962">
    <w:name w:val="附录1"/>
    <w:next w:val="962"/>
    <w:link w:val="869"/>
    <w:pPr>
      <w:numPr>
        <w:ilvl w:val="0"/>
        <w:numId w:val="2"/>
      </w:numPr>
      <w:spacing w:before="240" w:line="600" w:lineRule="atLeast"/>
      <w:tabs>
        <w:tab w:val="left" w:pos="907" w:leader="none"/>
      </w:tabs>
    </w:pPr>
    <w:rPr>
      <w:b/>
      <w:i/>
      <w:sz w:val="28"/>
      <w:lang w:val="en-US" w:eastAsia="zh-CN" w:bidi="ar-SA"/>
    </w:rPr>
  </w:style>
  <w:style w:type="paragraph" w:styleId="963">
    <w:name w:val="font7"/>
    <w:basedOn w:val="869"/>
    <w:next w:val="963"/>
    <w:link w:val="869"/>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7"/>
    <w:next w:val="964"/>
    <w:link w:val="869"/>
    <w:pPr>
      <w:spacing w:line="360" w:lineRule="auto"/>
    </w:pPr>
    <w:rPr>
      <w:rFonts w:ascii="Tahoma" w:hAnsi="Tahoma"/>
      <w:sz w:val="24"/>
      <w:szCs w:val="24"/>
    </w:rPr>
  </w:style>
  <w:style w:type="paragraph" w:styleId="965">
    <w:name w:val="列出段落"/>
    <w:basedOn w:val="869"/>
    <w:next w:val="965"/>
    <w:link w:val="869"/>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7">
    <w:name w:val="普通 (Web)"/>
    <w:basedOn w:val="869"/>
    <w:next w:val="967"/>
    <w:link w:val="869"/>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9"/>
    <w:next w:val="968"/>
    <w:link w:val="869"/>
    <w:pPr>
      <w:spacing w:line="360" w:lineRule="auto"/>
    </w:pPr>
    <w:rPr>
      <w:rFonts w:ascii="Times New Roman" w:hAnsi="Times New Roman" w:eastAsia="宋体" w:cs="Times New Roman"/>
      <w:sz w:val="24"/>
      <w:szCs w:val="20"/>
    </w:rPr>
  </w:style>
  <w:style w:type="paragraph" w:styleId="969">
    <w:name w:val="样式1"/>
    <w:basedOn w:val="869"/>
    <w:next w:val="969"/>
    <w:link w:val="869"/>
    <w:pPr>
      <w:numPr>
        <w:ilvl w:val="0"/>
        <w:numId w:val="3"/>
      </w:numPr>
      <w:tabs>
        <w:tab w:val="left" w:pos="709" w:leader="none"/>
      </w:tabs>
    </w:pPr>
    <w:rPr>
      <w:rFonts w:ascii="宋体" w:hAnsi="宋体" w:eastAsia="宋体" w:cs="Times New Roman"/>
      <w:szCs w:val="21"/>
    </w:rPr>
  </w:style>
  <w:style w:type="paragraph" w:styleId="970">
    <w:name w:val="font6"/>
    <w:basedOn w:val="869"/>
    <w:next w:val="970"/>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9"/>
    <w:next w:val="971"/>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4">
    <w:name w:val="xl24"/>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9"/>
    <w:next w:val="975"/>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28"/>
    <w:basedOn w:val="869"/>
    <w:next w:val="977"/>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30"/>
    <w:basedOn w:val="869"/>
    <w:next w:val="979"/>
    <w:link w:val="869"/>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7"/>
    <w:next w:val="980"/>
    <w:link w:val="869"/>
    <w:pPr>
      <w:spacing w:line="360" w:lineRule="auto"/>
    </w:pPr>
    <w:rPr>
      <w:rFonts w:ascii="Tahoma" w:hAnsi="Tahoma"/>
      <w:sz w:val="24"/>
      <w:szCs w:val="24"/>
    </w:rPr>
  </w:style>
  <w:style w:type="paragraph" w:styleId="981">
    <w:name w:val="table_1stline"/>
    <w:basedOn w:val="869"/>
    <w:next w:val="981"/>
    <w:link w:val="869"/>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9"/>
    <w:next w:val="982"/>
    <w:link w:val="869"/>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69"/>
    <w:uiPriority w:val="99"/>
    <w:semiHidden/>
    <w:rPr>
      <w:sz w:val="21"/>
      <w:szCs w:val="21"/>
      <w:lang w:val="en-US" w:eastAsia="zh-CN" w:bidi="ar-SA"/>
    </w:rPr>
  </w:style>
  <w:style w:type="paragraph" w:styleId="985">
    <w:name w:val="无间隔"/>
    <w:next w:val="985"/>
    <w:link w:val="869"/>
    <w:uiPriority w:val="99"/>
    <w:qFormat/>
    <w:pPr>
      <w:jc w:val="both"/>
      <w:widowControl w:val="off"/>
    </w:pPr>
    <w:rPr>
      <w:sz w:val="21"/>
      <w:szCs w:val="21"/>
      <w:lang w:val="en-US" w:eastAsia="zh-CN" w:bidi="ar-SA"/>
    </w:rPr>
  </w:style>
  <w:style w:type="paragraph" w:styleId="986">
    <w:name w:val="AONormal"/>
    <w:next w:val="986"/>
    <w:link w:val="869"/>
    <w:qFormat/>
    <w:pPr>
      <w:ind w:firstLine="440"/>
      <w:spacing w:line="400" w:lineRule="exact"/>
    </w:pPr>
    <w:rPr>
      <w:rFonts w:ascii="华文楷体" w:hAnsi="华文楷体" w:eastAsia="华文楷体" w:cs="华文楷体"/>
      <w:sz w:val="22"/>
      <w:szCs w:val="21"/>
      <w:lang w:val="en-US" w:eastAsia="zh-CN" w:bidi="ar-SA"/>
    </w:rPr>
  </w:style>
  <w:style w:type="character" w:styleId="987">
    <w:name w:val="qk-md-text"/>
    <w:next w:val="987"/>
    <w:link w:val="869"/>
  </w:style>
  <w:style w:type="paragraph" w:styleId="988">
    <w:name w:val="列出段落2"/>
    <w:basedOn w:val="869"/>
    <w:next w:val="988"/>
    <w:link w:val="869"/>
    <w:qFormat/>
    <w:pPr>
      <w:ind w:firstLine="420"/>
    </w:pPr>
    <w:rPr>
      <w:szCs w:val="20"/>
    </w:r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10</cp:revision>
  <dcterms:created xsi:type="dcterms:W3CDTF">2026-09-21T02:27:00Z</dcterms:created>
  <dcterms:modified xsi:type="dcterms:W3CDTF">2026-09-23T06:39:53Z</dcterms:modified>
</cp:coreProperties>
</file>