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39" w:lineRule="atLeast"/>
        <w:tabs>
          <w:tab w:val="left" w:pos="384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ab/>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0"/>
          <w:sz w:val="72"/>
          <w:highlight w:val="none"/>
        </w:rPr>
        <w:t xml:space="preserve">泰州市政府采购</w:t>
      </w:r>
      <w:r/>
    </w:p>
    <w:p>
      <w:pPr>
        <w:jc w:val="center"/>
        <w:spacing w:line="85" w:lineRule="atLeast"/>
        <w:tabs>
          <w:tab w:val="left" w:pos="7198"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0"/>
          <w:sz w:val="52"/>
          <w:highlight w:val="none"/>
        </w:rPr>
        <w:t xml:space="preserve">公开</w:t>
      </w:r>
      <w:r>
        <w:rPr>
          <w:rFonts w:ascii="宋体" w:hAnsi="宋体" w:eastAsia="宋体" w:cs="宋体"/>
          <w:color w:val="auto"/>
          <w:spacing w:val="20"/>
          <w:sz w:val="52"/>
          <w:highlight w:val="none"/>
        </w:rPr>
        <mc:AlternateContent>
          <mc:Choice Requires="wpg">
            <w:drawing>
              <wp:inline xmlns:wp="http://schemas.openxmlformats.org/drawingml/2006/wordprocessingDrawing" distT="0" distB="0" distL="0" distR="0">
                <wp:extent cx="9525" cy="952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auto"/>
          <w:spacing w:val="20"/>
          <w:sz w:val="52"/>
          <w:highlight w:val="none"/>
        </w:rPr>
        <w:t xml:space="preserve">招标文件</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（全流程电子化不见面开标）</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firstLine="568"/>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568"/>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568"/>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center"/>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项目编号：</w:t>
      </w:r>
      <w:r>
        <w:rPr>
          <w:rFonts w:hint="eastAsia" w:ascii="宋体" w:hAnsi="宋体" w:eastAsia="宋体" w:cs="宋体"/>
          <w:b/>
          <w:color w:val="auto"/>
          <w:sz w:val="28"/>
          <w:highlight w:val="none"/>
        </w:rPr>
        <w:t xml:space="preserve">JSZC-321283-JSHY-G2026-0258 </w:t>
      </w:r>
      <w:r/>
    </w:p>
    <w:p>
      <w:pPr>
        <w:jc w:val="center"/>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项目名称：</w:t>
      </w:r>
      <w:r>
        <w:rPr>
          <w:rFonts w:hint="eastAsia" w:ascii="宋体" w:hAnsi="宋体" w:eastAsia="宋体" w:cs="宋体"/>
          <w:b/>
          <w:color w:val="auto"/>
          <w:sz w:val="28"/>
          <w:highlight w:val="none"/>
        </w:rPr>
        <w:t xml:space="preserve">泰兴市人民医院超声内镜设备采购项目</w:t>
      </w:r>
      <w:r/>
    </w:p>
    <w:p>
      <w:pPr>
        <w:ind w:firstLine="419"/>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firstLine="4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t xml:space="preserve"> </w:t>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rPr>
          <w:rFonts w:eastAsia="Times New Roman"/>
          <w:color w:val="auto"/>
          <w:sz w:val="21"/>
          <w:highlight w:val="none"/>
        </w:rPr>
        <w:pBdr>
          <w:top w:val="none" w:color="000000" w:sz="0" w:space="0"/>
          <w:left w:val="none" w:color="000000" w:sz="0" w:space="0"/>
          <w:bottom w:val="none" w:color="000000" w:sz="0" w:space="0"/>
          <w:right w:val="none" w:color="000000" w:sz="0" w:space="0"/>
        </w:pBdr>
      </w:pPr>
      <w:r>
        <w:rPr>
          <w:rFonts w:eastAsia="Times New Roman"/>
          <w:color w:val="auto"/>
          <w:sz w:val="21"/>
          <w:highlight w:val="none"/>
        </w:rPr>
      </w:r>
      <w:r/>
    </w:p>
    <w:p>
      <w:pPr>
        <w:ind w:firstLine="4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firstLine="4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采购人：泰兴市人民医院</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采购代理机构：江苏弘业国际技术工程有限公司</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2026年</w:t>
      </w:r>
      <w:r>
        <w:rPr>
          <w:rFonts w:hint="eastAsia" w:ascii="宋体" w:hAnsi="宋体" w:eastAsia="宋体" w:cs="宋体"/>
          <w:b/>
          <w:color w:val="auto"/>
          <w:sz w:val="28"/>
          <w:highlight w:val="none"/>
        </w:rPr>
        <w:t xml:space="preserve">10</w:t>
      </w:r>
      <w:r>
        <w:rPr>
          <w:rFonts w:ascii="宋体" w:hAnsi="宋体" w:eastAsia="宋体" w:cs="宋体"/>
          <w:b/>
          <w:color w:val="auto"/>
          <w:sz w:val="28"/>
          <w:highlight w:val="none"/>
        </w:rPr>
        <w:t xml:space="preserve">月</w:t>
      </w:r>
      <w:r/>
    </w:p>
    <w:p>
      <w:pPr>
        <w:jc w:val="center"/>
        <w:spacing w:line="85" w:lineRule="atLeast"/>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sectPr>
          <w:headerReference w:type="even" r:id="rId9"/>
          <w:footerReference w:type="even" r:id="rId10"/>
          <w:footnotePr/>
          <w:endnotePr/>
          <w:type w:val="nextPage"/>
          <w:pgSz w:w="11906" w:h="16838" w:orient="portrait"/>
          <w:pgMar w:top="1440" w:right="1701" w:bottom="1440" w:left="1701" w:header="680" w:footer="737" w:gutter="0"/>
          <w:cols w:num="1" w:sep="0" w:space="1701" w:equalWidth="1"/>
          <w:docGrid w:linePitch="360"/>
          <w:titlePg/>
        </w:sectPr>
      </w:pPr>
      <w:r>
        <w:rPr>
          <w:rFonts w:ascii="宋体" w:hAnsi="宋体" w:eastAsia="宋体" w:cs="宋体"/>
          <w:b/>
          <w:color w:val="auto"/>
          <w:sz w:val="28"/>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第一章 招标公告</w:t>
      </w: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第二章 投标人须知</w:t>
      </w: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第三章 采购需求</w:t>
      </w: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第四章 评标办法及标准</w:t>
      </w: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第五章 合同条款</w:t>
      </w:r>
      <w:r/>
    </w:p>
    <w:p>
      <w:pPr>
        <w:spacing w:before="240" w:after="240" w:line="113" w:lineRule="atLeast"/>
        <w:tabs>
          <w:tab w:val="left" w:pos="934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第六章 投标文件格式</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5"/>
          <w:sz w:val="32"/>
          <w:highlight w:val="none"/>
        </w:rPr>
        <w:t xml:space="preserve">第一章</w:t>
      </w:r>
      <w:r>
        <w:rPr>
          <w:rFonts w:ascii="宋体" w:hAnsi="宋体" w:eastAsia="宋体" w:cs="宋体"/>
          <w:color w:val="auto"/>
          <w:sz w:val="32"/>
          <w:highlight w:val="none"/>
        </w:rPr>
        <w:t xml:space="preserve"> </w:t>
      </w:r>
      <w:r>
        <w:rPr>
          <w:rFonts w:ascii="宋体" w:hAnsi="宋体" w:eastAsia="宋体" w:cs="宋体"/>
          <w:b/>
          <w:color w:val="auto"/>
          <w:spacing w:val="15"/>
          <w:sz w:val="32"/>
          <w:highlight w:val="none"/>
        </w:rPr>
        <w:t xml:space="preserve">招标公告</w:t>
      </w:r>
      <w:r/>
    </w:p>
    <w:p>
      <w:pPr>
        <w:spacing w:line="85" w:lineRule="atLeast"/>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highlight w:val="none"/>
        </w:rPr>
        <w:t xml:space="preserve">项目概况</w:t>
      </w:r>
      <w:r/>
    </w:p>
    <w:p>
      <w:pPr>
        <w:ind w:firstLine="488"/>
        <w:spacing w:line="85" w:lineRule="atLeast"/>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u w:val="single"/>
        </w:rPr>
        <w:t xml:space="preserve">泰兴市人民医院超声内镜设备采购项目</w:t>
      </w:r>
      <w:r>
        <w:rPr>
          <w:rFonts w:ascii="宋体" w:hAnsi="宋体" w:eastAsia="宋体" w:cs="宋体"/>
          <w:color w:val="auto"/>
          <w:sz w:val="24"/>
          <w:highlight w:val="none"/>
        </w:rPr>
        <w:t xml:space="preserve">招标项目的潜在投标人可在“江苏政府采购网</w:t>
      </w:r>
      <w:r>
        <w:rPr>
          <w:rFonts w:ascii="宋体" w:hAnsi="宋体" w:eastAsia="宋体" w:cs="宋体"/>
          <w:color w:val="auto"/>
          <w:sz w:val="24"/>
          <w:highlight w:val="none"/>
          <w:u w:val="single"/>
        </w:rPr>
        <w:t xml:space="preserve">-苏采云”系统</w:t>
      </w:r>
      <w:r>
        <w:rPr>
          <w:rFonts w:ascii="宋体" w:hAnsi="宋体" w:eastAsia="宋体" w:cs="宋体"/>
          <w:color w:val="auto"/>
          <w:sz w:val="24"/>
          <w:highlight w:val="none"/>
        </w:rPr>
        <w:t xml:space="preserve">自行下载招标文件</w:t>
      </w:r>
      <w:r>
        <w:rPr>
          <w:color w:val="auto"/>
          <w:highlight w:val="none"/>
        </w:rPr>
        <w:fldChar w:fldCharType="begin"/>
      </w:r>
      <w:r>
        <w:rPr>
          <w:color w:val="auto"/>
          <w:highlight w:val="none"/>
        </w:rPr>
        <w:instrText xml:space="preserve"> HYPERLINK "http://jszfcg.jsczt.cn/%EF%BC%89%E8%8E%B7%E5%8F%96%E6%8B%9B%E6%A0%87%E6%96%87%E4%BB%B6%EF%BC%8C%E5%B9%B6%E4%BA%8E2023%E5%B9%B411%E6%9C%88" \o "http://jszfcg.jsczt.cn/）获取招标文件，并于2023年11月" </w:instrText>
      </w:r>
      <w:r>
        <w:rPr>
          <w:color w:val="auto"/>
          <w:highlight w:val="none"/>
        </w:rPr>
        <w:fldChar w:fldCharType="separate"/>
      </w:r>
      <w:r>
        <w:rPr>
          <w:rStyle w:val="823"/>
          <w:rFonts w:ascii="宋体" w:hAnsi="宋体" w:eastAsia="宋体" w:cs="宋体"/>
          <w:color w:val="auto"/>
          <w:sz w:val="24"/>
          <w:highlight w:val="none"/>
        </w:rPr>
        <w:t xml:space="preserve">，并于2026年</w:t>
      </w:r>
      <w:r>
        <w:rPr>
          <w:rStyle w:val="823"/>
          <w:rFonts w:ascii="宋体" w:hAnsi="宋体" w:eastAsia="宋体" w:cs="宋体"/>
          <w:color w:val="auto"/>
          <w:sz w:val="24"/>
          <w:highlight w:val="none"/>
        </w:rPr>
        <w:t xml:space="preserve">1</w:t>
      </w:r>
      <w:r>
        <w:rPr>
          <w:rStyle w:val="823"/>
          <w:rFonts w:ascii="宋体" w:hAnsi="宋体" w:eastAsia="宋体" w:cs="宋体"/>
          <w:color w:val="auto"/>
          <w:sz w:val="24"/>
          <w:highlight w:val="none"/>
        </w:rPr>
        <w:t xml:space="preserve">1</w:t>
      </w:r>
      <w:r>
        <w:rPr>
          <w:rStyle w:val="823"/>
          <w:rFonts w:ascii="宋体" w:hAnsi="宋体" w:eastAsia="宋体" w:cs="宋体"/>
          <w:color w:val="auto"/>
          <w:sz w:val="24"/>
          <w:highlight w:val="none"/>
        </w:rPr>
        <w:t xml:space="preserve">月</w:t>
      </w:r>
      <w:r>
        <w:rPr>
          <w:rStyle w:val="823"/>
          <w:rFonts w:ascii="宋体" w:hAnsi="宋体" w:eastAsia="宋体" w:cs="宋体"/>
          <w:color w:val="auto"/>
          <w:sz w:val="24"/>
          <w:highlight w:val="none"/>
        </w:rPr>
        <w:fldChar w:fldCharType="end"/>
      </w:r>
      <w:r>
        <w:rPr>
          <w:rStyle w:val="823"/>
          <w:rFonts w:ascii="宋体" w:hAnsi="宋体" w:eastAsia="宋体" w:cs="宋体"/>
          <w:color w:val="auto"/>
          <w:sz w:val="24"/>
          <w:highlight w:val="none"/>
        </w:rPr>
        <w:t xml:space="preserve">1</w:t>
      </w:r>
      <w:r>
        <w:rPr>
          <w:rStyle w:val="823"/>
          <w:rFonts w:ascii="宋体" w:hAnsi="宋体" w:eastAsia="宋体" w:cs="宋体"/>
          <w:color w:val="auto"/>
          <w:sz w:val="24"/>
          <w:highlight w:val="none"/>
        </w:rPr>
        <w:t xml:space="preserve">8</w:t>
      </w:r>
      <w:r>
        <w:rPr>
          <w:rFonts w:ascii="宋体" w:hAnsi="宋体" w:eastAsia="宋体" w:cs="宋体"/>
          <w:color w:val="auto"/>
          <w:sz w:val="24"/>
          <w:highlight w:val="none"/>
          <w:u w:val="single"/>
        </w:rPr>
        <w:t xml:space="preserve">日</w:t>
      </w:r>
      <w:r>
        <w:rPr>
          <w:rFonts w:ascii="宋体" w:hAnsi="宋体" w:eastAsia="宋体" w:cs="宋体"/>
          <w:color w:val="auto"/>
          <w:sz w:val="24"/>
          <w:highlight w:val="none"/>
          <w:u w:val="single"/>
        </w:rPr>
        <w:t xml:space="preserve">1</w:t>
      </w:r>
      <w:r>
        <w:rPr>
          <w:rFonts w:ascii="宋体" w:hAnsi="宋体" w:eastAsia="宋体" w:cs="宋体"/>
          <w:color w:val="auto"/>
          <w:sz w:val="24"/>
          <w:highlight w:val="none"/>
          <w:u w:val="single"/>
        </w:rPr>
        <w:t xml:space="preserve">4</w:t>
      </w:r>
      <w:r>
        <w:rPr>
          <w:rFonts w:ascii="宋体" w:hAnsi="宋体" w:eastAsia="宋体" w:cs="宋体"/>
          <w:color w:val="auto"/>
          <w:sz w:val="24"/>
          <w:highlight w:val="none"/>
          <w:u w:val="single"/>
        </w:rPr>
        <w:t xml:space="preserve">时</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u w:val="single"/>
        </w:rPr>
        <w:t xml:space="preserve">分</w:t>
      </w:r>
      <w:r>
        <w:rPr>
          <w:rFonts w:ascii="宋体" w:hAnsi="宋体" w:eastAsia="宋体" w:cs="宋体"/>
          <w:color w:val="auto"/>
          <w:sz w:val="24"/>
          <w:highlight w:val="none"/>
        </w:rPr>
        <w:t xml:space="preserve">（北京时间）前上传投标文件。</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一、项目基本情况</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rPr>
        <w:t xml:space="preserve">JSZC-321283-JSHY-G2026-0258 </w:t>
      </w:r>
      <w:r>
        <w:rPr>
          <w:rFonts w:ascii="宋体" w:hAnsi="宋体" w:eastAsia="宋体" w:cs="宋体"/>
          <w:color w:val="auto"/>
          <w:sz w:val="24"/>
          <w:highlight w:val="none"/>
        </w:rPr>
        <w:t xml:space="preserve">  </w:t>
      </w:r>
      <w:r/>
    </w:p>
    <w:p>
      <w:pPr>
        <w:ind w:firstLine="480"/>
        <w:spacing w:line="499"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rPr>
        <w:t xml:space="preserve">泰兴市人民医院超声内镜设备采购项目</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rPr>
        <w:t xml:space="preserve">340万元</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340</w:t>
      </w:r>
      <w:r>
        <w:rPr>
          <w:rFonts w:ascii="宋体" w:hAnsi="宋体" w:eastAsia="宋体" w:cs="宋体"/>
          <w:color w:val="auto"/>
          <w:sz w:val="24"/>
          <w:highlight w:val="none"/>
        </w:rPr>
        <w:t xml:space="preserve">元</w:t>
      </w:r>
      <w:r/>
    </w:p>
    <w:p>
      <w:pPr>
        <w:ind w:firstLine="480"/>
        <w:spacing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采购需求：</w:t>
      </w:r>
      <w:r/>
    </w:p>
    <w:tbl>
      <w:tblPr>
        <w:tblStyle w:val="787"/>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blHeader/>
        </w:trPr>
        <w:tc>
          <w:tcPr>
            <w:tcW w:w="798"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包号</w:t>
            </w:r>
            <w:r/>
          </w:p>
        </w:tc>
        <w:tc>
          <w:tcPr>
            <w:tcW w:w="2280"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W w:w="798"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403"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预算金额（万元）</w:t>
            </w:r>
            <w:r/>
          </w:p>
        </w:tc>
        <w:tc>
          <w:tcPr>
            <w:tcW w:w="1575"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highlight w:val="none"/>
              </w:rPr>
              <w:t xml:space="preserve">最高限价（万元）</w:t>
            </w:r>
            <w:r/>
          </w:p>
        </w:tc>
        <w:tc>
          <w:tcPr>
            <w:tcW w:w="1575" w:type="dxa"/>
            <w:vAlign w:val="center"/>
            <w:textDirection w:val="lrTb"/>
            <w:noWrap w:val="false"/>
          </w:tcPr>
          <w:p>
            <w:pPr>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是否接受进口产品投标</w:t>
            </w:r>
            <w:r/>
          </w:p>
        </w:tc>
      </w:tr>
      <w:tr>
        <w:trPr>
          <w:jc w:val="center"/>
        </w:trPr>
        <w:tc>
          <w:tcPr>
            <w:tcW w:w="798"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8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highlight w:val="none"/>
              </w:rPr>
              <w:t xml:space="preserve">超声内镜设备</w:t>
            </w:r>
            <w:r/>
          </w:p>
        </w:tc>
        <w:tc>
          <w:tcPr>
            <w:tcW w:w="79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1套</w:t>
            </w:r>
            <w:r/>
          </w:p>
        </w:tc>
        <w:tc>
          <w:tcPr>
            <w:tcW w:w="1403"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340</w:t>
            </w:r>
            <w:r/>
          </w:p>
        </w:tc>
        <w:tc>
          <w:tcPr>
            <w:tcW w:w="157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340</w:t>
            </w:r>
            <w:r/>
          </w:p>
        </w:tc>
        <w:tc>
          <w:tcPr>
            <w:tcW w:w="157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是</w:t>
            </w:r>
            <w:r/>
          </w:p>
        </w:tc>
      </w:tr>
    </w:tbl>
    <w:p>
      <w:pPr>
        <w:ind w:firstLine="480"/>
        <w:spacing w:before="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详见招标文件</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合同履行期限：合同签订后30天内</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本项目接受进口产品投标。</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本项目不接受联合体投标。</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二、申请人的资格要求：</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1.满足《中华人民共和国政府采购法》第二十二条规定；</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1）具有独立承担民事责任的能力（提供法人或者其他组织的营业执照等证明文件；供应商为自然人的，提供其身份证）；</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2）具有良好的商业信誉和健全的财务会计制度（提供2025年度财务报告，至少包含资产负债表、利润表，或投标截止时间前六个月内银行出具的资信证明，成立不满一年的无须提供）；</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3）具有履行合同所必需的设备和专业技术能力（供应商根据履行采购项目合同需要，提供履行合同所必需的设备和专业技术能力的声明函或证明材料）；</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5）参加政府采购活动前三年内，在经营活动中没有重大违法记录（提供承诺书）；</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6）法律、行政法规规定的其他条件。</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2.落实政府采购政策满足的资格要求：</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3.本项目的特定资格要求：</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（一）拒绝被“信用中国”（www.creditchina.gov.cn）、“中国政府采购网”(www.ccgp.gov.cn）列入失信被执行人、重大税收</w:t>
      </w:r>
      <w:bookmarkStart w:id="24" w:name="_GoBack"/>
      <w:r/>
      <w:bookmarkEnd w:id="24"/>
      <w:r>
        <w:rPr>
          <w:rFonts w:ascii="宋体" w:hAnsi="宋体" w:eastAsia="宋体" w:cs="宋体"/>
          <w:color w:val="auto"/>
          <w:sz w:val="24"/>
          <w:highlight w:val="none"/>
        </w:rPr>
        <w:t xml:space="preserve">违法案件当事人、政府采购严重失信行为的供应商参加投标。</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（二）其它：</w:t>
      </w: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如投标产品为医疗器械：</w:t>
      </w: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2.1.投标人须根据投标产品类别，提供有效的医疗器械产品注册证或产品备案凭证，投标时提供复印件加盖公章。</w:t>
      </w: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2.2若投标人为代理商，须根据投标产品类别，提供有效的《医疗器械经营许可证》或医疗器械经营备案凭证，投标时提供复印件加盖公章。</w:t>
      </w: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2.3.医疗器械生产企业投标本企业产品的，须提供《医疗器械生产许可证》，投标时提供复印件加盖公章。</w:t>
      </w:r>
      <w:r/>
    </w:p>
    <w:p>
      <w:pPr>
        <w:ind w:firstLine="480"/>
        <w:spacing w:before="240" w:after="24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p>
    <w:p>
      <w:pPr>
        <w:ind w:firstLine="480"/>
        <w:spacing w:before="240" w:after="24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三、获取招标文件：</w:t>
      </w:r>
      <w:r/>
    </w:p>
    <w:p>
      <w:pPr>
        <w:ind w:firstLine="480"/>
        <w:spacing w:line="499"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时间：自招标文件公告发布之日起</w:t>
      </w:r>
      <w:r>
        <w:rPr>
          <w:rFonts w:hint="eastAsia" w:ascii="宋体" w:hAnsi="宋体" w:eastAsia="宋体" w:cs="宋体"/>
          <w:color w:val="auto"/>
          <w:sz w:val="24"/>
          <w:highlight w:val="none"/>
        </w:rPr>
        <w:t xml:space="preserve">五个工作日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地点：投标人完成注册并办理CA证书后登录“江苏政府采购‘苏采云’系统”下载本项目招标文件。</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方式：登录江苏政府采购“苏采云”系统免费下载。</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售价：免费。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注意事项：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本项目采用网上注册登记方式。</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1.潜在投标人访问电子招标投标交易平台的网络地址和方法：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（1）登录 https://jszfcg.jsczt.cn/jszc/login</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点击“苏采云”进入系统。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CA数字证书”的获取：投标人需办理CA锁（原国信CA须更换新CA）。投标客户端工具及投标人操作手册可访问江苏省政府采购网，“资料下载”进行下载《江苏省政府采购管理交易系统（苏采云）供应商操作手册及政府采购客户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2.采购代理机构将数据电文形式的招标文件加载至电子招标投标交易平台，供潜在投标人下载或者查阅。</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3.如潜在投标人未按上述要求操作，将自行承担所产生的风险。</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四、提交投标文件截止时间、开标时间和地点</w:t>
      </w:r>
      <w:r/>
    </w:p>
    <w:p>
      <w:pPr>
        <w:ind w:firstLine="488"/>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rPr>
        <w:t xml:space="preserve">2026年</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月</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8</w:t>
      </w:r>
      <w:r>
        <w:rPr>
          <w:rFonts w:ascii="宋体" w:hAnsi="宋体" w:eastAsia="宋体" w:cs="宋体"/>
          <w:color w:val="auto"/>
          <w:sz w:val="24"/>
          <w:highlight w:val="none"/>
        </w:rPr>
        <w:t xml:space="preserve">日</w:t>
      </w:r>
      <w:r>
        <w:rPr>
          <w:rFonts w:ascii="宋体" w:hAnsi="宋体" w:eastAsia="宋体" w:cs="宋体"/>
          <w:color w:val="auto"/>
          <w:sz w:val="24"/>
          <w:highlight w:val="none"/>
        </w:rPr>
        <w:t xml:space="preserve">1</w:t>
      </w:r>
      <w:r>
        <w:rPr>
          <w:rFonts w:ascii="宋体" w:hAnsi="宋体" w:eastAsia="宋体" w:cs="宋体"/>
          <w:color w:val="auto"/>
          <w:sz w:val="24"/>
          <w:highlight w:val="none"/>
        </w:rPr>
        <w:t xml:space="preserve">4</w:t>
      </w:r>
      <w:r>
        <w:rPr>
          <w:rFonts w:ascii="宋体" w:hAnsi="宋体" w:eastAsia="宋体" w:cs="宋体"/>
          <w:color w:val="auto"/>
          <w:sz w:val="24"/>
          <w:highlight w:val="none"/>
        </w:rPr>
        <w:t xml:space="preserve">时</w:t>
      </w:r>
      <w:r>
        <w:rPr>
          <w:rFonts w:ascii="宋体" w:hAnsi="宋体" w:eastAsia="宋体" w:cs="宋体"/>
          <w:color w:val="auto"/>
          <w:sz w:val="24"/>
          <w:highlight w:val="none"/>
        </w:rPr>
        <w:t xml:space="preserve">0</w:t>
      </w:r>
      <w:r>
        <w:rPr>
          <w:rFonts w:ascii="宋体" w:hAnsi="宋体" w:eastAsia="宋体" w:cs="宋体"/>
          <w:color w:val="auto"/>
          <w:sz w:val="24"/>
          <w:highlight w:val="none"/>
        </w:rPr>
        <w:t xml:space="preserve">0分</w:t>
      </w:r>
      <w:r>
        <w:rPr>
          <w:rFonts w:ascii="宋体" w:hAnsi="宋体" w:eastAsia="宋体" w:cs="宋体"/>
          <w:color w:val="auto"/>
          <w:sz w:val="24"/>
          <w:highlight w:val="none"/>
        </w:rPr>
        <w:t xml:space="preserve">（北京时间）</w:t>
      </w:r>
      <w:r/>
    </w:p>
    <w:p>
      <w:pPr>
        <w:ind w:firstLine="54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五、公告期限</w:t>
      </w:r>
      <w:r/>
    </w:p>
    <w:p>
      <w:pPr>
        <w:ind w:firstLine="488"/>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自本公告发布之日起5个工作日。</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六、其他补充事宜</w:t>
      </w: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1、本项目不收取投标保证金；</w:t>
      </w: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2、本项目支持1）.小微企业价格扣除《江苏省财政厅关于进一</w:t>
      </w:r>
      <w:r>
        <w:rPr>
          <w:rFonts w:ascii="宋体" w:hAnsi="宋体" w:eastAsia="宋体" w:cs="宋体"/>
          <w:color w:val="auto"/>
          <w:sz w:val="24"/>
          <w:highlight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3、本项目不属于专门面向中小企业采购的项目</w:t>
      </w:r>
      <w:r/>
    </w:p>
    <w:p>
      <w:pPr>
        <w:ind w:firstLine="480"/>
        <w:spacing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4、项目演示、样品、答辩等：</w:t>
      </w:r>
      <w:r>
        <w:rPr>
          <w:rFonts w:hint="eastAsia" w:ascii="宋体" w:hAnsi="宋体" w:eastAsia="宋体" w:cs="宋体"/>
          <w:color w:val="auto"/>
          <w:sz w:val="24"/>
          <w:highlight w:val="none"/>
        </w:rPr>
        <w:t xml:space="preserve">无。</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七、对本次招标提出询问，请按以下方式联系。</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1.采购人信息</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 称：泰兴市人民医院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地址：江苏省泰兴市长征路1号（泰兴市润泰南路98号）</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联系方式：0523-87919687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2.采购代理机构信息</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 称：江苏弘业国际技术工程有限公司</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址：南京市秦淮区中华路50号弘业大厦10楼</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联系方式：025-52278761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3.项目联系方式</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项目联系人：王苏琪</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话：18352665859 </w:t>
      </w:r>
      <w:r/>
    </w:p>
    <w:p>
      <w:pPr>
        <w:ind w:right="840" w:firstLine="53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投标人须知前附表</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630"/>
        <w:gridCol w:w="6813"/>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泰兴市人民医院超声内镜设备采购项目</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详见第三章采购需求</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供货期及供货地点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交货期：合同签订后30天内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本项目实施过程中涉及的产品包装及运输事宜，要严格执行《商品包装政府采购需求标准（试行）》《快递包装政府采购需求标准（试行）》（财办库〔2020〕123 号）的要求。</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rPr>
              <w:t xml:space="preserve">340万元</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投标单位报价不得高于最高限价且投标单价不得高于清单单价，否则视为无效投标文件。</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详见招标公告</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highlight w:val="none"/>
              </w:rPr>
              <w:t xml:space="preserve">☑</w:t>
            </w:r>
            <w:r>
              <w:rPr>
                <w:rFonts w:ascii="宋体" w:hAnsi="宋体" w:eastAsia="宋体" w:cs="宋体"/>
                <w:color w:val="auto"/>
                <w:sz w:val="24"/>
                <w:highlight w:val="none"/>
              </w:rPr>
              <w:t xml:space="preserve">不接受，招标文件中有关联合体规定均不适用。</w:t>
            </w:r>
            <w:r/>
          </w:p>
          <w:p>
            <w:pPr>
              <w:numPr>
                <w:ilvl w:val="0"/>
                <w:numId w:val="1"/>
              </w:num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接受</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highlight w:val="none"/>
              </w:rPr>
              <w:t xml:space="preserve">☑</w:t>
            </w:r>
            <w:r>
              <w:rPr>
                <w:rFonts w:ascii="宋体" w:hAnsi="宋体" w:eastAsia="宋体" w:cs="宋体"/>
                <w:color w:val="auto"/>
                <w:sz w:val="24"/>
                <w:highlight w:val="none"/>
              </w:rPr>
              <w:t xml:space="preserve">不组织，自行勘察;如投标人需自行勘察,费用自理。</w:t>
            </w:r>
            <w:r/>
          </w:p>
          <w:p>
            <w:pPr>
              <w:numPr>
                <w:ilvl w:val="0"/>
                <w:numId w:val="1"/>
              </w:num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组织，勘察时间： 年月日时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集合地点：</w:t>
            </w:r>
            <w:r/>
          </w:p>
          <w:p>
            <w:pPr>
              <w:ind w:firstLine="9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联系人：联系电话：</w:t>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highlight w:val="none"/>
              </w:rPr>
              <w:t xml:space="preserve">☑</w:t>
            </w:r>
            <w:r>
              <w:rPr>
                <w:rFonts w:ascii="宋体" w:hAnsi="宋体" w:eastAsia="宋体" w:cs="宋体"/>
                <w:color w:val="auto"/>
                <w:sz w:val="24"/>
                <w:highlight w:val="none"/>
              </w:rPr>
              <w:t xml:space="preserve">不召开</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口召开，召开时间：年月日时</w:t>
            </w:r>
            <w:r/>
          </w:p>
          <w:p>
            <w:pPr>
              <w:ind w:firstLine="9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超声内镜设备</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本项目不收取投标保证金。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90 </w:t>
            </w:r>
            <w:r>
              <w:rPr>
                <w:rFonts w:ascii="宋体" w:hAnsi="宋体" w:eastAsia="宋体" w:cs="宋体"/>
                <w:color w:val="auto"/>
                <w:sz w:val="24"/>
                <w:highlight w:val="none"/>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详见招标公告</w:t>
            </w:r>
            <w:r/>
          </w:p>
        </w:tc>
      </w:tr>
      <w:tr>
        <w:trPr>
          <w:trHeight w:val="535"/>
        </w:trPr>
        <w:tc>
          <w:tcPr>
            <w:tcW w:w="0" w:type="auto"/>
            <w:vMerge w:val="continue"/>
            <w:textDirection w:val="lrTb"/>
            <w:noWrap w:val="false"/>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详见招标公告</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sz w:val="24"/>
                <w:highlight w:val="none"/>
              </w:rPr>
              <w:t xml:space="preserve">☑</w:t>
            </w:r>
            <w:r>
              <w:rPr>
                <w:rFonts w:ascii="宋体" w:hAnsi="宋体" w:eastAsia="宋体" w:cs="宋体"/>
                <w:color w:val="auto"/>
                <w:sz w:val="24"/>
                <w:highlight w:val="none"/>
              </w:rPr>
              <w:t xml:space="preserve">综合评分法</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采购人根据评标委员会推荐的中标候选供应商顺序确定中标人。</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w:t>
            </w:r>
            <w:r>
              <w:rPr>
                <w:rFonts w:ascii="宋体" w:hAnsi="宋体" w:eastAsia="宋体" w:cs="宋体"/>
                <w:color w:val="auto"/>
                <w:sz w:val="24"/>
                <w:highlight w:val="none"/>
              </w:rPr>
              <w:t xml:space="preserve">不提交，招标文件中有关履约保证金的规定均不适用</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w:t>
            </w:r>
            <w:r>
              <w:rPr>
                <w:rFonts w:ascii="宋体" w:hAnsi="宋体" w:eastAsia="宋体" w:cs="宋体"/>
                <w:color w:val="auto"/>
                <w:sz w:val="24"/>
                <w:highlight w:val="none"/>
              </w:rPr>
              <w:t xml:space="preserve">提交</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 </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形式：保证保险、保函、电汇、转账、汇票、支票、本票等非现金形式</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提交时间：收到中标通知书后签订合同前。</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退还时间：服务期满且经验收合格后无息退还。</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中标通知书发出之日起</w:t>
            </w:r>
            <w:r>
              <w:rPr>
                <w:rFonts w:ascii="宋体" w:hAnsi="宋体" w:eastAsia="宋体" w:cs="宋体"/>
                <w:color w:val="auto"/>
                <w:sz w:val="24"/>
                <w:highlight w:val="none"/>
                <w:u w:val="single"/>
              </w:rPr>
              <w:t xml:space="preserve"> 30 </w:t>
            </w:r>
            <w:r>
              <w:rPr>
                <w:rFonts w:ascii="宋体" w:hAnsi="宋体" w:eastAsia="宋体" w:cs="宋体"/>
                <w:color w:val="auto"/>
                <w:sz w:val="24"/>
                <w:highlight w:val="none"/>
              </w:rPr>
              <w:t xml:space="preserve">日内</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right="-117"/>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设备安装、调试、验收合格后凭验收合格报告付合同价的90%，余款2026年年底付款。</w:t>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textDirection w:val="lrTb"/>
            <w:noWrap w:val="false"/>
          </w:tcPr>
          <w:p>
            <w:pPr>
              <w:ind w:firstLine="240"/>
              <w:spacing w:before="200" w:after="20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项目采购预算仅列支标的物购置经费，无单独列支政府采购代理服务费专项经费；经采购人研究决定，本项目代理服务费由成交供应商承担，该费用全额计入供应商投标报价，不额外增收。                             </w:t>
            </w:r>
            <w:r/>
          </w:p>
          <w:p>
            <w:pPr>
              <w:ind w:firstLine="240"/>
              <w:spacing w:before="200" w:after="20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采购代理服务费按照《江苏省招标代理服务收费的指导意见》（苏招协[2022]002号）收取，成交供应商应在领取中标通知书前缴纳。</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账户信息：</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户    名：江苏弘业国际技术工程有限公司</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开户银行：中国银行南京市中华路支行   </w:t>
            </w:r>
            <w:r/>
          </w:p>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ab/>
            </w:r>
            <w:r>
              <w:rPr>
                <w:rFonts w:ascii="宋体" w:hAnsi="宋体" w:eastAsia="宋体" w:cs="宋体"/>
                <w:color w:val="auto"/>
                <w:sz w:val="24"/>
                <w:highlight w:val="none"/>
              </w:rPr>
              <w:t xml:space="preserve">账    号：527460884999</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投标文件的制作要求</w:t>
            </w:r>
            <w:r/>
          </w:p>
          <w:p>
            <w:pPr>
              <w:ind w:firstLine="240"/>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本次采购采用“苏采云”系统进行政府采购活动。</w:t>
            </w:r>
            <w:r/>
          </w:p>
          <w:p>
            <w:pPr>
              <w:ind w:firstLine="240"/>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投标人如确定参加投标，可自行下载招标文件及有关资料，按</w:t>
            </w:r>
            <w:r>
              <w:rPr>
                <w:rFonts w:ascii="宋体" w:hAnsi="宋体" w:eastAsia="宋体" w:cs="宋体"/>
                <w:color w:val="auto"/>
                <w:sz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一、说明和释义</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1.说明  </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1.1本招标文件仅适用于本采购项目的招标、投标、评审、确定中标单位、验收、合同履约、付款等（法律、法规另有规定的，从其规定）。</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1.2本次招标活动及因本次招标产生的合同受中国法律制约和保护。</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1.3本招标文件的解释权属于采购人（代理机构）。</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2.词语释义</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2.1采购人：指依法进行采购的国家机关、事业单位、团体组织。</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 供应商、投标人：指向采购人提供货物、工程或服务的法人、其他组织或者自然人，不包括其分公司。</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2.3采购代理机构：指依法接受采购人委托，从事货物、工程和服务等采购招标代理业务的社会中介机构。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2.4招标采购单位：采购人及采购代理机构的统称。</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2.6响应：投标人根据采购人或采购代理机构发售的招标文件，编制投标文件并按规定投标的行为。</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2.7知识产权：指专利权、商标权、著作权等无形财产专有权的统称。</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2.8天：日历天。</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2.9服务地点：合同中明确约定的乙方履行服务的最终地点。</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2.10不可抗力：不能预见、不能避免并且不能克服的客观情况。</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 实质性响应：满足有关本次采购标的、数量、质量、价款或者报酬、履行期限、履行地点和方式、违约责任和解决争议方法等要求。</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2.12书面形式：指书面文字、合同书、信件等可以有形地表现所载内容的形式。</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二、投标人</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3.合格投标人资格要求</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3.1详见投标人须知前附表规定。</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w:t>
      </w:r>
      <w:r>
        <w:rPr>
          <w:rFonts w:ascii="宋体" w:hAnsi="宋体" w:eastAsia="宋体" w:cs="宋体"/>
          <w:color w:val="auto"/>
          <w:sz w:val="24"/>
          <w:highlight w:val="none"/>
        </w:rPr>
        <w:t xml:space="preserve">投标人应在江苏政府采购“苏采云”系统（</w:t>
      </w:r>
      <w:r>
        <w:rPr>
          <w:rFonts w:hint="eastAsia" w:ascii="宋体" w:hAnsi="宋体" w:eastAsia="宋体" w:cs="宋体"/>
          <w:color w:val="auto"/>
          <w:sz w:val="24"/>
          <w:highlight w:val="none"/>
        </w:rPr>
        <w:t xml:space="preserve">https://jszfcg.jsczt.cn/jszc/login</w:t>
      </w:r>
      <w:r>
        <w:rPr>
          <w:rFonts w:ascii="宋体" w:hAnsi="宋体" w:eastAsia="宋体" w:cs="宋体"/>
          <w:color w:val="auto"/>
          <w:sz w:val="24"/>
          <w:highlight w:val="none"/>
        </w:rPr>
        <w:t xml:space="preserve">，下同）下载招标文件及有关资料，按招标文件要求提交全部资料并对招标文件各项内容做出实质性响应。</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5.投标人代表</w:t>
      </w:r>
      <w:r/>
    </w:p>
    <w:p>
      <w:pPr>
        <w:ind w:firstLine="36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5.1指全权代表投标人参加投标活动并签署投标文件的人，如果投标人代表不是法人代表，须具有《法人代表授权委托书》（详见统一格式）。</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6.不接受联合体投标。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7.投标人有下列情形之一的不能参加本次投标：</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（1）因重大经济问题正在接受国家有关部门审查的；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（2）正在被其他企业兼并（或收购）或因重大经济纠纷正在进行诉讼或仲裁的；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（3）因腐败和欺诈行为而被有关部门处理的。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（4）被责令停业的；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（5）被暂停或取消投标资格的；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（6）财产被接管或冻结的；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（7）在最近三年内有骗取中标或严重违约或重大工程质量问题的；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（8）在投标过程中弄虚作假、行贿或有其他违法违规行为的；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（9）违反法律法规相关规定的。</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三、招标文件说明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8.招标文件</w:t>
      </w:r>
      <w:r/>
    </w:p>
    <w:p>
      <w:pPr>
        <w:ind w:firstLine="50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9.现场勘察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9.1投标人应按招标文件中所述时间对有关现场和周围环境进行勘察，以获取编制投标文件和签署合同所需的信息。勘察现场所发生的费用由投标人自己承担。</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10.招标文件的澄清和修改</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10.3招标文件澄清、答复、修改、补充的内容为本文件的组成部分。当招标文件与招标文件的答复、澄清、修改、补充通知就同一内容的表述不一致时，以最后发出的文件为准。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四、投标文件说明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11.投标文件计量单位和使用文字</w:t>
      </w:r>
      <w:r/>
    </w:p>
    <w:p>
      <w:pPr>
        <w:ind w:firstLine="5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11.1投标文件中所使用的计量单位，除招标文件中有特殊要求外，均应使用中华人民共和国法定计量单位。</w:t>
      </w:r>
      <w:r/>
    </w:p>
    <w:p>
      <w:pPr>
        <w:ind w:firstLine="50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8"/>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11.3投标人应当同时凭CA数字证书登录“江苏政府采购“苏采云”系统”，并在投标截止时间前上传电子投标文件。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12.知识产权</w:t>
      </w:r>
      <w:r/>
    </w:p>
    <w:p>
      <w:pPr>
        <w:ind w:firstLine="5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13.投标文件的组成</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投标函（格式见附件）</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资格、资信证明文件：</w:t>
      </w:r>
      <w:r/>
    </w:p>
    <w:p>
      <w:pPr>
        <w:numPr>
          <w:ilvl w:val="1"/>
          <w:numId w:val="2"/>
        </w:numPr>
        <w:spacing w:before="240" w:after="240" w:line="85" w:lineRule="atLeast"/>
        <w:tabs>
          <w:tab w:val="left" w:pos="360"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资格证明文件（格式见附件）</w:t>
      </w:r>
      <w:r/>
    </w:p>
    <w:p>
      <w:pPr>
        <w:numPr>
          <w:ilvl w:val="1"/>
          <w:numId w:val="2"/>
        </w:numPr>
        <w:spacing w:before="240" w:after="240" w:line="85" w:lineRule="atLeast"/>
        <w:tabs>
          <w:tab w:val="left" w:pos="360"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法人或其他组织的营业执照或相关部门的登记证明文件； </w:t>
      </w: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具有良好的商业信誉和健全的财务会计制度（提供2025年度财务报告，至少包含资产负债表、利润表，或投标截止时间前六个月内银行出具的资信证明，成立不满一年的无须提供）； </w:t>
      </w: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有依法缴纳税收和社会保障资金的良好记录（</w:t>
      </w:r>
      <w:r>
        <w:rPr>
          <w:rFonts w:ascii="宋体" w:hAnsi="宋体" w:eastAsia="宋体" w:cs="宋体"/>
          <w:color w:val="auto"/>
          <w:highlight w:val="none"/>
        </w:rPr>
        <w:t xml:space="preserve">投标截止时间前六个月内</w:t>
      </w:r>
      <w:r>
        <w:rPr>
          <w:rFonts w:ascii="宋体" w:hAnsi="宋体" w:eastAsia="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numPr>
          <w:ilvl w:val="1"/>
          <w:numId w:val="2"/>
        </w:numPr>
        <w:spacing w:line="85" w:lineRule="atLeast"/>
        <w:tabs>
          <w:tab w:val="left" w:pos="360" w:leader="none"/>
          <w:tab w:val="left" w:pos="945" w:leader="none"/>
          <w:tab w:val="left" w:pos="127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采购人要求的特定资质证明</w:t>
      </w:r>
      <w:r>
        <w:rPr>
          <w:rFonts w:hint="eastAsia" w:ascii="宋体" w:hAnsi="宋体" w:eastAsia="宋体" w:cs="宋体"/>
          <w:color w:val="auto"/>
          <w:sz w:val="24"/>
          <w:highlight w:val="none"/>
        </w:rPr>
        <w:t xml:space="preserve">:</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6.1</w:t>
      </w:r>
      <w:r>
        <w:rPr>
          <w:rFonts w:ascii="宋体" w:hAnsi="宋体" w:eastAsia="宋体" w:cs="宋体"/>
          <w:color w:val="auto"/>
          <w:sz w:val="24"/>
          <w:highlight w:val="none"/>
        </w:rPr>
        <w:t xml:space="preserve">）拒绝被“信用中国”（www.creditchina.gov.cn）、“中国政府采购网”(www.ccgp.gov.cn）列入失信被执行人、重大税收违法案件当事人、政府采购严重失信行为的供应商参加投标。</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6.2</w:t>
      </w:r>
      <w:r>
        <w:rPr>
          <w:rFonts w:ascii="宋体" w:hAnsi="宋体" w:eastAsia="宋体" w:cs="宋体"/>
          <w:color w:val="auto"/>
          <w:sz w:val="24"/>
          <w:highlight w:val="none"/>
        </w:rPr>
        <w:t xml:space="preserve">）其它：</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如投标产品为医疗器械：</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6.2.1.投标人须根据投标产品类别，提供有效的医疗器械产品注册证或产品备案凭证，投标时提供复印件加盖公章。</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6.2.2若投标人为代理商，须根据投标产品类别，提供有效的《医疗器械经营许可证》或医疗器械经营备案凭证，投标时提供复印件加盖公章。</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6.2.3.医疗器械生产企业投标本企业产品的，须提供《医疗器械生产许可证》，投标时提供复印件加盖公章。</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6.2.4.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p>
    <w:p>
      <w:pPr>
        <w:ind w:firstLine="480"/>
        <w:spacing w:before="240" w:after="240" w:line="85" w:lineRule="atLeast"/>
        <w:tabs>
          <w:tab w:val="left" w:pos="360" w:leader="none"/>
          <w:tab w:val="left" w:pos="1276"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6.3</w:t>
      </w:r>
      <w:r>
        <w:rPr>
          <w:rFonts w:ascii="宋体" w:hAnsi="宋体" w:eastAsia="宋体" w:cs="宋体"/>
          <w:color w:val="auto"/>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开标一览表（格式见附件）</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投标报价明细表（格式见附件）</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商务偏离表（格式见附件）</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技术偏离表（格式见附件）</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评分标准中对应的其它所需证明材料（如有自行添加）</w:t>
      </w:r>
      <w:r/>
    </w:p>
    <w:p>
      <w:pPr>
        <w:numPr>
          <w:ilvl w:val="0"/>
          <w:numId w:val="2"/>
        </w:numPr>
        <w:spacing w:line="85" w:lineRule="atLeast"/>
        <w:tabs>
          <w:tab w:val="left" w:pos="525" w:leader="none"/>
          <w:tab w:val="left" w:pos="63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其它（投标人认为有必要提供的声明和文件，如有自拟并自行添加）</w:t>
      </w:r>
      <w:r/>
    </w:p>
    <w:p>
      <w:pPr>
        <w:ind w:firstLine="609"/>
        <w:spacing w:line="85" w:lineRule="atLeast"/>
        <w:tabs>
          <w:tab w:val="left" w:pos="2850" w:leader="none"/>
          <w:tab w:val="left" w:pos="4153"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14.投标文件编制及递交要求</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14.1所有文件、往来函件均应使用</w:t>
      </w:r>
      <w:r>
        <w:rPr>
          <w:rFonts w:ascii="宋体" w:hAnsi="宋体" w:eastAsia="宋体" w:cs="宋体"/>
          <w:b/>
          <w:color w:val="auto"/>
          <w:sz w:val="24"/>
          <w:highlight w:val="none"/>
        </w:rPr>
        <w:t xml:space="preserve">简体中文</w:t>
      </w:r>
      <w:r>
        <w:rPr>
          <w:rFonts w:ascii="宋体" w:hAnsi="宋体" w:eastAsia="宋体" w:cs="宋体"/>
          <w:color w:val="auto"/>
          <w:sz w:val="24"/>
          <w:highlight w:val="none"/>
        </w:rPr>
        <w:t xml:space="preserve">（规格、型号辅助符号例外）。</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14.3如无特别说明，投标人报价一律以人民币为投标结算货币,结算单位为“元”。</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14.4投标文件不应有涂改、增删和潦草之处，如有必须修改时，修改处必须有投标人盖章、法定代表人或法定代表人授权代表的签字。</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14.5投标费用自理。</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14.6投标人应当同时凭CA数字证书登录“江苏政府采购“苏采云”系统”，并在投标截止时间前上传电子投标文件。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15.投标报价（编制）要求的说明</w:t>
      </w:r>
      <w:r/>
    </w:p>
    <w:p>
      <w:pPr>
        <w:ind w:firstLine="505"/>
        <w:spacing w:before="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投标人要认真阅读清单，慎重报价。采购人不再支付报价以外的任何费用。</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15.2投标人应对招标文件内所要采购的全部内容进行报价，只投其中部分内容者，其标书将被拒绝。</w:t>
      </w:r>
      <w:r/>
    </w:p>
    <w:p>
      <w:pPr>
        <w:ind w:firstLine="50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15.3一项投标内容只允许一个报价，招标采购单位不接受任何有选择性的投标报价。</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15.4投标文件报价中的单价和总价全部采用人民币表示，除非合同的特殊条款另有规定。</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16.投标保证金</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本项目不收取投标保证金。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17.投标文件的有效期</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18.投标文件的拒收</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采购人拒绝接收在其规定的投标截止时间后上传的任何投标文件。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五、投标文件的递交</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19.投标文件的递交</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19.1电子投标文件的递交</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20.投标截止日期</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21.投标文件的修改和撤回</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21.1投标文件的撤回</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21.2 投标文件的修改</w:t>
      </w:r>
      <w:r/>
    </w:p>
    <w:p>
      <w:pPr>
        <w:ind w:firstLine="426"/>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21.3在投标截止时间之后，投标人不得对其电子投标文件作任何修改。</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六、开标和评标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22.开标</w:t>
      </w: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22.2开标仪式由采购代理机构组织。“江苏政府采购“苏采云”系统”将自动对项目进行开标，并宣读各投标人的《开标一览表》。</w:t>
      </w: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22.5开标时，投标文件中开标一览表内容与投标文件中明细表内容不一致的，以开标一览表为准。</w:t>
      </w:r>
      <w:r/>
    </w:p>
    <w:p>
      <w:pPr>
        <w:ind w:firstLine="480"/>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22.6投标人未参加开标的，视同认可开标结果。</w:t>
      </w:r>
      <w:r/>
    </w:p>
    <w:p>
      <w:pPr>
        <w:spacing w:line="85" w:lineRule="atLeast"/>
        <w:tabs>
          <w:tab w:val="left" w:pos="447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23.评标委员会</w:t>
      </w:r>
      <w:r>
        <w:rPr>
          <w:rFonts w:ascii="宋体" w:hAnsi="宋体" w:eastAsia="宋体" w:cs="宋体"/>
          <w:b/>
          <w:color w:val="auto"/>
          <w:sz w:val="24"/>
          <w:highlight w:val="none"/>
        </w:rPr>
        <w:tab/>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23.1评标委员会由招标采购单位依法组建，负责本项目的评标事务。</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23.2评标委员会独立履行下列职责：</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23.2.1审查投标文件是否符合招标文件的要求，并作出评价；</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23.2.2可以要求投标供应商对投标文件有关事项作出解释或澄清；</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23.2.3推荐中标候选供应商名单，或者受采购人委托按照事先确定的办法直接确定中标供应商；</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23.2.4向招标采购单位或者有关部门报告非法干预评标工作的行为。</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23.3评标委员会成员应当履行下列义务：</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23.3.1遵纪守法，客观、公正、廉洁地履行职责；</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23.3.2按照招标文件规定的评标办法和评标标准进行评标，对评审意见承担个人责任；</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23.3.3对评标过程和结果，以及投标人的商业秘密保密；</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23.3.4参与评标报告的起草；</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23.3.5配合相关部门的投诉处理工作；</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23.3.6配合招标采购单位答复投标供应商提出的质疑。</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24.评标内容的保密</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24.1公开开标后，直到宣布授予中标人合同为止，凡属于审查、澄清、评价和比较投标的所有资料，有关授予合同的信息都不应向投标人或与评标无关的其他人泄露。</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 在投标文件的审查、澄清、评价和比较以及授予合同的过程中，投标人对招标采购单位和评标委员会成员施加影响的任何行为，都将取消其投标资格。</w:t>
      </w:r>
      <w:r/>
    </w:p>
    <w:p>
      <w:pPr>
        <w:ind w:firstLine="426"/>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24.3在评标期间，招标采购单位将通过指定联络人与投标人进行联系。</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25.对投标文件初审</w:t>
      </w:r>
      <w:r/>
    </w:p>
    <w:p>
      <w:pPr>
        <w:ind w:firstLine="488"/>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25.1投标文件初审分为资格性检查和符合性检查。</w:t>
      </w:r>
      <w:r/>
    </w:p>
    <w:p>
      <w:pPr>
        <w:ind w:firstLine="488"/>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25.1.1资格性检查。依据法律法规和招标文件的规定，对投标文件中的资格证明、投标保证金等进行审查，以确定投标供应商是否具备投标资格。</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投标人有下列情况之一者，投标文件无效：</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1）投标人未在规定时间内成功解密电子投标文件的；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2）投标人未按照招标文件要求上传电子投标文件的；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3）投标文件未按照招标文件要求加盖电子签章；</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4）招标人的法定代表人授权代表，无法定代表人授权委托书的；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5）不具备招标文件中规定的资格要求或未按招标文件规定的要求提供资格、资信证明文件的；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6）被“信用中国”网站（www.creditchina.gov.cn）列入失信执行人、重大税收违法案件当事人名单、中国政府采购网(www.ccgp.gov.cn)政府采购严重违法失信行为记录名单的；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7）投标文件未按招标文件规定的内容和要求填写的；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8）投标文件中有招标文件未允许提供的选择性内容；</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9）不同投标人的投标文件由同一单位或者个人编制的；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10）不同投标人委托同一单位或者个人办理投标事宜的；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11）不同投标人的投标文件载明的项目管理成员为同一人的；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12）不同投标人的投标文件异常一致或者投标报价呈规律性差异的；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13）不同投标人的单位负责人为同一人或者存在直接控股、管理关系的；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14）项目（标段）投标总价或单价超过本项目（标段）预算或最高限价的；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15）提供虚假材料的（包括工商营业执照、财务报表、资格证明文件等）；</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16）投标文件含有采购人不能接受的附加条件的；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18）除单一来源采购项目外，为采购项目提供整体设计、规范编制或者项目管理、监理、检测等服务的；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19）投标文件内容不全或不符合招标文件中规定的其它实质性要求的；</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20）法律法规和招标文件规定的其它无效情形；</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21）改变招标文件清单给出的名称、实施范围、工作内容、计量单位、工程量、养护标准等。</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25.5招标采购单位对投标文件的判定，只依据投标内容本身，不依靠开标后的任何外来证明。</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25.6招标采购单位将拒绝被确定为非实质性响应的投标，投标人不能通过修正或撤销不符之处而使其投标成为实质性响应的投标。</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26.投标的澄清</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26.1对投标文件中含义不明确</w:t>
      </w:r>
      <w:r>
        <w:rPr>
          <w:rFonts w:ascii="宋体" w:hAnsi="宋体" w:eastAsia="宋体" w:cs="宋体"/>
          <w:color w:val="auto"/>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27.废标</w:t>
      </w: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 在招标采购中，出现下列情形之一的，应予废标：</w:t>
      </w: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1．符合专业条件的投标人或者对招标文件作出实质性响应的投标人不足三家；</w:t>
      </w: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2．出现影响采购公正的违法、违规行为；</w:t>
      </w: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3．投标人的报价均超过采购预算，采购人不能支付的；</w:t>
      </w:r>
      <w:r/>
    </w:p>
    <w:p>
      <w:pPr>
        <w:ind w:firstLine="57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4．因重大变故，采购任务取消。</w:t>
      </w:r>
      <w:r/>
    </w:p>
    <w:p>
      <w:pPr>
        <w:ind w:left="485" w:firstLine="85"/>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5．因“江苏政府采购“苏采云”系统”系统重大故障原因无法继续开评标的。</w:t>
      </w: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根据财库〔2026〕2号文件，评审委员会启动异常低价投标审查的情形和具体要求，包括：</w:t>
      </w: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（一）1.投标报价低于全部通过符合性审查供应商投标报价平均值50%的，即投标报价&lt;全部通过符合性审查供应商投标报价平均值×50%；</w:t>
      </w: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2.投标报价低于通过符合性审查的次低报价供应商投标报价50%的，即投标报价&lt;通过符合性审查的次低报价供应商投标报价×50%；</w:t>
      </w: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3.投标报价低于采购项目最高限价60%的，即投标报价&lt;采购项目最高限价×60%；</w:t>
      </w: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28.投标文件的评价和比较</w:t>
      </w:r>
      <w:r/>
    </w:p>
    <w:p>
      <w:pPr>
        <w:ind w:firstLine="6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28.1评标委员会按招标文件规定的评标方法和标准，对符合性检查合格的投标文件进行商务和技术评估，综合比较与评价。</w:t>
      </w:r>
      <w:r/>
    </w:p>
    <w:p>
      <w:pPr>
        <w:ind w:firstLine="609"/>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28.2最低的投标报价或最高的折扣比例是中标的重要条件，但不是唯一条件。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七、授予合同</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29.中标人的确认</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29.1评标委员会按招标文件规定的评标方法和标准进行详细评审后，按招标采购单位的委托向招标采购单位推荐中标候选单位或根据采购人授权直接确定中标供应商。</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29.2中标无效的确认：</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（1）提供虚假材料谋取中标的；</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（2）采取不正当手段诋毁、排挤其他投标人的；</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（3）与招标采购单位、其他投标人恶意串通的；</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（4）向招标采购单位行贿或者提供其他不正当利益的；</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（6）拒绝有关部门监督检查或者提供虚假情况的。</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29.3经评标委员</w:t>
      </w:r>
      <w:r>
        <w:rPr>
          <w:rFonts w:ascii="宋体" w:hAnsi="宋体" w:eastAsia="宋体" w:cs="宋体"/>
          <w:color w:val="auto"/>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29.6本项目只接收以纸质原件形式送达的质疑，联系方式详见招标公告。</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29.7以下情形的质疑不予受理</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（1）质疑主体和内容不符合《政府采购质疑和投诉办法》第十一条、第十二条规定的；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（2）供应商超过法定质疑期提出质疑的；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（3）供应商以传真、电子邮件等方式递交的非原件形式的；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（4）供应商组成联合体参加投标（响应）的，联合体中任何一方或多方未按要求签字、盖章、加盖公章的；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（5）供应商对自身提出质疑的。</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29.8供应商提出书面质疑必须有理、有据，不得捏造事实、提供虚假材料进行恶意质疑。否则，报请政府采购监管部门对该供应商进行相应的行政处罚和记录该供应商的失信信息。</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30.合同授予标准</w:t>
      </w:r>
      <w:r/>
    </w:p>
    <w:p>
      <w:pPr>
        <w:ind w:firstLine="50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30.1招标采购单位将把合同授予其投标文件在实质上响应招标文件要求且综合评分得分最高的投标人。</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31.中标通知书</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31.2中标通知书将成为合同的组成部分。</w:t>
      </w:r>
      <w:r/>
    </w:p>
    <w:p>
      <w:pPr>
        <w:ind w:firstLine="50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31.3招标采购单位对未中标供应商不承担解释未中标原因的义务。</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32.履约保证金</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32.1中标人应按规定提交履约保证金，履约保证金的金额为中标金额的6%。</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32.2中标人必须在合同签订前按规定将履约保证金交至采购人指定账户。中标人未按上述要求提交履约保证金的,采购人可取消其中标资格。</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32.3履约保证金（无息）将在合同期结束且经双方验收合格后，采购人凭中标人的收款收据无息退返给中标单位。</w:t>
      </w:r>
      <w:r/>
    </w:p>
    <w:p>
      <w:pPr>
        <w:ind w:firstLine="478"/>
        <w:spacing w:line="85"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32.3履约保证金用以约束供应商在合同履行中的行为，弥补合同执行中由于自身行为可能给采购人带来的各种损失。</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33.合同的签订</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33.1中标人应按中标通知书中规定的时间和地点，由法定代表人或委托代理人与采购人代表签订合同。</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33.2签订合同及合同条款应以招标文件和中标人的投标文件及其澄清文件为依据。</w:t>
      </w:r>
      <w:r/>
    </w:p>
    <w:p>
      <w:pPr>
        <w:ind w:firstLine="43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33.3中标人无正当理由拒签合同的，或在签订合同时向采购人提出附加条件或者更改合同实质性内容的，采购人可取消其中标资格，同时由中标人承担相应的法律责任。</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34.特别提醒</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34.1投标单位如有提供不实评审材料，弄虚作假者，一律作废标处理，该不良行为将予以公示。</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34.3政府采购线上合同信用融资功能告知提醒</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我区已正式启用“苏采云”系统，目前已全面开通政府采购线上合同信用融资（以下简称“政采贷”）功能。成交供应商可凭政府采购合同在中征平台发起贷款申请贷款。</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34.3.1.“政采贷”业务流程</w:t>
      </w:r>
      <w:r/>
    </w:p>
    <w:p>
      <w:pPr>
        <w:ind w:firstLine="431"/>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highlight w:val="none"/>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rPr>
          <w:rFonts w:ascii="宋体" w:hAnsi="宋体" w:eastAsia="宋体" w:cs="宋体"/>
          <w:color w:val="auto"/>
          <w:sz w:val="24"/>
          <w:highlight w:val="none"/>
        </w:rPr>
        <w:t xml:space="preserve"> </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34.3.2.操作流程</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34.3.3.常见问题</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Q1：哪些企业能申请“政采贷”？</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答：江苏省内采用国库集中支付的政府采购项目的中标供应商，可凭政府采购合同申请"政采贷"。</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Q2：供应商在哪里申请“政采贷”？</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答：中标供应商在“中征应收账款融资服务平台”（简称“中征平台”）上向意向银行发起融资申请</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Q3：中标供应商要注意什么？</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答：中标供应商要加强和采购单位的沟通协调，尽早确定融资需求。需要“政采贷”融资的，政府采购合同付款账号应当空置。</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Q4：采购单位要做什么？</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Q5：“政采贷”融资失败怎么办？</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34.3.4.网址及联系方式</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政采贷：http://www.ccgp-jiangsu.gov.cn/jiangsu/paying.html</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中征平台：https://www.crcrfsp.com/</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联系人：翟先生联系电话：0523-88816349</w:t>
      </w:r>
      <w:r/>
    </w:p>
    <w:p>
      <w:pPr>
        <w:numPr>
          <w:ilvl w:val="0"/>
          <w:numId w:val="3"/>
        </w:numPr>
        <w:spacing w:before="240" w:after="240" w:line="85" w:lineRule="atLeast"/>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货物（包含与货物相关的服务）的追加</w:t>
      </w:r>
      <w:r/>
    </w:p>
    <w:p>
      <w:pPr>
        <w:ind w:firstLine="43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Autospacing="0" w:line="85"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第三章 采购需求</w:t>
      </w:r>
      <w:r/>
    </w:p>
    <w:p>
      <w:pPr>
        <w:jc w:val="left"/>
        <w:spacing w:line="360" w:lineRule="auto"/>
        <w:tabs>
          <w:tab w:val="left" w:pos="1260" w:leader="none"/>
        </w:tabs>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一、技术要求</w:t>
      </w:r>
      <w:r/>
    </w:p>
    <w:p>
      <w:pPr>
        <w:spacing w:beforeAutospacing="0"/>
        <w:rPr>
          <w:rFonts w:hint="eastAsia" w:ascii="宋体" w:hAnsi="宋体" w:eastAsia="宋体" w:cs="宋体"/>
          <w:b/>
          <w:color w:val="auto"/>
          <w:sz w:val="16"/>
          <w:highlight w:val="none"/>
        </w:rPr>
      </w:pPr>
      <w:r>
        <w:rPr>
          <w:rFonts w:hint="eastAsia" w:ascii="宋体" w:hAnsi="宋体" w:eastAsia="宋体" w:cs="宋体"/>
          <w:b/>
          <w:color w:val="auto"/>
          <w:spacing w:val="1"/>
          <w:sz w:val="24"/>
          <w:highlight w:val="none"/>
        </w:rPr>
        <w:t xml:space="preserve">一、数字超声内镜系统 1套</w:t>
      </w:r>
      <w:r/>
    </w:p>
    <w:tbl>
      <w:tblPr>
        <w:tblStyle w:val="1030"/>
        <w:tblW w:w="925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28"/>
        <w:gridCol w:w="2081"/>
        <w:gridCol w:w="6249"/>
      </w:tblGrid>
      <w:tr>
        <w:trPr>
          <w:jc w:val="center"/>
          <w:trHeight w:val="415"/>
        </w:trPr>
        <w:tc>
          <w:tcPr>
            <w:gridSpan w:val="3"/>
            <w:shd w:val="clear" w:color="auto" w:fill="auto"/>
            <w:tcW w:w="9258" w:type="dxa"/>
            <w:textDirection w:val="lrTb"/>
            <w:noWrap w:val="false"/>
          </w:tcPr>
          <w:p>
            <w:pPr>
              <w:pStyle w:val="1047"/>
              <w:spacing w:before="11" w:line="384" w:lineRule="exact"/>
              <w:rPr>
                <w:rFonts w:hint="eastAsia" w:ascii="宋体" w:hAnsi="宋体" w:eastAsia="宋体" w:cs="宋体"/>
                <w:b/>
                <w:color w:val="auto"/>
                <w:sz w:val="24"/>
                <w:highlight w:val="none"/>
              </w:rPr>
            </w:pPr>
            <w:r>
              <w:rPr>
                <w:rFonts w:hint="eastAsia" w:ascii="宋体" w:hAnsi="宋体" w:eastAsia="宋体" w:cs="宋体"/>
                <w:b/>
                <w:color w:val="auto"/>
                <w:spacing w:val="-1"/>
                <w:sz w:val="24"/>
                <w:highlight w:val="none"/>
              </w:rPr>
              <w:t xml:space="preserve">新型全数字超声内镜处理系统：</w:t>
            </w:r>
            <w:r/>
          </w:p>
        </w:tc>
      </w:tr>
      <w:tr>
        <w:trPr>
          <w:jc w:val="center"/>
          <w:trHeight w:val="302"/>
        </w:trPr>
        <w:tc>
          <w:tcPr>
            <w:shd w:val="clear" w:color="auto" w:fill="auto"/>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1</w:t>
            </w:r>
            <w:r/>
          </w:p>
        </w:tc>
        <w:tc>
          <w:tcPr>
            <w:shd w:val="clear" w:color="auto" w:fill="auto"/>
            <w:tcW w:w="2081"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4"/>
                <w:sz w:val="24"/>
                <w:highlight w:val="none"/>
                <w:lang w:eastAsia="en-US"/>
              </w:rPr>
              <w:t xml:space="preserve">兼容性</w:t>
            </w:r>
            <w:r/>
          </w:p>
        </w:tc>
        <w:tc>
          <w:tcPr>
            <w:shd w:val="clear" w:color="auto" w:fill="auto"/>
            <w:tcW w:w="6249" w:type="dxa"/>
            <w:textDirection w:val="lrTb"/>
            <w:noWrap w:val="false"/>
          </w:tcPr>
          <w:p>
            <w:pPr>
              <w:pStyle w:val="1047"/>
              <w:ind w:left="182"/>
              <w:spacing w:line="282"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pacing w:val="-1"/>
                <w:sz w:val="24"/>
                <w:highlight w:val="none"/>
              </w:rPr>
              <w:t xml:space="preserve">环扫镜</w:t>
            </w:r>
            <w:r>
              <w:rPr>
                <w:rFonts w:hint="eastAsia" w:ascii="宋体" w:hAnsi="宋体" w:eastAsia="宋体" w:cs="宋体"/>
                <w:color w:val="auto"/>
                <w:spacing w:val="-1"/>
                <w:sz w:val="24"/>
                <w:highlight w:val="none"/>
                <w:lang w:val="en-US" w:eastAsia="zh-CN"/>
              </w:rPr>
              <w:t xml:space="preserve">2、</w:t>
            </w:r>
            <w:r>
              <w:rPr>
                <w:rFonts w:hint="eastAsia" w:ascii="宋体" w:hAnsi="宋体" w:eastAsia="宋体" w:cs="宋体"/>
                <w:color w:val="auto"/>
                <w:spacing w:val="-1"/>
                <w:sz w:val="24"/>
                <w:highlight w:val="none"/>
              </w:rPr>
              <w:t xml:space="preserve">穿刺镜</w:t>
            </w:r>
            <w:r>
              <w:rPr>
                <w:rFonts w:hint="eastAsia" w:ascii="宋体" w:hAnsi="宋体" w:eastAsia="宋体" w:cs="宋体"/>
                <w:color w:val="auto"/>
                <w:spacing w:val="-1"/>
                <w:sz w:val="24"/>
                <w:highlight w:val="none"/>
                <w:lang w:val="en-US" w:eastAsia="zh-CN"/>
              </w:rPr>
              <w:t xml:space="preserve">3、</w:t>
            </w:r>
            <w:r>
              <w:rPr>
                <w:rFonts w:hint="eastAsia" w:ascii="宋体" w:hAnsi="宋体" w:eastAsia="宋体" w:cs="宋体"/>
                <w:color w:val="auto"/>
                <w:spacing w:val="-1"/>
                <w:sz w:val="24"/>
                <w:highlight w:val="none"/>
              </w:rPr>
              <w:t xml:space="preserve">超声⽀⽓管镜</w:t>
            </w:r>
            <w:r/>
          </w:p>
        </w:tc>
      </w:tr>
      <w:tr>
        <w:trPr>
          <w:jc w:val="center"/>
          <w:trHeight w:val="301"/>
        </w:trPr>
        <w:tc>
          <w:tcPr>
            <w:tcW w:w="928" w:type="dxa"/>
            <w:vMerge w:val="restart"/>
            <w:textDirection w:val="lrTb"/>
            <w:noWrap w:val="false"/>
          </w:tcPr>
          <w:p>
            <w:pPr>
              <w:pStyle w:val="1047"/>
              <w:ind w:left="31"/>
              <w:jc w:val="center"/>
              <w:spacing w:before="16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2</w:t>
            </w:r>
            <w:r/>
          </w:p>
        </w:tc>
        <w:tc>
          <w:tcPr>
            <w:tcW w:w="2081" w:type="dxa"/>
            <w:vMerge w:val="restart"/>
            <w:textDirection w:val="lrTb"/>
            <w:noWrap w:val="false"/>
          </w:tcPr>
          <w:p>
            <w:pPr>
              <w:pStyle w:val="1047"/>
              <w:spacing w:before="114"/>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视频输出端⼦</w:t>
            </w:r>
            <w:r/>
          </w:p>
        </w:tc>
        <w:tc>
          <w:tcPr>
            <w:tcW w:w="6249" w:type="dxa"/>
            <w:textDirection w:val="lrTb"/>
            <w:noWrap w:val="false"/>
          </w:tcPr>
          <w:p>
            <w:pPr>
              <w:pStyle w:val="1047"/>
              <w:ind w:left="0" w:firstLine="0"/>
              <w:spacing w:line="281"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数字输出端⼦：DVI（数字）</w:t>
            </w:r>
            <w:r>
              <w:rPr>
                <w:rFonts w:hint="eastAsia" w:ascii="宋体" w:hAnsi="宋体" w:eastAsia="宋体" w:cs="宋体"/>
                <w:color w:val="auto"/>
                <w:spacing w:val="9"/>
                <w:sz w:val="24"/>
                <w:highlight w:val="none"/>
              </w:rPr>
              <w:t xml:space="preserve">、 </w:t>
            </w:r>
            <w:r>
              <w:rPr>
                <w:rFonts w:hint="eastAsia" w:ascii="宋体" w:hAnsi="宋体" w:eastAsia="宋体" w:cs="宋体"/>
                <w:color w:val="auto"/>
                <w:spacing w:val="-2"/>
                <w:sz w:val="24"/>
                <w:highlight w:val="none"/>
              </w:rPr>
              <w:t xml:space="preserve">HD-</w:t>
            </w:r>
            <w:r>
              <w:rPr>
                <w:rFonts w:hint="eastAsia" w:ascii="宋体" w:hAnsi="宋体" w:eastAsia="宋体" w:cs="宋体"/>
                <w:color w:val="auto"/>
                <w:spacing w:val="-5"/>
                <w:sz w:val="24"/>
                <w:highlight w:val="none"/>
              </w:rPr>
              <w:t xml:space="preserve">SDI</w:t>
            </w:r>
            <w:r/>
          </w:p>
        </w:tc>
      </w:tr>
      <w:tr>
        <w:trPr>
          <w:jc w:val="center"/>
          <w:trHeight w:val="281"/>
        </w:trPr>
        <w:tc>
          <w:tcPr>
            <w:tcBorders>
              <w:top w:val="none" w:color="000000" w:sz="4" w:space="0"/>
            </w:tcBorders>
            <w:tcW w:w="928" w:type="dxa"/>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Borders>
              <w:top w:val="none" w:color="000000" w:sz="4" w:space="0"/>
            </w:tcBorders>
            <w:tcW w:w="2081" w:type="dxa"/>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6249" w:type="dxa"/>
            <w:textDirection w:val="lrTb"/>
            <w:noWrap w:val="false"/>
          </w:tcPr>
          <w:p>
            <w:pPr>
              <w:pStyle w:val="1047"/>
              <w:ind w:left="0" w:firstLine="0"/>
              <w:spacing w:line="261" w:lineRule="exact"/>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模拟信号端⼦：DVI（数字/模拟）、video，S</w:t>
            </w:r>
            <w:r>
              <w:rPr>
                <w:rFonts w:hint="eastAsia" w:ascii="宋体" w:hAnsi="宋体" w:eastAsia="宋体" w:cs="宋体"/>
                <w:color w:val="auto"/>
                <w:spacing w:val="44"/>
                <w:sz w:val="24"/>
                <w:highlight w:val="none"/>
                <w:lang w:eastAsia="en-US"/>
              </w:rPr>
              <w:t xml:space="preserve"> </w:t>
            </w:r>
            <w:r>
              <w:rPr>
                <w:rFonts w:hint="eastAsia" w:ascii="宋体" w:hAnsi="宋体" w:eastAsia="宋体" w:cs="宋体"/>
                <w:color w:val="auto"/>
                <w:spacing w:val="-2"/>
                <w:sz w:val="24"/>
                <w:highlight w:val="none"/>
                <w:lang w:eastAsia="en-US"/>
              </w:rPr>
              <w:t xml:space="preserve">video，</w:t>
            </w:r>
            <w:r>
              <w:rPr>
                <w:rFonts w:hint="eastAsia" w:ascii="宋体" w:hAnsi="宋体" w:eastAsia="宋体" w:cs="宋体"/>
                <w:color w:val="auto"/>
                <w:sz w:val="24"/>
                <w:highlight w:val="none"/>
                <w:lang w:eastAsia="en-US"/>
              </w:rPr>
              <w:t xml:space="preserve">RGB</w:t>
            </w:r>
            <w:r>
              <w:rPr>
                <w:rFonts w:hint="eastAsia" w:ascii="宋体" w:hAnsi="宋体" w:eastAsia="宋体" w:cs="宋体"/>
                <w:color w:val="auto"/>
                <w:spacing w:val="61"/>
                <w:sz w:val="24"/>
                <w:highlight w:val="none"/>
                <w:lang w:eastAsia="en-US"/>
              </w:rPr>
              <w:t xml:space="preserve"> </w:t>
            </w:r>
            <w:r>
              <w:rPr>
                <w:rFonts w:hint="eastAsia" w:ascii="宋体" w:hAnsi="宋体" w:eastAsia="宋体" w:cs="宋体"/>
                <w:color w:val="auto"/>
                <w:spacing w:val="-7"/>
                <w:sz w:val="24"/>
                <w:highlight w:val="none"/>
                <w:lang w:eastAsia="en-US"/>
              </w:rPr>
              <w:t xml:space="preserve">TV</w:t>
            </w:r>
            <w:r/>
          </w:p>
        </w:tc>
      </w:tr>
      <w:tr>
        <w:trPr>
          <w:jc w:val="center"/>
          <w:trHeight w:val="302"/>
        </w:trPr>
        <w:tc>
          <w:tcPr>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3</w:t>
            </w:r>
            <w:r/>
          </w:p>
        </w:tc>
        <w:tc>
          <w:tcPr>
            <w:tcW w:w="2081"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⾳频输出</w:t>
            </w:r>
            <w:r/>
          </w:p>
        </w:tc>
        <w:tc>
          <w:tcPr>
            <w:tcW w:w="6249"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RCA</w:t>
            </w:r>
            <w:r>
              <w:rPr>
                <w:rFonts w:hint="eastAsia" w:ascii="宋体" w:hAnsi="宋体" w:eastAsia="宋体" w:cs="宋体"/>
                <w:color w:val="auto"/>
                <w:spacing w:val="61"/>
                <w:sz w:val="24"/>
                <w:highlight w:val="none"/>
                <w:lang w:eastAsia="en-US"/>
              </w:rPr>
              <w:t xml:space="preserve"> </w:t>
            </w:r>
            <w:r>
              <w:rPr>
                <w:rFonts w:hint="eastAsia" w:ascii="宋体" w:hAnsi="宋体" w:eastAsia="宋体" w:cs="宋体"/>
                <w:color w:val="auto"/>
                <w:spacing w:val="-5"/>
                <w:sz w:val="24"/>
                <w:highlight w:val="none"/>
                <w:lang w:eastAsia="en-US"/>
              </w:rPr>
              <w:t xml:space="preserve">L/R</w:t>
            </w:r>
            <w:r/>
          </w:p>
        </w:tc>
      </w:tr>
      <w:tr>
        <w:trPr>
          <w:jc w:val="center"/>
          <w:trHeight w:val="301"/>
        </w:trPr>
        <w:tc>
          <w:tcPr>
            <w:tcW w:w="928"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4</w:t>
            </w:r>
            <w:r/>
          </w:p>
        </w:tc>
        <w:tc>
          <w:tcPr>
            <w:tcW w:w="208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视频输⼊端⼦</w:t>
            </w:r>
            <w:r/>
          </w:p>
        </w:tc>
        <w:tc>
          <w:tcPr>
            <w:tcW w:w="6249" w:type="dxa"/>
            <w:textDirection w:val="lrTb"/>
            <w:noWrap w:val="false"/>
          </w:tcPr>
          <w:p>
            <w:pPr>
              <w:pStyle w:val="1047"/>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DVI</w:t>
            </w:r>
            <w:r/>
          </w:p>
        </w:tc>
      </w:tr>
      <w:tr>
        <w:trPr>
          <w:jc w:val="center"/>
          <w:trHeight w:val="1332"/>
        </w:trPr>
        <w:tc>
          <w:tcPr>
            <w:tcW w:w="928" w:type="dxa"/>
            <w:textDirection w:val="lrTb"/>
            <w:noWrap w:val="false"/>
          </w:tcPr>
          <w:p>
            <w:pPr>
              <w:pStyle w:val="1047"/>
              <w:ind w:left="0"/>
              <w:spacing w:before="229"/>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r>
            <w:r/>
          </w:p>
          <w:p>
            <w:pPr>
              <w:pStyle w:val="1047"/>
              <w:ind w:left="31" w:right="1"/>
              <w:jc w:val="center"/>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▲5</w:t>
            </w:r>
            <w:r/>
          </w:p>
        </w:tc>
        <w:tc>
          <w:tcPr>
            <w:tcW w:w="2081" w:type="dxa"/>
            <w:textDirection w:val="lrTb"/>
            <w:noWrap w:val="false"/>
          </w:tcPr>
          <w:p>
            <w:pPr>
              <w:pStyle w:val="1047"/>
              <w:ind w:left="0"/>
              <w:spacing w:before="179"/>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r>
            <w:r/>
          </w:p>
          <w:p>
            <w:pPr>
              <w:pStyle w:val="1047"/>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扫描模式</w:t>
            </w:r>
            <w:r/>
          </w:p>
        </w:tc>
        <w:tc>
          <w:tcPr>
            <w:tcW w:w="6249" w:type="dxa"/>
            <w:textDirection w:val="lrTb"/>
            <w:noWrap w:val="false"/>
          </w:tcPr>
          <w:p>
            <w:pPr>
              <w:pStyle w:val="1047"/>
              <w:spacing w:line="307"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⾄少具备以下模式：</w:t>
            </w:r>
            <w:r/>
          </w:p>
          <w:p>
            <w:pPr>
              <w:pStyle w:val="1047"/>
              <w:ind w:right="73"/>
              <w:spacing w:before="17" w:line="18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w:t>
            </w:r>
            <w:r>
              <w:rPr>
                <w:rFonts w:hint="eastAsia" w:ascii="宋体" w:hAnsi="宋体" w:eastAsia="宋体" w:cs="宋体"/>
                <w:color w:val="auto"/>
                <w:spacing w:val="-7"/>
                <w:sz w:val="24"/>
                <w:highlight w:val="none"/>
              </w:rPr>
              <w:t xml:space="preserve"> </w:t>
            </w:r>
            <w:r>
              <w:rPr>
                <w:rFonts w:hint="eastAsia" w:ascii="宋体" w:hAnsi="宋体" w:eastAsia="宋体" w:cs="宋体"/>
                <w:color w:val="auto"/>
                <w:spacing w:val="6"/>
                <w:sz w:val="24"/>
                <w:highlight w:val="none"/>
              </w:rPr>
              <w:t xml:space="preserve">模式、</w:t>
            </w:r>
            <w:r>
              <w:rPr>
                <w:rFonts w:hint="eastAsia" w:ascii="宋体" w:hAnsi="宋体" w:eastAsia="宋体" w:cs="宋体"/>
                <w:color w:val="auto"/>
                <w:sz w:val="24"/>
                <w:highlight w:val="none"/>
              </w:rPr>
              <w:t xml:space="preserve">M</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pacing w:val="4"/>
                <w:sz w:val="24"/>
                <w:highlight w:val="none"/>
              </w:rPr>
              <w:t xml:space="preserve">模式、组织谐波模式、复合谐波模式、造影</w:t>
            </w:r>
            <w:r>
              <w:rPr>
                <w:rFonts w:hint="eastAsia" w:ascii="宋体" w:hAnsi="宋体" w:eastAsia="宋体" w:cs="宋体"/>
                <w:color w:val="auto"/>
                <w:spacing w:val="-2"/>
                <w:sz w:val="24"/>
                <w:highlight w:val="none"/>
              </w:rPr>
              <w:t xml:space="preserve">谐波模式、弹性成像模式、声速补正模式、频谱多普勒：</w:t>
            </w:r>
            <w:r>
              <w:rPr>
                <w:rFonts w:hint="eastAsia" w:ascii="宋体" w:hAnsi="宋体" w:eastAsia="宋体" w:cs="宋体"/>
                <w:color w:val="auto"/>
                <w:spacing w:val="2"/>
                <w:sz w:val="24"/>
                <w:highlight w:val="none"/>
              </w:rPr>
              <w:t xml:space="preserve">包括彩⾊多普勒 </w:t>
            </w:r>
            <w:r>
              <w:rPr>
                <w:rFonts w:hint="eastAsia" w:ascii="宋体" w:hAnsi="宋体" w:eastAsia="宋体" w:cs="宋体"/>
                <w:color w:val="auto"/>
                <w:sz w:val="24"/>
                <w:highlight w:val="none"/>
              </w:rPr>
              <w:t xml:space="preserve">CD</w:t>
            </w:r>
            <w:r>
              <w:rPr>
                <w:rFonts w:hint="eastAsia" w:ascii="宋体" w:hAnsi="宋体" w:eastAsia="宋体" w:cs="宋体"/>
                <w:color w:val="auto"/>
                <w:spacing w:val="2"/>
                <w:sz w:val="24"/>
                <w:highlight w:val="none"/>
              </w:rPr>
              <w:t xml:space="preserve">、能量多普勒 </w:t>
            </w:r>
            <w:r>
              <w:rPr>
                <w:rFonts w:hint="eastAsia" w:ascii="宋体" w:hAnsi="宋体" w:eastAsia="宋体" w:cs="宋体"/>
                <w:color w:val="auto"/>
                <w:sz w:val="24"/>
                <w:highlight w:val="none"/>
              </w:rPr>
              <w:t xml:space="preserve">PD</w:t>
            </w:r>
            <w:r>
              <w:rPr>
                <w:rFonts w:hint="eastAsia" w:ascii="宋体" w:hAnsi="宋体" w:eastAsia="宋体" w:cs="宋体"/>
                <w:color w:val="auto"/>
                <w:spacing w:val="28"/>
                <w:sz w:val="24"/>
                <w:highlight w:val="none"/>
              </w:rPr>
              <w:t xml:space="preserve"> </w:t>
            </w:r>
            <w:r>
              <w:rPr>
                <w:rFonts w:hint="eastAsia" w:ascii="宋体" w:hAnsi="宋体" w:eastAsia="宋体" w:cs="宋体"/>
                <w:color w:val="auto"/>
                <w:spacing w:val="-2"/>
                <w:sz w:val="24"/>
                <w:highlight w:val="none"/>
              </w:rPr>
              <w:t xml:space="preserve">模式、脉冲波多普</w:t>
            </w:r>
            <w:r>
              <w:rPr>
                <w:rFonts w:hint="eastAsia" w:ascii="宋体" w:hAnsi="宋体" w:eastAsia="宋体" w:cs="宋体"/>
                <w:color w:val="auto"/>
                <w:spacing w:val="-6"/>
                <w:sz w:val="24"/>
                <w:highlight w:val="none"/>
              </w:rPr>
              <w:t xml:space="preserve">勒 </w:t>
            </w:r>
            <w:r>
              <w:rPr>
                <w:rFonts w:hint="eastAsia" w:ascii="宋体" w:hAnsi="宋体" w:eastAsia="宋体" w:cs="宋体"/>
                <w:color w:val="auto"/>
                <w:sz w:val="24"/>
                <w:highlight w:val="none"/>
              </w:rPr>
              <w:t xml:space="preserve">PW </w:t>
            </w:r>
            <w:r>
              <w:rPr>
                <w:rFonts w:hint="eastAsia" w:ascii="宋体" w:hAnsi="宋体" w:eastAsia="宋体" w:cs="宋体"/>
                <w:color w:val="auto"/>
                <w:spacing w:val="-4"/>
                <w:sz w:val="24"/>
                <w:highlight w:val="none"/>
              </w:rPr>
              <w:t xml:space="preserve">模式。</w:t>
            </w:r>
            <w:r/>
          </w:p>
        </w:tc>
      </w:tr>
      <w:tr>
        <w:trPr>
          <w:jc w:val="center"/>
          <w:trHeight w:val="301"/>
        </w:trPr>
        <w:tc>
          <w:tcPr>
            <w:tcW w:w="928" w:type="dxa"/>
            <w:textDirection w:val="lrTb"/>
            <w:noWrap w:val="false"/>
          </w:tcPr>
          <w:p>
            <w:pPr>
              <w:pStyle w:val="1047"/>
              <w:ind w:left="31" w:right="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6</w:t>
            </w:r>
            <w:r/>
          </w:p>
        </w:tc>
        <w:tc>
          <w:tcPr>
            <w:tcW w:w="208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扫描⽅式</w:t>
            </w:r>
            <w:r/>
          </w:p>
        </w:tc>
        <w:tc>
          <w:tcPr>
            <w:tcW w:w="624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电⼦扫描</w:t>
            </w:r>
            <w:r/>
          </w:p>
        </w:tc>
      </w:tr>
      <w:tr>
        <w:trPr>
          <w:jc w:val="center"/>
          <w:trHeight w:val="302"/>
        </w:trPr>
        <w:tc>
          <w:tcPr>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7</w:t>
            </w:r>
            <w:r/>
          </w:p>
        </w:tc>
        <w:tc>
          <w:tcPr>
            <w:tcW w:w="2081"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超声波中⼼频率</w:t>
            </w:r>
            <w:r/>
          </w:p>
        </w:tc>
        <w:tc>
          <w:tcPr>
            <w:tcW w:w="6249"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4"/>
                <w:sz w:val="24"/>
                <w:highlight w:val="none"/>
                <w:lang w:eastAsia="en-US"/>
              </w:rPr>
              <w:t xml:space="preserve">≥5～12MHz</w:t>
            </w:r>
            <w:r>
              <w:rPr>
                <w:rFonts w:hint="eastAsia" w:ascii="宋体" w:hAnsi="宋体" w:eastAsia="宋体" w:cs="宋体"/>
                <w:color w:val="auto"/>
                <w:spacing w:val="-6"/>
                <w:sz w:val="24"/>
                <w:highlight w:val="none"/>
                <w:lang w:eastAsia="en-US"/>
              </w:rPr>
              <w:t xml:space="preserve"> 宽频扫描</w:t>
            </w:r>
            <w:r/>
          </w:p>
        </w:tc>
      </w:tr>
      <w:tr>
        <w:trPr>
          <w:jc w:val="center"/>
          <w:trHeight w:val="301"/>
        </w:trPr>
        <w:tc>
          <w:tcPr>
            <w:tcW w:w="928"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8</w:t>
            </w:r>
            <w:r/>
          </w:p>
        </w:tc>
        <w:tc>
          <w:tcPr>
            <w:tcW w:w="208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多普勒发射频率</w:t>
            </w:r>
            <w:r/>
          </w:p>
        </w:tc>
        <w:tc>
          <w:tcPr>
            <w:tcW w:w="624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rPr>
                <w:rFonts w:hint="eastAsia" w:ascii="宋体" w:hAnsi="宋体" w:eastAsia="宋体" w:cs="宋体"/>
                <w:color w:val="auto"/>
                <w:spacing w:val="-13"/>
                <w:sz w:val="24"/>
                <w:highlight w:val="none"/>
                <w:lang w:eastAsia="en-US"/>
              </w:rPr>
              <w:t xml:space="preserve"> </w:t>
            </w:r>
            <w:r>
              <w:rPr>
                <w:rFonts w:hint="eastAsia" w:ascii="宋体" w:hAnsi="宋体" w:eastAsia="宋体" w:cs="宋体"/>
                <w:color w:val="auto"/>
                <w:spacing w:val="-10"/>
                <w:sz w:val="24"/>
                <w:highlight w:val="none"/>
                <w:lang w:eastAsia="en-US"/>
              </w:rPr>
              <w:t xml:space="preserve">种</w:t>
            </w:r>
            <w:r/>
          </w:p>
        </w:tc>
      </w:tr>
      <w:tr>
        <w:trPr>
          <w:jc w:val="center"/>
          <w:trHeight w:val="301"/>
        </w:trPr>
        <w:tc>
          <w:tcPr>
            <w:tcW w:w="928"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9</w:t>
            </w:r>
            <w:r/>
          </w:p>
        </w:tc>
        <w:tc>
          <w:tcPr>
            <w:tcW w:w="208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超声波输出功率</w:t>
            </w:r>
            <w:r/>
          </w:p>
        </w:tc>
        <w:tc>
          <w:tcPr>
            <w:tcW w:w="6249" w:type="dxa"/>
            <w:textDirection w:val="lrTb"/>
            <w:noWrap w:val="false"/>
          </w:tcPr>
          <w:p>
            <w:pPr>
              <w:pStyle w:val="1047"/>
              <w:spacing w:line="281"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超声波输出功率可调（按百分⽐调节</w:t>
            </w:r>
            <w:r>
              <w:rPr>
                <w:rFonts w:hint="eastAsia" w:ascii="宋体" w:hAnsi="宋体" w:eastAsia="宋体" w:cs="宋体"/>
                <w:color w:val="auto"/>
                <w:spacing w:val="-10"/>
                <w:sz w:val="24"/>
                <w:highlight w:val="none"/>
              </w:rPr>
              <w:t xml:space="preserve">）</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10</w:t>
            </w:r>
            <w:r/>
          </w:p>
        </w:tc>
        <w:tc>
          <w:tcPr>
            <w:tcW w:w="208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图像旋转</w:t>
            </w:r>
            <w:r/>
          </w:p>
        </w:tc>
        <w:tc>
          <w:tcPr>
            <w:tcW w:w="624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8"/>
                <w:sz w:val="24"/>
                <w:highlight w:val="none"/>
                <w:lang w:eastAsia="en-US"/>
              </w:rPr>
              <w:t xml:space="preserve">360°</w:t>
            </w:r>
            <w:r>
              <w:rPr>
                <w:rFonts w:hint="eastAsia" w:ascii="宋体" w:hAnsi="宋体" w:eastAsia="宋体" w:cs="宋体"/>
                <w:color w:val="auto"/>
                <w:spacing w:val="-9"/>
                <w:sz w:val="24"/>
                <w:highlight w:val="none"/>
                <w:lang w:eastAsia="en-US"/>
              </w:rPr>
              <w:t xml:space="preserve">旋转</w:t>
            </w:r>
            <w:r/>
          </w:p>
        </w:tc>
      </w:tr>
      <w:tr>
        <w:trPr>
          <w:jc w:val="center"/>
          <w:trHeight w:val="302"/>
        </w:trPr>
        <w:tc>
          <w:tcPr>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11</w:t>
            </w:r>
            <w:r/>
          </w:p>
        </w:tc>
        <w:tc>
          <w:tcPr>
            <w:tcW w:w="2081"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半圆型显示</w:t>
            </w:r>
            <w:r/>
          </w:p>
        </w:tc>
        <w:tc>
          <w:tcPr>
            <w:tcW w:w="6249" w:type="dxa"/>
            <w:textDirection w:val="lrTb"/>
            <w:noWrap w:val="false"/>
          </w:tcPr>
          <w:p>
            <w:pPr>
              <w:pStyle w:val="1047"/>
              <w:spacing w:line="282" w:lineRule="exact"/>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上半圆、下半圆、左半圆、右半圆</w:t>
            </w:r>
            <w:r/>
          </w:p>
        </w:tc>
      </w:tr>
      <w:tr>
        <w:trPr>
          <w:jc w:val="center"/>
          <w:trHeight w:val="301"/>
        </w:trPr>
        <w:tc>
          <w:tcPr>
            <w:tcW w:w="928" w:type="dxa"/>
            <w:textDirection w:val="lrTb"/>
            <w:noWrap w:val="false"/>
          </w:tcPr>
          <w:p>
            <w:pPr>
              <w:pStyle w:val="1047"/>
              <w:ind w:left="31" w:right="1"/>
              <w:jc w:val="center"/>
              <w:spacing w:before="4"/>
              <w:rPr>
                <w:rFonts w:hint="eastAsia" w:ascii="宋体" w:hAnsi="宋体" w:eastAsia="宋体" w:cs="宋体"/>
                <w:b/>
                <w:color w:val="auto"/>
                <w:sz w:val="24"/>
                <w:highlight w:val="none"/>
                <w:lang w:eastAsia="en-US"/>
              </w:rPr>
            </w:pPr>
            <w:r/>
            <w:bookmarkStart w:id="0" w:name="OLE_LINK10"/>
            <w:r/>
            <w:bookmarkStart w:id="1" w:name="OLE_LINK11"/>
            <w:r>
              <w:rPr>
                <w:rFonts w:hint="eastAsia" w:ascii="宋体" w:hAnsi="宋体" w:eastAsia="宋体" w:cs="宋体"/>
                <w:color w:val="auto"/>
                <w:spacing w:val="-5"/>
                <w:sz w:val="24"/>
                <w:highlight w:val="none"/>
                <w:lang w:eastAsia="en-US"/>
              </w:rPr>
              <w:t xml:space="preserve">▲</w:t>
            </w:r>
            <w:bookmarkEnd w:id="0"/>
            <w:r/>
            <w:bookmarkEnd w:id="1"/>
            <w:r>
              <w:rPr>
                <w:rFonts w:hint="eastAsia" w:ascii="宋体" w:hAnsi="宋体" w:eastAsia="宋体" w:cs="宋体"/>
                <w:b/>
                <w:color w:val="auto"/>
                <w:spacing w:val="-5"/>
                <w:sz w:val="24"/>
                <w:highlight w:val="none"/>
                <w:lang w:eastAsia="en-US"/>
              </w:rPr>
              <w:t xml:space="preserve">12</w:t>
            </w:r>
            <w:r/>
          </w:p>
        </w:tc>
        <w:tc>
          <w:tcPr>
            <w:tcW w:w="2081" w:type="dxa"/>
            <w:textDirection w:val="lrTb"/>
            <w:noWrap w:val="false"/>
          </w:tcPr>
          <w:p>
            <w:pPr>
              <w:pStyle w:val="1047"/>
              <w:spacing w:line="281" w:lineRule="exact"/>
              <w:rPr>
                <w:rFonts w:hint="eastAsia" w:ascii="宋体" w:hAnsi="宋体" w:eastAsia="宋体" w:cs="宋体"/>
                <w:b/>
                <w:color w:val="auto"/>
                <w:sz w:val="24"/>
                <w:highlight w:val="none"/>
                <w:lang w:eastAsia="en-US"/>
              </w:rPr>
            </w:pPr>
            <w:r>
              <w:rPr>
                <w:rFonts w:hint="eastAsia" w:ascii="宋体" w:hAnsi="宋体" w:eastAsia="宋体" w:cs="宋体"/>
                <w:b/>
                <w:color w:val="auto"/>
                <w:spacing w:val="-2"/>
                <w:sz w:val="24"/>
                <w:highlight w:val="none"/>
                <w:lang w:eastAsia="en-US"/>
              </w:rPr>
              <w:t xml:space="preserve">穿刺引导功能</w:t>
            </w:r>
            <w:r/>
          </w:p>
        </w:tc>
        <w:tc>
          <w:tcPr>
            <w:tcW w:w="6249" w:type="dxa"/>
            <w:textDirection w:val="lrTb"/>
            <w:noWrap w:val="false"/>
          </w:tcPr>
          <w:p>
            <w:pPr>
              <w:pStyle w:val="1047"/>
              <w:spacing w:line="281" w:lineRule="exact"/>
              <w:rPr>
                <w:rFonts w:hint="eastAsia" w:ascii="宋体" w:hAnsi="宋体" w:eastAsia="宋体" w:cs="宋体"/>
                <w:b/>
                <w:color w:val="auto"/>
                <w:sz w:val="24"/>
                <w:highlight w:val="none"/>
              </w:rPr>
            </w:pPr>
            <w:r>
              <w:rPr>
                <w:rFonts w:hint="eastAsia" w:ascii="宋体" w:hAnsi="宋体" w:eastAsia="宋体" w:cs="宋体"/>
                <w:b/>
                <w:color w:val="auto"/>
                <w:spacing w:val="-2"/>
                <w:sz w:val="24"/>
                <w:highlight w:val="none"/>
              </w:rPr>
              <w:t xml:space="preserve">具有穿刺引导功能</w:t>
            </w:r>
            <w:r/>
          </w:p>
        </w:tc>
      </w:tr>
      <w:tr>
        <w:trPr>
          <w:jc w:val="center"/>
          <w:trHeight w:val="301"/>
        </w:trPr>
        <w:tc>
          <w:tcPr>
            <w:tcW w:w="928"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13</w:t>
            </w:r>
            <w:r/>
          </w:p>
        </w:tc>
        <w:tc>
          <w:tcPr>
            <w:tcW w:w="208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增益</w:t>
            </w:r>
            <w:r/>
          </w:p>
        </w:tc>
        <w:tc>
          <w:tcPr>
            <w:tcW w:w="6249" w:type="dxa"/>
            <w:textDirection w:val="lrTb"/>
            <w:noWrap w:val="false"/>
          </w:tcPr>
          <w:p>
            <w:pPr>
              <w:pStyle w:val="1047"/>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6"/>
                <w:sz w:val="24"/>
                <w:highlight w:val="none"/>
                <w:lang w:eastAsia="en-US"/>
              </w:rPr>
              <w:t xml:space="preserve">≥0-</w:t>
            </w:r>
            <w:r>
              <w:rPr>
                <w:rFonts w:hint="eastAsia" w:ascii="宋体" w:hAnsi="宋体" w:eastAsia="宋体" w:cs="宋体"/>
                <w:color w:val="auto"/>
                <w:spacing w:val="-4"/>
                <w:sz w:val="24"/>
                <w:highlight w:val="none"/>
                <w:lang w:eastAsia="en-US"/>
              </w:rPr>
              <w:t xml:space="preserve">100dB</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14</w:t>
            </w:r>
            <w:r/>
          </w:p>
        </w:tc>
        <w:tc>
          <w:tcPr>
            <w:tcW w:w="2081"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STC</w:t>
            </w:r>
            <w:r/>
          </w:p>
        </w:tc>
        <w:tc>
          <w:tcPr>
            <w:tcW w:w="624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分深度进⾏≥6</w:t>
            </w:r>
            <w:r>
              <w:rPr>
                <w:rFonts w:hint="eastAsia" w:ascii="宋体" w:hAnsi="宋体" w:eastAsia="宋体" w:cs="宋体"/>
                <w:color w:val="auto"/>
                <w:spacing w:val="-13"/>
                <w:sz w:val="24"/>
                <w:highlight w:val="none"/>
                <w:lang w:eastAsia="en-US"/>
              </w:rPr>
              <w:t xml:space="preserve"> </w:t>
            </w:r>
            <w:r>
              <w:rPr>
                <w:rFonts w:hint="eastAsia" w:ascii="宋体" w:hAnsi="宋体" w:eastAsia="宋体" w:cs="宋体"/>
                <w:color w:val="auto"/>
                <w:spacing w:val="-4"/>
                <w:sz w:val="24"/>
                <w:highlight w:val="none"/>
                <w:lang w:eastAsia="en-US"/>
              </w:rPr>
              <w:t xml:space="preserve">段增益</w:t>
            </w:r>
            <w:r/>
          </w:p>
        </w:tc>
      </w:tr>
      <w:tr>
        <w:trPr>
          <w:jc w:val="center"/>
          <w:trHeight w:val="302"/>
        </w:trPr>
        <w:tc>
          <w:tcPr>
            <w:tcW w:w="928"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15</w:t>
            </w:r>
            <w:r/>
          </w:p>
        </w:tc>
        <w:tc>
          <w:tcPr>
            <w:tcW w:w="2081"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显示深度</w:t>
            </w:r>
            <w:r/>
          </w:p>
        </w:tc>
        <w:tc>
          <w:tcPr>
            <w:tcW w:w="6249"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8"/>
                <w:sz w:val="24"/>
                <w:highlight w:val="none"/>
                <w:lang w:eastAsia="en-US"/>
              </w:rPr>
              <w:t xml:space="preserve">≥15-</w:t>
            </w:r>
            <w:r>
              <w:rPr>
                <w:rFonts w:hint="eastAsia" w:ascii="宋体" w:hAnsi="宋体" w:eastAsia="宋体" w:cs="宋体"/>
                <w:color w:val="auto"/>
                <w:spacing w:val="-4"/>
                <w:sz w:val="24"/>
                <w:highlight w:val="none"/>
                <w:lang w:eastAsia="en-US"/>
              </w:rPr>
              <w:t xml:space="preserve">120mm</w:t>
            </w:r>
            <w:r/>
          </w:p>
        </w:tc>
      </w:tr>
      <w:tr>
        <w:trPr>
          <w:jc w:val="center"/>
          <w:trHeight w:val="1978"/>
        </w:trPr>
        <w:tc>
          <w:tcPr>
            <w:tcW w:w="928" w:type="dxa"/>
            <w:textDirection w:val="lrTb"/>
            <w:noWrap w:val="false"/>
          </w:tcPr>
          <w:p>
            <w:pPr>
              <w:pStyle w:val="1047"/>
              <w:ind w:left="0"/>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r>
            <w:r/>
          </w:p>
          <w:p>
            <w:pPr>
              <w:pStyle w:val="1047"/>
              <w:ind w:left="0"/>
              <w:spacing w:before="144"/>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r>
            <w:r/>
          </w:p>
          <w:p>
            <w:pPr>
              <w:pStyle w:val="1047"/>
              <w:ind w:left="31"/>
              <w:jc w:val="center"/>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16</w:t>
            </w:r>
            <w:r/>
          </w:p>
        </w:tc>
        <w:tc>
          <w:tcPr>
            <w:tcW w:w="2081" w:type="dxa"/>
            <w:textDirection w:val="lrTb"/>
            <w:noWrap w:val="false"/>
          </w:tcPr>
          <w:p>
            <w:pPr>
              <w:pStyle w:val="1047"/>
              <w:ind w:left="0"/>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r>
            <w:r/>
          </w:p>
          <w:p>
            <w:pPr>
              <w:pStyle w:val="1047"/>
              <w:ind w:left="0"/>
              <w:spacing w:before="94"/>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r>
            <w:r/>
          </w:p>
          <w:p>
            <w:pPr>
              <w:pStyle w:val="1047"/>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测量功能</w:t>
            </w:r>
            <w:r/>
          </w:p>
        </w:tc>
        <w:tc>
          <w:tcPr>
            <w:tcW w:w="6249" w:type="dxa"/>
            <w:textDirection w:val="lrTb"/>
            <w:noWrap w:val="false"/>
          </w:tcPr>
          <w:p>
            <w:pPr>
              <w:pStyle w:val="1047"/>
              <w:spacing w:line="307"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⾄少包含以下功能：</w:t>
            </w:r>
            <w:r/>
          </w:p>
          <w:p>
            <w:pPr>
              <w:pStyle w:val="1047"/>
              <w:spacing w:line="311" w:lineRule="exact"/>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lang w:val="en-US" w:eastAsia="zh-CN"/>
              </w:rPr>
              <w:t xml:space="preserve">1、</w:t>
            </w:r>
            <w:r>
              <w:rPr>
                <w:rFonts w:hint="eastAsia" w:ascii="宋体" w:hAnsi="宋体" w:eastAsia="宋体" w:cs="宋体"/>
                <w:color w:val="auto"/>
                <w:spacing w:val="-4"/>
                <w:sz w:val="24"/>
                <w:highlight w:val="none"/>
              </w:rPr>
              <w:t xml:space="preserve">B</w:t>
            </w:r>
            <w:r>
              <w:rPr>
                <w:rFonts w:hint="eastAsia" w:ascii="宋体" w:hAnsi="宋体" w:eastAsia="宋体" w:cs="宋体"/>
                <w:color w:val="auto"/>
                <w:spacing w:val="-5"/>
                <w:sz w:val="24"/>
                <w:highlight w:val="none"/>
              </w:rPr>
              <w:t xml:space="preserve"> 模式测量：距离、周⻓、⾯积、体积、⻆度</w:t>
            </w:r>
            <w:r/>
          </w:p>
          <w:p>
            <w:pPr>
              <w:pStyle w:val="1047"/>
              <w:spacing w:line="311" w:lineRule="exact"/>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lang w:val="en-US" w:eastAsia="zh-CN"/>
              </w:rPr>
              <w:t xml:space="preserve">2、</w:t>
            </w:r>
            <w:r>
              <w:rPr>
                <w:rFonts w:hint="eastAsia" w:ascii="宋体" w:hAnsi="宋体" w:eastAsia="宋体" w:cs="宋体"/>
                <w:color w:val="auto"/>
                <w:spacing w:val="-4"/>
                <w:sz w:val="24"/>
                <w:highlight w:val="none"/>
              </w:rPr>
              <w:t xml:space="preserve">CFM</w:t>
            </w:r>
            <w:r>
              <w:rPr>
                <w:rFonts w:hint="eastAsia" w:ascii="宋体" w:hAnsi="宋体" w:eastAsia="宋体" w:cs="宋体"/>
                <w:color w:val="auto"/>
                <w:spacing w:val="-9"/>
                <w:sz w:val="24"/>
                <w:highlight w:val="none"/>
              </w:rPr>
              <w:t xml:space="preserve"> </w:t>
            </w:r>
            <w:r>
              <w:rPr>
                <w:rFonts w:hint="eastAsia" w:ascii="宋体" w:hAnsi="宋体" w:eastAsia="宋体" w:cs="宋体"/>
                <w:color w:val="auto"/>
                <w:spacing w:val="-4"/>
                <w:sz w:val="24"/>
                <w:highlight w:val="none"/>
              </w:rPr>
              <w:t xml:space="preserve">模式测量：流速（点）、（⾯积</w:t>
            </w:r>
            <w:r>
              <w:rPr>
                <w:rFonts w:hint="eastAsia" w:ascii="宋体" w:hAnsi="宋体" w:eastAsia="宋体" w:cs="宋体"/>
                <w:color w:val="auto"/>
                <w:spacing w:val="-10"/>
                <w:sz w:val="24"/>
                <w:highlight w:val="none"/>
              </w:rPr>
              <w:t xml:space="preserve">）</w:t>
            </w:r>
            <w:r/>
          </w:p>
          <w:p>
            <w:pPr>
              <w:pStyle w:val="1047"/>
              <w:ind w:right="82"/>
              <w:spacing w:before="15" w:line="18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lang w:val="en-US" w:eastAsia="zh-CN"/>
              </w:rPr>
              <w:t xml:space="preserve">3、</w:t>
            </w:r>
            <w:r>
              <w:rPr>
                <w:rFonts w:hint="eastAsia" w:ascii="宋体" w:hAnsi="宋体" w:eastAsia="宋体" w:cs="宋体"/>
                <w:color w:val="auto"/>
                <w:spacing w:val="-2"/>
                <w:sz w:val="24"/>
                <w:highlight w:val="none"/>
              </w:rPr>
              <w:t xml:space="preserve">PW</w:t>
            </w:r>
            <w:r>
              <w:rPr>
                <w:rFonts w:hint="eastAsia" w:ascii="宋体" w:hAnsi="宋体" w:eastAsia="宋体" w:cs="宋体"/>
                <w:color w:val="auto"/>
                <w:spacing w:val="-13"/>
                <w:sz w:val="24"/>
                <w:highlight w:val="none"/>
              </w:rPr>
              <w:t xml:space="preserve"> </w:t>
            </w:r>
            <w:r>
              <w:rPr>
                <w:rFonts w:hint="eastAsia" w:ascii="宋体" w:hAnsi="宋体" w:eastAsia="宋体" w:cs="宋体"/>
                <w:color w:val="auto"/>
                <w:spacing w:val="-2"/>
                <w:sz w:val="24"/>
                <w:highlight w:val="none"/>
              </w:rPr>
              <w:t xml:space="preserve">模式测量：时间、⼼率、流速、流速跟踪（⾃由/⾃</w:t>
            </w:r>
            <w:r>
              <w:rPr>
                <w:rFonts w:hint="eastAsia" w:ascii="宋体" w:hAnsi="宋体" w:eastAsia="宋体" w:cs="宋体"/>
                <w:color w:val="auto"/>
                <w:spacing w:val="18"/>
                <w:sz w:val="24"/>
                <w:highlight w:val="none"/>
              </w:rPr>
              <w:t xml:space="preserve">动</w:t>
            </w:r>
            <w:r>
              <w:rPr>
                <w:rFonts w:hint="eastAsia" w:ascii="宋体" w:hAnsi="宋体" w:eastAsia="宋体" w:cs="宋体"/>
                <w:color w:val="auto"/>
                <w:sz w:val="24"/>
                <w:highlight w:val="none"/>
              </w:rPr>
              <w:t xml:space="preserve">）</w:t>
            </w:r>
            <w:r>
              <w:rPr>
                <w:rFonts w:hint="eastAsia" w:ascii="宋体" w:hAnsi="宋体" w:eastAsia="宋体" w:cs="宋体"/>
                <w:color w:val="auto"/>
                <w:spacing w:val="8"/>
                <w:sz w:val="24"/>
                <w:highlight w:val="none"/>
              </w:rPr>
              <w:t xml:space="preserve">、加</w:t>
            </w:r>
            <w:r>
              <w:rPr>
                <w:rFonts w:hint="eastAsia" w:ascii="宋体" w:hAnsi="宋体" w:eastAsia="宋体" w:cs="宋体"/>
                <w:color w:val="auto"/>
                <w:spacing w:val="18"/>
                <w:sz w:val="24"/>
                <w:highlight w:val="none"/>
              </w:rPr>
              <w:t xml:space="preserve">/</w:t>
            </w:r>
            <w:r>
              <w:rPr>
                <w:rFonts w:hint="eastAsia" w:ascii="宋体" w:hAnsi="宋体" w:eastAsia="宋体" w:cs="宋体"/>
                <w:color w:val="auto"/>
                <w:spacing w:val="13"/>
                <w:sz w:val="24"/>
                <w:highlight w:val="none"/>
              </w:rPr>
              <w:t xml:space="preserve">减速度、</w:t>
            </w:r>
            <w:r>
              <w:rPr>
                <w:rFonts w:hint="eastAsia" w:ascii="宋体" w:hAnsi="宋体" w:eastAsia="宋体" w:cs="宋体"/>
                <w:color w:val="auto"/>
                <w:sz w:val="24"/>
                <w:highlight w:val="none"/>
              </w:rPr>
              <w:t xml:space="preserve">PI（</w:t>
            </w:r>
            <w:r>
              <w:rPr>
                <w:rFonts w:hint="eastAsia" w:ascii="宋体" w:hAnsi="宋体" w:eastAsia="宋体" w:cs="宋体"/>
                <w:color w:val="auto"/>
                <w:spacing w:val="18"/>
                <w:sz w:val="24"/>
                <w:highlight w:val="none"/>
              </w:rPr>
              <w:t xml:space="preserve">搏动指数</w:t>
            </w:r>
            <w:r>
              <w:rPr>
                <w:rFonts w:hint="eastAsia" w:ascii="宋体" w:hAnsi="宋体" w:eastAsia="宋体" w:cs="宋体"/>
                <w:color w:val="auto"/>
                <w:sz w:val="24"/>
                <w:highlight w:val="none"/>
              </w:rPr>
              <w:t xml:space="preserve">）（</w:t>
            </w:r>
            <w:r>
              <w:rPr>
                <w:rFonts w:hint="eastAsia" w:ascii="宋体" w:hAnsi="宋体" w:eastAsia="宋体" w:cs="宋体"/>
                <w:color w:val="auto"/>
                <w:spacing w:val="18"/>
                <w:sz w:val="24"/>
                <w:highlight w:val="none"/>
              </w:rPr>
              <w:t xml:space="preserve">⾃由/⾃动</w:t>
            </w:r>
            <w:r>
              <w:rPr>
                <w:rFonts w:hint="eastAsia" w:ascii="宋体" w:hAnsi="宋体" w:eastAsia="宋体" w:cs="宋体"/>
                <w:color w:val="auto"/>
                <w:sz w:val="24"/>
                <w:highlight w:val="none"/>
              </w:rPr>
              <w:t xml:space="preserve">）、</w:t>
            </w:r>
            <w:r>
              <w:rPr>
                <w:rFonts w:hint="eastAsia" w:ascii="宋体" w:hAnsi="宋体" w:eastAsia="宋体" w:cs="宋体"/>
                <w:color w:val="auto"/>
                <w:spacing w:val="-5"/>
                <w:sz w:val="24"/>
                <w:highlight w:val="none"/>
              </w:rPr>
              <w:t xml:space="preserve">RI</w:t>
            </w:r>
            <w:r>
              <w:rPr>
                <w:rFonts w:hint="eastAsia" w:ascii="宋体" w:hAnsi="宋体" w:eastAsia="宋体" w:cs="宋体"/>
                <w:color w:val="auto"/>
                <w:spacing w:val="-6"/>
                <w:sz w:val="24"/>
                <w:highlight w:val="none"/>
              </w:rPr>
              <w:t xml:space="preserve">（阻⼒指数）</w:t>
            </w:r>
            <w:r>
              <w:rPr>
                <w:rFonts w:hint="eastAsia" w:ascii="宋体" w:hAnsi="宋体" w:eastAsia="宋体" w:cs="宋体"/>
                <w:color w:val="auto"/>
                <w:spacing w:val="-8"/>
                <w:sz w:val="24"/>
                <w:highlight w:val="none"/>
              </w:rPr>
              <w:t xml:space="preserve">、流量</w:t>
            </w:r>
            <w:r/>
          </w:p>
          <w:p>
            <w:pPr>
              <w:pStyle w:val="1047"/>
              <w:spacing w:line="285"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M</w:t>
            </w:r>
            <w:r>
              <w:rPr>
                <w:rFonts w:hint="eastAsia" w:ascii="宋体" w:hAnsi="宋体" w:eastAsia="宋体" w:cs="宋体"/>
                <w:color w:val="auto"/>
                <w:spacing w:val="-1"/>
                <w:sz w:val="24"/>
                <w:highlight w:val="none"/>
              </w:rPr>
              <w:t xml:space="preserve">模式测量：距离、时间、⼼率、时间和速度</w:t>
            </w:r>
            <w:r/>
          </w:p>
        </w:tc>
      </w:tr>
      <w:tr>
        <w:trPr>
          <w:jc w:val="center"/>
          <w:trHeight w:val="371"/>
        </w:trPr>
        <w:tc>
          <w:tcPr>
            <w:tcW w:w="928" w:type="dxa"/>
            <w:vAlign w:val="center"/>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17</w:t>
            </w:r>
            <w:r/>
          </w:p>
        </w:tc>
        <w:tc>
          <w:tcPr>
            <w:tcW w:w="2081" w:type="dxa"/>
            <w:vAlign w:val="center"/>
            <w:textDirection w:val="lrTb"/>
            <w:noWrap w:val="false"/>
          </w:tcPr>
          <w:p>
            <w:pPr>
              <w:pStyle w:val="1047"/>
              <w:ind w:left="0" w:firstLine="0"/>
              <w:spacing w:line="282" w:lineRule="exact"/>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画中画功能</w:t>
            </w:r>
            <w:r/>
          </w:p>
        </w:tc>
        <w:tc>
          <w:tcPr>
            <w:tcW w:w="6249" w:type="dxa"/>
            <w:vAlign w:val="center"/>
            <w:textDirection w:val="lrTb"/>
            <w:noWrap w:val="false"/>
          </w:tcPr>
          <w:p>
            <w:pPr>
              <w:pStyle w:val="1047"/>
              <w:ind w:left="0" w:firstLine="0"/>
              <w:spacing w:line="282" w:lineRule="exact"/>
              <w:rPr>
                <w:rFonts w:hint="eastAsia" w:ascii="宋体" w:hAnsi="宋体" w:eastAsia="宋体" w:cs="宋体"/>
                <w:color w:val="auto"/>
                <w:spacing w:val="-2"/>
                <w:sz w:val="24"/>
                <w:highlight w:val="none"/>
                <w:lang w:eastAsia="en-US"/>
              </w:rPr>
            </w:pPr>
            <w:r>
              <w:rPr>
                <w:rFonts w:hint="eastAsia" w:ascii="宋体" w:hAnsi="宋体" w:eastAsia="宋体" w:cs="宋体"/>
                <w:color w:val="auto"/>
                <w:spacing w:val="-2"/>
                <w:sz w:val="24"/>
                <w:highlight w:val="none"/>
                <w:lang w:eastAsia="en-US"/>
              </w:rPr>
              <w:t xml:space="preserve">内镜/超声图像切换，并可根据医⽣的习惯进⾏灵活地设定。</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18</w:t>
            </w:r>
            <w:r/>
          </w:p>
        </w:tc>
        <w:tc>
          <w:tcPr>
            <w:tcW w:w="2081" w:type="dxa"/>
            <w:textDirection w:val="lrTb"/>
            <w:noWrap w:val="false"/>
          </w:tcPr>
          <w:p>
            <w:pPr>
              <w:pStyle w:val="1047"/>
              <w:ind w:left="0" w:firstLine="0"/>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放⼤功能</w:t>
            </w:r>
            <w:r/>
          </w:p>
        </w:tc>
        <w:tc>
          <w:tcPr>
            <w:tcW w:w="6249" w:type="dxa"/>
            <w:textDirection w:val="lrTb"/>
            <w:noWrap w:val="false"/>
          </w:tcPr>
          <w:p>
            <w:pPr>
              <w:pStyle w:val="1047"/>
              <w:ind w:left="0" w:firstLine="0"/>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整体放⼤、ROI</w:t>
            </w:r>
            <w:r>
              <w:rPr>
                <w:rFonts w:hint="eastAsia" w:ascii="宋体" w:hAnsi="宋体" w:eastAsia="宋体" w:cs="宋体"/>
                <w:color w:val="auto"/>
                <w:spacing w:val="-4"/>
                <w:sz w:val="24"/>
                <w:highlight w:val="none"/>
                <w:lang w:eastAsia="en-US"/>
              </w:rPr>
              <w:t xml:space="preserve">放⼤等</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19</w:t>
            </w:r>
            <w:r/>
          </w:p>
        </w:tc>
        <w:tc>
          <w:tcPr>
            <w:tcW w:w="2081" w:type="dxa"/>
            <w:textDirection w:val="lrTb"/>
            <w:noWrap w:val="false"/>
          </w:tcPr>
          <w:p>
            <w:pPr>
              <w:pStyle w:val="1047"/>
              <w:ind w:left="0" w:firstLine="0"/>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图像存储格式</w:t>
            </w:r>
            <w:r/>
          </w:p>
        </w:tc>
        <w:tc>
          <w:tcPr>
            <w:tcW w:w="6249" w:type="dxa"/>
            <w:textDirection w:val="lrTb"/>
            <w:noWrap w:val="false"/>
          </w:tcPr>
          <w:p>
            <w:pPr>
              <w:pStyle w:val="1047"/>
              <w:ind w:left="0" w:firstLine="0"/>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JPEG,TIFF,DICOM</w:t>
            </w:r>
            <w:r>
              <w:rPr>
                <w:rFonts w:hint="eastAsia" w:ascii="宋体" w:hAnsi="宋体" w:eastAsia="宋体" w:cs="宋体"/>
                <w:color w:val="auto"/>
                <w:spacing w:val="-10"/>
                <w:sz w:val="24"/>
                <w:highlight w:val="none"/>
                <w:lang w:eastAsia="en-US"/>
              </w:rPr>
              <w:t xml:space="preserve">等</w:t>
            </w:r>
            <w:r/>
          </w:p>
        </w:tc>
      </w:tr>
      <w:tr>
        <w:trPr>
          <w:jc w:val="center"/>
          <w:trHeight w:val="302"/>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20</w:t>
            </w:r>
            <w:r/>
          </w:p>
        </w:tc>
        <w:tc>
          <w:tcPr>
            <w:tcW w:w="2081" w:type="dxa"/>
            <w:textDirection w:val="lrTb"/>
            <w:noWrap w:val="false"/>
          </w:tcPr>
          <w:p>
            <w:pPr>
              <w:pStyle w:val="1047"/>
              <w:ind w:left="0" w:firstLine="0"/>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视频存储格式</w:t>
            </w:r>
            <w:r/>
          </w:p>
        </w:tc>
        <w:tc>
          <w:tcPr>
            <w:tcW w:w="6249" w:type="dxa"/>
            <w:textDirection w:val="lrTb"/>
            <w:noWrap w:val="false"/>
          </w:tcPr>
          <w:p>
            <w:pPr>
              <w:pStyle w:val="1047"/>
              <w:ind w:left="0" w:firstLine="0"/>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4"/>
                <w:sz w:val="24"/>
                <w:highlight w:val="none"/>
                <w:lang w:eastAsia="en-US"/>
              </w:rPr>
              <w:t xml:space="preserve">≥2种：DICOM、</w:t>
            </w:r>
            <w:r>
              <w:rPr>
                <w:rFonts w:hint="eastAsia" w:ascii="宋体" w:hAnsi="宋体" w:eastAsia="宋体" w:cs="宋体"/>
                <w:color w:val="auto"/>
                <w:spacing w:val="-5"/>
                <w:sz w:val="24"/>
                <w:highlight w:val="none"/>
                <w:lang w:eastAsia="en-US"/>
              </w:rPr>
              <w:t xml:space="preserve">AVI</w:t>
            </w:r>
            <w:r/>
          </w:p>
        </w:tc>
      </w:tr>
      <w:tr>
        <w:trPr>
          <w:jc w:val="center"/>
          <w:trHeight w:val="612"/>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21</w:t>
            </w:r>
            <w:r/>
          </w:p>
        </w:tc>
        <w:tc>
          <w:tcPr>
            <w:tcW w:w="2081" w:type="dxa"/>
            <w:textDirection w:val="lrTb"/>
            <w:noWrap w:val="false"/>
          </w:tcPr>
          <w:p>
            <w:pPr>
              <w:pStyle w:val="1047"/>
              <w:ind w:left="0" w:firstLine="0"/>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图像存储设备</w:t>
            </w:r>
            <w:r/>
          </w:p>
        </w:tc>
        <w:tc>
          <w:tcPr>
            <w:tcW w:w="6249" w:type="dxa"/>
            <w:textDirection w:val="lrTb"/>
            <w:noWrap w:val="false"/>
          </w:tcPr>
          <w:p>
            <w:pPr>
              <w:pStyle w:val="1047"/>
              <w:ind w:left="31"/>
              <w:jc w:val="left"/>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≥4种：内部、USB 等外部存储器或 DICOM ⽹络存储设备、FTP 服务器</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22</w:t>
            </w:r>
            <w:r/>
          </w:p>
        </w:tc>
        <w:tc>
          <w:tcPr>
            <w:tcW w:w="2081"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电⼦存储器</w:t>
            </w:r>
            <w:r/>
          </w:p>
        </w:tc>
        <w:tc>
          <w:tcPr>
            <w:tcW w:w="6249"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保存、播放</w:t>
            </w:r>
            <w:r/>
          </w:p>
        </w:tc>
      </w:tr>
      <w:tr>
        <w:trPr>
          <w:jc w:val="center"/>
          <w:trHeight w:val="302"/>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23</w:t>
            </w:r>
            <w:r/>
          </w:p>
        </w:tc>
        <w:tc>
          <w:tcPr>
            <w:tcW w:w="2081"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焦点预设</w:t>
            </w:r>
            <w:r/>
          </w:p>
        </w:tc>
        <w:tc>
          <w:tcPr>
            <w:tcW w:w="6249"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≥2个</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24</w:t>
            </w:r>
            <w:r/>
          </w:p>
        </w:tc>
        <w:tc>
          <w:tcPr>
            <w:tcW w:w="2081"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主机内存容量</w:t>
            </w:r>
            <w:r/>
          </w:p>
        </w:tc>
        <w:tc>
          <w:tcPr>
            <w:tcW w:w="6249"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≥12GB</w:t>
            </w:r>
            <w:r/>
          </w:p>
        </w:tc>
      </w:tr>
      <w:tr>
        <w:trPr>
          <w:jc w:val="center"/>
          <w:trHeight w:val="301"/>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25</w:t>
            </w:r>
            <w:r/>
          </w:p>
        </w:tc>
        <w:tc>
          <w:tcPr>
            <w:tcW w:w="2081"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双画⾯对⽐显示</w:t>
            </w:r>
            <w:r/>
          </w:p>
        </w:tc>
        <w:tc>
          <w:tcPr>
            <w:tcW w:w="6249" w:type="dxa"/>
            <w:textDirection w:val="lrTb"/>
            <w:noWrap w:val="false"/>
          </w:tcPr>
          <w:p>
            <w:pPr>
              <w:pStyle w:val="1047"/>
              <w:ind w:left="31"/>
              <w:jc w:val="both"/>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动态 VS 静态；动态 VS 动态</w:t>
            </w:r>
            <w:r/>
          </w:p>
        </w:tc>
      </w:tr>
      <w:tr>
        <w:trPr>
          <w:jc w:val="center"/>
          <w:trHeight w:val="90"/>
        </w:trPr>
        <w:tc>
          <w:tcPr>
            <w:tcW w:w="928" w:type="dxa"/>
            <w:textDirection w:val="lrTb"/>
            <w:noWrap w:val="false"/>
          </w:tcPr>
          <w:p>
            <w:pPr>
              <w:pStyle w:val="1047"/>
              <w:ind w:left="31"/>
              <w:jc w:val="center"/>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▲26</w:t>
            </w:r>
            <w:r/>
          </w:p>
        </w:tc>
        <w:tc>
          <w:tcPr>
            <w:gridSpan w:val="2"/>
            <w:tcW w:w="8330" w:type="dxa"/>
            <w:textDirection w:val="lrTb"/>
            <w:noWrap w:val="false"/>
          </w:tcPr>
          <w:p>
            <w:pPr>
              <w:pStyle w:val="1047"/>
              <w:ind w:left="31"/>
              <w:jc w:val="left"/>
              <w:spacing w:before="5"/>
              <w:rPr>
                <w:rFonts w:hint="eastAsia" w:ascii="宋体" w:hAnsi="宋体" w:eastAsia="宋体" w:cs="宋体"/>
                <w:color w:val="auto"/>
                <w:spacing w:val="-5"/>
                <w:sz w:val="24"/>
                <w:highlight w:val="none"/>
                <w:lang w:eastAsia="en-US"/>
              </w:rPr>
            </w:pPr>
            <w:r>
              <w:rPr>
                <w:rFonts w:hint="eastAsia" w:ascii="宋体" w:hAnsi="宋体" w:eastAsia="宋体" w:cs="宋体"/>
                <w:color w:val="auto"/>
                <w:spacing w:val="-5"/>
                <w:sz w:val="24"/>
                <w:highlight w:val="none"/>
                <w:lang w:eastAsia="en-US"/>
              </w:rPr>
              <w:t xml:space="preserve">超声处理系统与内镜处理系统为同⼀品牌⼚家生产，具有良好兼容性，⽅便售后服务。</w:t>
            </w:r>
            <w:r/>
          </w:p>
        </w:tc>
      </w:tr>
    </w:tbl>
    <w:p>
      <w:pPr>
        <w:rPr>
          <w:rFonts w:hint="eastAsia" w:ascii="宋体" w:hAnsi="宋体" w:eastAsia="宋体" w:cs="宋体"/>
          <w:b/>
          <w:color w:val="auto"/>
          <w:spacing w:val="-3"/>
          <w:sz w:val="24"/>
          <w:highlight w:val="none"/>
        </w:rPr>
      </w:pPr>
      <w:r>
        <w:rPr>
          <w:rFonts w:hint="eastAsia" w:ascii="宋体" w:hAnsi="宋体" w:eastAsia="宋体" w:cs="宋体"/>
          <w:b/>
          <w:color w:val="auto"/>
          <w:spacing w:val="-3"/>
          <w:sz w:val="24"/>
          <w:highlight w:val="none"/>
        </w:rPr>
        <w:br w:type="page" w:clear="all"/>
      </w:r>
      <w:r/>
    </w:p>
    <w:p>
      <w:pPr>
        <w:spacing w:before="290"/>
        <w:rPr>
          <w:rFonts w:hint="eastAsia" w:ascii="宋体" w:hAnsi="宋体" w:eastAsia="宋体" w:cs="宋体"/>
          <w:b/>
          <w:color w:val="auto"/>
          <w:sz w:val="14"/>
          <w:highlight w:val="none"/>
        </w:rPr>
      </w:pPr>
      <w:r>
        <w:rPr>
          <w:rFonts w:hint="eastAsia" w:ascii="宋体" w:hAnsi="宋体" w:eastAsia="宋体" w:cs="宋体"/>
          <w:b/>
          <w:color w:val="auto"/>
          <w:spacing w:val="-3"/>
          <w:sz w:val="24"/>
          <w:highlight w:val="none"/>
        </w:rPr>
        <w:t xml:space="preserve">二、电⼦扇扫穿刺超声内镜 1根</w:t>
      </w:r>
      <w:r/>
    </w:p>
    <w:tbl>
      <w:tblPr>
        <w:tblStyle w:val="1030"/>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2289"/>
        <w:gridCol w:w="6171"/>
      </w:tblGrid>
      <w:tr>
        <w:trPr>
          <w:cantSplit/>
          <w:jc w:val="center"/>
          <w:trHeight w:val="301"/>
          <w:tblHeader/>
        </w:trPr>
        <w:tc>
          <w:tcPr>
            <w:gridSpan w:val="3"/>
            <w:tcW w:w="9180" w:type="dxa"/>
            <w:textDirection w:val="lrTb"/>
            <w:noWrap w:val="false"/>
          </w:tcPr>
          <w:p>
            <w:pPr>
              <w:ind w:left="96"/>
              <w:keepNext/>
              <w:spacing w:before="10" w:line="385" w:lineRule="exact"/>
              <w:rPr>
                <w:rFonts w:hint="eastAsia" w:ascii="宋体" w:hAnsi="宋体" w:eastAsia="宋体" w:cs="宋体"/>
                <w:color w:val="auto"/>
                <w:sz w:val="24"/>
                <w:highlight w:val="none"/>
                <w:lang w:eastAsia="en-US"/>
              </w:rPr>
            </w:pPr>
            <w:r>
              <w:rPr>
                <w:rFonts w:hint="eastAsia" w:ascii="宋体" w:hAnsi="宋体" w:eastAsia="宋体" w:cs="宋体"/>
                <w:b/>
                <w:color w:val="auto"/>
                <w:spacing w:val="-2"/>
                <w:sz w:val="24"/>
                <w:highlight w:val="none"/>
              </w:rPr>
              <w:t xml:space="preserve">电⼦扇扫超声内镜</w:t>
            </w:r>
            <w:r/>
          </w:p>
        </w:tc>
      </w:tr>
      <w:tr>
        <w:trPr>
          <w:cantSplit/>
          <w:jc w:val="center"/>
          <w:trHeight w:val="301"/>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1</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观察⽅向</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w:t>
            </w:r>
            <w:r>
              <w:rPr>
                <w:rFonts w:hint="eastAsia" w:ascii="宋体" w:hAnsi="宋体" w:eastAsia="宋体" w:cs="宋体"/>
                <w:color w:val="auto"/>
                <w:spacing w:val="-5"/>
                <w:sz w:val="24"/>
                <w:highlight w:val="none"/>
                <w:lang w:eastAsia="en-US"/>
              </w:rPr>
              <w:t xml:space="preserve">斜视 40°</w:t>
            </w:r>
            <w:r/>
          </w:p>
        </w:tc>
      </w:tr>
      <w:tr>
        <w:trPr>
          <w:cantSplit/>
          <w:jc w:val="center"/>
          <w:trHeight w:val="90"/>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2</w:t>
            </w:r>
            <w:r/>
          </w:p>
        </w:tc>
        <w:tc>
          <w:tcPr>
            <w:tcW w:w="2289"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视野⻆度</w:t>
            </w:r>
            <w:r/>
          </w:p>
        </w:tc>
        <w:tc>
          <w:tcPr>
            <w:tcW w:w="6171"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≥140°</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3</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观察景深</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3～100mm</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4</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头端部外径</w:t>
            </w:r>
            <w:r/>
          </w:p>
        </w:tc>
        <w:tc>
          <w:tcPr>
            <w:tcW w:w="6171" w:type="dxa"/>
            <w:textDirection w:val="lrTb"/>
            <w:noWrap w:val="false"/>
          </w:tcPr>
          <w:p>
            <w:pPr>
              <w:pStyle w:val="1047"/>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Ф≤13.9mm</w:t>
            </w:r>
            <w:r/>
          </w:p>
        </w:tc>
      </w:tr>
      <w:tr>
        <w:trPr>
          <w:cantSplit/>
          <w:jc w:val="center"/>
          <w:trHeight w:val="301"/>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5</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插⼊最⼤部外径</w:t>
            </w:r>
            <w:r/>
          </w:p>
        </w:tc>
        <w:tc>
          <w:tcPr>
            <w:tcW w:w="6171"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Ф≤12.4mm</w:t>
            </w:r>
            <w:r/>
          </w:p>
        </w:tc>
      </w:tr>
      <w:tr>
        <w:trPr>
          <w:cantSplit/>
          <w:jc w:val="center"/>
          <w:trHeight w:val="302"/>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6</w:t>
            </w:r>
            <w:r/>
          </w:p>
        </w:tc>
        <w:tc>
          <w:tcPr>
            <w:tcW w:w="2289"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有效⻓度</w:t>
            </w:r>
            <w:r/>
          </w:p>
        </w:tc>
        <w:tc>
          <w:tcPr>
            <w:tcW w:w="6171"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≥1250mm</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7</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全⻓</w:t>
            </w:r>
            <w:r/>
          </w:p>
        </w:tc>
        <w:tc>
          <w:tcPr>
            <w:tcW w:w="6171" w:type="dxa"/>
            <w:textDirection w:val="lrTb"/>
            <w:noWrap w:val="false"/>
          </w:tcPr>
          <w:p>
            <w:pPr>
              <w:pStyle w:val="1047"/>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≥1550mm</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8</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弯曲⻆度</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8"/>
                <w:sz w:val="24"/>
                <w:highlight w:val="none"/>
                <w:lang w:eastAsia="en-US"/>
              </w:rPr>
              <w:t xml:space="preserve">上：≥150°、下：≥150°、左：≥120°、右：≥120°；</w:t>
            </w:r>
            <w:r/>
          </w:p>
        </w:tc>
      </w:tr>
      <w:tr>
        <w:trPr>
          <w:cantSplit/>
          <w:jc w:val="center"/>
          <w:trHeight w:val="301"/>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10"/>
                <w:sz w:val="24"/>
                <w:highlight w:val="none"/>
                <w:lang w:eastAsia="en-US"/>
              </w:rPr>
              <w:t xml:space="preserve">9</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钳道直径</w:t>
            </w:r>
            <w:r/>
          </w:p>
        </w:tc>
        <w:tc>
          <w:tcPr>
            <w:tcW w:w="6171"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Ф≥3.8mm</w:t>
            </w:r>
            <w:r/>
          </w:p>
        </w:tc>
      </w:tr>
      <w:tr>
        <w:trPr>
          <w:cantSplit/>
          <w:jc w:val="center"/>
          <w:trHeight w:val="924"/>
          <w:tblHeader/>
        </w:trPr>
        <w:tc>
          <w:tcPr>
            <w:tcW w:w="720" w:type="dxa"/>
            <w:textDirection w:val="lrTb"/>
            <w:noWrap w:val="false"/>
          </w:tcPr>
          <w:p>
            <w:pPr>
              <w:pStyle w:val="1047"/>
              <w:ind w:left="31"/>
              <w:jc w:val="center"/>
              <w:spacing w:before="31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10</w:t>
            </w:r>
            <w:r/>
          </w:p>
        </w:tc>
        <w:tc>
          <w:tcPr>
            <w:tcW w:w="2289" w:type="dxa"/>
            <w:textDirection w:val="lrTb"/>
            <w:noWrap w:val="false"/>
          </w:tcPr>
          <w:p>
            <w:pPr>
              <w:pStyle w:val="1047"/>
              <w:spacing w:before="265"/>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扫描模式</w:t>
            </w:r>
            <w:r/>
          </w:p>
        </w:tc>
        <w:tc>
          <w:tcPr>
            <w:tcW w:w="6171" w:type="dxa"/>
            <w:textDirection w:val="lrTb"/>
            <w:noWrap w:val="false"/>
          </w:tcPr>
          <w:p>
            <w:pPr>
              <w:pStyle w:val="1047"/>
              <w:ind w:right="261"/>
              <w:spacing w:before="15" w:line="187" w:lineRule="auto"/>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B</w:t>
            </w:r>
            <w:r>
              <w:rPr>
                <w:rFonts w:hint="eastAsia" w:ascii="宋体" w:hAnsi="宋体" w:eastAsia="宋体" w:cs="宋体"/>
                <w:color w:val="auto"/>
                <w:spacing w:val="-10"/>
                <w:sz w:val="24"/>
                <w:highlight w:val="none"/>
              </w:rPr>
              <w:t xml:space="preserve"> </w:t>
            </w:r>
            <w:r>
              <w:rPr>
                <w:rFonts w:hint="eastAsia" w:ascii="宋体" w:hAnsi="宋体" w:eastAsia="宋体" w:cs="宋体"/>
                <w:color w:val="auto"/>
                <w:spacing w:val="-4"/>
                <w:sz w:val="24"/>
                <w:highlight w:val="none"/>
              </w:rPr>
              <w:t xml:space="preserve">模式、M</w:t>
            </w:r>
            <w:r>
              <w:rPr>
                <w:rFonts w:hint="eastAsia" w:ascii="宋体" w:hAnsi="宋体" w:eastAsia="宋体" w:cs="宋体"/>
                <w:color w:val="auto"/>
                <w:spacing w:val="-5"/>
                <w:sz w:val="24"/>
                <w:highlight w:val="none"/>
              </w:rPr>
              <w:t xml:space="preserve"> </w:t>
            </w:r>
            <w:r>
              <w:rPr>
                <w:rFonts w:hint="eastAsia" w:ascii="宋体" w:hAnsi="宋体" w:eastAsia="宋体" w:cs="宋体"/>
                <w:color w:val="auto"/>
                <w:spacing w:val="-4"/>
                <w:sz w:val="24"/>
                <w:highlight w:val="none"/>
              </w:rPr>
              <w:t xml:space="preserve">模式、THI（3</w:t>
            </w:r>
            <w:r>
              <w:rPr>
                <w:rFonts w:hint="eastAsia" w:ascii="宋体" w:hAnsi="宋体" w:eastAsia="宋体" w:cs="宋体"/>
                <w:color w:val="auto"/>
                <w:spacing w:val="-12"/>
                <w:sz w:val="24"/>
                <w:highlight w:val="none"/>
              </w:rPr>
              <w:t xml:space="preserve"> </w:t>
            </w:r>
            <w:r>
              <w:rPr>
                <w:rFonts w:hint="eastAsia" w:ascii="宋体" w:hAnsi="宋体" w:eastAsia="宋体" w:cs="宋体"/>
                <w:color w:val="auto"/>
                <w:spacing w:val="-4"/>
                <w:sz w:val="24"/>
                <w:highlight w:val="none"/>
              </w:rPr>
              <w:t xml:space="preserve">种模式）、彩⾊多普勒、能量</w:t>
            </w:r>
            <w:r>
              <w:rPr>
                <w:rFonts w:hint="eastAsia" w:ascii="宋体" w:hAnsi="宋体" w:eastAsia="宋体" w:cs="宋体"/>
                <w:color w:val="auto"/>
                <w:spacing w:val="-2"/>
                <w:sz w:val="24"/>
                <w:highlight w:val="none"/>
              </w:rPr>
              <w:t xml:space="preserve">多普勒、脉冲波多普勒、复合谐波模式、造影谐波模式、弹性成像模式</w:t>
            </w:r>
            <w:r>
              <w:rPr>
                <w:rFonts w:hint="eastAsia" w:ascii="宋体" w:hAnsi="宋体" w:eastAsia="宋体" w:cs="宋体"/>
                <w:color w:val="auto"/>
                <w:spacing w:val="-4"/>
                <w:sz w:val="24"/>
                <w:highlight w:val="none"/>
              </w:rPr>
              <w:t xml:space="preserve">、声速补正模式</w:t>
            </w:r>
            <w:r/>
          </w:p>
        </w:tc>
      </w:tr>
      <w:tr>
        <w:trPr>
          <w:cantSplit/>
          <w:jc w:val="center"/>
          <w:trHeight w:val="301"/>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11</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频率范围</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5～12MHz</w:t>
            </w:r>
            <w:r>
              <w:rPr>
                <w:rFonts w:hint="eastAsia" w:ascii="宋体" w:hAnsi="宋体" w:eastAsia="宋体" w:cs="宋体"/>
                <w:color w:val="auto"/>
                <w:spacing w:val="11"/>
                <w:sz w:val="24"/>
                <w:highlight w:val="none"/>
              </w:rPr>
              <w:t xml:space="preserve"> </w:t>
            </w:r>
            <w:r>
              <w:rPr>
                <w:rFonts w:hint="eastAsia" w:ascii="宋体" w:hAnsi="宋体" w:eastAsia="宋体" w:cs="宋体"/>
                <w:color w:val="auto"/>
                <w:spacing w:val="-4"/>
                <w:sz w:val="24"/>
                <w:highlight w:val="none"/>
              </w:rPr>
              <w:t xml:space="preserve">宽频扫描，≥4</w:t>
            </w:r>
            <w:r>
              <w:rPr>
                <w:rFonts w:hint="eastAsia" w:ascii="宋体" w:hAnsi="宋体" w:eastAsia="宋体" w:cs="宋体"/>
                <w:color w:val="auto"/>
                <w:sz w:val="24"/>
                <w:highlight w:val="none"/>
              </w:rPr>
              <w:t xml:space="preserve"> </w:t>
            </w:r>
            <w:r>
              <w:rPr>
                <w:rFonts w:hint="eastAsia" w:ascii="宋体" w:hAnsi="宋体" w:eastAsia="宋体" w:cs="宋体"/>
                <w:color w:val="auto"/>
                <w:spacing w:val="-5"/>
                <w:sz w:val="24"/>
                <w:highlight w:val="none"/>
              </w:rPr>
              <w:t xml:space="preserve">种中⼼频率可供选择</w:t>
            </w:r>
            <w:r/>
          </w:p>
        </w:tc>
      </w:tr>
      <w:tr>
        <w:trPr>
          <w:cantSplit/>
          <w:jc w:val="center"/>
          <w:trHeight w:val="302"/>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12</w:t>
            </w:r>
            <w:r/>
          </w:p>
        </w:tc>
        <w:tc>
          <w:tcPr>
            <w:tcW w:w="2289"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扫描⻆度</w:t>
            </w:r>
            <w:r/>
          </w:p>
        </w:tc>
        <w:tc>
          <w:tcPr>
            <w:tcW w:w="6171" w:type="dxa"/>
            <w:textDirection w:val="lrTb"/>
            <w:noWrap w:val="false"/>
          </w:tcPr>
          <w:p>
            <w:pPr>
              <w:pStyle w:val="1047"/>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≥150°</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13</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扫描⽅式</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电⼦扫描</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14</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画⾯显示</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画中画功能，图像回放，病⼈信息</w:t>
            </w:r>
            <w:r/>
          </w:p>
        </w:tc>
      </w:tr>
      <w:tr>
        <w:trPr>
          <w:cantSplit/>
          <w:jc w:val="center"/>
          <w:trHeight w:val="301"/>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15</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喷嘴设计</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具有物镜清洗功能</w:t>
            </w:r>
            <w:r/>
          </w:p>
        </w:tc>
      </w:tr>
      <w:tr>
        <w:trPr>
          <w:cantSplit/>
          <w:jc w:val="center"/>
          <w:trHeight w:val="302"/>
          <w:tblHeader/>
        </w:trPr>
        <w:tc>
          <w:tcPr>
            <w:tcW w:w="720" w:type="dxa"/>
            <w:textDirection w:val="lrTb"/>
            <w:noWrap w:val="false"/>
          </w:tcPr>
          <w:p>
            <w:pPr>
              <w:pStyle w:val="1047"/>
              <w:ind w:left="31"/>
              <w:jc w:val="center"/>
              <w:spacing w:before="5"/>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16</w:t>
            </w:r>
            <w:r/>
          </w:p>
        </w:tc>
        <w:tc>
          <w:tcPr>
            <w:tcW w:w="2289"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⽔囊</w:t>
            </w:r>
            <w:r/>
          </w:p>
        </w:tc>
        <w:tc>
          <w:tcPr>
            <w:tcW w:w="6171" w:type="dxa"/>
            <w:textDirection w:val="lrTb"/>
            <w:noWrap w:val="false"/>
          </w:tcPr>
          <w:p>
            <w:pPr>
              <w:pStyle w:val="1047"/>
              <w:spacing w:line="282"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可拆卸型</w:t>
            </w:r>
            <w:r/>
          </w:p>
        </w:tc>
      </w:tr>
      <w:tr>
        <w:trPr>
          <w:cantSplit/>
          <w:jc w:val="center"/>
          <w:trHeight w:val="301"/>
          <w:tblHeader/>
        </w:trPr>
        <w:tc>
          <w:tcPr>
            <w:tcW w:w="720" w:type="dxa"/>
            <w:textDirection w:val="lrTb"/>
            <w:noWrap w:val="false"/>
          </w:tcPr>
          <w:p>
            <w:pPr>
              <w:pStyle w:val="1047"/>
              <w:ind w:left="3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17</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接触⽅式</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⽔囊式/⽆⽓⽔充盈式/</w:t>
            </w:r>
            <w:r>
              <w:rPr>
                <w:rFonts w:hint="eastAsia" w:ascii="宋体" w:hAnsi="宋体" w:eastAsia="宋体" w:cs="宋体"/>
                <w:color w:val="auto"/>
                <w:spacing w:val="-5"/>
                <w:sz w:val="24"/>
                <w:highlight w:val="none"/>
                <w:lang w:eastAsia="en-US"/>
              </w:rPr>
              <w:t xml:space="preserve">接触式</w:t>
            </w:r>
            <w:r/>
          </w:p>
        </w:tc>
      </w:tr>
      <w:tr>
        <w:trPr>
          <w:cantSplit/>
          <w:jc w:val="center"/>
          <w:trHeight w:val="301"/>
          <w:tblHeader/>
        </w:trPr>
        <w:tc>
          <w:tcPr>
            <w:tcW w:w="720" w:type="dxa"/>
            <w:textDirection w:val="lrTb"/>
            <w:noWrap w:val="false"/>
          </w:tcPr>
          <w:p>
            <w:pPr>
              <w:pStyle w:val="1047"/>
              <w:ind w:left="31" w:right="1"/>
              <w:jc w:val="center"/>
              <w:spacing w:before="4"/>
              <w:rPr>
                <w:rFonts w:hint="eastAsia" w:ascii="宋体" w:hAnsi="宋体" w:eastAsia="宋体" w:cs="宋体"/>
                <w:color w:val="auto"/>
                <w:sz w:val="24"/>
                <w:highlight w:val="none"/>
                <w:lang w:eastAsia="en-US"/>
              </w:rPr>
            </w:pPr>
            <w:r>
              <w:rPr>
                <w:rFonts w:hint="eastAsia" w:ascii="宋体" w:hAnsi="宋体" w:eastAsia="宋体" w:cs="宋体"/>
                <w:color w:val="auto"/>
                <w:spacing w:val="-5"/>
                <w:sz w:val="24"/>
                <w:highlight w:val="none"/>
                <w:lang w:eastAsia="en-US"/>
              </w:rPr>
              <w:t xml:space="preserve">▲18</w:t>
            </w:r>
            <w:r/>
          </w:p>
        </w:tc>
        <w:tc>
          <w:tcPr>
            <w:tcW w:w="2289" w:type="dxa"/>
            <w:textDirection w:val="lrTb"/>
            <w:noWrap w:val="false"/>
          </w:tcPr>
          <w:p>
            <w:pPr>
              <w:pStyle w:val="1047"/>
              <w:spacing w:line="281" w:lineRule="exact"/>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穿刺引导功能</w:t>
            </w:r>
            <w:r/>
          </w:p>
        </w:tc>
        <w:tc>
          <w:tcPr>
            <w:tcW w:w="6171" w:type="dxa"/>
            <w:textDirection w:val="lrTb"/>
            <w:noWrap w:val="false"/>
          </w:tcPr>
          <w:p>
            <w:pPr>
              <w:pStyle w:val="1047"/>
              <w:spacing w:line="281"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具有穿刺引导功能</w:t>
            </w:r>
            <w:r/>
          </w:p>
        </w:tc>
      </w:tr>
    </w:tbl>
    <w:p>
      <w:pPr>
        <w:rPr>
          <w:rFonts w:hint="eastAsia" w:ascii="宋体" w:hAnsi="宋体" w:eastAsia="宋体" w:cs="宋体"/>
          <w:b/>
          <w:color w:val="auto"/>
          <w:spacing w:val="1"/>
          <w:sz w:val="24"/>
          <w:highlight w:val="none"/>
        </w:rPr>
      </w:pPr>
      <w:r>
        <w:rPr>
          <w:rFonts w:hint="eastAsia" w:ascii="宋体" w:hAnsi="宋体" w:eastAsia="宋体" w:cs="宋体"/>
          <w:b/>
          <w:color w:val="auto"/>
          <w:spacing w:val="1"/>
          <w:sz w:val="24"/>
          <w:highlight w:val="none"/>
        </w:rPr>
        <w:br w:type="page" w:clear="all"/>
      </w:r>
      <w:r/>
    </w:p>
    <w:p>
      <w:pPr>
        <w:spacing w:before="288"/>
        <w:rPr>
          <w:rFonts w:hint="eastAsia" w:ascii="宋体" w:hAnsi="宋体" w:eastAsia="宋体" w:cs="宋体"/>
          <w:b/>
          <w:color w:val="auto"/>
          <w:sz w:val="24"/>
          <w:highlight w:val="none"/>
        </w:rPr>
      </w:pPr>
      <w:r>
        <w:rPr>
          <w:rFonts w:hint="eastAsia" w:ascii="宋体" w:hAnsi="宋体" w:eastAsia="宋体" w:cs="宋体"/>
          <w:b/>
          <w:color w:val="auto"/>
          <w:spacing w:val="1"/>
          <w:sz w:val="24"/>
          <w:highlight w:val="none"/>
        </w:rPr>
        <w:t xml:space="preserve">三、超声微探头系统 1套</w:t>
      </w:r>
      <w:r/>
    </w:p>
    <w:p>
      <w:pPr>
        <w:rPr>
          <w:rFonts w:hint="eastAsia" w:ascii="宋体" w:hAnsi="宋体" w:eastAsia="宋体" w:cs="宋体"/>
          <w:color w:val="auto"/>
          <w:sz w:val="22"/>
          <w:szCs w:val="22"/>
          <w:highlight w:val="none"/>
        </w:rPr>
      </w:pPr>
      <w:r>
        <w:rPr>
          <w:rFonts w:hint="eastAsia" w:ascii="宋体" w:hAnsi="宋体" w:eastAsia="宋体" w:cs="宋体"/>
          <w:b/>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890905</wp:posOffset>
                </wp:positionH>
                <wp:positionV relativeFrom="paragraph">
                  <wp:posOffset>30480</wp:posOffset>
                </wp:positionV>
                <wp:extent cx="5727065" cy="7101205"/>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5651500" cy="5749289"/>
                        </a:xfrm>
                        <a:prstGeom prst="rect">
                          <a:avLst/>
                        </a:prstGeom>
                        <a:noFill/>
                        <a:ln>
                          <a:noFill/>
                        </a:ln>
                        <a:effectLst/>
                      </wps:spPr>
                      <wps:txbx>
                        <w:txbxContent>
                          <w:tbl>
                            <w:tblPr>
                              <w:tblStyle w:val="1030"/>
                              <w:tblW w:w="0" w:type="auto"/>
                              <w:tblInd w:w="6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665"/>
                              <w:gridCol w:w="2254"/>
                              <w:gridCol w:w="5841"/>
                            </w:tblGrid>
                            <w:tr>
                              <w:trPr>
                                <w:trHeight w:val="366"/>
                              </w:trPr>
                              <w:tc>
                                <w:tcPr>
                                  <w:gridSpan w:val="3"/>
                                  <w:tcW w:w="8760"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（⼀）超声微探头系统</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超声扫描模式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B 模式</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扫描⽅式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机械环扫</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bookmarkStart w:id="22" w:name="OLE_LINK8"/>
                                  <w:r/>
                                  <w:bookmarkStart w:id="23" w:name="OLE_LINK9"/>
                                  <w:r>
                                    <w:rPr>
                                      <w:rFonts w:hint="eastAsia" w:ascii="宋体" w:hAnsi="宋体" w:eastAsia="宋体" w:cs="宋体"/>
                                      <w:color w:val="000008"/>
                                      <w:spacing w:val="-3"/>
                                      <w:sz w:val="24"/>
                                      <w:lang w:eastAsia="en-US"/>
                                    </w:rPr>
                                    <w:t xml:space="preserve">▲</w:t>
                                  </w:r>
                                  <w:bookmarkEnd w:id="22"/>
                                  <w:r/>
                                  <w:bookmarkEnd w:id="23"/>
                                  <w:r>
                                    <w:rPr>
                                      <w:rFonts w:hint="eastAsia" w:ascii="宋体" w:hAnsi="宋体" w:eastAsia="宋体" w:cs="宋体"/>
                                      <w:color w:val="000008"/>
                                      <w:spacing w:val="-3"/>
                                      <w:sz w:val="24"/>
                                      <w:lang w:eastAsia="en-US"/>
                                    </w:rPr>
                                    <w:t xml:space="preserve">3</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超声波中⼼频率</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范围≥7.5MHz～25MHz</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4</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超声分辨率</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≤1.0mm</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5</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扫描范围</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≥20mm～120mm，360°环扫</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6</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图像轨迹球</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通过轨迹球操作，灵活简便</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7</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带有图像镜像功能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可将超声图像进⾏左右翻转，适应供不同医⽣使⽤。</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8</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图像对⽐度调整</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可对图像对⽐度进⾏≥3 档调整</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9</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距离测量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可对图像进⾏两点间测量</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10</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增益调整功能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可对图像进⾏增益调整</w:t>
                                  </w:r>
                                  <w:r/>
                                </w:p>
                              </w:tc>
                            </w:tr>
                            <w:tr>
                              <w:trPr>
                                <w:trHeight w:val="619"/>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11</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图像旋转功能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可对图像进⾏旋转调节功能，可将需要观察的部位旋</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转⾄医⽣视野合适的位置</w:t>
                                  </w:r>
                                  <w:r/>
                                </w:p>
                              </w:tc>
                            </w:tr>
                            <w:tr>
                              <w:trPr>
                                <w:trHeight w:val="619"/>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▲13</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超声探头专⽤主机</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独⽴的超声探头专⽤主机，与其他内镜下超声设备</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独⽴区分，不重复。</w:t>
                                  </w:r>
                                  <w:r/>
                                </w:p>
                              </w:tc>
                            </w:tr>
                            <w:tr>
                              <w:trPr>
                                <w:trHeight w:val="612"/>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14</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图像冻结和回放功</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可冻结两秒内的≥32 幅超声图像</w:t>
                                  </w:r>
                                  <w:r/>
                                </w:p>
                              </w:tc>
                            </w:tr>
                            <w:tr>
                              <w:trPr>
                                <w:trHeight w:val="619"/>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★15</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兼容性</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该超声微探头系统须与内镜处理系统为同⼀品牌⼚家</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⽣产，具有良好兼容性，⽅便售后服务。</w:t>
                                  </w:r>
                                  <w:r/>
                                </w:p>
                              </w:tc>
                            </w:tr>
                            <w:tr>
                              <w:trPr>
                                <w:trHeight w:val="310"/>
                              </w:trPr>
                              <w:tc>
                                <w:tcPr>
                                  <w:gridSpan w:val="3"/>
                                  <w:tcW w:w="8760"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（⼆）超声探头：</w:t>
                                  </w:r>
                                  <w:r/>
                                </w:p>
                              </w:tc>
                            </w:tr>
                            <w:tr>
                              <w:trPr>
                                <w:trHeight w:val="29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显示模式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B 模式</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超声扫描⽅向</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垂直于插⼊⽅向</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3</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扫描⽅式</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360°机械环扫</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▲4</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频率配置要求</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为固定频率，减少故障率；其中≥12MHz 和 20MHz 各</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配置壹根</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5</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有效⻓度</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≥2120mm</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6</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兼容性强</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适⽤于各种内镜（含⼩肠镜），如同做活检⼀样进⾏</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超声诊断</w:t>
                                  </w:r>
                                  <w:r/>
                                </w:p>
                              </w:tc>
                            </w:tr>
                          </w:tbl>
                          <w:p>
                            <w:pPr>
                              <w:pStyle w:val="792"/>
                            </w:pPr>
                            <w:r/>
                            <w:r/>
                          </w:p>
                        </w:txbxContent>
                      </wps:txbx>
                      <wps:bodyPr vert="horz" wrap="square" lIns="0" tIns="0" rIns="0" bIns="0" rtlCol="0" anchor="t" anchorCtr="0">
                        <a:noAutofit/>
                      </wps:bodyPr>
                    </wps:wsp>
                  </a:graphicData>
                </a:graphic>
              </wp:anchor>
            </w:drawing>
          </mc:Choice>
          <mc:Fallback>
            <w:pict>
              <v:shape id="shape 4" o:spid="_x0000_s4" o:spt="202" type="#_x0000_t202" style="position:absolute;z-index:251661312;o:allowoverlap:true;o:allowincell:true;mso-position-horizontal-relative:page;margin-left:70.1pt;mso-position-horizontal:absolute;mso-position-vertical-relative:text;margin-top:2.4pt;mso-position-vertical:absolute;width:450.9pt;height:559.1pt;mso-wrap-distance-left:9.0pt;mso-wrap-distance-top:0.0pt;mso-wrap-distance-right:9.0pt;mso-wrap-distance-bottom:0.0pt;v-text-anchor:top;visibility:visible;" filled="f" stroked="f">
                <v:textbox inset="0,0,0,0">
                  <w:txbxContent>
                    <w:tbl>
                      <w:tblPr>
                        <w:tblStyle w:val="1030"/>
                        <w:tblW w:w="0" w:type="auto"/>
                        <w:tblInd w:w="6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665"/>
                        <w:gridCol w:w="2254"/>
                        <w:gridCol w:w="5841"/>
                      </w:tblGrid>
                      <w:tr>
                        <w:trPr>
                          <w:trHeight w:val="366"/>
                        </w:trPr>
                        <w:tc>
                          <w:tcPr>
                            <w:gridSpan w:val="3"/>
                            <w:tcW w:w="8760"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（⼀）超声微探头系统</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超声扫描模式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B 模式</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扫描⽅式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机械环扫</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bookmarkStart w:id="22" w:name="OLE_LINK8"/>
                            <w:r/>
                            <w:bookmarkStart w:id="23" w:name="OLE_LINK9"/>
                            <w:r>
                              <w:rPr>
                                <w:rFonts w:hint="eastAsia" w:ascii="宋体" w:hAnsi="宋体" w:eastAsia="宋体" w:cs="宋体"/>
                                <w:color w:val="000008"/>
                                <w:spacing w:val="-3"/>
                                <w:sz w:val="24"/>
                                <w:lang w:eastAsia="en-US"/>
                              </w:rPr>
                              <w:t xml:space="preserve">▲</w:t>
                            </w:r>
                            <w:bookmarkEnd w:id="22"/>
                            <w:r/>
                            <w:bookmarkEnd w:id="23"/>
                            <w:r>
                              <w:rPr>
                                <w:rFonts w:hint="eastAsia" w:ascii="宋体" w:hAnsi="宋体" w:eastAsia="宋体" w:cs="宋体"/>
                                <w:color w:val="000008"/>
                                <w:spacing w:val="-3"/>
                                <w:sz w:val="24"/>
                                <w:lang w:eastAsia="en-US"/>
                              </w:rPr>
                              <w:t xml:space="preserve">3</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超声波中⼼频率</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范围≥7.5MHz～25MHz</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4</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超声分辨率</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≤1.0mm</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5</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扫描范围</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≥20mm～120mm，360°环扫</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6</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图像轨迹球</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通过轨迹球操作，灵活简便</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7</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带有图像镜像功能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可将超声图像进⾏左右翻转，适应供不同医⽣使⽤。</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8</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图像对⽐度调整</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可对图像对⽐度进⾏≥3 档调整</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9</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距离测量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可对图像进⾏两点间测量</w:t>
                            </w:r>
                            <w:r/>
                          </w:p>
                        </w:tc>
                      </w:tr>
                      <w:tr>
                        <w:trPr>
                          <w:trHeight w:val="31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10</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增益调整功能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可对图像进⾏增益调整</w:t>
                            </w:r>
                            <w:r/>
                          </w:p>
                        </w:tc>
                      </w:tr>
                      <w:tr>
                        <w:trPr>
                          <w:trHeight w:val="619"/>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11</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图像旋转功能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可对图像进⾏旋转调节功能，可将需要观察的部位旋</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转⾄医⽣视野合适的位置</w:t>
                            </w:r>
                            <w:r/>
                          </w:p>
                        </w:tc>
                      </w:tr>
                      <w:tr>
                        <w:trPr>
                          <w:trHeight w:val="619"/>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▲13</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超声探头专⽤主机</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独⽴的超声探头专⽤主机，与其他内镜下超声设备</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独⽴区分，不重复。</w:t>
                            </w:r>
                            <w:r/>
                          </w:p>
                        </w:tc>
                      </w:tr>
                      <w:tr>
                        <w:trPr>
                          <w:trHeight w:val="612"/>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14</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图像冻结和回放功</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能</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可冻结两秒内的≥32 幅超声图像</w:t>
                            </w:r>
                            <w:r/>
                          </w:p>
                        </w:tc>
                      </w:tr>
                      <w:tr>
                        <w:trPr>
                          <w:trHeight w:val="619"/>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★15</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兼容性</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该超声微探头系统须与内镜处理系统为同⼀品牌⼚家</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⽣产，具有良好兼容性，⽅便售后服务。</w:t>
                            </w:r>
                            <w:r/>
                          </w:p>
                        </w:tc>
                      </w:tr>
                      <w:tr>
                        <w:trPr>
                          <w:trHeight w:val="310"/>
                        </w:trPr>
                        <w:tc>
                          <w:tcPr>
                            <w:gridSpan w:val="3"/>
                            <w:tcW w:w="8760"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（⼆）超声探头：</w:t>
                            </w:r>
                            <w:r/>
                          </w:p>
                        </w:tc>
                      </w:tr>
                      <w:tr>
                        <w:trPr>
                          <w:trHeight w:val="290"/>
                        </w:trPr>
                        <w:tc>
                          <w:tcPr>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1</w:t>
                            </w:r>
                            <w:r/>
                          </w:p>
                        </w:tc>
                        <w:tc>
                          <w:tcPr>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显示模式</w:t>
                            </w:r>
                            <w:r/>
                          </w:p>
                        </w:tc>
                        <w:tc>
                          <w:tcPr>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B 模式</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超声扫描⽅向</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垂直于插⼊⽅向</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3</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扫描⽅式</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360°机械环扫</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▲4</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频率配置要求</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为固定频率，减少故障率；其中≥12MHz 和 20MHz 各</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配置壹根</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5</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有效⻓度</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≥2120mm</w:t>
                            </w:r>
                            <w:r/>
                          </w:p>
                        </w:tc>
                      </w:tr>
                      <w:tr>
                        <w:trPr>
                          <w:trHeight w:val="290"/>
                        </w:trPr>
                        <w:tc>
                          <w:tcPr>
                            <w:shd w:val="clear" w:color="auto" w:fill="auto"/>
                            <w:tcW w:w="665"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6</w:t>
                            </w:r>
                            <w:r/>
                          </w:p>
                        </w:tc>
                        <w:tc>
                          <w:tcPr>
                            <w:shd w:val="clear" w:color="auto" w:fill="auto"/>
                            <w:tcW w:w="2254"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兼容性强</w:t>
                            </w:r>
                            <w:r/>
                          </w:p>
                        </w:tc>
                        <w:tc>
                          <w:tcPr>
                            <w:shd w:val="clear" w:color="auto" w:fill="auto"/>
                            <w:tcW w:w="5841" w:type="dxa"/>
                            <w:textDirection w:val="lrTb"/>
                            <w:noWrap w:val="false"/>
                          </w:tcPr>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适⽤于各种内镜（含⼩肠镜），如同做活检⼀样进⾏</w:t>
                            </w:r>
                            <w:r/>
                          </w:p>
                          <w:p>
                            <w:pPr>
                              <w:pStyle w:val="1047"/>
                              <w:spacing w:line="281" w:lineRule="exact"/>
                              <w:rPr>
                                <w:rFonts w:hint="eastAsia" w:ascii="宋体" w:hAnsi="宋体" w:eastAsia="宋体" w:cs="宋体"/>
                                <w:color w:val="000008"/>
                                <w:spacing w:val="-3"/>
                                <w:sz w:val="24"/>
                                <w:lang w:eastAsia="en-US"/>
                              </w:rPr>
                            </w:pPr>
                            <w:r>
                              <w:rPr>
                                <w:rFonts w:hint="eastAsia" w:ascii="宋体" w:hAnsi="宋体" w:eastAsia="宋体" w:cs="宋体"/>
                                <w:color w:val="000008"/>
                                <w:spacing w:val="-3"/>
                                <w:sz w:val="24"/>
                                <w:lang w:eastAsia="en-US"/>
                              </w:rPr>
                              <w:t xml:space="preserve">超声诊断</w:t>
                            </w:r>
                            <w:r/>
                          </w:p>
                        </w:tc>
                      </w:tr>
                    </w:tbl>
                    <w:p>
                      <w:pPr>
                        <w:pStyle w:val="792"/>
                      </w:pPr>
                      <w:r/>
                      <w:r/>
                    </w:p>
                  </w:txbxContent>
                </v:textbox>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tabs>
          <w:tab w:val="left" w:pos="157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left"/>
        <w:tabs>
          <w:tab w:val="left" w:pos="1570" w:leader="none"/>
        </w:tabs>
        <w:rPr>
          <w:rFonts w:hint="eastAsia" w:ascii="宋体" w:hAnsi="宋体" w:eastAsia="宋体" w:cs="宋体"/>
          <w:color w:val="auto"/>
          <w:highlight w:val="none"/>
        </w:rPr>
        <w:sectPr>
          <w:footnotePr/>
          <w:endnotePr/>
          <w:type w:val="nextPage"/>
          <w:pgSz w:w="11900" w:h="16820" w:orient="portrait"/>
          <w:pgMar w:top="1420" w:right="1417" w:bottom="1160" w:left="1417" w:header="0" w:footer="975" w:gutter="0"/>
          <w:cols w:num="1" w:sep="0" w:space="720" w:equalWidth="1"/>
          <w:docGrid w:linePitch="360"/>
        </w:sectPr>
      </w:pPr>
      <w:r>
        <w:rPr>
          <w:rFonts w:hint="eastAsia" w:ascii="宋体" w:hAnsi="宋体" w:eastAsia="宋体" w:cs="宋体"/>
          <w:color w:val="auto"/>
          <w:highlight w:val="none"/>
        </w:rPr>
      </w:r>
      <w:r/>
    </w:p>
    <w:p>
      <w:pPr>
        <w:rPr>
          <w:rFonts w:hint="eastAsia" w:ascii="宋体" w:hAnsi="宋体" w:eastAsia="宋体" w:cs="宋体"/>
          <w:b/>
          <w:color w:val="auto"/>
          <w:spacing w:val="1"/>
          <w:sz w:val="24"/>
          <w:highlight w:val="none"/>
          <w:lang w:val="en-US" w:eastAsia="zh-CN"/>
        </w:rPr>
      </w:pPr>
      <w:r>
        <w:rPr>
          <w:rFonts w:hint="eastAsia" w:ascii="宋体" w:hAnsi="宋体" w:eastAsia="宋体" w:cs="宋体"/>
          <w:b/>
          <w:color w:val="auto"/>
          <w:spacing w:val="1"/>
          <w:sz w:val="24"/>
          <w:highlight w:val="none"/>
          <w:lang w:val="en-US" w:eastAsia="zh-CN"/>
        </w:rPr>
        <w:t xml:space="preserve">四、电子胃肠镜系统1套</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1.屏幕分辨率：≥4K</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2.色彩调节：亮度，RGB，色度: ≥9 档可调（-4 至+4），Red Hue（红色色调）：</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≥9档可调（-4 至+4）</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3.对比度：≥3 档可调</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4.测光模式：平均测光;峰值测光;自动测光</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5.图像增强（结构强调）：ON/OFF，A/B Mode 各 0-8 档</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6.图像放大：兼容内镜均可电子放大≥2 倍，逐级放大</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▲7.特殊光模式：RDI，CBI,ACI,DSI,MSI至少具备以上一种，可改善血液颜色细微差异的可视化,特别是出血源的定位</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8.分光图像强调技术 FICE 可扩展电子分光技术，≥10 种预设，预设可调</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9.图像类型：≥2 种</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10.冻结模式：实时冻结，有三种冻结模式可选</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11.快门速度：正常 1/60-1/200，高 1/100-1/800，高（放大镜）1/100-1/800</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12.切换按键：内镜按键，面板多功能键</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13.其他功能：电子放大功能，画外画功能，双观察模式功能，网络功能</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14.照明光源：≥4 色 LED</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15.LED 使用寿命：≥6 年</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16.光源控制：通过控制信号自动控制灯</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17.最大气压：≥65kPa</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18.自动亮度调整方式：根据视频信号输出自动调整亮度（也可手动调整）</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19.兼容内窥镜：可兼容同品牌高清电子胃肠镜，高清治疗电子胃肠镜，光学放大胃肠镜，高清经鼻内镜，高清电子十二指肠镜，双钳道电子胃镜，小肠镜，环扫/扇扫超声胃镜，超声支气管镜，高清支气管镜，高清鼻咽喉镜</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20.远程控制：可远程控制打印机、录像机，输出触发信号控制外围设备</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★21.主机光源为一体式设计</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22.内置存储器：有</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23.气泵：横隔膜式气泵</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24.压力切换：高/中/低/关</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25.方式：可为拆卸水瓶加压,实现送水</w:t>
      </w:r>
      <w:r/>
    </w:p>
    <w:p>
      <w:pPr>
        <w:rPr>
          <w:rFonts w:hint="eastAsia" w:ascii="宋体" w:hAnsi="宋体" w:eastAsia="宋体" w:cs="宋体"/>
          <w:color w:val="auto"/>
          <w:highlight w:val="none"/>
        </w:rPr>
      </w:pPr>
      <w:r>
        <w:rPr>
          <w:rFonts w:hint="eastAsia" w:ascii="宋体" w:hAnsi="宋体" w:eastAsia="宋体" w:cs="宋体"/>
          <w:b/>
          <w:color w:val="auto"/>
          <w:spacing w:val="1"/>
          <w:sz w:val="24"/>
          <w:highlight w:val="none"/>
          <w:lang w:val="en-US" w:eastAsia="zh-CN"/>
        </w:rPr>
        <w:t xml:space="preserve">五、4K显示器 1台</w:t>
      </w:r>
      <w:r/>
    </w:p>
    <w:p>
      <w:pPr>
        <w:pStyle w:val="1047"/>
        <w:spacing w:line="282" w:lineRule="exact"/>
        <w:rPr>
          <w:rFonts w:hint="eastAsia" w:ascii="宋体" w:hAnsi="宋体" w:eastAsia="宋体" w:cs="宋体"/>
          <w:color w:val="auto"/>
          <w:spacing w:val="-3"/>
          <w:sz w:val="24"/>
          <w:highlight w:val="none"/>
          <w:lang w:eastAsia="en-US"/>
        </w:rPr>
      </w:pPr>
      <w:r>
        <w:rPr>
          <w:rFonts w:hint="eastAsia" w:ascii="宋体" w:hAnsi="宋体" w:eastAsia="宋体" w:cs="宋体"/>
          <w:color w:val="auto"/>
          <w:spacing w:val="-3"/>
          <w:sz w:val="24"/>
          <w:highlight w:val="none"/>
          <w:lang w:eastAsia="en-US"/>
        </w:rPr>
        <w:t xml:space="preserve">1.分辨率≥3840*2160，尺寸≥32寸</w:t>
      </w:r>
      <w:r/>
    </w:p>
    <w:p>
      <w:pPr>
        <w:rPr>
          <w:color w:val="auto"/>
          <w:highlight w:val="none"/>
        </w:rPr>
      </w:pPr>
      <w:r>
        <w:rPr>
          <w:rFonts w:hint="eastAsia" w:ascii="宋体" w:hAnsi="宋体" w:eastAsia="宋体" w:cs="宋体"/>
          <w:b/>
          <w:color w:val="auto"/>
          <w:spacing w:val="1"/>
          <w:sz w:val="24"/>
          <w:highlight w:val="none"/>
        </w:rPr>
        <w:t xml:space="preserve">六</w:t>
      </w:r>
      <w:r>
        <w:rPr>
          <w:rFonts w:hint="eastAsia" w:ascii="宋体" w:hAnsi="宋体" w:eastAsia="宋体" w:cs="宋体"/>
          <w:b/>
          <w:color w:val="auto"/>
          <w:spacing w:val="1"/>
          <w:sz w:val="24"/>
          <w:highlight w:val="none"/>
          <w:lang w:eastAsia="zh-CN"/>
        </w:rPr>
        <w:t xml:space="preserve">、</w:t>
      </w:r>
      <w:r>
        <w:rPr>
          <w:rFonts w:hint="eastAsia" w:ascii="宋体" w:hAnsi="宋体" w:eastAsia="宋体" w:cs="宋体"/>
          <w:b/>
          <w:color w:val="auto"/>
          <w:spacing w:val="1"/>
          <w:sz w:val="24"/>
          <w:highlight w:val="none"/>
          <w:lang w:val="en-US" w:eastAsia="zh-CN"/>
        </w:rPr>
        <w:t xml:space="preserve">专用</w:t>
      </w:r>
      <w:r>
        <w:rPr>
          <w:rFonts w:hint="eastAsia" w:ascii="宋体" w:hAnsi="宋体" w:eastAsia="宋体" w:cs="宋体"/>
          <w:b/>
          <w:color w:val="auto"/>
          <w:spacing w:val="1"/>
          <w:sz w:val="24"/>
          <w:highlight w:val="none"/>
        </w:rPr>
        <w:t xml:space="preserve">台车 1台</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left"/>
        <w:spacing w:line="360" w:lineRule="auto"/>
        <w:tabs>
          <w:tab w:val="left" w:pos="1260" w:leader="none"/>
        </w:tabs>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w:t>
      </w:r>
      <w:r>
        <w:rPr>
          <w:rFonts w:ascii="宋体" w:hAnsi="宋体" w:eastAsia="宋体" w:cs="宋体"/>
          <w:b/>
          <w:bCs/>
          <w:color w:val="auto"/>
          <w:sz w:val="28"/>
          <w:szCs w:val="28"/>
          <w:highlight w:val="none"/>
        </w:rPr>
        <w:t xml:space="preserve">、商务需求</w:t>
      </w:r>
      <w:r>
        <w:rPr>
          <w:rFonts w:hint="eastAsia" w:ascii="宋体" w:hAnsi="宋体" w:eastAsia="宋体" w:cs="宋体"/>
          <w:b/>
          <w:bCs/>
          <w:color w:val="auto"/>
          <w:sz w:val="28"/>
          <w:szCs w:val="28"/>
          <w:highlight w:val="none"/>
        </w:rPr>
        <w:t xml:space="preserve">（商务需求需逐条相应，不得负偏离）</w:t>
      </w:r>
      <w:r/>
    </w:p>
    <w:tbl>
      <w:tblPr>
        <w:tblStyle w:val="787"/>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957"/>
        <w:gridCol w:w="5973"/>
      </w:tblGrid>
      <w:tr>
        <w:trPr>
          <w:jc w:val="center"/>
          <w:trHeight w:val="750"/>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序号</w:t>
            </w: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商务和服务项目</w:t>
            </w: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商务和服务要求</w:t>
            </w:r>
            <w:r/>
          </w:p>
        </w:tc>
      </w:tr>
      <w:tr>
        <w:trPr>
          <w:jc w:val="center"/>
          <w:trHeight w:val="759"/>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交货期</w:t>
            </w: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合同签订后30天内</w:t>
            </w:r>
            <w:r/>
          </w:p>
        </w:tc>
      </w:tr>
      <w:tr>
        <w:trPr>
          <w:jc w:val="center"/>
          <w:trHeight w:val="867"/>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w:t>
            </w: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售后服务</w:t>
            </w:r>
            <w:r/>
          </w:p>
        </w:tc>
        <w:tc>
          <w:tcPr>
            <w:tcW w:w="5974" w:type="dxa"/>
            <w:vAlign w:val="center"/>
            <w:textDirection w:val="lrTb"/>
            <w:noWrap w:val="false"/>
          </w:tcPr>
          <w:p>
            <w:pPr>
              <w:pStyle w:val="792"/>
              <w:spacing w:line="360" w:lineRule="auto"/>
              <w:rPr>
                <w:rFonts w:asciiTheme="minorEastAsia" w:hAnsiTheme="minorEastAsia" w:eastAsiaTheme="minorEastAsia"/>
                <w:color w:val="auto"/>
                <w:sz w:val="24"/>
                <w:szCs w:val="24"/>
                <w:highlight w:val="none"/>
              </w:rPr>
            </w:pPr>
            <w:r>
              <w:rPr>
                <w:rFonts w:hint="eastAsia" w:ascii="宋体" w:hAnsi="宋体" w:eastAsia="宋体" w:cs="宋体"/>
                <w:bCs/>
                <w:color w:val="auto"/>
                <w:sz w:val="24"/>
                <w:szCs w:val="24"/>
                <w:highlight w:val="none"/>
              </w:rPr>
              <w:t xml:space="preserve">1、质保期：</w:t>
            </w:r>
            <w:r>
              <w:rPr>
                <w:rFonts w:hint="eastAsia" w:ascii="宋体" w:hAnsi="宋体" w:eastAsia="宋体" w:cs="宋体"/>
                <w:bCs/>
                <w:color w:val="auto"/>
                <w:sz w:val="24"/>
                <w:szCs w:val="24"/>
                <w:highlight w:val="none"/>
              </w:rPr>
              <w:t xml:space="preserve">原厂整机免费质保≥五年</w:t>
            </w:r>
            <w:r>
              <w:rPr>
                <w:rFonts w:hint="eastAsia" w:ascii="宋体" w:hAnsi="宋体" w:eastAsia="宋体" w:cs="宋体"/>
                <w:bCs/>
                <w:color w:val="auto"/>
                <w:sz w:val="24"/>
                <w:szCs w:val="24"/>
                <w:highlight w:val="none"/>
              </w:rPr>
              <w:t xml:space="preserve">（含配件及易损件）；质保期后的维修只收取零备件费。接到客户反馈后半小时响应，24小时内赶到现场维修。</w:t>
            </w:r>
            <w:r/>
          </w:p>
          <w:p>
            <w:pPr>
              <w:pStyle w:val="79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2、免费送货至医院指定地点安装调试，免费培训工程师、操作人员至能熟练操作为止。</w:t>
            </w:r>
            <w:r/>
          </w:p>
          <w:p>
            <w:pPr>
              <w:pStyle w:val="79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3、设备交付使用后，定期对设备进行维护保养，在保修期内提供免费维护保养服务两次。</w:t>
            </w:r>
            <w:r/>
          </w:p>
          <w:p>
            <w:pPr>
              <w:pStyle w:val="79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4、保证所提供设备的配件</w:t>
            </w:r>
            <w:r>
              <w:rPr>
                <w:rFonts w:asciiTheme="minorEastAsia" w:hAnsiTheme="minorEastAsia" w:eastAsiaTheme="minorEastAsia"/>
                <w:color w:val="auto"/>
                <w:sz w:val="24"/>
                <w:szCs w:val="24"/>
                <w:highlight w:val="none"/>
              </w:rPr>
              <w:t xml:space="preserve">10</w:t>
            </w:r>
            <w:r>
              <w:rPr>
                <w:rFonts w:hint="eastAsia" w:asciiTheme="minorEastAsia" w:hAnsiTheme="minorEastAsia" w:eastAsiaTheme="minorEastAsia"/>
                <w:color w:val="auto"/>
                <w:sz w:val="24"/>
                <w:szCs w:val="24"/>
                <w:highlight w:val="none"/>
              </w:rPr>
              <w:t xml:space="preserve">年供货期，承诺期内保证配件需求。</w:t>
            </w:r>
            <w:r/>
          </w:p>
          <w:p>
            <w:pPr>
              <w:pStyle w:val="792"/>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5、定期对机器清洁、性能测试及校准、必要的机械或电气的检查。</w:t>
            </w:r>
            <w:r/>
          </w:p>
        </w:tc>
      </w:tr>
      <w:tr>
        <w:trPr>
          <w:jc w:val="center"/>
          <w:trHeight w:val="810"/>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w:t>
            </w: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交货地点</w:t>
            </w: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泰兴市人民医院指定地点</w:t>
            </w:r>
            <w:r/>
          </w:p>
        </w:tc>
      </w:tr>
      <w:tr>
        <w:trPr>
          <w:jc w:val="center"/>
          <w:trHeight w:val="837"/>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包装运输</w:t>
            </w:r>
            <w:r/>
          </w:p>
        </w:tc>
        <w:tc>
          <w:tcPr>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由供应商承担</w:t>
            </w:r>
            <w:r/>
          </w:p>
        </w:tc>
      </w:tr>
      <w:tr>
        <w:trPr>
          <w:jc w:val="center"/>
          <w:trHeight w:val="692"/>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w:t>
            </w:r>
            <w:r/>
          </w:p>
        </w:tc>
        <w:tc>
          <w:tcPr>
            <w:shd w:val="clear" w:color="auto" w:fill="ffffff" w:themeFill="background1"/>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付款方式</w:t>
            </w:r>
            <w:r/>
          </w:p>
        </w:tc>
        <w:tc>
          <w:tcPr>
            <w:shd w:val="clear" w:color="auto" w:fill="ffffff" w:themeFill="background1"/>
            <w:tcW w:w="5974"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cs="仿宋" w:asciiTheme="minorEastAsia" w:hAnsiTheme="minorEastAsia" w:eastAsiaTheme="minorEastAsia"/>
                <w:color w:val="auto"/>
                <w:sz w:val="24"/>
                <w:szCs w:val="24"/>
                <w:highlight w:val="none"/>
              </w:rPr>
              <w:t xml:space="preserve">设备安装、调试、验收合格后凭验收合格报告付合同价的90%，余款2026年年底付款。</w:t>
            </w:r>
            <w:r/>
          </w:p>
        </w:tc>
      </w:tr>
      <w:tr>
        <w:trPr>
          <w:jc w:val="center"/>
          <w:trHeight w:val="692"/>
        </w:trPr>
        <w:tc>
          <w:tcPr>
            <w:tcW w:w="1011"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shd w:val="clear" w:color="auto" w:fill="ffffff" w:themeFill="background1"/>
            <w:tcW w:w="1957" w:type="dxa"/>
            <w:vAlign w:val="center"/>
            <w:textDirection w:val="lrTb"/>
            <w:noWrap w:val="false"/>
          </w:tcPr>
          <w:p>
            <w:pPr>
              <w:jc w:val="center"/>
              <w:spacing w:line="34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设备出厂日期</w:t>
            </w:r>
            <w:r/>
          </w:p>
        </w:tc>
        <w:tc>
          <w:tcPr>
            <w:shd w:val="clear" w:color="auto" w:fill="ffffff" w:themeFill="background1"/>
            <w:tcW w:w="5974" w:type="dxa"/>
            <w:vAlign w:val="center"/>
            <w:textDirection w:val="lrTb"/>
            <w:noWrap w:val="false"/>
          </w:tcPr>
          <w:p>
            <w:pPr>
              <w:jc w:val="center"/>
              <w:spacing w:line="340" w:lineRule="exact"/>
              <w:widowControl/>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设备交付日期距出厂日期≤半年(进口设备≤九个月)。</w:t>
            </w:r>
            <w:r/>
          </w:p>
        </w:tc>
      </w:tr>
    </w:tbl>
    <w:p>
      <w:pPr>
        <w:jc w:val="left"/>
        <w:spacing w:line="360" w:lineRule="auto"/>
        <w:tabs>
          <w:tab w:val="left" w:pos="1260" w:leader="none"/>
        </w:tabs>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三、采购标的的所属行业</w:t>
      </w:r>
      <w:r/>
    </w:p>
    <w:p>
      <w:pPr>
        <w:rPr>
          <w:rFonts w:ascii="宋体" w:hAnsi="宋体" w:eastAsia="宋体" w:cs="宋体"/>
          <w:b/>
          <w:color w:val="auto"/>
          <w:sz w:val="32"/>
          <w:highlight w:val="none"/>
        </w:rPr>
      </w:pPr>
      <w:r>
        <w:rPr>
          <w:rFonts w:hint="eastAsia" w:cs="仿宋" w:asciiTheme="minorEastAsia" w:hAnsiTheme="minorEastAsia" w:eastAsiaTheme="minorEastAsia"/>
          <w:color w:val="auto"/>
          <w:sz w:val="24"/>
          <w:szCs w:val="24"/>
          <w:highlight w:val="none"/>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auto"/>
          <w:sz w:val="24"/>
          <w:szCs w:val="24"/>
          <w:highlight w:val="none"/>
          <w:u w:val="single"/>
        </w:rPr>
        <w:t xml:space="preserve"> 工业  </w:t>
      </w:r>
      <w:r>
        <w:rPr>
          <w:rFonts w:hint="eastAsia" w:cs="仿宋" w:asciiTheme="minorEastAsia" w:hAnsiTheme="minorEastAsia" w:eastAsiaTheme="minorEastAsia"/>
          <w:color w:val="auto"/>
          <w:sz w:val="24"/>
          <w:szCs w:val="24"/>
          <w:highlight w:val="none"/>
        </w:rPr>
        <w:t xml:space="preserve">。</w:t>
      </w:r>
      <w:r>
        <w:rPr>
          <w:rFonts w:ascii="宋体" w:hAnsi="宋体" w:eastAsia="宋体" w:cs="宋体"/>
          <w:b/>
          <w:color w:val="auto"/>
          <w:sz w:val="32"/>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评标办法及标准</w:t>
      </w:r>
      <w:r/>
    </w:p>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一、资格审查。</w:t>
      </w:r>
      <w:r>
        <w:rPr>
          <w:rFonts w:ascii="宋体" w:hAnsi="宋体" w:eastAsia="宋体" w:cs="宋体"/>
          <w:color w:val="auto"/>
          <w:sz w:val="24"/>
          <w:highlight w:val="none"/>
        </w:rPr>
        <w:t xml:space="preserve">资格审查人员按照下列指标对各供应商的资格进行审查，未通过审查的为无效标，不参与评审。</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8"/>
        <w:gridCol w:w="425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审查标准</w:t>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无重大违法行为声明</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符合联合体规定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bl>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二、符合性审查。</w:t>
      </w:r>
      <w:r>
        <w:rPr>
          <w:rFonts w:ascii="宋体" w:hAnsi="宋体" w:eastAsia="宋体" w:cs="宋体"/>
          <w:color w:val="auto"/>
          <w:sz w:val="24"/>
          <w:highlight w:val="none"/>
        </w:rPr>
        <w:t xml:space="preserve">采购小组首先按照下列指标对各供应商进行初步评审，未通过评审的为无效标，不再参与评审。</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6"/>
        <w:gridCol w:w="426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其他（实质性条款的响应性）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符合采购文件要求</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三、评标办法：</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本项目评标采用综合评分法，总分为100分。合格投标人的综合得分为各评分项目汇总</w:t>
      </w:r>
      <w:r>
        <w:rPr>
          <w:rFonts w:ascii="宋体" w:hAnsi="宋体" w:eastAsia="宋体" w:cs="宋体"/>
          <w:color w:val="auto"/>
          <w:sz w:val="24"/>
          <w:highlight w:val="none"/>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政府采购政策功能落实</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1、小微型企业价格扣除</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（1）本项目对小型和微型企业产品给予10%的扣除价格，用扣除后的价格参与评审。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（2）供应商需按照采购文件的要求提供相应的《中小企业声明函》。</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2、残疾人福利单位价格扣除</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（1）本项目对残疾人福利性单位视同小型、微型企业，给予10%的价格扣除，用扣除后的价格参与评审。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（2）残疾人福利单位需按照采购文件的要求提供《残疾人福利性单位声明函》。</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（3）残疾人福利单位标准请参照《关于促进残疾人就业政府采购政策的通知》（财库〔2017〕141号）。</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3、监狱和戒毒企业价格扣除</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（1）本项目对监狱和戒毒企业（简称监狱企业）视同小型、微型企业，给予10%的价格扣除，用扣除后的价格参与评审。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（3）监狱企业标准请参照《关于政府采购支持监狱企业发展有关问题的通知》（财库[2014]68号）。</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4、残疾人福利单位、监狱企业属于小型、微型企业的，不重复享受政策。</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强制采购节能产品、信息安全产品，优先采购环境标志产品。节能产品是指列入财政部、国家发展和改革委员会制定的《节能产品政府采购品目清单》，且经过认定的节能产品；信息安全产品是指列入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对国家认定的节能产品和环保产品分别给予投标价的5%价格扣除，用扣除后的价格参与评审（特别说明：节能、环保产品必须纳入“中国政府采购网</w:t>
      </w:r>
      <w:r>
        <w:rPr>
          <w:rFonts w:ascii="宋体" w:hAnsi="宋体" w:eastAsia="宋体" w:cs="宋体"/>
          <w:color w:val="auto"/>
          <w:sz w:val="24"/>
          <w:highlight w:val="none"/>
        </w:rPr>
        <w:br/>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23"/>
          <w:rFonts w:ascii="宋体" w:hAnsi="宋体" w:eastAsia="宋体" w:cs="宋体"/>
          <w:color w:val="auto"/>
          <w:sz w:val="24"/>
          <w:highlight w:val="none"/>
        </w:rPr>
        <w:t xml:space="preserve">http://www.ccgp.gov.cn”等官方网站“节能、环保产品查询系统”</w:t>
      </w:r>
      <w:r>
        <w:rPr>
          <w:rStyle w:val="823"/>
          <w:rFonts w:ascii="宋体" w:hAnsi="宋体" w:eastAsia="宋体" w:cs="宋体"/>
          <w:color w:val="auto"/>
          <w:sz w:val="24"/>
          <w:highlight w:val="none"/>
        </w:rPr>
        <w:fldChar w:fldCharType="end"/>
      </w:r>
      <w:r>
        <w:rPr>
          <w:rFonts w:ascii="宋体" w:hAnsi="宋体" w:eastAsia="宋体" w:cs="宋体"/>
          <w:color w:val="auto"/>
          <w:sz w:val="24"/>
          <w:highlight w:val="none"/>
        </w:rPr>
        <w:t xml:space="preserve">，且以提供的证书复印件为准）。</w:t>
      </w:r>
      <w:r>
        <w:rPr>
          <w:rFonts w:ascii="宋体" w:hAnsi="宋体" w:eastAsia="宋体" w:cs="宋体"/>
          <w:color w:val="auto"/>
          <w:sz w:val="24"/>
          <w:highlight w:val="none"/>
        </w:rPr>
        <w:br/>
      </w:r>
      <w:r>
        <w:rPr>
          <w:rFonts w:ascii="宋体" w:hAnsi="宋体" w:eastAsia="宋体" w:cs="宋体"/>
          <w:color w:val="auto"/>
          <w:sz w:val="24"/>
          <w:highlight w:val="none"/>
        </w:rP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7、联合体各方均为小型、微型企业（残疾人福利单位、监狱企业）的，联合体享受10%价格扣除，用扣除后的价格参与评审。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8、专门面向中小企业采购的项目，小微企业不再享受价格扣除优惠政策。</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9、采购本国产品的支持政策</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本项目政府采购活动中既有本国产品又有非本国产品参与竞争的，依法对本国产品给予价格评审优惠，对本国产品的报价给予20%的价格扣除，用扣除后的价格参与评审。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9.3 供应商需按照招标文件的要求提供《关于符合本国产品标准的声明函》（以下简称《声明函》），如不提供将不享受本国产品价格评审优惠。</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四、评标内容及标准： </w:t>
      </w:r>
      <w:r/>
    </w:p>
    <w:tbl>
      <w:tblPr>
        <w:tblStyle w:val="819"/>
        <w:tblW w:w="507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442"/>
        <w:gridCol w:w="5695"/>
        <w:gridCol w:w="810"/>
      </w:tblGrid>
      <w:tr>
        <w:trPr>
          <w:jc w:val="center"/>
        </w:trPr>
        <w:tc>
          <w:tcPr>
            <w:tcBorders>
              <w:top w:val="single" w:color="000000" w:sz="8"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评标项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评标标准及细则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分值</w:t>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30</w:t>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left="24"/>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91"/>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满足文件基本要求得45分，</w:t>
            </w:r>
            <w:r>
              <w:rPr>
                <w:rFonts w:hint="eastAsia" w:ascii="宋体" w:hAnsi="宋体" w:eastAsia="宋体" w:cs="宋体"/>
                <w:bCs/>
                <w:color w:val="auto"/>
                <w:sz w:val="24"/>
                <w:szCs w:val="24"/>
                <w:highlight w:val="none"/>
              </w:rPr>
              <w:t xml:space="preserve">★项条款为实质性条款，必须无条件响应，否则作无效投标文件处理。</w:t>
            </w:r>
            <w:r>
              <w:rPr>
                <w:rFonts w:hint="eastAsia" w:cs="宋体" w:asciiTheme="minorEastAsia" w:hAnsiTheme="minorEastAsia" w:eastAsiaTheme="minorEastAsia"/>
                <w:bCs/>
                <w:color w:val="auto"/>
                <w:sz w:val="24"/>
                <w:szCs w:val="24"/>
                <w:highlight w:val="none"/>
              </w:rPr>
              <w:t xml:space="preserve">▲项为重要参数，每负偏离一项扣5分。其他技术参数每负偏离一项扣2分，正偏离不加分，最高分45分，最低分0分。</w:t>
            </w:r>
            <w:r/>
          </w:p>
          <w:p>
            <w:pP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45</w:t>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left="24"/>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91"/>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1、提供自2023年01月01日以来（以合同签订时间为准）的投标产品业绩，有1项得1分，满分5分。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（投标时须提供合同扫描件加盖公章，同一采购单位业绩的不重复计分。合同须体现货物名称以及品牌型号，如合同未体现，须提供采购单位出具的证明文件扫描件）。如未按要求提供，不得分。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2、若投标产品首次注册时间为2025年1月之后，无需提供相应业绩，得5分。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注：上述两种计分方案为互斥条款，同一投标产品只可选取其中一种得分方式核算分值，不可合并、叠加计分。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5</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hanging="8"/>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技术培训方案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投标人提供对用户的操作培训、业务功能培训等相关培训计划方案，除正常操作培训外，针对甲方单位的特点，提出其他技术培训保障方案；</w:t>
            </w: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1、技术培训保障方案内容详实、科学、合理，考虑周全，培训计划针对性强、内容详实，培训人员配备齐全、技术水平高、分工明确、岗位设置科学合理，培训率承诺高，得8分。</w:t>
            </w: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2、技术培训保障方案内容详实、考虑较全，培训计划具体，培训人员齐全，培训率承诺较高，得5分。</w:t>
            </w: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3、技术培训保障方案表述简单，培训计划简单、培训人员较少，培训率承诺一般，得3分。</w:t>
            </w:r>
            <w:r/>
          </w:p>
          <w:p>
            <w:pP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4、未提供方案或方案无可行性不得分。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8</w:t>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售后服务实施方案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售后服务实施响应：根据投标人质保期内售后服务（响应时间，回访巡检方案、故障解决措施、技术人员保障、备品配件价格等）、驻地服务方案（各服务网点、维修网点设置情况以及技术人员安排情况）等服务内容</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1）售后方案内容详实、科学、合理，考虑周全，对产品质量管控措施要求全面到位，相关服务承诺内容详实，人员配备齐全，分工明确、岗位设置科学合理，人员配备齐全、设备配备齐全、先进者得7分；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2）售后方案内容详实、考虑较全，对产品质量管控措施要求到位，相关服务承诺内容具体，人员配备齐全、设备配备齐全者得4分；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3）技术培训保障方案表述简单，培训计划简单、培训人员较少，培训率承诺一般者得1分；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7</w:t>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产品性能的先进性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产品综合性能评价：由评委根据根据所投设备的配置选型及品牌、所投产品的设计、制造技术以及产品性能先进性、所涉及到的耗材性价比等因素，结合投标文件提供的佐证材料等进行评审。佐证材料包括但不限于产品技术彩页、技术指标的描述、检测文件及证明照片等内容。</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1）佐证材料全面、产品性能先进性优得5分；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2）佐证材料符合招标文件要求，产品性能先进性较优得3分；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3）佐证材料准备不够齐全，产品性能先进性一般得1分，</w:t>
            </w:r>
            <w:r/>
          </w:p>
          <w:p>
            <w:pP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4）未提供有效佐证材料不得分。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5</w:t>
            </w:r>
            <w:r/>
          </w:p>
        </w:tc>
      </w:tr>
      <w:tr>
        <w:trPr>
          <w:jc w:val="center"/>
        </w:trPr>
        <w:tc>
          <w:tcPr>
            <w:gridSpan w:val="3"/>
            <w:tcBorders>
              <w:top w:val="none" w:color="000000" w:sz="4" w:space="0"/>
              <w:left w:val="single" w:color="000000" w:sz="8" w:space="0"/>
              <w:bottom w:val="single" w:color="000000" w:sz="8" w:space="0"/>
              <w:right w:val="single" w:color="000000" w:sz="8" w:space="0"/>
            </w:tcBorders>
            <w:tcW w:w="8048" w:type="dxa"/>
            <w:textDirection w:val="lrTb"/>
            <w:noWrap w:val="false"/>
          </w:tcPr>
          <w:p>
            <w:pPr>
              <w:jc w:val="center"/>
              <w:rPr>
                <w:rFonts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100</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五、推荐中标候选人:</w:t>
      </w:r>
      <w:r/>
    </w:p>
    <w:p>
      <w:pPr>
        <w:ind w:firstLine="488"/>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汇总上述各项分值（保留两位小数,小数点后第三位四舍五入），按总得分由高到低的顺序排列,综合得分最高的为中标候选人。</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300" w:lineRule="auto"/>
        <w:rPr>
          <w:rFonts w:cs="仿宋" w:asciiTheme="minorEastAsia" w:hAnsiTheme="minorEastAsia" w:eastAsiaTheme="minorEastAsia"/>
          <w:b/>
          <w:color w:val="auto"/>
          <w:sz w:val="32"/>
          <w:szCs w:val="32"/>
          <w:highlight w:val="none"/>
        </w:rPr>
        <w:outlineLvl w:val="0"/>
      </w:pPr>
      <w:r>
        <w:rPr>
          <w:rFonts w:cs="仿宋" w:asciiTheme="minorEastAsia" w:hAnsiTheme="minorEastAsia" w:eastAsiaTheme="minorEastAsia"/>
          <w:b/>
          <w:color w:val="auto"/>
          <w:sz w:val="32"/>
          <w:szCs w:val="32"/>
          <w:highlight w:val="none"/>
        </w:rPr>
      </w:r>
      <w:r/>
    </w:p>
    <w:p>
      <w:pPr>
        <w:jc w:val="center"/>
        <w:spacing w:line="300" w:lineRule="auto"/>
        <w:rPr>
          <w:rFonts w:cs="仿宋" w:asciiTheme="minorEastAsia" w:hAnsiTheme="minorEastAsia" w:eastAsiaTheme="minorEastAsia"/>
          <w:b/>
          <w:color w:val="auto"/>
          <w:sz w:val="32"/>
          <w:szCs w:val="32"/>
          <w:highlight w:val="none"/>
        </w:rPr>
        <w:outlineLvl w:val="0"/>
      </w:pPr>
      <w:r>
        <w:rPr>
          <w:rFonts w:hint="eastAsia" w:cs="仿宋" w:asciiTheme="minorEastAsia" w:hAnsiTheme="minorEastAsia" w:eastAsiaTheme="minorEastAsia"/>
          <w:b/>
          <w:color w:val="auto"/>
          <w:sz w:val="32"/>
          <w:szCs w:val="32"/>
          <w:highlight w:val="none"/>
        </w:rPr>
        <w:t xml:space="preserve">第五章 合同条款</w:t>
      </w:r>
      <w:r/>
    </w:p>
    <w:p>
      <w:pPr>
        <w:ind w:firstLine="567"/>
        <w:jc w:val="center"/>
        <w:rPr>
          <w:rFonts w:ascii="宋体" w:hAnsi="宋体" w:eastAsia="宋体" w:cs="仿宋"/>
          <w:bCs/>
          <w:color w:val="auto"/>
          <w:sz w:val="24"/>
          <w:szCs w:val="24"/>
          <w:highlight w:val="none"/>
        </w:rPr>
      </w:pPr>
      <w:r>
        <w:rPr>
          <w:rFonts w:ascii="宋体" w:hAnsi="宋体" w:eastAsia="宋体" w:cs="仿宋"/>
          <w:bCs/>
          <w:color w:val="auto"/>
          <w:sz w:val="24"/>
          <w:szCs w:val="24"/>
          <w:highlight w:val="none"/>
        </w:rPr>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注：本合同仅为合同的参考文本，合同签订双方可根据项目的具体要求进行修订，但不得更改实质性要求。</w:t>
      </w:r>
      <w:r/>
    </w:p>
    <w:p>
      <w:pPr>
        <w:ind w:firstLine="480"/>
        <w:spacing w:line="360" w:lineRule="auto"/>
        <w:rPr>
          <w:rFonts w:ascii="宋体" w:hAnsi="宋体" w:eastAsia="宋体" w:cs="宋体"/>
          <w:bCs/>
          <w:color w:val="auto"/>
          <w:position w:val="-10"/>
          <w:sz w:val="24"/>
          <w:highlight w:val="none"/>
        </w:rPr>
      </w:pPr>
      <w:r/>
      <w:bookmarkStart w:id="2" w:name="_Toc513029243"/>
      <w:r/>
      <w:bookmarkStart w:id="3" w:name="_Toc16938559"/>
      <w:r/>
      <w:bookmarkStart w:id="4" w:name="_Toc20823315"/>
      <w:r>
        <w:rPr>
          <w:rFonts w:hint="eastAsia" w:ascii="宋体" w:hAnsi="宋体" w:eastAsia="宋体" w:cs="宋体"/>
          <w:bCs/>
          <w:color w:val="auto"/>
          <w:position w:val="-1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
      <w:r/>
      <w:bookmarkEnd w:id="3"/>
      <w:r/>
      <w:bookmarkEnd w:id="4"/>
      <w:r/>
      <w:r/>
    </w:p>
    <w:p>
      <w:pPr>
        <w:rPr>
          <w:b/>
          <w:color w:val="auto"/>
          <w:sz w:val="30"/>
          <w:szCs w:val="30"/>
          <w:highlight w:val="none"/>
        </w:rPr>
      </w:pPr>
      <w:r>
        <w:rPr>
          <w:rFonts w:hint="eastAsia"/>
          <w:b/>
          <w:color w:val="auto"/>
          <w:sz w:val="30"/>
          <w:szCs w:val="30"/>
          <w:highlight w:val="none"/>
        </w:rPr>
        <w:br w:type="page" w:clear="all"/>
      </w:r>
      <w:r/>
    </w:p>
    <w:p>
      <w:pPr>
        <w:jc w:val="center"/>
        <w:spacing w:line="440" w:lineRule="exact"/>
        <w:rPr>
          <w:rFonts w:eastAsia="宋体"/>
          <w:b/>
          <w:color w:val="auto"/>
          <w:sz w:val="30"/>
          <w:szCs w:val="30"/>
          <w:highlight w:val="none"/>
        </w:rPr>
      </w:pPr>
      <w:r>
        <w:rPr>
          <w:rFonts w:hint="eastAsia"/>
          <w:b/>
          <w:color w:val="auto"/>
          <w:sz w:val="30"/>
          <w:szCs w:val="30"/>
          <w:highlight w:val="none"/>
        </w:rPr>
        <w:t xml:space="preserve">合   同</w:t>
      </w:r>
      <w:r/>
    </w:p>
    <w:p>
      <w:pPr>
        <w:ind w:left="5565" w:hanging="5565"/>
        <w:spacing w:line="440" w:lineRule="exact"/>
        <w:rPr>
          <w:color w:val="auto"/>
          <w:sz w:val="21"/>
          <w:szCs w:val="21"/>
          <w:highlight w:val="none"/>
        </w:rPr>
      </w:pPr>
      <w:r>
        <w:rPr>
          <w:rFonts w:hint="eastAsia"/>
          <w:color w:val="auto"/>
          <w:sz w:val="21"/>
          <w:szCs w:val="21"/>
          <w:highlight w:val="none"/>
        </w:rPr>
        <w:t xml:space="preserve">甲方：泰兴市人民医院                              乙方： </w:t>
      </w:r>
      <w:r/>
    </w:p>
    <w:p>
      <w:pPr>
        <w:spacing w:line="440" w:lineRule="exact"/>
        <w:rPr>
          <w:color w:val="auto"/>
          <w:sz w:val="21"/>
          <w:szCs w:val="21"/>
          <w:highlight w:val="none"/>
        </w:rPr>
      </w:pPr>
      <w:r>
        <w:rPr>
          <w:rFonts w:hint="eastAsia"/>
          <w:color w:val="auto"/>
          <w:sz w:val="21"/>
          <w:szCs w:val="21"/>
          <w:highlight w:val="none"/>
        </w:rPr>
        <w:tab/>
      </w:r>
      <w:r/>
    </w:p>
    <w:p>
      <w:pPr>
        <w:spacing w:line="440" w:lineRule="exact"/>
        <w:rPr>
          <w:color w:val="auto"/>
          <w:sz w:val="21"/>
          <w:szCs w:val="21"/>
          <w:highlight w:val="none"/>
        </w:rPr>
      </w:pPr>
      <w:r>
        <w:rPr>
          <w:rFonts w:hint="eastAsia"/>
          <w:color w:val="auto"/>
          <w:sz w:val="21"/>
          <w:szCs w:val="21"/>
          <w:highlight w:val="none"/>
        </w:rPr>
        <w:t xml:space="preserve">经甲、乙双方协商，就乙方销售给甲方设备，特订立本合同。</w:t>
      </w:r>
      <w:r/>
    </w:p>
    <w:p>
      <w:pPr>
        <w:numPr>
          <w:ilvl w:val="0"/>
          <w:numId w:val="4"/>
        </w:numPr>
        <w:spacing w:line="440" w:lineRule="exact"/>
        <w:rPr>
          <w:color w:val="auto"/>
          <w:sz w:val="21"/>
          <w:szCs w:val="21"/>
          <w:highlight w:val="none"/>
        </w:rPr>
      </w:pPr>
      <w:r>
        <w:rPr>
          <w:rFonts w:hint="eastAsia"/>
          <w:color w:val="auto"/>
          <w:sz w:val="21"/>
          <w:szCs w:val="21"/>
          <w:highlight w:val="none"/>
        </w:rPr>
        <w:t xml:space="preserve">设备名称、型号、数量和价格</w:t>
      </w:r>
      <w:r/>
    </w:p>
    <w:tbl>
      <w:tblPr>
        <w:tblStyle w:val="787"/>
        <w:tblW w:w="0" w:type="auto"/>
        <w:jc w:val="center"/>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生产厂家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widowControl/>
              <w:rPr>
                <w:rFonts w:hAnsi="宋体" w:eastAsia="宋体" w:cs="宋体"/>
                <w:color w:val="auto"/>
                <w:sz w:val="21"/>
                <w:szCs w:val="21"/>
                <w:highlight w:val="none"/>
              </w:rPr>
            </w:pPr>
            <w:r>
              <w:rPr>
                <w:rFonts w:hint="eastAsia" w:hAnsi="宋体" w:cs="宋体"/>
                <w:color w:val="auto"/>
                <w:sz w:val="21"/>
                <w:szCs w:val="21"/>
                <w:highlight w:val="none"/>
              </w:rPr>
              <w:t xml:space="preserve">注册证号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widowControl/>
              <w:rPr>
                <w:rFonts w:hAnsi="宋体" w:eastAsia="宋体" w:cs="宋体"/>
                <w:color w:val="auto"/>
                <w:sz w:val="21"/>
                <w:szCs w:val="21"/>
                <w:highlight w:val="none"/>
              </w:rPr>
            </w:pPr>
            <w:r>
              <w:rPr>
                <w:rFonts w:hint="eastAsia" w:hAnsi="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成交总价（元）</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440" w:lineRule="exact"/>
              <w:widowControl/>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spacing w:line="440" w:lineRule="exact"/>
              <w:widowControl/>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spacing w:line="440" w:lineRule="exact"/>
              <w:widowControl/>
              <w:rPr>
                <w:rFonts w:hAnsi="宋体" w:eastAsia="宋体" w:cs="宋体"/>
                <w:color w:val="auto"/>
                <w:sz w:val="21"/>
                <w:szCs w:val="21"/>
                <w:highlight w:val="none"/>
              </w:rPr>
            </w:pPr>
            <w:r>
              <w:rPr>
                <w:rFonts w:hint="eastAsia" w:hAnsi="宋体" w:cs="宋体"/>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spacing w:line="440" w:lineRule="exact"/>
              <w:widowControl/>
              <w:rPr>
                <w:rFonts w:hAnsi="宋体" w:cs="宋体"/>
                <w:color w:val="auto"/>
                <w:sz w:val="18"/>
                <w:szCs w:val="18"/>
                <w:highlight w:val="none"/>
              </w:rPr>
            </w:pPr>
            <w:r>
              <w:rPr>
                <w:rFonts w:hint="eastAsia"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rPr>
                <w:rFonts w:hAnsi="宋体" w:cs="宋体"/>
                <w:color w:val="auto"/>
                <w:sz w:val="21"/>
                <w:szCs w:val="21"/>
                <w:highlight w:val="none"/>
              </w:rPr>
            </w:pPr>
            <w:r>
              <w:rPr>
                <w:rFonts w:hAnsi="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spacing w:line="440" w:lineRule="exact"/>
              <w:rPr>
                <w:rFonts w:hAnsi="宋体" w:cs="宋体"/>
                <w:color w:val="auto"/>
                <w:sz w:val="18"/>
                <w:szCs w:val="18"/>
                <w:highlight w:val="none"/>
              </w:rPr>
            </w:pPr>
            <w:r>
              <w:rPr>
                <w:rFonts w:hAnsi="宋体" w:cs="宋体"/>
                <w:color w:val="auto"/>
                <w:sz w:val="18"/>
                <w:szCs w:val="18"/>
                <w:highlight w:val="none"/>
              </w:rPr>
            </w:r>
            <w:r/>
          </w:p>
        </w:tc>
      </w:tr>
      <w:tr>
        <w:trPr>
          <w:jc w:val="cente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spacing w:line="440" w:lineRule="exact"/>
              <w:widowControl/>
              <w:rPr>
                <w:rFonts w:hAnsi="宋体" w:cs="宋体"/>
                <w:color w:val="auto"/>
                <w:sz w:val="18"/>
                <w:szCs w:val="18"/>
                <w:highlight w:val="none"/>
              </w:rPr>
            </w:pPr>
            <w:r>
              <w:rPr>
                <w:rFonts w:hint="eastAsia" w:hAnsi="宋体" w:cs="宋体"/>
                <w:color w:val="auto"/>
                <w:sz w:val="18"/>
                <w:szCs w:val="18"/>
                <w:highlight w:val="none"/>
              </w:rPr>
              <w:t xml:space="preserve">总计（大写）：人民币</w:t>
            </w: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spacing w:line="440" w:lineRule="exact"/>
              <w:widowControl/>
              <w:rPr>
                <w:rFonts w:hAnsi="宋体" w:cs="宋体"/>
                <w:color w:val="auto"/>
                <w:sz w:val="21"/>
                <w:szCs w:val="21"/>
                <w:highlight w:val="none"/>
              </w:rPr>
            </w:pPr>
            <w:r>
              <w:rPr>
                <w:rFonts w:hint="eastAsia" w:hAnsi="宋体" w:cs="宋体"/>
                <w:color w:val="auto"/>
                <w:sz w:val="21"/>
                <w:szCs w:val="21"/>
                <w:highlight w:val="none"/>
              </w:rPr>
              <w:t xml:space="preserve">（小写）：￥</w:t>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spacing w:line="440" w:lineRule="exact"/>
              <w:widowControl/>
              <w:rPr>
                <w:rFonts w:hAnsi="宋体" w:cs="宋体"/>
                <w:color w:val="auto"/>
                <w:sz w:val="21"/>
                <w:szCs w:val="21"/>
                <w:highlight w:val="none"/>
              </w:rPr>
            </w:pPr>
            <w:r>
              <w:rPr>
                <w:rFonts w:hAnsi="宋体" w:cs="宋体"/>
                <w:color w:val="auto"/>
                <w:sz w:val="21"/>
                <w:szCs w:val="21"/>
                <w:highlight w:val="none"/>
              </w:rPr>
            </w:r>
            <w:r/>
          </w:p>
        </w:tc>
      </w:tr>
    </w:tbl>
    <w:p>
      <w:pPr>
        <w:spacing w:line="440" w:lineRule="exact"/>
        <w:rPr>
          <w:color w:val="auto"/>
          <w:sz w:val="21"/>
          <w:szCs w:val="21"/>
          <w:highlight w:val="none"/>
        </w:rPr>
      </w:pPr>
      <w:r>
        <w:rPr>
          <w:rFonts w:hint="eastAsia"/>
          <w:color w:val="auto"/>
          <w:sz w:val="21"/>
          <w:szCs w:val="21"/>
          <w:highlight w:val="none"/>
        </w:rPr>
        <w:t xml:space="preserve">二、设备详细配置清单见附件。</w:t>
      </w:r>
      <w:r/>
    </w:p>
    <w:p>
      <w:pPr>
        <w:spacing w:line="440" w:lineRule="exact"/>
        <w:rPr>
          <w:color w:val="auto"/>
          <w:sz w:val="21"/>
          <w:szCs w:val="21"/>
          <w:highlight w:val="none"/>
        </w:rPr>
      </w:pPr>
      <w:r>
        <w:rPr>
          <w:rFonts w:hint="eastAsia"/>
          <w:color w:val="auto"/>
          <w:sz w:val="21"/>
          <w:szCs w:val="21"/>
          <w:highlight w:val="none"/>
        </w:rPr>
        <w:t xml:space="preserve">此设备于________年________月_________日已招标。</w:t>
      </w:r>
      <w:r/>
    </w:p>
    <w:p>
      <w:pPr>
        <w:spacing w:line="440" w:lineRule="exact"/>
        <w:rPr>
          <w:color w:val="auto"/>
          <w:sz w:val="21"/>
          <w:szCs w:val="21"/>
          <w:highlight w:val="none"/>
        </w:rPr>
      </w:pPr>
      <w:r>
        <w:rPr>
          <w:rFonts w:hint="eastAsia"/>
          <w:color w:val="auto"/>
          <w:sz w:val="21"/>
          <w:szCs w:val="21"/>
          <w:highlight w:val="none"/>
        </w:rPr>
        <w:t xml:space="preserve">三、付款方式：设备安装、调试、验收合格后凭验收合格报告付合同价的90%，余款2026年年底付款。</w:t>
      </w:r>
      <w:r/>
    </w:p>
    <w:p>
      <w:pPr>
        <w:numPr>
          <w:ilvl w:val="0"/>
          <w:numId w:val="5"/>
        </w:numPr>
        <w:spacing w:line="440" w:lineRule="exact"/>
        <w:rPr>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p>
    <w:p>
      <w:pPr>
        <w:numPr>
          <w:ilvl w:val="0"/>
          <w:numId w:val="5"/>
        </w:numPr>
        <w:spacing w:line="440" w:lineRule="exact"/>
        <w:rPr>
          <w:color w:val="auto"/>
          <w:sz w:val="21"/>
          <w:szCs w:val="21"/>
          <w:highlight w:val="none"/>
        </w:rPr>
      </w:pPr>
      <w:r>
        <w:rPr>
          <w:rFonts w:hint="eastAsia"/>
          <w:color w:val="auto"/>
          <w:sz w:val="21"/>
          <w:szCs w:val="21"/>
          <w:highlight w:val="none"/>
        </w:rPr>
        <w:t xml:space="preserve">交货地点：泰兴市人民医院，使用科室____________</w:t>
      </w:r>
      <w:r/>
    </w:p>
    <w:p>
      <w:pPr>
        <w:numPr>
          <w:ilvl w:val="0"/>
          <w:numId w:val="5"/>
        </w:numPr>
        <w:spacing w:line="440" w:lineRule="exact"/>
        <w:rPr>
          <w:color w:val="auto"/>
          <w:sz w:val="21"/>
          <w:szCs w:val="21"/>
          <w:highlight w:val="none"/>
        </w:rPr>
      </w:pPr>
      <w:r>
        <w:rPr>
          <w:rFonts w:hint="eastAsia"/>
          <w:color w:val="auto"/>
          <w:sz w:val="21"/>
          <w:szCs w:val="21"/>
          <w:highlight w:val="none"/>
        </w:rPr>
        <w:t xml:space="preserve">质保期：上述设备免费原厂整机保修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rPr>
        <w:t xml:space="preserve">出保后每年的整机维保费用</w:t>
      </w:r>
      <w:r>
        <w:rPr>
          <w:rFonts w:hint="eastAsia"/>
          <w:color w:val="auto"/>
          <w:sz w:val="21"/>
          <w:szCs w:val="21"/>
          <w:highlight w:val="none"/>
          <w:u w:val="single"/>
        </w:rPr>
        <w:t xml:space="preserve">    </w:t>
      </w:r>
      <w:r>
        <w:rPr>
          <w:rFonts w:hint="eastAsia"/>
          <w:color w:val="auto"/>
          <w:sz w:val="21"/>
          <w:szCs w:val="21"/>
          <w:highlight w:val="none"/>
        </w:rPr>
        <w:t xml:space="preserve">万元/年；</w:t>
      </w:r>
      <w:r>
        <w:rPr>
          <w:rFonts w:hint="eastAsia"/>
          <w:color w:val="auto"/>
          <w:sz w:val="21"/>
          <w:szCs w:val="21"/>
          <w:highlight w:val="none"/>
        </w:rPr>
        <w:t xml:space="preserve">保修期外乙方对本设备终身负责维修。</w:t>
      </w:r>
      <w:r/>
    </w:p>
    <w:p>
      <w:pPr>
        <w:numPr>
          <w:ilvl w:val="0"/>
          <w:numId w:val="5"/>
        </w:numPr>
        <w:spacing w:line="440" w:lineRule="exact"/>
        <w:rPr>
          <w:color w:val="auto"/>
          <w:sz w:val="21"/>
          <w:szCs w:val="21"/>
          <w:highlight w:val="none"/>
        </w:rPr>
      </w:pPr>
      <w:r>
        <w:rPr>
          <w:rFonts w:hint="eastAsia"/>
          <w:color w:val="auto"/>
          <w:sz w:val="21"/>
          <w:szCs w:val="21"/>
          <w:highlight w:val="none"/>
        </w:rPr>
        <w:t xml:space="preserve">资质、质量要求及技术标准：</w:t>
      </w:r>
      <w:r/>
    </w:p>
    <w:p>
      <w:pPr>
        <w:spacing w:line="440" w:lineRule="exact"/>
        <w:rPr>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p>
    <w:p>
      <w:pPr>
        <w:spacing w:line="440" w:lineRule="exact"/>
        <w:rPr>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p>
    <w:p>
      <w:pPr>
        <w:spacing w:line="440" w:lineRule="exact"/>
        <w:rPr>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p>
    <w:p>
      <w:pPr>
        <w:spacing w:line="440" w:lineRule="exact"/>
        <w:rPr>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p>
    <w:p>
      <w:pPr>
        <w:numPr>
          <w:ilvl w:val="0"/>
          <w:numId w:val="5"/>
        </w:numPr>
        <w:spacing w:line="440" w:lineRule="exact"/>
        <w:rPr>
          <w:color w:val="auto"/>
          <w:sz w:val="21"/>
          <w:szCs w:val="21"/>
          <w:highlight w:val="none"/>
        </w:rPr>
      </w:pPr>
      <w:r>
        <w:rPr>
          <w:rFonts w:hint="eastAsia"/>
          <w:color w:val="auto"/>
          <w:sz w:val="21"/>
          <w:szCs w:val="21"/>
          <w:highlight w:val="none"/>
        </w:rPr>
        <w:t xml:space="preserve">设备到货、安装和验收要求：</w:t>
      </w:r>
      <w:r/>
    </w:p>
    <w:p>
      <w:pPr>
        <w:spacing w:line="440" w:lineRule="exact"/>
        <w:rPr>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p>
    <w:p>
      <w:pPr>
        <w:spacing w:line="440" w:lineRule="exact"/>
        <w:rPr>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p>
    <w:p>
      <w:pPr>
        <w:spacing w:line="440" w:lineRule="exact"/>
        <w:rPr>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p>
    <w:p>
      <w:pPr>
        <w:spacing w:line="440" w:lineRule="exact"/>
        <w:rPr>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p>
    <w:p>
      <w:pPr>
        <w:numPr>
          <w:ilvl w:val="0"/>
          <w:numId w:val="5"/>
        </w:numPr>
        <w:spacing w:line="440" w:lineRule="exact"/>
        <w:rPr>
          <w:color w:val="auto"/>
          <w:sz w:val="21"/>
          <w:szCs w:val="21"/>
          <w:highlight w:val="none"/>
        </w:rPr>
      </w:pPr>
      <w:r>
        <w:rPr>
          <w:rFonts w:hint="eastAsia"/>
          <w:color w:val="auto"/>
          <w:sz w:val="21"/>
          <w:szCs w:val="21"/>
          <w:highlight w:val="none"/>
        </w:rPr>
        <w:t xml:space="preserve">售后服务要求：</w:t>
      </w:r>
      <w:r/>
    </w:p>
    <w:p>
      <w:pPr>
        <w:spacing w:line="440" w:lineRule="exact"/>
        <w:rPr>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p>
    <w:p>
      <w:pPr>
        <w:rPr>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如有特殊情况，乙方应立即电话通知甲方不能响应的原因，在获得甲方同意后，才可推迟响应时间，否则甲方可自行采取必要的措施，自行组织维修，由此产生的风险和费用由乙方承担，甲方可在货款和其他应付乙方的款项（关联账户）中扣除，同时扣除一年的维保费用作为处罚。</w:t>
      </w:r>
      <w:r/>
    </w:p>
    <w:p>
      <w:pPr>
        <w:spacing w:line="440" w:lineRule="exact"/>
        <w:rPr>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p>
    <w:p>
      <w:pPr>
        <w:spacing w:line="440" w:lineRule="exact"/>
        <w:rPr>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p>
    <w:p>
      <w:pPr>
        <w:spacing w:line="440" w:lineRule="exact"/>
        <w:rPr>
          <w:color w:val="auto"/>
          <w:sz w:val="21"/>
          <w:szCs w:val="21"/>
          <w:highlight w:val="none"/>
        </w:rPr>
      </w:pPr>
      <w:r>
        <w:rPr>
          <w:rFonts w:hint="eastAsia"/>
          <w:color w:val="auto"/>
          <w:sz w:val="21"/>
          <w:szCs w:val="21"/>
          <w:highlight w:val="none"/>
        </w:rPr>
        <w:t xml:space="preserve">十、技术培训：</w:t>
      </w:r>
      <w:r/>
    </w:p>
    <w:p>
      <w:pPr>
        <w:spacing w:line="440" w:lineRule="exact"/>
        <w:rPr>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注意事项、操作培训，解答甲方人员提出的问题，并填写培训报告，包含培训时间、参加培训人员以及培训的具体内容等。</w:t>
      </w:r>
      <w:r/>
    </w:p>
    <w:p>
      <w:pPr>
        <w:spacing w:line="440" w:lineRule="exact"/>
        <w:rPr>
          <w:rFonts w:eastAsia="宋体"/>
          <w:color w:val="auto"/>
          <w:sz w:val="21"/>
          <w:szCs w:val="21"/>
          <w:highlight w:val="none"/>
        </w:rPr>
      </w:pPr>
      <w:r>
        <w:rPr>
          <w:rFonts w:hint="eastAsia"/>
          <w:color w:val="auto"/>
          <w:sz w:val="21"/>
          <w:szCs w:val="21"/>
          <w:highlight w:val="none"/>
        </w:rPr>
        <w:t xml:space="preserve">十一、廉政条款：</w:t>
      </w:r>
      <w:r/>
    </w:p>
    <w:p>
      <w:pPr>
        <w:spacing w:line="440" w:lineRule="exact"/>
        <w:rPr>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甲方聘请的其他服务单位），经纪检监察机关查实确认的，除其他违约责任外，从发现之日起一年内，乙方无条件支付甲方本合同总价的10%作为违约金。 </w:t>
      </w:r>
      <w:r/>
    </w:p>
    <w:p>
      <w:pPr>
        <w:numPr>
          <w:ilvl w:val="0"/>
          <w:numId w:val="6"/>
        </w:numPr>
        <w:spacing w:line="440" w:lineRule="exact"/>
        <w:rPr>
          <w:color w:val="auto"/>
          <w:sz w:val="21"/>
          <w:szCs w:val="21"/>
          <w:highlight w:val="none"/>
        </w:rPr>
      </w:pPr>
      <w:r>
        <w:rPr>
          <w:rFonts w:hint="eastAsia"/>
          <w:color w:val="auto"/>
          <w:sz w:val="21"/>
          <w:szCs w:val="21"/>
          <w:highlight w:val="none"/>
        </w:rPr>
        <w:t xml:space="preserve">合同争议:</w:t>
      </w:r>
      <w:r/>
    </w:p>
    <w:p>
      <w:pPr>
        <w:spacing w:line="440" w:lineRule="exact"/>
        <w:rPr>
          <w:rFonts w:eastAsia="宋体"/>
          <w:color w:val="auto"/>
          <w:sz w:val="21"/>
          <w:szCs w:val="21"/>
          <w:highlight w:val="none"/>
        </w:rPr>
      </w:pPr>
      <w:r>
        <w:rPr>
          <w:rFonts w:hint="eastAsia"/>
          <w:color w:val="auto"/>
          <w:sz w:val="21"/>
          <w:szCs w:val="21"/>
          <w:highlight w:val="none"/>
        </w:rPr>
        <w:t xml:space="preserve">双方如发生争议，不能协商解决，则通过合同执行地人民法院诉讼处理。</w:t>
      </w:r>
      <w:r/>
    </w:p>
    <w:p>
      <w:pPr>
        <w:spacing w:line="440" w:lineRule="exact"/>
        <w:rPr>
          <w:color w:val="auto"/>
          <w:sz w:val="21"/>
          <w:szCs w:val="21"/>
          <w:highlight w:val="none"/>
        </w:rPr>
      </w:pPr>
      <w:r>
        <w:rPr>
          <w:rFonts w:hint="eastAsia"/>
          <w:color w:val="auto"/>
          <w:sz w:val="21"/>
          <w:szCs w:val="21"/>
          <w:highlight w:val="none"/>
        </w:rPr>
        <w:t xml:space="preserve">本合同一式四份，甲方执三份，乙方执一份。</w:t>
      </w:r>
      <w:r/>
    </w:p>
    <w:p>
      <w:pPr>
        <w:spacing w:line="440" w:lineRule="exact"/>
        <w:rPr>
          <w:color w:val="auto"/>
          <w:sz w:val="21"/>
          <w:szCs w:val="21"/>
          <w:highlight w:val="none"/>
        </w:rPr>
      </w:pPr>
      <w:r>
        <w:rPr>
          <w:rFonts w:hint="eastAsia"/>
          <w:color w:val="auto"/>
          <w:sz w:val="21"/>
          <w:szCs w:val="21"/>
          <w:highlight w:val="none"/>
        </w:rPr>
        <w:t xml:space="preserve">协议签署地点:泰兴</w:t>
      </w:r>
      <w:r/>
    </w:p>
    <w:p>
      <w:pPr>
        <w:spacing w:line="440" w:lineRule="exact"/>
        <w:rPr>
          <w:color w:val="auto"/>
          <w:sz w:val="21"/>
          <w:szCs w:val="21"/>
          <w:highlight w:val="none"/>
        </w:rPr>
      </w:pPr>
      <w:r>
        <w:rPr>
          <w:color w:val="auto"/>
          <w:sz w:val="21"/>
          <w:szCs w:val="21"/>
          <w:highlight w:val="none"/>
        </w:rPr>
      </w:r>
      <w:r/>
    </w:p>
    <w:p>
      <w:pPr>
        <w:ind w:left="5565" w:hanging="5565"/>
        <w:spacing w:line="440" w:lineRule="exact"/>
        <w:rPr>
          <w:color w:val="auto"/>
          <w:sz w:val="21"/>
          <w:szCs w:val="21"/>
          <w:highlight w:val="none"/>
        </w:rPr>
      </w:pPr>
      <w:r>
        <w:rPr>
          <w:rFonts w:hint="eastAsia"/>
          <w:color w:val="auto"/>
          <w:sz w:val="21"/>
          <w:szCs w:val="21"/>
          <w:highlight w:val="none"/>
        </w:rPr>
        <w:t xml:space="preserve">甲方：泰兴市人民医院                                   乙方：</w:t>
      </w:r>
      <w:r/>
    </w:p>
    <w:p>
      <w:pPr>
        <w:spacing w:line="440" w:lineRule="exact"/>
        <w:rPr>
          <w:color w:val="auto"/>
          <w:sz w:val="21"/>
          <w:szCs w:val="21"/>
          <w:highlight w:val="none"/>
        </w:rPr>
      </w:pPr>
      <w:r>
        <w:rPr>
          <w:rFonts w:hint="eastAsia"/>
          <w:color w:val="auto"/>
          <w:sz w:val="21"/>
          <w:szCs w:val="21"/>
          <w:highlight w:val="none"/>
        </w:rPr>
        <w:t xml:space="preserve">甲方代表：                                             乙方代表：</w:t>
      </w:r>
      <w:r/>
    </w:p>
    <w:p>
      <w:pPr>
        <w:spacing w:line="440" w:lineRule="exact"/>
        <w:rPr>
          <w:color w:val="auto"/>
          <w:sz w:val="21"/>
          <w:szCs w:val="21"/>
          <w:highlight w:val="none"/>
        </w:rPr>
      </w:pPr>
      <w:r>
        <w:rPr>
          <w:rFonts w:hint="eastAsia"/>
          <w:color w:val="auto"/>
          <w:sz w:val="21"/>
          <w:szCs w:val="21"/>
          <w:highlight w:val="none"/>
        </w:rPr>
        <w:t xml:space="preserve">业务部门代表：                                         业务部门代表：</w:t>
      </w:r>
      <w:r/>
    </w:p>
    <w:p>
      <w:pPr>
        <w:spacing w:line="440" w:lineRule="exact"/>
        <w:rPr>
          <w:color w:val="auto"/>
          <w:sz w:val="21"/>
          <w:szCs w:val="21"/>
          <w:highlight w:val="none"/>
        </w:rPr>
      </w:pPr>
      <w:r>
        <w:rPr>
          <w:rFonts w:hint="eastAsia"/>
          <w:color w:val="auto"/>
          <w:sz w:val="21"/>
          <w:szCs w:val="21"/>
          <w:highlight w:val="none"/>
        </w:rPr>
        <w:t xml:space="preserve">经办人:                                                经办人:</w:t>
      </w:r>
      <w:r/>
    </w:p>
    <w:p>
      <w:pPr>
        <w:spacing w:line="440" w:lineRule="exact"/>
        <w:rPr>
          <w:rFonts w:eastAsia="宋体"/>
          <w:color w:val="auto"/>
          <w:sz w:val="21"/>
          <w:szCs w:val="21"/>
          <w:highlight w:val="none"/>
        </w:rPr>
      </w:pPr>
      <w:r>
        <w:rPr>
          <w:rFonts w:hint="eastAsia"/>
          <w:color w:val="auto"/>
          <w:sz w:val="21"/>
          <w:szCs w:val="21"/>
          <w:highlight w:val="none"/>
        </w:rPr>
        <w:t xml:space="preserve">                                                       联系电话：</w:t>
      </w:r>
      <w:r/>
    </w:p>
    <w:p>
      <w:pPr>
        <w:spacing w:line="440" w:lineRule="exact"/>
        <w:rPr>
          <w:color w:val="auto"/>
          <w:sz w:val="21"/>
          <w:szCs w:val="21"/>
          <w:highlight w:val="none"/>
        </w:rPr>
      </w:pPr>
      <w:r>
        <w:rPr>
          <w:rFonts w:hint="eastAsia"/>
          <w:color w:val="auto"/>
          <w:sz w:val="21"/>
          <w:szCs w:val="21"/>
          <w:highlight w:val="none"/>
        </w:rPr>
        <w:t xml:space="preserve">                                                       开户行：             </w:t>
      </w:r>
      <w:r/>
    </w:p>
    <w:p>
      <w:pPr>
        <w:ind w:firstLine="5880"/>
        <w:spacing w:line="440" w:lineRule="exact"/>
        <w:rPr>
          <w:color w:val="auto"/>
          <w:sz w:val="21"/>
          <w:szCs w:val="21"/>
          <w:highlight w:val="none"/>
        </w:rPr>
      </w:pPr>
      <w:r>
        <w:rPr>
          <w:rFonts w:hint="eastAsia"/>
          <w:color w:val="auto"/>
          <w:sz w:val="21"/>
          <w:szCs w:val="21"/>
          <w:highlight w:val="none"/>
        </w:rPr>
        <w:t xml:space="preserve">账号：</w:t>
      </w:r>
      <w:r/>
    </w:p>
    <w:p>
      <w:pPr>
        <w:spacing w:line="440" w:lineRule="exact"/>
        <w:rPr>
          <w:color w:val="auto"/>
          <w:sz w:val="21"/>
          <w:szCs w:val="21"/>
          <w:highlight w:val="none"/>
        </w:rPr>
      </w:pPr>
      <w:r>
        <w:rPr>
          <w:rFonts w:hint="eastAsia"/>
          <w:color w:val="auto"/>
          <w:sz w:val="21"/>
          <w:szCs w:val="21"/>
          <w:highlight w:val="none"/>
        </w:rPr>
        <w:t xml:space="preserve"> </w:t>
      </w:r>
      <w:r/>
    </w:p>
    <w:p>
      <w:pPr>
        <w:rPr>
          <w:color w:val="auto"/>
          <w:sz w:val="21"/>
          <w:szCs w:val="21"/>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701" w:bottom="1440" w:left="1701" w:header="680" w:footer="737" w:gutter="0"/>
          <w:pgNumType w:start="1"/>
          <w:cols w:num="1" w:sep="0" w:space="1701" w:equalWidth="1"/>
          <w:docGrid w:linePitch="360"/>
        </w:sectPr>
      </w:pPr>
      <w:r>
        <w:rPr>
          <w:rFonts w:hint="eastAsia"/>
          <w:color w:val="auto"/>
          <w:sz w:val="21"/>
          <w:szCs w:val="21"/>
          <w:highlight w:val="none"/>
        </w:rPr>
        <w:t xml:space="preserve">____年__ 月__日                                       ____年__月__日</w:t>
      </w:r>
      <w:r/>
    </w:p>
    <w:p>
      <w:pPr>
        <w:jc w:val="center"/>
        <w:keepNext/>
        <w:rPr>
          <w:rFonts w:eastAsia="黑体"/>
          <w:bCs/>
          <w:color w:val="auto"/>
          <w:sz w:val="44"/>
          <w:szCs w:val="28"/>
          <w:highlight w:val="none"/>
        </w:rPr>
        <w:outlineLvl w:val="0"/>
      </w:pPr>
      <w:r>
        <w:rPr>
          <w:rFonts w:hint="eastAsia" w:eastAsia="黑体"/>
          <w:bCs/>
          <w:color w:val="auto"/>
          <w:sz w:val="44"/>
          <w:szCs w:val="28"/>
          <w:highlight w:val="none"/>
        </w:rPr>
        <w:t xml:space="preserve">第六章  投标文件格式 </w:t>
      </w:r>
      <w:r/>
    </w:p>
    <w:p>
      <w:pPr>
        <w:jc w:val="center"/>
        <w:rPr>
          <w:rFonts w:eastAsia="宋体"/>
          <w:b/>
          <w:color w:val="auto"/>
          <w:sz w:val="72"/>
          <w:szCs w:val="21"/>
          <w:highlight w:val="none"/>
        </w:rPr>
      </w:pPr>
      <w:r/>
      <w:bookmarkStart w:id="5" w:name="_Hlt26671244"/>
      <w:r/>
      <w:bookmarkEnd w:id="5"/>
      <w:r/>
      <w:bookmarkStart w:id="6" w:name="_Hlt26955039"/>
      <w:r/>
      <w:bookmarkEnd w:id="6"/>
      <w:r/>
      <w:bookmarkStart w:id="7" w:name="_Toc120614282"/>
      <w:r/>
      <w:bookmarkStart w:id="8" w:name="_Toc49090576"/>
      <w:r/>
      <w:bookmarkStart w:id="9" w:name="_Toc26554094"/>
      <w:r/>
      <w:r/>
    </w:p>
    <w:p>
      <w:pPr>
        <w:jc w:val="center"/>
        <w:rPr>
          <w:rFonts w:eastAsia="宋体"/>
          <w:b/>
          <w:color w:val="auto"/>
          <w:sz w:val="72"/>
          <w:szCs w:val="21"/>
          <w:highlight w:val="none"/>
        </w:rPr>
      </w:pPr>
      <w:r>
        <w:rPr>
          <w:rFonts w:hint="eastAsia" w:eastAsia="宋体"/>
          <w:b/>
          <w:color w:val="auto"/>
          <w:sz w:val="72"/>
          <w:szCs w:val="21"/>
          <w:highlight w:val="none"/>
        </w:rPr>
        <w:t xml:space="preserve">投  标  文  件</w:t>
      </w:r>
      <w:r/>
    </w:p>
    <w:p>
      <w:pPr>
        <w:jc w:val="center"/>
        <w:rPr>
          <w:rFonts w:eastAsia="宋体"/>
          <w:b/>
          <w:color w:val="auto"/>
          <w:sz w:val="72"/>
          <w:szCs w:val="21"/>
          <w:highlight w:val="none"/>
        </w:rPr>
      </w:pPr>
      <w:r>
        <w:rPr>
          <w:rFonts w:eastAsia="宋体"/>
          <w:b/>
          <w:color w:val="auto"/>
          <w:sz w:val="72"/>
          <w:szCs w:val="21"/>
          <w:highlight w:val="none"/>
        </w:rPr>
      </w:r>
      <w:r/>
    </w:p>
    <w:p>
      <w:pPr>
        <w:jc w:val="center"/>
        <w:rPr>
          <w:rFonts w:eastAsia="宋体"/>
          <w:b/>
          <w:color w:val="auto"/>
          <w:sz w:val="72"/>
          <w:szCs w:val="21"/>
          <w:highlight w:val="none"/>
        </w:rPr>
      </w:pPr>
      <w:r>
        <w:rPr>
          <w:rFonts w:eastAsia="宋体"/>
          <w:b/>
          <w:color w:val="auto"/>
          <w:sz w:val="72"/>
          <w:szCs w:val="21"/>
          <w:highlight w:val="none"/>
        </w:rPr>
      </w:r>
      <w:r/>
    </w:p>
    <w:p>
      <w:pPr>
        <w:jc w:val="center"/>
        <w:rPr>
          <w:rFonts w:eastAsia="宋体"/>
          <w:b/>
          <w:color w:val="auto"/>
          <w:sz w:val="36"/>
          <w:szCs w:val="21"/>
          <w:highlight w:val="none"/>
        </w:rPr>
      </w:pPr>
      <w:r>
        <w:rPr>
          <w:rFonts w:eastAsia="宋体"/>
          <w:b/>
          <w:color w:val="auto"/>
          <w:sz w:val="36"/>
          <w:szCs w:val="21"/>
          <w:highlight w:val="none"/>
        </w:rPr>
      </w:r>
      <w:r/>
    </w:p>
    <w:p>
      <w:pPr>
        <w:jc w:val="center"/>
        <w:rPr>
          <w:rFonts w:eastAsia="宋体"/>
          <w:b/>
          <w:color w:val="auto"/>
          <w:sz w:val="36"/>
          <w:szCs w:val="21"/>
          <w:highlight w:val="none"/>
        </w:rPr>
      </w:pPr>
      <w:r>
        <w:rPr>
          <w:rFonts w:eastAsia="宋体"/>
          <w:b/>
          <w:color w:val="auto"/>
          <w:sz w:val="36"/>
          <w:szCs w:val="21"/>
          <w:highlight w:val="none"/>
        </w:rPr>
      </w:r>
      <w:r/>
    </w:p>
    <w:p>
      <w:pPr>
        <w:jc w:val="center"/>
        <w:rPr>
          <w:rFonts w:eastAsia="宋体"/>
          <w:b/>
          <w:color w:val="auto"/>
          <w:sz w:val="36"/>
          <w:szCs w:val="21"/>
          <w:highlight w:val="none"/>
        </w:rPr>
      </w:pPr>
      <w:r>
        <w:rPr>
          <w:rFonts w:eastAsia="宋体"/>
          <w:b/>
          <w:color w:val="auto"/>
          <w:sz w:val="36"/>
          <w:szCs w:val="21"/>
          <w:highlight w:val="none"/>
        </w:rPr>
      </w:r>
      <w:r/>
    </w:p>
    <w:p>
      <w:pPr>
        <w:ind w:firstLine="1084"/>
        <w:rPr>
          <w:rFonts w:eastAsia="宋体"/>
          <w:b/>
          <w:color w:val="auto"/>
          <w:sz w:val="36"/>
          <w:szCs w:val="21"/>
          <w:highlight w:val="none"/>
        </w:rPr>
      </w:pPr>
      <w:r>
        <w:rPr>
          <w:rFonts w:hint="eastAsia" w:eastAsia="宋体"/>
          <w:b/>
          <w:color w:val="auto"/>
          <w:sz w:val="36"/>
          <w:szCs w:val="21"/>
          <w:highlight w:val="none"/>
        </w:rPr>
        <w:t xml:space="preserve">项 目 名 称：</w:t>
      </w:r>
      <w:r>
        <w:rPr>
          <w:rFonts w:hint="eastAsia" w:eastAsia="宋体"/>
          <w:b/>
          <w:color w:val="auto"/>
          <w:sz w:val="36"/>
          <w:szCs w:val="21"/>
          <w:highlight w:val="none"/>
          <w:u w:val="single"/>
        </w:rPr>
        <w:t xml:space="preserve">               </w:t>
      </w:r>
      <w:r/>
    </w:p>
    <w:p>
      <w:pPr>
        <w:ind w:firstLine="1084"/>
        <w:rPr>
          <w:rFonts w:eastAsia="宋体"/>
          <w:b/>
          <w:color w:val="auto"/>
          <w:sz w:val="36"/>
          <w:szCs w:val="21"/>
          <w:highlight w:val="none"/>
          <w:u w:val="single"/>
        </w:rPr>
      </w:pPr>
      <w:r>
        <w:rPr>
          <w:rFonts w:hint="eastAsia" w:eastAsia="宋体"/>
          <w:b/>
          <w:color w:val="auto"/>
          <w:sz w:val="36"/>
          <w:szCs w:val="21"/>
          <w:highlight w:val="none"/>
        </w:rPr>
        <w:t xml:space="preserve">项 目 编 号：</w:t>
      </w:r>
      <w:r>
        <w:rPr>
          <w:rFonts w:hint="eastAsia" w:eastAsia="宋体"/>
          <w:b/>
          <w:color w:val="auto"/>
          <w:sz w:val="36"/>
          <w:szCs w:val="21"/>
          <w:highlight w:val="none"/>
          <w:u w:val="single"/>
        </w:rPr>
        <w:t xml:space="preserve">               </w:t>
      </w:r>
      <w:r/>
    </w:p>
    <w:p>
      <w:pPr>
        <w:rPr>
          <w:rFonts w:eastAsia="宋体"/>
          <w:b/>
          <w:color w:val="auto"/>
          <w:sz w:val="36"/>
          <w:szCs w:val="21"/>
          <w:highlight w:val="none"/>
          <w:u w:val="single"/>
        </w:rPr>
      </w:pPr>
      <w:r>
        <w:rPr>
          <w:rFonts w:hint="eastAsia" w:eastAsia="宋体"/>
          <w:b/>
          <w:color w:val="auto"/>
          <w:sz w:val="36"/>
          <w:szCs w:val="21"/>
          <w:highlight w:val="none"/>
        </w:rPr>
        <w:t xml:space="preserve">      投标人名称 ：</w:t>
      </w:r>
      <w:r>
        <w:rPr>
          <w:rFonts w:hint="eastAsia" w:eastAsia="宋体"/>
          <w:b/>
          <w:color w:val="auto"/>
          <w:sz w:val="36"/>
          <w:szCs w:val="21"/>
          <w:highlight w:val="none"/>
          <w:u w:val="single"/>
        </w:rPr>
        <w:t xml:space="preserve">（加盖CA电子公章）</w:t>
      </w:r>
      <w:r/>
    </w:p>
    <w:p>
      <w:pPr>
        <w:rPr>
          <w:rFonts w:eastAsia="宋体"/>
          <w:b/>
          <w:color w:val="auto"/>
          <w:sz w:val="36"/>
          <w:szCs w:val="21"/>
          <w:highlight w:val="none"/>
          <w:u w:val="single"/>
        </w:rPr>
      </w:pPr>
      <w:r>
        <w:rPr>
          <w:rFonts w:hint="eastAsia" w:eastAsia="宋体"/>
          <w:b/>
          <w:color w:val="auto"/>
          <w:sz w:val="36"/>
          <w:szCs w:val="21"/>
          <w:highlight w:val="none"/>
        </w:rPr>
        <w:t xml:space="preserve">      日      期 ：</w:t>
      </w:r>
      <w:r>
        <w:rPr>
          <w:rFonts w:hint="eastAsia" w:eastAsia="宋体"/>
          <w:b/>
          <w:color w:val="auto"/>
          <w:sz w:val="36"/>
          <w:szCs w:val="21"/>
          <w:highlight w:val="none"/>
          <w:u w:val="single"/>
        </w:rPr>
        <w:t xml:space="preserve">               </w:t>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bCs/>
          <w:color w:val="auto"/>
          <w:sz w:val="32"/>
          <w:szCs w:val="32"/>
          <w:highlight w:val="none"/>
        </w:rPr>
      </w:pPr>
      <w:r>
        <w:rPr>
          <w:rFonts w:hint="eastAsia" w:eastAsia="宋体"/>
          <w:b/>
          <w:bCs/>
          <w:color w:val="auto"/>
          <w:sz w:val="32"/>
          <w:szCs w:val="32"/>
          <w:highlight w:val="none"/>
        </w:rPr>
        <w:t xml:space="preserve">投标文件目录</w:t>
      </w:r>
      <w:r/>
    </w:p>
    <w:p>
      <w:pPr>
        <w:jc w:val="center"/>
        <w:spacing w:line="440" w:lineRule="exact"/>
        <w:rPr>
          <w:rFonts w:eastAsia="宋体"/>
          <w:b/>
          <w:bCs/>
          <w:color w:val="auto"/>
          <w:sz w:val="32"/>
          <w:szCs w:val="32"/>
          <w:highlight w:val="none"/>
        </w:rPr>
      </w:pPr>
      <w:r>
        <w:rPr>
          <w:rFonts w:eastAsia="宋体"/>
          <w:b/>
          <w:bCs/>
          <w:color w:val="auto"/>
          <w:sz w:val="32"/>
          <w:szCs w:val="32"/>
          <w:highlight w:val="none"/>
        </w:rPr>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一、投标声明及承诺函</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二、投标人基本情况</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三、满足特定资格要求的证明文件（如果设置特定资格要求，则需要提供）</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四、法人授权书</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五、开标一览表</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六、投标报价明细表</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七、符合本国产品标准及中小企业声明函</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八、技术要求响应及偏离表</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九、项目组成员</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十、企业业绩</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十一、投标所需其他材料</w:t>
      </w:r>
      <w:r/>
    </w:p>
    <w:p>
      <w:pPr>
        <w:pStyle w:val="792"/>
        <w:spacing w:line="360" w:lineRule="auto"/>
        <w:rPr>
          <w:rFonts w:asciiTheme="minorEastAsia" w:hAnsiTheme="minorEastAsia" w:eastAsiaTheme="minorEastAsia"/>
          <w:color w:val="auto"/>
          <w:szCs w:val="28"/>
          <w:highlight w:val="none"/>
        </w:rPr>
      </w:pPr>
      <w:r>
        <w:rPr>
          <w:rFonts w:hint="eastAsia"/>
          <w:color w:val="auto"/>
          <w:highlight w:val="none"/>
        </w:rPr>
        <w:t xml:space="preserve">    </w:t>
      </w:r>
      <w:r>
        <w:rPr>
          <w:rFonts w:hint="eastAsia" w:asciiTheme="minorEastAsia" w:hAnsiTheme="minorEastAsia" w:eastAsiaTheme="minorEastAsia"/>
          <w:color w:val="auto"/>
          <w:szCs w:val="28"/>
          <w:highlight w:val="none"/>
        </w:rPr>
        <w:t xml:space="preserve">十二、资格证明文件参考格式</w:t>
      </w:r>
      <w:r/>
    </w:p>
    <w:p>
      <w:pPr>
        <w:jc w:val="left"/>
        <w:spacing w:before="120" w:after="120" w:line="400" w:lineRule="exact"/>
        <w:tabs>
          <w:tab w:val="right" w:pos="8720" w:leader="dot"/>
        </w:tabs>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jc w:val="left"/>
        <w:widowControl/>
        <w:rPr>
          <w:rFonts w:eastAsia="Times New Roman"/>
          <w:color w:val="auto"/>
          <w:sz w:val="24"/>
          <w:szCs w:val="24"/>
          <w:highlight w:val="none"/>
        </w:rPr>
      </w:pPr>
      <w:r/>
      <w:bookmarkStart w:id="10" w:name="_Toc23838"/>
      <w:r/>
      <w:r/>
    </w:p>
    <w:p>
      <w:pPr>
        <w:jc w:val="left"/>
        <w:widowControl/>
        <w:rPr>
          <w:rFonts w:eastAsia="Times New Roman"/>
          <w:color w:val="auto"/>
          <w:sz w:val="24"/>
          <w:szCs w:val="24"/>
          <w:highlight w:val="none"/>
        </w:rPr>
      </w:pPr>
      <w:r>
        <w:rPr>
          <w:rFonts w:eastAsia="Times New Roman"/>
          <w:color w:val="auto"/>
          <w:sz w:val="24"/>
          <w:szCs w:val="24"/>
          <w:highlight w:val="none"/>
        </w:rPr>
      </w:r>
      <w:r/>
    </w:p>
    <w:p>
      <w:pPr>
        <w:jc w:val="left"/>
        <w:widowControl/>
        <w:rPr>
          <w:rFonts w:eastAsia="Times New Roman"/>
          <w:color w:val="auto"/>
          <w:sz w:val="24"/>
          <w:szCs w:val="24"/>
          <w:highlight w:val="none"/>
        </w:rPr>
      </w:pPr>
      <w:r>
        <w:rPr>
          <w:rFonts w:eastAsia="Times New Roman"/>
          <w:color w:val="auto"/>
          <w:sz w:val="24"/>
          <w:szCs w:val="24"/>
          <w:highlight w:val="none"/>
        </w:rPr>
      </w:r>
      <w:r/>
    </w:p>
    <w:p>
      <w:pPr>
        <w:jc w:val="left"/>
        <w:widowControl/>
        <w:rPr>
          <w:rFonts w:eastAsia="Times New Roman"/>
          <w:color w:val="auto"/>
          <w:sz w:val="24"/>
          <w:szCs w:val="24"/>
          <w:highlight w:val="none"/>
        </w:rPr>
      </w:pPr>
      <w:r>
        <w:rPr>
          <w:rFonts w:eastAsia="Times New Roman"/>
          <w:color w:val="auto"/>
          <w:sz w:val="24"/>
          <w:szCs w:val="24"/>
          <w:highlight w:val="none"/>
        </w:rPr>
        <w:br w:type="page" w:clear="all"/>
      </w:r>
      <w:bookmarkEnd w:id="10"/>
      <w:r/>
      <w:r/>
    </w:p>
    <w:p>
      <w:pP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一、</w:t>
      </w:r>
      <w:bookmarkEnd w:id="7"/>
      <w:r/>
      <w:bookmarkEnd w:id="8"/>
      <w:r/>
      <w:bookmarkEnd w:id="9"/>
      <w:r/>
      <w:bookmarkStart w:id="11" w:name="_Toc120614284"/>
      <w:r>
        <w:rPr>
          <w:rFonts w:hint="eastAsia" w:ascii="宋体" w:hAnsi="宋体" w:eastAsia="宋体"/>
          <w:b/>
          <w:color w:val="auto"/>
          <w:sz w:val="32"/>
          <w:szCs w:val="32"/>
          <w:highlight w:val="none"/>
        </w:rPr>
        <w:t xml:space="preserve">投标声明及承诺函</w:t>
      </w:r>
      <w:r/>
    </w:p>
    <w:p>
      <w:pPr>
        <w:jc w:val="left"/>
        <w:spacing w:line="500" w:lineRule="exact"/>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（采购单位名称）：</w:t>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根据已收到的项目编号为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项目的招标文件，我方在参加本项目招投标活动中，特做出如下承诺：</w:t>
      </w:r>
      <w:r/>
    </w:p>
    <w:p>
      <w:pPr>
        <w:ind w:firstLine="480"/>
        <w:jc w:val="left"/>
        <w:spacing w:line="500" w:lineRule="exact"/>
        <w:rPr>
          <w:rFonts w:ascii="宋体" w:hAnsi="宋体" w:eastAsia="宋体"/>
          <w:color w:val="auto"/>
          <w:sz w:val="24"/>
          <w:szCs w:val="22"/>
          <w:highlight w:val="none"/>
        </w:rPr>
      </w:pPr>
      <w:r>
        <w:rPr>
          <w:rFonts w:hint="eastAsia" w:ascii="宋体" w:hAnsi="宋体" w:eastAsia="宋体"/>
          <w:color w:val="auto"/>
          <w:sz w:val="24"/>
          <w:szCs w:val="24"/>
          <w:highlight w:val="none"/>
        </w:rPr>
        <w:t xml:space="preserve">一、我方</w:t>
      </w:r>
      <w:r>
        <w:rPr>
          <w:rFonts w:ascii="宋体" w:hAnsi="宋体" w:eastAsia="宋体"/>
          <w:color w:val="auto"/>
          <w:sz w:val="24"/>
          <w:szCs w:val="22"/>
          <w:highlight w:val="none"/>
        </w:rPr>
        <w:t xml:space="preserve">具备《中华人民共和国政府采购法》第二十二条第一款规定的6项条件；</w:t>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三、我方按招标文件要求提交投标文件，响应招标文件规定的投标有效期；</w:t>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六、我方同意采购人、采购代理机构将本声明及承诺函上网公开。</w:t>
      </w:r>
      <w:r/>
    </w:p>
    <w:p>
      <w:pPr>
        <w:ind w:firstLine="480"/>
        <w:jc w:val="left"/>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jc w:val="left"/>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投标人名称：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（加盖CA电子公章）</w:t>
      </w:r>
      <w:r/>
    </w:p>
    <w:p>
      <w:pPr>
        <w:ind w:firstLine="480"/>
        <w:rPr>
          <w:rFonts w:ascii="宋体" w:hAnsi="宋体" w:eastAsia="宋体"/>
          <w:color w:val="auto"/>
          <w:sz w:val="21"/>
          <w:szCs w:val="22"/>
          <w:highlight w:val="none"/>
        </w:rPr>
      </w:pPr>
      <w:r>
        <w:rPr>
          <w:rFonts w:hint="eastAsia" w:ascii="宋体" w:hAnsi="宋体" w:eastAsia="宋体"/>
          <w:color w:val="auto"/>
          <w:sz w:val="24"/>
          <w:szCs w:val="24"/>
          <w:highlight w:val="none"/>
        </w:rPr>
        <w:t xml:space="preserve">日期：    年    月   日</w:t>
      </w: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32"/>
          <w:szCs w:val="32"/>
          <w:highlight w:val="none"/>
        </w:rPr>
        <w:t xml:space="preserve">二、投标人基本情况</w:t>
      </w:r>
      <w:r/>
    </w:p>
    <w:p>
      <w:pPr>
        <w:jc w:val="center"/>
        <w:rPr>
          <w:rFonts w:ascii="宋体" w:hAnsi="宋体" w:eastAsia="宋体"/>
          <w:color w:val="auto"/>
          <w:sz w:val="44"/>
          <w:szCs w:val="44"/>
          <w:highlight w:val="none"/>
        </w:rPr>
      </w:pPr>
      <w:r>
        <w:rPr>
          <w:rFonts w:hint="eastAsia" w:ascii="宋体" w:hAnsi="宋体" w:eastAsia="宋体"/>
          <w:color w:val="auto"/>
          <w:sz w:val="44"/>
          <w:szCs w:val="44"/>
          <w:highlight w:val="none"/>
        </w:rPr>
        <w:t xml:space="preserve">投标人基本情况表</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注册地区</w:t>
            </w: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成立时间</w:t>
            </w: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单位性质</w:t>
            </w: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注册资本（万元）</w:t>
            </w: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账号</w:t>
            </w: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3118"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604" w:type="dxa"/>
            <w:vAlign w:val="center"/>
            <w:textDirection w:val="lrTb"/>
            <w:noWrap w:val="false"/>
          </w:tcPr>
          <w:p>
            <w:pPr>
              <w:jc w:val="cente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2376"/>
        </w:trPr>
        <w:tc>
          <w:tcPr>
            <w:tcW w:w="152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经营范围</w:t>
            </w:r>
            <w:r/>
          </w:p>
        </w:tc>
        <w:tc>
          <w:tcPr>
            <w:gridSpan w:val="3"/>
            <w:tcW w:w="6998" w:type="dxa"/>
            <w:textDirection w:val="lrTb"/>
            <w:noWrap w:val="false"/>
          </w:tcPr>
          <w:p>
            <w:pPr>
              <w:ind w:firstLine="1432"/>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1134"/>
        </w:trPr>
        <w:tc>
          <w:tcPr>
            <w:tcW w:w="152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备注</w:t>
            </w:r>
            <w:r/>
          </w:p>
        </w:tc>
        <w:tc>
          <w:tcPr>
            <w:gridSpan w:val="3"/>
            <w:tcW w:w="6998" w:type="dxa"/>
            <w:vAlign w:val="center"/>
            <w:textDirection w:val="lrTb"/>
            <w:noWrap w:val="false"/>
          </w:tcPr>
          <w:p>
            <w:pPr>
              <w:jc w:val="center"/>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无需提供营业执照等证明材料</w:t>
            </w:r>
            <w:r/>
          </w:p>
        </w:tc>
      </w:tr>
    </w:tbl>
    <w:p>
      <w:pPr>
        <w:ind w:firstLine="480"/>
        <w:spacing w:line="440" w:lineRule="exact"/>
        <w:rPr>
          <w:rFonts w:ascii="宋体" w:hAnsi="宋体" w:eastAsia="宋体"/>
          <w:color w:val="auto"/>
          <w:sz w:val="24"/>
          <w:szCs w:val="21"/>
          <w:highlight w:val="none"/>
        </w:rPr>
      </w:pPr>
      <w:r>
        <w:rPr>
          <w:rFonts w:ascii="宋体" w:hAnsi="宋体" w:eastAsia="宋体"/>
          <w:color w:val="auto"/>
          <w:sz w:val="24"/>
          <w:szCs w:val="21"/>
          <w:highlight w:val="none"/>
        </w:rPr>
      </w:r>
      <w:r/>
    </w:p>
    <w:p>
      <w:pPr>
        <w:ind w:firstLine="480"/>
        <w:spacing w:line="440" w:lineRule="exact"/>
        <w:rPr>
          <w:rFonts w:ascii="宋体" w:hAnsi="宋体" w:eastAsia="宋体"/>
          <w:color w:val="auto"/>
          <w:sz w:val="24"/>
          <w:szCs w:val="21"/>
          <w:highlight w:val="none"/>
        </w:rPr>
      </w:pPr>
      <w:r>
        <w:rPr>
          <w:rFonts w:ascii="宋体" w:hAnsi="宋体" w:eastAsia="宋体"/>
          <w:color w:val="auto"/>
          <w:sz w:val="24"/>
          <w:szCs w:val="21"/>
          <w:highlight w:val="none"/>
        </w:rPr>
      </w:r>
      <w:r/>
    </w:p>
    <w:p>
      <w:pPr>
        <w:ind w:firstLine="480"/>
        <w:spacing w:line="440" w:lineRule="exact"/>
        <w:rPr>
          <w:rFonts w:ascii="宋体" w:hAnsi="宋体" w:eastAsia="宋体"/>
          <w:color w:val="auto"/>
          <w:sz w:val="24"/>
          <w:szCs w:val="21"/>
          <w:highlight w:val="none"/>
        </w:rPr>
      </w:pPr>
      <w:r>
        <w:rPr>
          <w:rFonts w:ascii="宋体" w:hAnsi="宋体" w:eastAsia="宋体"/>
          <w:color w:val="auto"/>
          <w:sz w:val="24"/>
          <w:szCs w:val="21"/>
          <w:highlight w:val="none"/>
        </w:rPr>
      </w:r>
      <w:r/>
    </w:p>
    <w:p>
      <w:pP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rPr>
          <w:rFonts w:ascii="宋体" w:hAnsi="宋体" w:eastAsia="宋体"/>
          <w:i/>
          <w:color w:val="auto"/>
          <w:sz w:val="32"/>
          <w:szCs w:val="32"/>
          <w:highlight w:val="none"/>
          <w:u w:val="single"/>
        </w:rPr>
      </w:pPr>
      <w:r>
        <w:rPr>
          <w:rFonts w:ascii="宋体" w:hAnsi="宋体" w:eastAsia="宋体"/>
          <w:color w:val="auto"/>
          <w:sz w:val="21"/>
          <w:szCs w:val="21"/>
          <w:highlight w:val="none"/>
        </w:rPr>
        <w:br w:type="page" w:clear="all"/>
      </w:r>
      <w:r>
        <w:rPr>
          <w:rFonts w:hint="eastAsia" w:ascii="宋体" w:hAnsi="宋体" w:eastAsia="宋体"/>
          <w:b/>
          <w:color w:val="auto"/>
          <w:sz w:val="32"/>
          <w:szCs w:val="32"/>
          <w:highlight w:val="none"/>
        </w:rPr>
        <w:t xml:space="preserve">三、特定资格要求的证明文件</w:t>
      </w:r>
      <w:r/>
    </w:p>
    <w:p>
      <w:pPr>
        <w:spacing w:line="460" w:lineRule="exact"/>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    如果本项目申请人的特定资格要求中要求提供的，必须提供。</w:t>
      </w:r>
      <w:r/>
    </w:p>
    <w:p>
      <w:pPr>
        <w:spacing w:line="460" w:lineRule="exact"/>
        <w:rPr>
          <w:rFonts w:ascii="宋体" w:hAnsi="宋体" w:eastAsia="宋体"/>
          <w:bCs/>
          <w:color w:val="auto"/>
          <w:sz w:val="24"/>
          <w:szCs w:val="21"/>
          <w:highlight w:val="none"/>
        </w:rPr>
      </w:pPr>
      <w:r>
        <w:rPr>
          <w:rFonts w:ascii="宋体" w:hAnsi="宋体" w:eastAsia="宋体"/>
          <w:bCs/>
          <w:color w:val="auto"/>
          <w:sz w:val="24"/>
          <w:szCs w:val="21"/>
          <w:highlight w:val="non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ind w:firstLine="640"/>
        <w:jc w:val="left"/>
        <w:spacing w:line="560" w:lineRule="exact"/>
        <w:rPr>
          <w:rFonts w:ascii="宋体" w:hAnsi="宋体" w:eastAsia="宋体" w:cs="仿宋_GB2312"/>
          <w:i/>
          <w:color w:val="auto"/>
          <w:sz w:val="32"/>
          <w:szCs w:val="32"/>
          <w:highlight w:val="none"/>
          <w:u w:val="single"/>
        </w:rPr>
      </w:pPr>
      <w:r>
        <w:rPr>
          <w:rFonts w:ascii="宋体" w:hAnsi="宋体" w:eastAsia="宋体" w:cs="仿宋_GB2312"/>
          <w:i/>
          <w:color w:val="auto"/>
          <w:sz w:val="32"/>
          <w:szCs w:val="32"/>
          <w:highlight w:val="none"/>
          <w:u w:val="single"/>
        </w:rPr>
      </w:r>
      <w:r/>
    </w:p>
    <w:p>
      <w:pPr>
        <w:ind w:firstLine="640"/>
        <w:jc w:val="left"/>
        <w:spacing w:line="560" w:lineRule="exact"/>
        <w:rPr>
          <w:rFonts w:ascii="宋体" w:hAnsi="宋体" w:eastAsia="宋体" w:cs="仿宋_GB2312"/>
          <w:i/>
          <w:color w:val="auto"/>
          <w:sz w:val="32"/>
          <w:szCs w:val="32"/>
          <w:highlight w:val="none"/>
          <w:u w:val="single"/>
        </w:rPr>
      </w:pPr>
      <w:r>
        <w:rPr>
          <w:rFonts w:ascii="宋体" w:hAnsi="宋体" w:eastAsia="宋体" w:cs="仿宋_GB2312"/>
          <w:i/>
          <w:color w:val="auto"/>
          <w:sz w:val="32"/>
          <w:szCs w:val="32"/>
          <w:highlight w:val="none"/>
          <w:u w:val="singl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jc w:val="center"/>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宋体" w:hAnsi="宋体" w:eastAsia="宋体"/>
          <w:color w:val="auto"/>
          <w:highlight w:val="none"/>
        </w:rPr>
      </w:pPr>
      <w:r>
        <w:rPr>
          <w:rFonts w:ascii="宋体" w:hAnsi="宋体" w:eastAsia="宋体"/>
          <w:color w:val="auto"/>
          <w:highlight w:val="none"/>
        </w:rPr>
      </w:r>
      <w:r/>
    </w:p>
    <w:p>
      <w:pPr>
        <w:jc w:val="center"/>
        <w:rPr>
          <w:rFonts w:ascii="宋体" w:hAnsi="宋体" w:eastAsia="宋体"/>
          <w:i/>
          <w:color w:val="auto"/>
          <w:sz w:val="32"/>
          <w:szCs w:val="32"/>
          <w:highlight w:val="none"/>
          <w:u w:val="single"/>
        </w:rPr>
      </w:pPr>
      <w:r>
        <w:rPr>
          <w:rFonts w:ascii="宋体" w:hAnsi="宋体" w:eastAsia="宋体"/>
          <w:i/>
          <w:color w:val="auto"/>
          <w:sz w:val="32"/>
          <w:szCs w:val="32"/>
          <w:highlight w:val="none"/>
          <w:u w:val="single"/>
        </w:rPr>
      </w:r>
      <w:r/>
    </w:p>
    <w:p>
      <w:pP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四、法人授权书</w:t>
      </w:r>
      <w:r/>
    </w:p>
    <w:p>
      <w:pPr>
        <w:ind w:firstLine="48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本授权书声明：____________（投标人名称）授权________________（被授权人的姓名）为我方就JSZC-</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本授权书于______年____月____日起生效，特此声明。</w:t>
      </w:r>
      <w:r/>
    </w:p>
    <w:p>
      <w:pPr>
        <w:tabs>
          <w:tab w:val="left" w:pos="3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被授权人身份证号码：</w:t>
      </w:r>
      <w:r>
        <w:rPr>
          <w:rFonts w:hint="eastAsia" w:ascii="宋体" w:hAnsi="宋体" w:eastAsia="宋体"/>
          <w:color w:val="auto"/>
          <w:sz w:val="24"/>
          <w:szCs w:val="24"/>
          <w:highlight w:val="none"/>
          <w:u w:val="single"/>
        </w:rPr>
        <w:t xml:space="preserve">                              </w:t>
      </w:r>
      <w:r/>
    </w:p>
    <w:p>
      <w:pPr>
        <w:tabs>
          <w:tab w:val="left" w:pos="3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被授权人联系电话：（手机）</w:t>
      </w:r>
      <w:r>
        <w:rPr>
          <w:rFonts w:hint="eastAsia" w:ascii="宋体" w:hAnsi="宋体" w:eastAsia="宋体"/>
          <w:color w:val="auto"/>
          <w:sz w:val="24"/>
          <w:szCs w:val="24"/>
          <w:highlight w:val="none"/>
          <w:u w:val="single"/>
        </w:rPr>
        <w:t xml:space="preserve">                          </w:t>
      </w:r>
      <w:r/>
    </w:p>
    <w:p>
      <w:pPr>
        <w:ind w:firstLine="120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授权单位名称：</w:t>
      </w:r>
      <w:r>
        <w:rPr>
          <w:rFonts w:hint="eastAsia" w:ascii="宋体" w:hAnsi="宋体" w:eastAsia="宋体"/>
          <w:color w:val="auto"/>
          <w:sz w:val="24"/>
          <w:szCs w:val="24"/>
          <w:highlight w:val="none"/>
          <w:u w:val="single"/>
        </w:rPr>
        <w:t xml:space="preserve">（加盖CA电子公章）</w:t>
      </w:r>
      <w:r/>
    </w:p>
    <w:p>
      <w:pPr>
        <w:ind w:firstLine="480"/>
        <w:tabs>
          <w:tab w:val="left" w:pos="3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单位地址：</w:t>
      </w:r>
      <w:r>
        <w:rPr>
          <w:rFonts w:hint="eastAsia" w:ascii="宋体" w:hAnsi="宋体" w:eastAsia="宋体"/>
          <w:color w:val="auto"/>
          <w:sz w:val="24"/>
          <w:szCs w:val="24"/>
          <w:highlight w:val="none"/>
          <w:u w:val="single"/>
        </w:rPr>
        <w:t xml:space="preserve">                                         </w:t>
      </w:r>
      <w:r/>
    </w:p>
    <w:p>
      <w:pPr>
        <w:ind w:firstLine="480"/>
        <w:tabs>
          <w:tab w:val="left" w:pos="36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bookmarkStart w:id="12" w:name="_Hlt26671380"/>
      <w:r/>
      <w:bookmarkEnd w:id="12"/>
      <w:r/>
      <w:bookmarkStart w:id="13" w:name="_Hlt26955070"/>
      <w:r/>
      <w:bookmarkEnd w:id="13"/>
      <w:r/>
      <w:bookmarkStart w:id="14" w:name="_格式3__银行出具的资信证明"/>
      <w:r/>
      <w:bookmarkEnd w:id="14"/>
      <w:r>
        <w:rPr>
          <w:rFonts w:hint="eastAsia" w:ascii="宋体" w:hAnsi="宋体" w:eastAsia="宋体"/>
          <w:color w:val="auto"/>
          <w:sz w:val="24"/>
          <w:szCs w:val="24"/>
          <w:highlight w:val="none"/>
          <w:u w:val="single"/>
        </w:rPr>
        <w:t xml:space="preserve">                                         </w:t>
      </w:r>
      <w:r/>
    </w:p>
    <w:p>
      <w:pPr>
        <w:ind w:firstLine="420"/>
        <w:rPr>
          <w:rFonts w:ascii="宋体" w:hAnsi="宋体" w:eastAsia="宋体"/>
          <w:i/>
          <w:color w:val="auto"/>
          <w:sz w:val="24"/>
          <w:szCs w:val="24"/>
          <w:highlight w:val="none"/>
          <w:u w:val="single"/>
        </w:rPr>
      </w:pPr>
      <w:r>
        <w:rPr>
          <w:rFonts w:ascii="宋体" w:hAnsi="宋体" w:eastAsia="宋体"/>
          <w:i/>
          <w:color w:val="auto"/>
          <w:sz w:val="24"/>
          <w:szCs w:val="24"/>
          <w:highlight w:val="none"/>
          <w:u w:val="single"/>
        </w:rPr>
      </w:r>
      <w:r/>
    </w:p>
    <w:p>
      <w:pPr>
        <w:rPr>
          <w:rFonts w:ascii="宋体" w:hAnsi="宋体" w:eastAsia="宋体"/>
          <w:color w:val="auto"/>
          <w:sz w:val="20"/>
          <w:szCs w:val="21"/>
          <w:highlight w:val="none"/>
        </w:rPr>
      </w:pPr>
      <w:r>
        <w:rPr>
          <w:rFonts w:ascii="宋体" w:hAnsi="宋体" w:eastAsia="宋体"/>
          <w:color w:val="auto"/>
          <w:sz w:val="20"/>
          <w:szCs w:val="21"/>
          <w:highlight w:val="none"/>
        </w:rPr>
      </w:r>
      <w:r/>
    </w:p>
    <w:p>
      <w:pPr>
        <w:spacing w:line="460" w:lineRule="exact"/>
        <w:rPr>
          <w:rFonts w:ascii="宋体" w:hAnsi="宋体" w:eastAsia="宋体"/>
          <w:bCs/>
          <w:color w:val="auto"/>
          <w:sz w:val="24"/>
          <w:szCs w:val="21"/>
          <w:highlight w:val="none"/>
        </w:rPr>
      </w:pPr>
      <w:r>
        <w:rPr>
          <w:rFonts w:ascii="宋体" w:hAnsi="宋体" w:eastAsia="宋体"/>
          <w:bCs/>
          <w:color w:val="auto"/>
          <w:sz w:val="24"/>
          <w:szCs w:val="21"/>
          <w:highlight w:val="none"/>
        </w:rPr>
      </w:r>
      <w:r/>
    </w:p>
    <w:p>
      <w:pPr>
        <w:jc w:val="center"/>
        <w:rPr>
          <w:rFonts w:ascii="宋体" w:hAnsi="宋体" w:eastAsia="宋体"/>
          <w:b/>
          <w:color w:val="auto"/>
          <w:sz w:val="32"/>
          <w:szCs w:val="32"/>
          <w:highlight w:val="none"/>
        </w:rPr>
      </w:pPr>
      <w:r>
        <w:rPr>
          <w:rFonts w:ascii="宋体" w:hAnsi="宋体" w:eastAsia="宋体"/>
          <w:bCs/>
          <w:color w:val="auto"/>
          <w:sz w:val="24"/>
          <w:szCs w:val="21"/>
          <w:highlight w:val="none"/>
        </w:rPr>
        <w:br w:type="page" w:clear="all"/>
      </w:r>
      <w:r>
        <w:rPr>
          <w:rFonts w:hint="eastAsia" w:ascii="宋体" w:hAnsi="宋体" w:eastAsia="宋体"/>
          <w:b/>
          <w:color w:val="auto"/>
          <w:sz w:val="32"/>
          <w:szCs w:val="32"/>
          <w:highlight w:val="none"/>
        </w:rPr>
        <w:t xml:space="preserve">五、开标一览表</w:t>
      </w:r>
      <w:r/>
    </w:p>
    <w:p>
      <w:pPr>
        <w:jc w:val="center"/>
        <w:rPr>
          <w:rFonts w:ascii="宋体" w:hAnsi="宋体" w:eastAsia="宋体"/>
          <w:b/>
          <w:color w:val="auto"/>
          <w:sz w:val="32"/>
          <w:szCs w:val="32"/>
          <w:highlight w:val="none"/>
        </w:rPr>
      </w:pPr>
      <w:r>
        <w:rPr>
          <w:rFonts w:ascii="宋体" w:hAnsi="宋体" w:eastAsia="宋体"/>
          <w:b/>
          <w:color w:val="auto"/>
          <w:sz w:val="32"/>
          <w:szCs w:val="32"/>
          <w:highlight w:val="none"/>
        </w:rPr>
      </w:r>
      <w:r/>
    </w:p>
    <w:p>
      <w:pPr>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直接在苏采云系统里填写</w:t>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jc w:val="center"/>
        <w:rPr>
          <w:rFonts w:ascii="宋体" w:hAnsi="宋体" w:eastAsia="宋体"/>
          <w:color w:val="auto"/>
          <w:sz w:val="24"/>
          <w:highlight w:val="none"/>
        </w:rPr>
      </w:pPr>
      <w:r>
        <w:rPr>
          <w:rFonts w:ascii="宋体" w:hAnsi="宋体" w:eastAsia="宋体"/>
          <w:color w:val="auto"/>
          <w:sz w:val="24"/>
          <w:highlight w:val="none"/>
        </w:rPr>
      </w:r>
      <w:r/>
    </w:p>
    <w:p>
      <w:pPr>
        <w:ind w:firstLine="480"/>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rPr>
          <w:rFonts w:asciiTheme="minorEastAsia" w:hAnsiTheme="minorEastAsia" w:eastAsiaTheme="minorEastAsia"/>
          <w:bCs/>
          <w:color w:val="auto"/>
          <w:sz w:val="24"/>
          <w:szCs w:val="21"/>
          <w:highlight w:val="none"/>
        </w:rPr>
      </w:pPr>
      <w:r>
        <w:rPr>
          <w:rFonts w:asciiTheme="minorEastAsia" w:hAnsiTheme="minorEastAsia" w:eastAsiaTheme="minorEastAsia"/>
          <w:bCs/>
          <w:color w:val="auto"/>
          <w:sz w:val="24"/>
          <w:szCs w:val="21"/>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2"/>
        <w:rPr>
          <w:rFonts w:ascii="宋体" w:hAnsi="宋体" w:eastAsia="宋体"/>
          <w:color w:val="auto"/>
          <w:highlight w:val="none"/>
        </w:rPr>
      </w:pPr>
      <w:r>
        <w:rPr>
          <w:rFonts w:ascii="宋体" w:hAnsi="宋体" w:eastAsia="宋体"/>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560" w:lineRule="exact"/>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六、分项报价表（分包号：**）（货物类）</w:t>
      </w:r>
      <w:r/>
    </w:p>
    <w:p>
      <w:pPr>
        <w:spacing w:line="560" w:lineRule="exact"/>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1、设备报价表</w:t>
      </w:r>
      <w:r/>
    </w:p>
    <w:tbl>
      <w:tblPr>
        <w:tblStyle w:val="78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03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96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41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78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980"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727"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372"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24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03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产品</w:t>
            </w:r>
            <w:r/>
          </w:p>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p>
        </w:tc>
        <w:tc>
          <w:tcPr>
            <w:tcW w:w="96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品牌</w:t>
            </w:r>
            <w:r/>
          </w:p>
        </w:tc>
        <w:tc>
          <w:tcPr>
            <w:tcW w:w="141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规格</w:t>
            </w:r>
            <w:r/>
          </w:p>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型号</w:t>
            </w:r>
            <w:r/>
          </w:p>
        </w:tc>
        <w:tc>
          <w:tcPr>
            <w:tcW w:w="784"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产地</w:t>
            </w:r>
            <w:r/>
          </w:p>
        </w:tc>
        <w:tc>
          <w:tcPr>
            <w:tcW w:w="980"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交付期</w:t>
            </w:r>
            <w:r/>
          </w:p>
        </w:tc>
        <w:tc>
          <w:tcPr>
            <w:tcW w:w="727"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数量</w:t>
            </w:r>
            <w:r/>
          </w:p>
        </w:tc>
        <w:tc>
          <w:tcPr>
            <w:tcW w:w="1372"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分项单价</w:t>
            </w:r>
            <w:r/>
          </w:p>
        </w:tc>
        <w:tc>
          <w:tcPr>
            <w:tcW w:w="124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03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6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1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8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80"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27"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372"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4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cantSplit/>
          <w:trHeight w:val="724"/>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03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6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1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8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80"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27"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372"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4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cantSplit/>
          <w:trHeight w:val="580"/>
        </w:trPr>
        <w:tc>
          <w:tcPr>
            <w:tcW w:w="556" w:type="dxa"/>
            <w:vAlign w:val="center"/>
            <w:textDirection w:val="lrTb"/>
            <w:noWrap w:val="false"/>
          </w:tcPr>
          <w:p>
            <w:pPr>
              <w:jc w:val="cente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103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96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1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84"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80"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727"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372"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46" w:type="dxa"/>
            <w:vAlign w:val="center"/>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总报价（人民币：元）</w:t>
            </w:r>
            <w:r/>
          </w:p>
        </w:tc>
        <w:tc>
          <w:tcPr>
            <w:tcW w:w="1246" w:type="dxa"/>
            <w:textDirection w:val="lrTb"/>
            <w:noWrap w:val="false"/>
          </w:tcPr>
          <w:p>
            <w:pPr>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r>
            <w:r/>
          </w:p>
        </w:tc>
      </w:tr>
      <w:tr>
        <w:trPr>
          <w:cantSplit/>
          <w:trHeight w:val="1030"/>
        </w:trPr>
        <w:tc>
          <w:tcPr>
            <w:gridSpan w:val="9"/>
            <w:tcW w:w="9081" w:type="dxa"/>
            <w:vAlign w:val="center"/>
            <w:textDirection w:val="lrTb"/>
            <w:noWrap w:val="false"/>
          </w:tcPr>
          <w:p>
            <w:pPr>
              <w:jc w:val="left"/>
              <w:spacing w:line="5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本采购包中提供的符合本国产品标准的产品成本之和占该采购包提供的全部产品成本之和的比例为***%。</w:t>
            </w:r>
            <w:r/>
          </w:p>
        </w:tc>
      </w:tr>
    </w:tbl>
    <w:p>
      <w:pPr>
        <w:tabs>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tabs>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2、主要配件和耗材价格</w:t>
      </w:r>
      <w:r/>
    </w:p>
    <w:tbl>
      <w:tblPr>
        <w:tblStyle w:val="787"/>
        <w:tblW w:w="8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5"/>
        <w:gridCol w:w="1338"/>
        <w:gridCol w:w="1417"/>
        <w:gridCol w:w="1418"/>
        <w:gridCol w:w="709"/>
        <w:gridCol w:w="1453"/>
        <w:gridCol w:w="1523"/>
      </w:tblGrid>
      <w:tr>
        <w:trPr/>
        <w:tc>
          <w:tcPr>
            <w:tcW w:w="675"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133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p>
        </w:tc>
        <w:tc>
          <w:tcPr>
            <w:tcW w:w="1417"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品牌</w:t>
            </w:r>
            <w:r/>
          </w:p>
        </w:tc>
        <w:tc>
          <w:tcPr>
            <w:tcW w:w="141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规格/型号</w:t>
            </w:r>
            <w:r/>
          </w:p>
        </w:tc>
        <w:tc>
          <w:tcPr>
            <w:tcW w:w="709"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数量</w:t>
            </w:r>
            <w:r/>
          </w:p>
        </w:tc>
        <w:tc>
          <w:tcPr>
            <w:tcW w:w="145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单价</w:t>
            </w:r>
            <w:r/>
          </w:p>
        </w:tc>
        <w:tc>
          <w:tcPr>
            <w:tcW w:w="152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tc>
      </w:tr>
      <w:tr>
        <w:trPr/>
        <w:tc>
          <w:tcPr>
            <w:tcW w:w="675"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3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417"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41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45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提供耗材目录截图（需在江苏省药品、医用耗材招采管理系统和集采品种范围内）。</w:t>
      </w:r>
      <w:r/>
    </w:p>
    <w:p>
      <w:pPr>
        <w:tabs>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tabs>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3、选配功能明细清单</w:t>
      </w:r>
      <w:r/>
    </w:p>
    <w:tbl>
      <w:tblPr>
        <w:tblStyle w:val="787"/>
        <w:tblW w:w="8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5"/>
        <w:gridCol w:w="1338"/>
        <w:gridCol w:w="1417"/>
        <w:gridCol w:w="1418"/>
        <w:gridCol w:w="709"/>
        <w:gridCol w:w="1453"/>
        <w:gridCol w:w="1523"/>
      </w:tblGrid>
      <w:tr>
        <w:trPr/>
        <w:tc>
          <w:tcPr>
            <w:tcW w:w="675"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133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p>
        </w:tc>
        <w:tc>
          <w:tcPr>
            <w:tcW w:w="1417"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品牌</w:t>
            </w:r>
            <w:r/>
          </w:p>
        </w:tc>
        <w:tc>
          <w:tcPr>
            <w:tcW w:w="1418"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规格/型号</w:t>
            </w:r>
            <w:r/>
          </w:p>
        </w:tc>
        <w:tc>
          <w:tcPr>
            <w:tcW w:w="709"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数量</w:t>
            </w:r>
            <w:r/>
          </w:p>
        </w:tc>
        <w:tc>
          <w:tcPr>
            <w:tcW w:w="145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单价</w:t>
            </w:r>
            <w:r/>
          </w:p>
        </w:tc>
        <w:tc>
          <w:tcPr>
            <w:tcW w:w="1523" w:type="dxa"/>
            <w:textDirection w:val="lrTb"/>
            <w:noWrap w:val="false"/>
          </w:tcPr>
          <w:p>
            <w:pPr>
              <w:jc w:val="center"/>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tc>
      </w:tr>
      <w:tr>
        <w:trPr/>
        <w:tc>
          <w:tcPr>
            <w:tcW w:w="675"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33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417"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418"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709"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45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23" w:type="dxa"/>
            <w:textDirection w:val="lrTb"/>
            <w:noWrap w:val="false"/>
          </w:tcPr>
          <w:p>
            <w:pPr>
              <w:tabs>
                <w:tab w:val="left" w:pos="-900" w:leader="none"/>
              </w:tabs>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rPr>
          <w:b/>
          <w:bCs/>
          <w:iCs/>
          <w:color w:val="auto"/>
          <w:szCs w:val="32"/>
          <w:highlight w:val="none"/>
        </w:rPr>
      </w:pPr>
      <w:r>
        <w:rPr>
          <w:b/>
          <w:bCs/>
          <w:iCs/>
          <w:color w:val="auto"/>
          <w:szCs w:val="32"/>
          <w:highlight w:val="none"/>
        </w:rPr>
      </w:r>
      <w:r/>
    </w:p>
    <w:p>
      <w:pPr>
        <w:spacing w:line="440" w:lineRule="exact"/>
        <w:rPr>
          <w:rFonts w:ascii="宋体" w:hAnsi="宋体" w:cs="宋体"/>
          <w:color w:val="auto"/>
          <w:highlight w:val="none"/>
        </w:rPr>
      </w:pPr>
      <w:r>
        <w:rPr>
          <w:rFonts w:hint="eastAsia" w:ascii="宋体" w:hAnsi="宋体" w:cs="宋体"/>
          <w:color w:val="auto"/>
          <w:highlight w:val="none"/>
        </w:rPr>
        <w:t xml:space="preserve">注：1、投标人应根据其所投产品情况，提供分项报价。</w:t>
      </w:r>
      <w:r/>
    </w:p>
    <w:p>
      <w:pPr>
        <w:ind w:firstLine="520"/>
        <w:spacing w:line="440" w:lineRule="exact"/>
        <w:rPr>
          <w:rFonts w:ascii="宋体" w:hAnsi="宋体" w:cs="宋体"/>
          <w:color w:val="auto"/>
          <w:highlight w:val="none"/>
        </w:rPr>
      </w:pPr>
      <w:r>
        <w:rPr>
          <w:rFonts w:hint="eastAsia" w:ascii="宋体" w:hAnsi="宋体" w:cs="宋体"/>
          <w:color w:val="auto"/>
          <w:highlight w:val="none"/>
        </w:rPr>
        <w:t xml:space="preserve">2、表中表格行数可自行添加。</w:t>
      </w:r>
      <w:r/>
    </w:p>
    <w:p>
      <w:pPr>
        <w:ind w:firstLine="5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heme="minorEastAsia" w:hAnsiTheme="minorEastAsia"/>
          <w:color w:val="auto"/>
          <w:sz w:val="24"/>
          <w:szCs w:val="24"/>
          <w:highlight w:val="none"/>
        </w:rPr>
      </w:pPr>
      <w:r>
        <w:rPr>
          <w:rFonts w:hint="eastAsia"/>
          <w:b/>
          <w:bCs/>
          <w:iCs/>
          <w:color w:val="auto"/>
          <w:szCs w:val="32"/>
          <w:highlight w:val="none"/>
        </w:rPr>
        <w:t xml:space="preserve">七、符合本国产品标准及中小企业声明函</w:t>
      </w:r>
      <w:r/>
    </w:p>
    <w:p>
      <w:pPr>
        <w:pStyle w:val="1034"/>
        <w:jc w:val="center"/>
        <w:rPr>
          <w:rFonts w:ascii="宋体" w:hAnsi="宋体"/>
          <w:b/>
          <w:color w:val="auto"/>
          <w:sz w:val="36"/>
          <w:szCs w:val="36"/>
          <w:highlight w:val="none"/>
        </w:rPr>
      </w:pPr>
      <w:r>
        <w:rPr>
          <w:rFonts w:ascii="宋体" w:hAnsi="宋体"/>
          <w:b/>
          <w:color w:val="auto"/>
          <w:sz w:val="36"/>
          <w:szCs w:val="36"/>
          <w:highlight w:val="none"/>
        </w:rPr>
      </w:r>
      <w:r/>
    </w:p>
    <w:p>
      <w:pPr>
        <w:pStyle w:val="1034"/>
        <w:jc w:val="center"/>
        <w:rPr>
          <w:rFonts w:ascii="宋体" w:hAnsi="宋体"/>
          <w:b/>
          <w:color w:val="auto"/>
          <w:sz w:val="36"/>
          <w:szCs w:val="36"/>
          <w:highlight w:val="none"/>
        </w:rPr>
      </w:pPr>
      <w:r>
        <w:rPr>
          <w:rFonts w:hint="eastAsia" w:ascii="宋体" w:hAnsi="宋体"/>
          <w:b/>
          <w:color w:val="auto"/>
          <w:sz w:val="36"/>
          <w:szCs w:val="36"/>
          <w:highlight w:val="none"/>
        </w:rPr>
        <w:t xml:space="preserve">中小企业声明函（货物）</w:t>
      </w:r>
      <w:r/>
    </w:p>
    <w:p>
      <w:pPr>
        <w:pStyle w:val="1034"/>
        <w:jc w:val="left"/>
        <w:rPr>
          <w:rFonts w:ascii="宋体" w:hAnsi="宋体"/>
          <w:b/>
          <w:color w:val="auto"/>
          <w:sz w:val="32"/>
          <w:szCs w:val="32"/>
          <w:highlight w:val="none"/>
        </w:rPr>
      </w:pPr>
      <w:r>
        <w:rPr>
          <w:rFonts w:ascii="宋体" w:hAnsi="宋体"/>
          <w:b/>
          <w:color w:val="auto"/>
          <w:sz w:val="32"/>
          <w:szCs w:val="32"/>
          <w:highlight w:val="none"/>
        </w:rPr>
      </w:r>
      <w:r/>
    </w:p>
    <w:p>
      <w:pPr>
        <w:pStyle w:val="103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ascii="宋体" w:hAnsi="宋体"/>
          <w:color w:val="auto"/>
          <w:sz w:val="24"/>
          <w:szCs w:val="24"/>
          <w:highlight w:val="none"/>
        </w:rPr>
        <w:t xml:space="preserve">〔2020〕46号）</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034"/>
        <w:ind w:firstLine="480"/>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u w:val="single"/>
        </w:rPr>
        <w:t xml:space="preserve">行业</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（中型企业、小型企业、微型企业）；</w:t>
      </w:r>
      <w:r/>
    </w:p>
    <w:p>
      <w:pPr>
        <w:pStyle w:val="1034"/>
        <w:ind w:firstLine="480"/>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u w:val="single"/>
        </w:rPr>
        <w:t xml:space="preserve">行业</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pStyle w:val="1034"/>
        <w:ind w:firstLine="480"/>
        <w:jc w:val="left"/>
        <w:spacing w:line="500" w:lineRule="exact"/>
        <w:rPr>
          <w:rFonts w:ascii="宋体" w:hAnsi="宋体"/>
          <w:color w:val="auto"/>
          <w:sz w:val="24"/>
          <w:szCs w:val="24"/>
          <w:highlight w:val="none"/>
        </w:rPr>
      </w:pPr>
      <w:r>
        <w:rPr>
          <w:rFonts w:ascii="宋体" w:hAnsi="宋体"/>
          <w:color w:val="auto"/>
          <w:sz w:val="24"/>
          <w:szCs w:val="24"/>
          <w:highlight w:val="none"/>
        </w:rPr>
        <w:t xml:space="preserve">……</w:t>
      </w:r>
      <w:r/>
    </w:p>
    <w:p>
      <w:pPr>
        <w:pStyle w:val="103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pStyle w:val="103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1034"/>
        <w:ind w:firstLine="480"/>
        <w:jc w:val="center"/>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3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pStyle w:val="103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w:t>
      </w:r>
      <w:r/>
    </w:p>
    <w:p>
      <w:pPr>
        <w:pStyle w:val="1034"/>
        <w:ind w:firstLine="560"/>
        <w:spacing w:line="560" w:lineRule="exact"/>
        <w:rPr>
          <w:rFonts w:ascii="宋体" w:hAnsi="宋体"/>
          <w:color w:val="auto"/>
          <w:sz w:val="28"/>
          <w:szCs w:val="28"/>
          <w:highlight w:val="none"/>
        </w:rPr>
      </w:pPr>
      <w:r>
        <w:rPr>
          <w:rFonts w:ascii="宋体" w:hAnsi="宋体"/>
          <w:color w:val="auto"/>
          <w:sz w:val="28"/>
          <w:szCs w:val="28"/>
          <w:highlight w:val="none"/>
        </w:rPr>
      </w:r>
      <w:r/>
    </w:p>
    <w:p>
      <w:pPr>
        <w:pStyle w:val="1034"/>
        <w:ind w:firstLine="360"/>
        <w:spacing w:line="560" w:lineRule="exact"/>
        <w:rPr>
          <w:rFonts w:ascii="宋体" w:hAnsi="宋体"/>
          <w:color w:val="auto"/>
          <w:sz w:val="18"/>
          <w:szCs w:val="18"/>
          <w:highlight w:val="none"/>
        </w:rPr>
      </w:pPr>
      <w:r>
        <w:rPr>
          <w:rFonts w:hint="eastAsia" w:ascii="宋体" w:hAnsi="宋体"/>
          <w:color w:val="auto"/>
          <w:sz w:val="18"/>
          <w:szCs w:val="18"/>
          <w:highlight w:val="none"/>
          <w:vertAlign w:val="superscript"/>
        </w:rPr>
        <w:t xml:space="preserve">1</w:t>
      </w:r>
      <w:r>
        <w:rPr>
          <w:rFonts w:hint="eastAsia" w:ascii="宋体" w:hAnsi="宋体"/>
          <w:color w:val="auto"/>
          <w:sz w:val="18"/>
          <w:szCs w:val="18"/>
          <w:highlight w:val="none"/>
        </w:rPr>
        <w:t xml:space="preserve">从业人员、营业收入、资产总额填报上一年数据，无上一年数据的新成立企业可不填报。</w:t>
      </w:r>
      <w:r/>
    </w:p>
    <w:p>
      <w:pPr>
        <w:pStyle w:val="1034"/>
        <w:jc w:val="center"/>
        <w:rPr>
          <w:rFonts w:ascii="宋体" w:hAnsi="宋体"/>
          <w:b/>
          <w:color w:val="auto"/>
          <w:sz w:val="36"/>
          <w:szCs w:val="36"/>
          <w:highlight w:val="none"/>
        </w:rPr>
      </w:pPr>
      <w:r>
        <w:rPr>
          <w:rFonts w:ascii="宋体" w:hAnsi="宋体"/>
          <w:b/>
          <w:color w:val="auto"/>
          <w:sz w:val="36"/>
          <w:szCs w:val="36"/>
          <w:highlight w:val="none"/>
        </w:rPr>
      </w:r>
      <w:r/>
    </w:p>
    <w:p>
      <w:pPr>
        <w:pStyle w:val="1034"/>
        <w:rPr>
          <w:rFonts w:ascii="宋体" w:hAnsi="宋体"/>
          <w:b/>
          <w:color w:val="auto"/>
          <w:sz w:val="36"/>
          <w:szCs w:val="36"/>
          <w:highlight w:val="none"/>
        </w:rPr>
      </w:pPr>
      <w:r>
        <w:rPr>
          <w:rFonts w:ascii="宋体" w:hAnsi="宋体"/>
          <w:b/>
          <w:color w:val="auto"/>
          <w:sz w:val="36"/>
          <w:szCs w:val="36"/>
          <w:highlight w:val="none"/>
        </w:rPr>
      </w:r>
      <w:r/>
    </w:p>
    <w:p>
      <w:pPr>
        <w:pStyle w:val="1034"/>
        <w:jc w:val="center"/>
        <w:rPr>
          <w:rFonts w:ascii="宋体" w:hAnsi="宋体"/>
          <w:b/>
          <w:color w:val="auto"/>
          <w:sz w:val="36"/>
          <w:szCs w:val="36"/>
          <w:highlight w:val="none"/>
        </w:rPr>
      </w:pPr>
      <w:r>
        <w:rPr>
          <w:rFonts w:ascii="宋体" w:hAnsi="宋体"/>
          <w:b/>
          <w:color w:val="auto"/>
          <w:sz w:val="36"/>
          <w:szCs w:val="36"/>
          <w:highlight w:val="none"/>
        </w:rPr>
      </w:r>
      <w:r/>
    </w:p>
    <w:p>
      <w:pPr>
        <w:pStyle w:val="1034"/>
        <w:jc w:val="center"/>
        <w:rPr>
          <w:rFonts w:ascii="宋体" w:hAnsi="宋体"/>
          <w:b/>
          <w:color w:val="auto"/>
          <w:sz w:val="36"/>
          <w:szCs w:val="36"/>
          <w:highlight w:val="none"/>
        </w:rPr>
      </w:pPr>
      <w:r>
        <w:rPr>
          <w:rFonts w:ascii="宋体" w:hAnsi="宋体"/>
          <w:b/>
          <w:color w:val="auto"/>
          <w:sz w:val="36"/>
          <w:szCs w:val="36"/>
          <w:highlight w:val="none"/>
        </w:rPr>
      </w:r>
      <w:r/>
    </w:p>
    <w:p>
      <w:pPr>
        <w:pStyle w:val="1034"/>
        <w:jc w:val="center"/>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pStyle w:val="1034"/>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pStyle w:val="1034"/>
        <w:rPr>
          <w:rFonts w:ascii="宋体" w:hAnsi="宋体"/>
          <w:b/>
          <w:color w:val="auto"/>
          <w:sz w:val="36"/>
          <w:szCs w:val="36"/>
          <w:highlight w:val="none"/>
        </w:rPr>
      </w:pPr>
      <w:r>
        <w:rPr>
          <w:rFonts w:ascii="宋体" w:hAnsi="宋体"/>
          <w:b/>
          <w:color w:val="auto"/>
          <w:sz w:val="36"/>
          <w:szCs w:val="36"/>
          <w:highlight w:val="none"/>
        </w:rPr>
      </w:r>
      <w:r/>
    </w:p>
    <w:p>
      <w:pPr>
        <w:pStyle w:val="1036"/>
        <w:jc w:val="center"/>
        <w:spacing w:before="151" w:after="151" w:line="60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残疾人福利性单位声明函</w:t>
      </w:r>
      <w:r/>
    </w:p>
    <w:p>
      <w:pPr>
        <w:pStyle w:val="1037"/>
        <w:spacing w:line="588" w:lineRule="exact"/>
        <w:rPr>
          <w:rFonts w:ascii="宋体" w:hAnsi="宋体"/>
          <w:b/>
          <w:color w:val="auto"/>
          <w:spacing w:val="6"/>
          <w:sz w:val="30"/>
          <w:szCs w:val="30"/>
          <w:highlight w:val="none"/>
        </w:rPr>
      </w:pPr>
      <w:r>
        <w:rPr>
          <w:rFonts w:ascii="宋体" w:hAnsi="宋体"/>
          <w:b/>
          <w:color w:val="auto"/>
          <w:spacing w:val="6"/>
          <w:sz w:val="30"/>
          <w:szCs w:val="30"/>
          <w:highlight w:val="none"/>
        </w:rPr>
      </w:r>
      <w:r/>
    </w:p>
    <w:p>
      <w:pPr>
        <w:pStyle w:val="1036"/>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z w:val="24"/>
          <w:highlight w:val="none"/>
        </w:rPr>
        <w:t xml:space="preserve">号）的规定，本单位为符合条件的残疾人福利性单位，且本单位参加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36"/>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038"/>
        <w:ind w:firstLine="3810"/>
        <w:spacing w:line="500" w:lineRule="exact"/>
        <w:rPr>
          <w:rFonts w:ascii="宋体" w:hAnsi="宋体"/>
          <w:color w:val="auto"/>
          <w:spacing w:val="6"/>
          <w:sz w:val="24"/>
          <w:szCs w:val="24"/>
          <w:highlight w:val="none"/>
        </w:rPr>
      </w:pPr>
      <w:r>
        <w:rPr>
          <w:rFonts w:ascii="宋体" w:hAnsi="宋体"/>
          <w:color w:val="auto"/>
          <w:spacing w:val="6"/>
          <w:sz w:val="24"/>
          <w:szCs w:val="24"/>
          <w:highlight w:val="none"/>
        </w:rPr>
      </w:r>
      <w:r/>
    </w:p>
    <w:p>
      <w:pPr>
        <w:pStyle w:val="1038"/>
        <w:ind w:firstLine="3629"/>
        <w:jc w:val="left"/>
        <w:spacing w:line="500" w:lineRule="exact"/>
        <w:rPr>
          <w:rFonts w:ascii="宋体" w:hAnsi="宋体"/>
          <w:color w:val="auto"/>
          <w:sz w:val="24"/>
          <w:highlight w:val="none"/>
        </w:rPr>
      </w:pPr>
      <w:r>
        <w:rPr>
          <w:rFonts w:ascii="宋体" w:hAnsi="宋体"/>
          <w:color w:val="auto"/>
          <w:sz w:val="24"/>
          <w:highlight w:val="none"/>
        </w:rPr>
      </w:r>
      <w:r/>
    </w:p>
    <w:p>
      <w:pPr>
        <w:pStyle w:val="1038"/>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w:t>
      </w:r>
      <w:r/>
    </w:p>
    <w:p>
      <w:pPr>
        <w:pStyle w:val="1034"/>
        <w:ind w:firstLine="480"/>
        <w:jc w:val="left"/>
        <w:spacing w:line="500" w:lineRule="exact"/>
        <w:rPr>
          <w:rFonts w:ascii="宋体" w:hAnsi="宋体"/>
          <w:color w:val="auto"/>
          <w:sz w:val="24"/>
          <w:szCs w:val="20"/>
          <w:highlight w:val="none"/>
        </w:rPr>
      </w:pPr>
      <w:r>
        <w:rPr>
          <w:rFonts w:hint="eastAsia" w:ascii="宋体" w:hAnsi="宋体"/>
          <w:color w:val="auto"/>
          <w:sz w:val="24"/>
          <w:szCs w:val="20"/>
          <w:highlight w:val="none"/>
        </w:rPr>
        <w:t xml:space="preserve">日期：  年  月  日</w:t>
      </w:r>
      <w:r/>
    </w:p>
    <w:p>
      <w:pPr>
        <w:pStyle w:val="1037"/>
        <w:ind w:right="1560" w:firstLine="480"/>
        <w:jc w:val="center"/>
        <w:spacing w:line="588" w:lineRule="exact"/>
        <w:tabs>
          <w:tab w:val="left" w:pos="4860" w:leader="none"/>
        </w:tabs>
        <w:rPr>
          <w:rFonts w:ascii="宋体" w:hAnsi="宋体" w:cs="Arial"/>
          <w:color w:val="auto"/>
          <w:sz w:val="24"/>
          <w:szCs w:val="24"/>
          <w:highlight w:val="none"/>
        </w:rPr>
      </w:pPr>
      <w:r>
        <w:rPr>
          <w:rFonts w:ascii="宋体" w:hAnsi="宋体" w:cs="Arial"/>
          <w:color w:val="auto"/>
          <w:sz w:val="24"/>
          <w:szCs w:val="24"/>
          <w:highlight w:val="none"/>
        </w:rPr>
      </w:r>
      <w:r/>
    </w:p>
    <w:p>
      <w:pPr>
        <w:pStyle w:val="1039"/>
        <w:ind w:left="357" w:firstLine="0"/>
        <w:spacing w:line="500" w:lineRule="exact"/>
        <w:rPr>
          <w:rFonts w:ascii="宋体" w:hAnsi="宋体" w:cs="Arial"/>
          <w:color w:val="auto"/>
          <w:sz w:val="24"/>
          <w:szCs w:val="24"/>
          <w:highlight w:val="none"/>
        </w:rPr>
      </w:pPr>
      <w:r>
        <w:rPr>
          <w:rFonts w:ascii="宋体" w:hAnsi="宋体" w:cs="Arial"/>
          <w:color w:val="auto"/>
          <w:sz w:val="24"/>
          <w:szCs w:val="24"/>
          <w:highlight w:val="none"/>
        </w:rPr>
      </w:r>
      <w:r/>
    </w:p>
    <w:p>
      <w:pPr>
        <w:pStyle w:val="1036"/>
        <w:ind w:firstLine="445"/>
        <w:spacing w:before="151" w:after="151" w:line="240" w:lineRule="atLeast"/>
        <w:rPr>
          <w:rFonts w:ascii="宋体" w:hAnsi="宋体"/>
          <w:color w:val="auto"/>
          <w:sz w:val="24"/>
          <w:highlight w:val="none"/>
        </w:rPr>
      </w:pPr>
      <w:r>
        <w:rPr>
          <w:rFonts w:hint="eastAsia" w:ascii="宋体" w:hAnsi="宋体"/>
          <w:color w:val="auto"/>
          <w:sz w:val="24"/>
          <w:highlight w:val="none"/>
        </w:rPr>
        <w:t xml:space="preserve">注：非残疾人福利性单位不需提供此函。</w:t>
      </w:r>
      <w:r/>
    </w:p>
    <w:p>
      <w:pPr>
        <w:jc w:val="left"/>
        <w:keepLines/>
        <w:spacing w:before="120" w:after="120" w:line="416" w:lineRule="auto"/>
        <w:rPr>
          <w:rFonts w:eastAsia="黑体"/>
          <w:b/>
          <w:color w:val="auto"/>
          <w:sz w:val="32"/>
          <w:szCs w:val="32"/>
          <w:highlight w:val="none"/>
        </w:rPr>
        <w:sectPr>
          <w:footerReference w:type="default" r:id="rId13"/>
          <w:footerReference w:type="first" r:id="rId14"/>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color w:val="auto"/>
          <w:sz w:val="32"/>
          <w:szCs w:val="32"/>
          <w:highlight w:val="none"/>
        </w:rPr>
      </w:r>
      <w:r/>
    </w:p>
    <w:p>
      <w:pPr>
        <w:ind w:firstLine="643"/>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关于符合本国产品标准的声明函（采购包号：如有）</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7"/>
        </w:numPr>
        <w:spacing w:before="30" w:after="30" w:line="360" w:lineRule="atLeast"/>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（产品名称1）</w:t>
      </w:r>
      <w:r>
        <w:rPr>
          <w:rFonts w:ascii="Arial" w:hAnsi="Arial" w:eastAsia="Arial" w:cs="Arial"/>
          <w:color w:val="auto"/>
          <w:sz w:val="20"/>
          <w:highlight w:val="none"/>
          <w:vertAlign w:val="superscript"/>
        </w:rPr>
        <w:t xml:space="preserve">1</w:t>
      </w:r>
      <w:r>
        <w:rPr>
          <w:rFonts w:ascii="Arial" w:hAnsi="Arial" w:eastAsia="Arial" w:cs="Arial"/>
          <w:color w:val="auto"/>
          <w:sz w:val="24"/>
          <w:highlight w:val="none"/>
        </w:rPr>
        <w:t xml:space="preserve">，生产厂为</w:t>
      </w:r>
      <w:r>
        <w:rPr>
          <w:rFonts w:ascii="Arial" w:hAnsi="Arial" w:eastAsia="Arial" w:cs="Arial"/>
          <w:color w:val="auto"/>
          <w:sz w:val="24"/>
          <w:highlight w:val="none"/>
          <w:u w:val="single"/>
        </w:rPr>
        <w:t xml:space="preserve">（厂名）</w:t>
      </w:r>
      <w:r>
        <w:rPr>
          <w:rFonts w:ascii="Arial" w:hAnsi="Arial" w:eastAsia="Arial" w:cs="Arial"/>
          <w:color w:val="auto"/>
          <w:sz w:val="20"/>
          <w:highlight w:val="none"/>
          <w:vertAlign w:val="superscript"/>
        </w:rPr>
        <w:t xml:space="preserve">2</w:t>
      </w:r>
      <w:r>
        <w:rPr>
          <w:rFonts w:ascii="Arial" w:hAnsi="Arial" w:eastAsia="Arial" w:cs="Arial"/>
          <w:color w:val="auto"/>
          <w:sz w:val="24"/>
          <w:highlight w:val="none"/>
        </w:rPr>
        <w:t xml:space="preserve">，厂址为</w:t>
      </w:r>
      <w:r>
        <w:rPr>
          <w:rFonts w:ascii="Arial" w:hAnsi="Arial" w:eastAsia="Arial" w:cs="Arial"/>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 （</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 </w:t>
      </w:r>
      <w:r>
        <w:rPr>
          <w:rFonts w:ascii="Arial" w:hAnsi="Arial" w:eastAsia="Arial" w:cs="Arial"/>
          <w:color w:val="auto"/>
          <w:sz w:val="24"/>
          <w:highlight w:val="none"/>
        </w:rPr>
        <w:t xml:space="preserve">的中国境内生产的组件成本占比≥</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规定比例</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3</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关键组件</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4</w:t>
      </w:r>
      <w:r>
        <w:rPr>
          <w:rFonts w:ascii="Arial" w:hAnsi="Arial" w:eastAsia="Arial" w:cs="Arial"/>
          <w:color w:val="auto"/>
          <w:sz w:val="24"/>
          <w:highlight w:val="none"/>
        </w:rPr>
        <w:t xml:space="preserve">在中国境内生产。</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关键工序</w:t>
      </w:r>
      <w:r>
        <w:rPr>
          <w:rFonts w:ascii="Arial" w:hAnsi="Arial" w:eastAsia="Arial" w:cs="Arial"/>
          <w:color w:val="auto"/>
          <w:sz w:val="24"/>
          <w:highlight w:val="none"/>
          <w:u w:val="single"/>
        </w:rPr>
        <w:t xml:space="preserve">）</w:t>
      </w:r>
      <w:r>
        <w:rPr>
          <w:rFonts w:ascii="Arial" w:hAnsi="Arial" w:eastAsia="Arial" w:cs="Arial"/>
          <w:color w:val="auto"/>
          <w:sz w:val="20"/>
          <w:highlight w:val="none"/>
          <w:vertAlign w:val="superscript"/>
        </w:rPr>
        <w:t xml:space="preserve">5</w:t>
      </w:r>
      <w:r>
        <w:rPr>
          <w:rFonts w:ascii="Arial" w:hAnsi="Arial" w:eastAsia="Arial" w:cs="Arial"/>
          <w:color w:val="auto"/>
          <w:sz w:val="24"/>
          <w:highlight w:val="none"/>
        </w:rPr>
        <w:t xml:space="preserve">在中国境内完成。</w:t>
      </w:r>
      <w:r/>
    </w:p>
    <w:p>
      <w:pPr>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2.</w:t>
      </w:r>
      <w:r>
        <w:rPr>
          <w:rFonts w:ascii="Arial" w:hAnsi="Arial" w:eastAsia="Arial" w:cs="Arial"/>
          <w:color w:val="auto"/>
          <w:sz w:val="24"/>
          <w:highlight w:val="none"/>
          <w:u w:val="single"/>
        </w:rPr>
        <w:t xml:space="preserve">（产品名称2）</w:t>
      </w:r>
      <w:r>
        <w:rPr>
          <w:rFonts w:ascii="Arial" w:hAnsi="Arial" w:eastAsia="Arial" w:cs="Arial"/>
          <w:color w:val="auto"/>
          <w:sz w:val="24"/>
          <w:highlight w:val="none"/>
        </w:rPr>
        <w:t xml:space="preserve">，生产厂为</w:t>
      </w:r>
      <w:r>
        <w:rPr>
          <w:rFonts w:ascii="Arial" w:hAnsi="Arial" w:eastAsia="Arial" w:cs="Arial"/>
          <w:color w:val="auto"/>
          <w:sz w:val="24"/>
          <w:highlight w:val="none"/>
          <w:u w:val="single"/>
        </w:rPr>
        <w:t xml:space="preserve">（厂名）</w:t>
      </w:r>
      <w:r>
        <w:rPr>
          <w:rFonts w:ascii="Arial" w:hAnsi="Arial" w:eastAsia="Arial" w:cs="Arial"/>
          <w:color w:val="auto"/>
          <w:sz w:val="24"/>
          <w:highlight w:val="none"/>
        </w:rPr>
        <w:t xml:space="preserve">，厂址为</w:t>
      </w:r>
      <w:r>
        <w:rPr>
          <w:rFonts w:ascii="Arial" w:hAnsi="Arial" w:eastAsia="Arial" w:cs="Arial"/>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的中国境内生产的组件成本占比≥</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规定比例</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产品名称2</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关键组件</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在中国境内生产。</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产品名称1</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的</w:t>
      </w:r>
      <w:r>
        <w:rPr>
          <w:rFonts w:ascii="Arial" w:hAnsi="Arial" w:eastAsia="Arial" w:cs="Arial"/>
          <w:color w:val="auto"/>
          <w:sz w:val="24"/>
          <w:highlight w:val="none"/>
          <w:u w:val="single"/>
        </w:rPr>
        <w:t xml:space="preserve">（</w:t>
      </w:r>
      <w:r>
        <w:rPr>
          <w:rFonts w:ascii="Arial" w:hAnsi="Arial" w:eastAsia="Arial" w:cs="Arial"/>
          <w:strike/>
          <w:color w:val="auto"/>
          <w:sz w:val="24"/>
          <w:highlight w:val="none"/>
          <w:u w:val="single"/>
        </w:rPr>
        <w:t xml:space="preserve">关键工序</w:t>
      </w:r>
      <w:r>
        <w:rPr>
          <w:rFonts w:ascii="Arial" w:hAnsi="Arial" w:eastAsia="Arial" w:cs="Arial"/>
          <w:color w:val="auto"/>
          <w:sz w:val="24"/>
          <w:highlight w:val="none"/>
          <w:u w:val="single"/>
        </w:rPr>
        <w:t xml:space="preserve">）</w:t>
      </w:r>
      <w:r>
        <w:rPr>
          <w:rFonts w:ascii="Arial" w:hAnsi="Arial" w:eastAsia="Arial" w:cs="Arial"/>
          <w:color w:val="auto"/>
          <w:sz w:val="24"/>
          <w:highlight w:val="none"/>
        </w:rPr>
        <w:t xml:space="preserve">在中国境内完成。</w:t>
      </w:r>
      <w:r/>
    </w:p>
    <w:p>
      <w:pPr>
        <w:ind w:firstLine="4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w:t>
      </w:r>
      <w:r/>
    </w:p>
    <w:p>
      <w:pPr>
        <w:ind w:firstLine="4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本公司（单位）对上述声明内容的真实性负责。如有虚假，愿承担相应法律责任。</w:t>
      </w:r>
      <w:r/>
    </w:p>
    <w:p>
      <w:pPr>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right="480" w:firstLine="420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公司（单位）名称：　</w:t>
      </w:r>
      <w:r>
        <w:rPr>
          <w:rFonts w:ascii="楷体" w:hAnsi="楷体" w:eastAsia="楷体" w:cs="楷体"/>
          <w:color w:val="auto"/>
          <w:sz w:val="24"/>
          <w:highlight w:val="none"/>
        </w:rPr>
        <w:t xml:space="preserve">（</w:t>
      </w:r>
      <w:r>
        <w:rPr>
          <w:rFonts w:ascii="宋体" w:hAnsi="宋体" w:eastAsia="宋体" w:cs="宋体"/>
          <w:color w:val="auto"/>
          <w:sz w:val="24"/>
          <w:highlight w:val="none"/>
        </w:rPr>
        <w:t xml:space="preserve">加盖CA电子公章</w:t>
      </w:r>
      <w:r>
        <w:rPr>
          <w:rFonts w:ascii="楷体" w:hAnsi="楷体" w:eastAsia="楷体" w:cs="楷体"/>
          <w:color w:val="auto"/>
          <w:sz w:val="24"/>
          <w:highlight w:val="none"/>
        </w:rPr>
        <w:t xml:space="preserve">）</w:t>
      </w:r>
      <w:r/>
    </w:p>
    <w:p>
      <w:pPr>
        <w:ind w:right="480" w:firstLine="3720"/>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30" w:after="30" w:line="36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日期：　   年　  月　  日         </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__________________</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1.产品如有型号，请在“产品名称”栏一并填写。</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2.生产厂名与厂址应与生产厂营业执照载明的相关信息保持一致。</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3.该产品的中国境内生产的组件成本占比相关要求实施前，“规定比例”栏可不填，下同。</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4.该产品的关键组件要求实施前，“关键组件”栏可不填，下同。</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5.该产品的关键工序要求实施前，“关键工序”栏可不填，下同。</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6.用横线</w:t>
      </w:r>
      <w:r>
        <w:rPr>
          <w:rFonts w:ascii="Arial" w:hAnsi="Arial" w:eastAsia="Arial" w:cs="Arial"/>
          <w:strike/>
          <w:color w:val="auto"/>
          <w:sz w:val="22"/>
          <w:highlight w:val="none"/>
        </w:rPr>
        <w:t xml:space="preserve">     </w:t>
      </w:r>
      <w:r>
        <w:rPr>
          <w:rFonts w:ascii="Arial" w:hAnsi="Arial" w:eastAsia="Arial" w:cs="Arial"/>
          <w:color w:val="auto"/>
          <w:sz w:val="22"/>
          <w:highlight w:val="none"/>
        </w:rPr>
        <w:t xml:space="preserve">划除的地方无需填写。</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jc w:val="left"/>
        <w:keepLines/>
        <w:spacing w:before="120" w:after="120" w:line="416" w:lineRule="auto"/>
        <w:rPr>
          <w:rFonts w:eastAsia="黑体"/>
          <w:b/>
          <w:color w:val="auto"/>
          <w:sz w:val="32"/>
          <w:szCs w:val="32"/>
          <w:highlight w:val="none"/>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1"/>
      </w:pPr>
      <w:r>
        <w:rPr>
          <w:rFonts w:hint="eastAsia" w:eastAsia="黑体"/>
          <w:b/>
          <w:color w:val="auto"/>
          <w:sz w:val="32"/>
          <w:szCs w:val="32"/>
          <w:highlight w:val="none"/>
        </w:rPr>
        <w:t xml:space="preserve">八、技术及商务要求响应及偏离表（分包号：**）</w:t>
      </w:r>
      <w:r/>
    </w:p>
    <w:p>
      <w:pPr>
        <w:jc w:val="center"/>
        <w:widowControl/>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技术要求响应及偏离表</w:t>
      </w:r>
      <w:r/>
    </w:p>
    <w:tbl>
      <w:tblPr>
        <w:tblStyle w:val="78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left"/>
        <w:keepLines/>
        <w:spacing w:before="120" w:after="120" w:line="416" w:lineRule="auto"/>
        <w:rPr>
          <w:rFonts w:eastAsia="宋体"/>
          <w:color w:val="auto"/>
          <w:sz w:val="24"/>
          <w:szCs w:val="21"/>
          <w:highlight w:val="none"/>
        </w:rPr>
        <w:outlineLvl w:val="1"/>
      </w:pPr>
      <w:r>
        <w:rPr>
          <w:rFonts w:eastAsia="宋体"/>
          <w:color w:val="auto"/>
          <w:sz w:val="24"/>
          <w:szCs w:val="21"/>
          <w:highlight w:val="none"/>
        </w:rPr>
        <w:t xml:space="preserve">1.</w:t>
      </w:r>
      <w:r>
        <w:rPr>
          <w:rFonts w:hint="eastAsia" w:eastAsia="宋体"/>
          <w:color w:val="auto"/>
          <w:sz w:val="24"/>
          <w:szCs w:val="21"/>
          <w:highlight w:val="none"/>
        </w:rPr>
        <w:t xml:space="preserve">投标人</w:t>
      </w:r>
      <w:r>
        <w:rPr>
          <w:rFonts w:eastAsia="宋体"/>
          <w:color w:val="auto"/>
          <w:sz w:val="24"/>
          <w:szCs w:val="21"/>
          <w:highlight w:val="none"/>
        </w:rPr>
        <w:t xml:space="preserve">必须对技术要求和商务要求中的实质性要求（加斜体下划线内容或打“</w:t>
      </w:r>
      <w:r>
        <w:rPr>
          <w:rFonts w:hint="eastAsia" w:ascii="宋体" w:hAnsi="宋体" w:eastAsia="宋体" w:cs="宋体"/>
          <w:color w:val="auto"/>
          <w:sz w:val="24"/>
          <w:szCs w:val="21"/>
          <w:highlight w:val="none"/>
        </w:rPr>
        <w:t xml:space="preserve">★</w:t>
      </w:r>
      <w:r>
        <w:rPr>
          <w:rFonts w:eastAsia="宋体"/>
          <w:color w:val="auto"/>
          <w:sz w:val="24"/>
          <w:szCs w:val="21"/>
          <w:highlight w:val="none"/>
        </w:rPr>
        <w:t xml:space="preserve">”内容）做出明确响应，否则作无效响应处理。</w:t>
      </w:r>
      <w:r/>
    </w:p>
    <w:p>
      <w:pPr>
        <w:spacing w:line="588" w:lineRule="exact"/>
        <w:rPr>
          <w:rFonts w:eastAsia="宋体"/>
          <w:color w:val="auto"/>
          <w:sz w:val="24"/>
          <w:szCs w:val="21"/>
          <w:highlight w:val="none"/>
        </w:rPr>
      </w:pPr>
      <w:r>
        <w:rPr>
          <w:rFonts w:eastAsia="宋体"/>
          <w:color w:val="auto"/>
          <w:sz w:val="24"/>
          <w:szCs w:val="21"/>
          <w:highlight w:val="none"/>
        </w:rPr>
        <w:t xml:space="preserve">2.如果采购文件要求提供证明材料，</w:t>
      </w:r>
      <w:r>
        <w:rPr>
          <w:rFonts w:hint="eastAsia" w:eastAsia="宋体"/>
          <w:color w:val="auto"/>
          <w:sz w:val="24"/>
          <w:szCs w:val="21"/>
          <w:highlight w:val="none"/>
        </w:rPr>
        <w:t xml:space="preserve">投标人</w:t>
      </w:r>
      <w:r>
        <w:rPr>
          <w:rFonts w:eastAsia="宋体"/>
          <w:color w:val="auto"/>
          <w:sz w:val="24"/>
          <w:szCs w:val="21"/>
          <w:highlight w:val="none"/>
        </w:rPr>
        <w:t xml:space="preserve">必须将证明材料列于该表之下。</w:t>
      </w:r>
      <w:r/>
    </w:p>
    <w:p>
      <w:pPr>
        <w:spacing w:line="588" w:lineRule="exact"/>
        <w:rPr>
          <w:rFonts w:eastAsia="宋体"/>
          <w:color w:val="auto"/>
          <w:sz w:val="24"/>
          <w:szCs w:val="21"/>
          <w:highlight w:val="none"/>
        </w:rPr>
      </w:pPr>
      <w:r>
        <w:rPr>
          <w:rFonts w:eastAsia="宋体"/>
          <w:color w:val="auto"/>
          <w:sz w:val="24"/>
          <w:szCs w:val="21"/>
          <w:highlight w:val="none"/>
        </w:rPr>
        <w:t xml:space="preserve">3.</w:t>
      </w:r>
      <w:r>
        <w:rPr>
          <w:rFonts w:hint="eastAsia" w:eastAsia="宋体"/>
          <w:color w:val="auto"/>
          <w:sz w:val="24"/>
          <w:szCs w:val="21"/>
          <w:highlight w:val="none"/>
        </w:rPr>
        <w:t xml:space="preserve">投标人</w:t>
      </w:r>
      <w:r>
        <w:rPr>
          <w:rFonts w:eastAsia="宋体"/>
          <w:color w:val="auto"/>
          <w:sz w:val="24"/>
          <w:szCs w:val="21"/>
          <w:highlight w:val="none"/>
        </w:rPr>
        <w:t xml:space="preserve">未对实质性要求作出明确响应的，或未按采购文件要求提供证明材料的，该分包作无效响应处理。</w:t>
      </w:r>
      <w:r/>
    </w:p>
    <w:p>
      <w:pPr>
        <w:spacing w:line="588" w:lineRule="exact"/>
        <w:rPr>
          <w:rFonts w:eastAsia="宋体"/>
          <w:color w:val="auto"/>
          <w:sz w:val="24"/>
          <w:szCs w:val="21"/>
          <w:highlight w:val="none"/>
        </w:rPr>
      </w:pPr>
      <w:r>
        <w:rPr>
          <w:rFonts w:hint="eastAsia" w:eastAsia="宋体"/>
          <w:color w:val="auto"/>
          <w:sz w:val="24"/>
          <w:szCs w:val="21"/>
          <w:highlight w:val="none"/>
        </w:rPr>
        <w:t xml:space="preserve">4.行数不够，可自行添加。</w:t>
      </w:r>
      <w:r/>
    </w:p>
    <w:p>
      <w:pPr>
        <w:jc w:val="center"/>
        <w:rPr>
          <w:rFonts w:eastAsia="黑体"/>
          <w:b/>
          <w:color w:val="auto"/>
          <w:sz w:val="36"/>
          <w:szCs w:val="21"/>
          <w:highlight w:val="none"/>
        </w:rPr>
      </w:pPr>
      <w:r>
        <w:rPr>
          <w:rFonts w:eastAsia="黑体"/>
          <w:b/>
          <w:color w:val="auto"/>
          <w:sz w:val="36"/>
          <w:szCs w:val="21"/>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jc w:val="center"/>
        <w:widowControl/>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商务要求响应及偏离表</w:t>
      </w:r>
      <w:r/>
    </w:p>
    <w:tbl>
      <w:tblPr>
        <w:tblStyle w:val="78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2"/>
        <w:rPr>
          <w:color w:val="auto"/>
          <w:highlight w:val="none"/>
        </w:rPr>
      </w:pPr>
      <w:r>
        <w:rPr>
          <w:color w:val="auto"/>
          <w:highlight w:val="none"/>
        </w:rPr>
      </w:r>
      <w:r/>
    </w:p>
    <w:p>
      <w:pPr>
        <w:jc w:val="left"/>
        <w:widowControl/>
        <w:rPr>
          <w:rFonts w:eastAsia="黑体" w:cs="黑体"/>
          <w:b/>
          <w:color w:val="auto"/>
          <w:sz w:val="32"/>
          <w:szCs w:val="24"/>
          <w:highlight w:val="none"/>
        </w:rPr>
        <w:outlineLvl w:val="1"/>
      </w:pPr>
      <w:r>
        <w:rPr>
          <w:rFonts w:hint="eastAsia" w:eastAsia="黑体" w:cs="黑体"/>
          <w:b/>
          <w:color w:val="auto"/>
          <w:sz w:val="32"/>
          <w:szCs w:val="24"/>
          <w:highlight w:val="none"/>
        </w:rPr>
        <w:t xml:space="preserve">九、</w:t>
      </w:r>
      <w:r>
        <w:rPr>
          <w:rFonts w:eastAsia="黑体" w:cs="黑体"/>
          <w:b/>
          <w:color w:val="auto"/>
          <w:sz w:val="32"/>
          <w:szCs w:val="24"/>
          <w:highlight w:val="none"/>
        </w:rPr>
        <w:t xml:space="preserve">项目组人员</w:t>
      </w:r>
      <w:r>
        <w:rPr>
          <w:rFonts w:hint="eastAsia" w:eastAsia="黑体" w:cs="黑体"/>
          <w:b/>
          <w:color w:val="auto"/>
          <w:sz w:val="32"/>
          <w:szCs w:val="24"/>
          <w:highlight w:val="none"/>
        </w:rPr>
        <w:t xml:space="preserve">（如有）</w:t>
      </w:r>
      <w:r/>
    </w:p>
    <w:p>
      <w:pPr>
        <w:jc w:val="center"/>
        <w:spacing w:before="100" w:beforeAutospacing="1" w:after="100" w:afterAutospacing="1" w:line="600" w:lineRule="exact"/>
        <w:widowControl/>
        <w:rPr>
          <w:rFonts w:eastAsia="宋体" w:cs="宋体"/>
          <w:b/>
          <w:bCs/>
          <w:color w:val="auto"/>
          <w:sz w:val="32"/>
          <w:szCs w:val="32"/>
          <w:highlight w:val="none"/>
        </w:rPr>
      </w:pPr>
      <w:r>
        <w:rPr>
          <w:rFonts w:hint="eastAsia" w:eastAsia="宋体" w:cs="宋体"/>
          <w:b/>
          <w:bCs/>
          <w:color w:val="auto"/>
          <w:sz w:val="32"/>
          <w:szCs w:val="32"/>
          <w:highlight w:val="none"/>
        </w:rPr>
        <w:t xml:space="preserve">项目组成员</w:t>
      </w:r>
      <w:r/>
    </w:p>
    <w:tbl>
      <w:tblPr>
        <w:tblStyle w:val="78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color w:val="auto"/>
                <w:sz w:val="20"/>
                <w:highlight w:val="none"/>
              </w:rPr>
            </w:pPr>
            <w:r>
              <w:rPr>
                <w:rFonts w:hint="eastAsia" w:eastAsia="仿宋_GB2312" w:cs="仿宋_GB2312"/>
                <w:color w:val="auto"/>
                <w:sz w:val="28"/>
                <w:szCs w:val="28"/>
                <w:highlight w:val="none"/>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ind w:firstLine="398"/>
        <w:jc w:val="left"/>
        <w:spacing w:before="100" w:beforeAutospacing="1" w:after="100" w:afterAutospacing="1" w:line="460" w:lineRule="exact"/>
        <w:widowControl/>
        <w:rPr>
          <w:rFonts w:eastAsia="仿宋_GB2312" w:cs="仿宋_GB2312"/>
          <w:color w:val="auto"/>
          <w:sz w:val="24"/>
          <w:szCs w:val="24"/>
          <w:highlight w:val="none"/>
        </w:rPr>
      </w:pPr>
      <w:r>
        <w:rPr>
          <w:rFonts w:eastAsia="仿宋_GB2312" w:cs="仿宋_GB2312"/>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color w:val="auto"/>
          <w:sz w:val="24"/>
          <w:szCs w:val="24"/>
          <w:highlight w:val="none"/>
        </w:rPr>
      </w:pPr>
      <w:r>
        <w:rPr>
          <w:rFonts w:eastAsia="仿宋_GB2312" w:cs="仿宋_GB2312"/>
          <w:color w:val="auto"/>
          <w:sz w:val="24"/>
          <w:szCs w:val="24"/>
          <w:highlight w:val="none"/>
        </w:rPr>
      </w:r>
      <w:r/>
    </w:p>
    <w:p>
      <w:pPr>
        <w:spacing w:line="500" w:lineRule="exact"/>
        <w:rPr>
          <w:rFonts w:eastAsia="宋体"/>
          <w:color w:val="auto"/>
          <w:sz w:val="21"/>
          <w:szCs w:val="24"/>
          <w:highlight w:val="none"/>
        </w:rPr>
      </w:pPr>
      <w:r>
        <w:rPr>
          <w:rFonts w:eastAsia="宋体"/>
          <w:color w:val="auto"/>
          <w:sz w:val="21"/>
          <w:szCs w:val="24"/>
          <w:highlight w:val="none"/>
        </w:rPr>
        <w:br w:type="page" w:clear="all"/>
      </w:r>
      <w:bookmarkStart w:id="15" w:name="_Toc11176"/>
      <w:r>
        <w:rPr>
          <w:rFonts w:hint="eastAsia" w:eastAsia="黑体" w:cs="黑体"/>
          <w:b/>
          <w:color w:val="auto"/>
          <w:sz w:val="32"/>
          <w:szCs w:val="24"/>
          <w:highlight w:val="none"/>
        </w:rPr>
        <w:t xml:space="preserve">十、</w:t>
      </w:r>
      <w:bookmarkEnd w:id="15"/>
      <w:r>
        <w:rPr>
          <w:rFonts w:hint="eastAsia" w:eastAsia="黑体" w:cs="黑体"/>
          <w:b/>
          <w:color w:val="auto"/>
          <w:sz w:val="32"/>
          <w:szCs w:val="24"/>
          <w:highlight w:val="none"/>
        </w:rPr>
        <w:t xml:space="preserve">企业业绩（如有）</w:t>
      </w:r>
      <w:r/>
    </w:p>
    <w:p>
      <w:pPr>
        <w:jc w:val="center"/>
        <w:rPr>
          <w:rFonts w:eastAsia="宋体"/>
          <w:b/>
          <w:color w:val="auto"/>
          <w:sz w:val="32"/>
          <w:szCs w:val="32"/>
          <w:highlight w:val="none"/>
        </w:rPr>
      </w:pPr>
      <w:r>
        <w:rPr>
          <w:rFonts w:hint="eastAsia" w:eastAsia="宋体"/>
          <w:b/>
          <w:color w:val="auto"/>
          <w:sz w:val="32"/>
          <w:szCs w:val="32"/>
          <w:highlight w:val="none"/>
        </w:rPr>
        <w:t xml:space="preserve">投标人承担类似项目业绩一览表</w:t>
      </w:r>
      <w:r/>
    </w:p>
    <w:tbl>
      <w:tblPr>
        <w:tblStyle w:val="78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r>
        <w:trPr>
          <w:jc w:val="center"/>
          <w:trHeight w:val="1525"/>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bl>
    <w:p>
      <w:pPr>
        <w:rPr>
          <w:rFonts w:eastAsia="宋体"/>
          <w:color w:val="auto"/>
          <w:sz w:val="21"/>
          <w:szCs w:val="22"/>
          <w:highlight w:val="none"/>
        </w:rPr>
      </w:pPr>
      <w:r>
        <w:rPr>
          <w:rFonts w:hint="eastAsia" w:eastAsia="仿宋_GB2312"/>
          <w:b/>
          <w:color w:val="auto"/>
          <w:sz w:val="24"/>
          <w:szCs w:val="22"/>
          <w:highlight w:val="none"/>
        </w:rPr>
        <w:t xml:space="preserve">注：请填写此表，并按要求上传业绩资料电子件。</w:t>
      </w:r>
      <w:r/>
    </w:p>
    <w:p>
      <w:pPr>
        <w:jc w:val="left"/>
        <w:widowControl/>
        <w:rPr>
          <w:rFonts w:eastAsia="黑体" w:cs="黑体"/>
          <w:b/>
          <w:color w:val="auto"/>
          <w:sz w:val="32"/>
          <w:szCs w:val="24"/>
          <w:highlight w:val="none"/>
        </w:rPr>
        <w:outlineLvl w:val="1"/>
      </w:pPr>
      <w:r>
        <w:rPr>
          <w:rFonts w:eastAsia="黑体" w:cs="黑体"/>
          <w:b/>
          <w:color w:val="auto"/>
          <w:sz w:val="32"/>
          <w:szCs w:val="24"/>
          <w:highlight w:val="none"/>
        </w:rPr>
        <w:br w:type="page" w:clear="all"/>
      </w:r>
      <w:bookmarkStart w:id="16" w:name="_Toc28140"/>
      <w:r>
        <w:rPr>
          <w:rFonts w:hint="eastAsia" w:eastAsia="黑体" w:cs="黑体"/>
          <w:b/>
          <w:color w:val="auto"/>
          <w:sz w:val="32"/>
          <w:szCs w:val="24"/>
          <w:highlight w:val="none"/>
        </w:rPr>
        <w:t xml:space="preserve">十一</w:t>
      </w:r>
      <w:r>
        <w:rPr>
          <w:rFonts w:eastAsia="黑体" w:cs="黑体"/>
          <w:b/>
          <w:color w:val="auto"/>
          <w:sz w:val="32"/>
          <w:szCs w:val="24"/>
          <w:highlight w:val="none"/>
        </w:rPr>
        <w:t xml:space="preserve">、投标所需其他材料</w:t>
      </w:r>
      <w:bookmarkEnd w:id="16"/>
      <w:r/>
      <w:r/>
    </w:p>
    <w:p>
      <w:pPr>
        <w:ind w:firstLine="560"/>
        <w:spacing w:line="360" w:lineRule="auto"/>
        <w:rPr>
          <w:rFonts w:eastAsia="仿宋_GB2312"/>
          <w:color w:val="auto"/>
          <w:sz w:val="28"/>
          <w:szCs w:val="28"/>
          <w:highlight w:val="none"/>
        </w:rPr>
      </w:pPr>
      <w:r>
        <w:rPr>
          <w:rFonts w:hint="eastAsia"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eastAsia="宋体"/>
          <w:color w:val="auto"/>
          <w:sz w:val="20"/>
          <w:szCs w:val="21"/>
          <w:highlight w:val="none"/>
        </w:rPr>
      </w:pPr>
      <w:r>
        <w:rPr>
          <w:rFonts w:hint="eastAsia" w:eastAsia="宋体"/>
          <w:color w:val="auto"/>
          <w:sz w:val="20"/>
          <w:szCs w:val="21"/>
          <w:highlight w:val="none"/>
        </w:rPr>
        <w:t xml:space="preserve"> </w:t>
      </w:r>
      <w:r/>
    </w:p>
    <w:p>
      <w:pPr>
        <w:rPr>
          <w:rFonts w:eastAsia="宋体"/>
          <w:color w:val="auto"/>
          <w:sz w:val="21"/>
          <w:szCs w:val="21"/>
          <w:highlight w:val="none"/>
        </w:rPr>
      </w:pPr>
      <w:r>
        <w:rPr>
          <w:rFonts w:eastAsia="宋体"/>
          <w:color w:val="auto"/>
          <w:sz w:val="21"/>
          <w:szCs w:val="21"/>
          <w:highlight w:val="none"/>
        </w:rPr>
      </w:r>
      <w:r/>
    </w:p>
    <w:p>
      <w:pPr>
        <w:rPr>
          <w:rFonts w:eastAsia="黑体"/>
          <w:color w:val="auto"/>
          <w:sz w:val="32"/>
          <w:szCs w:val="21"/>
          <w:highlight w:val="none"/>
        </w:rPr>
      </w:pPr>
      <w:r>
        <w:rPr>
          <w:rFonts w:eastAsia="黑体"/>
          <w:color w:val="auto"/>
          <w:sz w:val="32"/>
          <w:szCs w:val="21"/>
          <w:highlight w:val="none"/>
        </w:rPr>
      </w:r>
      <w:bookmarkEnd w:id="11"/>
      <w:r/>
      <w:r/>
    </w:p>
    <w:p>
      <w:pPr>
        <w:rPr>
          <w:rFonts w:eastAsia="黑体"/>
          <w:color w:val="auto"/>
          <w:sz w:val="32"/>
          <w:szCs w:val="21"/>
          <w:highlight w:val="none"/>
        </w:rPr>
      </w:pPr>
      <w:r>
        <w:rPr>
          <w:rFonts w:eastAsia="黑体"/>
          <w:color w:val="auto"/>
          <w:sz w:val="32"/>
          <w:szCs w:val="21"/>
          <w:highlight w:val="none"/>
        </w:rPr>
      </w:r>
      <w:r/>
    </w:p>
    <w:p>
      <w:pPr>
        <w:rPr>
          <w:rFonts w:eastAsia="黑体"/>
          <w:color w:val="auto"/>
          <w:sz w:val="32"/>
          <w:szCs w:val="21"/>
          <w:highlight w:val="none"/>
        </w:rPr>
      </w:pPr>
      <w:r>
        <w:rPr>
          <w:rFonts w:eastAsia="黑体"/>
          <w:color w:val="auto"/>
          <w:sz w:val="32"/>
          <w:szCs w:val="21"/>
          <w:highlight w:val="none"/>
        </w:rPr>
      </w:r>
      <w:r/>
    </w:p>
    <w:p>
      <w:pPr>
        <w:rPr>
          <w:rFonts w:eastAsia="黑体"/>
          <w:color w:val="auto"/>
          <w:sz w:val="32"/>
          <w:szCs w:val="21"/>
          <w:highlight w:val="none"/>
        </w:rPr>
      </w:pPr>
      <w:r>
        <w:rPr>
          <w:rFonts w:eastAsia="黑体"/>
          <w:color w:val="auto"/>
          <w:sz w:val="32"/>
          <w:szCs w:val="21"/>
          <w:highlight w:val="none"/>
        </w:rPr>
      </w:r>
      <w:r/>
    </w:p>
    <w:p>
      <w:pPr>
        <w:spacing w:line="480" w:lineRule="auto"/>
        <w:rPr>
          <w:rFonts w:eastAsia="宋体"/>
          <w:color w:val="auto"/>
          <w:sz w:val="24"/>
          <w:szCs w:val="21"/>
          <w:highlight w:val="none"/>
        </w:rPr>
      </w:pPr>
      <w:r>
        <w:rPr>
          <w:rFonts w:eastAsia="宋体"/>
          <w:color w:val="auto"/>
          <w:sz w:val="24"/>
          <w:szCs w:val="21"/>
          <w:highlight w:val="none"/>
        </w:rPr>
      </w:r>
      <w:r/>
    </w:p>
    <w:p>
      <w:pPr>
        <w:spacing w:line="480" w:lineRule="auto"/>
        <w:rPr>
          <w:rFonts w:eastAsia="宋体"/>
          <w:color w:val="auto"/>
          <w:sz w:val="30"/>
          <w:szCs w:val="21"/>
          <w:highlight w:val="none"/>
        </w:rPr>
      </w:pPr>
      <w:r>
        <w:rPr>
          <w:rFonts w:eastAsia="宋体"/>
          <w:color w:val="auto"/>
          <w:sz w:val="30"/>
          <w:szCs w:val="21"/>
          <w:highlight w:val="none"/>
        </w:rPr>
      </w:r>
      <w:r/>
    </w:p>
    <w:p>
      <w:pPr>
        <w:rPr>
          <w:rFonts w:eastAsia="宋体"/>
          <w:color w:val="auto"/>
          <w:sz w:val="24"/>
          <w:szCs w:val="21"/>
          <w:highlight w:val="none"/>
        </w:rPr>
      </w:pPr>
      <w:r/>
      <w:bookmarkStart w:id="17" w:name="_Hlt26609389"/>
      <w:r/>
      <w:bookmarkEnd w:id="17"/>
      <w:r/>
      <w:bookmarkStart w:id="18" w:name="_Hlt26671374"/>
      <w:r/>
      <w:bookmarkEnd w:id="18"/>
      <w:r/>
      <w:bookmarkStart w:id="19" w:name="_Hlt26955066"/>
      <w:r/>
      <w:bookmarkEnd w:id="19"/>
      <w:r/>
      <w:bookmarkStart w:id="20" w:name="_Toc462564146"/>
      <w:r/>
      <w:r/>
    </w:p>
    <w:p>
      <w:pPr>
        <w:rPr>
          <w:rFonts w:eastAsia="宋体"/>
          <w:color w:val="auto"/>
          <w:sz w:val="24"/>
          <w:szCs w:val="21"/>
          <w:highlight w:val="none"/>
        </w:rPr>
      </w:pPr>
      <w:r>
        <w:rPr>
          <w:rFonts w:eastAsia="宋体"/>
          <w:color w:val="auto"/>
          <w:sz w:val="24"/>
          <w:szCs w:val="21"/>
          <w:highlight w:val="none"/>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bookmarkEnd w:id="20"/>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rPr>
          <w:rFonts w:eastAsia="黑体"/>
          <w:b/>
          <w:color w:val="auto"/>
          <w:sz w:val="32"/>
          <w:szCs w:val="32"/>
          <w:highlight w:val="none"/>
        </w:rPr>
      </w:pPr>
      <w:r/>
      <w:bookmarkStart w:id="21" w:name="_格式2__法定代表人授权书"/>
      <w:r/>
      <w:bookmarkEnd w:id="21"/>
      <w:r/>
      <w:r/>
    </w:p>
    <w:p>
      <w:pPr>
        <w:rPr>
          <w:rFonts w:eastAsia="黑体"/>
          <w:b/>
          <w:color w:val="auto"/>
          <w:sz w:val="32"/>
          <w:szCs w:val="32"/>
          <w:highlight w:val="none"/>
        </w:rPr>
      </w:pPr>
      <w:r>
        <w:rPr>
          <w:rFonts w:eastAsia="黑体"/>
          <w:b/>
          <w:color w:val="auto"/>
          <w:sz w:val="32"/>
          <w:szCs w:val="32"/>
          <w:highlight w:val="none"/>
        </w:rPr>
      </w:r>
      <w:r/>
    </w:p>
    <w:p>
      <w:pPr>
        <w:jc w:val="center"/>
        <w:rPr>
          <w:rFonts w:eastAsia="宋体" w:cs="仿宋"/>
          <w:b/>
          <w:bCs/>
          <w:color w:val="auto"/>
          <w:sz w:val="32"/>
          <w:szCs w:val="32"/>
          <w:highlight w:val="none"/>
        </w:rPr>
      </w:pPr>
      <w:r>
        <w:rPr>
          <w:rFonts w:eastAsia="宋体" w:cs="仿宋"/>
          <w:b/>
          <w:bCs/>
          <w:color w:val="auto"/>
          <w:sz w:val="32"/>
          <w:szCs w:val="32"/>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ajorEastAsia" w:hAnsiTheme="majorEastAsia" w:eastAsiaTheme="majorEastAsia"/>
          <w:color w:val="auto"/>
          <w:sz w:val="32"/>
          <w:szCs w:val="32"/>
          <w:highlight w:val="none"/>
        </w:rPr>
      </w:pPr>
      <w:r>
        <w:rPr>
          <w:rFonts w:hint="eastAsia" w:asciiTheme="majorEastAsia" w:hAnsiTheme="majorEastAsia" w:eastAsiaTheme="majorEastAsia"/>
          <w:color w:val="auto"/>
          <w:sz w:val="32"/>
          <w:szCs w:val="32"/>
          <w:highlight w:val="none"/>
        </w:rPr>
        <w:t xml:space="preserve">十二、资格证明文件（参考格式）</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（说明：投标人须按“招标公告”的要求，并按下列格式提供相应的资格证明文件）　　　</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格式一：</w:t>
      </w:r>
      <w:r>
        <w:rPr>
          <w:rFonts w:asciiTheme="minorEastAsia" w:hAnsiTheme="minorEastAsia" w:eastAsiaTheme="minorEastAsia"/>
          <w:color w:val="auto"/>
          <w:sz w:val="24"/>
          <w:szCs w:val="24"/>
          <w:highlight w:val="none"/>
        </w:rPr>
        <w:t xml:space="preserve">法人或者其他组织的营业执照等证明文件，自然人的身份证明</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格式三：具备履行合同所必需的设备和专业技术能力的书面声明</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格式四：</w:t>
      </w:r>
      <w:r>
        <w:rPr>
          <w:rFonts w:asciiTheme="minorEastAsia" w:hAnsiTheme="minorEastAsia" w:eastAsiaTheme="minorEastAsia"/>
          <w:color w:val="auto"/>
          <w:sz w:val="24"/>
          <w:szCs w:val="24"/>
          <w:highlight w:val="none"/>
        </w:rPr>
        <w:t xml:space="preserve">参加政府采购活动前3年内在经营活动中没有重大违法记录的书面声明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格式一</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法人或者其他组织的营业执照等证明文件，自然人的身份证明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格式二</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具备履行合同所必需的设备和专业技术能力的书面声明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主要设备有：。</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主要专业技术能力有：。</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投标人名称（电子签章）：</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 __年月日</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格式三</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参加政府采购活动前 3 年内在经营活动中没有重大违法记录的书面声明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声  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投标人名称（电子签章）：</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日期：___年月日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nothing"/>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77">
    <w:name w:val="Heading 1"/>
    <w:basedOn w:val="776"/>
    <w:next w:val="776"/>
    <w:link w:val="871"/>
    <w:uiPriority w:val="0"/>
    <w:qFormat/>
    <w:pPr>
      <w:jc w:val="center"/>
      <w:keepLines/>
      <w:keepNext/>
      <w:spacing w:line="360" w:lineRule="auto"/>
      <w:outlineLvl w:val="0"/>
    </w:pPr>
    <w:rPr>
      <w:rFonts w:eastAsia="宋体"/>
      <w:b/>
      <w:sz w:val="32"/>
    </w:rPr>
  </w:style>
  <w:style w:type="paragraph" w:styleId="778">
    <w:name w:val="Heading 2"/>
    <w:basedOn w:val="776"/>
    <w:next w:val="776"/>
    <w:link w:val="872"/>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73"/>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74"/>
    <w:uiPriority w:val="9"/>
    <w:unhideWhenUsed/>
    <w:qFormat/>
    <w:pPr>
      <w:keepLines/>
      <w:keepNext/>
      <w:spacing w:before="320" w:after="200"/>
      <w:outlineLvl w:val="3"/>
    </w:pPr>
    <w:rPr>
      <w:rFonts w:ascii="Arial" w:hAnsi="Arial" w:eastAsia="Arial" w:cs="Arial"/>
      <w:b/>
      <w:bCs/>
      <w:szCs w:val="26"/>
    </w:rPr>
  </w:style>
  <w:style w:type="paragraph" w:styleId="781">
    <w:name w:val="Heading 5"/>
    <w:basedOn w:val="776"/>
    <w:next w:val="776"/>
    <w:link w:val="875"/>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78"/>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79"/>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spacing w:after="57"/>
    </w:pPr>
  </w:style>
  <w:style w:type="paragraph" w:styleId="789">
    <w:name w:val="Normal Indent"/>
    <w:basedOn w:val="776"/>
    <w:next w:val="776"/>
    <w:uiPriority w:val="0"/>
    <w:qFormat/>
    <w:pPr>
      <w:ind w:firstLine="200"/>
    </w:pPr>
  </w:style>
  <w:style w:type="paragraph" w:styleId="790">
    <w:name w:val="Caption"/>
    <w:basedOn w:val="776"/>
    <w:next w:val="776"/>
    <w:uiPriority w:val="35"/>
    <w:unhideWhenUsed/>
    <w:qFormat/>
    <w:pPr>
      <w:spacing w:line="276" w:lineRule="auto"/>
    </w:pPr>
    <w:rPr>
      <w:b/>
      <w:bCs/>
      <w:color w:val="4f81bd"/>
      <w:sz w:val="18"/>
      <w:szCs w:val="18"/>
    </w:rPr>
  </w:style>
  <w:style w:type="paragraph" w:styleId="791">
    <w:name w:val="annotation text"/>
    <w:basedOn w:val="776"/>
    <w:link w:val="1033"/>
    <w:uiPriority w:val="99"/>
    <w:unhideWhenUsed/>
    <w:qFormat/>
    <w:pPr>
      <w:jc w:val="left"/>
    </w:pPr>
  </w:style>
  <w:style w:type="paragraph" w:styleId="792">
    <w:name w:val="Body Text"/>
    <w:basedOn w:val="776"/>
    <w:uiPriority w:val="0"/>
    <w:qFormat/>
    <w:rPr>
      <w:rFonts w:ascii="楷体_GB2312" w:hAnsi="Arial"/>
      <w:sz w:val="28"/>
    </w:rPr>
  </w:style>
  <w:style w:type="paragraph" w:styleId="793">
    <w:name w:val="Body Text Indent"/>
    <w:basedOn w:val="776"/>
    <w:next w:val="776"/>
    <w:uiPriority w:val="0"/>
    <w:qFormat/>
    <w:pPr>
      <w:ind w:firstLine="645"/>
    </w:pPr>
    <w:rPr>
      <w:rFonts w:ascii="楷体_GB2312" w:hAnsi="Calibri"/>
      <w:sz w:val="32"/>
      <w:szCs w:val="22"/>
    </w:rPr>
  </w:style>
  <w:style w:type="paragraph" w:styleId="794">
    <w:name w:val="Block Text"/>
    <w:basedOn w:val="776"/>
    <w:uiPriority w:val="0"/>
    <w:qFormat/>
    <w:pPr>
      <w:ind w:left="525" w:right="-1" w:firstLine="525"/>
      <w:spacing w:line="312" w:lineRule="atLeast"/>
    </w:pPr>
    <w:rPr>
      <w:sz w:val="28"/>
      <w:szCs w:val="28"/>
    </w:rPr>
  </w:style>
  <w:style w:type="paragraph" w:styleId="795">
    <w:name w:val="index 4"/>
    <w:basedOn w:val="776"/>
    <w:next w:val="776"/>
    <w:uiPriority w:val="0"/>
    <w:qFormat/>
    <w:pPr>
      <w:ind w:left="600"/>
    </w:pPr>
    <w:rPr>
      <w:rFonts w:ascii="Calibri" w:hAnsi="Calibri"/>
      <w:szCs w:val="22"/>
    </w:rPr>
  </w:style>
  <w:style w:type="paragraph" w:styleId="796">
    <w:name w:val="toc 5"/>
    <w:basedOn w:val="776"/>
    <w:next w:val="776"/>
    <w:uiPriority w:val="39"/>
    <w:unhideWhenUsed/>
    <w:qFormat/>
    <w:pPr>
      <w:ind w:left="1134"/>
      <w:spacing w:after="57"/>
    </w:pPr>
  </w:style>
  <w:style w:type="paragraph" w:styleId="797">
    <w:name w:val="toc 3"/>
    <w:basedOn w:val="776"/>
    <w:next w:val="776"/>
    <w:uiPriority w:val="39"/>
    <w:unhideWhenUsed/>
    <w:qFormat/>
    <w:pPr>
      <w:ind w:left="567"/>
      <w:spacing w:after="57"/>
    </w:pPr>
  </w:style>
  <w:style w:type="paragraph" w:styleId="798">
    <w:name w:val="Plain Text"/>
    <w:basedOn w:val="776"/>
    <w:next w:val="789"/>
    <w:uiPriority w:val="0"/>
    <w:qFormat/>
    <w:rPr>
      <w:rFonts w:ascii="宋体"/>
    </w:rPr>
  </w:style>
  <w:style w:type="paragraph" w:styleId="799">
    <w:name w:val="toc 8"/>
    <w:basedOn w:val="776"/>
    <w:next w:val="776"/>
    <w:uiPriority w:val="39"/>
    <w:unhideWhenUsed/>
    <w:qFormat/>
    <w:pPr>
      <w:ind w:left="1984"/>
      <w:spacing w:after="57"/>
    </w:pPr>
  </w:style>
  <w:style w:type="paragraph" w:styleId="800">
    <w:name w:val="endnote text"/>
    <w:basedOn w:val="776"/>
    <w:link w:val="998"/>
    <w:uiPriority w:val="99"/>
    <w:unhideWhenUsed/>
    <w:qFormat/>
    <w:rPr>
      <w:sz w:val="20"/>
    </w:rPr>
  </w:style>
  <w:style w:type="paragraph" w:styleId="801">
    <w:name w:val="Balloon Text"/>
    <w:basedOn w:val="776"/>
    <w:link w:val="1029"/>
    <w:uiPriority w:val="99"/>
    <w:unhideWhenUsed/>
    <w:qFormat/>
    <w:rPr>
      <w:sz w:val="18"/>
      <w:szCs w:val="18"/>
    </w:rPr>
  </w:style>
  <w:style w:type="paragraph" w:styleId="802">
    <w:name w:val="Footer"/>
    <w:basedOn w:val="776"/>
    <w:link w:val="890"/>
    <w:uiPriority w:val="99"/>
    <w:unhideWhenUsed/>
    <w:qFormat/>
    <w:pPr>
      <w:tabs>
        <w:tab w:val="center" w:pos="7143" w:leader="none"/>
        <w:tab w:val="right" w:pos="14287" w:leader="none"/>
      </w:tabs>
    </w:pPr>
  </w:style>
  <w:style w:type="paragraph" w:styleId="803">
    <w:name w:val="envelope return"/>
    <w:basedOn w:val="804"/>
    <w:uiPriority w:val="99"/>
    <w:unhideWhenUsed/>
    <w:qFormat/>
    <w:rPr>
      <w:rFonts w:ascii="Arial" w:hAnsi="Arial"/>
    </w:rPr>
  </w:style>
  <w:style w:type="paragraph" w:styleId="804" w:customStyle="1">
    <w:name w:val="Normal_19"/>
    <w:next w:val="805"/>
    <w:uiPriority w:val="0"/>
    <w:qFormat/>
    <w:pPr>
      <w:jc w:val="both"/>
      <w:widowControl w:val="off"/>
    </w:pPr>
    <w:rPr>
      <w:rFonts w:ascii="Times New Roman" w:hAnsi="Times New Roman" w:eastAsia="宋体" w:cs="Times New Roman"/>
      <w:sz w:val="21"/>
      <w:szCs w:val="24"/>
      <w:lang w:val="en-US" w:eastAsia="zh-CN" w:bidi="ar-SA"/>
    </w:rPr>
  </w:style>
  <w:style w:type="paragraph" w:styleId="805" w:customStyle="1">
    <w:name w:val="正文文本缩进1"/>
    <w:basedOn w:val="776"/>
    <w:next w:val="803"/>
    <w:uiPriority w:val="0"/>
    <w:unhideWhenUsed/>
    <w:qFormat/>
    <w:pPr>
      <w:ind w:firstLine="570"/>
    </w:pPr>
    <w:rPr>
      <w:rFonts w:ascii="宋体" w:eastAsia="宋体"/>
      <w:sz w:val="28"/>
    </w:rPr>
  </w:style>
  <w:style w:type="paragraph" w:styleId="806">
    <w:name w:val="Header"/>
    <w:basedOn w:val="776"/>
    <w:link w:val="1000"/>
    <w:uiPriority w:val="0"/>
    <w:qFormat/>
    <w:pPr>
      <w:jc w:val="center"/>
      <w:tabs>
        <w:tab w:val="center" w:pos="4153" w:leader="none"/>
        <w:tab w:val="right" w:pos="8306" w:leader="none"/>
      </w:tabs>
    </w:pPr>
    <w:rPr>
      <w:sz w:val="18"/>
      <w:szCs w:val="18"/>
    </w:rPr>
  </w:style>
  <w:style w:type="paragraph" w:styleId="807">
    <w:name w:val="toc 1"/>
    <w:basedOn w:val="776"/>
    <w:next w:val="776"/>
    <w:uiPriority w:val="39"/>
    <w:unhideWhenUsed/>
    <w:qFormat/>
    <w:pPr>
      <w:spacing w:after="57"/>
    </w:pPr>
  </w:style>
  <w:style w:type="paragraph" w:styleId="808">
    <w:name w:val="toc 4"/>
    <w:basedOn w:val="776"/>
    <w:next w:val="776"/>
    <w:uiPriority w:val="39"/>
    <w:unhideWhenUsed/>
    <w:qFormat/>
    <w:pPr>
      <w:ind w:left="850"/>
      <w:spacing w:after="57"/>
    </w:pPr>
  </w:style>
  <w:style w:type="paragraph" w:styleId="809">
    <w:name w:val="Subtitle"/>
    <w:basedOn w:val="776"/>
    <w:next w:val="776"/>
    <w:link w:val="883"/>
    <w:uiPriority w:val="11"/>
    <w:qFormat/>
    <w:pPr>
      <w:spacing w:before="200" w:after="200"/>
    </w:pPr>
    <w:rPr>
      <w:sz w:val="24"/>
      <w:szCs w:val="24"/>
    </w:rPr>
  </w:style>
  <w:style w:type="paragraph" w:styleId="810">
    <w:name w:val="footnote text"/>
    <w:basedOn w:val="776"/>
    <w:link w:val="997"/>
    <w:uiPriority w:val="99"/>
    <w:unhideWhenUsed/>
    <w:qFormat/>
    <w:pPr>
      <w:spacing w:after="40"/>
    </w:pPr>
    <w:rPr>
      <w:sz w:val="18"/>
    </w:rPr>
  </w:style>
  <w:style w:type="paragraph" w:styleId="811">
    <w:name w:val="toc 6"/>
    <w:basedOn w:val="776"/>
    <w:next w:val="776"/>
    <w:uiPriority w:val="39"/>
    <w:unhideWhenUsed/>
    <w:qFormat/>
    <w:pPr>
      <w:ind w:left="1417"/>
      <w:spacing w:after="57"/>
    </w:pPr>
  </w:style>
  <w:style w:type="paragraph" w:styleId="812">
    <w:name w:val="table of figures"/>
    <w:basedOn w:val="776"/>
    <w:next w:val="776"/>
    <w:uiPriority w:val="99"/>
    <w:unhideWhenUsed/>
    <w:qFormat/>
  </w:style>
  <w:style w:type="paragraph" w:styleId="813">
    <w:name w:val="toc 2"/>
    <w:basedOn w:val="776"/>
    <w:next w:val="776"/>
    <w:uiPriority w:val="39"/>
    <w:unhideWhenUsed/>
    <w:qFormat/>
    <w:pPr>
      <w:ind w:left="283"/>
      <w:spacing w:after="57"/>
    </w:pPr>
  </w:style>
  <w:style w:type="paragraph" w:styleId="814">
    <w:name w:val="toc 9"/>
    <w:basedOn w:val="776"/>
    <w:next w:val="776"/>
    <w:uiPriority w:val="39"/>
    <w:unhideWhenUsed/>
    <w:qFormat/>
    <w:pPr>
      <w:ind w:left="2268"/>
      <w:spacing w:after="57"/>
    </w:pPr>
  </w:style>
  <w:style w:type="paragraph" w:styleId="815">
    <w:name w:val="Normal (Web)"/>
    <w:basedOn w:val="776"/>
    <w:uiPriority w:val="99"/>
    <w:qFormat/>
    <w:pPr>
      <w:jc w:val="left"/>
      <w:spacing w:before="100" w:beforeAutospacing="1" w:after="100" w:afterAutospacing="1"/>
      <w:widowControl/>
    </w:pPr>
    <w:rPr>
      <w:rFonts w:ascii="宋体" w:hAnsi="宋体"/>
      <w:color w:val="000000"/>
      <w:sz w:val="24"/>
      <w:szCs w:val="24"/>
    </w:rPr>
  </w:style>
  <w:style w:type="paragraph" w:styleId="816">
    <w:name w:val="Title"/>
    <w:basedOn w:val="776"/>
    <w:next w:val="776"/>
    <w:link w:val="882"/>
    <w:uiPriority w:val="10"/>
    <w:qFormat/>
    <w:pPr>
      <w:contextualSpacing/>
      <w:spacing w:before="300" w:after="200"/>
    </w:pPr>
    <w:rPr>
      <w:sz w:val="48"/>
      <w:szCs w:val="48"/>
    </w:rPr>
  </w:style>
  <w:style w:type="paragraph" w:styleId="817">
    <w:name w:val="Body Text First Indent"/>
    <w:basedOn w:val="792"/>
    <w:next w:val="818"/>
    <w:uiPriority w:val="0"/>
    <w:qFormat/>
    <w:pPr>
      <w:ind w:firstLine="420"/>
    </w:pPr>
  </w:style>
  <w:style w:type="paragraph" w:styleId="818">
    <w:name w:val="Body Text First Indent 2"/>
    <w:basedOn w:val="793"/>
    <w:next w:val="776"/>
    <w:uiPriority w:val="99"/>
    <w:unhideWhenUsed/>
    <w:qFormat/>
    <w:pPr>
      <w:ind w:firstLine="200"/>
    </w:pPr>
  </w:style>
  <w:style w:type="table" w:styleId="819">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unhideWhenUsed/>
    <w:qFormat/>
    <w:rPr>
      <w:vertAlign w:val="superscript"/>
    </w:rPr>
  </w:style>
  <w:style w:type="character" w:styleId="821">
    <w:name w:val="page number"/>
    <w:basedOn w:val="786"/>
    <w:uiPriority w:val="0"/>
    <w:qFormat/>
  </w:style>
  <w:style w:type="character" w:styleId="822">
    <w:name w:val="Emphasis"/>
    <w:uiPriority w:val="0"/>
    <w:qFormat/>
    <w:rPr>
      <w:rFonts w:ascii="Times New Roman" w:hAnsi="Times New Roman" w:eastAsia="宋体" w:cs="Times New Roman"/>
      <w:i/>
    </w:rPr>
  </w:style>
  <w:style w:type="character" w:styleId="823">
    <w:name w:val="Hyperlink"/>
    <w:uiPriority w:val="99"/>
    <w:unhideWhenUsed/>
    <w:qFormat/>
    <w:rPr>
      <w:color w:val="0563c1"/>
      <w:u w:val="single"/>
    </w:rPr>
  </w:style>
  <w:style w:type="character" w:styleId="824">
    <w:name w:val="annotation reference"/>
    <w:basedOn w:val="786"/>
    <w:uiPriority w:val="99"/>
    <w:unhideWhenUsed/>
    <w:qFormat/>
    <w:rPr>
      <w:rFonts w:ascii="Times New Roman" w:hAnsi="Times New Roman" w:eastAsia="楷体_GB2312" w:cs="Times New Roman"/>
      <w:sz w:val="21"/>
      <w:szCs w:val="21"/>
    </w:rPr>
  </w:style>
  <w:style w:type="character" w:styleId="825">
    <w:name w:val="footnote reference"/>
    <w:uiPriority w:val="99"/>
    <w:unhideWhenUsed/>
    <w:qFormat/>
    <w:rPr>
      <w:vertAlign w:val="superscript"/>
    </w:rPr>
  </w:style>
  <w:style w:type="paragraph" w:styleId="826">
    <w:name w:val="List Paragraph"/>
    <w:basedOn w:val="776"/>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paragraph" w:styleId="828">
    <w:name w:val="Quote"/>
    <w:basedOn w:val="776"/>
    <w:next w:val="776"/>
    <w:uiPriority w:val="29"/>
    <w:qFormat/>
    <w:pPr>
      <w:ind w:left="720" w:right="720"/>
    </w:pPr>
    <w:rPr>
      <w:i/>
    </w:rPr>
  </w:style>
  <w:style w:type="paragraph" w:styleId="829">
    <w:name w:val="Intense Quote"/>
    <w:basedOn w:val="776"/>
    <w:next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0" w:customStyle="1">
    <w:name w:val="TOC 标题1"/>
    <w:uiPriority w:val="39"/>
    <w:unhideWhenUsed/>
    <w:qFormat/>
    <w:rPr>
      <w:rFonts w:ascii="Times New Roman" w:hAnsi="Times New Roman" w:eastAsia="宋体" w:cs="Times New Roman"/>
      <w:lang w:val="en-US" w:eastAsia="zh-CN" w:bidi="ar-SA"/>
    </w:rPr>
  </w:style>
  <w:style w:type="paragraph" w:styleId="831" w:customStyle="1">
    <w:name w:val="正文首行缩进 21"/>
    <w:basedOn w:val="832"/>
    <w:next w:val="776"/>
    <w:uiPriority w:val="99"/>
    <w:unhideWhenUsed/>
    <w:qFormat/>
    <w:pPr>
      <w:ind w:firstLine="420"/>
    </w:pPr>
  </w:style>
  <w:style w:type="paragraph" w:styleId="832" w:customStyle="1">
    <w:name w:val="正文文本缩进11"/>
    <w:basedOn w:val="776"/>
    <w:next w:val="833"/>
    <w:uiPriority w:val="0"/>
    <w:unhideWhenUsed/>
    <w:qFormat/>
    <w:pPr>
      <w:ind w:left="420"/>
      <w:spacing w:after="120"/>
    </w:pPr>
  </w:style>
  <w:style w:type="paragraph" w:styleId="833" w:customStyle="1">
    <w:name w:val="寄信人地址1"/>
    <w:basedOn w:val="776"/>
    <w:uiPriority w:val="0"/>
    <w:qFormat/>
    <w:rPr>
      <w:rFonts w:ascii="Arial" w:hAnsi="Arial" w:eastAsia="宋体" w:cs="宋体"/>
    </w:rPr>
  </w:style>
  <w:style w:type="character" w:styleId="834" w:customStyle="1">
    <w:name w:val="Heading 1 Char"/>
    <w:basedOn w:val="786"/>
    <w:uiPriority w:val="9"/>
    <w:qFormat/>
    <w:rPr>
      <w:rFonts w:ascii="Arial" w:hAnsi="Arial" w:eastAsia="Arial" w:cs="Arial"/>
      <w:sz w:val="40"/>
      <w:szCs w:val="40"/>
    </w:rPr>
  </w:style>
  <w:style w:type="character" w:styleId="835" w:customStyle="1">
    <w:name w:val="Heading 2 Char"/>
    <w:basedOn w:val="786"/>
    <w:uiPriority w:val="9"/>
    <w:qFormat/>
    <w:rPr>
      <w:rFonts w:ascii="Arial" w:hAnsi="Arial" w:eastAsia="Arial" w:cs="Arial"/>
      <w:sz w:val="34"/>
    </w:rPr>
  </w:style>
  <w:style w:type="character" w:styleId="836" w:customStyle="1">
    <w:name w:val="Heading 3 Char"/>
    <w:basedOn w:val="786"/>
    <w:uiPriority w:val="9"/>
    <w:qFormat/>
    <w:rPr>
      <w:rFonts w:ascii="Arial" w:hAnsi="Arial" w:eastAsia="Arial" w:cs="Arial"/>
      <w:sz w:val="30"/>
      <w:szCs w:val="30"/>
    </w:rPr>
  </w:style>
  <w:style w:type="character" w:styleId="837" w:customStyle="1">
    <w:name w:val="Heading 4 Char"/>
    <w:basedOn w:val="786"/>
    <w:uiPriority w:val="9"/>
    <w:qFormat/>
    <w:rPr>
      <w:rFonts w:ascii="Arial" w:hAnsi="Arial" w:eastAsia="Arial" w:cs="Arial"/>
      <w:b/>
      <w:bCs/>
      <w:sz w:val="26"/>
      <w:szCs w:val="26"/>
    </w:rPr>
  </w:style>
  <w:style w:type="character" w:styleId="838" w:customStyle="1">
    <w:name w:val="Heading 5 Char"/>
    <w:basedOn w:val="786"/>
    <w:uiPriority w:val="9"/>
    <w:qFormat/>
    <w:rPr>
      <w:rFonts w:ascii="Arial" w:hAnsi="Arial" w:eastAsia="Arial" w:cs="Arial"/>
      <w:b/>
      <w:bCs/>
      <w:sz w:val="24"/>
      <w:szCs w:val="24"/>
    </w:rPr>
  </w:style>
  <w:style w:type="character" w:styleId="839" w:customStyle="1">
    <w:name w:val="Heading 6 Char"/>
    <w:basedOn w:val="786"/>
    <w:uiPriority w:val="9"/>
    <w:qFormat/>
    <w:rPr>
      <w:rFonts w:ascii="Arial" w:hAnsi="Arial" w:eastAsia="Arial" w:cs="Arial"/>
      <w:b/>
      <w:bCs/>
      <w:sz w:val="22"/>
      <w:szCs w:val="22"/>
    </w:rPr>
  </w:style>
  <w:style w:type="character" w:styleId="840" w:customStyle="1">
    <w:name w:val="Heading 7 Char"/>
    <w:basedOn w:val="786"/>
    <w:uiPriority w:val="9"/>
    <w:qFormat/>
    <w:rPr>
      <w:rFonts w:ascii="Arial" w:hAnsi="Arial" w:eastAsia="Arial" w:cs="Arial"/>
      <w:b/>
      <w:bCs/>
      <w:i/>
      <w:iCs/>
      <w:sz w:val="22"/>
      <w:szCs w:val="22"/>
    </w:rPr>
  </w:style>
  <w:style w:type="character" w:styleId="841" w:customStyle="1">
    <w:name w:val="Heading 8 Char"/>
    <w:basedOn w:val="786"/>
    <w:uiPriority w:val="9"/>
    <w:qFormat/>
    <w:rPr>
      <w:rFonts w:ascii="Arial" w:hAnsi="Arial" w:eastAsia="Arial" w:cs="Arial"/>
      <w:i/>
      <w:iCs/>
      <w:sz w:val="22"/>
      <w:szCs w:val="22"/>
    </w:rPr>
  </w:style>
  <w:style w:type="character" w:styleId="842" w:customStyle="1">
    <w:name w:val="Heading 9 Char"/>
    <w:basedOn w:val="786"/>
    <w:uiPriority w:val="9"/>
    <w:qFormat/>
    <w:rPr>
      <w:rFonts w:ascii="Arial" w:hAnsi="Arial" w:eastAsia="Arial" w:cs="Arial"/>
      <w:i/>
      <w:iCs/>
      <w:sz w:val="21"/>
      <w:szCs w:val="21"/>
    </w:rPr>
  </w:style>
  <w:style w:type="character" w:styleId="843" w:customStyle="1">
    <w:name w:val="Title Char"/>
    <w:basedOn w:val="786"/>
    <w:uiPriority w:val="10"/>
    <w:qFormat/>
    <w:rPr>
      <w:sz w:val="48"/>
      <w:szCs w:val="48"/>
    </w:rPr>
  </w:style>
  <w:style w:type="character" w:styleId="844" w:customStyle="1">
    <w:name w:val="Subtitle Char"/>
    <w:basedOn w:val="786"/>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Caption Char"/>
    <w:uiPriority w:val="99"/>
    <w:qFormat/>
  </w:style>
  <w:style w:type="table" w:styleId="848" w:customStyle="1">
    <w:name w:val="无格式表格 11"/>
    <w:basedOn w:val="78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8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8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8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8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8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8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78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8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7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78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9" w:customStyle="1">
    <w:name w:val="网格表 7 彩色1"/>
    <w:basedOn w:val="787"/>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78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787"/>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787"/>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7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787"/>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5" w:customStyle="1">
    <w:name w:val="清单表 6 彩色1"/>
    <w:basedOn w:val="787"/>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清单表 7 彩色1"/>
    <w:basedOn w:val="787"/>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1"/>
    <w:uiPriority w:val="39"/>
    <w:unhideWhenUsed/>
    <w:qFormat/>
    <w:rPr>
      <w:rFonts w:ascii="Times New Roman" w:hAnsi="Times New Roman" w:eastAsia="宋体" w:cs="Times New Roman"/>
      <w:lang w:val="en-US" w:eastAsia="zh-CN" w:bidi="ar-SA"/>
    </w:rPr>
  </w:style>
  <w:style w:type="paragraph" w:styleId="870" w:customStyle="1">
    <w:name w:val="标题 31"/>
    <w:basedOn w:val="776"/>
    <w:next w:val="776"/>
    <w:uiPriority w:val="0"/>
    <w:qFormat/>
    <w:pPr>
      <w:keepLines/>
      <w:keepNext/>
      <w:spacing w:before="260" w:after="260" w:line="416" w:lineRule="auto"/>
      <w:outlineLvl w:val="2"/>
    </w:pPr>
    <w:rPr>
      <w:b/>
      <w:bCs/>
      <w:sz w:val="32"/>
      <w:szCs w:val="32"/>
    </w:rPr>
  </w:style>
  <w:style w:type="character" w:styleId="871" w:customStyle="1">
    <w:name w:val="标题 1 Char"/>
    <w:link w:val="777"/>
    <w:uiPriority w:val="0"/>
    <w:qFormat/>
    <w:rPr>
      <w:rFonts w:ascii="Arial" w:hAnsi="Arial" w:eastAsia="Arial" w:cs="Arial"/>
      <w:sz w:val="40"/>
      <w:szCs w:val="40"/>
    </w:rPr>
  </w:style>
  <w:style w:type="character" w:styleId="872" w:customStyle="1">
    <w:name w:val="标题 2 Char"/>
    <w:link w:val="778"/>
    <w:uiPriority w:val="9"/>
    <w:qFormat/>
    <w:rPr>
      <w:rFonts w:ascii="Arial" w:hAnsi="Arial" w:eastAsia="Arial" w:cs="Arial"/>
      <w:sz w:val="34"/>
    </w:rPr>
  </w:style>
  <w:style w:type="character" w:styleId="873" w:customStyle="1">
    <w:name w:val="标题 3 Char"/>
    <w:link w:val="779"/>
    <w:uiPriority w:val="9"/>
    <w:qFormat/>
    <w:rPr>
      <w:rFonts w:ascii="Arial" w:hAnsi="Arial" w:eastAsia="Arial" w:cs="Arial"/>
      <w:sz w:val="30"/>
      <w:szCs w:val="30"/>
    </w:rPr>
  </w:style>
  <w:style w:type="character" w:styleId="874" w:customStyle="1">
    <w:name w:val="标题 4 Char"/>
    <w:link w:val="780"/>
    <w:uiPriority w:val="9"/>
    <w:qFormat/>
    <w:rPr>
      <w:rFonts w:ascii="Arial" w:hAnsi="Arial" w:eastAsia="Arial" w:cs="Arial"/>
      <w:b/>
      <w:bCs/>
      <w:sz w:val="26"/>
      <w:szCs w:val="26"/>
    </w:rPr>
  </w:style>
  <w:style w:type="character" w:styleId="875" w:customStyle="1">
    <w:name w:val="标题 5 Char"/>
    <w:link w:val="781"/>
    <w:uiPriority w:val="9"/>
    <w:qFormat/>
    <w:rPr>
      <w:rFonts w:ascii="Arial" w:hAnsi="Arial" w:eastAsia="Arial" w:cs="Arial"/>
      <w:b/>
      <w:bCs/>
      <w:sz w:val="24"/>
      <w:szCs w:val="24"/>
    </w:rPr>
  </w:style>
  <w:style w:type="character" w:styleId="876" w:customStyle="1">
    <w:name w:val="标题 6 Char"/>
    <w:link w:val="782"/>
    <w:uiPriority w:val="9"/>
    <w:qFormat/>
    <w:rPr>
      <w:rFonts w:ascii="Arial" w:hAnsi="Arial" w:eastAsia="Arial" w:cs="Arial"/>
      <w:b/>
      <w:bCs/>
      <w:sz w:val="22"/>
      <w:szCs w:val="22"/>
    </w:rPr>
  </w:style>
  <w:style w:type="character" w:styleId="877" w:customStyle="1">
    <w:name w:val="标题 7 Char"/>
    <w:link w:val="783"/>
    <w:uiPriority w:val="9"/>
    <w:qFormat/>
    <w:rPr>
      <w:rFonts w:ascii="Arial" w:hAnsi="Arial" w:eastAsia="Arial" w:cs="Arial"/>
      <w:b/>
      <w:bCs/>
      <w:i/>
      <w:iCs/>
      <w:sz w:val="22"/>
      <w:szCs w:val="22"/>
    </w:rPr>
  </w:style>
  <w:style w:type="character" w:styleId="878" w:customStyle="1">
    <w:name w:val="标题 8 Char"/>
    <w:link w:val="784"/>
    <w:uiPriority w:val="9"/>
    <w:qFormat/>
    <w:rPr>
      <w:rFonts w:ascii="Arial" w:hAnsi="Arial" w:eastAsia="Arial" w:cs="Arial"/>
      <w:i/>
      <w:iCs/>
      <w:sz w:val="22"/>
      <w:szCs w:val="22"/>
    </w:rPr>
  </w:style>
  <w:style w:type="character" w:styleId="879" w:customStyle="1">
    <w:name w:val="标题 9 Char"/>
    <w:link w:val="785"/>
    <w:uiPriority w:val="9"/>
    <w:qFormat/>
    <w:rPr>
      <w:rFonts w:ascii="Arial" w:hAnsi="Arial" w:eastAsia="Arial" w:cs="Arial"/>
      <w:i/>
      <w:iCs/>
      <w:sz w:val="21"/>
      <w:szCs w:val="21"/>
    </w:rPr>
  </w:style>
  <w:style w:type="paragraph" w:styleId="880" w:customStyle="1">
    <w:name w:val="列出段落1"/>
    <w:basedOn w:val="776"/>
    <w:uiPriority w:val="0"/>
    <w:qFormat/>
    <w:pPr>
      <w:ind w:firstLine="420"/>
    </w:pPr>
  </w:style>
  <w:style w:type="paragraph" w:styleId="881" w:customStyle="1">
    <w:name w:val="无间隔1"/>
    <w:uiPriority w:val="1"/>
    <w:qFormat/>
    <w:rPr>
      <w:rFonts w:ascii="Times New Roman" w:hAnsi="Times New Roman" w:eastAsia="宋体" w:cs="Times New Roman"/>
      <w:lang w:val="en-US" w:eastAsia="zh-CN" w:bidi="ar-SA"/>
    </w:rPr>
  </w:style>
  <w:style w:type="character" w:styleId="882" w:customStyle="1">
    <w:name w:val="标题 Char"/>
    <w:link w:val="816"/>
    <w:uiPriority w:val="10"/>
    <w:qFormat/>
    <w:rPr>
      <w:sz w:val="48"/>
      <w:szCs w:val="48"/>
    </w:rPr>
  </w:style>
  <w:style w:type="character" w:styleId="883" w:customStyle="1">
    <w:name w:val="副标题 Char"/>
    <w:link w:val="809"/>
    <w:uiPriority w:val="11"/>
    <w:qFormat/>
    <w:rPr>
      <w:sz w:val="24"/>
      <w:szCs w:val="24"/>
    </w:rPr>
  </w:style>
  <w:style w:type="paragraph" w:styleId="884" w:customStyle="1">
    <w:name w:val="引用1"/>
    <w:basedOn w:val="776"/>
    <w:next w:val="776"/>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76"/>
    <w:next w:val="776"/>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Header Char"/>
    <w:uiPriority w:val="99"/>
    <w:qFormat/>
  </w:style>
  <w:style w:type="character" w:styleId="889" w:customStyle="1">
    <w:name w:val="Footer Char"/>
    <w:uiPriority w:val="99"/>
    <w:qFormat/>
  </w:style>
  <w:style w:type="character" w:styleId="890" w:customStyle="1">
    <w:name w:val="页脚 Char"/>
    <w:link w:val="802"/>
    <w:uiPriority w:val="99"/>
    <w:qFormat/>
  </w:style>
  <w:style w:type="table" w:styleId="8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List Table 1 Light - Accent 1"/>
    <w:uiPriority w:val="99"/>
    <w:qFormat/>
    <w:tblPr>
      <w:tblCellMar>
        <w:left w:w="0" w:type="dxa"/>
        <w:top w:w="0" w:type="dxa"/>
        <w:right w:w="0" w:type="dxa"/>
        <w:bottom w:w="0" w:type="dxa"/>
      </w:tblCellMar>
    </w:tblPr>
  </w:style>
  <w:style w:type="table" w:styleId="935" w:customStyle="1">
    <w:name w:val="List Table 1 Light - Accent 2"/>
    <w:uiPriority w:val="99"/>
    <w:qFormat/>
    <w:tblPr>
      <w:tblCellMar>
        <w:left w:w="0" w:type="dxa"/>
        <w:top w:w="0" w:type="dxa"/>
        <w:right w:w="0" w:type="dxa"/>
        <w:bottom w:w="0" w:type="dxa"/>
      </w:tblCellMar>
    </w:tblPr>
  </w:style>
  <w:style w:type="table" w:styleId="936" w:customStyle="1">
    <w:name w:val="List Table 1 Light - Accent 3"/>
    <w:uiPriority w:val="99"/>
    <w:qFormat/>
    <w:tblPr>
      <w:tblCellMar>
        <w:left w:w="0" w:type="dxa"/>
        <w:top w:w="0" w:type="dxa"/>
        <w:right w:w="0" w:type="dxa"/>
        <w:bottom w:w="0" w:type="dxa"/>
      </w:tblCellMar>
    </w:tblPr>
  </w:style>
  <w:style w:type="table" w:styleId="937" w:customStyle="1">
    <w:name w:val="List Table 1 Light - Accent 4"/>
    <w:uiPriority w:val="99"/>
    <w:qFormat/>
    <w:tblPr>
      <w:tblCellMar>
        <w:left w:w="0" w:type="dxa"/>
        <w:top w:w="0" w:type="dxa"/>
        <w:right w:w="0" w:type="dxa"/>
        <w:bottom w:w="0" w:type="dxa"/>
      </w:tblCellMar>
    </w:tblPr>
  </w:style>
  <w:style w:type="table" w:styleId="938" w:customStyle="1">
    <w:name w:val="List Table 1 Light - Accent 5"/>
    <w:uiPriority w:val="99"/>
    <w:qFormat/>
    <w:tblPr>
      <w:tblCellMar>
        <w:left w:w="0" w:type="dxa"/>
        <w:top w:w="0" w:type="dxa"/>
        <w:right w:w="0" w:type="dxa"/>
        <w:bottom w:w="0" w:type="dxa"/>
      </w:tblCellMar>
    </w:tblPr>
  </w:style>
  <w:style w:type="table" w:styleId="939" w:customStyle="1">
    <w:name w:val="List Table 1 Light - Accent 6"/>
    <w:uiPriority w:val="99"/>
    <w:qFormat/>
    <w:tblPr>
      <w:tblCellMar>
        <w:left w:w="0" w:type="dxa"/>
        <w:top w:w="0" w:type="dxa"/>
        <w:right w:w="0" w:type="dxa"/>
        <w:bottom w:w="0" w:type="dxa"/>
      </w:tblCellMar>
    </w:tblPr>
  </w:style>
  <w:style w:type="table" w:styleId="9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7" w:customStyle="1">
    <w:name w:val="脚注文本 Char"/>
    <w:link w:val="810"/>
    <w:uiPriority w:val="99"/>
    <w:qFormat/>
    <w:rPr>
      <w:sz w:val="18"/>
    </w:rPr>
  </w:style>
  <w:style w:type="character" w:styleId="998" w:customStyle="1">
    <w:name w:val="尾注文本 Char"/>
    <w:link w:val="800"/>
    <w:uiPriority w:val="99"/>
    <w:qFormat/>
    <w:rPr>
      <w:sz w:val="20"/>
    </w:rPr>
  </w:style>
  <w:style w:type="paragraph" w:styleId="999" w:customStyle="1">
    <w:name w:val="TOC 标题11"/>
    <w:uiPriority w:val="39"/>
    <w:unhideWhenUsed/>
    <w:qFormat/>
    <w:rPr>
      <w:rFonts w:ascii="Times New Roman" w:hAnsi="Times New Roman" w:eastAsia="宋体" w:cs="Times New Roman"/>
      <w:lang w:val="en-US" w:eastAsia="zh-CN" w:bidi="ar-SA"/>
    </w:rPr>
  </w:style>
  <w:style w:type="character" w:styleId="1000" w:customStyle="1">
    <w:name w:val="页眉 Char"/>
    <w:link w:val="806"/>
    <w:uiPriority w:val="0"/>
    <w:qFormat/>
    <w:rPr>
      <w:rFonts w:ascii="Times New Roman" w:hAnsi="Times New Roman" w:eastAsia="楷体_GB2312"/>
      <w:sz w:val="18"/>
      <w:szCs w:val="18"/>
    </w:rPr>
  </w:style>
  <w:style w:type="paragraph" w:styleId="1001" w:customStyle="1">
    <w:name w:val="索引 41"/>
    <w:basedOn w:val="776"/>
    <w:next w:val="776"/>
    <w:uiPriority w:val="0"/>
    <w:qFormat/>
    <w:pPr>
      <w:ind w:left="600"/>
    </w:pPr>
    <w:rPr>
      <w:szCs w:val="21"/>
    </w:rPr>
  </w:style>
  <w:style w:type="paragraph" w:styleId="1002" w:customStyle="1">
    <w:name w:val="目录 11"/>
    <w:basedOn w:val="776"/>
    <w:next w:val="776"/>
    <w:uiPriority w:val="0"/>
    <w:unhideWhenUsed/>
    <w:qFormat/>
    <w:pPr>
      <w:jc w:val="left"/>
    </w:pPr>
    <w:rPr>
      <w:sz w:val="24"/>
    </w:rPr>
  </w:style>
  <w:style w:type="paragraph" w:styleId="1003" w:customStyle="1">
    <w:name w:val="标题 21"/>
    <w:basedOn w:val="776"/>
    <w:next w:val="776"/>
    <w:uiPriority w:val="0"/>
    <w:qFormat/>
    <w:pPr>
      <w:keepLines/>
      <w:keepNext/>
      <w:spacing w:before="260" w:after="260" w:line="416" w:lineRule="auto"/>
      <w:outlineLvl w:val="1"/>
    </w:pPr>
    <w:rPr>
      <w:rFonts w:ascii="Cambria" w:hAnsi="Cambria" w:eastAsia="宋体"/>
      <w:b/>
      <w:bCs/>
      <w:sz w:val="32"/>
      <w:szCs w:val="32"/>
    </w:rPr>
  </w:style>
  <w:style w:type="paragraph" w:styleId="1004" w:customStyle="1">
    <w:name w:val="Default"/>
    <w:next w:val="776"/>
    <w:uiPriority w:val="0"/>
    <w:qFormat/>
    <w:pPr>
      <w:widowControl w:val="off"/>
    </w:pPr>
    <w:rPr>
      <w:rFonts w:ascii="仿宋" w:hAnsi="Times New Roman" w:eastAsia="仿宋" w:cs="仿宋"/>
      <w:color w:val="000000"/>
      <w:sz w:val="24"/>
      <w:szCs w:val="24"/>
      <w:lang w:val="en-US" w:eastAsia="zh-CN" w:bidi="ar-SA"/>
    </w:rPr>
  </w:style>
  <w:style w:type="paragraph" w:styleId="1005" w:customStyle="1">
    <w:name w:val="纯文本1111"/>
    <w:basedOn w:val="776"/>
    <w:next w:val="1006"/>
    <w:uiPriority w:val="0"/>
    <w:unhideWhenUsed/>
    <w:qFormat/>
    <w:rPr>
      <w:rFonts w:ascii="宋体" w:hAnsi="Courier New"/>
    </w:rPr>
  </w:style>
  <w:style w:type="paragraph" w:styleId="1006" w:customStyle="1">
    <w:name w:val="正文缩进1"/>
    <w:basedOn w:val="776"/>
    <w:uiPriority w:val="0"/>
    <w:unhideWhenUsed/>
    <w:qFormat/>
    <w:pPr>
      <w:ind w:firstLine="420"/>
      <w:jc w:val="left"/>
    </w:pPr>
    <w:rPr>
      <w:sz w:val="24"/>
    </w:rPr>
  </w:style>
  <w:style w:type="paragraph" w:styleId="1007" w:customStyle="1">
    <w:name w:val="首行缩进"/>
    <w:basedOn w:val="776"/>
    <w:uiPriority w:val="0"/>
    <w:qFormat/>
    <w:pPr>
      <w:ind w:firstLine="480"/>
      <w:spacing w:line="360" w:lineRule="auto"/>
    </w:pPr>
    <w:rPr>
      <w:rFonts w:hAnsi="宋体" w:eastAsia="宋体" w:cs="宋体"/>
      <w:sz w:val="24"/>
      <w:szCs w:val="24"/>
    </w:rPr>
  </w:style>
  <w:style w:type="paragraph" w:styleId="1008" w:customStyle="1">
    <w:name w:val="Char"/>
    <w:basedOn w:val="776"/>
    <w:uiPriority w:val="0"/>
    <w:qFormat/>
  </w:style>
  <w:style w:type="paragraph" w:styleId="1009" w:customStyle="1">
    <w:name w:val="标题 11"/>
    <w:basedOn w:val="776"/>
    <w:next w:val="776"/>
    <w:uiPriority w:val="0"/>
    <w:qFormat/>
    <w:pPr>
      <w:keepLines/>
      <w:keepNext/>
      <w:spacing w:before="340" w:after="330" w:line="578" w:lineRule="auto"/>
      <w:outlineLvl w:val="0"/>
    </w:pPr>
    <w:rPr>
      <w:b/>
      <w:sz w:val="44"/>
    </w:rPr>
  </w:style>
  <w:style w:type="paragraph" w:styleId="1010" w:customStyle="1">
    <w:name w:val="纯文本1"/>
    <w:basedOn w:val="776"/>
    <w:uiPriority w:val="0"/>
    <w:qFormat/>
    <w:rPr>
      <w:rFonts w:ascii="宋体" w:hAnsi="Courier New"/>
    </w:rPr>
  </w:style>
  <w:style w:type="paragraph" w:styleId="1011" w:customStyle="1">
    <w:name w:val="正文2"/>
    <w:basedOn w:val="776"/>
    <w:uiPriority w:val="0"/>
    <w:qFormat/>
    <w:pPr>
      <w:ind w:firstLine="510"/>
      <w:spacing w:before="156" w:line="360" w:lineRule="auto"/>
    </w:pPr>
    <w:rPr>
      <w:sz w:val="24"/>
    </w:rPr>
  </w:style>
  <w:style w:type="character" w:styleId="1012" w:customStyle="1">
    <w:name w:val="要点1"/>
    <w:uiPriority w:val="0"/>
    <w:qFormat/>
    <w:rPr>
      <w:b/>
      <w:bCs/>
    </w:rPr>
  </w:style>
  <w:style w:type="paragraph" w:styleId="1013" w:customStyle="1">
    <w:name w:val="普通(网站)1"/>
    <w:basedOn w:val="776"/>
    <w:uiPriority w:val="0"/>
    <w:unhideWhenUsed/>
    <w:qFormat/>
    <w:pPr>
      <w:jc w:val="left"/>
      <w:spacing w:before="100" w:beforeAutospacing="1" w:after="100" w:afterAutospacing="1"/>
      <w:widowControl/>
    </w:pPr>
    <w:rPr>
      <w:rFonts w:ascii="宋体" w:hAnsi="宋体" w:cs="宋体"/>
      <w:sz w:val="24"/>
    </w:rPr>
  </w:style>
  <w:style w:type="paragraph" w:styleId="1014" w:customStyle="1">
    <w:name w:val="正文文本缩进 21"/>
    <w:basedOn w:val="776"/>
    <w:uiPriority w:val="0"/>
    <w:unhideWhenUsed/>
    <w:qFormat/>
    <w:pPr>
      <w:ind w:left="420"/>
      <w:spacing w:after="120" w:line="480" w:lineRule="auto"/>
    </w:pPr>
  </w:style>
  <w:style w:type="paragraph" w:styleId="1015" w:customStyle="1">
    <w:name w:val="纯文本11"/>
    <w:basedOn w:val="776"/>
    <w:uiPriority w:val="99"/>
    <w:qFormat/>
    <w:rPr>
      <w:rFonts w:ascii="宋体" w:hAnsi="Courier New"/>
    </w:rPr>
  </w:style>
  <w:style w:type="paragraph" w:styleId="1016" w:customStyle="1">
    <w:name w:val="索引 11"/>
    <w:basedOn w:val="776"/>
    <w:next w:val="776"/>
    <w:uiPriority w:val="0"/>
    <w:unhideWhenUsed/>
    <w:qFormat/>
    <w:pPr>
      <w:jc w:val="center"/>
      <w:spacing w:line="220" w:lineRule="exact"/>
    </w:pPr>
    <w:rPr>
      <w:rFonts w:ascii="仿宋_GB2312" w:eastAsia="仿宋_GB2312"/>
      <w:szCs w:val="21"/>
    </w:rPr>
  </w:style>
  <w:style w:type="paragraph" w:styleId="1017" w:customStyle="1">
    <w:name w:val="正文文本1"/>
    <w:basedOn w:val="776"/>
    <w:uiPriority w:val="0"/>
    <w:unhideWhenUsed/>
    <w:qFormat/>
    <w:rPr>
      <w:rFonts w:ascii="楷体_GB2312"/>
      <w:b/>
      <w:bCs/>
      <w:sz w:val="28"/>
    </w:rPr>
  </w:style>
  <w:style w:type="paragraph" w:styleId="1018" w:customStyle="1">
    <w:name w:val="页眉1"/>
    <w:basedOn w:val="776"/>
    <w:uiPriority w:val="0"/>
    <w:unhideWhenUsed/>
    <w:qFormat/>
    <w:pPr>
      <w:jc w:val="center"/>
      <w:tabs>
        <w:tab w:val="center" w:pos="4153" w:leader="none"/>
        <w:tab w:val="right" w:pos="8306" w:leader="none"/>
      </w:tabs>
      <w:pBdr>
        <w:bottom w:val="single" w:color="000000" w:sz="6" w:space="1"/>
      </w:pBdr>
    </w:pPr>
    <w:rPr>
      <w:sz w:val="18"/>
    </w:rPr>
  </w:style>
  <w:style w:type="paragraph" w:styleId="1019" w:customStyle="1">
    <w:name w:val="页脚1"/>
    <w:basedOn w:val="776"/>
    <w:uiPriority w:val="0"/>
    <w:unhideWhenUsed/>
    <w:qFormat/>
    <w:pPr>
      <w:jc w:val="left"/>
      <w:tabs>
        <w:tab w:val="center" w:pos="4153" w:leader="none"/>
        <w:tab w:val="right" w:pos="8306" w:leader="none"/>
      </w:tabs>
    </w:pPr>
    <w:rPr>
      <w:sz w:val="18"/>
    </w:rPr>
  </w:style>
  <w:style w:type="character" w:styleId="1020" w:customStyle="1">
    <w:name w:val="font81"/>
    <w:uiPriority w:val="0"/>
    <w:qFormat/>
    <w:rPr>
      <w:rFonts w:ascii="Times New Roman" w:hAnsi="Times New Roman" w:cs="Times New Roman"/>
      <w:color w:val="000000"/>
      <w:sz w:val="22"/>
      <w:szCs w:val="22"/>
      <w:u w:val="none"/>
    </w:rPr>
  </w:style>
  <w:style w:type="character" w:styleId="1021" w:customStyle="1">
    <w:name w:val="font11"/>
    <w:uiPriority w:val="0"/>
    <w:qFormat/>
    <w:rPr>
      <w:rFonts w:hint="eastAsia" w:ascii="仿宋" w:hAnsi="仿宋" w:eastAsia="仿宋" w:cs="仿宋"/>
      <w:color w:val="000000"/>
      <w:sz w:val="22"/>
      <w:szCs w:val="22"/>
      <w:u w:val="none"/>
    </w:rPr>
  </w:style>
  <w:style w:type="character" w:styleId="1022" w:customStyle="1">
    <w:name w:val="font101"/>
    <w:uiPriority w:val="0"/>
    <w:qFormat/>
    <w:rPr>
      <w:rFonts w:ascii="Arial" w:hAnsi="Arial" w:cs="Arial"/>
      <w:color w:val="000000"/>
      <w:sz w:val="22"/>
      <w:szCs w:val="22"/>
      <w:u w:val="none"/>
    </w:rPr>
  </w:style>
  <w:style w:type="paragraph" w:styleId="1023" w:customStyle="1">
    <w:name w:val="List Paragraph_f0420307-4c65-4cf4-ac34-e8950b7bacb1"/>
    <w:basedOn w:val="776"/>
    <w:uiPriority w:val="0"/>
    <w:qFormat/>
    <w:pPr>
      <w:ind w:firstLine="420"/>
    </w:pPr>
    <w:rPr>
      <w:rFonts w:eastAsia="宋体"/>
      <w:sz w:val="21"/>
      <w:szCs w:val="21"/>
    </w:rPr>
  </w:style>
  <w:style w:type="character" w:styleId="1024" w:customStyle="1">
    <w:name w:val="font51"/>
    <w:basedOn w:val="786"/>
    <w:uiPriority w:val="0"/>
    <w:qFormat/>
    <w:rPr>
      <w:rFonts w:hint="default" w:ascii="Times New Roman" w:hAnsi="Times New Roman" w:cs="Times New Roman"/>
      <w:color w:val="000000"/>
      <w:sz w:val="21"/>
      <w:szCs w:val="21"/>
      <w:u w:val="none"/>
    </w:rPr>
  </w:style>
  <w:style w:type="character" w:styleId="1025" w:customStyle="1">
    <w:name w:val="font31"/>
    <w:basedOn w:val="786"/>
    <w:uiPriority w:val="0"/>
    <w:qFormat/>
    <w:rPr>
      <w:rFonts w:hint="eastAsia" w:ascii="宋体" w:hAnsi="宋体" w:eastAsia="宋体" w:cs="宋体"/>
      <w:color w:val="000000"/>
      <w:sz w:val="21"/>
      <w:szCs w:val="21"/>
      <w:u w:val="none"/>
    </w:rPr>
  </w:style>
  <w:style w:type="character" w:styleId="1026" w:customStyle="1">
    <w:name w:val="font21"/>
    <w:basedOn w:val="786"/>
    <w:uiPriority w:val="0"/>
    <w:qFormat/>
    <w:rPr>
      <w:rFonts w:hint="default" w:ascii="Times New Roman" w:hAnsi="Times New Roman" w:cs="Times New Roman"/>
      <w:color w:val="000000"/>
      <w:sz w:val="21"/>
      <w:szCs w:val="21"/>
      <w:u w:val="none"/>
    </w:rPr>
  </w:style>
  <w:style w:type="character" w:styleId="1027" w:customStyle="1">
    <w:name w:val="font61"/>
    <w:basedOn w:val="786"/>
    <w:uiPriority w:val="0"/>
    <w:qFormat/>
    <w:rPr>
      <w:rFonts w:hint="eastAsia" w:ascii="宋体" w:hAnsi="宋体" w:eastAsia="宋体" w:cs="宋体"/>
      <w:color w:val="000000"/>
      <w:sz w:val="21"/>
      <w:szCs w:val="21"/>
      <w:u w:val="none"/>
    </w:rPr>
  </w:style>
  <w:style w:type="character" w:styleId="1028" w:customStyle="1">
    <w:name w:val="font41"/>
    <w:basedOn w:val="786"/>
    <w:uiPriority w:val="0"/>
    <w:qFormat/>
    <w:rPr>
      <w:rFonts w:hint="default" w:ascii="Times New Roman" w:hAnsi="Times New Roman" w:cs="Times New Roman"/>
      <w:color w:val="000000"/>
      <w:sz w:val="20"/>
      <w:szCs w:val="20"/>
      <w:u w:val="none"/>
    </w:rPr>
  </w:style>
  <w:style w:type="character" w:styleId="1029" w:customStyle="1">
    <w:name w:val="批注框文本 Char"/>
    <w:basedOn w:val="786"/>
    <w:link w:val="801"/>
    <w:uiPriority w:val="99"/>
    <w:semiHidden/>
    <w:qFormat/>
    <w:rPr>
      <w:rFonts w:eastAsia="楷体_GB2312"/>
      <w:sz w:val="18"/>
      <w:szCs w:val="18"/>
    </w:rPr>
  </w:style>
  <w:style w:type="table" w:styleId="1030" w:customStyle="1">
    <w:name w:val="Table Normal"/>
    <w:uiPriority w:val="0"/>
    <w:unhideWhenUsed/>
    <w:qFormat/>
    <w:tblPr>
      <w:tblCellMar>
        <w:left w:w="0" w:type="dxa"/>
        <w:top w:w="0" w:type="dxa"/>
        <w:right w:w="0" w:type="dxa"/>
        <w:bottom w:w="0" w:type="dxa"/>
      </w:tblCellMar>
    </w:tblPr>
  </w:style>
  <w:style w:type="paragraph" w:styleId="1031" w:customStyle="1">
    <w:name w:val="样式 首行缩进:  2 字符"/>
    <w:basedOn w:val="776"/>
    <w:link w:val="1032"/>
    <w:uiPriority w:val="0"/>
    <w:qFormat/>
    <w:pPr>
      <w:ind w:firstLine="480"/>
      <w:spacing w:line="360" w:lineRule="auto"/>
    </w:pPr>
    <w:rPr>
      <w:rFonts w:eastAsia="宋体"/>
      <w:sz w:val="24"/>
    </w:rPr>
  </w:style>
  <w:style w:type="character" w:styleId="1032" w:customStyle="1">
    <w:name w:val="样式 首行缩进:  2 字符 Char Char"/>
    <w:link w:val="1031"/>
    <w:uiPriority w:val="0"/>
    <w:qFormat/>
    <w:rPr>
      <w:sz w:val="24"/>
    </w:rPr>
  </w:style>
  <w:style w:type="character" w:styleId="1033" w:customStyle="1">
    <w:name w:val="批注文字 Char"/>
    <w:basedOn w:val="786"/>
    <w:link w:val="791"/>
    <w:uiPriority w:val="99"/>
    <w:semiHidden/>
    <w:qFormat/>
    <w:rPr>
      <w:rFonts w:eastAsia="楷体_GB2312"/>
      <w:sz w:val="26"/>
    </w:rPr>
  </w:style>
  <w:style w:type="paragraph" w:styleId="1034"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16_1"/>
    <w:uiPriority w:val="0"/>
    <w:qFormat/>
    <w:rPr>
      <w:rFonts w:ascii="宋体" w:hAnsi="宋体" w:eastAsia="宋体" w:cs="Times New Roman"/>
      <w:sz w:val="32"/>
      <w:szCs w:val="24"/>
      <w:lang w:val="en-US" w:eastAsia="zh-CN" w:bidi="ar-SA"/>
    </w:rPr>
  </w:style>
  <w:style w:type="paragraph" w:styleId="1036"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039" w:customStyle="1">
    <w:name w:val="列出段落_2"/>
    <w:basedOn w:val="1037"/>
    <w:uiPriority w:val="34"/>
    <w:qFormat/>
    <w:pPr>
      <w:ind w:firstLine="420"/>
    </w:pPr>
  </w:style>
  <w:style w:type="paragraph" w:styleId="1040" w:customStyle="1">
    <w:name w:val="Other|1"/>
    <w:basedOn w:val="776"/>
    <w:uiPriority w:val="0"/>
    <w:qFormat/>
    <w:rPr>
      <w:rFonts w:ascii="宋体" w:hAnsi="宋体" w:eastAsia="宋体" w:cs="宋体"/>
      <w:sz w:val="21"/>
      <w:lang w:val="zh-TW" w:eastAsia="zh-TW" w:bidi="zh-TW"/>
    </w:rPr>
  </w:style>
  <w:style w:type="paragraph" w:styleId="1041" w:customStyle="1">
    <w:name w:val="列表段落1"/>
    <w:basedOn w:val="776"/>
    <w:uiPriority w:val="34"/>
    <w:qFormat/>
    <w:pPr>
      <w:ind w:firstLine="420"/>
    </w:pPr>
  </w:style>
  <w:style w:type="paragraph" w:styleId="1042" w:customStyle="1">
    <w:name w:val="正文文本11"/>
    <w:basedOn w:val="776"/>
    <w:next w:val="776"/>
    <w:uiPriority w:val="0"/>
    <w:qFormat/>
    <w:rPr>
      <w:rFonts w:ascii="仿宋_GB2312" w:eastAsia="仿宋_GB2312"/>
    </w:rPr>
  </w:style>
  <w:style w:type="paragraph" w:styleId="1043" w:customStyle="1">
    <w:name w:val="列出段落11"/>
    <w:basedOn w:val="776"/>
    <w:uiPriority w:val="0"/>
    <w:qFormat/>
    <w:pPr>
      <w:contextualSpacing/>
      <w:ind w:left="720"/>
      <w:jc w:val="left"/>
      <w:widowControl/>
    </w:pPr>
    <w:rPr>
      <w:rFonts w:ascii="Calibri" w:hAnsi="Calibri"/>
      <w:lang w:eastAsia="en-US" w:bidi="en-US"/>
    </w:rPr>
  </w:style>
  <w:style w:type="paragraph" w:styleId="1044" w:customStyle="1">
    <w:name w:val="Normal_10_0"/>
    <w:uiPriority w:val="0"/>
    <w:qFormat/>
    <w:rPr>
      <w:rFonts w:ascii="黑体" w:hAnsi="黑体" w:eastAsia="黑体" w:cs="Times New Roman"/>
      <w:b/>
      <w:sz w:val="32"/>
      <w:szCs w:val="24"/>
      <w:lang w:val="en-US" w:eastAsia="zh-CN" w:bidi="ar-SA"/>
    </w:rPr>
  </w:style>
  <w:style w:type="paragraph" w:styleId="1045" w:customStyle="1">
    <w:name w:val="Table Text"/>
    <w:basedOn w:val="776"/>
    <w:uiPriority w:val="0"/>
    <w:semiHidden/>
    <w:qFormat/>
    <w:rPr>
      <w:rFonts w:ascii="宋体" w:hAnsi="宋体" w:cs="宋体"/>
      <w:sz w:val="28"/>
      <w:szCs w:val="28"/>
      <w:lang w:eastAsia="en-US"/>
    </w:rPr>
  </w:style>
  <w:style w:type="character" w:styleId="1046" w:customStyle="1">
    <w:name w:val="font71"/>
    <w:basedOn w:val="786"/>
    <w:uiPriority w:val="0"/>
    <w:qFormat/>
    <w:rPr>
      <w:rFonts w:hint="eastAsia" w:ascii="宋体" w:hAnsi="宋体" w:eastAsia="宋体" w:cs="宋体"/>
      <w:color w:val="000000"/>
      <w:sz w:val="24"/>
      <w:szCs w:val="24"/>
      <w:u w:val="none"/>
    </w:rPr>
  </w:style>
  <w:style w:type="paragraph" w:styleId="1047" w:customStyle="1">
    <w:name w:val="Table Paragraph"/>
    <w:basedOn w:val="776"/>
    <w:uiPriority w:val="1"/>
    <w:qFormat/>
    <w:pPr>
      <w:ind w:left="107"/>
    </w:p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F6C489-EFEE-46A4-9DEE-346BD993DC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4</cp:revision>
  <dcterms:created xsi:type="dcterms:W3CDTF">2026-10-19T08:55:00Z</dcterms:created>
  <dcterms:modified xsi:type="dcterms:W3CDTF">2026-10-27T06:51:05Z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2F50848DD96F4663A8D8FBA369705C68_13</vt:lpwstr>
  </property>
  <property fmtid="{D5CDD505-2E9C-101B-9397-08002B2CF9AE}" pid="4" name="KSOTemplateDocerSaveRecord">
    <vt:lpwstr>eyJoZGlkIjoiMjE0MDljMGE0NTFiMjgwNzE0MTFjYTE5MDRjYjY2NTkiLCJ1c2VySWQiOiIyMzI1ODEzMTAifQ==</vt:lpwstr>
  </property>
</Properties>
</file>