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6738D6">
      <w:pPr>
        <w:widowControl/>
        <w:shd w:val="clear" w:color="auto" w:fill="FFFFFF"/>
        <w:spacing w:line="360" w:lineRule="auto"/>
        <w:rPr>
          <w:rFonts w:ascii="Times New Roman" w:hAnsi="Times New Roman" w:eastAsia="宋体" w:cs="Times New Roman"/>
          <w:b/>
          <w:bCs w:val="0"/>
          <w:sz w:val="36"/>
          <w:szCs w:val="36"/>
        </w:rPr>
      </w:pPr>
    </w:p>
    <w:p w14:paraId="4B3D940D">
      <w:pPr>
        <w:widowControl/>
        <w:spacing w:line="360" w:lineRule="auto"/>
        <w:jc w:val="both"/>
        <w:rPr>
          <w:rFonts w:hint="eastAsia" w:cs="Times New Roman"/>
          <w:b/>
          <w:sz w:val="56"/>
          <w:szCs w:val="56"/>
          <w:lang w:val="en-US" w:eastAsia="zh-CN"/>
        </w:rPr>
      </w:pPr>
    </w:p>
    <w:p w14:paraId="11EAF567">
      <w:pPr>
        <w:widowControl/>
        <w:spacing w:line="360" w:lineRule="auto"/>
        <w:jc w:val="center"/>
        <w:rPr>
          <w:rFonts w:ascii="Times New Roman" w:hAnsi="Times New Roman" w:eastAsia="宋体" w:cs="Times New Roman"/>
          <w:b/>
          <w:sz w:val="52"/>
          <w:szCs w:val="52"/>
        </w:rPr>
      </w:pPr>
      <w:r>
        <w:rPr>
          <w:rFonts w:hint="eastAsia" w:cs="Times New Roman"/>
          <w:b/>
          <w:sz w:val="52"/>
          <w:szCs w:val="52"/>
          <w:lang w:val="en-US" w:eastAsia="zh-CN"/>
        </w:rPr>
        <w:t>重点县鳊鱼养殖出塘预警监测项目（二次）</w:t>
      </w:r>
    </w:p>
    <w:p w14:paraId="6019ED81">
      <w:pPr>
        <w:widowControl/>
        <w:spacing w:line="360" w:lineRule="auto"/>
        <w:jc w:val="center"/>
        <w:rPr>
          <w:rFonts w:ascii="Times New Roman" w:hAnsi="Times New Roman" w:eastAsia="宋体" w:cs="Times New Roman"/>
          <w:b/>
          <w:sz w:val="56"/>
          <w:szCs w:val="56"/>
        </w:rPr>
      </w:pPr>
      <w:r>
        <w:rPr>
          <w:rFonts w:ascii="Times New Roman" w:hAnsi="Times New Roman" w:eastAsia="宋体" w:cs="Times New Roman"/>
          <w:b/>
          <w:sz w:val="72"/>
          <w:szCs w:val="72"/>
        </w:rPr>
        <w:t>招标文件</w:t>
      </w:r>
    </w:p>
    <w:p w14:paraId="77512B4C">
      <w:pPr>
        <w:widowControl/>
        <w:spacing w:line="360" w:lineRule="auto"/>
        <w:jc w:val="center"/>
        <w:rPr>
          <w:rFonts w:ascii="Times New Roman" w:hAnsi="Times New Roman" w:eastAsia="宋体" w:cs="Times New Roman"/>
          <w:b/>
          <w:sz w:val="36"/>
          <w:szCs w:val="36"/>
        </w:rPr>
      </w:pPr>
    </w:p>
    <w:p w14:paraId="6DFCCC03">
      <w:pPr>
        <w:widowControl/>
        <w:spacing w:line="360" w:lineRule="auto"/>
        <w:jc w:val="center"/>
        <w:rPr>
          <w:rFonts w:ascii="Times New Roman" w:hAnsi="Times New Roman" w:eastAsia="宋体" w:cs="Times New Roman"/>
          <w:b/>
          <w:sz w:val="36"/>
          <w:szCs w:val="36"/>
        </w:rPr>
      </w:pPr>
    </w:p>
    <w:p w14:paraId="37D45997">
      <w:pPr>
        <w:widowControl/>
        <w:spacing w:line="360" w:lineRule="auto"/>
        <w:jc w:val="center"/>
        <w:rPr>
          <w:rFonts w:ascii="Times New Roman" w:hAnsi="Times New Roman" w:cs="Times New Roman"/>
          <w:b w:val="0"/>
          <w:bCs/>
          <w:sz w:val="40"/>
          <w:szCs w:val="40"/>
          <w:lang w:eastAsia="zh-CN"/>
        </w:rPr>
      </w:pPr>
      <w:r>
        <w:rPr>
          <w:rFonts w:ascii="Times New Roman" w:hAnsi="Times New Roman" w:eastAsia="宋体" w:cs="Times New Roman"/>
          <w:b/>
          <w:sz w:val="40"/>
          <w:szCs w:val="40"/>
        </w:rPr>
        <w:t>项目编号</w:t>
      </w:r>
      <w:r>
        <w:rPr>
          <w:rFonts w:ascii="Times New Roman" w:hAnsi="Times New Roman" w:eastAsia="宋体" w:cs="Times New Roman"/>
          <w:b w:val="0"/>
          <w:bCs/>
          <w:sz w:val="40"/>
          <w:szCs w:val="40"/>
        </w:rPr>
        <w:t>：</w:t>
      </w:r>
      <w:r>
        <w:rPr>
          <w:rFonts w:hint="eastAsia" w:cs="Times New Roman"/>
          <w:b w:val="0"/>
          <w:bCs/>
          <w:sz w:val="40"/>
          <w:szCs w:val="40"/>
          <w:lang w:eastAsia="zh-CN"/>
        </w:rPr>
        <w:t>ZZ066026V7ZC02538</w:t>
      </w:r>
    </w:p>
    <w:p w14:paraId="2CCFFBBC">
      <w:pPr>
        <w:pStyle w:val="2"/>
        <w:jc w:val="center"/>
        <w:rPr>
          <w:rFonts w:ascii="Times New Roman" w:hAnsi="Times New Roman" w:cs="Times New Roman"/>
          <w:lang w:val="en-US" w:eastAsia="zh-CN"/>
        </w:rPr>
      </w:pPr>
      <w:r>
        <w:rPr>
          <w:rFonts w:ascii="Times New Roman" w:hAnsi="Times New Roman" w:cs="Times New Roman"/>
          <w:b w:val="0"/>
          <w:bCs/>
          <w:sz w:val="40"/>
          <w:szCs w:val="40"/>
          <w:lang w:val="en-US" w:eastAsia="zh-CN"/>
        </w:rPr>
        <w:t>（</w:t>
      </w:r>
      <w:r>
        <w:rPr>
          <w:rFonts w:hint="eastAsia" w:cs="Times New Roman"/>
          <w:b w:val="0"/>
          <w:bCs/>
          <w:sz w:val="40"/>
          <w:szCs w:val="40"/>
          <w:highlight w:val="none"/>
          <w:shd w:val="clear"/>
          <w:lang w:val="en-US" w:eastAsia="zh-CN"/>
        </w:rPr>
        <w:t>JSZC-320000-JCEC-G2026-0410</w:t>
      </w:r>
      <w:r>
        <w:rPr>
          <w:rFonts w:ascii="Times New Roman" w:hAnsi="Times New Roman" w:cs="Times New Roman"/>
          <w:b w:val="0"/>
          <w:bCs/>
          <w:sz w:val="40"/>
          <w:szCs w:val="40"/>
          <w:lang w:val="en-US" w:eastAsia="zh-CN"/>
        </w:rPr>
        <w:t>）</w:t>
      </w:r>
    </w:p>
    <w:p w14:paraId="6A75B008">
      <w:pPr>
        <w:pStyle w:val="19"/>
        <w:jc w:val="both"/>
        <w:rPr>
          <w:rFonts w:ascii="Times New Roman" w:hAnsi="Times New Roman" w:eastAsia="宋体" w:cs="Times New Roman"/>
        </w:rPr>
      </w:pPr>
    </w:p>
    <w:p w14:paraId="09CB364F">
      <w:pPr>
        <w:widowControl/>
        <w:spacing w:line="360" w:lineRule="auto"/>
        <w:jc w:val="center"/>
        <w:rPr>
          <w:rFonts w:ascii="Times New Roman" w:hAnsi="Times New Roman" w:eastAsia="宋体" w:cs="Times New Roman"/>
          <w:b/>
          <w:sz w:val="36"/>
          <w:szCs w:val="36"/>
        </w:rPr>
      </w:pPr>
    </w:p>
    <w:p w14:paraId="1503F8FB">
      <w:pPr>
        <w:widowControl/>
        <w:spacing w:line="360" w:lineRule="auto"/>
        <w:jc w:val="center"/>
        <w:rPr>
          <w:rFonts w:ascii="Times New Roman" w:hAnsi="Times New Roman" w:eastAsia="宋体" w:cs="Times New Roman"/>
          <w:b/>
          <w:sz w:val="36"/>
          <w:szCs w:val="36"/>
        </w:rPr>
      </w:pPr>
      <w:r>
        <w:rPr>
          <w:rFonts w:ascii="Times New Roman" w:hAnsi="Times New Roman" w:eastAsia="宋体" w:cs="Times New Roman"/>
          <w:b/>
          <w:sz w:val="36"/>
          <w:szCs w:val="36"/>
        </w:rPr>
        <w:t>江苏省设备成套股份有限公司</w:t>
      </w:r>
    </w:p>
    <w:p w14:paraId="18D98622">
      <w:pPr>
        <w:widowControl/>
        <w:shd w:val="clear" w:color="auto" w:fill="FFFFFF"/>
        <w:spacing w:line="360" w:lineRule="auto"/>
        <w:jc w:val="center"/>
        <w:rPr>
          <w:rFonts w:ascii="Times New Roman" w:hAnsi="Times New Roman" w:eastAsia="宋体" w:cs="Times New Roman"/>
          <w:b/>
          <w:sz w:val="36"/>
          <w:szCs w:val="36"/>
        </w:rPr>
      </w:pPr>
      <w:r>
        <w:rPr>
          <w:rFonts w:ascii="Times New Roman" w:hAnsi="Times New Roman" w:eastAsia="宋体" w:cs="Times New Roman"/>
          <w:b/>
          <w:sz w:val="36"/>
          <w:szCs w:val="36"/>
        </w:rPr>
        <w:t>202</w:t>
      </w:r>
      <w:r>
        <w:rPr>
          <w:rFonts w:ascii="Times New Roman" w:hAnsi="Times New Roman" w:cs="Times New Roman"/>
          <w:b/>
          <w:sz w:val="36"/>
          <w:szCs w:val="36"/>
          <w:lang w:val="en-US" w:eastAsia="zh-CN"/>
        </w:rPr>
        <w:t>6</w:t>
      </w:r>
      <w:r>
        <w:rPr>
          <w:rFonts w:ascii="Times New Roman" w:hAnsi="Times New Roman" w:eastAsia="宋体" w:cs="Times New Roman"/>
          <w:b/>
          <w:sz w:val="36"/>
          <w:szCs w:val="36"/>
        </w:rPr>
        <w:t>年</w:t>
      </w:r>
      <w:r>
        <w:rPr>
          <w:rFonts w:hint="eastAsia" w:cs="Times New Roman"/>
          <w:b/>
          <w:sz w:val="36"/>
          <w:szCs w:val="36"/>
          <w:lang w:val="en-US" w:eastAsia="zh-CN"/>
        </w:rPr>
        <w:t>10</w:t>
      </w:r>
      <w:r>
        <w:rPr>
          <w:rFonts w:ascii="Times New Roman" w:hAnsi="Times New Roman" w:eastAsia="宋体" w:cs="Times New Roman"/>
          <w:b/>
          <w:sz w:val="36"/>
          <w:szCs w:val="36"/>
        </w:rPr>
        <w:t>月</w:t>
      </w:r>
    </w:p>
    <w:p w14:paraId="4D49E973">
      <w:pPr>
        <w:widowControl/>
        <w:shd w:val="clear" w:color="auto" w:fill="FFFFFF"/>
        <w:spacing w:line="360" w:lineRule="auto"/>
        <w:jc w:val="center"/>
        <w:rPr>
          <w:rFonts w:ascii="Times New Roman" w:hAnsi="Times New Roman" w:eastAsia="宋体" w:cs="Times New Roman"/>
          <w:sz w:val="36"/>
          <w:szCs w:val="36"/>
        </w:rPr>
      </w:pPr>
      <w:r>
        <w:rPr>
          <w:rFonts w:ascii="Times New Roman" w:hAnsi="Times New Roman" w:eastAsia="宋体" w:cs="Times New Roman"/>
          <w:b/>
          <w:sz w:val="36"/>
          <w:szCs w:val="36"/>
        </w:rPr>
        <w:br w:type="page" w:clear="all"/>
      </w:r>
      <w:r>
        <w:rPr>
          <w:rFonts w:ascii="Times New Roman" w:hAnsi="Times New Roman" w:eastAsia="宋体" w:cs="Times New Roman"/>
          <w:sz w:val="36"/>
          <w:szCs w:val="36"/>
          <w:lang w:val="zh-CN"/>
        </w:rPr>
        <w:t>目 录</w:t>
      </w:r>
    </w:p>
    <w:p w14:paraId="04F65267">
      <w:pPr>
        <w:pStyle w:val="35"/>
        <w:tabs>
          <w:tab w:val="right" w:leader="dot" w:pos="8710"/>
        </w:tabs>
        <w:rPr>
          <w:rFonts w:ascii="Times New Roman" w:hAnsi="Times New Roman" w:cs="Times New Roman"/>
        </w:rPr>
      </w:pPr>
      <w:r>
        <w:rPr>
          <w:rFonts w:ascii="Times New Roman" w:hAnsi="Times New Roman" w:eastAsia="宋体" w:cs="Times New Roman"/>
          <w:b/>
          <w:sz w:val="36"/>
          <w:szCs w:val="36"/>
        </w:rPr>
        <w:fldChar w:fldCharType="begin"/>
      </w:r>
      <w:r>
        <w:rPr>
          <w:rFonts w:ascii="Times New Roman" w:hAnsi="Times New Roman" w:eastAsia="宋体" w:cs="Times New Roman"/>
          <w:b/>
          <w:sz w:val="36"/>
          <w:szCs w:val="36"/>
        </w:rPr>
        <w:instrText xml:space="preserve"> TOC \o "1-1" \h \z \u </w:instrText>
      </w:r>
      <w:r>
        <w:rPr>
          <w:rFonts w:ascii="Times New Roman" w:hAnsi="Times New Roman" w:eastAsia="宋体" w:cs="Times New Roman"/>
          <w:b/>
          <w:sz w:val="36"/>
          <w:szCs w:val="36"/>
        </w:rPr>
        <w:fldChar w:fldCharType="separate"/>
      </w: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_Toc2715 </w:instrText>
      </w:r>
      <w:r>
        <w:rPr>
          <w:rFonts w:ascii="Times New Roman" w:hAnsi="Times New Roman" w:eastAsia="宋体" w:cs="Times New Roman"/>
          <w:szCs w:val="36"/>
        </w:rPr>
        <w:fldChar w:fldCharType="separate"/>
      </w:r>
      <w:r>
        <w:rPr>
          <w:rFonts w:ascii="Times New Roman" w:hAnsi="Times New Roman" w:eastAsia="宋体" w:cs="Times New Roman"/>
        </w:rPr>
        <w:t>第一章 招标公告</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_Toc2715 \h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eastAsia="宋体" w:cs="Times New Roman"/>
          <w:szCs w:val="36"/>
        </w:rPr>
        <w:fldChar w:fldCharType="end"/>
      </w:r>
    </w:p>
    <w:p w14:paraId="47C1FF8A">
      <w:pPr>
        <w:pStyle w:val="35"/>
        <w:tabs>
          <w:tab w:val="right" w:leader="dot" w:pos="8710"/>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_Toc5593 </w:instrText>
      </w:r>
      <w:r>
        <w:rPr>
          <w:rFonts w:ascii="Times New Roman" w:hAnsi="Times New Roman" w:eastAsia="宋体" w:cs="Times New Roman"/>
          <w:szCs w:val="36"/>
        </w:rPr>
        <w:fldChar w:fldCharType="separate"/>
      </w:r>
      <w:r>
        <w:rPr>
          <w:rFonts w:ascii="Times New Roman" w:hAnsi="Times New Roman" w:eastAsia="宋体" w:cs="Times New Roman"/>
        </w:rPr>
        <w:t>第二章 投标人须知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_Toc5593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eastAsia="宋体" w:cs="Times New Roman"/>
          <w:szCs w:val="36"/>
        </w:rPr>
        <w:fldChar w:fldCharType="end"/>
      </w:r>
    </w:p>
    <w:p w14:paraId="61EBB318">
      <w:pPr>
        <w:pStyle w:val="35"/>
        <w:tabs>
          <w:tab w:val="right" w:leader="dot" w:pos="8710"/>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_Toc28303 </w:instrText>
      </w:r>
      <w:r>
        <w:rPr>
          <w:rFonts w:ascii="Times New Roman" w:hAnsi="Times New Roman" w:eastAsia="宋体" w:cs="Times New Roman"/>
          <w:szCs w:val="36"/>
        </w:rPr>
        <w:fldChar w:fldCharType="separate"/>
      </w:r>
      <w:r>
        <w:rPr>
          <w:rFonts w:ascii="Times New Roman" w:hAnsi="Times New Roman" w:eastAsia="宋体" w:cs="Times New Roman"/>
        </w:rPr>
        <w:t>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_Toc28303 \h </w:instrText>
      </w:r>
      <w:r>
        <w:rPr>
          <w:rFonts w:ascii="Times New Roman" w:hAnsi="Times New Roman" w:cs="Times New Roman"/>
        </w:rPr>
        <w:fldChar w:fldCharType="separate"/>
      </w:r>
      <w:r>
        <w:rPr>
          <w:rFonts w:ascii="Times New Roman" w:hAnsi="Times New Roman" w:cs="Times New Roman"/>
        </w:rPr>
        <w:t>20</w:t>
      </w:r>
      <w:r>
        <w:rPr>
          <w:rFonts w:ascii="Times New Roman" w:hAnsi="Times New Roman" w:cs="Times New Roman"/>
        </w:rPr>
        <w:fldChar w:fldCharType="end"/>
      </w:r>
      <w:r>
        <w:rPr>
          <w:rFonts w:ascii="Times New Roman" w:hAnsi="Times New Roman" w:eastAsia="宋体" w:cs="Times New Roman"/>
          <w:szCs w:val="36"/>
        </w:rPr>
        <w:fldChar w:fldCharType="end"/>
      </w:r>
    </w:p>
    <w:p w14:paraId="61B04958">
      <w:pPr>
        <w:pStyle w:val="35"/>
        <w:tabs>
          <w:tab w:val="right" w:leader="dot" w:pos="8710"/>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_Toc22286 </w:instrText>
      </w:r>
      <w:r>
        <w:rPr>
          <w:rFonts w:ascii="Times New Roman" w:hAnsi="Times New Roman" w:eastAsia="宋体" w:cs="Times New Roman"/>
          <w:szCs w:val="36"/>
        </w:rPr>
        <w:fldChar w:fldCharType="separate"/>
      </w:r>
      <w:r>
        <w:rPr>
          <w:rFonts w:ascii="Times New Roman" w:hAnsi="Times New Roman" w:eastAsia="宋体" w:cs="Times New Roman"/>
        </w:rPr>
        <w:t>第四章 采购需求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_Toc22286 \h </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r>
        <w:rPr>
          <w:rFonts w:ascii="Times New Roman" w:hAnsi="Times New Roman" w:eastAsia="宋体" w:cs="Times New Roman"/>
          <w:szCs w:val="36"/>
        </w:rPr>
        <w:fldChar w:fldCharType="end"/>
      </w:r>
    </w:p>
    <w:p w14:paraId="20314F67">
      <w:pPr>
        <w:pStyle w:val="35"/>
        <w:tabs>
          <w:tab w:val="right" w:leader="dot" w:pos="8710"/>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_Toc24541 </w:instrText>
      </w:r>
      <w:r>
        <w:rPr>
          <w:rFonts w:ascii="Times New Roman" w:hAnsi="Times New Roman" w:eastAsia="宋体" w:cs="Times New Roman"/>
          <w:szCs w:val="36"/>
        </w:rPr>
        <w:fldChar w:fldCharType="separate"/>
      </w:r>
      <w:r>
        <w:rPr>
          <w:rFonts w:ascii="Times New Roman" w:hAnsi="Times New Roman" w:eastAsia="宋体" w:cs="Times New Roman"/>
        </w:rPr>
        <w:t>第五章 合同主要条款及格式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_Toc24541 \h </w:instrText>
      </w:r>
      <w:r>
        <w:rPr>
          <w:rFonts w:ascii="Times New Roman" w:hAnsi="Times New Roman" w:cs="Times New Roman"/>
        </w:rPr>
        <w:fldChar w:fldCharType="separate"/>
      </w:r>
      <w:r>
        <w:rPr>
          <w:rFonts w:ascii="Times New Roman" w:hAnsi="Times New Roman" w:cs="Times New Roman"/>
        </w:rPr>
        <w:t>27</w:t>
      </w:r>
      <w:r>
        <w:rPr>
          <w:rFonts w:ascii="Times New Roman" w:hAnsi="Times New Roman" w:cs="Times New Roman"/>
        </w:rPr>
        <w:fldChar w:fldCharType="end"/>
      </w:r>
      <w:r>
        <w:rPr>
          <w:rFonts w:ascii="Times New Roman" w:hAnsi="Times New Roman" w:eastAsia="宋体" w:cs="Times New Roman"/>
          <w:szCs w:val="36"/>
        </w:rPr>
        <w:fldChar w:fldCharType="end"/>
      </w:r>
    </w:p>
    <w:p w14:paraId="4D1A4E99">
      <w:pPr>
        <w:pStyle w:val="35"/>
        <w:tabs>
          <w:tab w:val="right" w:leader="dot" w:pos="8710"/>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_Toc28664 </w:instrText>
      </w:r>
      <w:r>
        <w:rPr>
          <w:rFonts w:ascii="Times New Roman" w:hAnsi="Times New Roman" w:eastAsia="宋体" w:cs="Times New Roman"/>
          <w:szCs w:val="36"/>
        </w:rPr>
        <w:fldChar w:fldCharType="separate"/>
      </w:r>
      <w:r>
        <w:rPr>
          <w:rFonts w:ascii="Times New Roman" w:hAnsi="Times New Roman" w:eastAsia="宋体" w:cs="Times New Roman"/>
        </w:rPr>
        <w:t>第六章 投标文件格式及附件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_Toc28664 \h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eastAsia="宋体" w:cs="Times New Roman"/>
          <w:szCs w:val="36"/>
        </w:rPr>
        <w:fldChar w:fldCharType="end"/>
      </w:r>
    </w:p>
    <w:p w14:paraId="7074081D">
      <w:pPr>
        <w:widowControl/>
        <w:shd w:val="clear" w:color="auto" w:fill="FFFFFF"/>
        <w:spacing w:line="360" w:lineRule="auto"/>
        <w:rPr>
          <w:rFonts w:ascii="Times New Roman" w:hAnsi="Times New Roman" w:eastAsia="宋体" w:cs="Times New Roman"/>
          <w:b/>
          <w:sz w:val="36"/>
          <w:szCs w:val="36"/>
        </w:rPr>
        <w:sectPr>
          <w:pgSz w:w="11906" w:h="16838"/>
          <w:pgMar w:top="1440" w:right="1797" w:bottom="1440" w:left="1399" w:header="851" w:footer="992" w:gutter="0"/>
          <w:cols w:space="720" w:num="1"/>
          <w:docGrid w:linePitch="360" w:charSpace="0"/>
        </w:sectPr>
      </w:pPr>
      <w:r>
        <w:rPr>
          <w:rFonts w:ascii="Times New Roman" w:hAnsi="Times New Roman" w:eastAsia="宋体" w:cs="Times New Roman"/>
          <w:szCs w:val="36"/>
        </w:rPr>
        <w:fldChar w:fldCharType="end"/>
      </w:r>
    </w:p>
    <w:p w14:paraId="48BE9050">
      <w:pPr>
        <w:widowControl/>
        <w:shd w:val="clear" w:color="auto" w:fill="FFFFFF"/>
        <w:spacing w:line="360" w:lineRule="auto"/>
        <w:rPr>
          <w:rFonts w:ascii="Times New Roman" w:hAnsi="Times New Roman" w:eastAsia="宋体" w:cs="Times New Roman"/>
          <w:b/>
          <w:sz w:val="36"/>
          <w:szCs w:val="36"/>
        </w:rPr>
      </w:pPr>
    </w:p>
    <w:p w14:paraId="723B1E16">
      <w:pPr>
        <w:pStyle w:val="3"/>
        <w:numPr>
          <w:ilvl w:val="0"/>
          <w:numId w:val="0"/>
        </w:numPr>
        <w:rPr>
          <w:rFonts w:ascii="Times New Roman" w:hAnsi="Times New Roman" w:eastAsia="宋体" w:cs="Times New Roman"/>
        </w:rPr>
      </w:pPr>
      <w:bookmarkStart w:id="0" w:name="_Toc176849584"/>
      <w:bookmarkStart w:id="1" w:name="_Toc29007"/>
      <w:bookmarkStart w:id="2" w:name="_Toc481057143"/>
      <w:bookmarkStart w:id="3" w:name="_Toc2715"/>
      <w:r>
        <w:rPr>
          <w:rFonts w:ascii="Times New Roman" w:hAnsi="Times New Roman" w:eastAsia="宋体" w:cs="Times New Roman"/>
        </w:rPr>
        <w:t>第一章 招标公告</w:t>
      </w:r>
      <w:bookmarkEnd w:id="0"/>
      <w:bookmarkEnd w:id="1"/>
      <w:bookmarkEnd w:id="2"/>
      <w:bookmarkEnd w:id="3"/>
    </w:p>
    <w:p w14:paraId="3BC49887">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hint="eastAsia" w:cs="Times New Roman"/>
          <w:u w:val="single"/>
          <w:lang w:eastAsia="zh-CN"/>
        </w:rPr>
        <w:t>重点县鳊鱼养殖出塘预警监测项目（</w:t>
      </w:r>
      <w:r>
        <w:rPr>
          <w:rFonts w:hint="eastAsia" w:cs="Times New Roman"/>
          <w:u w:val="single"/>
          <w:lang w:val="en-US" w:eastAsia="zh-CN"/>
        </w:rPr>
        <w:t>二次</w:t>
      </w:r>
      <w:r>
        <w:rPr>
          <w:rFonts w:hint="eastAsia" w:cs="Times New Roman"/>
          <w:u w:val="single"/>
          <w:lang w:eastAsia="zh-CN"/>
        </w:rPr>
        <w:t>）</w:t>
      </w:r>
      <w:r>
        <w:rPr>
          <w:rFonts w:ascii="Times New Roman" w:hAnsi="Times New Roman" w:eastAsia="宋体" w:cs="Times New Roman"/>
        </w:rPr>
        <w:t>的潜在投标人应在江苏政府采购网获取招标文件，并于</w:t>
      </w:r>
      <w:r>
        <w:rPr>
          <w:rFonts w:ascii="Times New Roman" w:hAnsi="Times New Roman" w:eastAsia="宋体" w:cs="Times New Roman"/>
          <w:szCs w:val="21"/>
          <w:u w:val="single"/>
        </w:rPr>
        <w:t>202</w:t>
      </w:r>
      <w:r>
        <w:rPr>
          <w:rFonts w:ascii="Times New Roman" w:hAnsi="Times New Roman" w:cs="Times New Roman"/>
          <w:szCs w:val="21"/>
          <w:u w:val="single"/>
          <w:lang w:val="en-US" w:eastAsia="zh-CN"/>
        </w:rPr>
        <w:t>6</w:t>
      </w:r>
      <w:r>
        <w:rPr>
          <w:rFonts w:ascii="Times New Roman" w:hAnsi="Times New Roman" w:eastAsia="宋体" w:cs="Times New Roman"/>
          <w:szCs w:val="21"/>
          <w:u w:val="single"/>
        </w:rPr>
        <w:t>年</w:t>
      </w:r>
      <w:r>
        <w:rPr>
          <w:rFonts w:hint="eastAsia" w:cs="Times New Roman"/>
          <w:szCs w:val="21"/>
          <w:u w:val="single"/>
          <w:lang w:val="en-US" w:eastAsia="zh-CN"/>
        </w:rPr>
        <w:t>11</w:t>
      </w:r>
      <w:r>
        <w:rPr>
          <w:rFonts w:ascii="Times New Roman" w:hAnsi="Times New Roman" w:cs="Times New Roman"/>
          <w:szCs w:val="21"/>
          <w:u w:val="single"/>
          <w:lang w:val="en-US" w:eastAsia="zh-CN"/>
        </w:rPr>
        <w:t>月</w:t>
      </w:r>
      <w:r>
        <w:rPr>
          <w:rFonts w:hint="eastAsia" w:cs="Times New Roman"/>
          <w:szCs w:val="21"/>
          <w:u w:val="single"/>
          <w:lang w:val="en-US" w:eastAsia="zh-CN"/>
        </w:rPr>
        <w:t>11</w:t>
      </w:r>
      <w:r>
        <w:rPr>
          <w:rFonts w:ascii="Times New Roman" w:hAnsi="Times New Roman" w:cs="Times New Roman"/>
          <w:szCs w:val="21"/>
          <w:u w:val="single"/>
          <w:lang w:val="en-US" w:eastAsia="zh-CN"/>
        </w:rPr>
        <w:t>日</w:t>
      </w:r>
      <w:r>
        <w:rPr>
          <w:rFonts w:hint="eastAsia" w:cs="Times New Roman"/>
          <w:szCs w:val="21"/>
          <w:u w:val="single"/>
          <w:lang w:val="en-US" w:eastAsia="zh-CN"/>
        </w:rPr>
        <w:t>09</w:t>
      </w:r>
      <w:r>
        <w:rPr>
          <w:rFonts w:ascii="Times New Roman" w:hAnsi="Times New Roman" w:eastAsia="宋体" w:cs="Times New Roman"/>
          <w:szCs w:val="21"/>
          <w:u w:val="single"/>
        </w:rPr>
        <w:t>点</w:t>
      </w:r>
      <w:r>
        <w:rPr>
          <w:rFonts w:hint="eastAsia" w:cs="Times New Roman"/>
          <w:szCs w:val="21"/>
          <w:u w:val="single"/>
          <w:lang w:val="en-US" w:eastAsia="zh-CN"/>
        </w:rPr>
        <w:t>30</w:t>
      </w:r>
      <w:r>
        <w:rPr>
          <w:rFonts w:ascii="Times New Roman" w:hAnsi="Times New Roman" w:eastAsia="宋体" w:cs="Times New Roman"/>
          <w:szCs w:val="21"/>
          <w:u w:val="single"/>
        </w:rPr>
        <w:t>分</w:t>
      </w:r>
      <w:r>
        <w:rPr>
          <w:rFonts w:ascii="Times New Roman" w:hAnsi="Times New Roman" w:eastAsia="宋体" w:cs="Times New Roman"/>
          <w:szCs w:val="21"/>
        </w:rPr>
        <w:t>（北京时间）前递交投标文件。</w:t>
      </w:r>
    </w:p>
    <w:p w14:paraId="17905A3F">
      <w:pPr>
        <w:keepNext w:val="0"/>
        <w:keepLines w:val="0"/>
        <w:pageBreakBefore w:val="0"/>
        <w:widowControl w:val="0"/>
        <w:spacing w:line="336" w:lineRule="auto"/>
        <w:ind w:firstLine="422"/>
        <w:outlineLvl w:val="9"/>
        <w:rPr>
          <w:rFonts w:ascii="Times New Roman" w:hAnsi="Times New Roman" w:eastAsia="宋体" w:cs="Times New Roman"/>
          <w:b/>
          <w:bCs/>
          <w:szCs w:val="21"/>
        </w:rPr>
      </w:pPr>
      <w:bookmarkStart w:id="4" w:name="_Toc35393621"/>
      <w:bookmarkStart w:id="5" w:name="_Toc35393790"/>
      <w:bookmarkStart w:id="6" w:name="_Hlk24379207"/>
      <w:bookmarkStart w:id="7" w:name="_Toc28359079"/>
      <w:bookmarkStart w:id="8" w:name="_Toc28359002"/>
      <w:r>
        <w:rPr>
          <w:rFonts w:ascii="Times New Roman" w:hAnsi="Times New Roman" w:eastAsia="宋体" w:cs="Times New Roman"/>
          <w:b/>
          <w:bCs/>
          <w:szCs w:val="21"/>
        </w:rPr>
        <w:t>一、项目基本情况</w:t>
      </w:r>
      <w:bookmarkEnd w:id="4"/>
      <w:bookmarkEnd w:id="5"/>
      <w:bookmarkEnd w:id="6"/>
      <w:bookmarkEnd w:id="7"/>
      <w:bookmarkEnd w:id="8"/>
    </w:p>
    <w:p w14:paraId="6096112C">
      <w:pPr>
        <w:keepNext w:val="0"/>
        <w:keepLines w:val="0"/>
        <w:pageBreakBefore w:val="0"/>
        <w:widowControl w:val="0"/>
        <w:spacing w:line="336" w:lineRule="auto"/>
        <w:ind w:firstLine="420"/>
        <w:outlineLvl w:val="9"/>
        <w:rPr>
          <w:rFonts w:ascii="Times New Roman" w:hAnsi="Times New Roman" w:eastAsia="宋体" w:cs="Times New Roman"/>
          <w:szCs w:val="21"/>
          <w:lang w:eastAsia="zh-CN"/>
        </w:rPr>
      </w:pPr>
      <w:bookmarkStart w:id="9" w:name="_Toc28359081"/>
      <w:bookmarkStart w:id="10" w:name="_Toc35393792"/>
      <w:bookmarkStart w:id="11" w:name="_Toc28359004"/>
      <w:bookmarkStart w:id="12" w:name="_Toc35393623"/>
      <w:r>
        <w:rPr>
          <w:rFonts w:ascii="Times New Roman" w:hAnsi="Times New Roman" w:eastAsia="宋体" w:cs="Times New Roman"/>
          <w:szCs w:val="21"/>
        </w:rPr>
        <w:t>1.1项目编</w:t>
      </w:r>
      <w:r>
        <w:rPr>
          <w:rFonts w:ascii="Times New Roman" w:hAnsi="Times New Roman" w:eastAsia="宋体" w:cs="Times New Roman"/>
          <w:szCs w:val="21"/>
          <w:highlight w:val="none"/>
        </w:rPr>
        <w:t>号：</w:t>
      </w:r>
      <w:r>
        <w:rPr>
          <w:rFonts w:hint="eastAsia" w:cs="Times New Roman"/>
          <w:sz w:val="22"/>
          <w:szCs w:val="22"/>
          <w:highlight w:val="none"/>
          <w:lang w:eastAsia="zh-CN"/>
        </w:rPr>
        <w:t>ZZ066026V7ZC02538</w:t>
      </w:r>
      <w:r>
        <w:rPr>
          <w:rFonts w:ascii="Times New Roman" w:hAnsi="Times New Roman" w:cs="Times New Roman"/>
          <w:sz w:val="22"/>
          <w:szCs w:val="22"/>
          <w:highlight w:val="none"/>
          <w:lang w:val="en-US" w:eastAsia="zh-CN"/>
        </w:rPr>
        <w:t>（</w:t>
      </w:r>
      <w:r>
        <w:rPr>
          <w:rFonts w:hint="eastAsia" w:cs="Times New Roman"/>
          <w:highlight w:val="none"/>
          <w:u w:val="none"/>
          <w:lang w:val="en-US" w:eastAsia="zh-CN"/>
        </w:rPr>
        <w:t>JSZC-320000-JCEC-G2026-0410</w:t>
      </w:r>
      <w:r>
        <w:rPr>
          <w:rFonts w:ascii="Times New Roman" w:hAnsi="Times New Roman" w:cs="Times New Roman"/>
          <w:sz w:val="22"/>
          <w:szCs w:val="22"/>
          <w:highlight w:val="none"/>
          <w:lang w:val="en-US" w:eastAsia="zh-CN"/>
        </w:rPr>
        <w:t>）</w:t>
      </w:r>
    </w:p>
    <w:p w14:paraId="050AA319">
      <w:pPr>
        <w:keepNext w:val="0"/>
        <w:keepLines w:val="0"/>
        <w:pageBreakBefore w:val="0"/>
        <w:widowControl w:val="0"/>
        <w:spacing w:line="360" w:lineRule="auto"/>
        <w:ind w:firstLine="420"/>
        <w:outlineLvl w:val="9"/>
        <w:rPr>
          <w:rFonts w:ascii="Times New Roman" w:hAnsi="Times New Roman" w:eastAsia="宋体" w:cs="Times New Roman"/>
        </w:rPr>
      </w:pPr>
      <w:r>
        <w:rPr>
          <w:rFonts w:ascii="Times New Roman" w:hAnsi="Times New Roman" w:eastAsia="宋体" w:cs="Times New Roman"/>
        </w:rPr>
        <w:t>1.2项目名称：</w:t>
      </w:r>
      <w:r>
        <w:rPr>
          <w:rFonts w:hint="eastAsia" w:cs="Times New Roman"/>
          <w:u w:val="none"/>
          <w:lang w:eastAsia="zh-CN"/>
        </w:rPr>
        <w:t>重点县鳊鱼养殖出塘预警监测项目（</w:t>
      </w:r>
      <w:r>
        <w:rPr>
          <w:rFonts w:hint="eastAsia" w:cs="Times New Roman"/>
          <w:u w:val="none"/>
          <w:lang w:val="en-US" w:eastAsia="zh-CN"/>
        </w:rPr>
        <w:t>二次</w:t>
      </w:r>
      <w:r>
        <w:rPr>
          <w:rFonts w:hint="eastAsia" w:cs="Times New Roman"/>
          <w:u w:val="none"/>
          <w:lang w:eastAsia="zh-CN"/>
        </w:rPr>
        <w:t>）</w:t>
      </w:r>
    </w:p>
    <w:p w14:paraId="2824D2E5">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1.3</w:t>
      </w:r>
      <w:r>
        <w:rPr>
          <w:rFonts w:ascii="Times New Roman" w:hAnsi="Times New Roman" w:eastAsia="宋体" w:cs="Times New Roman"/>
          <w:szCs w:val="21"/>
          <w:lang w:val="zh-CN"/>
        </w:rPr>
        <w:t>预算金额：</w:t>
      </w:r>
      <w:r>
        <w:rPr>
          <w:rFonts w:hint="eastAsia" w:cs="Times New Roman"/>
          <w:szCs w:val="21"/>
          <w:lang w:val="en-US" w:eastAsia="zh-CN"/>
        </w:rPr>
        <w:t>5</w:t>
      </w:r>
      <w:r>
        <w:rPr>
          <w:rFonts w:hint="default" w:cs="Times New Roman"/>
          <w:szCs w:val="21"/>
          <w:lang w:val="en-US" w:eastAsia="zh-CN"/>
        </w:rPr>
        <w:t>13</w:t>
      </w:r>
      <w:r>
        <w:rPr>
          <w:rFonts w:ascii="Times New Roman" w:hAnsi="Times New Roman" w:eastAsia="宋体" w:cs="Times New Roman"/>
          <w:szCs w:val="21"/>
        </w:rPr>
        <w:t>万元</w:t>
      </w:r>
    </w:p>
    <w:p w14:paraId="7D27E2DA">
      <w:pPr>
        <w:keepNext w:val="0"/>
        <w:keepLines w:val="0"/>
        <w:pageBreakBefore w:val="0"/>
        <w:widowControl w:val="0"/>
        <w:spacing w:line="336" w:lineRule="auto"/>
        <w:ind w:firstLine="420"/>
        <w:outlineLvl w:val="9"/>
        <w:rPr>
          <w:rFonts w:hint="eastAsia" w:ascii="Times New Roman" w:hAnsi="Times New Roman" w:eastAsia="宋体" w:cs="Times New Roman"/>
          <w:szCs w:val="21"/>
          <w:lang w:eastAsia="zh-CN"/>
        </w:rPr>
      </w:pPr>
      <w:r>
        <w:rPr>
          <w:rFonts w:ascii="Times New Roman" w:hAnsi="Times New Roman" w:eastAsia="宋体" w:cs="Times New Roman"/>
          <w:szCs w:val="21"/>
        </w:rPr>
        <w:t>1.4最高限价：</w:t>
      </w:r>
      <w:r>
        <w:rPr>
          <w:rFonts w:hint="eastAsia" w:cs="Times New Roman"/>
          <w:szCs w:val="21"/>
          <w:lang w:val="en-US" w:eastAsia="zh-CN"/>
        </w:rPr>
        <w:t>508</w:t>
      </w:r>
      <w:r>
        <w:rPr>
          <w:rFonts w:ascii="Times New Roman" w:hAnsi="Times New Roman" w:eastAsia="宋体" w:cs="Times New Roman"/>
          <w:szCs w:val="21"/>
        </w:rPr>
        <w:t>万元</w:t>
      </w:r>
    </w:p>
    <w:p w14:paraId="702979FC">
      <w:pPr>
        <w:keepNext w:val="0"/>
        <w:keepLines w:val="0"/>
        <w:pageBreakBefore w:val="0"/>
        <w:widowControl w:val="0"/>
        <w:kinsoku/>
        <w:wordWrap/>
        <w:overflowPunct/>
        <w:topLinePunct w:val="0"/>
        <w:autoSpaceDE/>
        <w:autoSpaceDN/>
        <w:bidi w:val="0"/>
        <w:adjustRightInd/>
        <w:snapToGrid w:val="0"/>
        <w:spacing w:line="336" w:lineRule="auto"/>
        <w:ind w:left="2100" w:leftChars="200" w:hanging="1680" w:hangingChars="800"/>
        <w:textAlignment w:val="auto"/>
        <w:outlineLvl w:val="9"/>
        <w:rPr>
          <w:rFonts w:hint="eastAsia" w:ascii="Times New Roman" w:hAnsi="Times New Roman" w:eastAsia="仿宋" w:cs="Times New Roman"/>
          <w:color w:val="FF0000"/>
          <w:szCs w:val="21"/>
          <w:highlight w:val="none"/>
          <w:lang w:eastAsia="zh-CN"/>
        </w:rPr>
      </w:pPr>
      <w:r>
        <w:rPr>
          <w:rFonts w:ascii="Times New Roman" w:hAnsi="Times New Roman" w:eastAsia="宋体" w:cs="Times New Roman"/>
          <w:szCs w:val="21"/>
        </w:rPr>
        <w:t>1.5合同履行期：</w:t>
      </w:r>
      <w:r>
        <w:rPr>
          <w:rFonts w:hint="eastAsia" w:cs="Times New Roman"/>
          <w:szCs w:val="21"/>
          <w:lang w:val="en-US" w:eastAsia="zh-CN"/>
        </w:rPr>
        <w:t>本项目服务期自首次</w:t>
      </w:r>
      <w:r>
        <w:rPr>
          <w:rFonts w:ascii="Times New Roman" w:hAnsi="Times New Roman" w:eastAsia="宋体" w:cs="Times New Roman"/>
          <w:szCs w:val="21"/>
        </w:rPr>
        <w:t>合同签订生效之日</w:t>
      </w:r>
      <w:r>
        <w:rPr>
          <w:rFonts w:hint="eastAsia" w:cs="Times New Roman"/>
          <w:szCs w:val="21"/>
          <w:lang w:val="en-US" w:eastAsia="zh-CN"/>
        </w:rPr>
        <w:t>起至2029年12月31日止。</w:t>
      </w:r>
      <w:r>
        <w:rPr>
          <w:rFonts w:ascii="Times New Roman" w:hAnsi="Times New Roman" w:eastAsia="宋体" w:cs="Times New Roman"/>
          <w:szCs w:val="21"/>
          <w:lang w:val="en-US" w:eastAsia="zh-CN"/>
        </w:rPr>
        <w:t>合同</w:t>
      </w:r>
      <w:r>
        <w:rPr>
          <w:rFonts w:hint="eastAsia" w:ascii="Times New Roman" w:hAnsi="Times New Roman" w:eastAsia="宋体" w:cs="Times New Roman"/>
          <w:szCs w:val="21"/>
          <w:lang w:val="en-US" w:eastAsia="zh-CN"/>
        </w:rPr>
        <w:t>分3个阶段进行签约。中标单位须分别于2027年9月15日、2028年12月15日之前，</w:t>
      </w:r>
      <w:r>
        <w:rPr>
          <w:rFonts w:ascii="Times New Roman" w:hAnsi="Times New Roman" w:eastAsia="宋体" w:cs="Times New Roman"/>
          <w:szCs w:val="21"/>
        </w:rPr>
        <w:t>提交</w:t>
      </w:r>
      <w:r>
        <w:rPr>
          <w:rFonts w:hint="eastAsia" w:ascii="Times New Roman" w:hAnsi="Times New Roman" w:eastAsia="宋体" w:cs="Times New Roman"/>
          <w:szCs w:val="21"/>
          <w:lang w:val="en-US" w:eastAsia="zh-CN"/>
        </w:rPr>
        <w:t>对应阶段的</w:t>
      </w:r>
      <w:r>
        <w:rPr>
          <w:rFonts w:ascii="Times New Roman" w:hAnsi="Times New Roman" w:eastAsia="宋体" w:cs="Times New Roman"/>
          <w:szCs w:val="21"/>
        </w:rPr>
        <w:t>服务成果并进行项目</w:t>
      </w:r>
      <w:r>
        <w:rPr>
          <w:rFonts w:hint="eastAsia" w:cs="Times New Roman"/>
          <w:szCs w:val="21"/>
          <w:lang w:val="en-US" w:eastAsia="zh-CN"/>
        </w:rPr>
        <w:t>阶段</w:t>
      </w:r>
      <w:r>
        <w:rPr>
          <w:rFonts w:ascii="Times New Roman" w:hAnsi="Times New Roman" w:eastAsia="宋体" w:cs="Times New Roman"/>
          <w:szCs w:val="21"/>
        </w:rPr>
        <w:t>验收，验收合格后</w:t>
      </w:r>
      <w:r>
        <w:rPr>
          <w:rFonts w:hint="eastAsia" w:ascii="Times New Roman" w:hAnsi="Times New Roman" w:eastAsia="宋体" w:cs="Times New Roman"/>
          <w:szCs w:val="21"/>
          <w:lang w:val="en-US" w:eastAsia="zh-CN"/>
        </w:rPr>
        <w:t>续签下一阶段</w:t>
      </w:r>
      <w:r>
        <w:rPr>
          <w:rFonts w:ascii="Times New Roman" w:hAnsi="Times New Roman" w:eastAsia="宋体" w:cs="Times New Roman"/>
          <w:szCs w:val="21"/>
        </w:rPr>
        <w:t>服务合同</w:t>
      </w: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如服务质量不达标或服务成果不合格，采购人有权不再续签合同。</w:t>
      </w:r>
    </w:p>
    <w:p w14:paraId="76A511AF">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1.6采购需求：具体详见招标文件第四章采购需求。</w:t>
      </w:r>
    </w:p>
    <w:p w14:paraId="2975FA26">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1.7本项目非专门面向中小企业(或监狱企业或残疾人福利性单位）采购</w:t>
      </w:r>
    </w:p>
    <w:p w14:paraId="3829B314">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1.8本项目不接受联合体投标。</w:t>
      </w:r>
    </w:p>
    <w:p w14:paraId="72E8DD30">
      <w:pPr>
        <w:keepNext w:val="0"/>
        <w:keepLines w:val="0"/>
        <w:pageBreakBefore w:val="0"/>
        <w:widowControl w:val="0"/>
        <w:spacing w:line="336" w:lineRule="auto"/>
        <w:ind w:firstLine="420"/>
        <w:outlineLvl w:val="9"/>
        <w:rPr>
          <w:rFonts w:ascii="Times New Roman" w:hAnsi="Times New Roman" w:eastAsia="宋体" w:cs="Times New Roman"/>
          <w:b/>
          <w:spacing w:val="8"/>
          <w:szCs w:val="21"/>
        </w:rPr>
      </w:pPr>
      <w:r>
        <w:rPr>
          <w:rFonts w:ascii="Times New Roman" w:hAnsi="Times New Roman" w:eastAsia="宋体" w:cs="Times New Roman"/>
          <w:szCs w:val="21"/>
        </w:rPr>
        <w:t>1.9</w:t>
      </w:r>
      <w:r>
        <w:rPr>
          <w:rFonts w:ascii="Times New Roman" w:hAnsi="Times New Roman" w:eastAsia="宋体" w:cs="Times New Roman"/>
          <w:sz w:val="22"/>
          <w:szCs w:val="22"/>
        </w:rPr>
        <w:t>本项目标的所属行业：</w:t>
      </w:r>
      <w:r>
        <w:rPr>
          <w:rFonts w:ascii="Times New Roman" w:hAnsi="Times New Roman" w:eastAsia="宋体" w:cs="Times New Roman"/>
          <w:spacing w:val="8"/>
          <w:szCs w:val="21"/>
        </w:rPr>
        <w:t>科学研究和技术服务业。</w:t>
      </w:r>
    </w:p>
    <w:p w14:paraId="61DC98BA">
      <w:pPr>
        <w:keepNext w:val="0"/>
        <w:keepLines w:val="0"/>
        <w:pageBreakBefore w:val="0"/>
        <w:widowControl w:val="0"/>
        <w:spacing w:line="336" w:lineRule="auto"/>
        <w:ind w:firstLine="454"/>
        <w:outlineLvl w:val="9"/>
        <w:rPr>
          <w:rFonts w:ascii="Times New Roman" w:hAnsi="Times New Roman" w:eastAsia="宋体" w:cs="Times New Roman"/>
          <w:b/>
          <w:spacing w:val="8"/>
          <w:szCs w:val="21"/>
        </w:rPr>
      </w:pPr>
      <w:r>
        <w:rPr>
          <w:rFonts w:ascii="Times New Roman" w:hAnsi="Times New Roman" w:eastAsia="宋体" w:cs="Times New Roman"/>
          <w:b/>
          <w:spacing w:val="8"/>
          <w:szCs w:val="21"/>
        </w:rPr>
        <w:t>二、申请人的资格要求：</w:t>
      </w:r>
    </w:p>
    <w:p w14:paraId="614CDAA8">
      <w:pPr>
        <w:keepNext w:val="0"/>
        <w:keepLines w:val="0"/>
        <w:pageBreakBefore w:val="0"/>
        <w:widowControl/>
        <w:shd w:val="clear" w:color="auto" w:fill="FFFFFF"/>
        <w:spacing w:line="336" w:lineRule="auto"/>
        <w:ind w:firstLine="370"/>
        <w:outlineLvl w:val="9"/>
        <w:rPr>
          <w:rFonts w:ascii="Times New Roman" w:hAnsi="Times New Roman" w:eastAsia="宋体" w:cs="Times New Roman"/>
          <w:b/>
          <w:spacing w:val="8"/>
          <w:szCs w:val="21"/>
        </w:rPr>
      </w:pPr>
      <w:r>
        <w:rPr>
          <w:rFonts w:ascii="Times New Roman" w:hAnsi="Times New Roman" w:eastAsia="宋体" w:cs="Times New Roman"/>
          <w:b/>
          <w:spacing w:val="8"/>
          <w:szCs w:val="21"/>
        </w:rPr>
        <w:t>2.1满足《中华人民共和国政府采购法》第二十二条规定；</w:t>
      </w:r>
    </w:p>
    <w:p w14:paraId="7DB04689">
      <w:pPr>
        <w:keepNext w:val="0"/>
        <w:keepLines w:val="0"/>
        <w:pageBreakBefore w:val="0"/>
        <w:widowControl w:val="0"/>
        <w:spacing w:line="336" w:lineRule="auto"/>
        <w:ind w:firstLine="424"/>
        <w:outlineLvl w:val="9"/>
        <w:rPr>
          <w:rFonts w:ascii="Times New Roman" w:hAnsi="Times New Roman" w:eastAsia="宋体" w:cs="Times New Roman"/>
          <w:bCs/>
          <w:szCs w:val="21"/>
        </w:rPr>
      </w:pPr>
      <w:r>
        <w:rPr>
          <w:rFonts w:ascii="Times New Roman" w:hAnsi="Times New Roman" w:eastAsia="宋体" w:cs="Times New Roman"/>
          <w:bCs/>
          <w:szCs w:val="21"/>
        </w:rPr>
        <w:t>（1）具有独立承担民事责任的能力（提供法人或者其他组织的营业执照；供应商为自然人的，提供其身份证）；</w:t>
      </w:r>
    </w:p>
    <w:p w14:paraId="1198DC90">
      <w:pPr>
        <w:keepNext w:val="0"/>
        <w:keepLines w:val="0"/>
        <w:pageBreakBefore w:val="0"/>
        <w:widowControl w:val="0"/>
        <w:spacing w:line="336" w:lineRule="auto"/>
        <w:ind w:firstLine="424"/>
        <w:outlineLvl w:val="9"/>
        <w:rPr>
          <w:rFonts w:ascii="Times New Roman" w:hAnsi="Times New Roman" w:eastAsia="宋体" w:cs="Times New Roman"/>
          <w:bCs/>
          <w:szCs w:val="21"/>
        </w:rPr>
      </w:pPr>
      <w:r>
        <w:rPr>
          <w:rFonts w:ascii="Times New Roman" w:hAnsi="Times New Roman" w:eastAsia="宋体" w:cs="Times New Roman"/>
          <w:bCs/>
          <w:szCs w:val="21"/>
        </w:rPr>
        <w:t>（2）具有良好的商业信誉和健全的财务会计制度（提供</w:t>
      </w:r>
      <w:r>
        <w:rPr>
          <w:rFonts w:ascii="Times New Roman" w:hAnsi="Times New Roman" w:eastAsia="宋体" w:cs="Times New Roman"/>
          <w:bCs/>
          <w:szCs w:val="21"/>
          <w:u w:val="single"/>
        </w:rPr>
        <w:t>2024</w:t>
      </w:r>
      <w:r>
        <w:rPr>
          <w:rFonts w:ascii="Times New Roman" w:hAnsi="Times New Roman" w:cs="Times New Roman"/>
          <w:bCs/>
          <w:szCs w:val="21"/>
          <w:u w:val="single"/>
          <w:lang w:val="en-US" w:eastAsia="zh-CN"/>
        </w:rPr>
        <w:t>或2025</w:t>
      </w:r>
      <w:r>
        <w:rPr>
          <w:rFonts w:ascii="Times New Roman" w:hAnsi="Times New Roman" w:eastAsia="宋体" w:cs="Times New Roman"/>
          <w:bCs/>
          <w:szCs w:val="21"/>
          <w:u w:val="single"/>
        </w:rPr>
        <w:t>年</w:t>
      </w:r>
      <w:r>
        <w:rPr>
          <w:rFonts w:ascii="Times New Roman" w:hAnsi="Times New Roman" w:eastAsia="宋体" w:cs="Times New Roman"/>
          <w:bCs/>
          <w:szCs w:val="21"/>
        </w:rPr>
        <w:t>财务报表</w:t>
      </w:r>
      <w:r>
        <w:rPr>
          <w:rFonts w:ascii="Times New Roman" w:hAnsi="Times New Roman" w:eastAsia="宋体" w:cs="Times New Roman"/>
          <w:szCs w:val="21"/>
        </w:rPr>
        <w:t>（公司成立不满一年，至少提供</w:t>
      </w:r>
      <w:r>
        <w:rPr>
          <w:rFonts w:ascii="Times New Roman" w:hAnsi="Times New Roman" w:eastAsia="宋体" w:cs="Times New Roman"/>
          <w:szCs w:val="21"/>
          <w:lang w:val="zh-CN"/>
        </w:rPr>
        <w:t>投标截止时间</w:t>
      </w:r>
      <w:r>
        <w:rPr>
          <w:rFonts w:ascii="Times New Roman" w:hAnsi="Times New Roman" w:eastAsia="宋体" w:cs="Times New Roman"/>
          <w:szCs w:val="21"/>
        </w:rPr>
        <w:t>前近一个月的财务报表）</w:t>
      </w:r>
      <w:r>
        <w:rPr>
          <w:rFonts w:ascii="Times New Roman" w:hAnsi="Times New Roman" w:eastAsia="宋体" w:cs="Times New Roman"/>
          <w:bCs/>
          <w:szCs w:val="21"/>
        </w:rPr>
        <w:t>，或投标截止时间前六个月内银行出具的资信证明）；</w:t>
      </w:r>
    </w:p>
    <w:p w14:paraId="346BA537">
      <w:pPr>
        <w:keepNext w:val="0"/>
        <w:keepLines w:val="0"/>
        <w:pageBreakBefore w:val="0"/>
        <w:widowControl w:val="0"/>
        <w:spacing w:line="336" w:lineRule="auto"/>
        <w:ind w:firstLine="424"/>
        <w:outlineLvl w:val="9"/>
        <w:rPr>
          <w:rFonts w:ascii="Times New Roman" w:hAnsi="Times New Roman" w:eastAsia="宋体" w:cs="Times New Roman"/>
          <w:bCs/>
          <w:szCs w:val="21"/>
        </w:rPr>
      </w:pPr>
      <w:r>
        <w:rPr>
          <w:rFonts w:ascii="Times New Roman" w:hAnsi="Times New Roman" w:eastAsia="宋体" w:cs="Times New Roman"/>
          <w:bCs/>
          <w:szCs w:val="21"/>
        </w:rPr>
        <w:t>（3）有依法缴纳税收和社会保障资金的良好记录（提供参加本次政府采购活动前半年内至少一个月：①提供缴纳税收的凭证；②提供缴纳社会保险的凭据），依法享受免缴、缓缴的，提供证明材料；</w:t>
      </w:r>
    </w:p>
    <w:p w14:paraId="3E30DE2A">
      <w:pPr>
        <w:keepNext w:val="0"/>
        <w:keepLines w:val="0"/>
        <w:pageBreakBefore w:val="0"/>
        <w:widowControl w:val="0"/>
        <w:spacing w:line="336" w:lineRule="auto"/>
        <w:ind w:firstLine="424"/>
        <w:outlineLvl w:val="9"/>
        <w:rPr>
          <w:rFonts w:ascii="Times New Roman" w:hAnsi="Times New Roman" w:eastAsia="宋体" w:cs="Times New Roman"/>
          <w:bCs/>
          <w:szCs w:val="21"/>
        </w:rPr>
      </w:pPr>
      <w:r>
        <w:rPr>
          <w:rFonts w:ascii="Times New Roman" w:hAnsi="Times New Roman" w:eastAsia="宋体" w:cs="Times New Roman"/>
          <w:bCs/>
          <w:szCs w:val="21"/>
        </w:rPr>
        <w:t>（4）具有履行合同所必需的设备和专业技术能力（供应商根据履行采购项目合同需要，提供履行合同所必需的设备和专业技术能力的证明材料）；</w:t>
      </w:r>
    </w:p>
    <w:p w14:paraId="08FE8769">
      <w:pPr>
        <w:keepNext w:val="0"/>
        <w:keepLines w:val="0"/>
        <w:pageBreakBefore w:val="0"/>
        <w:widowControl w:val="0"/>
        <w:spacing w:line="336" w:lineRule="auto"/>
        <w:ind w:firstLine="424"/>
        <w:outlineLvl w:val="9"/>
        <w:rPr>
          <w:rFonts w:ascii="Times New Roman" w:hAnsi="Times New Roman" w:eastAsia="宋体" w:cs="Times New Roman"/>
          <w:bCs/>
          <w:szCs w:val="21"/>
        </w:rPr>
      </w:pPr>
      <w:r>
        <w:rPr>
          <w:rFonts w:ascii="Times New Roman" w:hAnsi="Times New Roman" w:eastAsia="宋体" w:cs="Times New Roman"/>
          <w:bCs/>
          <w:szCs w:val="21"/>
        </w:rPr>
        <w:t>（5）参加采购活动前三年内，在经营活动中没有重大违法记录（提供承诺书）；</w:t>
      </w:r>
    </w:p>
    <w:p w14:paraId="4BEB002B">
      <w:pPr>
        <w:keepNext w:val="0"/>
        <w:keepLines w:val="0"/>
        <w:pageBreakBefore w:val="0"/>
        <w:widowControl w:val="0"/>
        <w:spacing w:line="336" w:lineRule="auto"/>
        <w:ind w:firstLine="424"/>
        <w:outlineLvl w:val="9"/>
        <w:rPr>
          <w:rFonts w:ascii="Times New Roman" w:hAnsi="Times New Roman" w:eastAsia="宋体" w:cs="Times New Roman"/>
          <w:bCs/>
          <w:szCs w:val="21"/>
        </w:rPr>
      </w:pPr>
      <w:r>
        <w:rPr>
          <w:rFonts w:ascii="Times New Roman" w:hAnsi="Times New Roman" w:eastAsia="宋体" w:cs="Times New Roman"/>
          <w:bCs/>
          <w:szCs w:val="21"/>
        </w:rPr>
        <w:t>（6）法律、行政法规规定的其他条件：无</w:t>
      </w:r>
    </w:p>
    <w:p w14:paraId="3B650C41">
      <w:pPr>
        <w:keepNext w:val="0"/>
        <w:keepLines w:val="0"/>
        <w:pageBreakBefore w:val="0"/>
        <w:widowControl/>
        <w:shd w:val="clear" w:color="auto" w:fill="FFFFFF"/>
        <w:spacing w:line="336" w:lineRule="auto"/>
        <w:ind w:firstLine="370"/>
        <w:outlineLvl w:val="9"/>
        <w:rPr>
          <w:rFonts w:ascii="Times New Roman" w:hAnsi="Times New Roman" w:eastAsia="宋体" w:cs="Times New Roman"/>
          <w:b/>
          <w:spacing w:val="8"/>
          <w:szCs w:val="21"/>
        </w:rPr>
      </w:pPr>
      <w:r>
        <w:rPr>
          <w:rFonts w:ascii="Times New Roman" w:hAnsi="Times New Roman" w:eastAsia="宋体" w:cs="Times New Roman"/>
          <w:b/>
          <w:spacing w:val="8"/>
          <w:szCs w:val="21"/>
        </w:rPr>
        <w:t>2.2落实政府采购政策需满足的资格要求：无</w:t>
      </w:r>
    </w:p>
    <w:p w14:paraId="7CBC5852">
      <w:pPr>
        <w:pStyle w:val="342"/>
        <w:keepNext w:val="0"/>
        <w:keepLines w:val="0"/>
        <w:pageBreakBefore w:val="0"/>
        <w:widowControl/>
        <w:spacing w:line="360" w:lineRule="auto"/>
        <w:outlineLvl w:val="9"/>
        <w:rPr>
          <w:rFonts w:ascii="Times New Roman" w:hAnsi="Times New Roman" w:eastAsia="宋体" w:cs="Times New Roman"/>
          <w:bCs/>
        </w:rPr>
      </w:pPr>
      <w:r>
        <w:rPr>
          <w:rFonts w:ascii="Times New Roman" w:hAnsi="Times New Roman" w:eastAsia="宋体" w:cs="Times New Roman"/>
          <w:b/>
          <w:spacing w:val="8"/>
          <w:sz w:val="21"/>
          <w:szCs w:val="21"/>
        </w:rPr>
        <w:t>2.3采购人根据采购项目的特殊要求规定的特定条件，并提供符合特殊要求的证明材料或者情况说明：无</w:t>
      </w:r>
    </w:p>
    <w:p w14:paraId="7EB40352">
      <w:pPr>
        <w:keepNext w:val="0"/>
        <w:keepLines w:val="0"/>
        <w:pageBreakBefore w:val="0"/>
        <w:widowControl w:val="0"/>
        <w:spacing w:line="336" w:lineRule="auto"/>
        <w:ind w:firstLine="456"/>
        <w:outlineLvl w:val="9"/>
        <w:rPr>
          <w:rFonts w:ascii="Times New Roman" w:hAnsi="Times New Roman" w:eastAsia="宋体" w:cs="Times New Roman"/>
          <w:bCs/>
          <w:szCs w:val="21"/>
        </w:rPr>
      </w:pPr>
      <w:r>
        <w:rPr>
          <w:rFonts w:ascii="Times New Roman" w:hAnsi="Times New Roman" w:eastAsia="宋体" w:cs="Times New Roman"/>
          <w:spacing w:val="8"/>
          <w:szCs w:val="21"/>
        </w:rPr>
        <w:t>2.4</w:t>
      </w:r>
      <w:r>
        <w:rPr>
          <w:rFonts w:ascii="Times New Roman" w:hAnsi="Times New Roman" w:eastAsia="宋体" w:cs="Times New Roman"/>
          <w:bCs/>
          <w:szCs w:val="21"/>
        </w:rPr>
        <w:t>第2.1（5）条所称重大违法记录，是指供应商因违法经营受到刑事处罚或者责令停产停业、吊销许可证或者执照、较大数额罚款等行政处罚。</w:t>
      </w:r>
    </w:p>
    <w:p w14:paraId="391AB8EB">
      <w:pPr>
        <w:keepNext w:val="0"/>
        <w:keepLines w:val="0"/>
        <w:pageBreakBefore w:val="0"/>
        <w:widowControl w:val="0"/>
        <w:spacing w:line="336" w:lineRule="auto"/>
        <w:ind w:firstLine="424"/>
        <w:outlineLvl w:val="9"/>
        <w:rPr>
          <w:rFonts w:ascii="Times New Roman" w:hAnsi="Times New Roman" w:eastAsia="宋体" w:cs="Times New Roman"/>
          <w:bCs/>
          <w:szCs w:val="21"/>
        </w:rPr>
      </w:pPr>
      <w:r>
        <w:rPr>
          <w:rFonts w:ascii="Times New Roman" w:hAnsi="Times New Roman" w:eastAsia="宋体" w:cs="Times New Roman"/>
          <w:bCs/>
          <w:szCs w:val="21"/>
        </w:rPr>
        <w:t>2.5 供应商在参加政府采购活动前3年内因违法经营被禁止在一定期限内参加政府采购活动，期限届满的，可以参加政府采购活动。</w:t>
      </w:r>
    </w:p>
    <w:p w14:paraId="32B50A12">
      <w:pPr>
        <w:keepNext w:val="0"/>
        <w:keepLines w:val="0"/>
        <w:pageBreakBefore w:val="0"/>
        <w:widowControl w:val="0"/>
        <w:spacing w:line="336" w:lineRule="auto"/>
        <w:ind w:firstLine="424"/>
        <w:outlineLvl w:val="9"/>
        <w:rPr>
          <w:rFonts w:ascii="Times New Roman" w:hAnsi="Times New Roman" w:eastAsia="宋体" w:cs="Times New Roman"/>
          <w:bCs/>
          <w:szCs w:val="21"/>
        </w:rPr>
      </w:pPr>
      <w:r>
        <w:rPr>
          <w:rFonts w:ascii="Times New Roman" w:hAnsi="Times New Roman" w:eastAsia="宋体" w:cs="Times New Roman"/>
          <w:bCs/>
          <w:szCs w:val="21"/>
        </w:rPr>
        <w:t>2.6单位负责人为同一人或者存在直接控股、管理关系的不同供应商，不得参加同一合同项下的政府采购活动。</w:t>
      </w:r>
    </w:p>
    <w:p w14:paraId="3A8FFFEC">
      <w:pPr>
        <w:keepNext w:val="0"/>
        <w:keepLines w:val="0"/>
        <w:pageBreakBefore w:val="0"/>
        <w:widowControl w:val="0"/>
        <w:spacing w:line="336" w:lineRule="auto"/>
        <w:ind w:firstLine="424"/>
        <w:outlineLvl w:val="9"/>
        <w:rPr>
          <w:rFonts w:ascii="Times New Roman" w:hAnsi="Times New Roman" w:eastAsia="宋体" w:cs="Times New Roman"/>
          <w:bCs/>
          <w:szCs w:val="21"/>
        </w:rPr>
      </w:pPr>
      <w:r>
        <w:rPr>
          <w:rFonts w:ascii="Times New Roman" w:hAnsi="Times New Roman" w:eastAsia="宋体" w:cs="Times New Roman"/>
          <w:bCs/>
          <w:szCs w:val="21"/>
        </w:rPr>
        <w:t>为采购项目提供整体设计、规范编制或者项目管理、监理、检测等服务的供应商，不得再参加该采购项目的其他采购活动。</w:t>
      </w:r>
    </w:p>
    <w:p w14:paraId="23403B8C">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p>
    <w:p w14:paraId="5CCB17F5">
      <w:pPr>
        <w:keepNext w:val="0"/>
        <w:keepLines w:val="0"/>
        <w:pageBreakBefore w:val="0"/>
        <w:widowControl w:val="0"/>
        <w:spacing w:line="336" w:lineRule="auto"/>
        <w:ind w:firstLine="422"/>
        <w:outlineLvl w:val="9"/>
        <w:rPr>
          <w:rFonts w:ascii="Times New Roman" w:hAnsi="Times New Roman" w:eastAsia="宋体" w:cs="Times New Roman"/>
          <w:b/>
          <w:bCs/>
          <w:szCs w:val="21"/>
        </w:rPr>
      </w:pPr>
      <w:r>
        <w:rPr>
          <w:rFonts w:ascii="Times New Roman" w:hAnsi="Times New Roman" w:eastAsia="宋体" w:cs="Times New Roman"/>
          <w:b/>
          <w:bCs/>
          <w:szCs w:val="21"/>
        </w:rPr>
        <w:t>三、获取招标文件</w:t>
      </w:r>
      <w:bookmarkEnd w:id="9"/>
      <w:bookmarkEnd w:id="10"/>
      <w:bookmarkEnd w:id="11"/>
      <w:bookmarkEnd w:id="12"/>
    </w:p>
    <w:p w14:paraId="5F88D112">
      <w:pPr>
        <w:widowControl/>
        <w:shd w:val="clear" w:color="auto" w:fill="FFFFFF"/>
        <w:spacing w:line="460" w:lineRule="exact"/>
        <w:ind w:firstLine="360"/>
        <w:rPr>
          <w:rFonts w:ascii="Times New Roman" w:hAnsi="Times New Roman" w:cs="Times New Roman"/>
          <w:spacing w:val="8"/>
          <w:szCs w:val="21"/>
          <w:highlight w:val="none"/>
        </w:rPr>
      </w:pPr>
      <w:bookmarkStart w:id="13" w:name="_Toc35393794"/>
      <w:bookmarkStart w:id="14" w:name="_Toc35393625"/>
      <w:bookmarkStart w:id="15" w:name="_Toc28359007"/>
      <w:bookmarkStart w:id="16" w:name="_Toc28359084"/>
      <w:r>
        <w:rPr>
          <w:rFonts w:ascii="Times New Roman" w:hAnsi="Times New Roman" w:cs="Times New Roman"/>
          <w:spacing w:val="8"/>
          <w:szCs w:val="21"/>
          <w:highlight w:val="none"/>
        </w:rPr>
        <w:t>3.1</w:t>
      </w:r>
      <w:r>
        <w:rPr>
          <w:rFonts w:ascii="Times New Roman" w:hAnsi="Times New Roman" w:cs="Times New Roman"/>
          <w:b/>
          <w:bCs/>
          <w:spacing w:val="8"/>
          <w:szCs w:val="21"/>
          <w:highlight w:val="none"/>
        </w:rPr>
        <w:t>时间：</w:t>
      </w:r>
      <w:r>
        <w:rPr>
          <w:rFonts w:ascii="Times New Roman" w:hAnsi="Times New Roman" w:cs="Times New Roman"/>
          <w:spacing w:val="8"/>
          <w:szCs w:val="21"/>
        </w:rPr>
        <w:t>自本公告发布之日起五个工作日（北京时间，法定节假日除外）</w:t>
      </w:r>
    </w:p>
    <w:p w14:paraId="003246C9">
      <w:pPr>
        <w:widowControl/>
        <w:shd w:val="clear" w:color="auto" w:fill="FFFFFF"/>
        <w:spacing w:line="460" w:lineRule="exact"/>
        <w:ind w:firstLine="360"/>
        <w:rPr>
          <w:rFonts w:ascii="Times New Roman" w:hAnsi="Times New Roman" w:cs="Times New Roman"/>
          <w:spacing w:val="8"/>
          <w:szCs w:val="21"/>
          <w:highlight w:val="none"/>
        </w:rPr>
      </w:pPr>
      <w:r>
        <w:rPr>
          <w:rFonts w:ascii="Times New Roman" w:hAnsi="Times New Roman" w:cs="Times New Roman"/>
          <w:spacing w:val="8"/>
          <w:szCs w:val="21"/>
          <w:highlight w:val="none"/>
        </w:rPr>
        <w:t>3.2地点：江苏政府采购网</w:t>
      </w:r>
    </w:p>
    <w:p w14:paraId="45FD4ECF">
      <w:pPr>
        <w:widowControl/>
        <w:shd w:val="clear" w:color="auto" w:fill="FFFFFF"/>
        <w:spacing w:line="460" w:lineRule="exact"/>
        <w:ind w:firstLine="360"/>
        <w:rPr>
          <w:rFonts w:ascii="Times New Roman" w:hAnsi="Times New Roman" w:cs="Times New Roman"/>
          <w:spacing w:val="8"/>
          <w:szCs w:val="21"/>
          <w:highlight w:val="none"/>
        </w:rPr>
      </w:pPr>
      <w:r>
        <w:rPr>
          <w:rFonts w:ascii="Times New Roman" w:hAnsi="Times New Roman" w:cs="Times New Roman"/>
          <w:spacing w:val="8"/>
          <w:szCs w:val="21"/>
          <w:highlight w:val="none"/>
        </w:rPr>
        <w:t>3.3获取方式：网上下载。</w:t>
      </w:r>
    </w:p>
    <w:p w14:paraId="0E596CC3">
      <w:pPr>
        <w:keepNext w:val="0"/>
        <w:keepLines w:val="0"/>
        <w:pageBreakBefore w:val="0"/>
        <w:widowControl w:val="0"/>
        <w:spacing w:line="336" w:lineRule="auto"/>
        <w:ind w:firstLine="422"/>
        <w:outlineLvl w:val="9"/>
        <w:rPr>
          <w:rFonts w:ascii="Times New Roman" w:hAnsi="Times New Roman" w:eastAsia="宋体" w:cs="Times New Roman"/>
          <w:szCs w:val="21"/>
        </w:rPr>
      </w:pPr>
      <w:r>
        <w:rPr>
          <w:rFonts w:ascii="Times New Roman" w:hAnsi="Times New Roman" w:eastAsia="宋体" w:cs="Times New Roman"/>
          <w:b/>
          <w:bCs/>
          <w:szCs w:val="21"/>
        </w:rPr>
        <w:t>四、提交投标文件截止时间、开标时间和地点</w:t>
      </w:r>
    </w:p>
    <w:p w14:paraId="25E654A5">
      <w:pPr>
        <w:widowControl/>
        <w:shd w:val="clear" w:color="auto" w:fill="FFFFFF"/>
        <w:spacing w:line="460" w:lineRule="exact"/>
        <w:ind w:firstLine="370"/>
        <w:rPr>
          <w:rFonts w:ascii="Times New Roman" w:hAnsi="Times New Roman" w:cs="Times New Roman"/>
          <w:spacing w:val="8"/>
          <w:szCs w:val="21"/>
          <w:highlight w:val="none"/>
        </w:rPr>
      </w:pPr>
      <w:r>
        <w:rPr>
          <w:rFonts w:ascii="Times New Roman" w:hAnsi="Times New Roman" w:cs="Times New Roman"/>
          <w:spacing w:val="8"/>
          <w:szCs w:val="21"/>
          <w:highlight w:val="none"/>
        </w:rPr>
        <w:t>4.1投标截止时间及开标时间：2026年</w:t>
      </w:r>
      <w:r>
        <w:rPr>
          <w:rFonts w:hint="eastAsia" w:cs="Times New Roman"/>
          <w:spacing w:val="8"/>
          <w:szCs w:val="21"/>
          <w:highlight w:val="none"/>
          <w:lang w:val="en-US" w:eastAsia="zh-CN"/>
        </w:rPr>
        <w:t>11</w:t>
      </w:r>
      <w:r>
        <w:rPr>
          <w:rFonts w:ascii="Times New Roman" w:hAnsi="Times New Roman" w:cs="Times New Roman"/>
          <w:spacing w:val="8"/>
          <w:szCs w:val="21"/>
          <w:highlight w:val="none"/>
        </w:rPr>
        <w:t>月</w:t>
      </w:r>
      <w:r>
        <w:rPr>
          <w:rFonts w:hint="eastAsia" w:cs="Times New Roman"/>
          <w:spacing w:val="8"/>
          <w:szCs w:val="21"/>
          <w:highlight w:val="none"/>
          <w:lang w:val="en-US" w:eastAsia="zh-CN"/>
        </w:rPr>
        <w:t>11</w:t>
      </w:r>
      <w:r>
        <w:rPr>
          <w:rFonts w:ascii="Times New Roman" w:hAnsi="Times New Roman" w:cs="Times New Roman"/>
          <w:spacing w:val="8"/>
          <w:szCs w:val="21"/>
          <w:highlight w:val="none"/>
        </w:rPr>
        <w:t>日</w:t>
      </w:r>
      <w:r>
        <w:rPr>
          <w:rFonts w:hint="eastAsia" w:cs="Times New Roman"/>
          <w:spacing w:val="8"/>
          <w:szCs w:val="21"/>
          <w:highlight w:val="none"/>
          <w:lang w:val="en-US" w:eastAsia="zh-CN"/>
        </w:rPr>
        <w:t>09</w:t>
      </w:r>
      <w:r>
        <w:rPr>
          <w:rFonts w:ascii="Times New Roman" w:hAnsi="Times New Roman" w:cs="Times New Roman"/>
          <w:spacing w:val="8"/>
          <w:szCs w:val="21"/>
          <w:highlight w:val="none"/>
        </w:rPr>
        <w:t>点</w:t>
      </w:r>
      <w:r>
        <w:rPr>
          <w:rFonts w:hint="eastAsia" w:cs="Times New Roman"/>
          <w:spacing w:val="8"/>
          <w:szCs w:val="21"/>
          <w:highlight w:val="none"/>
          <w:lang w:val="en-US" w:eastAsia="zh-CN"/>
        </w:rPr>
        <w:t>30</w:t>
      </w:r>
      <w:r>
        <w:rPr>
          <w:rFonts w:ascii="Times New Roman" w:hAnsi="Times New Roman" w:cs="Times New Roman"/>
          <w:spacing w:val="8"/>
          <w:szCs w:val="21"/>
          <w:highlight w:val="none"/>
        </w:rPr>
        <w:t>分（北京时间）</w:t>
      </w:r>
    </w:p>
    <w:p w14:paraId="08EFB8E0">
      <w:pPr>
        <w:widowControl/>
        <w:shd w:val="clear" w:color="auto" w:fill="FFFFFF"/>
        <w:spacing w:line="460" w:lineRule="exact"/>
        <w:ind w:firstLine="370"/>
        <w:rPr>
          <w:rFonts w:ascii="Times New Roman" w:hAnsi="Times New Roman" w:cs="Times New Roman"/>
          <w:highlight w:val="none"/>
        </w:rPr>
      </w:pPr>
      <w:r>
        <w:rPr>
          <w:rFonts w:ascii="Times New Roman" w:hAnsi="Times New Roman" w:cs="Times New Roman"/>
          <w:spacing w:val="8"/>
          <w:szCs w:val="21"/>
          <w:highlight w:val="none"/>
        </w:rPr>
        <w:t>4.2提交投标文件地点：江苏省政府采购管理交易系统（苏采云）（以下简称“苏采云”）（网址：http://jszfcg.jsczt.cn/）</w:t>
      </w:r>
      <w:r>
        <w:rPr>
          <w:rFonts w:ascii="Times New Roman" w:hAnsi="Times New Roman" w:cs="Times New Roman"/>
          <w:highlight w:val="none"/>
        </w:rPr>
        <w:t>。</w:t>
      </w:r>
    </w:p>
    <w:p w14:paraId="71E67BD8">
      <w:pPr>
        <w:widowControl/>
        <w:spacing w:line="460" w:lineRule="exact"/>
        <w:ind w:firstLine="370"/>
        <w:rPr>
          <w:rFonts w:ascii="Times New Roman" w:hAnsi="Times New Roman" w:cs="Times New Roman"/>
          <w:szCs w:val="21"/>
          <w:highlight w:val="none"/>
        </w:rPr>
      </w:pPr>
      <w:r>
        <w:rPr>
          <w:rFonts w:ascii="Times New Roman" w:hAnsi="Times New Roman" w:cs="Times New Roman"/>
          <w:spacing w:val="8"/>
          <w:szCs w:val="21"/>
          <w:highlight w:val="none"/>
        </w:rPr>
        <w:t>4.3</w:t>
      </w:r>
      <w:r>
        <w:rPr>
          <w:rFonts w:ascii="Times New Roman" w:hAnsi="Times New Roman" w:cs="Times New Roman"/>
          <w:szCs w:val="21"/>
          <w:highlight w:val="none"/>
        </w:rPr>
        <w:t>开标地点：“苏采云”开标大厅。</w:t>
      </w:r>
    </w:p>
    <w:p w14:paraId="4692FFCE">
      <w:pPr>
        <w:keepNext w:val="0"/>
        <w:keepLines w:val="0"/>
        <w:pageBreakBefore w:val="0"/>
        <w:widowControl w:val="0"/>
        <w:spacing w:line="336" w:lineRule="auto"/>
        <w:ind w:firstLine="422"/>
        <w:outlineLvl w:val="9"/>
        <w:rPr>
          <w:rFonts w:ascii="Times New Roman" w:hAnsi="Times New Roman" w:eastAsia="宋体" w:cs="Times New Roman"/>
          <w:b/>
          <w:bCs/>
          <w:szCs w:val="21"/>
        </w:rPr>
      </w:pPr>
      <w:r>
        <w:rPr>
          <w:rFonts w:ascii="Times New Roman" w:hAnsi="Times New Roman" w:eastAsia="宋体" w:cs="Times New Roman"/>
          <w:b/>
          <w:bCs/>
          <w:szCs w:val="21"/>
        </w:rPr>
        <w:t>五、公告期限</w:t>
      </w:r>
      <w:bookmarkEnd w:id="13"/>
      <w:bookmarkEnd w:id="14"/>
      <w:bookmarkEnd w:id="15"/>
      <w:bookmarkEnd w:id="16"/>
    </w:p>
    <w:p w14:paraId="060D5063">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自本公告发布之日起5个工作日。</w:t>
      </w:r>
    </w:p>
    <w:p w14:paraId="1BED4718">
      <w:pPr>
        <w:keepNext w:val="0"/>
        <w:keepLines w:val="0"/>
        <w:pageBreakBefore w:val="0"/>
        <w:widowControl w:val="0"/>
        <w:spacing w:line="336" w:lineRule="auto"/>
        <w:ind w:firstLine="422"/>
        <w:outlineLvl w:val="9"/>
        <w:rPr>
          <w:rFonts w:ascii="Times New Roman" w:hAnsi="Times New Roman" w:eastAsia="宋体" w:cs="Times New Roman"/>
          <w:b/>
          <w:bCs/>
          <w:szCs w:val="21"/>
        </w:rPr>
      </w:pPr>
      <w:bookmarkStart w:id="17" w:name="_Toc35393626"/>
      <w:bookmarkStart w:id="18" w:name="_Toc35393795"/>
      <w:r>
        <w:rPr>
          <w:rFonts w:ascii="Times New Roman" w:hAnsi="Times New Roman" w:eastAsia="宋体" w:cs="Times New Roman"/>
          <w:b/>
          <w:bCs/>
          <w:szCs w:val="21"/>
        </w:rPr>
        <w:t>六、其他补充事宜</w:t>
      </w:r>
      <w:bookmarkEnd w:id="17"/>
      <w:bookmarkEnd w:id="18"/>
    </w:p>
    <w:p w14:paraId="68C65E1F">
      <w:pPr>
        <w:widowControl/>
        <w:shd w:val="clear" w:color="auto" w:fill="FFFFFF"/>
        <w:spacing w:line="460" w:lineRule="exact"/>
        <w:ind w:firstLine="363"/>
        <w:rPr>
          <w:rFonts w:ascii="Times New Roman" w:hAnsi="Times New Roman" w:cs="Times New Roman"/>
          <w:szCs w:val="21"/>
          <w:highlight w:val="none"/>
          <w:lang w:val="zh-CN"/>
        </w:rPr>
      </w:pPr>
      <w:bookmarkStart w:id="19" w:name="_Toc35393796"/>
      <w:bookmarkStart w:id="20" w:name="_Toc35393627"/>
      <w:bookmarkStart w:id="21" w:name="_Toc28359085"/>
      <w:bookmarkStart w:id="22" w:name="_Toc28359008"/>
      <w:r>
        <w:rPr>
          <w:rFonts w:ascii="Times New Roman" w:hAnsi="Times New Roman" w:cs="Times New Roman"/>
          <w:szCs w:val="21"/>
          <w:highlight w:val="none"/>
          <w:lang w:val="zh-CN"/>
        </w:rPr>
        <w:t>6.1本项目在</w:t>
      </w:r>
      <w:r>
        <w:rPr>
          <w:rFonts w:ascii="Times New Roman" w:hAnsi="Times New Roman" w:cs="Times New Roman"/>
          <w:b/>
          <w:bCs/>
          <w:szCs w:val="21"/>
          <w:highlight w:val="none"/>
          <w:lang w:val="zh-CN"/>
        </w:rPr>
        <w:t>江苏政府采购网</w:t>
      </w:r>
      <w:r>
        <w:rPr>
          <w:rFonts w:ascii="Times New Roman" w:hAnsi="Times New Roman" w:cs="Times New Roman"/>
          <w:szCs w:val="21"/>
          <w:highlight w:val="none"/>
          <w:lang w:val="zh-CN"/>
        </w:rPr>
        <w:t>网站发布公告。</w:t>
      </w:r>
    </w:p>
    <w:p w14:paraId="6BAB673F">
      <w:pPr>
        <w:widowControl/>
        <w:shd w:val="clear" w:color="auto" w:fill="FFFFFF"/>
        <w:spacing w:line="460" w:lineRule="exact"/>
        <w:ind w:firstLine="420"/>
        <w:rPr>
          <w:rFonts w:ascii="Times New Roman" w:hAnsi="Times New Roman" w:cs="Times New Roman"/>
          <w:szCs w:val="21"/>
          <w:highlight w:val="none"/>
        </w:rPr>
      </w:pPr>
      <w:r>
        <w:rPr>
          <w:rFonts w:ascii="Times New Roman" w:hAnsi="Times New Roman" w:cs="Times New Roman"/>
          <w:szCs w:val="21"/>
          <w:highlight w:val="none"/>
          <w:lang w:val="zh-CN"/>
        </w:rPr>
        <w:t>6.</w:t>
      </w:r>
      <w:r>
        <w:rPr>
          <w:rFonts w:ascii="Times New Roman" w:hAnsi="Times New Roman" w:cs="Times New Roman"/>
          <w:szCs w:val="21"/>
          <w:highlight w:val="none"/>
        </w:rPr>
        <w:t>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984721B">
      <w:pPr>
        <w:widowControl/>
        <w:shd w:val="clear" w:color="auto" w:fill="FFFFFF"/>
        <w:spacing w:line="460" w:lineRule="exact"/>
        <w:ind w:firstLine="420"/>
        <w:rPr>
          <w:rFonts w:ascii="Times New Roman" w:hAnsi="Times New Roman" w:cs="Times New Roman"/>
          <w:szCs w:val="21"/>
          <w:highlight w:val="none"/>
        </w:rPr>
      </w:pPr>
      <w:r>
        <w:rPr>
          <w:rFonts w:ascii="Times New Roman" w:hAnsi="Times New Roman" w:cs="Times New Roman"/>
          <w:szCs w:val="21"/>
          <w:highlight w:val="none"/>
        </w:rPr>
        <w:t>操作手册下载地址：http://www.ccgp-jiangsu.gov.cn/jiangsu/zlxz/ee/ee3a4bc5a3454aa2b0d9312230633ce9.html</w:t>
      </w:r>
    </w:p>
    <w:p w14:paraId="7A40986E">
      <w:pPr>
        <w:widowControl/>
        <w:shd w:val="clear" w:color="auto" w:fill="FFFFFF"/>
        <w:spacing w:line="460" w:lineRule="exact"/>
        <w:ind w:firstLine="420"/>
        <w:rPr>
          <w:rFonts w:ascii="Times New Roman" w:hAnsi="Times New Roman" w:cs="Times New Roman"/>
          <w:szCs w:val="21"/>
          <w:highlight w:val="none"/>
        </w:rPr>
      </w:pPr>
      <w:r>
        <w:rPr>
          <w:rFonts w:ascii="Times New Roman" w:hAnsi="Times New Roman" w:cs="Times New Roman"/>
          <w:szCs w:val="21"/>
          <w:highlight w:val="none"/>
        </w:rPr>
        <w:t>首次登录“苏采云”系统的新用户，登录网址后，点击“用户注册”--“新CA办理指南”--获取CA后绑定、登录系统--采购项目参与--下载采购文件（文件后缀名为“.kedt”）。</w:t>
      </w:r>
    </w:p>
    <w:p w14:paraId="4426D03C">
      <w:pPr>
        <w:widowControl/>
        <w:shd w:val="clear" w:color="auto" w:fill="FFFFFF"/>
        <w:spacing w:line="460" w:lineRule="exact"/>
        <w:ind w:firstLine="420"/>
        <w:rPr>
          <w:rFonts w:ascii="Times New Roman" w:hAnsi="Times New Roman" w:cs="Times New Roman"/>
          <w:szCs w:val="21"/>
          <w:highlight w:val="none"/>
        </w:rPr>
      </w:pPr>
      <w:r>
        <w:rPr>
          <w:rFonts w:ascii="Times New Roman" w:hAnsi="Times New Roman" w:cs="Times New Roman"/>
          <w:szCs w:val="21"/>
          <w:highlight w:val="none"/>
        </w:rPr>
        <w:t xml:space="preserve"> 有关本次招标的事项若存在变动或修改，请及时关注“江苏政府采购网”（www.ccgp-jiangsu.gov.cn）更正公告。</w:t>
      </w:r>
    </w:p>
    <w:p w14:paraId="5FF4EA19">
      <w:pPr>
        <w:widowControl/>
        <w:shd w:val="clear" w:color="auto" w:fill="FFFFFF"/>
        <w:spacing w:line="460" w:lineRule="exact"/>
        <w:ind w:firstLine="363"/>
        <w:rPr>
          <w:rFonts w:ascii="Times New Roman" w:hAnsi="Times New Roman" w:cs="Times New Roman"/>
          <w:bCs/>
          <w:szCs w:val="21"/>
          <w:highlight w:val="none"/>
        </w:rPr>
      </w:pPr>
      <w:r>
        <w:rPr>
          <w:rFonts w:ascii="Times New Roman" w:hAnsi="Times New Roman" w:cs="Times New Roman"/>
          <w:bCs/>
          <w:szCs w:val="21"/>
          <w:highlight w:val="none"/>
        </w:rPr>
        <w:t>6.3 勘察现场：无</w:t>
      </w:r>
    </w:p>
    <w:p w14:paraId="1A466947">
      <w:pPr>
        <w:widowControl/>
        <w:shd w:val="clear" w:color="auto" w:fill="FFFFFF"/>
        <w:spacing w:line="460" w:lineRule="exact"/>
        <w:ind w:firstLine="363"/>
        <w:rPr>
          <w:rFonts w:hint="eastAsia" w:ascii="Times New Roman" w:hAnsi="Times New Roman" w:cs="Times New Roman"/>
          <w:bCs/>
          <w:szCs w:val="21"/>
          <w:highlight w:val="none"/>
          <w:lang w:val="en-US" w:eastAsia="zh-CN"/>
        </w:rPr>
      </w:pPr>
      <w:r>
        <w:rPr>
          <w:rFonts w:hint="eastAsia" w:ascii="Times New Roman" w:hAnsi="Times New Roman" w:cs="Times New Roman"/>
          <w:bCs/>
          <w:szCs w:val="21"/>
          <w:highlight w:val="none"/>
          <w:lang w:val="en-US" w:eastAsia="zh-CN"/>
        </w:rPr>
        <w:t>6.4 软件演示安排：投标人须按第三章评标标准“AI及软件功能演示”评审项要求，提供软件功能演示（完整录屏演示文件），演示内容须与投标文件技术方案、所投软件系统保持一致，具体安排以招标代理机构通知为准。</w:t>
      </w:r>
    </w:p>
    <w:p w14:paraId="562BF11B">
      <w:pPr>
        <w:keepNext w:val="0"/>
        <w:keepLines w:val="0"/>
        <w:pageBreakBefore w:val="0"/>
        <w:widowControl/>
        <w:shd w:val="clear" w:color="auto" w:fill="FFFFFF"/>
        <w:spacing w:line="460" w:lineRule="exact"/>
        <w:ind w:firstLine="363"/>
        <w:outlineLvl w:val="9"/>
        <w:rPr>
          <w:rFonts w:ascii="Times New Roman" w:hAnsi="Times New Roman" w:eastAsia="宋体" w:cs="Times New Roman"/>
          <w:szCs w:val="21"/>
        </w:rPr>
      </w:pPr>
      <w:r>
        <w:rPr>
          <w:rFonts w:ascii="Times New Roman" w:hAnsi="Times New Roman" w:eastAsia="宋体" w:cs="Times New Roman"/>
          <w:szCs w:val="21"/>
        </w:rPr>
        <w:t>七、对本次招标提出询问，请按以下方式联系。</w:t>
      </w:r>
      <w:bookmarkEnd w:id="19"/>
      <w:bookmarkEnd w:id="20"/>
      <w:bookmarkEnd w:id="21"/>
      <w:bookmarkEnd w:id="22"/>
    </w:p>
    <w:p w14:paraId="7A2DE095">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7.1采购人信息</w:t>
      </w:r>
    </w:p>
    <w:p w14:paraId="4B08E46C">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名称：江苏省农业农村厅</w:t>
      </w:r>
    </w:p>
    <w:p w14:paraId="5A30C00B">
      <w:pPr>
        <w:keepNext w:val="0"/>
        <w:keepLines w:val="0"/>
        <w:pageBreakBefore w:val="0"/>
        <w:widowControl w:val="0"/>
        <w:spacing w:line="336" w:lineRule="auto"/>
        <w:ind w:firstLine="420"/>
        <w:outlineLvl w:val="9"/>
        <w:rPr>
          <w:rFonts w:ascii="Times New Roman" w:hAnsi="Times New Roman" w:eastAsia="宋体" w:cs="Times New Roman"/>
          <w:szCs w:val="21"/>
        </w:rPr>
      </w:pPr>
      <w:bookmarkStart w:id="23" w:name="_Toc28359009"/>
      <w:bookmarkStart w:id="24" w:name="_Toc28359086"/>
      <w:r>
        <w:rPr>
          <w:rFonts w:ascii="Times New Roman" w:hAnsi="Times New Roman" w:eastAsia="宋体" w:cs="Times New Roman"/>
          <w:szCs w:val="21"/>
        </w:rPr>
        <w:t xml:space="preserve">地址：南京市鼓楼区月光广场8号 </w:t>
      </w:r>
    </w:p>
    <w:p w14:paraId="16D2AF76">
      <w:pPr>
        <w:keepNext w:val="0"/>
        <w:keepLines w:val="0"/>
        <w:pageBreakBefore w:val="0"/>
        <w:widowControl w:val="0"/>
        <w:spacing w:line="336" w:lineRule="auto"/>
        <w:ind w:firstLine="420"/>
        <w:outlineLvl w:val="9"/>
        <w:rPr>
          <w:rFonts w:ascii="Times New Roman" w:hAnsi="Times New Roman" w:eastAsia="宋体" w:cs="Times New Roman"/>
          <w:szCs w:val="21"/>
          <w:lang w:val="en-US" w:eastAsia="zh-CN"/>
        </w:rPr>
      </w:pPr>
      <w:r>
        <w:rPr>
          <w:rFonts w:ascii="Times New Roman" w:hAnsi="Times New Roman" w:eastAsia="宋体" w:cs="Times New Roman"/>
          <w:szCs w:val="21"/>
        </w:rPr>
        <w:t>联系方式：</w:t>
      </w:r>
      <w:r>
        <w:rPr>
          <w:rFonts w:hint="eastAsia" w:cs="Times New Roman"/>
          <w:szCs w:val="21"/>
          <w:lang w:val="en-US" w:eastAsia="zh-CN"/>
        </w:rPr>
        <w:t>张</w:t>
      </w:r>
      <w:r>
        <w:rPr>
          <w:rFonts w:ascii="Times New Roman" w:hAnsi="Times New Roman" w:eastAsia="宋体" w:cs="Times New Roman"/>
          <w:szCs w:val="21"/>
        </w:rPr>
        <w:t>老师，025-</w:t>
      </w:r>
      <w:r>
        <w:rPr>
          <w:rFonts w:ascii="Times New Roman" w:hAnsi="Times New Roman" w:cs="Times New Roman"/>
          <w:szCs w:val="21"/>
          <w:lang w:val="en-US" w:eastAsia="zh-CN"/>
        </w:rPr>
        <w:t>86263</w:t>
      </w:r>
      <w:r>
        <w:rPr>
          <w:rFonts w:hint="eastAsia" w:cs="Times New Roman"/>
          <w:lang w:val="en-US" w:eastAsia="zh-CN"/>
        </w:rPr>
        <w:t>157</w:t>
      </w:r>
    </w:p>
    <w:p w14:paraId="43F71FC0">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7.2采购代理机构信息</w:t>
      </w:r>
      <w:bookmarkEnd w:id="23"/>
      <w:bookmarkEnd w:id="24"/>
    </w:p>
    <w:p w14:paraId="28B9A643">
      <w:pPr>
        <w:keepNext w:val="0"/>
        <w:keepLines w:val="0"/>
        <w:pageBreakBefore w:val="0"/>
        <w:widowControl w:val="0"/>
        <w:spacing w:line="336" w:lineRule="auto"/>
        <w:ind w:firstLine="420"/>
        <w:outlineLvl w:val="9"/>
        <w:rPr>
          <w:rFonts w:ascii="Times New Roman" w:hAnsi="Times New Roman" w:eastAsia="宋体" w:cs="Times New Roman"/>
          <w:szCs w:val="21"/>
        </w:rPr>
      </w:pPr>
      <w:bookmarkStart w:id="25" w:name="_Toc28359087"/>
      <w:bookmarkStart w:id="26" w:name="_Toc28359010"/>
      <w:r>
        <w:rPr>
          <w:rFonts w:ascii="Times New Roman" w:hAnsi="Times New Roman" w:eastAsia="宋体" w:cs="Times New Roman"/>
          <w:szCs w:val="21"/>
        </w:rPr>
        <w:t>名 称：江苏省设备成套股份有限公司</w:t>
      </w:r>
    </w:p>
    <w:p w14:paraId="03E4E604">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地　址：南京市鼓楼区清江南路18号鼓楼创新广场D栋10楼1002室</w:t>
      </w:r>
    </w:p>
    <w:p w14:paraId="52968D2E">
      <w:pPr>
        <w:keepNext w:val="0"/>
        <w:keepLines w:val="0"/>
        <w:pageBreakBefore w:val="0"/>
        <w:widowControl w:val="0"/>
        <w:spacing w:line="336" w:lineRule="auto"/>
        <w:ind w:firstLine="420"/>
        <w:outlineLvl w:val="9"/>
        <w:rPr>
          <w:rFonts w:hint="default" w:ascii="Times New Roman" w:hAnsi="Times New Roman" w:eastAsia="宋体" w:cs="Times New Roman"/>
          <w:szCs w:val="21"/>
          <w:lang w:val="en-US" w:eastAsia="zh-CN"/>
        </w:rPr>
      </w:pPr>
      <w:r>
        <w:rPr>
          <w:rFonts w:ascii="Times New Roman" w:hAnsi="Times New Roman" w:eastAsia="宋体" w:cs="Times New Roman"/>
          <w:szCs w:val="21"/>
        </w:rPr>
        <w:t>联系方式：路紫明 025-86633685</w:t>
      </w:r>
      <w:r>
        <w:rPr>
          <w:rFonts w:hint="eastAsia" w:cs="Times New Roman"/>
          <w:szCs w:val="21"/>
          <w:lang w:eastAsia="zh-CN"/>
        </w:rPr>
        <w:t>、</w:t>
      </w:r>
      <w:r>
        <w:rPr>
          <w:rFonts w:hint="eastAsia" w:cs="Times New Roman"/>
          <w:szCs w:val="21"/>
          <w:lang w:val="en-US" w:eastAsia="zh-CN"/>
        </w:rPr>
        <w:t>13701405790</w:t>
      </w:r>
    </w:p>
    <w:p w14:paraId="70198639">
      <w:pPr>
        <w:keepNext w:val="0"/>
        <w:keepLines w:val="0"/>
        <w:pageBreakBefore w:val="0"/>
        <w:widowControl w:val="0"/>
        <w:spacing w:line="336" w:lineRule="auto"/>
        <w:ind w:firstLine="420"/>
        <w:outlineLvl w:val="9"/>
        <w:rPr>
          <w:rFonts w:ascii="Times New Roman" w:hAnsi="Times New Roman" w:eastAsia="宋体" w:cs="Times New Roman"/>
          <w:szCs w:val="21"/>
        </w:rPr>
      </w:pPr>
      <w:r>
        <w:rPr>
          <w:rFonts w:ascii="Times New Roman" w:hAnsi="Times New Roman" w:eastAsia="宋体" w:cs="Times New Roman"/>
          <w:szCs w:val="21"/>
        </w:rPr>
        <w:t>7.3项目联系方式</w:t>
      </w:r>
      <w:bookmarkEnd w:id="25"/>
      <w:bookmarkEnd w:id="26"/>
    </w:p>
    <w:p w14:paraId="44910C47">
      <w:pPr>
        <w:keepNext w:val="0"/>
        <w:keepLines w:val="0"/>
        <w:pageBreakBefore w:val="0"/>
        <w:widowControl w:val="0"/>
        <w:spacing w:line="336" w:lineRule="auto"/>
        <w:ind w:firstLine="420"/>
        <w:outlineLvl w:val="9"/>
        <w:rPr>
          <w:rFonts w:hint="eastAsia" w:ascii="Times New Roman" w:hAnsi="Times New Roman" w:eastAsia="宋体" w:cs="Times New Roman"/>
          <w:szCs w:val="21"/>
          <w:lang w:eastAsia="zh-CN"/>
        </w:rPr>
      </w:pPr>
      <w:r>
        <w:rPr>
          <w:rFonts w:ascii="Times New Roman" w:hAnsi="Times New Roman" w:eastAsia="宋体" w:cs="Times New Roman"/>
          <w:szCs w:val="21"/>
        </w:rPr>
        <w:t>项目联系人：路紫明 025-86633685</w:t>
      </w:r>
      <w:r>
        <w:rPr>
          <w:rFonts w:hint="eastAsia" w:cs="Times New Roman"/>
          <w:szCs w:val="21"/>
          <w:lang w:eastAsia="zh-CN"/>
        </w:rPr>
        <w:t>、</w:t>
      </w:r>
      <w:r>
        <w:rPr>
          <w:rFonts w:hint="eastAsia" w:cs="Times New Roman"/>
          <w:szCs w:val="21"/>
          <w:lang w:val="en-US" w:eastAsia="zh-CN"/>
        </w:rPr>
        <w:t>13701405790</w:t>
      </w:r>
    </w:p>
    <w:p w14:paraId="6896A325">
      <w:pPr>
        <w:pStyle w:val="2"/>
        <w:keepNext w:val="0"/>
        <w:keepLines w:val="0"/>
        <w:pageBreakBefore w:val="0"/>
        <w:widowControl w:val="0"/>
        <w:spacing w:line="336" w:lineRule="auto"/>
        <w:ind w:firstLine="409" w:firstLineChars="195"/>
        <w:outlineLvl w:val="9"/>
        <w:rPr>
          <w:rFonts w:ascii="Times New Roman" w:hAnsi="Times New Roman" w:eastAsia="宋体" w:cs="Times New Roman"/>
          <w:szCs w:val="21"/>
        </w:rPr>
      </w:pPr>
      <w:r>
        <w:rPr>
          <w:rFonts w:ascii="Times New Roman" w:hAnsi="Times New Roman" w:eastAsia="宋体" w:cs="Times New Roman"/>
          <w:szCs w:val="21"/>
        </w:rPr>
        <w:t>邮箱地址：luzm@jcec.cn</w:t>
      </w:r>
    </w:p>
    <w:p w14:paraId="354DF76E">
      <w:pPr>
        <w:pStyle w:val="3"/>
        <w:numPr>
          <w:ilvl w:val="0"/>
          <w:numId w:val="0"/>
        </w:numPr>
        <w:rPr>
          <w:rFonts w:ascii="Times New Roman" w:hAnsi="Times New Roman" w:eastAsia="宋体" w:cs="Times New Roman"/>
        </w:rPr>
      </w:pPr>
      <w:r>
        <w:rPr>
          <w:rFonts w:ascii="Times New Roman" w:hAnsi="Times New Roman" w:eastAsia="宋体" w:cs="Times New Roman"/>
        </w:rPr>
        <w:br w:type="page" w:clear="all"/>
      </w:r>
      <w:bookmarkStart w:id="27" w:name="_Toc7511"/>
      <w:bookmarkStart w:id="28" w:name="_Toc176849585"/>
      <w:bookmarkStart w:id="29" w:name="_Toc5593"/>
      <w:r>
        <w:rPr>
          <w:rFonts w:ascii="Times New Roman" w:hAnsi="Times New Roman" w:eastAsia="宋体" w:cs="Times New Roman"/>
        </w:rPr>
        <w:t>第二章</w:t>
      </w:r>
      <w:bookmarkStart w:id="30" w:name="_Toc452625218"/>
      <w:r>
        <w:rPr>
          <w:rFonts w:ascii="Times New Roman" w:hAnsi="Times New Roman" w:eastAsia="宋体" w:cs="Times New Roman"/>
        </w:rPr>
        <w:t xml:space="preserve"> 投标人须知</w:t>
      </w:r>
      <w:bookmarkEnd w:id="27"/>
      <w:bookmarkEnd w:id="28"/>
      <w:bookmarkEnd w:id="29"/>
      <w:bookmarkEnd w:id="30"/>
    </w:p>
    <w:p w14:paraId="7AE1DC0F">
      <w:pPr>
        <w:widowControl/>
        <w:shd w:val="clear" w:color="auto" w:fill="FFFFFF"/>
        <w:spacing w:line="360" w:lineRule="auto"/>
        <w:ind w:firstLine="424"/>
        <w:rPr>
          <w:rFonts w:ascii="Times New Roman" w:hAnsi="Times New Roman" w:eastAsia="宋体" w:cs="Times New Roman"/>
          <w:szCs w:val="21"/>
        </w:rPr>
      </w:pPr>
      <w:bookmarkStart w:id="31" w:name="_Toc481057145"/>
      <w:bookmarkStart w:id="32" w:name="_Toc2754"/>
      <w:r>
        <w:rPr>
          <w:rFonts w:ascii="Times New Roman" w:hAnsi="Times New Roman" w:eastAsia="宋体" w:cs="Times New Roman"/>
          <w:b/>
          <w:bCs/>
          <w:szCs w:val="21"/>
        </w:rPr>
        <w:t>一、总则</w:t>
      </w:r>
    </w:p>
    <w:p w14:paraId="76D4FF4E">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1、适用法律</w:t>
      </w:r>
    </w:p>
    <w:p w14:paraId="4F4B9122">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6B4C97D">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2、定义</w:t>
      </w:r>
    </w:p>
    <w:p w14:paraId="2F06B300">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2.1“招标人（采购人）”是指依法进行政府采购的国家机关、事业单位、团体组织。</w:t>
      </w:r>
    </w:p>
    <w:p w14:paraId="68C9173D">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2.2“投标人（供应商）”是指参加投标竞争，并符合招标文件规定资格条件的法人、其他组织或者自然人。</w:t>
      </w:r>
    </w:p>
    <w:p w14:paraId="25DC19A6">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2.3“招标代理机构（采购代理机构）”是指集中采购机构和集中采购机构以外的采购代理机构，集中采购机构以外的招标（采购）代理机构，是从事招标（采购）代理业务的社会中介机构。</w:t>
      </w:r>
    </w:p>
    <w:p w14:paraId="6C7F039D">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2.4“货物和服务”指本招标文件中所述</w:t>
      </w:r>
      <w:r>
        <w:rPr>
          <w:rFonts w:ascii="Times New Roman" w:hAnsi="Times New Roman" w:eastAsia="宋体" w:cs="Times New Roman"/>
          <w:bCs/>
          <w:szCs w:val="21"/>
        </w:rPr>
        <w:t>产品</w:t>
      </w:r>
      <w:r>
        <w:rPr>
          <w:rFonts w:ascii="Times New Roman" w:hAnsi="Times New Roman" w:eastAsia="宋体" w:cs="Times New Roman"/>
          <w:szCs w:val="21"/>
        </w:rPr>
        <w:t>及相关服务。</w:t>
      </w:r>
    </w:p>
    <w:p w14:paraId="6E0E29B0">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2.5“用户或使用单位”是指使用货物，接受服务的单位。</w:t>
      </w:r>
    </w:p>
    <w:p w14:paraId="772B48ED">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3、政策功能</w:t>
      </w:r>
    </w:p>
    <w:p w14:paraId="2ECCF5ED">
      <w:pPr>
        <w:spacing w:line="360" w:lineRule="auto"/>
        <w:ind w:firstLine="420"/>
        <w:rPr>
          <w:rFonts w:ascii="Times New Roman" w:hAnsi="Times New Roman" w:eastAsia="宋体" w:cs="Times New Roman"/>
          <w:bCs/>
          <w:szCs w:val="21"/>
          <w:lang w:val="zh-CN"/>
        </w:rPr>
      </w:pPr>
      <w:r>
        <w:rPr>
          <w:rFonts w:ascii="Times New Roman" w:hAnsi="Times New Roman" w:eastAsia="宋体" w:cs="Times New Roman"/>
          <w:szCs w:val="21"/>
        </w:rPr>
        <w:t>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5A6CC6B1">
      <w:pPr>
        <w:spacing w:line="360" w:lineRule="auto"/>
        <w:ind w:firstLine="420"/>
        <w:rPr>
          <w:rFonts w:ascii="Times New Roman" w:hAnsi="Times New Roman" w:eastAsia="宋体" w:cs="Times New Roman"/>
          <w:bCs/>
          <w:szCs w:val="21"/>
          <w:lang w:val="zh-CN"/>
        </w:rPr>
      </w:pPr>
      <w:r>
        <w:rPr>
          <w:rFonts w:ascii="Times New Roman" w:hAnsi="Times New Roman" w:eastAsia="宋体" w:cs="Times New Roman"/>
          <w:bCs/>
          <w:szCs w:val="21"/>
          <w:lang w:val="zh-CN"/>
        </w:rPr>
        <w:t>3.</w:t>
      </w:r>
      <w:r>
        <w:rPr>
          <w:rFonts w:ascii="Times New Roman" w:hAnsi="Times New Roman" w:eastAsia="宋体" w:cs="Times New Roman"/>
          <w:bCs/>
          <w:szCs w:val="21"/>
        </w:rPr>
        <w:t>2</w:t>
      </w:r>
      <w:r>
        <w:rPr>
          <w:rFonts w:ascii="Times New Roman" w:hAnsi="Times New Roman" w:eastAsia="宋体" w:cs="Times New Roman"/>
          <w:bCs/>
          <w:szCs w:val="21"/>
          <w:lang w:val="zh-CN"/>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25E58C9D">
      <w:pPr>
        <w:spacing w:line="360" w:lineRule="auto"/>
        <w:ind w:firstLine="420"/>
        <w:rPr>
          <w:rFonts w:ascii="Times New Roman" w:hAnsi="Times New Roman" w:eastAsia="宋体" w:cs="Times New Roman"/>
          <w:bCs/>
          <w:szCs w:val="21"/>
          <w:lang w:val="zh-CN"/>
        </w:rPr>
      </w:pPr>
      <w:r>
        <w:rPr>
          <w:rFonts w:ascii="Times New Roman" w:hAnsi="Times New Roman" w:eastAsia="宋体" w:cs="Times New Roman"/>
          <w:bCs/>
          <w:szCs w:val="21"/>
          <w:lang w:val="zh-CN"/>
        </w:rPr>
        <w:t>3.</w:t>
      </w:r>
      <w:r>
        <w:rPr>
          <w:rFonts w:ascii="Times New Roman" w:hAnsi="Times New Roman" w:eastAsia="宋体" w:cs="Times New Roman"/>
          <w:bCs/>
          <w:szCs w:val="21"/>
        </w:rPr>
        <w:t>3</w:t>
      </w:r>
      <w:r>
        <w:rPr>
          <w:rFonts w:ascii="Times New Roman" w:hAnsi="Times New Roman" w:eastAsia="宋体" w:cs="Times New Roman"/>
          <w:bCs/>
          <w:szCs w:val="21"/>
          <w:lang w:val="zh-CN"/>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DD19FE3">
      <w:pPr>
        <w:spacing w:line="360" w:lineRule="auto"/>
        <w:ind w:firstLine="420"/>
        <w:rPr>
          <w:rFonts w:ascii="Times New Roman" w:hAnsi="Times New Roman" w:eastAsia="宋体" w:cs="Times New Roman"/>
          <w:bCs/>
          <w:szCs w:val="21"/>
          <w:lang w:val="zh-CN"/>
        </w:rPr>
      </w:pPr>
      <w:r>
        <w:rPr>
          <w:rFonts w:ascii="Times New Roman" w:hAnsi="Times New Roman" w:eastAsia="宋体" w:cs="Times New Roman"/>
          <w:bCs/>
          <w:szCs w:val="21"/>
          <w:lang w:val="zh-CN"/>
        </w:rPr>
        <w:t>3.</w:t>
      </w:r>
      <w:r>
        <w:rPr>
          <w:rFonts w:ascii="Times New Roman" w:hAnsi="Times New Roman" w:eastAsia="宋体" w:cs="Times New Roman"/>
          <w:bCs/>
          <w:szCs w:val="21"/>
        </w:rPr>
        <w:t>4</w:t>
      </w:r>
      <w:r>
        <w:rPr>
          <w:rFonts w:ascii="Times New Roman" w:hAnsi="Times New Roman" w:eastAsia="宋体" w:cs="Times New Roman"/>
          <w:bCs/>
          <w:szCs w:val="21"/>
          <w:lang w:val="zh-CN"/>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3D49DC23">
      <w:pPr>
        <w:spacing w:line="360" w:lineRule="auto"/>
        <w:ind w:firstLine="420"/>
        <w:rPr>
          <w:rFonts w:ascii="Times New Roman" w:hAnsi="Times New Roman" w:eastAsia="宋体" w:cs="Times New Roman"/>
          <w:bCs/>
          <w:szCs w:val="21"/>
          <w:lang w:val="zh-CN"/>
        </w:rPr>
      </w:pPr>
      <w:r>
        <w:rPr>
          <w:rFonts w:ascii="Times New Roman" w:hAnsi="Times New Roman" w:eastAsia="宋体" w:cs="Times New Roman"/>
          <w:bCs/>
          <w:szCs w:val="21"/>
          <w:lang w:val="zh-CN"/>
        </w:rPr>
        <w:t>3.</w:t>
      </w:r>
      <w:r>
        <w:rPr>
          <w:rFonts w:ascii="Times New Roman" w:hAnsi="Times New Roman" w:eastAsia="宋体" w:cs="Times New Roman"/>
          <w:bCs/>
          <w:szCs w:val="21"/>
        </w:rPr>
        <w:t>5</w:t>
      </w:r>
      <w:r>
        <w:rPr>
          <w:rFonts w:ascii="Times New Roman" w:hAnsi="Times New Roman" w:eastAsia="宋体" w:cs="Times New Roman"/>
          <w:bCs/>
          <w:szCs w:val="21"/>
          <w:lang w:val="zh-CN"/>
        </w:rPr>
        <w:t>强制采购信息安全产品。参加政府采购活动的信息安全产品投标人应当选择经国家认证的信息安全产品投标，并提供由国家信息安全认证中心按国家标准认证颁发的有效认证证书。</w:t>
      </w:r>
    </w:p>
    <w:p w14:paraId="06F340C8">
      <w:pPr>
        <w:spacing w:line="360" w:lineRule="auto"/>
        <w:ind w:firstLine="420"/>
        <w:rPr>
          <w:rFonts w:ascii="Times New Roman" w:hAnsi="Times New Roman" w:eastAsia="宋体" w:cs="Times New Roman"/>
          <w:bCs/>
          <w:szCs w:val="21"/>
          <w:lang w:val="zh-CN"/>
        </w:rPr>
      </w:pPr>
      <w:r>
        <w:rPr>
          <w:rFonts w:ascii="Times New Roman" w:hAnsi="Times New Roman" w:eastAsia="宋体" w:cs="Times New Roman"/>
          <w:bCs/>
          <w:szCs w:val="21"/>
          <w:lang w:val="zh-CN"/>
        </w:rPr>
        <w:t>3.</w:t>
      </w:r>
      <w:r>
        <w:rPr>
          <w:rFonts w:ascii="Times New Roman" w:hAnsi="Times New Roman" w:eastAsia="宋体" w:cs="Times New Roman"/>
          <w:bCs/>
          <w:szCs w:val="21"/>
        </w:rPr>
        <w:t>6</w:t>
      </w:r>
      <w:r>
        <w:rPr>
          <w:rFonts w:ascii="Times New Roman" w:hAnsi="Times New Roman" w:eastAsia="宋体" w:cs="Times New Roman"/>
          <w:bCs/>
          <w:szCs w:val="21"/>
          <w:lang w:val="zh-CN"/>
        </w:rPr>
        <w:t>进口产品政策</w:t>
      </w:r>
    </w:p>
    <w:p w14:paraId="46592DE4">
      <w:pPr>
        <w:spacing w:line="360" w:lineRule="auto"/>
        <w:ind w:firstLine="420"/>
        <w:rPr>
          <w:rFonts w:ascii="Times New Roman" w:hAnsi="Times New Roman" w:eastAsia="宋体" w:cs="Times New Roman"/>
          <w:bCs/>
          <w:szCs w:val="21"/>
          <w:lang w:val="zh-CN"/>
        </w:rPr>
      </w:pPr>
      <w:r>
        <w:rPr>
          <w:rFonts w:ascii="Times New Roman" w:hAnsi="Times New Roman" w:eastAsia="宋体" w:cs="Times New Roman"/>
          <w:bCs/>
          <w:szCs w:val="21"/>
          <w:lang w:val="zh-CN"/>
        </w:rPr>
        <w:t>（1）除招标公告载明接受进口产品参加外，不允许进口产品参加。进口产品认定依照《财政部关于政府采购进口产品管理有关问题的通知》（财办库〔2008〕248号）的规定。</w:t>
      </w:r>
    </w:p>
    <w:p w14:paraId="019C34B1">
      <w:pPr>
        <w:spacing w:line="360" w:lineRule="auto"/>
        <w:ind w:firstLine="420"/>
        <w:rPr>
          <w:rFonts w:ascii="Times New Roman" w:hAnsi="Times New Roman" w:eastAsia="宋体" w:cs="Times New Roman"/>
          <w:bCs/>
          <w:szCs w:val="21"/>
          <w:lang w:val="zh-CN"/>
        </w:rPr>
      </w:pPr>
      <w:r>
        <w:rPr>
          <w:rFonts w:ascii="Times New Roman" w:hAnsi="Times New Roman" w:eastAsia="宋体" w:cs="Times New Roman"/>
          <w:bCs/>
          <w:szCs w:val="21"/>
          <w:lang w:val="zh-CN"/>
        </w:rPr>
        <w:t>（2）允许进口产品参加的，满足需求的国内产品可以参加。</w:t>
      </w:r>
    </w:p>
    <w:p w14:paraId="19321504">
      <w:pPr>
        <w:spacing w:line="360" w:lineRule="auto"/>
        <w:ind w:firstLine="420"/>
        <w:rPr>
          <w:rFonts w:ascii="Times New Roman" w:hAnsi="Times New Roman" w:eastAsia="宋体" w:cs="Times New Roman"/>
          <w:bCs/>
          <w:szCs w:val="21"/>
          <w:lang w:val="zh-CN"/>
        </w:rPr>
      </w:pPr>
      <w:r>
        <w:rPr>
          <w:rFonts w:ascii="Times New Roman" w:hAnsi="Times New Roman" w:eastAsia="宋体" w:cs="Times New Roman"/>
          <w:bCs/>
          <w:szCs w:val="21"/>
          <w:lang w:val="zh-CN"/>
        </w:rPr>
        <w:t>（3）允许进口产品参加的，优先采购向我国企业转让技术、与我国企业签订消化吸收再创新方案的投标人的进口产品。</w:t>
      </w:r>
    </w:p>
    <w:p w14:paraId="62BF312C">
      <w:pPr>
        <w:spacing w:line="360" w:lineRule="auto"/>
        <w:ind w:firstLine="420"/>
        <w:rPr>
          <w:rFonts w:ascii="Times New Roman" w:hAnsi="Times New Roman" w:eastAsia="宋体" w:cs="Times New Roman"/>
        </w:rPr>
      </w:pPr>
      <w:r>
        <w:rPr>
          <w:rFonts w:ascii="Times New Roman" w:hAnsi="Times New Roman" w:eastAsia="宋体" w:cs="Times New Roman"/>
          <w:bCs/>
          <w:szCs w:val="21"/>
          <w:lang w:val="zh-CN"/>
        </w:rPr>
        <w:t>3.</w:t>
      </w:r>
      <w:r>
        <w:rPr>
          <w:rFonts w:ascii="Times New Roman" w:hAnsi="Times New Roman" w:eastAsia="宋体" w:cs="Times New Roman"/>
          <w:bCs/>
          <w:szCs w:val="21"/>
        </w:rPr>
        <w:t>7</w:t>
      </w:r>
      <w:r>
        <w:rPr>
          <w:rFonts w:ascii="Times New Roman" w:hAnsi="Times New Roman" w:eastAsia="宋体" w:cs="Times New Roman"/>
          <w:bCs/>
          <w:szCs w:val="21"/>
          <w:lang w:val="zh-CN"/>
        </w:rPr>
        <w:t>未按要求提供相关材料的，不享受相关政策。</w:t>
      </w:r>
    </w:p>
    <w:p w14:paraId="4FDFC462">
      <w:pPr>
        <w:widowControl/>
        <w:shd w:val="clear" w:color="auto" w:fill="FFFFFF"/>
        <w:spacing w:line="360" w:lineRule="auto"/>
        <w:ind w:firstLine="412"/>
        <w:rPr>
          <w:rFonts w:ascii="Times New Roman" w:hAnsi="Times New Roman" w:eastAsia="宋体" w:cs="Times New Roman"/>
          <w:szCs w:val="21"/>
        </w:rPr>
      </w:pPr>
      <w:r>
        <w:rPr>
          <w:rFonts w:ascii="Times New Roman" w:hAnsi="Times New Roman" w:eastAsia="宋体" w:cs="Times New Roman"/>
          <w:b/>
          <w:bCs/>
          <w:szCs w:val="21"/>
        </w:rPr>
        <w:t>二、招标文件构成</w:t>
      </w:r>
    </w:p>
    <w:p w14:paraId="24889F8E">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4、招标文件组成</w:t>
      </w:r>
    </w:p>
    <w:p w14:paraId="09D94D94">
      <w:pPr>
        <w:widowControl/>
        <w:shd w:val="clear" w:color="auto" w:fill="FFFFFF"/>
        <w:spacing w:line="360" w:lineRule="auto"/>
        <w:ind w:firstLine="420"/>
        <w:rPr>
          <w:rFonts w:ascii="Times New Roman" w:hAnsi="Times New Roman" w:cs="Times New Roman"/>
          <w:szCs w:val="21"/>
        </w:rPr>
      </w:pPr>
      <w:r>
        <w:rPr>
          <w:rFonts w:ascii="Times New Roman" w:hAnsi="Times New Roman" w:eastAsia="宋体" w:cs="Times New Roman"/>
          <w:szCs w:val="21"/>
        </w:rPr>
        <w:t>4.1</w:t>
      </w:r>
      <w:r>
        <w:rPr>
          <w:rFonts w:ascii="Times New Roman" w:hAnsi="Times New Roman" w:cs="Times New Roman"/>
          <w:szCs w:val="21"/>
        </w:rPr>
        <w:t>（1）招标公告；</w:t>
      </w:r>
    </w:p>
    <w:p w14:paraId="02797CD1">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（2）投标人须知；</w:t>
      </w:r>
    </w:p>
    <w:p w14:paraId="36709335">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（3）评标标准；</w:t>
      </w:r>
    </w:p>
    <w:p w14:paraId="6665B56F">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（4）采购需求；</w:t>
      </w:r>
    </w:p>
    <w:p w14:paraId="663D1E16">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（5）合同主要条款及格式；</w:t>
      </w:r>
    </w:p>
    <w:p w14:paraId="3BBBF317">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（6）投标文件格式及附件。</w:t>
      </w:r>
    </w:p>
    <w:p w14:paraId="1DDF9C44">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如标书制作工具中格式和内容与“江苏政府采购网/中国政府采购网”发布的招标文件不一致的，以上述网站发布的招标文件为准。</w:t>
      </w:r>
    </w:p>
    <w:p w14:paraId="0705048D">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4.2 招标的最小单位是标段。招标货物数量及技术要求中未分标段的，投标人对要求提供的货物和服务不得部分投标；招标货物数量及技术要求中已经分标段的，可以以标段为单位投标。</w:t>
      </w:r>
    </w:p>
    <w:p w14:paraId="557993FF">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4.3 招标代理机构如果要求投标人按照招标文件规定提交备选投标方案的，投标人可以提交备选方案；否则，备选方案将被拒绝。</w:t>
      </w:r>
    </w:p>
    <w:p w14:paraId="1B9E98B3">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4.4招标文件中要求的产品品牌或型号，是招标人根据项目所要实现的功能推荐的品牌或型号，仅供投标人参考，并不是限制条件。</w:t>
      </w:r>
    </w:p>
    <w:p w14:paraId="675687E5">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5、招标文件的澄清或者修改</w:t>
      </w:r>
    </w:p>
    <w:p w14:paraId="7DD27E09">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5.1招标人或者招标代理机构可以对已发出的招标文件进行必要的澄清或者修改，但不得改变采购标的和资格条件。澄清或者修改应当在原公告发布媒体上发布澄清公告。澄清或者修改的内容为招标文件的组成部分。</w:t>
      </w:r>
    </w:p>
    <w:p w14:paraId="6AFE21FD">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p>
    <w:p w14:paraId="6380777B">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三、投标文件的编制</w:t>
      </w:r>
    </w:p>
    <w:p w14:paraId="7392FBE6">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6、投标文件的语言、计量单位、货币和编制</w:t>
      </w:r>
    </w:p>
    <w:p w14:paraId="6B5C2898">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p>
    <w:p w14:paraId="01F2F89E">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6.2投标人所使用的计量单位应为国家法定计量单位。</w:t>
      </w:r>
    </w:p>
    <w:p w14:paraId="2D1F36D4">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6.3投标人应用人民币报价。投标产品如果是进口产品的，应提供人民币与</w:t>
      </w:r>
      <w:r>
        <w:rPr>
          <w:rFonts w:ascii="Times New Roman" w:hAnsi="Times New Roman" w:eastAsia="宋体" w:cs="Times New Roman"/>
          <w:b/>
          <w:bCs/>
          <w:szCs w:val="21"/>
        </w:rPr>
        <w:t>外币之间的汇率；报价单位为“元”。</w:t>
      </w:r>
    </w:p>
    <w:p w14:paraId="78ADB786">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6.4</w:t>
      </w:r>
      <w:r>
        <w:rPr>
          <w:rFonts w:ascii="Times New Roman" w:hAnsi="Times New Roman" w:cs="Times New Roman"/>
          <w:szCs w:val="21"/>
        </w:rPr>
        <w:t>投标文件应按照招标文件的规定编写并制作目录。</w:t>
      </w:r>
    </w:p>
    <w:p w14:paraId="58276AC8">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6.5投标人应在投标文件中写清相应的项目编号、项目名称、投标人全称、地址、电话、传真等。</w:t>
      </w:r>
    </w:p>
    <w:p w14:paraId="048EA934">
      <w:pPr>
        <w:widowControl/>
        <w:shd w:val="clear" w:color="auto" w:fill="FFFFFF"/>
        <w:spacing w:line="360" w:lineRule="auto"/>
        <w:ind w:firstLine="412"/>
        <w:rPr>
          <w:rFonts w:ascii="Times New Roman" w:hAnsi="Times New Roman" w:eastAsia="宋体" w:cs="Times New Roman"/>
          <w:szCs w:val="21"/>
        </w:rPr>
      </w:pPr>
      <w:r>
        <w:rPr>
          <w:rFonts w:ascii="Times New Roman" w:hAnsi="Times New Roman" w:eastAsia="宋体" w:cs="Times New Roman"/>
          <w:bCs/>
          <w:szCs w:val="21"/>
        </w:rPr>
        <w:t>6.6</w:t>
      </w:r>
      <w:r>
        <w:rPr>
          <w:rFonts w:ascii="Times New Roman" w:hAnsi="Times New Roman" w:eastAsia="宋体" w:cs="Times New Roman"/>
          <w:szCs w:val="21"/>
        </w:rPr>
        <w:t>投标人根据招标文件载明的标的采购项目实际情况，拟在中标后将中标项目的非主体、非关键性工作交由他人完成的，应当在投标文件中载明。</w:t>
      </w:r>
    </w:p>
    <w:p w14:paraId="550BF9FC">
      <w:pPr>
        <w:widowControl/>
        <w:shd w:val="clear" w:color="auto" w:fill="FFFFFF"/>
        <w:spacing w:line="360" w:lineRule="auto"/>
        <w:ind w:firstLine="420"/>
        <w:rPr>
          <w:rFonts w:ascii="Times New Roman" w:hAnsi="Times New Roman" w:eastAsia="宋体" w:cs="Times New Roman"/>
          <w:b/>
          <w:bCs/>
          <w:szCs w:val="21"/>
        </w:rPr>
      </w:pPr>
      <w:r>
        <w:rPr>
          <w:rFonts w:ascii="Times New Roman" w:hAnsi="Times New Roman" w:eastAsia="宋体" w:cs="Times New Roman"/>
          <w:b/>
          <w:bCs/>
          <w:szCs w:val="21"/>
        </w:rPr>
        <w:t>7、联合体投标</w:t>
      </w:r>
    </w:p>
    <w:p w14:paraId="5B35C715">
      <w:pPr>
        <w:widowControl/>
        <w:shd w:val="clear" w:color="auto" w:fill="FFFFFF"/>
        <w:spacing w:line="360" w:lineRule="auto"/>
        <w:ind w:firstLine="420"/>
        <w:rPr>
          <w:rFonts w:ascii="Times New Roman" w:hAnsi="Times New Roman" w:eastAsia="宋体" w:cs="Times New Roman"/>
          <w:bCs/>
          <w:szCs w:val="21"/>
        </w:rPr>
      </w:pPr>
      <w:r>
        <w:rPr>
          <w:rFonts w:ascii="Times New Roman" w:hAnsi="Times New Roman" w:eastAsia="宋体" w:cs="Times New Roman"/>
          <w:bCs/>
          <w:szCs w:val="21"/>
        </w:rPr>
        <w:t>7.1 两个以上的自然人、法人或者其他组织可以组成一个联合体，以一个投标人的身份共同参加政府采购。</w:t>
      </w:r>
    </w:p>
    <w:p w14:paraId="13DE99E1">
      <w:pPr>
        <w:widowControl/>
        <w:shd w:val="clear" w:color="auto" w:fill="FFFFFF"/>
        <w:spacing w:line="360" w:lineRule="auto"/>
        <w:ind w:firstLine="420"/>
        <w:rPr>
          <w:rFonts w:ascii="Times New Roman" w:hAnsi="Times New Roman" w:eastAsia="宋体" w:cs="Times New Roman"/>
          <w:bCs/>
          <w:szCs w:val="21"/>
        </w:rPr>
      </w:pPr>
      <w:r>
        <w:rPr>
          <w:rFonts w:ascii="Times New Roman" w:hAnsi="Times New Roman" w:eastAsia="宋体" w:cs="Times New Roman"/>
          <w:bCs/>
          <w:szCs w:val="21"/>
        </w:rPr>
        <w:t>7.2 联合体中有同类资质的投标人按照联合体分工承担相同工作的，按照资质等级较低的投标人确定资质等级。</w:t>
      </w:r>
    </w:p>
    <w:p w14:paraId="2C226AE1">
      <w:pPr>
        <w:widowControl/>
        <w:shd w:val="clear" w:color="auto" w:fill="FFFFFF"/>
        <w:spacing w:line="360" w:lineRule="auto"/>
        <w:ind w:firstLine="420"/>
        <w:rPr>
          <w:rFonts w:ascii="Times New Roman" w:hAnsi="Times New Roman" w:eastAsia="宋体" w:cs="Times New Roman"/>
          <w:bCs/>
          <w:szCs w:val="21"/>
        </w:rPr>
      </w:pPr>
      <w:r>
        <w:rPr>
          <w:rFonts w:ascii="Times New Roman" w:hAnsi="Times New Roman" w:eastAsia="宋体" w:cs="Times New Roman"/>
          <w:bCs/>
          <w:szCs w:val="21"/>
        </w:rPr>
        <w:t>7.3 联合体各方之间应当签订联合体协议，明确约定联合体各方承担的工作和相应的责任，并将联合体协议连同投标文件一同提交。</w:t>
      </w:r>
    </w:p>
    <w:p w14:paraId="0A9A054D">
      <w:pPr>
        <w:widowControl/>
        <w:shd w:val="clear" w:color="auto" w:fill="FFFFFF"/>
        <w:spacing w:line="360" w:lineRule="auto"/>
        <w:ind w:firstLine="412"/>
        <w:rPr>
          <w:rFonts w:ascii="Times New Roman" w:hAnsi="Times New Roman" w:eastAsia="宋体" w:cs="Times New Roman"/>
          <w:szCs w:val="21"/>
        </w:rPr>
      </w:pPr>
      <w:r>
        <w:rPr>
          <w:rFonts w:ascii="Times New Roman" w:hAnsi="Times New Roman" w:eastAsia="宋体" w:cs="Times New Roman"/>
          <w:bCs/>
          <w:szCs w:val="21"/>
        </w:rPr>
        <w:t>7.4 以联合体形式参加政府采购活动的，联合体各方不得再单独参加或者与其他投标人另外组成联合体参加同一合同项下的政府采购活动。</w:t>
      </w:r>
    </w:p>
    <w:p w14:paraId="64196202">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8、投标文件的组成</w:t>
      </w:r>
    </w:p>
    <w:p w14:paraId="7A59884B">
      <w:pPr>
        <w:widowControl/>
        <w:shd w:val="clear" w:color="auto" w:fill="FFFFFF"/>
        <w:spacing w:line="360" w:lineRule="auto"/>
        <w:ind w:firstLine="420"/>
        <w:jc w:val="left"/>
        <w:rPr>
          <w:rFonts w:ascii="Times New Roman" w:hAnsi="Times New Roman" w:eastAsia="宋体" w:cs="Times New Roman"/>
          <w:b/>
          <w:szCs w:val="21"/>
        </w:rPr>
      </w:pPr>
      <w:r>
        <w:rPr>
          <w:rFonts w:ascii="Times New Roman" w:hAnsi="Times New Roman" w:eastAsia="宋体" w:cs="Times New Roman"/>
          <w:szCs w:val="21"/>
        </w:rPr>
        <w:t>8.1投标人应当根据招标文件要求编制投标文件，投标文件应对招标文件提出的要求和条件作出实质性响应，并在《商务条款偏离表》和《</w:t>
      </w:r>
      <w:r>
        <w:rPr>
          <w:rFonts w:hint="eastAsia" w:cs="Times New Roman"/>
          <w:szCs w:val="21"/>
          <w:lang w:eastAsia="zh-CN"/>
        </w:rPr>
        <w:t>采购需求偏离表</w:t>
      </w:r>
      <w:r>
        <w:rPr>
          <w:rFonts w:ascii="Times New Roman" w:hAnsi="Times New Roman" w:eastAsia="宋体" w:cs="Times New Roman"/>
          <w:szCs w:val="21"/>
        </w:rPr>
        <w:t>》等处逐条标明满足与否。</w:t>
      </w:r>
      <w:r>
        <w:rPr>
          <w:rFonts w:ascii="Times New Roman" w:hAnsi="Times New Roman" w:eastAsia="宋体" w:cs="Times New Roman"/>
          <w:b/>
          <w:szCs w:val="21"/>
        </w:rPr>
        <w:t>对带</w:t>
      </w:r>
      <w:r>
        <w:rPr>
          <w:rFonts w:ascii="Times New Roman" w:hAnsi="Times New Roman" w:eastAsia="宋体" w:cs="Times New Roman"/>
          <w:b/>
          <w:bCs/>
          <w:szCs w:val="21"/>
        </w:rPr>
        <w:t>星号（“</w:t>
      </w:r>
      <w:r>
        <w:rPr>
          <w:rFonts w:hint="eastAsia" w:cs="Times New Roman"/>
          <w:b/>
          <w:bCs/>
          <w:lang w:eastAsia="zh-CN"/>
        </w:rPr>
        <w:t>★</w:t>
      </w:r>
      <w:r>
        <w:rPr>
          <w:rFonts w:ascii="Times New Roman" w:hAnsi="Times New Roman" w:eastAsia="宋体" w:cs="Times New Roman"/>
          <w:b/>
          <w:bCs/>
          <w:szCs w:val="21"/>
        </w:rPr>
        <w:t>”）的技术条款必须在投标文件中提供技术支持资料（如白皮书、彩页、手册、检测报告等），未提供技术支持资料的，视为未对招标文件实质性要求作出响应，评审时不予认可。</w:t>
      </w:r>
    </w:p>
    <w:p w14:paraId="7B8CBC96">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8.2 投标文件由商务部分、技术部分、价格部分以及其他部分组成。</w:t>
      </w:r>
    </w:p>
    <w:p w14:paraId="2E535331">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9、投标文件的商务部分</w:t>
      </w:r>
    </w:p>
    <w:p w14:paraId="1BD0AA14">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9.1商务部分是证明投标人有资格参加投标和中标后有能力履行合同的文件，这些文件应能满足招标的要求，包括但不限于下列文件（</w:t>
      </w:r>
      <w:r>
        <w:rPr>
          <w:rFonts w:ascii="Times New Roman" w:hAnsi="Times New Roman" w:eastAsia="宋体" w:cs="Times New Roman"/>
          <w:b/>
          <w:szCs w:val="21"/>
        </w:rPr>
        <w:t>（1）-（</w:t>
      </w:r>
      <w:r>
        <w:rPr>
          <w:rFonts w:ascii="Times New Roman" w:hAnsi="Times New Roman" w:cs="Times New Roman"/>
          <w:b/>
          <w:szCs w:val="21"/>
          <w:lang w:val="en-US" w:eastAsia="zh-CN"/>
        </w:rPr>
        <w:t>4</w:t>
      </w:r>
      <w:r>
        <w:rPr>
          <w:rFonts w:ascii="Times New Roman" w:hAnsi="Times New Roman" w:eastAsia="宋体" w:cs="Times New Roman"/>
          <w:b/>
          <w:szCs w:val="21"/>
        </w:rPr>
        <w:t>）所述材料不得有缺失或提供不全或不满足招标文件的实质性要求</w:t>
      </w:r>
      <w:r>
        <w:rPr>
          <w:rFonts w:ascii="Times New Roman" w:hAnsi="Times New Roman" w:eastAsia="宋体" w:cs="Times New Roman"/>
          <w:szCs w:val="21"/>
        </w:rPr>
        <w:t>）：</w:t>
      </w:r>
    </w:p>
    <w:p w14:paraId="3F489655">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（1）投标函（投标申请及声明）</w:t>
      </w:r>
      <w:r>
        <w:rPr>
          <w:rFonts w:ascii="Times New Roman" w:hAnsi="Times New Roman" w:eastAsia="宋体" w:cs="Times New Roman"/>
          <w:bCs/>
          <w:szCs w:val="21"/>
        </w:rPr>
        <w:t>（</w:t>
      </w:r>
      <w:r>
        <w:rPr>
          <w:rFonts w:ascii="Times New Roman" w:hAnsi="Times New Roman" w:eastAsia="宋体" w:cs="Times New Roman"/>
          <w:b/>
          <w:bCs/>
          <w:szCs w:val="21"/>
        </w:rPr>
        <w:t>格式见附件</w:t>
      </w:r>
      <w:r>
        <w:rPr>
          <w:rFonts w:ascii="Times New Roman" w:hAnsi="Times New Roman" w:eastAsia="宋体" w:cs="Times New Roman"/>
          <w:bCs/>
          <w:szCs w:val="21"/>
        </w:rPr>
        <w:t>）</w:t>
      </w:r>
      <w:r>
        <w:rPr>
          <w:rFonts w:ascii="Times New Roman" w:hAnsi="Times New Roman" w:eastAsia="宋体" w:cs="Times New Roman"/>
          <w:szCs w:val="21"/>
        </w:rPr>
        <w:t>；</w:t>
      </w:r>
    </w:p>
    <w:p w14:paraId="136EFB6D">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（2）法定代表人授权委托书及委托代理人的身份证明文件的复印件</w:t>
      </w:r>
      <w:r>
        <w:rPr>
          <w:rFonts w:ascii="Times New Roman" w:hAnsi="Times New Roman" w:eastAsia="宋体" w:cs="Times New Roman"/>
          <w:bCs/>
          <w:szCs w:val="21"/>
        </w:rPr>
        <w:t>（</w:t>
      </w:r>
      <w:r>
        <w:rPr>
          <w:rFonts w:ascii="Times New Roman" w:hAnsi="Times New Roman" w:eastAsia="宋体" w:cs="Times New Roman"/>
          <w:b/>
          <w:bCs/>
          <w:szCs w:val="21"/>
        </w:rPr>
        <w:t>格式见附件</w:t>
      </w:r>
      <w:r>
        <w:rPr>
          <w:rFonts w:ascii="Times New Roman" w:hAnsi="Times New Roman" w:eastAsia="宋体" w:cs="Times New Roman"/>
          <w:bCs/>
          <w:szCs w:val="21"/>
        </w:rPr>
        <w:t>）</w:t>
      </w:r>
      <w:r>
        <w:rPr>
          <w:rFonts w:ascii="Times New Roman" w:hAnsi="Times New Roman" w:eastAsia="宋体" w:cs="Times New Roman"/>
          <w:szCs w:val="21"/>
        </w:rPr>
        <w:t>；</w:t>
      </w:r>
    </w:p>
    <w:p w14:paraId="325C7FCB">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（3）投标人资格资信证明文件：</w:t>
      </w:r>
    </w:p>
    <w:p w14:paraId="099055E0">
      <w:pPr>
        <w:spacing w:line="360" w:lineRule="auto"/>
        <w:ind w:firstLine="638"/>
        <w:rPr>
          <w:rFonts w:ascii="Times New Roman" w:hAnsi="Times New Roman" w:eastAsia="宋体" w:cs="Times New Roman"/>
        </w:rPr>
      </w:pPr>
      <w:r>
        <w:rPr>
          <w:rFonts w:ascii="Times New Roman" w:hAnsi="Times New Roman" w:eastAsia="宋体" w:cs="Times New Roman"/>
        </w:rPr>
        <w:t>第一章招标公告中 2.1《中华人民共和国政府采购法》规定的资格条件证明文件；</w:t>
      </w:r>
    </w:p>
    <w:p w14:paraId="68881857">
      <w:pPr>
        <w:spacing w:line="360" w:lineRule="auto"/>
        <w:ind w:firstLine="638"/>
        <w:rPr>
          <w:rFonts w:ascii="Times New Roman" w:hAnsi="Times New Roman" w:eastAsia="宋体" w:cs="Times New Roman"/>
        </w:rPr>
      </w:pPr>
      <w:r>
        <w:rPr>
          <w:rFonts w:ascii="Times New Roman" w:hAnsi="Times New Roman" w:eastAsia="宋体" w:cs="Times New Roman"/>
        </w:rPr>
        <w:t>第一章招标公告中 2.2落实政府采购政策需满足的资格要求；</w:t>
      </w:r>
    </w:p>
    <w:p w14:paraId="54C6281B">
      <w:pPr>
        <w:spacing w:line="360" w:lineRule="auto"/>
        <w:ind w:firstLine="638"/>
        <w:rPr>
          <w:rFonts w:ascii="Times New Roman" w:hAnsi="Times New Roman" w:eastAsia="宋体" w:cs="Times New Roman"/>
        </w:rPr>
      </w:pPr>
      <w:r>
        <w:rPr>
          <w:rFonts w:ascii="Times New Roman" w:hAnsi="Times New Roman" w:eastAsia="宋体" w:cs="Times New Roman"/>
        </w:rPr>
        <w:t>第一章招标公告中 2.3 采购人根据采购项目的特殊要求规定的特定条件证明文件。</w:t>
      </w:r>
    </w:p>
    <w:p w14:paraId="1A370768">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（4）开标一览表及附表</w:t>
      </w:r>
      <w:r>
        <w:rPr>
          <w:rFonts w:ascii="Times New Roman" w:hAnsi="Times New Roman" w:cs="Times New Roman"/>
          <w:szCs w:val="21"/>
          <w:lang w:val="en-US" w:eastAsia="zh-CN"/>
        </w:rPr>
        <w:t>及附表</w:t>
      </w:r>
      <w:r>
        <w:rPr>
          <w:rFonts w:ascii="Times New Roman" w:hAnsi="Times New Roman" w:eastAsia="宋体" w:cs="Times New Roman"/>
          <w:bCs/>
          <w:szCs w:val="21"/>
        </w:rPr>
        <w:t>（</w:t>
      </w:r>
      <w:r>
        <w:rPr>
          <w:rFonts w:ascii="Times New Roman" w:hAnsi="Times New Roman" w:eastAsia="宋体" w:cs="Times New Roman"/>
          <w:b/>
          <w:bCs/>
          <w:szCs w:val="21"/>
        </w:rPr>
        <w:t>格式见附件</w:t>
      </w:r>
      <w:r>
        <w:rPr>
          <w:rFonts w:ascii="Times New Roman" w:hAnsi="Times New Roman" w:eastAsia="宋体" w:cs="Times New Roman"/>
          <w:bCs/>
          <w:szCs w:val="21"/>
        </w:rPr>
        <w:t>）；</w:t>
      </w:r>
    </w:p>
    <w:p w14:paraId="327CBA83">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w:t>
      </w:r>
      <w:r>
        <w:rPr>
          <w:rFonts w:ascii="Times New Roman" w:hAnsi="Times New Roman" w:cs="Times New Roman"/>
          <w:szCs w:val="21"/>
          <w:lang w:val="en-US" w:eastAsia="zh-CN"/>
        </w:rPr>
        <w:t>5</w:t>
      </w:r>
      <w:r>
        <w:rPr>
          <w:rFonts w:ascii="Times New Roman" w:hAnsi="Times New Roman" w:eastAsia="宋体" w:cs="Times New Roman"/>
          <w:szCs w:val="21"/>
        </w:rPr>
        <w:t>）《商务条款偏离表》；</w:t>
      </w:r>
    </w:p>
    <w:p w14:paraId="0C1BD30E">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w:t>
      </w:r>
      <w:r>
        <w:rPr>
          <w:rFonts w:ascii="Times New Roman" w:hAnsi="Times New Roman" w:cs="Times New Roman"/>
          <w:szCs w:val="21"/>
          <w:lang w:val="en-US" w:eastAsia="zh-CN"/>
        </w:rPr>
        <w:t>6</w:t>
      </w:r>
      <w:r>
        <w:rPr>
          <w:rFonts w:ascii="Times New Roman" w:hAnsi="Times New Roman" w:eastAsia="宋体" w:cs="Times New Roman"/>
          <w:szCs w:val="21"/>
        </w:rPr>
        <w:t>）第三章评标标准中对应的</w:t>
      </w:r>
      <w:r>
        <w:rPr>
          <w:rFonts w:ascii="Times New Roman" w:hAnsi="Times New Roman" w:cs="Times New Roman"/>
          <w:szCs w:val="21"/>
          <w:lang w:eastAsia="zh-CN"/>
        </w:rPr>
        <w:t>其他</w:t>
      </w:r>
      <w:r>
        <w:rPr>
          <w:rFonts w:ascii="Times New Roman" w:hAnsi="Times New Roman" w:eastAsia="宋体" w:cs="Times New Roman"/>
          <w:szCs w:val="21"/>
        </w:rPr>
        <w:t>所需证明材料（如有自行添加）；</w:t>
      </w:r>
    </w:p>
    <w:p w14:paraId="4B2E4919">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w:t>
      </w:r>
      <w:r>
        <w:rPr>
          <w:rFonts w:ascii="Times New Roman" w:hAnsi="Times New Roman" w:cs="Times New Roman"/>
          <w:szCs w:val="21"/>
          <w:lang w:val="en-US" w:eastAsia="zh-CN"/>
        </w:rPr>
        <w:t>7</w:t>
      </w:r>
      <w:r>
        <w:rPr>
          <w:rFonts w:ascii="Times New Roman" w:hAnsi="Times New Roman" w:eastAsia="宋体" w:cs="Times New Roman"/>
          <w:szCs w:val="21"/>
        </w:rPr>
        <w:t>）要求采购人提供的配合（如有自拟并自行添加）；</w:t>
      </w:r>
    </w:p>
    <w:p w14:paraId="4C7DC9AB">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w:t>
      </w:r>
      <w:r>
        <w:rPr>
          <w:rFonts w:ascii="Times New Roman" w:hAnsi="Times New Roman" w:cs="Times New Roman"/>
          <w:szCs w:val="21"/>
          <w:lang w:val="en-US" w:eastAsia="zh-CN"/>
        </w:rPr>
        <w:t>8</w:t>
      </w:r>
      <w:r>
        <w:rPr>
          <w:rFonts w:ascii="Times New Roman" w:hAnsi="Times New Roman" w:eastAsia="宋体" w:cs="Times New Roman"/>
          <w:szCs w:val="21"/>
        </w:rPr>
        <w:t>）</w:t>
      </w:r>
      <w:r>
        <w:rPr>
          <w:rFonts w:ascii="Times New Roman" w:hAnsi="Times New Roman" w:cs="Times New Roman"/>
          <w:szCs w:val="21"/>
          <w:lang w:eastAsia="zh-CN"/>
        </w:rPr>
        <w:t>其他</w:t>
      </w:r>
      <w:r>
        <w:rPr>
          <w:rFonts w:ascii="Times New Roman" w:hAnsi="Times New Roman" w:eastAsia="宋体" w:cs="Times New Roman"/>
          <w:szCs w:val="21"/>
        </w:rPr>
        <w:t>（投标人认为有必要提供的声明和文件，如有，自行拟定并添加）。</w:t>
      </w:r>
    </w:p>
    <w:p w14:paraId="600FD5A8">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b/>
          <w:bCs/>
          <w:szCs w:val="21"/>
        </w:rPr>
        <w:t>10、投标文件的技术部分</w:t>
      </w:r>
    </w:p>
    <w:p w14:paraId="10F116E5">
      <w:pPr>
        <w:widowControl/>
        <w:spacing w:line="360" w:lineRule="auto"/>
        <w:ind w:firstLine="420"/>
        <w:jc w:val="left"/>
        <w:rPr>
          <w:rFonts w:ascii="Times New Roman" w:hAnsi="Times New Roman" w:eastAsia="宋体" w:cs="Times New Roman"/>
          <w:szCs w:val="21"/>
          <w:lang w:val="zh-CN"/>
        </w:rPr>
      </w:pPr>
      <w:r>
        <w:rPr>
          <w:rFonts w:ascii="Times New Roman" w:hAnsi="Times New Roman" w:eastAsia="宋体" w:cs="Times New Roman"/>
          <w:szCs w:val="21"/>
          <w:lang w:val="zh-CN"/>
        </w:rPr>
        <w:t>技术部分是证明</w:t>
      </w:r>
      <w:r>
        <w:rPr>
          <w:rFonts w:ascii="Times New Roman" w:hAnsi="Times New Roman" w:eastAsia="宋体" w:cs="Times New Roman"/>
          <w:szCs w:val="21"/>
        </w:rPr>
        <w:t>投标人提供的货物和服务是合格的、并符合招标文件要求的证明文件，以及</w:t>
      </w:r>
      <w:r>
        <w:rPr>
          <w:rFonts w:ascii="Times New Roman" w:hAnsi="Times New Roman" w:eastAsia="宋体" w:cs="Times New Roman"/>
          <w:szCs w:val="21"/>
          <w:lang w:val="zh-CN"/>
        </w:rPr>
        <w:t>对货物和服务的详细说明，这些文件可以是文字资料、图纸、数据或其他证明文件等。提供的货物和服务如与招标文件要求有不符之处，应说明其差别之所在。包括但不限于下列文件：</w:t>
      </w:r>
    </w:p>
    <w:p w14:paraId="536381DC">
      <w:pPr>
        <w:widowControl/>
        <w:spacing w:line="360" w:lineRule="auto"/>
        <w:ind w:firstLine="420"/>
        <w:jc w:val="left"/>
        <w:rPr>
          <w:rFonts w:ascii="Times New Roman" w:hAnsi="Times New Roman" w:eastAsia="宋体" w:cs="Times New Roman"/>
          <w:szCs w:val="21"/>
          <w:lang w:val="zh-CN"/>
        </w:rPr>
      </w:pPr>
      <w:r>
        <w:rPr>
          <w:rFonts w:ascii="Times New Roman" w:hAnsi="Times New Roman" w:eastAsia="宋体" w:cs="Times New Roman"/>
          <w:szCs w:val="21"/>
          <w:lang w:val="zh-CN"/>
        </w:rPr>
        <w:t>（1）技术说明或服务方案；</w:t>
      </w:r>
    </w:p>
    <w:p w14:paraId="3AEB62BE">
      <w:pPr>
        <w:widowControl/>
        <w:spacing w:line="360" w:lineRule="auto"/>
        <w:ind w:firstLine="420"/>
        <w:jc w:val="left"/>
        <w:rPr>
          <w:rFonts w:ascii="Times New Roman" w:hAnsi="Times New Roman" w:eastAsia="宋体" w:cs="Times New Roman"/>
          <w:szCs w:val="21"/>
          <w:lang w:val="zh-CN"/>
        </w:rPr>
      </w:pPr>
      <w:r>
        <w:rPr>
          <w:rFonts w:ascii="Times New Roman" w:hAnsi="Times New Roman" w:eastAsia="宋体" w:cs="Times New Roman"/>
          <w:szCs w:val="21"/>
          <w:lang w:val="zh-CN"/>
        </w:rPr>
        <w:t>（2）《</w:t>
      </w:r>
      <w:r>
        <w:rPr>
          <w:rFonts w:ascii="Times New Roman" w:hAnsi="Times New Roman" w:cs="Times New Roman"/>
          <w:szCs w:val="21"/>
          <w:lang w:val="en-US" w:eastAsia="zh-CN"/>
        </w:rPr>
        <w:t>采购需求</w:t>
      </w:r>
      <w:r>
        <w:rPr>
          <w:rFonts w:ascii="Times New Roman" w:hAnsi="Times New Roman" w:eastAsia="宋体" w:cs="Times New Roman"/>
          <w:szCs w:val="21"/>
          <w:lang w:val="zh-CN"/>
        </w:rPr>
        <w:t>偏离表》；</w:t>
      </w:r>
    </w:p>
    <w:p w14:paraId="1DC6D419">
      <w:pPr>
        <w:widowControl/>
        <w:spacing w:line="360" w:lineRule="auto"/>
        <w:ind w:firstLine="420"/>
        <w:jc w:val="left"/>
        <w:rPr>
          <w:rFonts w:ascii="Times New Roman" w:hAnsi="Times New Roman" w:eastAsia="宋体" w:cs="Times New Roman"/>
          <w:szCs w:val="21"/>
          <w:lang w:val="zh-CN"/>
        </w:rPr>
      </w:pPr>
      <w:r>
        <w:rPr>
          <w:rFonts w:ascii="Times New Roman" w:hAnsi="Times New Roman" w:eastAsia="宋体" w:cs="Times New Roman"/>
          <w:szCs w:val="21"/>
          <w:lang w:val="zh-CN"/>
        </w:rPr>
        <w:t>（3）服务承诺；</w:t>
      </w:r>
    </w:p>
    <w:p w14:paraId="72DE12C6">
      <w:pPr>
        <w:widowControl/>
        <w:spacing w:line="360" w:lineRule="auto"/>
        <w:ind w:firstLine="420"/>
        <w:jc w:val="left"/>
        <w:rPr>
          <w:rFonts w:ascii="Times New Roman" w:hAnsi="Times New Roman" w:eastAsia="宋体" w:cs="Times New Roman"/>
          <w:szCs w:val="21"/>
          <w:lang w:val="zh-CN"/>
        </w:rPr>
      </w:pPr>
      <w:r>
        <w:rPr>
          <w:rFonts w:ascii="Times New Roman" w:hAnsi="Times New Roman" w:eastAsia="宋体" w:cs="Times New Roman"/>
          <w:szCs w:val="21"/>
          <w:lang w:val="zh-CN"/>
        </w:rPr>
        <w:t>（4）投标人拟投入本项目的设备、人员情况一览表；</w:t>
      </w:r>
    </w:p>
    <w:p w14:paraId="56CC3D63">
      <w:pPr>
        <w:widowControl/>
        <w:spacing w:line="360" w:lineRule="auto"/>
        <w:ind w:firstLine="420"/>
        <w:jc w:val="left"/>
        <w:rPr>
          <w:rFonts w:ascii="Times New Roman" w:hAnsi="Times New Roman" w:eastAsia="宋体" w:cs="Times New Roman"/>
          <w:szCs w:val="21"/>
          <w:lang w:val="zh-CN"/>
        </w:rPr>
      </w:pPr>
      <w:r>
        <w:rPr>
          <w:rFonts w:ascii="Times New Roman" w:hAnsi="Times New Roman" w:eastAsia="宋体" w:cs="Times New Roman"/>
          <w:szCs w:val="21"/>
          <w:lang w:val="zh-CN"/>
        </w:rPr>
        <w:t>（5）投标人认为需要提供的其他技术资料。</w:t>
      </w:r>
    </w:p>
    <w:p w14:paraId="57D9F496">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11、投标文件的价格部分</w:t>
      </w:r>
    </w:p>
    <w:p w14:paraId="36C6E0D8">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11.1价格部分是对采购标的价格构成的说明，招标文件如无特别说明，每一项货物及服务仅接受一个价格。</w:t>
      </w:r>
    </w:p>
    <w:p w14:paraId="52FF94A9">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11.2报价应包含为履行本项目合同项下所有义务的全部含税费用（包括但不限于货物设计、制造、包装、仓储、运输装</w:t>
      </w:r>
      <w:r>
        <w:rPr>
          <w:rFonts w:ascii="Times New Roman" w:hAnsi="Times New Roman" w:cs="Times New Roman"/>
          <w:szCs w:val="21"/>
          <w:lang w:eastAsia="zh-CN"/>
        </w:rPr>
        <w:t>卸</w:t>
      </w:r>
      <w:r>
        <w:rPr>
          <w:rFonts w:ascii="Times New Roman" w:hAnsi="Times New Roman" w:eastAsia="宋体" w:cs="Times New Roman"/>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ascii="Times New Roman" w:hAnsi="Times New Roman" w:eastAsia="宋体" w:cs="Times New Roman"/>
          <w:szCs w:val="21"/>
          <w:lang w:val="zh-CN"/>
        </w:rPr>
        <w:t>，</w:t>
      </w:r>
      <w:r>
        <w:rPr>
          <w:rFonts w:ascii="Times New Roman" w:hAnsi="Times New Roman" w:eastAsia="宋体" w:cs="Times New Roman"/>
          <w:szCs w:val="21"/>
        </w:rPr>
        <w:t>以及投标人认为需要的其他费用等。</w:t>
      </w:r>
    </w:p>
    <w:p w14:paraId="6955264D">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11.3投标人的任何错漏、优惠、竞争性报价不得作为减轻责任、减少服务、增加收费、降低质量的理由。</w:t>
      </w:r>
    </w:p>
    <w:p w14:paraId="1F6EAB2C">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Times New Roman" w:hAnsi="Times New Roman" w:eastAsia="宋体" w:cs="Times New Roman"/>
          <w:b/>
          <w:bCs/>
          <w:szCs w:val="21"/>
        </w:rPr>
        <w:t>无效投标处理</w:t>
      </w:r>
      <w:r>
        <w:rPr>
          <w:rFonts w:ascii="Times New Roman" w:hAnsi="Times New Roman" w:eastAsia="宋体" w:cs="Times New Roman"/>
          <w:szCs w:val="21"/>
        </w:rPr>
        <w:t>。</w:t>
      </w:r>
    </w:p>
    <w:p w14:paraId="775E84B3">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11.5 投标人应在《开标一览表》、《分项报价》等标明投标货物和服务等的单价、总价以及分项报价。投标人符合本须知3.1条所述情形的，须在《开标一览表》、《分项报价》中注明。</w:t>
      </w:r>
    </w:p>
    <w:p w14:paraId="02E1DDD3">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 xml:space="preserve">11.6 </w:t>
      </w:r>
      <w:r>
        <w:rPr>
          <w:rFonts w:ascii="Times New Roman" w:hAnsi="Times New Roman" w:cs="Times New Roman"/>
          <w:szCs w:val="21"/>
        </w:rPr>
        <w:t>对于采用货币报价的项目，开标一览表中的投标总报价应与投标报价明细表中的投标总报价一致，如不一致不作为无效投标处理，评标时以开标一览表中价格为准。</w:t>
      </w:r>
    </w:p>
    <w:p w14:paraId="651DDDDE">
      <w:pPr>
        <w:widowControl/>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11.7本项目预算为：详见第一章</w:t>
      </w:r>
      <w:r>
        <w:rPr>
          <w:rFonts w:ascii="Times New Roman" w:hAnsi="Times New Roman" w:eastAsia="宋体" w:cs="Times New Roman"/>
          <w:bCs/>
          <w:szCs w:val="21"/>
        </w:rPr>
        <w:t>。</w:t>
      </w:r>
    </w:p>
    <w:p w14:paraId="6FAFBA8A">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12、投标文件的其他部分</w:t>
      </w:r>
    </w:p>
    <w:p w14:paraId="66EA3EBD">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12.1 其他部分由投标人根据编制投标文件需要提供的其他相关文件组成。</w:t>
      </w:r>
    </w:p>
    <w:p w14:paraId="511FCD41">
      <w:pPr>
        <w:widowControl/>
        <w:shd w:val="clear" w:color="auto" w:fill="FFFFFF"/>
        <w:spacing w:line="360" w:lineRule="auto"/>
        <w:ind w:firstLine="420"/>
        <w:rPr>
          <w:rFonts w:ascii="Times New Roman" w:hAnsi="Times New Roman" w:eastAsia="宋体" w:cs="Times New Roman"/>
          <w:b/>
          <w:bCs/>
          <w:szCs w:val="21"/>
        </w:rPr>
      </w:pPr>
      <w:r>
        <w:rPr>
          <w:rFonts w:ascii="Times New Roman" w:hAnsi="Times New Roman" w:eastAsia="宋体" w:cs="Times New Roman"/>
          <w:b/>
          <w:bCs/>
          <w:szCs w:val="21"/>
        </w:rPr>
        <w:t>13、投标保证金：无</w:t>
      </w:r>
    </w:p>
    <w:p w14:paraId="2D6CB8DC">
      <w:pPr>
        <w:widowControl/>
        <w:shd w:val="clear" w:color="auto" w:fill="FFFFFF"/>
        <w:spacing w:line="360" w:lineRule="auto"/>
        <w:ind w:firstLine="420"/>
        <w:rPr>
          <w:rFonts w:ascii="Times New Roman" w:hAnsi="Times New Roman" w:eastAsia="宋体" w:cs="Times New Roman"/>
          <w:b/>
          <w:bCs/>
          <w:szCs w:val="21"/>
        </w:rPr>
      </w:pPr>
      <w:r>
        <w:rPr>
          <w:rFonts w:ascii="Times New Roman" w:hAnsi="Times New Roman" w:eastAsia="宋体" w:cs="Times New Roman"/>
          <w:b/>
          <w:bCs/>
          <w:szCs w:val="21"/>
        </w:rPr>
        <w:t>14、投标有效期</w:t>
      </w:r>
    </w:p>
    <w:p w14:paraId="2194F9CA">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14.1 自开标之日起</w:t>
      </w:r>
      <w:r>
        <w:rPr>
          <w:rFonts w:ascii="Times New Roman" w:hAnsi="Times New Roman" w:eastAsia="宋体" w:cs="Times New Roman"/>
          <w:b/>
          <w:szCs w:val="21"/>
        </w:rPr>
        <w:t>90</w:t>
      </w:r>
      <w:r>
        <w:rPr>
          <w:rFonts w:ascii="Times New Roman" w:hAnsi="Times New Roman" w:eastAsia="宋体" w:cs="Times New Roman"/>
          <w:szCs w:val="21"/>
        </w:rPr>
        <w:t>天内投标有效</w:t>
      </w:r>
      <w:r>
        <w:rPr>
          <w:rFonts w:ascii="Times New Roman" w:hAnsi="Times New Roman" w:eastAsia="宋体" w:cs="Times New Roman"/>
          <w:b/>
        </w:rPr>
        <w:t>，投标有效期从提交投标文件的截止之日起算。投标文件中承诺的投标有效期应当不少于招标文件中载明的投标有效期。</w:t>
      </w:r>
    </w:p>
    <w:p w14:paraId="4F6E5509">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3A9DBFA8">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15、投标文件签署</w:t>
      </w:r>
    </w:p>
    <w:p w14:paraId="01EE087B">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15.1 投标文件的正本和副本均应由投标人法定代表人或经正式授权并对投标人有约束力的委托代理人签字，如果它们之间内容有差异，则以正本为准。</w:t>
      </w:r>
    </w:p>
    <w:p w14:paraId="1A6A9A5A">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16、投标费用</w:t>
      </w:r>
    </w:p>
    <w:p w14:paraId="4DF66525">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16.1 投标人应承担所有与准备和参加投标有关的费用，无论招标结果如何，招标代理机构和招标人在任何情况下均无义务和责任承担这些费用。</w:t>
      </w:r>
    </w:p>
    <w:p w14:paraId="32D9BFC4">
      <w:pPr>
        <w:widowControl/>
        <w:shd w:val="clear" w:color="auto" w:fill="FFFFFF"/>
        <w:spacing w:line="360" w:lineRule="auto"/>
        <w:ind w:firstLine="420"/>
        <w:rPr>
          <w:rFonts w:hint="eastAsia" w:cs="Times New Roman"/>
          <w:b/>
          <w:sz w:val="22"/>
          <w:szCs w:val="22"/>
          <w:lang w:val="en-US" w:eastAsia="zh-CN"/>
        </w:rPr>
      </w:pPr>
      <w:r>
        <w:rPr>
          <w:rFonts w:ascii="Times New Roman" w:hAnsi="Times New Roman" w:eastAsia="宋体" w:cs="Times New Roman"/>
          <w:b/>
          <w:szCs w:val="21"/>
        </w:rPr>
        <w:t>16.2 招标代理服务费：</w:t>
      </w:r>
      <w:r>
        <w:rPr>
          <w:rFonts w:hint="eastAsia" w:cs="Times New Roman"/>
          <w:b/>
          <w:sz w:val="22"/>
          <w:szCs w:val="22"/>
          <w:lang w:val="en-US" w:eastAsia="zh-CN"/>
        </w:rPr>
        <w:t>采购人</w:t>
      </w:r>
      <w:r>
        <w:rPr>
          <w:rFonts w:ascii="Times New Roman" w:hAnsi="Times New Roman" w:eastAsia="宋体" w:cs="Times New Roman"/>
          <w:b/>
          <w:sz w:val="22"/>
          <w:szCs w:val="22"/>
        </w:rPr>
        <w:t>按照“苏招协（2022）002号文”中代理服务收费标准的80%执行，在领取成交通知书前一次性向招标代理机构支付。</w:t>
      </w:r>
    </w:p>
    <w:p w14:paraId="71A72E2C">
      <w:pPr>
        <w:widowControl/>
        <w:shd w:val="clear" w:color="auto" w:fill="FFFFFF"/>
        <w:spacing w:line="360" w:lineRule="auto"/>
        <w:ind w:firstLine="420"/>
        <w:rPr>
          <w:rFonts w:hint="default" w:cs="Times New Roman"/>
          <w:b/>
          <w:sz w:val="22"/>
          <w:szCs w:val="22"/>
          <w:lang w:val="en-US" w:eastAsia="zh-CN"/>
        </w:rPr>
      </w:pPr>
      <w:r>
        <w:rPr>
          <w:rFonts w:hint="eastAsia" w:cs="Times New Roman"/>
          <w:b/>
          <w:sz w:val="22"/>
          <w:szCs w:val="22"/>
          <w:lang w:val="en-US" w:eastAsia="zh-CN"/>
        </w:rPr>
        <w:t>16.3 专家评审费：由采购人按江苏省财政厅有关规定向评审专家支付。</w:t>
      </w:r>
    </w:p>
    <w:p w14:paraId="3BE29485">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四、投标文件的递交</w:t>
      </w:r>
    </w:p>
    <w:p w14:paraId="200D0550">
      <w:pPr>
        <w:widowControl/>
        <w:shd w:val="clear" w:color="auto" w:fill="FFFFFF"/>
        <w:spacing w:line="360" w:lineRule="auto"/>
        <w:ind w:firstLine="420"/>
        <w:rPr>
          <w:rFonts w:ascii="Times New Roman" w:hAnsi="Times New Roman" w:eastAsia="宋体" w:cs="Times New Roman"/>
          <w:b/>
          <w:bCs/>
          <w:szCs w:val="21"/>
        </w:rPr>
      </w:pPr>
      <w:r>
        <w:rPr>
          <w:rFonts w:ascii="Times New Roman" w:hAnsi="Times New Roman" w:eastAsia="宋体" w:cs="Times New Roman"/>
          <w:b/>
          <w:bCs/>
          <w:szCs w:val="21"/>
        </w:rPr>
        <w:t>17、投标文件的递交</w:t>
      </w:r>
    </w:p>
    <w:p w14:paraId="5D17A01A">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17.1 投标人应当按照《操作手册》规定，在招标公告规定的投标截止时间前制作并上传电子投标文件。招标代理机构拒绝接收提交投标文件截止时间后上传的任何电子投标文件。</w:t>
      </w:r>
    </w:p>
    <w:p w14:paraId="66A93A94">
      <w:pPr>
        <w:widowControl/>
        <w:shd w:val="clear" w:color="auto" w:fill="FFFFFF"/>
        <w:spacing w:line="360" w:lineRule="auto"/>
        <w:ind w:firstLine="420"/>
        <w:rPr>
          <w:rFonts w:ascii="Times New Roman" w:hAnsi="Times New Roman" w:eastAsia="宋体" w:cs="Times New Roman"/>
          <w:b/>
          <w:bCs/>
          <w:szCs w:val="21"/>
        </w:rPr>
      </w:pPr>
      <w:r>
        <w:rPr>
          <w:rFonts w:ascii="Times New Roman" w:hAnsi="Times New Roman" w:eastAsia="宋体" w:cs="Times New Roman"/>
          <w:b/>
          <w:bCs/>
          <w:szCs w:val="21"/>
        </w:rPr>
        <w:t>18、投标文件的解密</w:t>
      </w:r>
    </w:p>
    <w:p w14:paraId="01855B36">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18.1 投标人应当按照《操作手册》规定，在“苏采云”系统规定的时间内对投标文件进行解密。</w:t>
      </w:r>
    </w:p>
    <w:p w14:paraId="33B0E017">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18.3 投标人应充分考虑网络环境、网络带宽等因素可能对投标产生的影响，如因投标人自身原因造成的电子投标文件解密不成功的，做无效投标处理。</w:t>
      </w:r>
    </w:p>
    <w:p w14:paraId="74D48027">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b/>
          <w:bCs/>
          <w:szCs w:val="21"/>
        </w:rPr>
        <w:t>19、投标文件的修改和撤回</w:t>
      </w:r>
    </w:p>
    <w:p w14:paraId="1A4982F1">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3CB5EC5B">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19.2 投标截止时间之后，投标文件不得撤回。</w:t>
      </w:r>
    </w:p>
    <w:p w14:paraId="4916A9D3">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b/>
          <w:bCs/>
          <w:szCs w:val="21"/>
        </w:rPr>
        <w:t>20、诚实信用</w:t>
      </w:r>
    </w:p>
    <w:p w14:paraId="04431650">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20.1投标人应当遵循公平竞争的原则，不得恶意串通，不得妨碍其他投标人的竞争行为，不得损害采购人或者其他投标人的合法权益。</w:t>
      </w:r>
    </w:p>
    <w:p w14:paraId="65B08BDC">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20.2在评标过程中发现投标人有上述情形的，评标委员会应当认定其投标无效，并书面报告本级财政部门。</w:t>
      </w:r>
    </w:p>
    <w:p w14:paraId="5BA922F2">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五、开标、评标与定标</w:t>
      </w:r>
    </w:p>
    <w:p w14:paraId="0B6E96D9">
      <w:pPr>
        <w:widowControl/>
        <w:shd w:val="clear" w:color="auto" w:fill="FFFFFF"/>
        <w:spacing w:line="360" w:lineRule="auto"/>
        <w:ind w:firstLine="420"/>
        <w:rPr>
          <w:rFonts w:ascii="Times New Roman" w:hAnsi="Times New Roman" w:cs="Times New Roman"/>
          <w:b/>
          <w:bCs/>
          <w:szCs w:val="21"/>
        </w:rPr>
      </w:pPr>
      <w:r>
        <w:rPr>
          <w:rFonts w:ascii="Times New Roman" w:hAnsi="Times New Roman" w:cs="Times New Roman"/>
          <w:b/>
          <w:bCs/>
          <w:szCs w:val="21"/>
        </w:rPr>
        <w:t>21、开标</w:t>
      </w:r>
    </w:p>
    <w:p w14:paraId="236C0954">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21.1 代理机构在招标公告中规定的时间和地点组织公开开标。投标人按照《操作手册》规定参加开标活动，并在“苏采云”系统规定的时间内对投标文件进行解密。“苏采云”系统公布各投标人名称和投标价格。</w:t>
      </w:r>
    </w:p>
    <w:p w14:paraId="6F89F679">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21.2 投标人在开标过程中涉及到的投标文件解密、开标结果确认等工作，应按照《操作手册》规定执行。</w:t>
      </w:r>
    </w:p>
    <w:p w14:paraId="26F9AEE1">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21.3投标人不足3家的，不得开标。</w:t>
      </w:r>
    </w:p>
    <w:p w14:paraId="4AE158DE">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21.4 投标人如果对开标过程和开标结果有疑义，应当根据《操作手册》规定提出，“苏采云”系统中《开标记录表》公布后5分钟内未提出的，视同认可开标结果。</w:t>
      </w:r>
    </w:p>
    <w:p w14:paraId="61594148">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21.5公开招标数额标准以上的采购项目，投标截止后投标人不足3家或者通过资格审查或符合性审查的投标人不足3家的，除采购任务取消情形外，按照以下方式处理：</w:t>
      </w:r>
    </w:p>
    <w:p w14:paraId="1A0312D5">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（1）招标文件存在不合理条款或者招标程序不符合规定的，采购人、采购代理机构改正后依法重新招标；</w:t>
      </w:r>
    </w:p>
    <w:p w14:paraId="38C70EDD">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（2）招标文件没有不合理条款、招标程序符合规定，需要采用其他采购方式采购的，采购人依法报财政部门批准，经批准后，可变更为其他采购方式采购。</w:t>
      </w:r>
    </w:p>
    <w:p w14:paraId="1F340AF3">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22、评标</w:t>
      </w:r>
    </w:p>
    <w:p w14:paraId="07DA59C8">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22.1 评标委员会</w:t>
      </w:r>
    </w:p>
    <w:p w14:paraId="7C424628">
      <w:pPr>
        <w:widowControl/>
        <w:shd w:val="clear" w:color="auto" w:fill="FFFFFF"/>
        <w:spacing w:line="360" w:lineRule="auto"/>
        <w:ind w:firstLine="420"/>
        <w:rPr>
          <w:rFonts w:ascii="Times New Roman" w:hAnsi="Times New Roman" w:eastAsia="宋体" w:cs="Times New Roman"/>
          <w:bCs/>
          <w:szCs w:val="21"/>
        </w:rPr>
      </w:pPr>
      <w:r>
        <w:rPr>
          <w:rFonts w:ascii="Times New Roman" w:hAnsi="Times New Roman" w:eastAsia="宋体" w:cs="Times New Roman"/>
          <w:b/>
          <w:bCs/>
          <w:szCs w:val="21"/>
        </w:rPr>
        <w:t>22.1.1</w:t>
      </w:r>
      <w:r>
        <w:rPr>
          <w:rFonts w:ascii="Times New Roman" w:hAnsi="Times New Roman" w:eastAsia="宋体" w:cs="Times New Roman"/>
          <w:bCs/>
          <w:szCs w:val="21"/>
        </w:rPr>
        <w:t>评标委员会负责具体评标事务，并独立履行下列职责：</w:t>
      </w:r>
    </w:p>
    <w:p w14:paraId="5F896B27">
      <w:pPr>
        <w:widowControl/>
        <w:shd w:val="clear" w:color="auto" w:fill="FFFFFF"/>
        <w:spacing w:line="360" w:lineRule="auto"/>
        <w:ind w:firstLine="420"/>
        <w:rPr>
          <w:rFonts w:ascii="Times New Roman" w:hAnsi="Times New Roman" w:eastAsia="宋体" w:cs="Times New Roman"/>
          <w:bCs/>
          <w:szCs w:val="21"/>
        </w:rPr>
      </w:pPr>
      <w:r>
        <w:rPr>
          <w:rFonts w:ascii="Times New Roman" w:hAnsi="Times New Roman" w:eastAsia="宋体" w:cs="Times New Roman"/>
          <w:bCs/>
          <w:szCs w:val="21"/>
        </w:rPr>
        <w:t>（一）审查、评价投标文件是否符合招标文件的商务、技术等实质性要求；</w:t>
      </w:r>
    </w:p>
    <w:p w14:paraId="7FFF02E9">
      <w:pPr>
        <w:widowControl/>
        <w:shd w:val="clear" w:color="auto" w:fill="FFFFFF"/>
        <w:spacing w:line="360" w:lineRule="auto"/>
        <w:ind w:firstLine="420"/>
        <w:rPr>
          <w:rFonts w:ascii="Times New Roman" w:hAnsi="Times New Roman" w:eastAsia="宋体" w:cs="Times New Roman"/>
          <w:bCs/>
          <w:szCs w:val="21"/>
        </w:rPr>
      </w:pPr>
      <w:r>
        <w:rPr>
          <w:rFonts w:ascii="Times New Roman" w:hAnsi="Times New Roman" w:eastAsia="宋体" w:cs="Times New Roman"/>
          <w:bCs/>
          <w:szCs w:val="21"/>
        </w:rPr>
        <w:t>（二）要求投标人对投标文件有关事项作出澄清或者说明；</w:t>
      </w:r>
    </w:p>
    <w:p w14:paraId="1B89FE47">
      <w:pPr>
        <w:widowControl/>
        <w:shd w:val="clear" w:color="auto" w:fill="FFFFFF"/>
        <w:spacing w:line="360" w:lineRule="auto"/>
        <w:ind w:firstLine="420"/>
        <w:rPr>
          <w:rFonts w:ascii="Times New Roman" w:hAnsi="Times New Roman" w:eastAsia="宋体" w:cs="Times New Roman"/>
          <w:bCs/>
          <w:szCs w:val="21"/>
        </w:rPr>
      </w:pPr>
      <w:r>
        <w:rPr>
          <w:rFonts w:ascii="Times New Roman" w:hAnsi="Times New Roman" w:eastAsia="宋体" w:cs="Times New Roman"/>
          <w:bCs/>
          <w:szCs w:val="21"/>
        </w:rPr>
        <w:t>（三）对投标文件进行比较和评价；</w:t>
      </w:r>
    </w:p>
    <w:p w14:paraId="7B28EB89">
      <w:pPr>
        <w:widowControl/>
        <w:shd w:val="clear" w:color="auto" w:fill="FFFFFF"/>
        <w:spacing w:line="360" w:lineRule="auto"/>
        <w:ind w:firstLine="420"/>
        <w:rPr>
          <w:rFonts w:ascii="Times New Roman" w:hAnsi="Times New Roman" w:eastAsia="宋体" w:cs="Times New Roman"/>
          <w:bCs/>
          <w:szCs w:val="21"/>
        </w:rPr>
      </w:pPr>
      <w:r>
        <w:rPr>
          <w:rFonts w:ascii="Times New Roman" w:hAnsi="Times New Roman" w:eastAsia="宋体" w:cs="Times New Roman"/>
          <w:bCs/>
          <w:szCs w:val="21"/>
        </w:rPr>
        <w:t>（四）确定中标候选人名单，以及根据采购人委托直接确定中标人；</w:t>
      </w:r>
    </w:p>
    <w:p w14:paraId="266252DC">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Cs/>
          <w:szCs w:val="21"/>
        </w:rPr>
        <w:t>（五）向招标人、招标代理机构或者有关部门报告评标中发现的违法行为。</w:t>
      </w:r>
    </w:p>
    <w:p w14:paraId="4041A6FD">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 xml:space="preserve">22.1.2 </w:t>
      </w:r>
      <w:r>
        <w:rPr>
          <w:rFonts w:ascii="Times New Roman" w:hAnsi="Times New Roman" w:eastAsia="宋体" w:cs="Times New Roman"/>
          <w:szCs w:val="21"/>
        </w:rPr>
        <w:t>评标委员会由</w:t>
      </w:r>
      <w:r>
        <w:rPr>
          <w:rFonts w:ascii="Times New Roman" w:hAnsi="Times New Roman" w:eastAsia="宋体" w:cs="Times New Roman"/>
          <w:bCs/>
          <w:szCs w:val="21"/>
        </w:rPr>
        <w:t>招标</w:t>
      </w:r>
      <w:r>
        <w:rPr>
          <w:rFonts w:ascii="Times New Roman" w:hAnsi="Times New Roman" w:eastAsia="宋体" w:cs="Times New Roman"/>
          <w:szCs w:val="21"/>
        </w:rPr>
        <w:t>人代表和有关技术、经济等方面的专家组成，独立开展评审工作。</w:t>
      </w:r>
    </w:p>
    <w:p w14:paraId="5676BD60">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b/>
          <w:bCs/>
          <w:szCs w:val="21"/>
        </w:rPr>
        <w:t>22.2  评标程序</w:t>
      </w:r>
    </w:p>
    <w:p w14:paraId="60E41F64">
      <w:pPr>
        <w:widowControl/>
        <w:shd w:val="clear" w:color="auto" w:fill="FFFFFF"/>
        <w:spacing w:line="360" w:lineRule="auto"/>
        <w:ind w:firstLine="420"/>
        <w:jc w:val="left"/>
        <w:rPr>
          <w:rFonts w:ascii="Times New Roman" w:hAnsi="Times New Roman" w:eastAsia="宋体" w:cs="Times New Roman"/>
          <w:b/>
          <w:szCs w:val="21"/>
        </w:rPr>
      </w:pPr>
      <w:r>
        <w:rPr>
          <w:rFonts w:ascii="Times New Roman" w:hAnsi="Times New Roman" w:eastAsia="宋体" w:cs="Times New Roman"/>
          <w:b/>
          <w:szCs w:val="21"/>
        </w:rPr>
        <w:t xml:space="preserve">22.2.1 </w:t>
      </w:r>
      <w:r>
        <w:rPr>
          <w:rFonts w:ascii="Times New Roman" w:hAnsi="Times New Roman" w:eastAsia="宋体" w:cs="Times New Roman"/>
          <w:b/>
          <w:bCs/>
          <w:szCs w:val="21"/>
        </w:rPr>
        <w:t>投标文件的资格性检查。</w:t>
      </w:r>
      <w:r>
        <w:rPr>
          <w:rFonts w:ascii="Times New Roman" w:hAnsi="Times New Roman" w:eastAsia="宋体" w:cs="Times New Roman"/>
          <w:szCs w:val="21"/>
        </w:rPr>
        <w:t>公开招标采购项目开标结束后，</w:t>
      </w:r>
      <w:r>
        <w:rPr>
          <w:rFonts w:ascii="Times New Roman" w:hAnsi="Times New Roman" w:eastAsia="宋体" w:cs="Times New Roman"/>
        </w:rPr>
        <w:t>招标</w:t>
      </w:r>
      <w:r>
        <w:rPr>
          <w:rFonts w:ascii="Times New Roman" w:hAnsi="Times New Roman" w:eastAsia="宋体" w:cs="Times New Roman"/>
          <w:szCs w:val="21"/>
        </w:rPr>
        <w:t>人或者</w:t>
      </w:r>
      <w:r>
        <w:rPr>
          <w:rFonts w:ascii="Times New Roman" w:hAnsi="Times New Roman" w:eastAsia="宋体" w:cs="Times New Roman"/>
        </w:rPr>
        <w:t>招标</w:t>
      </w:r>
      <w:r>
        <w:rPr>
          <w:rFonts w:ascii="Times New Roman" w:hAnsi="Times New Roman" w:eastAsia="宋体" w:cs="Times New Roman"/>
          <w:szCs w:val="21"/>
        </w:rPr>
        <w:t>代理机构应当依法对投标人的资格进行审查。合格投标人不足3家的，不得评标。</w:t>
      </w:r>
    </w:p>
    <w:p w14:paraId="11B43CEC">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eastAsia="宋体" w:cs="Times New Roman"/>
          <w:b/>
          <w:bCs/>
          <w:szCs w:val="21"/>
        </w:rPr>
        <w:t>22.2.2投标文件的符合性审查</w:t>
      </w:r>
      <w:r>
        <w:rPr>
          <w:rFonts w:ascii="Times New Roman" w:hAnsi="Times New Roman" w:eastAsia="宋体" w:cs="Times New Roman"/>
          <w:szCs w:val="21"/>
        </w:rPr>
        <w:t>。</w:t>
      </w:r>
      <w:r>
        <w:rPr>
          <w:rFonts w:ascii="Times New Roman" w:hAnsi="Times New Roman" w:cs="Times New Roman"/>
          <w:szCs w:val="21"/>
        </w:rPr>
        <w:t>评标委员会对通过资格性检查的投标人的投标文件进行符合性审查，以确定其是否满足招标文件的实质性要求。投标文件有下列情况之一的，在符合性检查时按照无效投标处理：</w:t>
      </w:r>
    </w:p>
    <w:p w14:paraId="59FE4C72">
      <w:pPr>
        <w:widowControl/>
        <w:shd w:val="clear" w:color="auto" w:fill="FFFFFF"/>
        <w:spacing w:line="360" w:lineRule="auto"/>
        <w:ind w:firstLine="420"/>
        <w:jc w:val="left"/>
        <w:rPr>
          <w:rFonts w:ascii="Times New Roman" w:hAnsi="Times New Roman" w:cs="Times New Roman"/>
          <w:b/>
          <w:szCs w:val="21"/>
        </w:rPr>
      </w:pPr>
      <w:r>
        <w:rPr>
          <w:rFonts w:ascii="Times New Roman" w:hAnsi="Times New Roman" w:cs="Times New Roman"/>
          <w:b/>
          <w:szCs w:val="21"/>
        </w:rPr>
        <w:t>（1）投标人在“苏采云”系统规定的时间内未成功解密电子投标文件的</w:t>
      </w:r>
      <w:r>
        <w:rPr>
          <w:rFonts w:ascii="Times New Roman" w:hAnsi="Times New Roman" w:cs="Times New Roman"/>
          <w:b/>
          <w:bCs/>
          <w:szCs w:val="21"/>
        </w:rPr>
        <w:t>；</w:t>
      </w:r>
    </w:p>
    <w:p w14:paraId="1AAD174D">
      <w:pPr>
        <w:widowControl/>
        <w:shd w:val="clear" w:color="auto" w:fill="FFFFFF"/>
        <w:spacing w:line="360" w:lineRule="auto"/>
        <w:ind w:firstLine="420"/>
        <w:jc w:val="left"/>
        <w:rPr>
          <w:rFonts w:ascii="Times New Roman" w:hAnsi="Times New Roman" w:cs="Times New Roman"/>
          <w:b/>
          <w:szCs w:val="21"/>
        </w:rPr>
      </w:pPr>
      <w:r>
        <w:rPr>
          <w:rFonts w:ascii="Times New Roman" w:hAnsi="Times New Roman" w:cs="Times New Roman"/>
          <w:b/>
          <w:szCs w:val="21"/>
        </w:rPr>
        <w:t>（2）投标人未按照招标文件要求上传电子投标文件的；</w:t>
      </w:r>
    </w:p>
    <w:p w14:paraId="3F5DE405">
      <w:pPr>
        <w:widowControl/>
        <w:shd w:val="clear" w:color="auto" w:fill="FFFFFF"/>
        <w:spacing w:line="360" w:lineRule="auto"/>
        <w:ind w:firstLine="420"/>
        <w:jc w:val="left"/>
        <w:rPr>
          <w:rFonts w:ascii="Times New Roman" w:hAnsi="Times New Roman" w:cs="Times New Roman"/>
          <w:b/>
          <w:szCs w:val="21"/>
        </w:rPr>
      </w:pPr>
      <w:r>
        <w:rPr>
          <w:rFonts w:ascii="Times New Roman" w:hAnsi="Times New Roman" w:cs="Times New Roman"/>
          <w:b/>
          <w:szCs w:val="21"/>
        </w:rPr>
        <w:t>（3）同一投标人提交两个（含两个）以上不同的投标报价的；</w:t>
      </w:r>
    </w:p>
    <w:p w14:paraId="34261221">
      <w:pPr>
        <w:widowControl/>
        <w:shd w:val="clear" w:color="auto" w:fill="FFFFFF"/>
        <w:spacing w:line="360" w:lineRule="auto"/>
        <w:ind w:firstLine="420"/>
        <w:jc w:val="left"/>
        <w:rPr>
          <w:rFonts w:ascii="Times New Roman" w:hAnsi="Times New Roman" w:cs="Times New Roman"/>
          <w:b/>
          <w:szCs w:val="21"/>
        </w:rPr>
      </w:pPr>
      <w:r>
        <w:rPr>
          <w:rFonts w:ascii="Times New Roman" w:hAnsi="Times New Roman" w:cs="Times New Roman"/>
          <w:b/>
          <w:szCs w:val="21"/>
        </w:rPr>
        <w:t>（4）投标文件未按照招标文件要求加盖电子公章的；</w:t>
      </w:r>
    </w:p>
    <w:p w14:paraId="373CAD27">
      <w:pPr>
        <w:widowControl/>
        <w:shd w:val="clear" w:color="auto" w:fill="FFFFFF"/>
        <w:spacing w:line="360" w:lineRule="auto"/>
        <w:ind w:firstLine="420"/>
        <w:jc w:val="left"/>
        <w:rPr>
          <w:rFonts w:ascii="Times New Roman" w:hAnsi="Times New Roman" w:cs="Times New Roman"/>
          <w:b/>
          <w:szCs w:val="21"/>
        </w:rPr>
      </w:pPr>
      <w:r>
        <w:rPr>
          <w:rFonts w:ascii="Times New Roman" w:hAnsi="Times New Roman" w:cs="Times New Roman"/>
          <w:b/>
          <w:szCs w:val="21"/>
        </w:rPr>
        <w:t>（5）不具备招标文件中规定的资格要求的；</w:t>
      </w:r>
    </w:p>
    <w:p w14:paraId="3E6AD133">
      <w:pPr>
        <w:widowControl/>
        <w:shd w:val="clear" w:color="auto" w:fill="FFFFFF"/>
        <w:spacing w:line="360" w:lineRule="auto"/>
        <w:ind w:firstLine="420"/>
        <w:jc w:val="left"/>
        <w:rPr>
          <w:rFonts w:ascii="Times New Roman" w:hAnsi="Times New Roman" w:cs="Times New Roman"/>
          <w:b/>
          <w:szCs w:val="21"/>
        </w:rPr>
      </w:pPr>
      <w:r>
        <w:rPr>
          <w:rFonts w:ascii="Times New Roman" w:hAnsi="Times New Roman" w:cs="Times New Roman"/>
          <w:b/>
          <w:szCs w:val="21"/>
        </w:rPr>
        <w:t>（6）报价超过招标文件中规定的预算金额或者最高限价的；</w:t>
      </w:r>
    </w:p>
    <w:p w14:paraId="636E7FD1">
      <w:pPr>
        <w:widowControl/>
        <w:shd w:val="clear" w:color="auto" w:fill="FFFFFF"/>
        <w:spacing w:line="360" w:lineRule="auto"/>
        <w:ind w:firstLine="420"/>
        <w:jc w:val="left"/>
        <w:rPr>
          <w:rFonts w:ascii="Times New Roman" w:hAnsi="Times New Roman" w:cs="Times New Roman"/>
          <w:b/>
          <w:szCs w:val="21"/>
        </w:rPr>
      </w:pPr>
      <w:r>
        <w:rPr>
          <w:rFonts w:ascii="Times New Roman" w:hAnsi="Times New Roman" w:cs="Times New Roman"/>
          <w:b/>
          <w:szCs w:val="21"/>
        </w:rPr>
        <w:t>（7）投标文件含有采购人不能接受的附加条件的；</w:t>
      </w:r>
    </w:p>
    <w:p w14:paraId="57058FA7">
      <w:pPr>
        <w:widowControl/>
        <w:shd w:val="clear" w:color="auto" w:fill="FFFFFF"/>
        <w:spacing w:line="360" w:lineRule="auto"/>
        <w:ind w:firstLine="420"/>
        <w:jc w:val="left"/>
        <w:rPr>
          <w:rFonts w:ascii="Times New Roman" w:hAnsi="Times New Roman" w:cs="Times New Roman"/>
          <w:b/>
          <w:szCs w:val="21"/>
        </w:rPr>
      </w:pPr>
      <w:r>
        <w:rPr>
          <w:rFonts w:ascii="Times New Roman" w:hAnsi="Times New Roman" w:cs="Times New Roman"/>
          <w:b/>
          <w:szCs w:val="21"/>
        </w:rPr>
        <w:t>（8）投标文件内容不全或不符合招标文件中规定的其他实质性要求的；</w:t>
      </w:r>
    </w:p>
    <w:p w14:paraId="453CEEFD">
      <w:pPr>
        <w:widowControl/>
        <w:shd w:val="clear" w:color="auto" w:fill="FFFFFF"/>
        <w:spacing w:line="360" w:lineRule="auto"/>
        <w:ind w:firstLine="420"/>
        <w:rPr>
          <w:rFonts w:ascii="Times New Roman" w:hAnsi="Times New Roman" w:eastAsia="宋体" w:cs="Times New Roman"/>
          <w:b/>
          <w:szCs w:val="21"/>
        </w:rPr>
      </w:pPr>
      <w:r>
        <w:rPr>
          <w:rFonts w:ascii="Times New Roman" w:hAnsi="Times New Roman" w:cs="Times New Roman"/>
          <w:b/>
          <w:szCs w:val="21"/>
        </w:rPr>
        <w:t>（9）现行法律、法规、规章和招标文件规定的其他无效情形。</w:t>
      </w:r>
    </w:p>
    <w:p w14:paraId="60DFFC6E">
      <w:pPr>
        <w:widowControl/>
        <w:shd w:val="clear" w:color="auto" w:fill="FFFFFF"/>
        <w:spacing w:line="360" w:lineRule="auto"/>
        <w:ind w:firstLine="420"/>
        <w:rPr>
          <w:rFonts w:ascii="Times New Roman" w:hAnsi="Times New Roman" w:eastAsia="宋体" w:cs="Times New Roman"/>
          <w:b/>
          <w:bCs/>
          <w:szCs w:val="21"/>
        </w:rPr>
      </w:pPr>
      <w:r>
        <w:rPr>
          <w:rFonts w:ascii="Times New Roman" w:hAnsi="Times New Roman" w:eastAsia="宋体" w:cs="Times New Roman"/>
          <w:b/>
          <w:bCs/>
          <w:szCs w:val="21"/>
        </w:rPr>
        <w:t xml:space="preserve">22.2.2.1 </w:t>
      </w:r>
      <w:r>
        <w:rPr>
          <w:rFonts w:ascii="Times New Roman" w:hAnsi="Times New Roman" w:cs="Times New Roman"/>
          <w:b/>
          <w:bCs/>
          <w:szCs w:val="21"/>
        </w:rPr>
        <w:t>未通过资格审查或符合性审查的投标人，代理机构将通过“苏采云”系统告知其具体原因，评标结束后不再接受有关询问。</w:t>
      </w:r>
    </w:p>
    <w:p w14:paraId="1729844E">
      <w:pPr>
        <w:widowControl/>
        <w:shd w:val="clear" w:color="auto" w:fill="FFFFFF"/>
        <w:spacing w:line="360" w:lineRule="auto"/>
        <w:ind w:firstLine="420"/>
        <w:jc w:val="left"/>
        <w:rPr>
          <w:rFonts w:ascii="Times New Roman" w:hAnsi="Times New Roman" w:cs="Times New Roman"/>
          <w:b/>
          <w:szCs w:val="21"/>
        </w:rPr>
      </w:pPr>
      <w:r>
        <w:rPr>
          <w:rFonts w:ascii="Times New Roman" w:hAnsi="Times New Roman" w:eastAsia="宋体" w:cs="Times New Roman"/>
          <w:b/>
          <w:szCs w:val="21"/>
        </w:rPr>
        <w:t>22.2.2.2</w:t>
      </w:r>
      <w:r>
        <w:rPr>
          <w:rFonts w:ascii="Times New Roman" w:hAnsi="Times New Roman" w:cs="Times New Roman"/>
          <w:szCs w:val="21"/>
        </w:rPr>
        <w:t>有下列情形之一的予以废标：</w:t>
      </w:r>
    </w:p>
    <w:p w14:paraId="0B882F9C">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（1）符合专业条件的投标人或者对招标文件作实质性响应的投标人不足三家的；</w:t>
      </w:r>
    </w:p>
    <w:p w14:paraId="7F36B649">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（2）出现影响采购公正的违法、违规行为的；</w:t>
      </w:r>
    </w:p>
    <w:p w14:paraId="49086BB3">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（3）投标人的报价均超过了采购预算，采购人不能支付的；</w:t>
      </w:r>
    </w:p>
    <w:p w14:paraId="028DDC15">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（4）因苏采云系统故障造成开标不成功的；</w:t>
      </w:r>
    </w:p>
    <w:p w14:paraId="3658328A">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（5）因重大变故，采购任务取消的。</w:t>
      </w:r>
    </w:p>
    <w:p w14:paraId="73BC3944">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cs="Times New Roman"/>
          <w:szCs w:val="21"/>
        </w:rPr>
        <w:t>（6）投标人以明显低于其他通过符合性审查投标人的报价，有可能影响产品质量或者不能诚信履约的，且不能证明其报价合理性的。</w:t>
      </w:r>
    </w:p>
    <w:p w14:paraId="1AF9CF84">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22.2.3</w:t>
      </w:r>
      <w:r>
        <w:rPr>
          <w:rFonts w:ascii="Times New Roman" w:hAnsi="Times New Roman" w:eastAsia="宋体" w:cs="Times New Roman"/>
          <w:b/>
          <w:bCs/>
          <w:szCs w:val="21"/>
        </w:rPr>
        <w:t>澄清有关问题</w:t>
      </w:r>
      <w:r>
        <w:rPr>
          <w:rFonts w:ascii="Times New Roman" w:hAnsi="Times New Roman" w:eastAsia="宋体" w:cs="Times New Roman"/>
          <w:szCs w:val="21"/>
        </w:rPr>
        <w:t>。</w:t>
      </w:r>
    </w:p>
    <w:p w14:paraId="517EC720">
      <w:pPr>
        <w:pStyle w:val="2"/>
        <w:spacing w:line="360" w:lineRule="auto"/>
        <w:rPr>
          <w:rFonts w:ascii="Times New Roman" w:hAnsi="Times New Roman" w:cs="Times New Roman"/>
          <w:szCs w:val="21"/>
          <w:lang w:val="zh-CN"/>
        </w:rPr>
      </w:pPr>
      <w:r>
        <w:rPr>
          <w:rFonts w:ascii="Times New Roman" w:hAnsi="Times New Roman" w:cs="Times New Roman"/>
          <w:szCs w:val="21"/>
          <w:lang w:val="zh-CN"/>
        </w:rPr>
        <w:t>2</w:t>
      </w:r>
      <w:r>
        <w:rPr>
          <w:rFonts w:ascii="Times New Roman" w:hAnsi="Times New Roman" w:cs="Times New Roman"/>
          <w:szCs w:val="21"/>
        </w:rPr>
        <w:t>2</w:t>
      </w:r>
      <w:r>
        <w:rPr>
          <w:rFonts w:ascii="Times New Roman" w:hAnsi="Times New Roman" w:cs="Times New Roman"/>
          <w:szCs w:val="21"/>
          <w:lang w:val="zh-CN"/>
        </w:rPr>
        <w:t>.</w:t>
      </w:r>
      <w:r>
        <w:rPr>
          <w:rFonts w:ascii="Times New Roman" w:hAnsi="Times New Roman" w:cs="Times New Roman"/>
          <w:szCs w:val="21"/>
        </w:rPr>
        <w:t>2.3.</w:t>
      </w:r>
      <w:r>
        <w:rPr>
          <w:rFonts w:ascii="Times New Roman" w:hAnsi="Times New Roman" w:cs="Times New Roman"/>
          <w:szCs w:val="21"/>
          <w:lang w:val="zh-CN"/>
        </w:rPr>
        <w:t>1</w:t>
      </w:r>
      <w:r>
        <w:rPr>
          <w:rFonts w:ascii="Times New Roman" w:hAnsi="Times New Roman" w:cs="Times New Roman"/>
          <w:szCs w:val="21"/>
        </w:rPr>
        <w:t xml:space="preserve"> </w:t>
      </w:r>
      <w:r>
        <w:rPr>
          <w:rFonts w:ascii="Times New Roman" w:hAnsi="Times New Roman" w:cs="Times New Roman"/>
          <w:szCs w:val="21"/>
          <w:lang w:val="zh-CN"/>
        </w:rPr>
        <w:t>评标期间，评委会对投标文件中含义不明确、同类问题表述不一致或者有明显文字和计算错误的内容，有权要求投标人作出必要的澄清、说明或者补正。</w:t>
      </w:r>
    </w:p>
    <w:p w14:paraId="1021FD29">
      <w:pPr>
        <w:pStyle w:val="2"/>
        <w:spacing w:line="360" w:lineRule="auto"/>
        <w:rPr>
          <w:rFonts w:ascii="Times New Roman" w:hAnsi="Times New Roman" w:cs="Times New Roman"/>
          <w:szCs w:val="21"/>
          <w:lang w:val="zh-CN"/>
        </w:rPr>
      </w:pPr>
      <w:r>
        <w:rPr>
          <w:rFonts w:ascii="Times New Roman" w:hAnsi="Times New Roman" w:cs="Times New Roman"/>
          <w:szCs w:val="21"/>
          <w:lang w:val="zh-CN"/>
        </w:rPr>
        <w:t>投标人的澄清、说明或者补正不得超出投标文件的范围或者改变投标文件的实质性内容。</w:t>
      </w:r>
    </w:p>
    <w:p w14:paraId="226863D0">
      <w:pPr>
        <w:pStyle w:val="2"/>
        <w:spacing w:line="360" w:lineRule="auto"/>
        <w:rPr>
          <w:rFonts w:ascii="Times New Roman" w:hAnsi="Times New Roman" w:cs="Times New Roman"/>
          <w:szCs w:val="21"/>
          <w:lang w:val="zh-CN"/>
        </w:rPr>
      </w:pPr>
      <w:r>
        <w:rPr>
          <w:rFonts w:ascii="Times New Roman" w:hAnsi="Times New Roman" w:cs="Times New Roman"/>
          <w:szCs w:val="21"/>
          <w:lang w:val="zh-CN"/>
        </w:rPr>
        <w:t>评委会并非对每个投标人都做澄清要求。</w:t>
      </w:r>
    </w:p>
    <w:p w14:paraId="0F3FFAFC">
      <w:pPr>
        <w:pStyle w:val="2"/>
        <w:spacing w:line="360" w:lineRule="auto"/>
        <w:rPr>
          <w:rFonts w:ascii="Times New Roman" w:hAnsi="Times New Roman" w:cs="Times New Roman"/>
          <w:szCs w:val="21"/>
          <w:lang w:val="zh-CN"/>
        </w:rPr>
      </w:pPr>
      <w:r>
        <w:rPr>
          <w:rFonts w:ascii="Times New Roman" w:hAnsi="Times New Roman" w:cs="Times New Roman"/>
          <w:szCs w:val="21"/>
          <w:lang w:val="zh-CN"/>
        </w:rPr>
        <w:t>2</w:t>
      </w:r>
      <w:r>
        <w:rPr>
          <w:rFonts w:ascii="Times New Roman" w:hAnsi="Times New Roman" w:cs="Times New Roman"/>
          <w:szCs w:val="21"/>
        </w:rPr>
        <w:t>2</w:t>
      </w:r>
      <w:r>
        <w:rPr>
          <w:rFonts w:ascii="Times New Roman" w:hAnsi="Times New Roman" w:cs="Times New Roman"/>
          <w:szCs w:val="21"/>
          <w:lang w:val="zh-CN"/>
        </w:rPr>
        <w:t>.</w:t>
      </w:r>
      <w:r>
        <w:rPr>
          <w:rFonts w:ascii="Times New Roman" w:hAnsi="Times New Roman" w:cs="Times New Roman"/>
          <w:szCs w:val="21"/>
        </w:rPr>
        <w:t xml:space="preserve">2.3.2 </w:t>
      </w:r>
      <w:r>
        <w:rPr>
          <w:rFonts w:ascii="Times New Roman" w:hAnsi="Times New Roman" w:cs="Times New Roman"/>
          <w:szCs w:val="21"/>
          <w:lang w:val="zh-CN"/>
        </w:rPr>
        <w:t>需要供应商进行澄清、说明和补正的，评委会将通过苏采云系统向</w:t>
      </w:r>
      <w:r>
        <w:rPr>
          <w:rFonts w:ascii="Times New Roman" w:hAnsi="Times New Roman" w:cs="Times New Roman"/>
          <w:szCs w:val="21"/>
        </w:rPr>
        <w:t>投标人</w:t>
      </w:r>
      <w:r>
        <w:rPr>
          <w:rFonts w:ascii="Times New Roman" w:hAnsi="Times New Roman" w:cs="Times New Roman"/>
          <w:szCs w:val="21"/>
          <w:lang w:val="zh-CN"/>
        </w:rPr>
        <w:t>发出《澄清要求函》，接到《澄清要求函》的</w:t>
      </w:r>
      <w:r>
        <w:rPr>
          <w:rFonts w:ascii="Times New Roman" w:hAnsi="Times New Roman" w:cs="Times New Roman"/>
          <w:szCs w:val="21"/>
        </w:rPr>
        <w:t>投标人</w:t>
      </w:r>
      <w:r>
        <w:rPr>
          <w:rFonts w:ascii="Times New Roman" w:hAnsi="Times New Roman" w:cs="Times New Roman"/>
          <w:szCs w:val="21"/>
          <w:lang w:val="zh-CN"/>
        </w:rPr>
        <w:t>应当按照要求在苏采云系统中提交《澄清响应函》并加盖电子公章。澄清、说明和补正的内容作为投标文件的补充部分，具体操作方式见《操作手册》。</w:t>
      </w:r>
    </w:p>
    <w:p w14:paraId="3DCBF65A">
      <w:pPr>
        <w:pStyle w:val="2"/>
        <w:spacing w:line="360" w:lineRule="auto"/>
        <w:rPr>
          <w:rFonts w:ascii="Times New Roman" w:hAnsi="Times New Roman" w:cs="Times New Roman"/>
          <w:szCs w:val="21"/>
          <w:lang w:val="zh-CN"/>
        </w:rPr>
      </w:pPr>
      <w:r>
        <w:rPr>
          <w:rFonts w:ascii="Times New Roman" w:hAnsi="Times New Roman" w:cs="Times New Roman"/>
          <w:szCs w:val="21"/>
          <w:lang w:val="zh-CN"/>
        </w:rPr>
        <w:t>2</w:t>
      </w:r>
      <w:r>
        <w:rPr>
          <w:rFonts w:ascii="Times New Roman" w:hAnsi="Times New Roman" w:cs="Times New Roman"/>
          <w:szCs w:val="21"/>
        </w:rPr>
        <w:t>2</w:t>
      </w:r>
      <w:r>
        <w:rPr>
          <w:rFonts w:ascii="Times New Roman" w:hAnsi="Times New Roman" w:cs="Times New Roman"/>
          <w:szCs w:val="21"/>
          <w:lang w:val="zh-CN"/>
        </w:rPr>
        <w:t>.</w:t>
      </w:r>
      <w:r>
        <w:rPr>
          <w:rFonts w:ascii="Times New Roman" w:hAnsi="Times New Roman" w:cs="Times New Roman"/>
          <w:szCs w:val="21"/>
        </w:rPr>
        <w:t>2.3.3</w:t>
      </w:r>
      <w:r>
        <w:rPr>
          <w:rFonts w:ascii="Times New Roman" w:hAnsi="Times New Roman" w:cs="Times New Roman"/>
          <w:szCs w:val="21"/>
          <w:lang w:val="zh-CN"/>
        </w:rPr>
        <w:t xml:space="preserve"> 接到评委会澄清、说明和补正要求的，投标人如未按规定作出澄清、说明和补正，其风险由投标人自行承担。</w:t>
      </w:r>
    </w:p>
    <w:p w14:paraId="30927832">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（1）投标文件中开标一览表（报价表）内容与投标文件中相应内容不一致的，以开标一览表（报价表）为准；</w:t>
      </w:r>
    </w:p>
    <w:p w14:paraId="12FAE784">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（2）大写金额和小写金额不一致的，以大写金额为准；</w:t>
      </w:r>
    </w:p>
    <w:p w14:paraId="381CA654">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（3）单价金额小数点或者百分比有明显错位的，以开标一览表的总价为准，并修改单价；</w:t>
      </w:r>
    </w:p>
    <w:p w14:paraId="4A3A06DE">
      <w:pPr>
        <w:widowControl/>
        <w:shd w:val="clear" w:color="auto" w:fill="FFFFFF"/>
        <w:spacing w:line="360" w:lineRule="auto"/>
        <w:ind w:firstLine="420"/>
        <w:rPr>
          <w:rFonts w:ascii="Times New Roman" w:hAnsi="Times New Roman" w:cs="Times New Roman"/>
          <w:szCs w:val="21"/>
          <w:lang w:val="zh-CN"/>
        </w:rPr>
      </w:pPr>
      <w:r>
        <w:rPr>
          <w:rFonts w:ascii="Times New Roman" w:hAnsi="Times New Roman" w:cs="Times New Roman"/>
          <w:szCs w:val="21"/>
        </w:rPr>
        <w:t>（4）总价金额与按单价汇总金额不一致的，以单价金额计算结果为准。</w:t>
      </w:r>
    </w:p>
    <w:p w14:paraId="6A85DD3B">
      <w:pPr>
        <w:pStyle w:val="2"/>
        <w:spacing w:line="360" w:lineRule="auto"/>
        <w:rPr>
          <w:rFonts w:ascii="Times New Roman" w:hAnsi="Times New Roman" w:cs="Times New Roman"/>
          <w:szCs w:val="21"/>
          <w:lang w:val="zh-CN"/>
        </w:rPr>
      </w:pPr>
      <w:r>
        <w:rPr>
          <w:rFonts w:ascii="Times New Roman" w:hAnsi="Times New Roman" w:cs="Times New Roman"/>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31A6A661">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22.2.3.4</w:t>
      </w:r>
      <w:r>
        <w:rPr>
          <w:rFonts w:ascii="Times New Roman" w:hAnsi="Times New Roman" w:cs="Times New Roman"/>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cs="Times New Roman"/>
          <w:b/>
        </w:rPr>
        <w:t>投标人不能证明其报价合理性的，评标委员会将其作为无效投标处理。</w:t>
      </w:r>
    </w:p>
    <w:p w14:paraId="3389F4D0">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22.2.3.5投标人在开、评标全过程中应保持通讯畅通，及时登录苏采云系统查阅、答复相关信息，并安排专人与代理机构及评委会联系。</w:t>
      </w:r>
    </w:p>
    <w:p w14:paraId="7B30275A">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22.2.4</w:t>
      </w:r>
      <w:r>
        <w:rPr>
          <w:rFonts w:ascii="Times New Roman" w:hAnsi="Times New Roman" w:cs="Times New Roman"/>
          <w:bCs/>
          <w:szCs w:val="21"/>
        </w:rPr>
        <w:t>比较与评价。</w:t>
      </w:r>
      <w:r>
        <w:rPr>
          <w:rFonts w:ascii="Times New Roman" w:hAnsi="Times New Roman" w:cs="Times New Roman"/>
          <w:szCs w:val="21"/>
        </w:rPr>
        <w:t>评标委员会应当按照招标文件中规定的评标方法和标准，对符合性审查合格的投标文件进行商务和技术评估，综合比较与评价。</w:t>
      </w:r>
    </w:p>
    <w:p w14:paraId="1A344ABF">
      <w:pPr>
        <w:widowControl/>
        <w:shd w:val="clear" w:color="auto" w:fill="FFFFFF"/>
        <w:spacing w:line="360" w:lineRule="auto"/>
        <w:ind w:firstLine="420"/>
        <w:jc w:val="left"/>
        <w:rPr>
          <w:rFonts w:ascii="Times New Roman" w:hAnsi="Times New Roman" w:cs="Times New Roman"/>
        </w:rPr>
      </w:pPr>
      <w:r>
        <w:rPr>
          <w:rFonts w:ascii="Times New Roman" w:hAnsi="Times New Roman" w:cs="Times New Roman"/>
          <w:szCs w:val="21"/>
        </w:rPr>
        <w:t>22.2.5</w:t>
      </w:r>
      <w:r>
        <w:rPr>
          <w:rFonts w:ascii="Times New Roman" w:hAnsi="Times New Roman" w:cs="Times New Roman"/>
        </w:rPr>
        <w:t>相同品牌产品的投标</w:t>
      </w:r>
    </w:p>
    <w:p w14:paraId="67EF0822">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22AE9DAF">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341151F">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非单一产品采购项目，确定核心产品的方法在招标文件技术需求中载明。多家投标人提供的核心产品品牌相同的，按前两款规定处理。</w:t>
      </w:r>
    </w:p>
    <w:p w14:paraId="1830908A">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b/>
          <w:bCs/>
          <w:szCs w:val="21"/>
        </w:rPr>
        <w:t>22.3 评标方法和标准</w:t>
      </w:r>
    </w:p>
    <w:p w14:paraId="24FB050E">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22.3.1评标方法分为最低评标价法和综合评分法。本次招标的评标方法和标准，详见本招标文件第三章。</w:t>
      </w:r>
    </w:p>
    <w:p w14:paraId="009AA70C">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22.3.2最低评标价法，是指投标文件满足招标文件全部实质性要求，且投标报价最低的投标人为中标候选人的评标方法。</w:t>
      </w:r>
    </w:p>
    <w:p w14:paraId="093E7786">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采用最低评标价法评标时，除了算术修正和落实政府采购政策需进行的价格扣除外，不对投标人的投标价格进行任何调整。</w:t>
      </w:r>
    </w:p>
    <w:p w14:paraId="3124BE96">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22.3.3综合评分法，是指投标文件满足招标文件全部实质性要求，且按照评审因素的量化指标评审得分最高的投标人为中标候选人的评标方法。</w:t>
      </w:r>
    </w:p>
    <w:p w14:paraId="123DC1A6">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评审因素，包括价格、技术、商务等。</w:t>
      </w:r>
    </w:p>
    <w:p w14:paraId="6370AF93">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评标时，评标委员会各成员应当独立对每个投标人的投标文件进行评价，并汇总每个投标人的得分。</w:t>
      </w:r>
    </w:p>
    <w:p w14:paraId="0132F3DB">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价格分采用低价优先法计算，即满足招标文件要求且投标价格最低的投标报价为评标基准价，其价格分为满分。</w:t>
      </w:r>
    </w:p>
    <w:p w14:paraId="377B0B9E">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评标总得分＝F1×A1＋F2×A2＋……＋Fn×An</w:t>
      </w:r>
    </w:p>
    <w:p w14:paraId="3A4B1ACF">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F1、F2……Fn分别为各项评审因素的得分；</w:t>
      </w:r>
    </w:p>
    <w:p w14:paraId="180E63FF">
      <w:pPr>
        <w:widowControl/>
        <w:shd w:val="clear" w:color="auto" w:fill="FFFFFF"/>
        <w:spacing w:line="360" w:lineRule="auto"/>
        <w:ind w:firstLine="420"/>
        <w:jc w:val="left"/>
        <w:rPr>
          <w:rFonts w:ascii="Times New Roman" w:hAnsi="Times New Roman" w:eastAsia="宋体" w:cs="Times New Roman"/>
          <w:szCs w:val="21"/>
        </w:rPr>
      </w:pPr>
      <w:r>
        <w:rPr>
          <w:rFonts w:ascii="Times New Roman" w:hAnsi="Times New Roman" w:eastAsia="宋体" w:cs="Times New Roman"/>
          <w:szCs w:val="21"/>
        </w:rPr>
        <w:t>A1、A2、……An 分别为各项评审因素所占的权重(A1＋A2＋……＋An＝1)。</w:t>
      </w:r>
    </w:p>
    <w:p w14:paraId="735C58C2">
      <w:pPr>
        <w:widowControl/>
        <w:shd w:val="clear" w:color="auto" w:fill="FFFFFF"/>
        <w:spacing w:line="360" w:lineRule="auto"/>
        <w:ind w:left="0" w:firstLine="0"/>
        <w:jc w:val="left"/>
        <w:rPr>
          <w:rFonts w:ascii="Times New Roman" w:hAnsi="Times New Roman" w:eastAsia="宋体" w:cs="Times New Roman"/>
          <w:szCs w:val="21"/>
        </w:rPr>
      </w:pPr>
      <w:r>
        <w:rPr>
          <w:rFonts w:ascii="Times New Roman" w:hAnsi="Times New Roman" w:eastAsia="宋体" w:cs="Times New Roman"/>
          <w:szCs w:val="21"/>
        </w:rPr>
        <w:t>因落实政府采购政策进行价格调整的，以调整后的价格计算评标基准价和投标报价。</w:t>
      </w:r>
    </w:p>
    <w:p w14:paraId="61468A15">
      <w:pPr>
        <w:keepNext w:val="0"/>
        <w:keepLines w:val="0"/>
        <w:pageBreakBefore w:val="0"/>
        <w:widowControl/>
        <w:shd w:val="clear" w:color="auto" w:fill="FFFFFF"/>
        <w:spacing w:line="360" w:lineRule="auto"/>
        <w:ind w:left="0" w:firstLine="422"/>
        <w:jc w:val="left"/>
        <w:rPr>
          <w:rFonts w:ascii="Times New Roman" w:hAnsi="Times New Roman" w:cs="Times New Roman"/>
          <w:b/>
          <w:bCs/>
          <w:sz w:val="21"/>
          <w:szCs w:val="21"/>
          <w:highlight w:val="none"/>
          <w:lang w:eastAsia="zh-CN"/>
        </w:rPr>
      </w:pPr>
      <w:r>
        <w:rPr>
          <w:rFonts w:ascii="Times New Roman" w:hAnsi="Times New Roman" w:cs="Times New Roman"/>
          <w:b/>
          <w:bCs/>
          <w:szCs w:val="21"/>
          <w:highlight w:val="none"/>
          <w:lang w:val="en-US" w:eastAsia="zh-CN"/>
        </w:rPr>
        <w:t xml:space="preserve">22.4 </w:t>
      </w:r>
      <w:r>
        <w:rPr>
          <w:rFonts w:ascii="Times New Roman" w:hAnsi="Times New Roman" w:cs="Times New Roman"/>
          <w:b/>
          <w:bCs/>
          <w:szCs w:val="21"/>
          <w:highlight w:val="none"/>
        </w:rPr>
        <w:t>评标</w:t>
      </w:r>
      <w:r>
        <w:rPr>
          <w:rFonts w:ascii="Times New Roman" w:hAnsi="Times New Roman" w:eastAsia="宋体" w:cs="Times New Roman"/>
          <w:b/>
          <w:bCs/>
          <w:sz w:val="21"/>
          <w:szCs w:val="21"/>
          <w:highlight w:val="none"/>
        </w:rPr>
        <w:t>委员会启动异常低价投标审查的情形和具体要求</w:t>
      </w:r>
    </w:p>
    <w:p w14:paraId="404E6564">
      <w:pPr>
        <w:widowControl/>
        <w:shd w:val="clear" w:color="auto" w:fill="FFFFFF"/>
        <w:spacing w:line="360" w:lineRule="auto"/>
        <w:ind w:left="420" w:firstLine="0"/>
        <w:jc w:val="left"/>
        <w:rPr>
          <w:rFonts w:ascii="Times New Roman" w:hAnsi="Times New Roman" w:eastAsia="宋体" w:cs="Times New Roman"/>
          <w:b w:val="0"/>
          <w:sz w:val="21"/>
          <w:szCs w:val="21"/>
          <w:highlight w:val="none"/>
        </w:rPr>
      </w:pPr>
      <w:r>
        <w:rPr>
          <w:rFonts w:ascii="Times New Roman" w:hAnsi="Times New Roman" w:cs="Times New Roman"/>
          <w:b w:val="0"/>
          <w:sz w:val="21"/>
          <w:szCs w:val="21"/>
          <w:highlight w:val="none"/>
          <w:lang w:eastAsia="zh-CN"/>
        </w:rPr>
        <w:t>2</w:t>
      </w:r>
      <w:r>
        <w:rPr>
          <w:rFonts w:ascii="Times New Roman" w:hAnsi="Times New Roman" w:cs="Times New Roman"/>
          <w:b w:val="0"/>
          <w:sz w:val="21"/>
          <w:szCs w:val="21"/>
          <w:highlight w:val="none"/>
          <w:lang w:val="en-US" w:eastAsia="zh-CN"/>
        </w:rPr>
        <w:t>2.4.1</w:t>
      </w:r>
      <w:r>
        <w:rPr>
          <w:rFonts w:ascii="Times New Roman" w:hAnsi="Times New Roman" w:eastAsia="宋体" w:cs="Times New Roman"/>
          <w:b w:val="0"/>
          <w:sz w:val="21"/>
          <w:szCs w:val="21"/>
          <w:highlight w:val="none"/>
        </w:rPr>
        <w:t>评</w:t>
      </w:r>
      <w:r>
        <w:rPr>
          <w:rFonts w:ascii="Times New Roman" w:hAnsi="Times New Roman" w:cs="Times New Roman"/>
          <w:b w:val="0"/>
          <w:sz w:val="21"/>
          <w:szCs w:val="21"/>
          <w:highlight w:val="none"/>
          <w:lang w:val="en-US" w:eastAsia="zh-CN"/>
        </w:rPr>
        <w:t>标</w:t>
      </w:r>
      <w:r>
        <w:rPr>
          <w:rFonts w:ascii="Times New Roman" w:hAnsi="Times New Roman" w:eastAsia="宋体" w:cs="Times New Roman"/>
          <w:b w:val="0"/>
          <w:sz w:val="21"/>
          <w:szCs w:val="21"/>
          <w:highlight w:val="none"/>
        </w:rPr>
        <w:t>过程中出现下列情形之一的，</w:t>
      </w:r>
      <w:r>
        <w:rPr>
          <w:rFonts w:ascii="Times New Roman" w:hAnsi="Times New Roman" w:cs="Times New Roman"/>
          <w:szCs w:val="21"/>
          <w:highlight w:val="none"/>
        </w:rPr>
        <w:t>评标</w:t>
      </w:r>
      <w:r>
        <w:rPr>
          <w:rFonts w:ascii="Times New Roman" w:hAnsi="Times New Roman" w:eastAsia="宋体" w:cs="Times New Roman"/>
          <w:b w:val="0"/>
          <w:sz w:val="21"/>
          <w:szCs w:val="21"/>
          <w:highlight w:val="none"/>
        </w:rPr>
        <w:t>委员会应当启动异常低价投标审查程序：</w:t>
      </w:r>
    </w:p>
    <w:p w14:paraId="20091BE4">
      <w:pPr>
        <w:widowControl/>
        <w:shd w:val="clear" w:color="auto" w:fill="FFFFFF"/>
        <w:spacing w:line="360" w:lineRule="auto"/>
        <w:ind w:left="420" w:firstLine="0"/>
        <w:jc w:val="left"/>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（1）投标报价低于全部通过符合性审查投标人投标报价平均值50%的，即投标报价&lt;全部通过符合性审查投标人投标报价平均值×50%；</w:t>
      </w:r>
    </w:p>
    <w:p w14:paraId="340CDA97">
      <w:pPr>
        <w:widowControl/>
        <w:shd w:val="clear" w:color="auto" w:fill="FFFFFF"/>
        <w:spacing w:line="360" w:lineRule="auto"/>
        <w:ind w:left="0" w:firstLine="420"/>
        <w:jc w:val="left"/>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（2）投标报价低于通过符合性审查的次低报价投标人投标报价50%的，即投标报价&lt;通过符合性审查的次低报价投标人投标报价×50%；</w:t>
      </w:r>
    </w:p>
    <w:p w14:paraId="48068F29">
      <w:pPr>
        <w:widowControl/>
        <w:shd w:val="clear" w:color="auto" w:fill="FFFFFF"/>
        <w:spacing w:line="360" w:lineRule="auto"/>
        <w:ind w:left="0" w:firstLine="420"/>
        <w:jc w:val="left"/>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（3）投标报价低于本项目最高限价45%的，即投标报价&lt;本项目最高限价×45%；</w:t>
      </w:r>
    </w:p>
    <w:p w14:paraId="56B32258">
      <w:pPr>
        <w:widowControl/>
        <w:shd w:val="clear" w:color="auto" w:fill="FFFFFF"/>
        <w:spacing w:line="360" w:lineRule="auto"/>
        <w:ind w:left="0" w:firstLine="420"/>
        <w:jc w:val="left"/>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（4）评标委员会基于专业判断，认为投标人报价过低，有可能影响产品质量或者不能诚信履约的其他情形。</w:t>
      </w:r>
    </w:p>
    <w:p w14:paraId="5A6A89CD">
      <w:pPr>
        <w:keepNext w:val="0"/>
        <w:keepLines w:val="0"/>
        <w:pageBreakBefore w:val="0"/>
        <w:widowControl/>
        <w:shd w:val="clear" w:color="auto" w:fill="FFFFFF"/>
        <w:spacing w:line="360" w:lineRule="auto"/>
        <w:ind w:left="0" w:firstLine="420"/>
        <w:jc w:val="left"/>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03FC46BF">
      <w:pPr>
        <w:keepNext w:val="0"/>
        <w:keepLines w:val="0"/>
        <w:pageBreakBefore w:val="0"/>
        <w:widowControl/>
        <w:shd w:val="clear" w:color="auto" w:fill="FFFFFF"/>
        <w:spacing w:line="360" w:lineRule="auto"/>
        <w:ind w:left="0" w:firstLine="420"/>
        <w:jc w:val="left"/>
        <w:rPr>
          <w:rFonts w:ascii="Times New Roman" w:hAnsi="Times New Roman" w:cs="Times New Roman"/>
          <w:b/>
          <w:bCs/>
          <w:sz w:val="21"/>
          <w:szCs w:val="21"/>
          <w:highlight w:val="none"/>
          <w:lang w:val="en-US" w:eastAsia="zh-CN"/>
        </w:rPr>
      </w:pPr>
      <w:r>
        <w:rPr>
          <w:rFonts w:ascii="Times New Roman" w:hAnsi="Times New Roman" w:cs="Times New Roman"/>
          <w:b w:val="0"/>
          <w:sz w:val="21"/>
          <w:szCs w:val="21"/>
          <w:highlight w:val="none"/>
          <w:lang w:val="en-US" w:eastAsia="zh-CN"/>
        </w:rPr>
        <w:t>22.4.3评标委员会依据专业经验，参考同类项目中标（成交）价格、类似产品市场价格水平、行业人工费用标准、国家有关部门指导行业协会发布的行业平均成本等情况，对报价合理性进行判断。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cs="Times New Roman"/>
          <w:b/>
          <w:bCs/>
          <w:sz w:val="21"/>
          <w:szCs w:val="21"/>
          <w:highlight w:val="none"/>
          <w:lang w:val="en-US" w:eastAsia="zh-CN"/>
        </w:rPr>
        <w:t>投标人不能提供书面说明、证明材料，或者提供的书面说明、证明材料不能证明其报价合理性的，评审委员会应当将其作为无效投标处理。</w:t>
      </w:r>
    </w:p>
    <w:p w14:paraId="2C467331">
      <w:pPr>
        <w:keepNext w:val="0"/>
        <w:keepLines w:val="0"/>
        <w:pageBreakBefore w:val="0"/>
        <w:widowControl/>
        <w:shd w:val="clear" w:color="auto" w:fill="FFFFFF"/>
        <w:spacing w:line="360" w:lineRule="auto"/>
        <w:ind w:left="0" w:firstLine="420"/>
        <w:jc w:val="left"/>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22.4.4异常低价投标审查的启动原因、审查意见和审查结果应当在评标报告中记录，并随投标人提供的相关书面说明及证明材料，以及评标委员会有关互联网浏览、查询历史一并归档。</w:t>
      </w:r>
    </w:p>
    <w:p w14:paraId="652EF70B">
      <w:pPr>
        <w:widowControl/>
        <w:shd w:val="clear" w:color="auto" w:fill="FFFFFF"/>
        <w:spacing w:line="360" w:lineRule="auto"/>
        <w:ind w:firstLine="420"/>
        <w:rPr>
          <w:rFonts w:ascii="Times New Roman" w:hAnsi="Times New Roman" w:eastAsia="宋体" w:cs="Times New Roman"/>
          <w:b/>
          <w:szCs w:val="21"/>
        </w:rPr>
      </w:pPr>
      <w:r>
        <w:rPr>
          <w:rFonts w:ascii="Times New Roman" w:hAnsi="Times New Roman" w:eastAsia="宋体" w:cs="Times New Roman"/>
          <w:b/>
          <w:bCs/>
          <w:szCs w:val="21"/>
        </w:rPr>
        <w:t>23、</w:t>
      </w:r>
      <w:r>
        <w:rPr>
          <w:rFonts w:ascii="Times New Roman" w:hAnsi="Times New Roman" w:eastAsia="宋体" w:cs="Times New Roman"/>
          <w:b/>
          <w:szCs w:val="21"/>
        </w:rPr>
        <w:t>确定中标人</w:t>
      </w:r>
    </w:p>
    <w:p w14:paraId="4890BD98">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23.1 采用最低评标价法的，评标结果按投标报价由低到高顺序排列。投标报价相同的并列。投标文件满足招标文件全部实质性要求且投标报价最低的投标人为排名第一的中标候选人。</w:t>
      </w:r>
    </w:p>
    <w:p w14:paraId="7CE2A6F2">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B916652">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13C4FA67">
      <w:pPr>
        <w:widowControl/>
        <w:shd w:val="clear" w:color="auto" w:fill="FFFFFF"/>
        <w:spacing w:line="360" w:lineRule="auto"/>
        <w:ind w:firstLine="420"/>
        <w:rPr>
          <w:rFonts w:ascii="Times New Roman" w:hAnsi="Times New Roman" w:cs="Times New Roman"/>
          <w:szCs w:val="21"/>
        </w:rPr>
      </w:pPr>
      <w:r>
        <w:rPr>
          <w:rFonts w:ascii="Times New Roman" w:hAnsi="Times New Roman" w:cs="Times New Roman"/>
          <w:szCs w:val="21"/>
        </w:rPr>
        <w:t>因系统存储空间有限，中标结果公告届满之日起三十日后，苏采云系统不再保证提供下载《中标通知书》服务，因未及时下载而造成的不利后果由中标人自行承担。</w:t>
      </w:r>
    </w:p>
    <w:p w14:paraId="3566C591">
      <w:pPr>
        <w:widowControl/>
        <w:shd w:val="clear" w:color="auto" w:fill="FFFFFF"/>
        <w:spacing w:line="360" w:lineRule="auto"/>
        <w:ind w:firstLine="420"/>
        <w:rPr>
          <w:rFonts w:ascii="Times New Roman" w:hAnsi="Times New Roman" w:cs="Times New Roman"/>
          <w:b/>
          <w:szCs w:val="21"/>
        </w:rPr>
      </w:pPr>
      <w:r>
        <w:rPr>
          <w:rFonts w:ascii="Times New Roman" w:hAnsi="Times New Roman" w:cs="Times New Roman"/>
          <w:b/>
          <w:bCs/>
          <w:szCs w:val="21"/>
        </w:rPr>
        <w:t>23.4 中标通知书对采购人和中标人具有同等法律效力。中标通知书发出后，采购人不得</w:t>
      </w:r>
      <w:r>
        <w:rPr>
          <w:rFonts w:ascii="Times New Roman" w:hAnsi="Times New Roman" w:cs="Times New Roman"/>
          <w:b/>
          <w:szCs w:val="21"/>
        </w:rPr>
        <w:t>违法改变中标结果，中标人无正当理由不得放弃中标。</w:t>
      </w:r>
    </w:p>
    <w:p w14:paraId="1D0FC750">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cs="Times New Roman"/>
          <w:szCs w:val="21"/>
        </w:rPr>
        <w:t>23.5 所有投标文件不论中标与否，均不退回。</w:t>
      </w:r>
    </w:p>
    <w:p w14:paraId="36E57EAC">
      <w:pPr>
        <w:widowControl/>
        <w:shd w:val="clear" w:color="auto" w:fill="FFFFFF"/>
        <w:spacing w:line="360" w:lineRule="auto"/>
        <w:ind w:firstLine="412"/>
        <w:rPr>
          <w:rFonts w:ascii="Times New Roman" w:hAnsi="Times New Roman" w:eastAsia="宋体" w:cs="Times New Roman"/>
          <w:szCs w:val="21"/>
        </w:rPr>
      </w:pPr>
      <w:r>
        <w:rPr>
          <w:rFonts w:ascii="Times New Roman" w:hAnsi="Times New Roman" w:eastAsia="宋体" w:cs="Times New Roman"/>
          <w:b/>
          <w:bCs/>
          <w:szCs w:val="21"/>
        </w:rPr>
        <w:t>24、编写评标报告</w:t>
      </w:r>
    </w:p>
    <w:p w14:paraId="49958721">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24.1评标委员会根据全体评标成员签字的原始评标记录和评标结果编写评标报告。</w:t>
      </w:r>
    </w:p>
    <w:p w14:paraId="69921D21">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25、评标过程的保密性</w:t>
      </w:r>
    </w:p>
    <w:p w14:paraId="6AC5C6AA">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25.1 招标人和招标代理机构将采取必要措施，保证评标在严格保密的情况下进行。</w:t>
      </w:r>
    </w:p>
    <w:p w14:paraId="451362BC">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25.2 任何单位和个人不得非法干预、影响评标办法的确定，以及评标过程和结果。</w:t>
      </w:r>
    </w:p>
    <w:p w14:paraId="30BB3DD0">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25.3 凡是与审查、澄清、评价和比较投标的有关资料等，均不向投标人及与评标无关的其他人员透露。</w:t>
      </w:r>
    </w:p>
    <w:p w14:paraId="327C3307">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六、签订合同</w:t>
      </w:r>
    </w:p>
    <w:p w14:paraId="4B7BDF03">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26、签订合同</w:t>
      </w:r>
    </w:p>
    <w:p w14:paraId="2B886FF3">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26.1招标人与中标人应当自中标通知书发出之日起30日内，按照招标文件和中标人投标文件的规定，签订书面合同。所签订的合同不得对招标文件确定的事项和中标人投标文件作实质性修改。</w:t>
      </w:r>
    </w:p>
    <w:p w14:paraId="146CBC72">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26.2招标人不得向中标人提出任何不合理的要求作为签订合同的条件。</w:t>
      </w:r>
    </w:p>
    <w:p w14:paraId="4AF987FA">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26.3中标人拒绝与采购人签订合同的，招标人可以按照评审报告推荐的中标或者成交候选人名单排序，确定下一候选人为中标或者成交供应商，也可以重新开展政府采购活动。</w:t>
      </w:r>
    </w:p>
    <w:p w14:paraId="1AF2DD75">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26.4 政府采购合同履行中，招标人需追加与合同标的相同的货物或者服务的，在不改变合同其他条款的前提下，可以与供应商协商签订补充合同，但所有补充合同的采购金额不得超过原合同采购金额的百分之十。</w:t>
      </w:r>
    </w:p>
    <w:p w14:paraId="1FDEB36A">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26.5 招标人与中标人应当根据合同的约定依法履行合同义务。</w:t>
      </w:r>
    </w:p>
    <w:p w14:paraId="5644FE14">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七、质疑</w:t>
      </w:r>
    </w:p>
    <w:p w14:paraId="35FB93F2">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b/>
          <w:bCs/>
          <w:szCs w:val="21"/>
        </w:rPr>
        <w:t>27、质疑</w:t>
      </w:r>
    </w:p>
    <w:p w14:paraId="3F779DF6">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27.1供应商对招标活动事项有疑问的，可以向招标代理机构提出询问，招标代理机构将依法作出答复，但答复的内容不涉及商业秘密</w:t>
      </w:r>
      <w:r>
        <w:rPr>
          <w:rFonts w:ascii="Times New Roman" w:hAnsi="Times New Roman" w:eastAsia="宋体" w:cs="Times New Roman"/>
          <w:b/>
          <w:bCs/>
          <w:szCs w:val="21"/>
        </w:rPr>
        <w:t>。</w:t>
      </w:r>
    </w:p>
    <w:p w14:paraId="4EF086BB">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27.2提出质疑的供应商应当是参与所质疑项目采购活动的供应商。潜在供应商已依法获取其可质疑的采购文件的，可以对该文件提出质疑。</w:t>
      </w:r>
    </w:p>
    <w:p w14:paraId="43CAFDF1">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以联合体形式参加政府采购活动的，其质疑应当由组成联合体的所有供应商共同提出。</w:t>
      </w:r>
    </w:p>
    <w:p w14:paraId="3F0EC282">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27.3供应商认为采购文件、采购过程和中标结果使自己的合法权益受到损害的，可以在知道或者应知其权益受到损害之日起七个工作日内，将质疑文件原件送达采购人或采购代理机构。</w:t>
      </w:r>
    </w:p>
    <w:p w14:paraId="39BD1837">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72D3545E">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rPr>
        <w:t>供应商必须在法定质疑期内一次性提出针对同一采购程序环节的质疑。</w:t>
      </w:r>
    </w:p>
    <w:p w14:paraId="009EA6D6">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27.4 供应商提出质疑应当提交质疑函和必要的证明材料。质疑函应当包括下列内容：</w:t>
      </w:r>
    </w:p>
    <w:p w14:paraId="1C53D518">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　　（一）供应商的姓名或者名称、地址、邮编、联系人及联系电话；</w:t>
      </w:r>
    </w:p>
    <w:p w14:paraId="0AF4C7FE">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　　（二）质疑项目的名称、编号；</w:t>
      </w:r>
    </w:p>
    <w:p w14:paraId="262DEB1C">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　　（三）具体、明确的质疑事项和与质疑事项相关的请求（具体条款）；</w:t>
      </w:r>
    </w:p>
    <w:p w14:paraId="728943FD">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　　（四）事实依据（具体条款）；</w:t>
      </w:r>
    </w:p>
    <w:p w14:paraId="01C719BC">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　　（五）必要的法律依据（具体条款）；</w:t>
      </w:r>
    </w:p>
    <w:p w14:paraId="39895FCE">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　　（六）提出质疑的日期。</w:t>
      </w:r>
    </w:p>
    <w:p w14:paraId="06508466">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DB51A4A">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质疑函应当使用中文。相关当事人提供外文书证或者外国语视听资料的，应当附有中文译本，由翻译机构盖章或者翻译人员签名。</w:t>
      </w:r>
    </w:p>
    <w:p w14:paraId="422F757B">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27.5质疑函应当现场提交至采购代理机构联系人处，提交时应出示有效身份证明。未按上述要求提交质疑函的，质疑不予受理。</w:t>
      </w:r>
    </w:p>
    <w:p w14:paraId="7EBB4FE6">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144C21BE">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27.7采购代理机构在收到投标人的书面质疑后将及时组织调查核实，在</w:t>
      </w:r>
      <w:r>
        <w:rPr>
          <w:rFonts w:ascii="Times New Roman" w:hAnsi="Times New Roman" w:eastAsia="宋体" w:cs="Times New Roman"/>
          <w:b/>
          <w:bCs/>
          <w:szCs w:val="21"/>
        </w:rPr>
        <w:t>七个工作日内</w:t>
      </w:r>
      <w:r>
        <w:rPr>
          <w:rFonts w:ascii="Times New Roman" w:hAnsi="Times New Roman" w:eastAsia="宋体" w:cs="Times New Roman"/>
          <w:szCs w:val="21"/>
        </w:rPr>
        <w:t>作出答复，并以书面或在网站公告形式通知质疑投标人和其他有关投标人，答复的内容不涉及商业秘密。</w:t>
      </w:r>
    </w:p>
    <w:p w14:paraId="631A0558">
      <w:pPr>
        <w:widowControl/>
        <w:shd w:val="clear" w:color="auto" w:fill="FFFFFF"/>
        <w:spacing w:line="360" w:lineRule="auto"/>
        <w:ind w:firstLine="420"/>
        <w:rPr>
          <w:rFonts w:ascii="Times New Roman" w:hAnsi="Times New Roman" w:eastAsia="宋体" w:cs="Times New Roman"/>
          <w:szCs w:val="21"/>
        </w:rPr>
      </w:pPr>
      <w:r>
        <w:rPr>
          <w:rFonts w:ascii="Times New Roman" w:hAnsi="Times New Roman" w:eastAsia="宋体" w:cs="Times New Roman"/>
          <w:szCs w:val="21"/>
        </w:rPr>
        <w:t>任何单位和个人对代理机构在招标采购活动中的违法行为，有权控告和检举，联系电话：025-86636139（招标代理机构质量管理部门）、025-86636853（招标代理机构纪检监察部门）。</w:t>
      </w:r>
    </w:p>
    <w:p w14:paraId="2BECEE3D">
      <w:pPr>
        <w:widowControl/>
        <w:shd w:val="clear" w:color="auto" w:fill="FFFFFF"/>
        <w:spacing w:line="420" w:lineRule="exact"/>
        <w:ind w:firstLine="420"/>
        <w:rPr>
          <w:rFonts w:ascii="Times New Roman" w:hAnsi="Times New Roman" w:eastAsia="宋体" w:cs="Times New Roman"/>
          <w:szCs w:val="21"/>
        </w:rPr>
      </w:pPr>
      <w:r>
        <w:rPr>
          <w:rFonts w:ascii="Times New Roman" w:hAnsi="Times New Roman" w:eastAsia="宋体" w:cs="Times New Roman"/>
          <w:b/>
          <w:bCs/>
          <w:szCs w:val="21"/>
        </w:rPr>
        <w:t>28、投诉</w:t>
      </w:r>
    </w:p>
    <w:p w14:paraId="6CA39391">
      <w:pPr>
        <w:spacing w:line="420" w:lineRule="exact"/>
        <w:ind w:firstLine="420"/>
        <w:rPr>
          <w:rFonts w:ascii="Times New Roman" w:hAnsi="Times New Roman" w:eastAsia="宋体" w:cs="Times New Roman"/>
        </w:rPr>
      </w:pPr>
      <w:r>
        <w:rPr>
          <w:rFonts w:ascii="Times New Roman" w:hAnsi="Times New Roman" w:eastAsia="宋体" w:cs="Times New Roman"/>
        </w:rPr>
        <w:t>28.1质疑供应商对采购代理机构的答复不满意或者采购代理机构未在规定的时间内作出答复的，可以在答复期满后十五个工作日内向同级政府采购监督管理部门投诉。</w:t>
      </w:r>
    </w:p>
    <w:p w14:paraId="6E7B82DB">
      <w:pPr>
        <w:spacing w:line="420" w:lineRule="exact"/>
        <w:ind w:firstLine="420"/>
        <w:rPr>
          <w:rFonts w:ascii="Times New Roman" w:hAnsi="Times New Roman" w:eastAsia="宋体" w:cs="Times New Roman"/>
        </w:rPr>
      </w:pPr>
      <w:r>
        <w:rPr>
          <w:rFonts w:ascii="Times New Roman" w:hAnsi="Times New Roman" w:eastAsia="宋体" w:cs="Times New Roman"/>
          <w:szCs w:val="21"/>
        </w:rPr>
        <w:t>28.2供应商投诉应当有明确的请求和必要的证明材料。供应商投诉的事项不得超出已质疑事项的范围。</w:t>
      </w:r>
    </w:p>
    <w:p w14:paraId="55CD07EF">
      <w:pPr>
        <w:spacing w:line="420" w:lineRule="exact"/>
        <w:ind w:firstLine="420"/>
        <w:rPr>
          <w:rFonts w:ascii="Times New Roman" w:hAnsi="Times New Roman" w:eastAsia="宋体" w:cs="Times New Roman"/>
        </w:rPr>
      </w:pPr>
      <w:r>
        <w:rPr>
          <w:rFonts w:ascii="Times New Roman" w:hAnsi="Times New Roman" w:eastAsia="宋体" w:cs="Times New Roman"/>
          <w:szCs w:val="21"/>
        </w:rPr>
        <w:t>28.3投诉人对</w:t>
      </w:r>
      <w:r>
        <w:rPr>
          <w:rFonts w:ascii="Times New Roman" w:hAnsi="Times New Roman" w:eastAsia="宋体" w:cs="Times New Roman"/>
        </w:rPr>
        <w:t>同级政府采购监督管理部门</w:t>
      </w:r>
      <w:r>
        <w:rPr>
          <w:rFonts w:ascii="Times New Roman" w:hAnsi="Times New Roman" w:eastAsia="宋体" w:cs="Times New Roman"/>
          <w:szCs w:val="21"/>
        </w:rPr>
        <w:t>的投诉处理决定不服或者采购人逾期未作处理的，可以依法申请行政复议或者向人民法院提起行政诉讼。</w:t>
      </w:r>
    </w:p>
    <w:p w14:paraId="51CF4969">
      <w:pPr>
        <w:spacing w:line="420" w:lineRule="exact"/>
        <w:ind w:firstLine="420"/>
        <w:rPr>
          <w:rFonts w:ascii="Times New Roman" w:hAnsi="Times New Roman" w:eastAsia="宋体" w:cs="Times New Roman"/>
          <w:szCs w:val="21"/>
        </w:rPr>
      </w:pPr>
      <w:r>
        <w:rPr>
          <w:rFonts w:ascii="Times New Roman" w:hAnsi="Times New Roman" w:eastAsia="宋体" w:cs="Times New Roman"/>
        </w:rPr>
        <w:t>28.4 投诉人有下列行为之一的，属于严重失信行为，</w:t>
      </w:r>
      <w:r>
        <w:rPr>
          <w:rFonts w:ascii="Times New Roman" w:hAnsi="Times New Roman" w:eastAsia="宋体" w:cs="Times New Roman"/>
          <w:szCs w:val="21"/>
        </w:rPr>
        <w:t>由财政部门列入不良行为记录名单，禁止其一至三年内参加政府采购活动。</w:t>
      </w:r>
    </w:p>
    <w:p w14:paraId="0A127060">
      <w:pPr>
        <w:spacing w:line="420" w:lineRule="exact"/>
        <w:ind w:firstLine="420"/>
        <w:rPr>
          <w:rFonts w:ascii="Times New Roman" w:hAnsi="Times New Roman" w:eastAsia="宋体" w:cs="Times New Roman"/>
        </w:rPr>
      </w:pPr>
      <w:r>
        <w:rPr>
          <w:rFonts w:ascii="Times New Roman" w:hAnsi="Times New Roman" w:eastAsia="宋体" w:cs="Times New Roman"/>
        </w:rPr>
        <w:t>（1）投诉人在全国范围12个月内三次以上投诉查无实据的；</w:t>
      </w:r>
    </w:p>
    <w:p w14:paraId="2369E47E">
      <w:pPr>
        <w:spacing w:line="420" w:lineRule="exact"/>
        <w:ind w:firstLine="420"/>
        <w:rPr>
          <w:rFonts w:ascii="Times New Roman" w:hAnsi="Times New Roman" w:eastAsia="宋体" w:cs="Times New Roman"/>
        </w:rPr>
      </w:pPr>
      <w:r>
        <w:rPr>
          <w:rFonts w:ascii="Times New Roman" w:hAnsi="Times New Roman" w:eastAsia="宋体" w:cs="Times New Roman"/>
        </w:rPr>
        <w:t>（2）采用捏造事实、提供虚假材料或者以非法手段取得证明材料等方式进行虚假、恶意投诉。</w:t>
      </w:r>
    </w:p>
    <w:p w14:paraId="67CAEC96">
      <w:pPr>
        <w:spacing w:line="420" w:lineRule="exact"/>
        <w:ind w:firstLine="420"/>
        <w:rPr>
          <w:rFonts w:ascii="Times New Roman" w:hAnsi="Times New Roman" w:eastAsia="宋体" w:cs="Times New Roman"/>
        </w:rPr>
      </w:pPr>
      <w:r>
        <w:rPr>
          <w:rFonts w:ascii="Times New Roman" w:hAnsi="Times New Roman" w:eastAsia="宋体" w:cs="Times New Roman"/>
        </w:rPr>
        <w:t>证据来源的合法性存在明显疑问，投诉人无法证明其取得方式合法的，视为以非法手段取得证明材料。</w:t>
      </w:r>
    </w:p>
    <w:p w14:paraId="26EEB1ED">
      <w:pPr>
        <w:widowControl/>
        <w:numPr>
          <w:ilvl w:val="0"/>
          <w:numId w:val="4"/>
        </w:numPr>
        <w:shd w:val="clear" w:color="auto" w:fill="FFFFFF"/>
        <w:spacing w:line="360" w:lineRule="auto"/>
        <w:ind w:left="0" w:firstLine="420"/>
        <w:rPr>
          <w:rFonts w:ascii="Times New Roman" w:hAnsi="Times New Roman" w:eastAsia="宋体" w:cs="Times New Roman"/>
          <w:b/>
          <w:bCs/>
          <w:szCs w:val="21"/>
        </w:rPr>
      </w:pPr>
      <w:r>
        <w:rPr>
          <w:rFonts w:ascii="Times New Roman" w:hAnsi="Times New Roman" w:eastAsia="宋体" w:cs="Times New Roman"/>
        </w:rPr>
        <w:t> </w:t>
      </w:r>
      <w:r>
        <w:rPr>
          <w:rFonts w:ascii="Times New Roman" w:hAnsi="Times New Roman" w:cs="Times New Roman"/>
          <w:b/>
          <w:bCs/>
          <w:szCs w:val="21"/>
          <w:lang w:eastAsia="zh-CN"/>
        </w:rPr>
        <w:t>其他</w:t>
      </w:r>
    </w:p>
    <w:p w14:paraId="227B1960">
      <w:pPr>
        <w:rPr>
          <w:rFonts w:ascii="Times New Roman" w:hAnsi="Times New Roman" w:eastAsia="宋体" w:cs="Times New Roman"/>
        </w:rPr>
      </w:pPr>
      <w:r>
        <w:rPr>
          <w:rFonts w:ascii="Times New Roman" w:hAnsi="Times New Roman" w:eastAsia="宋体" w:cs="Times New Roman"/>
        </w:rPr>
        <w:t xml:space="preserve">    29.1本项目根据江苏省财政厅关于加强政府绿色采购有关事项的通知（苏财购</w:t>
      </w:r>
      <w:r>
        <w:rPr>
          <w:rFonts w:ascii="Times New Roman" w:hAnsi="Times New Roman" w:eastAsia="宋体" w:cs="Times New Roman"/>
          <w:szCs w:val="21"/>
        </w:rPr>
        <w:t>〔2023〕65号</w:t>
      </w:r>
      <w:r>
        <w:rPr>
          <w:rFonts w:ascii="Times New Roman" w:hAnsi="Times New Roman" w:eastAsia="宋体" w:cs="Times New Roman"/>
        </w:rPr>
        <w:t>）规定，执行绿色采购需求标准。</w:t>
      </w:r>
    </w:p>
    <w:p w14:paraId="15204131">
      <w:pPr>
        <w:pStyle w:val="3"/>
        <w:numPr>
          <w:ilvl w:val="0"/>
          <w:numId w:val="0"/>
        </w:numPr>
        <w:rPr>
          <w:rFonts w:ascii="Times New Roman" w:hAnsi="Times New Roman" w:eastAsia="宋体" w:cs="Times New Roman"/>
          <w:sz w:val="28"/>
          <w:szCs w:val="40"/>
        </w:rPr>
      </w:pPr>
      <w:r>
        <w:rPr>
          <w:rFonts w:ascii="Times New Roman" w:hAnsi="Times New Roman" w:eastAsia="宋体" w:cs="Times New Roman"/>
          <w:sz w:val="28"/>
          <w:szCs w:val="40"/>
        </w:rPr>
        <w:br w:type="page" w:clear="all"/>
      </w:r>
      <w:bookmarkStart w:id="33" w:name="_Toc28303"/>
      <w:bookmarkStart w:id="34" w:name="_Toc176849586"/>
      <w:r>
        <w:rPr>
          <w:rFonts w:ascii="Times New Roman" w:hAnsi="Times New Roman" w:eastAsia="宋体" w:cs="Times New Roman"/>
        </w:rPr>
        <w:t>第三章</w:t>
      </w:r>
      <w:bookmarkEnd w:id="31"/>
      <w:bookmarkEnd w:id="32"/>
      <w:r>
        <w:rPr>
          <w:rFonts w:ascii="Times New Roman" w:hAnsi="Times New Roman" w:eastAsia="宋体" w:cs="Times New Roman"/>
        </w:rPr>
        <w:t xml:space="preserve"> 评标标准</w:t>
      </w:r>
      <w:bookmarkEnd w:id="33"/>
      <w:bookmarkEnd w:id="34"/>
    </w:p>
    <w:p w14:paraId="52CCCA92">
      <w:pPr>
        <w:spacing w:line="312" w:lineRule="auto"/>
        <w:ind w:firstLine="420"/>
        <w:rPr>
          <w:rFonts w:ascii="Times New Roman" w:hAnsi="Times New Roman" w:eastAsia="宋体" w:cs="Times New Roman"/>
          <w:color w:val="auto"/>
        </w:rPr>
      </w:pPr>
      <w:r>
        <w:rPr>
          <w:rFonts w:ascii="Times New Roman" w:hAnsi="Times New Roman" w:eastAsia="宋体" w:cs="Times New Roma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供应商。</w:t>
      </w:r>
    </w:p>
    <w:tbl>
      <w:tblPr>
        <w:tblStyle w:val="5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1"/>
        <w:gridCol w:w="656"/>
        <w:gridCol w:w="666"/>
        <w:gridCol w:w="6872"/>
      </w:tblGrid>
      <w:tr w14:paraId="4F95A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88" w:type="pct"/>
            <w:noWrap/>
            <w:vAlign w:val="center"/>
          </w:tcPr>
          <w:p w14:paraId="1316E46D">
            <w:pPr>
              <w:keepNext w:val="0"/>
              <w:keepLines w:val="0"/>
              <w:pageBreakBefore w:val="0"/>
              <w:widowControl/>
              <w:spacing w:after="0" w:line="240" w:lineRule="auto"/>
              <w:jc w:val="center"/>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序号</w:t>
            </w:r>
          </w:p>
        </w:tc>
        <w:tc>
          <w:tcPr>
            <w:tcW w:w="377" w:type="pct"/>
            <w:noWrap/>
            <w:vAlign w:val="center"/>
          </w:tcPr>
          <w:p w14:paraId="7EA36C67">
            <w:pPr>
              <w:keepNext w:val="0"/>
              <w:keepLines w:val="0"/>
              <w:pageBreakBefore w:val="0"/>
              <w:widowControl/>
              <w:spacing w:after="0" w:line="240" w:lineRule="auto"/>
              <w:jc w:val="center"/>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评审项</w:t>
            </w:r>
          </w:p>
        </w:tc>
        <w:tc>
          <w:tcPr>
            <w:tcW w:w="382" w:type="pct"/>
            <w:noWrap/>
            <w:vAlign w:val="center"/>
          </w:tcPr>
          <w:p w14:paraId="0D648B1E">
            <w:pPr>
              <w:keepNext w:val="0"/>
              <w:keepLines w:val="0"/>
              <w:pageBreakBefore w:val="0"/>
              <w:widowControl/>
              <w:spacing w:after="0" w:line="240" w:lineRule="auto"/>
              <w:jc w:val="center"/>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满分分值</w:t>
            </w:r>
          </w:p>
        </w:tc>
        <w:tc>
          <w:tcPr>
            <w:tcW w:w="3951" w:type="pct"/>
            <w:noWrap/>
            <w:vAlign w:val="center"/>
          </w:tcPr>
          <w:p w14:paraId="58356E70">
            <w:pPr>
              <w:keepNext w:val="0"/>
              <w:keepLines w:val="0"/>
              <w:pageBreakBefore w:val="0"/>
              <w:widowControl/>
              <w:spacing w:after="0" w:line="240" w:lineRule="auto"/>
              <w:jc w:val="center"/>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评  审  标  准</w:t>
            </w:r>
          </w:p>
        </w:tc>
      </w:tr>
      <w:tr w14:paraId="3D1D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88" w:type="pct"/>
            <w:noWrap/>
            <w:vAlign w:val="center"/>
          </w:tcPr>
          <w:p w14:paraId="1C52A9BE">
            <w:pPr>
              <w:keepNext w:val="0"/>
              <w:keepLines w:val="0"/>
              <w:pageBreakBefore w:val="0"/>
              <w:widowControl/>
              <w:spacing w:after="0" w:line="240" w:lineRule="auto"/>
              <w:jc w:val="center"/>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一</w:t>
            </w:r>
          </w:p>
        </w:tc>
        <w:tc>
          <w:tcPr>
            <w:tcW w:w="377" w:type="pct"/>
            <w:noWrap/>
            <w:vAlign w:val="center"/>
          </w:tcPr>
          <w:p w14:paraId="37D2F157">
            <w:pPr>
              <w:keepNext w:val="0"/>
              <w:keepLines w:val="0"/>
              <w:pageBreakBefore w:val="0"/>
              <w:widowControl/>
              <w:spacing w:after="0" w:line="240" w:lineRule="auto"/>
              <w:jc w:val="center"/>
              <w:rPr>
                <w:rFonts w:ascii="Times New Roman" w:hAnsi="Times New Roman" w:eastAsia="仿宋" w:cs="Times New Roman"/>
                <w:color w:val="auto"/>
                <w:lang w:val="en-US" w:eastAsia="zh-CN"/>
              </w:rPr>
            </w:pPr>
            <w:r>
              <w:rPr>
                <w:rFonts w:ascii="Times New Roman" w:hAnsi="Times New Roman" w:eastAsia="仿宋" w:cs="Times New Roman"/>
                <w:color w:val="auto"/>
                <w:sz w:val="21"/>
                <w:szCs w:val="21"/>
              </w:rPr>
              <w:t>价格分</w:t>
            </w:r>
            <w:r>
              <w:rPr>
                <w:rFonts w:ascii="Times New Roman" w:hAnsi="Times New Roman" w:eastAsia="仿宋" w:cs="Times New Roman"/>
                <w:color w:val="auto"/>
                <w:sz w:val="21"/>
                <w:szCs w:val="21"/>
                <w:lang w:val="en-US" w:eastAsia="zh-CN"/>
              </w:rPr>
              <w:t>(10分)</w:t>
            </w:r>
          </w:p>
        </w:tc>
        <w:tc>
          <w:tcPr>
            <w:tcW w:w="382" w:type="pct"/>
            <w:noWrap/>
            <w:vAlign w:val="center"/>
          </w:tcPr>
          <w:p w14:paraId="3A5D0FF9">
            <w:pPr>
              <w:keepNext w:val="0"/>
              <w:keepLines w:val="0"/>
              <w:pageBreakBefore w:val="0"/>
              <w:widowControl/>
              <w:spacing w:after="0" w:line="240" w:lineRule="auto"/>
              <w:jc w:val="center"/>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10分</w:t>
            </w:r>
          </w:p>
        </w:tc>
        <w:tc>
          <w:tcPr>
            <w:tcW w:w="3951" w:type="pct"/>
            <w:noWrap/>
            <w:vAlign w:val="center"/>
          </w:tcPr>
          <w:p w14:paraId="6D8402D9">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满足招标文件要求且价格最低的有效报价为评审基准价，其价格分为满分。其他投标人价格分统一按照下列公式计算：</w:t>
            </w:r>
          </w:p>
          <w:p w14:paraId="45051639">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投标报价得分=（评标基准价/投标报价）×10，小数点保留两位。</w:t>
            </w:r>
          </w:p>
        </w:tc>
      </w:tr>
      <w:tr w14:paraId="1D7B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jc w:val="center"/>
        </w:trPr>
        <w:tc>
          <w:tcPr>
            <w:tcW w:w="288" w:type="pct"/>
            <w:noWrap/>
            <w:vAlign w:val="center"/>
          </w:tcPr>
          <w:p w14:paraId="724B70E0">
            <w:pPr>
              <w:keepNext w:val="0"/>
              <w:keepLines w:val="0"/>
              <w:pageBreakBefore w:val="0"/>
              <w:widowControl/>
              <w:spacing w:after="0" w:line="240" w:lineRule="auto"/>
              <w:jc w:val="center"/>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二</w:t>
            </w:r>
          </w:p>
        </w:tc>
        <w:tc>
          <w:tcPr>
            <w:tcW w:w="377" w:type="pct"/>
            <w:vMerge w:val="restart"/>
            <w:noWrap/>
            <w:vAlign w:val="center"/>
          </w:tcPr>
          <w:p w14:paraId="59FED61A">
            <w:pPr>
              <w:pStyle w:val="2"/>
              <w:keepNext w:val="0"/>
              <w:keepLines w:val="0"/>
              <w:pageBreakBefore w:val="0"/>
              <w:widowControl/>
              <w:spacing w:line="240" w:lineRule="auto"/>
              <w:ind w:left="0" w:firstLine="0"/>
              <w:rPr>
                <w:rFonts w:ascii="Times New Roman" w:hAnsi="Times New Roman" w:eastAsia="仿宋" w:cs="Times New Roman"/>
                <w:color w:val="auto"/>
                <w:lang w:val="en-US" w:eastAsia="zh-CN"/>
              </w:rPr>
            </w:pPr>
            <w:r>
              <w:rPr>
                <w:rFonts w:ascii="Times New Roman" w:hAnsi="Times New Roman" w:eastAsia="仿宋" w:cs="Times New Roman"/>
                <w:color w:val="auto"/>
                <w:lang w:val="en-US" w:eastAsia="zh-CN"/>
              </w:rPr>
              <w:t>商务部分</w:t>
            </w:r>
            <w:r>
              <w:rPr>
                <w:rFonts w:ascii="Times New Roman" w:hAnsi="Times New Roman" w:eastAsia="仿宋" w:cs="Times New Roman"/>
                <w:color w:val="auto"/>
                <w:lang w:val="en-US" w:eastAsia="zh-CN"/>
              </w:rPr>
              <w:br w:type="textWrapping"/>
            </w:r>
            <w:r>
              <w:rPr>
                <w:rFonts w:ascii="Times New Roman" w:hAnsi="Times New Roman" w:eastAsia="仿宋" w:cs="Times New Roman"/>
                <w:color w:val="auto"/>
                <w:lang w:val="en-US" w:eastAsia="zh-CN"/>
              </w:rPr>
              <w:t>（</w:t>
            </w:r>
            <w:r>
              <w:rPr>
                <w:rFonts w:hint="eastAsia" w:eastAsia="仿宋" w:cs="Times New Roman"/>
                <w:color w:val="auto"/>
                <w:lang w:val="en-US" w:eastAsia="zh-CN"/>
              </w:rPr>
              <w:t>24</w:t>
            </w:r>
            <w:r>
              <w:rPr>
                <w:rFonts w:ascii="Times New Roman" w:hAnsi="Times New Roman" w:eastAsia="仿宋" w:cs="Times New Roman"/>
                <w:color w:val="auto"/>
                <w:lang w:val="en-US" w:eastAsia="zh-CN"/>
              </w:rPr>
              <w:t>分）</w:t>
            </w:r>
          </w:p>
        </w:tc>
        <w:tc>
          <w:tcPr>
            <w:tcW w:w="382" w:type="pct"/>
            <w:noWrap/>
            <w:vAlign w:val="center"/>
          </w:tcPr>
          <w:p w14:paraId="3A99848B">
            <w:pPr>
              <w:keepNext w:val="0"/>
              <w:keepLines w:val="0"/>
              <w:pageBreakBefore w:val="0"/>
              <w:widowControl/>
              <w:spacing w:after="0" w:line="240" w:lineRule="auto"/>
              <w:jc w:val="center"/>
              <w:rPr>
                <w:rFonts w:ascii="Times New Roman" w:hAnsi="Times New Roman" w:eastAsia="仿宋" w:cs="Times New Roman"/>
                <w:color w:val="auto"/>
                <w:sz w:val="21"/>
                <w:szCs w:val="21"/>
              </w:rPr>
            </w:pPr>
            <w:r>
              <w:rPr>
                <w:rFonts w:hint="eastAsia" w:eastAsia="仿宋" w:cs="Times New Roman"/>
                <w:color w:val="auto"/>
                <w:sz w:val="21"/>
                <w:szCs w:val="21"/>
                <w:lang w:val="en-US" w:eastAsia="zh-CN"/>
              </w:rPr>
              <w:t>6</w:t>
            </w:r>
            <w:r>
              <w:rPr>
                <w:rFonts w:ascii="Times New Roman" w:hAnsi="Times New Roman" w:eastAsia="仿宋" w:cs="Times New Roman"/>
                <w:color w:val="auto"/>
                <w:sz w:val="21"/>
                <w:szCs w:val="21"/>
              </w:rPr>
              <w:t>分</w:t>
            </w:r>
          </w:p>
        </w:tc>
        <w:tc>
          <w:tcPr>
            <w:tcW w:w="3951" w:type="pct"/>
            <w:noWrap/>
            <w:vAlign w:val="center"/>
          </w:tcPr>
          <w:p w14:paraId="3AB5FB18">
            <w:pPr>
              <w:keepNext w:val="0"/>
              <w:keepLines w:val="0"/>
              <w:pageBreakBefore w:val="0"/>
              <w:widowControl/>
              <w:spacing w:after="0" w:line="240" w:lineRule="auto"/>
              <w:rPr>
                <w:rFonts w:ascii="Times New Roman" w:hAnsi="Times New Roman" w:eastAsia="仿宋" w:cs="Times New Roman"/>
                <w:b w:val="0"/>
                <w:bCs w:val="0"/>
                <w:color w:val="auto"/>
                <w:sz w:val="21"/>
                <w:szCs w:val="21"/>
              </w:rPr>
            </w:pPr>
            <w:r>
              <w:rPr>
                <w:rFonts w:ascii="Times New Roman" w:hAnsi="Times New Roman" w:eastAsia="仿宋" w:cs="Times New Roman"/>
                <w:color w:val="auto"/>
                <w:sz w:val="21"/>
                <w:szCs w:val="21"/>
                <w:lang w:val="en-US" w:eastAsia="zh-CN"/>
              </w:rPr>
              <w:t>企业综合实力(</w:t>
            </w:r>
            <w:r>
              <w:rPr>
                <w:rFonts w:hint="eastAsia" w:eastAsia="仿宋" w:cs="Times New Roman"/>
                <w:color w:val="auto"/>
                <w:sz w:val="21"/>
                <w:szCs w:val="21"/>
                <w:lang w:val="en-US" w:eastAsia="zh-CN"/>
              </w:rPr>
              <w:t>6</w:t>
            </w:r>
            <w:r>
              <w:rPr>
                <w:rFonts w:ascii="Times New Roman" w:hAnsi="Times New Roman" w:eastAsia="仿宋" w:cs="Times New Roman"/>
                <w:color w:val="auto"/>
                <w:sz w:val="21"/>
                <w:szCs w:val="21"/>
                <w:lang w:val="en-US" w:eastAsia="zh-CN"/>
              </w:rPr>
              <w:t>分)</w:t>
            </w:r>
          </w:p>
          <w:p w14:paraId="462FF640">
            <w:pPr>
              <w:keepNext w:val="0"/>
              <w:keepLines w:val="0"/>
              <w:pageBreakBefore w:val="0"/>
              <w:widowControl/>
              <w:spacing w:after="0" w:line="240" w:lineRule="auto"/>
              <w:rPr>
                <w:rFonts w:ascii="Times New Roman" w:hAnsi="Times New Roman" w:eastAsia="仿宋" w:cs="Times New Roman"/>
                <w:b w:val="0"/>
                <w:bCs w:val="0"/>
                <w:color w:val="auto"/>
                <w:sz w:val="21"/>
                <w:szCs w:val="21"/>
              </w:rPr>
            </w:pPr>
            <w:r>
              <w:rPr>
                <w:rFonts w:ascii="Times New Roman" w:hAnsi="Times New Roman" w:eastAsia="仿宋" w:cs="Times New Roman"/>
                <w:b w:val="0"/>
                <w:bCs w:val="0"/>
                <w:color w:val="auto"/>
                <w:sz w:val="21"/>
                <w:szCs w:val="21"/>
              </w:rPr>
              <w:t>①投标人拥有智慧渔业、数据</w:t>
            </w:r>
            <w:r>
              <w:rPr>
                <w:rFonts w:hint="eastAsia" w:eastAsia="仿宋" w:cs="Times New Roman"/>
                <w:b w:val="0"/>
                <w:bCs w:val="0"/>
                <w:color w:val="auto"/>
                <w:sz w:val="21"/>
                <w:szCs w:val="21"/>
                <w:lang w:val="en-US" w:eastAsia="zh-CN"/>
              </w:rPr>
              <w:t>集成（或数据汇聚）</w:t>
            </w:r>
            <w:r>
              <w:rPr>
                <w:rFonts w:hint="eastAsia" w:eastAsia="仿宋"/>
                <w:color w:val="auto"/>
                <w:szCs w:val="21"/>
              </w:rPr>
              <w:t>、</w:t>
            </w:r>
            <w:r>
              <w:rPr>
                <w:rFonts w:hint="eastAsia" w:eastAsia="仿宋" w:cs="Times New Roman"/>
                <w:b w:val="0"/>
                <w:bCs w:val="0"/>
                <w:color w:val="auto"/>
                <w:sz w:val="21"/>
                <w:szCs w:val="21"/>
                <w:lang w:val="en-US" w:eastAsia="zh-CN"/>
              </w:rPr>
              <w:t>视觉AI算法</w:t>
            </w:r>
            <w:r>
              <w:rPr>
                <w:rFonts w:ascii="Times New Roman" w:hAnsi="Times New Roman" w:eastAsia="仿宋" w:cs="Times New Roman"/>
                <w:b w:val="0"/>
                <w:bCs w:val="0"/>
                <w:color w:val="auto"/>
                <w:sz w:val="21"/>
                <w:szCs w:val="21"/>
              </w:rPr>
              <w:t>、智慧预警、目标识别、视频分析</w:t>
            </w:r>
            <w:r>
              <w:rPr>
                <w:rFonts w:hint="eastAsia" w:eastAsia="仿宋" w:cs="Times New Roman"/>
                <w:b w:val="0"/>
                <w:bCs w:val="0"/>
                <w:color w:val="auto"/>
                <w:sz w:val="21"/>
                <w:szCs w:val="21"/>
                <w:lang w:eastAsia="zh-CN"/>
              </w:rPr>
              <w:t>（</w:t>
            </w:r>
            <w:r>
              <w:rPr>
                <w:rFonts w:hint="eastAsia" w:eastAsia="仿宋" w:cs="Times New Roman"/>
                <w:b w:val="0"/>
                <w:bCs w:val="0"/>
                <w:color w:val="auto"/>
                <w:sz w:val="21"/>
                <w:szCs w:val="21"/>
                <w:lang w:val="en-US" w:eastAsia="zh-CN"/>
              </w:rPr>
              <w:t>或视频监管</w:t>
            </w:r>
            <w:r>
              <w:rPr>
                <w:rFonts w:hint="eastAsia" w:eastAsia="仿宋" w:cs="Times New Roman"/>
                <w:b w:val="0"/>
                <w:bCs w:val="0"/>
                <w:color w:val="auto"/>
                <w:sz w:val="21"/>
                <w:szCs w:val="21"/>
                <w:lang w:eastAsia="zh-CN"/>
              </w:rPr>
              <w:t>）</w:t>
            </w:r>
            <w:r>
              <w:rPr>
                <w:rFonts w:ascii="Times New Roman" w:hAnsi="Times New Roman" w:eastAsia="仿宋" w:cs="Times New Roman"/>
                <w:b w:val="0"/>
                <w:bCs w:val="0"/>
                <w:color w:val="auto"/>
                <w:sz w:val="21"/>
                <w:szCs w:val="21"/>
              </w:rPr>
              <w:t>、图像分析等相关软件著作权，每提供1项得 0.5 分，最高得 3分；证书须在招标公告发布日前取得</w:t>
            </w:r>
            <w:r>
              <w:rPr>
                <w:rFonts w:hint="eastAsia" w:eastAsia="仿宋" w:cs="Times New Roman"/>
                <w:b w:val="0"/>
                <w:bCs w:val="0"/>
                <w:color w:val="auto"/>
                <w:sz w:val="21"/>
                <w:szCs w:val="21"/>
                <w:lang w:eastAsia="zh-CN"/>
              </w:rPr>
              <w:t>，</w:t>
            </w:r>
            <w:r>
              <w:rPr>
                <w:rFonts w:hint="eastAsia" w:eastAsia="仿宋" w:cs="Times New Roman"/>
                <w:b w:val="0"/>
                <w:bCs w:val="0"/>
                <w:color w:val="auto"/>
                <w:sz w:val="21"/>
                <w:szCs w:val="21"/>
                <w:lang w:val="en-US" w:eastAsia="zh-CN"/>
              </w:rPr>
              <w:t>并</w:t>
            </w:r>
            <w:r>
              <w:rPr>
                <w:rFonts w:ascii="Times New Roman" w:hAnsi="Times New Roman" w:eastAsia="仿宋" w:cs="Times New Roman"/>
                <w:b w:val="0"/>
                <w:bCs w:val="0"/>
                <w:color w:val="auto"/>
                <w:sz w:val="21"/>
                <w:szCs w:val="21"/>
              </w:rPr>
              <w:t>提供扫描件</w:t>
            </w:r>
            <w:r>
              <w:rPr>
                <w:rFonts w:hint="eastAsia" w:eastAsia="仿宋" w:cs="Times New Roman"/>
                <w:b w:val="0"/>
                <w:bCs w:val="0"/>
                <w:color w:val="auto"/>
                <w:sz w:val="21"/>
                <w:szCs w:val="21"/>
                <w:lang w:eastAsia="zh-CN"/>
              </w:rPr>
              <w:t>，</w:t>
            </w:r>
            <w:r>
              <w:rPr>
                <w:rFonts w:ascii="Times New Roman" w:hAnsi="Times New Roman" w:eastAsia="仿宋" w:cs="Times New Roman"/>
                <w:b w:val="0"/>
                <w:bCs w:val="0"/>
                <w:color w:val="auto"/>
                <w:sz w:val="21"/>
                <w:szCs w:val="21"/>
              </w:rPr>
              <w:t>否则不得分。</w:t>
            </w:r>
          </w:p>
          <w:p w14:paraId="0DB97302">
            <w:pPr>
              <w:keepNext w:val="0"/>
              <w:keepLines w:val="0"/>
              <w:pageBreakBefore w:val="0"/>
              <w:widowControl/>
              <w:spacing w:after="0" w:line="240" w:lineRule="auto"/>
              <w:rPr>
                <w:rFonts w:ascii="Times New Roman" w:hAnsi="Times New Roman" w:eastAsia="仿宋" w:cs="Times New Roman"/>
                <w:b w:val="0"/>
                <w:bCs w:val="0"/>
                <w:color w:val="auto"/>
                <w:sz w:val="21"/>
                <w:szCs w:val="21"/>
              </w:rPr>
            </w:pPr>
            <w:r>
              <w:rPr>
                <w:rFonts w:ascii="Times New Roman" w:hAnsi="Times New Roman" w:eastAsia="仿宋" w:cs="Times New Roman"/>
                <w:b w:val="0"/>
                <w:bCs w:val="0"/>
                <w:color w:val="auto"/>
                <w:sz w:val="21"/>
                <w:szCs w:val="21"/>
              </w:rPr>
              <w:t>②同时具备ISO9001 质量管理、ISO20000 IT服务、ISO27001 信息安全三体系认证得 3 分，具备 2 项得 2 分，具备 1 项得 1 分，否则不得分。</w:t>
            </w:r>
          </w:p>
          <w:p w14:paraId="5CB14D35">
            <w:pPr>
              <w:keepNext w:val="0"/>
              <w:keepLines w:val="0"/>
              <w:pageBreakBefore w:val="0"/>
              <w:widowControl/>
              <w:spacing w:after="0" w:line="240" w:lineRule="auto"/>
              <w:rPr>
                <w:rFonts w:ascii="Times New Roman" w:hAnsi="Times New Roman" w:eastAsia="仿宋" w:cs="Times New Roman"/>
                <w:b/>
                <w:bCs/>
                <w:color w:val="auto"/>
                <w:sz w:val="21"/>
                <w:szCs w:val="21"/>
              </w:rPr>
            </w:pPr>
            <w:r>
              <w:rPr>
                <w:rFonts w:ascii="Times New Roman" w:hAnsi="Times New Roman" w:eastAsia="仿宋" w:cs="Times New Roman"/>
                <w:b w:val="0"/>
                <w:bCs w:val="0"/>
                <w:color w:val="auto"/>
                <w:sz w:val="21"/>
                <w:szCs w:val="21"/>
              </w:rPr>
              <w:t>各项资质证书均需提供有效扫描件，否则不予计分，本项满分</w:t>
            </w:r>
            <w:r>
              <w:rPr>
                <w:rFonts w:eastAsia="仿宋" w:cs="Times New Roman"/>
                <w:b w:val="0"/>
                <w:bCs w:val="0"/>
                <w:color w:val="auto"/>
                <w:sz w:val="21"/>
                <w:szCs w:val="21"/>
                <w:lang w:val="en-US" w:eastAsia="zh-CN"/>
              </w:rPr>
              <w:t>6</w:t>
            </w:r>
            <w:r>
              <w:rPr>
                <w:rFonts w:ascii="Times New Roman" w:hAnsi="Times New Roman" w:eastAsia="仿宋" w:cs="Times New Roman"/>
                <w:b w:val="0"/>
                <w:bCs w:val="0"/>
                <w:color w:val="auto"/>
                <w:sz w:val="21"/>
                <w:szCs w:val="21"/>
              </w:rPr>
              <w:t>分。</w:t>
            </w:r>
          </w:p>
        </w:tc>
      </w:tr>
      <w:tr w14:paraId="10BCD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jc w:val="center"/>
        </w:trPr>
        <w:tc>
          <w:tcPr>
            <w:tcW w:w="288" w:type="pct"/>
            <w:noWrap/>
            <w:vAlign w:val="center"/>
          </w:tcPr>
          <w:p w14:paraId="22CCD2DF">
            <w:pPr>
              <w:keepNext w:val="0"/>
              <w:keepLines w:val="0"/>
              <w:pageBreakBefore w:val="0"/>
              <w:widowControl/>
              <w:spacing w:after="0" w:line="240" w:lineRule="auto"/>
              <w:jc w:val="center"/>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三</w:t>
            </w:r>
          </w:p>
        </w:tc>
        <w:tc>
          <w:tcPr>
            <w:tcW w:w="377" w:type="pct"/>
            <w:vMerge w:val="continue"/>
            <w:noWrap/>
            <w:vAlign w:val="center"/>
          </w:tcPr>
          <w:p w14:paraId="02DBD86D">
            <w:pPr>
              <w:keepNext w:val="0"/>
              <w:keepLines w:val="0"/>
              <w:pageBreakBefore w:val="0"/>
              <w:spacing w:line="240" w:lineRule="auto"/>
            </w:pPr>
          </w:p>
        </w:tc>
        <w:tc>
          <w:tcPr>
            <w:tcW w:w="382" w:type="pct"/>
            <w:noWrap/>
            <w:vAlign w:val="center"/>
          </w:tcPr>
          <w:p w14:paraId="69FFC285">
            <w:pPr>
              <w:keepNext w:val="0"/>
              <w:keepLines w:val="0"/>
              <w:pageBreakBefore w:val="0"/>
              <w:widowControl/>
              <w:spacing w:after="0" w:line="240" w:lineRule="auto"/>
              <w:jc w:val="center"/>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3</w:t>
            </w:r>
            <w:r>
              <w:rPr>
                <w:rFonts w:ascii="Times New Roman" w:hAnsi="Times New Roman" w:eastAsia="仿宋" w:cs="Times New Roman"/>
                <w:color w:val="auto"/>
                <w:sz w:val="21"/>
                <w:szCs w:val="21"/>
              </w:rPr>
              <w:t>分</w:t>
            </w:r>
          </w:p>
        </w:tc>
        <w:tc>
          <w:tcPr>
            <w:tcW w:w="3951" w:type="pct"/>
            <w:noWrap/>
            <w:vAlign w:val="center"/>
          </w:tcPr>
          <w:p w14:paraId="041417DB">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同类业绩(3分)</w:t>
            </w:r>
          </w:p>
          <w:p w14:paraId="6C660F9D">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投标人提供202</w:t>
            </w:r>
            <w:r>
              <w:rPr>
                <w:rFonts w:hint="eastAsia" w:eastAsia="仿宋" w:cs="Times New Roman"/>
                <w:color w:val="auto"/>
                <w:sz w:val="21"/>
                <w:szCs w:val="21"/>
                <w:lang w:val="en-US" w:eastAsia="zh-CN"/>
              </w:rPr>
              <w:t>3</w:t>
            </w:r>
            <w:r>
              <w:rPr>
                <w:rFonts w:ascii="Times New Roman" w:hAnsi="Times New Roman" w:eastAsia="仿宋" w:cs="Times New Roman"/>
                <w:color w:val="auto"/>
                <w:sz w:val="21"/>
                <w:szCs w:val="21"/>
              </w:rPr>
              <w:t xml:space="preserve">年 </w:t>
            </w:r>
            <w:r>
              <w:rPr>
                <w:rFonts w:hint="eastAsia" w:eastAsia="仿宋" w:cs="Times New Roman"/>
                <w:color w:val="auto"/>
                <w:sz w:val="21"/>
                <w:szCs w:val="21"/>
                <w:lang w:val="en-US" w:eastAsia="zh-CN"/>
              </w:rPr>
              <w:t>6</w:t>
            </w:r>
            <w:r>
              <w:rPr>
                <w:rFonts w:ascii="Times New Roman" w:hAnsi="Times New Roman" w:eastAsia="仿宋" w:cs="Times New Roman"/>
                <w:color w:val="auto"/>
                <w:sz w:val="21"/>
                <w:szCs w:val="21"/>
              </w:rPr>
              <w:t>月 1 日以来同类项目案例</w:t>
            </w:r>
            <w:r>
              <w:rPr>
                <w:rFonts w:hint="eastAsia" w:eastAsia="仿宋" w:cs="Times New Roman"/>
                <w:color w:val="auto"/>
                <w:sz w:val="21"/>
                <w:szCs w:val="21"/>
                <w:u w:val="single"/>
                <w:lang w:eastAsia="zh-CN"/>
              </w:rPr>
              <w:t>（</w:t>
            </w:r>
            <w:r>
              <w:rPr>
                <w:rFonts w:hint="eastAsia" w:eastAsia="仿宋" w:cs="Times New Roman"/>
                <w:color w:val="auto"/>
                <w:sz w:val="21"/>
                <w:szCs w:val="21"/>
                <w:u w:val="single"/>
                <w:lang w:val="en-US" w:eastAsia="zh-CN"/>
              </w:rPr>
              <w:t>信息化集成含运维服务或监控系统含运维服务或预警监测服务</w:t>
            </w:r>
            <w:r>
              <w:rPr>
                <w:rFonts w:hint="eastAsia" w:eastAsia="仿宋" w:cs="Times New Roman"/>
                <w:color w:val="auto"/>
                <w:sz w:val="21"/>
                <w:szCs w:val="21"/>
                <w:u w:val="single"/>
                <w:lang w:eastAsia="zh-CN"/>
              </w:rPr>
              <w:t>）</w:t>
            </w:r>
            <w:r>
              <w:rPr>
                <w:rFonts w:ascii="Times New Roman" w:hAnsi="Times New Roman" w:eastAsia="仿宋" w:cs="Times New Roman"/>
                <w:color w:val="auto"/>
                <w:sz w:val="21"/>
                <w:szCs w:val="21"/>
                <w:u w:val="single"/>
              </w:rPr>
              <w:t>，</w:t>
            </w:r>
            <w:r>
              <w:rPr>
                <w:rFonts w:ascii="Times New Roman" w:hAnsi="Times New Roman" w:eastAsia="仿宋" w:cs="Times New Roman"/>
                <w:color w:val="auto"/>
                <w:sz w:val="21"/>
                <w:szCs w:val="21"/>
              </w:rPr>
              <w:t>每提供 1 个有效业绩得 1 分，最高得 3 分。</w:t>
            </w:r>
          </w:p>
          <w:p w14:paraId="785E61B6">
            <w:pPr>
              <w:keepNext w:val="0"/>
              <w:keepLines w:val="0"/>
              <w:pageBreakBefore w:val="0"/>
              <w:widowControl/>
              <w:spacing w:after="0" w:line="240" w:lineRule="auto"/>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lang w:eastAsia="zh-CN"/>
              </w:rPr>
              <w:t>（</w:t>
            </w:r>
            <w:r>
              <w:rPr>
                <w:rFonts w:ascii="Times New Roman" w:hAnsi="Times New Roman" w:eastAsia="仿宋" w:cs="Times New Roman"/>
                <w:color w:val="auto"/>
                <w:sz w:val="21"/>
                <w:szCs w:val="21"/>
              </w:rPr>
              <w:t>要求提供合同关键页盖章扫描件，含甲乙双方名称、项目名称、服务内容、签约盖章、签约时间，资料不全不得分。</w:t>
            </w:r>
            <w:r>
              <w:rPr>
                <w:rFonts w:ascii="Times New Roman" w:hAnsi="Times New Roman" w:eastAsia="仿宋" w:cs="Times New Roman"/>
                <w:color w:val="auto"/>
                <w:sz w:val="21"/>
                <w:szCs w:val="21"/>
                <w:lang w:eastAsia="zh-CN"/>
              </w:rPr>
              <w:t>）</w:t>
            </w:r>
          </w:p>
        </w:tc>
      </w:tr>
      <w:tr w14:paraId="6D3FD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88" w:type="pct"/>
            <w:noWrap/>
            <w:vAlign w:val="center"/>
          </w:tcPr>
          <w:p w14:paraId="79FC1087">
            <w:pPr>
              <w:keepNext w:val="0"/>
              <w:keepLines w:val="0"/>
              <w:pageBreakBefore w:val="0"/>
              <w:widowControl/>
              <w:spacing w:after="0" w:line="240" w:lineRule="auto"/>
              <w:jc w:val="center"/>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四</w:t>
            </w:r>
          </w:p>
        </w:tc>
        <w:tc>
          <w:tcPr>
            <w:tcW w:w="377" w:type="pct"/>
            <w:vMerge w:val="continue"/>
            <w:noWrap/>
            <w:vAlign w:val="center"/>
          </w:tcPr>
          <w:p w14:paraId="7E5CCDDE">
            <w:pPr>
              <w:keepNext w:val="0"/>
              <w:keepLines w:val="0"/>
              <w:pageBreakBefore w:val="0"/>
              <w:spacing w:line="240" w:lineRule="auto"/>
            </w:pPr>
          </w:p>
        </w:tc>
        <w:tc>
          <w:tcPr>
            <w:tcW w:w="382" w:type="pct"/>
            <w:noWrap/>
            <w:vAlign w:val="center"/>
          </w:tcPr>
          <w:p w14:paraId="7F21E214">
            <w:pPr>
              <w:keepNext w:val="0"/>
              <w:keepLines w:val="0"/>
              <w:pageBreakBefore w:val="0"/>
              <w:widowControl/>
              <w:spacing w:after="0" w:line="240" w:lineRule="auto"/>
              <w:jc w:val="center"/>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1</w:t>
            </w:r>
            <w:r>
              <w:rPr>
                <w:rFonts w:ascii="Times New Roman" w:hAnsi="Times New Roman" w:eastAsia="仿宋" w:cs="Times New Roman"/>
                <w:color w:val="auto"/>
                <w:sz w:val="21"/>
                <w:szCs w:val="21"/>
                <w:lang w:val="en-US" w:eastAsia="zh-CN"/>
              </w:rPr>
              <w:t>5</w:t>
            </w:r>
            <w:r>
              <w:rPr>
                <w:rFonts w:ascii="Times New Roman" w:hAnsi="Times New Roman" w:eastAsia="仿宋" w:cs="Times New Roman"/>
                <w:color w:val="auto"/>
                <w:sz w:val="21"/>
                <w:szCs w:val="21"/>
              </w:rPr>
              <w:t>分</w:t>
            </w:r>
          </w:p>
        </w:tc>
        <w:tc>
          <w:tcPr>
            <w:tcW w:w="3951" w:type="pct"/>
            <w:noWrap/>
            <w:vAlign w:val="center"/>
          </w:tcPr>
          <w:p w14:paraId="09426445">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项目服务团队(15分)</w:t>
            </w:r>
          </w:p>
          <w:p w14:paraId="42F73096">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①项目经理（5 分）</w:t>
            </w:r>
          </w:p>
          <w:p w14:paraId="0A265259">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具备以下证书：高级工程师、系统架构</w:t>
            </w:r>
            <w:r>
              <w:rPr>
                <w:rFonts w:hint="eastAsia" w:eastAsia="仿宋" w:cs="Times New Roman"/>
                <w:color w:val="auto"/>
                <w:sz w:val="21"/>
                <w:szCs w:val="21"/>
                <w:lang w:eastAsia="zh-CN"/>
              </w:rPr>
              <w:t>（</w:t>
            </w:r>
            <w:r>
              <w:rPr>
                <w:rFonts w:hint="eastAsia" w:eastAsia="仿宋" w:cs="Times New Roman"/>
                <w:color w:val="auto"/>
                <w:sz w:val="21"/>
                <w:szCs w:val="21"/>
                <w:lang w:val="en-US" w:eastAsia="zh-CN"/>
              </w:rPr>
              <w:t>设计）</w:t>
            </w:r>
            <w:r>
              <w:rPr>
                <w:rFonts w:ascii="Times New Roman" w:hAnsi="Times New Roman" w:eastAsia="仿宋" w:cs="Times New Roman"/>
                <w:color w:val="auto"/>
                <w:sz w:val="21"/>
                <w:szCs w:val="21"/>
              </w:rPr>
              <w:t>师、系统分析师、网络工程师、信息系统项目管理师。</w:t>
            </w:r>
          </w:p>
          <w:p w14:paraId="2863D445">
            <w:pPr>
              <w:keepNext w:val="0"/>
              <w:keepLines w:val="0"/>
              <w:pageBreakBefore w:val="0"/>
              <w:widowControl/>
              <w:spacing w:after="0" w:line="240" w:lineRule="auto"/>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rPr>
              <w:t>同时具备</w:t>
            </w:r>
            <w:r>
              <w:rPr>
                <w:rFonts w:hint="eastAsia" w:eastAsia="仿宋" w:cs="Times New Roman"/>
                <w:color w:val="auto"/>
                <w:sz w:val="21"/>
                <w:szCs w:val="21"/>
                <w:lang w:val="en-US" w:eastAsia="zh-CN"/>
              </w:rPr>
              <w:t>任意3</w:t>
            </w:r>
            <w:r>
              <w:rPr>
                <w:rFonts w:ascii="Times New Roman" w:hAnsi="Times New Roman" w:eastAsia="仿宋" w:cs="Times New Roman"/>
                <w:color w:val="auto"/>
                <w:sz w:val="21"/>
                <w:szCs w:val="21"/>
              </w:rPr>
              <w:t>项及以上得 5 分；具备任意</w:t>
            </w:r>
            <w:r>
              <w:rPr>
                <w:rFonts w:hint="eastAsia" w:eastAsia="仿宋" w:cs="Times New Roman"/>
                <w:color w:val="auto"/>
                <w:sz w:val="21"/>
                <w:szCs w:val="21"/>
                <w:lang w:val="en-US" w:eastAsia="zh-CN"/>
              </w:rPr>
              <w:t>2</w:t>
            </w:r>
            <w:r>
              <w:rPr>
                <w:rFonts w:ascii="Times New Roman" w:hAnsi="Times New Roman" w:eastAsia="仿宋" w:cs="Times New Roman"/>
                <w:color w:val="auto"/>
                <w:sz w:val="21"/>
                <w:szCs w:val="21"/>
              </w:rPr>
              <w:t xml:space="preserve">项得 </w:t>
            </w:r>
            <w:r>
              <w:rPr>
                <w:rFonts w:hint="eastAsia" w:eastAsia="仿宋" w:cs="Times New Roman"/>
                <w:color w:val="auto"/>
                <w:sz w:val="21"/>
                <w:szCs w:val="21"/>
                <w:lang w:val="en-US" w:eastAsia="zh-CN"/>
              </w:rPr>
              <w:t>3</w:t>
            </w:r>
            <w:r>
              <w:rPr>
                <w:rFonts w:ascii="Times New Roman" w:hAnsi="Times New Roman" w:eastAsia="仿宋" w:cs="Times New Roman"/>
                <w:color w:val="auto"/>
                <w:sz w:val="21"/>
                <w:szCs w:val="21"/>
              </w:rPr>
              <w:t xml:space="preserve"> 分；具备任意</w:t>
            </w:r>
            <w:r>
              <w:rPr>
                <w:rFonts w:hint="eastAsia" w:eastAsia="仿宋" w:cs="Times New Roman"/>
                <w:color w:val="auto"/>
                <w:sz w:val="21"/>
                <w:szCs w:val="21"/>
                <w:lang w:val="en-US" w:eastAsia="zh-CN"/>
              </w:rPr>
              <w:t>1</w:t>
            </w:r>
            <w:r>
              <w:rPr>
                <w:rFonts w:ascii="Times New Roman" w:hAnsi="Times New Roman" w:eastAsia="仿宋" w:cs="Times New Roman"/>
                <w:color w:val="auto"/>
                <w:sz w:val="21"/>
                <w:szCs w:val="21"/>
              </w:rPr>
              <w:t>项得 1 分；没有不得分。</w:t>
            </w:r>
            <w:r>
              <w:rPr>
                <w:rFonts w:ascii="Times New Roman" w:hAnsi="Times New Roman" w:eastAsia="仿宋" w:cs="Times New Roman"/>
                <w:color w:val="auto"/>
                <w:sz w:val="21"/>
                <w:szCs w:val="21"/>
                <w:highlight w:val="none"/>
                <w:lang w:eastAsia="zh-CN"/>
              </w:rPr>
              <w:t>（</w:t>
            </w:r>
            <w:r>
              <w:rPr>
                <w:rFonts w:ascii="Times New Roman" w:hAnsi="Times New Roman" w:eastAsia="仿宋" w:cs="Times New Roman"/>
                <w:color w:val="auto"/>
                <w:sz w:val="21"/>
                <w:szCs w:val="21"/>
                <w:highlight w:val="none"/>
              </w:rPr>
              <w:t>须提供证书复印件</w:t>
            </w:r>
            <w:r>
              <w:rPr>
                <w:rFonts w:ascii="Times New Roman" w:hAnsi="Times New Roman" w:eastAsia="仿宋" w:cs="Times New Roman"/>
                <w:color w:val="auto"/>
                <w:sz w:val="21"/>
                <w:szCs w:val="21"/>
                <w:highlight w:val="none"/>
                <w:lang w:val="en-US" w:eastAsia="zh-CN"/>
              </w:rPr>
              <w:t>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，姓名</w:t>
            </w:r>
            <w:r>
              <w:rPr>
                <w:rFonts w:ascii="Times New Roman" w:hAnsi="Times New Roman" w:eastAsia="仿宋" w:cs="Times New Roman"/>
                <w:color w:val="auto"/>
                <w:sz w:val="21"/>
                <w:szCs w:val="21"/>
                <w:highlight w:val="none"/>
                <w:lang w:val="en-US" w:eastAsia="zh-CN"/>
              </w:rPr>
              <w:t>须</w:t>
            </w:r>
            <w:r>
              <w:rPr>
                <w:rFonts w:ascii="Times New Roman" w:hAnsi="Times New Roman" w:eastAsia="仿宋" w:cs="Times New Roman"/>
                <w:color w:val="auto"/>
                <w:sz w:val="21"/>
                <w:szCs w:val="21"/>
                <w:highlight w:val="none"/>
              </w:rPr>
              <w:t>一致否则不计分</w:t>
            </w:r>
            <w:r>
              <w:rPr>
                <w:rFonts w:ascii="Times New Roman" w:hAnsi="Times New Roman" w:eastAsia="仿宋" w:cs="Times New Roman"/>
                <w:color w:val="auto"/>
                <w:sz w:val="21"/>
                <w:szCs w:val="21"/>
                <w:highlight w:val="none"/>
                <w:lang w:eastAsia="zh-CN"/>
              </w:rPr>
              <w:t>）</w:t>
            </w:r>
          </w:p>
          <w:p w14:paraId="677A668D">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②技术负责人（5 分）</w:t>
            </w:r>
          </w:p>
          <w:p w14:paraId="75FAEE5E">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具备以下证书：高级工程师</w:t>
            </w:r>
            <w:r>
              <w:rPr>
                <w:rFonts w:hint="eastAsia" w:eastAsia="仿宋" w:cs="Times New Roman"/>
                <w:color w:val="auto"/>
                <w:sz w:val="21"/>
                <w:szCs w:val="21"/>
                <w:lang w:eastAsia="zh-CN"/>
              </w:rPr>
              <w:t>、</w:t>
            </w:r>
            <w:r>
              <w:rPr>
                <w:rFonts w:ascii="Times New Roman" w:hAnsi="Times New Roman" w:eastAsia="仿宋" w:cs="Times New Roman"/>
                <w:color w:val="auto"/>
                <w:sz w:val="21"/>
                <w:szCs w:val="21"/>
              </w:rPr>
              <w:t>系统规划与管理师</w:t>
            </w:r>
            <w:r>
              <w:rPr>
                <w:rFonts w:ascii="Times New Roman" w:hAnsi="Times New Roman" w:eastAsia="仿宋" w:cs="Times New Roman"/>
                <w:color w:val="auto"/>
                <w:sz w:val="21"/>
                <w:szCs w:val="21"/>
                <w:highlight w:val="none"/>
              </w:rPr>
              <w:t>、</w:t>
            </w:r>
            <w:r>
              <w:rPr>
                <w:rFonts w:hint="eastAsia" w:ascii="Times New Roman" w:hAnsi="Times New Roman" w:eastAsia="仿宋" w:cs="Times New Roman"/>
                <w:color w:val="auto"/>
                <w:sz w:val="21"/>
                <w:szCs w:val="21"/>
              </w:rPr>
              <w:t>信息安全工程师</w:t>
            </w:r>
            <w:r>
              <w:rPr>
                <w:rFonts w:ascii="Times New Roman" w:hAnsi="Times New Roman" w:eastAsia="仿宋" w:cs="Times New Roman"/>
                <w:color w:val="auto"/>
                <w:sz w:val="21"/>
                <w:szCs w:val="21"/>
              </w:rPr>
              <w:t>、信息系统项目管理师。</w:t>
            </w:r>
          </w:p>
          <w:p w14:paraId="007B9378">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同时具备</w:t>
            </w:r>
            <w:r>
              <w:rPr>
                <w:rFonts w:hint="eastAsia" w:eastAsia="仿宋" w:cs="Times New Roman"/>
                <w:color w:val="auto"/>
                <w:sz w:val="21"/>
                <w:szCs w:val="21"/>
                <w:lang w:val="en-US" w:eastAsia="zh-CN"/>
              </w:rPr>
              <w:t>任意3</w:t>
            </w:r>
            <w:r>
              <w:rPr>
                <w:rFonts w:ascii="Times New Roman" w:hAnsi="Times New Roman" w:eastAsia="仿宋" w:cs="Times New Roman"/>
                <w:color w:val="auto"/>
                <w:sz w:val="21"/>
                <w:szCs w:val="21"/>
              </w:rPr>
              <w:t>项及以上得 5 分；具备任意</w:t>
            </w:r>
            <w:r>
              <w:rPr>
                <w:rFonts w:hint="eastAsia" w:eastAsia="仿宋" w:cs="Times New Roman"/>
                <w:color w:val="auto"/>
                <w:sz w:val="21"/>
                <w:szCs w:val="21"/>
                <w:lang w:val="en-US" w:eastAsia="zh-CN"/>
              </w:rPr>
              <w:t>2</w:t>
            </w:r>
            <w:r>
              <w:rPr>
                <w:rFonts w:ascii="Times New Roman" w:hAnsi="Times New Roman" w:eastAsia="仿宋" w:cs="Times New Roman"/>
                <w:color w:val="auto"/>
                <w:sz w:val="21"/>
                <w:szCs w:val="21"/>
              </w:rPr>
              <w:t xml:space="preserve">项得 </w:t>
            </w:r>
            <w:r>
              <w:rPr>
                <w:rFonts w:hint="eastAsia" w:eastAsia="仿宋" w:cs="Times New Roman"/>
                <w:color w:val="auto"/>
                <w:sz w:val="21"/>
                <w:szCs w:val="21"/>
                <w:lang w:val="en-US" w:eastAsia="zh-CN"/>
              </w:rPr>
              <w:t>3</w:t>
            </w:r>
            <w:r>
              <w:rPr>
                <w:rFonts w:ascii="Times New Roman" w:hAnsi="Times New Roman" w:eastAsia="仿宋" w:cs="Times New Roman"/>
                <w:color w:val="auto"/>
                <w:sz w:val="21"/>
                <w:szCs w:val="21"/>
              </w:rPr>
              <w:t xml:space="preserve"> 分；具备任意</w:t>
            </w:r>
            <w:r>
              <w:rPr>
                <w:rFonts w:hint="eastAsia" w:eastAsia="仿宋" w:cs="Times New Roman"/>
                <w:color w:val="auto"/>
                <w:sz w:val="21"/>
                <w:szCs w:val="21"/>
                <w:lang w:val="en-US" w:eastAsia="zh-CN"/>
              </w:rPr>
              <w:t>1</w:t>
            </w:r>
            <w:r>
              <w:rPr>
                <w:rFonts w:ascii="Times New Roman" w:hAnsi="Times New Roman" w:eastAsia="仿宋" w:cs="Times New Roman"/>
                <w:color w:val="auto"/>
                <w:sz w:val="21"/>
                <w:szCs w:val="21"/>
              </w:rPr>
              <w:t>项得 1 分；没有不得分。</w:t>
            </w:r>
            <w:r>
              <w:rPr>
                <w:rFonts w:ascii="Times New Roman" w:hAnsi="Times New Roman" w:eastAsia="仿宋" w:cs="Times New Roman"/>
                <w:color w:val="auto"/>
                <w:sz w:val="21"/>
                <w:szCs w:val="21"/>
                <w:highlight w:val="none"/>
                <w:lang w:eastAsia="zh-CN"/>
              </w:rPr>
              <w:t>（</w:t>
            </w:r>
            <w:r>
              <w:rPr>
                <w:rFonts w:ascii="Times New Roman" w:hAnsi="Times New Roman" w:eastAsia="仿宋" w:cs="Times New Roman"/>
                <w:color w:val="auto"/>
                <w:sz w:val="21"/>
                <w:szCs w:val="21"/>
                <w:highlight w:val="none"/>
              </w:rPr>
              <w:t>须提供证书复印件</w:t>
            </w:r>
            <w:r>
              <w:rPr>
                <w:rFonts w:ascii="Times New Roman" w:hAnsi="Times New Roman" w:eastAsia="仿宋" w:cs="Times New Roman"/>
                <w:color w:val="auto"/>
                <w:sz w:val="21"/>
                <w:szCs w:val="21"/>
                <w:highlight w:val="none"/>
                <w:lang w:val="en-US" w:eastAsia="zh-CN"/>
              </w:rPr>
              <w:t>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，姓名</w:t>
            </w:r>
            <w:r>
              <w:rPr>
                <w:rFonts w:ascii="Times New Roman" w:hAnsi="Times New Roman" w:eastAsia="仿宋" w:cs="Times New Roman"/>
                <w:color w:val="auto"/>
                <w:sz w:val="21"/>
                <w:szCs w:val="21"/>
                <w:highlight w:val="none"/>
                <w:lang w:val="en-US" w:eastAsia="zh-CN"/>
              </w:rPr>
              <w:t>须</w:t>
            </w:r>
            <w:r>
              <w:rPr>
                <w:rFonts w:ascii="Times New Roman" w:hAnsi="Times New Roman" w:eastAsia="仿宋" w:cs="Times New Roman"/>
                <w:color w:val="auto"/>
                <w:sz w:val="21"/>
                <w:szCs w:val="21"/>
                <w:highlight w:val="none"/>
              </w:rPr>
              <w:t>一致否则不计分</w:t>
            </w:r>
            <w:r>
              <w:rPr>
                <w:rFonts w:ascii="Times New Roman" w:hAnsi="Times New Roman" w:eastAsia="仿宋" w:cs="Times New Roman"/>
                <w:color w:val="auto"/>
                <w:sz w:val="21"/>
                <w:szCs w:val="21"/>
                <w:highlight w:val="none"/>
                <w:lang w:eastAsia="zh-CN"/>
              </w:rPr>
              <w:t>）</w:t>
            </w:r>
          </w:p>
          <w:p w14:paraId="32D8F399">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③其他团队成员（5 分）</w:t>
            </w:r>
          </w:p>
          <w:p w14:paraId="52C0ED6D">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团队人员持有：系统分析师、CISP 注册信息安全工程师、信息系统管理工程师、信息安全保障人员、IT服务工程师、软件设计师等专业证书，每</w:t>
            </w:r>
            <w:r>
              <w:rPr>
                <w:rFonts w:hint="eastAsia" w:eastAsia="仿宋" w:cs="Times New Roman"/>
                <w:color w:val="auto"/>
                <w:sz w:val="21"/>
                <w:szCs w:val="21"/>
                <w:lang w:val="en-US" w:eastAsia="zh-CN"/>
              </w:rPr>
              <w:t>类证书</w:t>
            </w:r>
            <w:r>
              <w:rPr>
                <w:rFonts w:ascii="Times New Roman" w:hAnsi="Times New Roman" w:eastAsia="仿宋" w:cs="Times New Roman"/>
                <w:color w:val="auto"/>
                <w:sz w:val="21"/>
                <w:szCs w:val="21"/>
              </w:rPr>
              <w:t>得 1 分，最高 5 分；同一人多证只计 1 分</w:t>
            </w:r>
          </w:p>
          <w:p w14:paraId="55EBF3BC">
            <w:pPr>
              <w:keepNext w:val="0"/>
              <w:keepLines w:val="0"/>
              <w:pageBreakBefore w:val="0"/>
              <w:widowControl/>
              <w:spacing w:after="0" w:line="240" w:lineRule="auto"/>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highlight w:val="none"/>
                <w:lang w:eastAsia="zh-CN"/>
              </w:rPr>
              <w:t>（</w:t>
            </w:r>
            <w:r>
              <w:rPr>
                <w:rFonts w:ascii="Times New Roman" w:hAnsi="Times New Roman" w:eastAsia="仿宋" w:cs="Times New Roman"/>
                <w:color w:val="auto"/>
                <w:sz w:val="21"/>
                <w:szCs w:val="21"/>
                <w:highlight w:val="none"/>
              </w:rPr>
              <w:t>须提供证书复印件</w:t>
            </w:r>
            <w:r>
              <w:rPr>
                <w:rFonts w:ascii="Times New Roman" w:hAnsi="Times New Roman" w:eastAsia="仿宋" w:cs="Times New Roman"/>
                <w:color w:val="auto"/>
                <w:sz w:val="21"/>
                <w:szCs w:val="21"/>
                <w:highlight w:val="none"/>
                <w:lang w:val="en-US" w:eastAsia="zh-CN"/>
              </w:rPr>
              <w:t>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，姓名</w:t>
            </w:r>
            <w:r>
              <w:rPr>
                <w:rFonts w:ascii="Times New Roman" w:hAnsi="Times New Roman" w:eastAsia="仿宋" w:cs="Times New Roman"/>
                <w:color w:val="auto"/>
                <w:sz w:val="21"/>
                <w:szCs w:val="21"/>
                <w:highlight w:val="none"/>
                <w:lang w:val="en-US" w:eastAsia="zh-CN"/>
              </w:rPr>
              <w:t>须</w:t>
            </w:r>
            <w:r>
              <w:rPr>
                <w:rFonts w:ascii="Times New Roman" w:hAnsi="Times New Roman" w:eastAsia="仿宋" w:cs="Times New Roman"/>
                <w:color w:val="auto"/>
                <w:sz w:val="21"/>
                <w:szCs w:val="21"/>
                <w:highlight w:val="none"/>
              </w:rPr>
              <w:t>一致否则不计分</w:t>
            </w:r>
            <w:r>
              <w:rPr>
                <w:rFonts w:ascii="Times New Roman" w:hAnsi="Times New Roman" w:eastAsia="仿宋" w:cs="Times New Roman"/>
                <w:color w:val="auto"/>
                <w:sz w:val="21"/>
                <w:szCs w:val="21"/>
                <w:highlight w:val="none"/>
                <w:lang w:eastAsia="zh-CN"/>
              </w:rPr>
              <w:t>，</w:t>
            </w:r>
            <w:r>
              <w:rPr>
                <w:rFonts w:ascii="Times New Roman" w:hAnsi="Times New Roman" w:eastAsia="仿宋" w:cs="Times New Roman"/>
                <w:color w:val="auto"/>
                <w:sz w:val="21"/>
                <w:szCs w:val="21"/>
              </w:rPr>
              <w:t>项目经理、技术负责人不得为同一人，且不计入其他团队成员</w:t>
            </w:r>
            <w:r>
              <w:rPr>
                <w:rFonts w:ascii="Times New Roman" w:hAnsi="Times New Roman" w:eastAsia="仿宋" w:cs="Times New Roman"/>
                <w:color w:val="auto"/>
                <w:sz w:val="21"/>
                <w:szCs w:val="21"/>
                <w:lang w:eastAsia="zh-CN"/>
              </w:rPr>
              <w:t>）</w:t>
            </w:r>
          </w:p>
        </w:tc>
      </w:tr>
      <w:tr w14:paraId="760AE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2" w:hRule="atLeast"/>
          <w:jc w:val="center"/>
        </w:trPr>
        <w:tc>
          <w:tcPr>
            <w:tcW w:w="288" w:type="pct"/>
            <w:noWrap/>
            <w:vAlign w:val="center"/>
          </w:tcPr>
          <w:p w14:paraId="73A18A24">
            <w:pPr>
              <w:keepNext w:val="0"/>
              <w:keepLines w:val="0"/>
              <w:pageBreakBefore w:val="0"/>
              <w:widowControl/>
              <w:spacing w:after="0" w:line="240" w:lineRule="auto"/>
              <w:jc w:val="center"/>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五</w:t>
            </w:r>
          </w:p>
        </w:tc>
        <w:tc>
          <w:tcPr>
            <w:tcW w:w="377" w:type="pct"/>
            <w:vMerge w:val="restart"/>
            <w:noWrap/>
            <w:vAlign w:val="center"/>
          </w:tcPr>
          <w:p w14:paraId="4D1B7793">
            <w:pPr>
              <w:keepNext w:val="0"/>
              <w:keepLines w:val="0"/>
              <w:pageBreakBefore w:val="0"/>
              <w:widowControl/>
              <w:spacing w:after="0" w:line="240" w:lineRule="auto"/>
              <w:jc w:val="center"/>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技术部分(</w:t>
            </w:r>
            <w:r>
              <w:rPr>
                <w:rFonts w:hint="eastAsia" w:eastAsia="仿宋" w:cs="Times New Roman"/>
                <w:color w:val="auto"/>
                <w:sz w:val="21"/>
                <w:szCs w:val="21"/>
                <w:lang w:val="en-US" w:eastAsia="zh-CN"/>
              </w:rPr>
              <w:t>66</w:t>
            </w:r>
            <w:r>
              <w:rPr>
                <w:rFonts w:ascii="Times New Roman" w:hAnsi="Times New Roman" w:eastAsia="仿宋" w:cs="Times New Roman"/>
                <w:color w:val="auto"/>
                <w:sz w:val="21"/>
                <w:szCs w:val="21"/>
                <w:lang w:val="en-US" w:eastAsia="zh-CN"/>
              </w:rPr>
              <w:t>分)</w:t>
            </w:r>
          </w:p>
        </w:tc>
        <w:tc>
          <w:tcPr>
            <w:tcW w:w="382" w:type="pct"/>
            <w:noWrap/>
            <w:vAlign w:val="center"/>
          </w:tcPr>
          <w:p w14:paraId="5B40E325">
            <w:pPr>
              <w:keepNext w:val="0"/>
              <w:keepLines w:val="0"/>
              <w:pageBreakBefore w:val="0"/>
              <w:widowControl/>
              <w:spacing w:after="0" w:line="240" w:lineRule="auto"/>
              <w:jc w:val="center"/>
              <w:rPr>
                <w:rFonts w:ascii="Times New Roman" w:hAnsi="Times New Roman" w:eastAsia="仿宋" w:cs="Times New Roman"/>
                <w:color w:val="auto"/>
                <w:sz w:val="21"/>
                <w:szCs w:val="21"/>
              </w:rPr>
            </w:pPr>
            <w:r>
              <w:rPr>
                <w:rFonts w:hint="eastAsia" w:eastAsia="仿宋" w:cs="Times New Roman"/>
                <w:color w:val="auto"/>
                <w:sz w:val="21"/>
                <w:szCs w:val="21"/>
                <w:lang w:val="en-US" w:eastAsia="zh-CN"/>
              </w:rPr>
              <w:t>7</w:t>
            </w:r>
            <w:r>
              <w:rPr>
                <w:rFonts w:ascii="Times New Roman" w:hAnsi="Times New Roman" w:eastAsia="仿宋" w:cs="Times New Roman"/>
                <w:color w:val="auto"/>
                <w:sz w:val="21"/>
                <w:szCs w:val="21"/>
              </w:rPr>
              <w:t>分</w:t>
            </w:r>
          </w:p>
        </w:tc>
        <w:tc>
          <w:tcPr>
            <w:tcW w:w="3951" w:type="pct"/>
            <w:noWrap/>
            <w:vAlign w:val="center"/>
          </w:tcPr>
          <w:p w14:paraId="5580F408">
            <w:pPr>
              <w:keepNext w:val="0"/>
              <w:keepLines w:val="0"/>
              <w:pageBreakBefore w:val="0"/>
              <w:widowControl/>
              <w:spacing w:after="0" w:line="240" w:lineRule="auto"/>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整体技术方案（</w:t>
            </w:r>
            <w:r>
              <w:rPr>
                <w:rFonts w:hint="eastAsia" w:eastAsia="仿宋" w:cs="Times New Roman"/>
                <w:color w:val="auto"/>
                <w:sz w:val="21"/>
                <w:szCs w:val="21"/>
                <w:lang w:val="en-US" w:eastAsia="zh-CN"/>
              </w:rPr>
              <w:t>7</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eastAsia="zh-CN"/>
              </w:rPr>
              <w:t>：</w:t>
            </w:r>
          </w:p>
          <w:p w14:paraId="762DF5CD">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从项目总体架构、塘口点位规划、组网设计、</w:t>
            </w:r>
            <w:r>
              <w:rPr>
                <w:rFonts w:hint="eastAsia" w:eastAsia="仿宋"/>
                <w:color w:val="auto"/>
                <w:szCs w:val="21"/>
                <w:u w:val="single"/>
              </w:rPr>
              <w:t>云边协同部署架构/数据存储架构</w:t>
            </w:r>
            <w:r>
              <w:rPr>
                <w:rFonts w:ascii="Times New Roman" w:hAnsi="Times New Roman" w:eastAsia="仿宋" w:cs="Times New Roman"/>
                <w:color w:val="auto"/>
                <w:sz w:val="21"/>
                <w:szCs w:val="21"/>
              </w:rPr>
              <w:t>、安全体系、实施保障完整性、可落地性、技术先进性</w:t>
            </w:r>
            <w:r>
              <w:rPr>
                <w:rFonts w:ascii="Times New Roman" w:hAnsi="Times New Roman" w:eastAsia="仿宋" w:cs="Times New Roman"/>
                <w:color w:val="auto"/>
                <w:sz w:val="21"/>
                <w:szCs w:val="21"/>
                <w:lang w:val="en-US" w:eastAsia="zh-CN"/>
              </w:rPr>
              <w:t>等方面进行打</w:t>
            </w:r>
            <w:r>
              <w:rPr>
                <w:rFonts w:ascii="Times New Roman" w:hAnsi="Times New Roman" w:eastAsia="仿宋" w:cs="Times New Roman"/>
                <w:color w:val="auto"/>
                <w:sz w:val="21"/>
                <w:szCs w:val="21"/>
              </w:rPr>
              <w:t>分：</w:t>
            </w:r>
          </w:p>
          <w:p w14:paraId="1D7FAF41">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方案完整逻辑清晰、贴合项目实际得 </w:t>
            </w:r>
            <w:r>
              <w:rPr>
                <w:rFonts w:hint="eastAsia" w:eastAsia="仿宋" w:cs="Times New Roman"/>
                <w:color w:val="auto"/>
                <w:sz w:val="21"/>
                <w:szCs w:val="21"/>
                <w:lang w:val="en-US" w:eastAsia="zh-CN"/>
              </w:rPr>
              <w:t>7</w:t>
            </w:r>
            <w:r>
              <w:rPr>
                <w:rFonts w:ascii="Times New Roman" w:hAnsi="Times New Roman" w:eastAsia="仿宋" w:cs="Times New Roman"/>
                <w:color w:val="auto"/>
                <w:sz w:val="21"/>
                <w:szCs w:val="21"/>
              </w:rPr>
              <w:t>分；</w:t>
            </w:r>
          </w:p>
          <w:p w14:paraId="57C7AD76">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基本完整略有缺失得 </w:t>
            </w:r>
            <w:r>
              <w:rPr>
                <w:rFonts w:hint="eastAsia" w:eastAsia="仿宋" w:cs="Times New Roman"/>
                <w:color w:val="auto"/>
                <w:sz w:val="21"/>
                <w:szCs w:val="21"/>
                <w:lang w:val="en-US" w:eastAsia="zh-CN"/>
              </w:rPr>
              <w:t>4</w:t>
            </w:r>
            <w:r>
              <w:rPr>
                <w:rFonts w:ascii="Times New Roman" w:hAnsi="Times New Roman" w:eastAsia="仿宋" w:cs="Times New Roman"/>
                <w:color w:val="auto"/>
                <w:sz w:val="21"/>
                <w:szCs w:val="21"/>
              </w:rPr>
              <w:t xml:space="preserve"> 分；</w:t>
            </w:r>
          </w:p>
          <w:p w14:paraId="6EB84B0B">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缺项严重、逻辑混乱得 </w:t>
            </w:r>
            <w:r>
              <w:rPr>
                <w:rFonts w:ascii="Times New Roman" w:hAnsi="Times New Roman" w:eastAsia="仿宋" w:cs="Times New Roman"/>
                <w:color w:val="auto"/>
                <w:sz w:val="21"/>
                <w:szCs w:val="21"/>
                <w:lang w:val="en-US" w:eastAsia="zh-CN"/>
              </w:rPr>
              <w:t>1</w:t>
            </w:r>
            <w:r>
              <w:rPr>
                <w:rFonts w:ascii="Times New Roman" w:hAnsi="Times New Roman" w:eastAsia="仿宋" w:cs="Times New Roman"/>
                <w:color w:val="auto"/>
                <w:sz w:val="21"/>
                <w:szCs w:val="21"/>
              </w:rPr>
              <w:t xml:space="preserve"> 分。</w:t>
            </w:r>
          </w:p>
          <w:p w14:paraId="34AF4C4C">
            <w:pPr>
              <w:keepNext w:val="0"/>
              <w:keepLines w:val="0"/>
              <w:pageBreakBefore w:val="0"/>
              <w:widowControl/>
              <w:spacing w:after="0" w:line="240" w:lineRule="auto"/>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未提供不得分。</w:t>
            </w:r>
          </w:p>
        </w:tc>
      </w:tr>
      <w:tr w14:paraId="3CF4E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2" w:hRule="atLeast"/>
          <w:jc w:val="center"/>
        </w:trPr>
        <w:tc>
          <w:tcPr>
            <w:tcW w:w="288" w:type="pct"/>
            <w:noWrap/>
            <w:vAlign w:val="center"/>
          </w:tcPr>
          <w:p w14:paraId="132C2AAF">
            <w:pPr>
              <w:keepNext w:val="0"/>
              <w:keepLines w:val="0"/>
              <w:pageBreakBefore w:val="0"/>
              <w:widowControl/>
              <w:spacing w:after="0" w:line="240" w:lineRule="auto"/>
              <w:jc w:val="center"/>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六</w:t>
            </w:r>
          </w:p>
        </w:tc>
        <w:tc>
          <w:tcPr>
            <w:tcW w:w="377" w:type="pct"/>
            <w:vMerge w:val="continue"/>
            <w:noWrap/>
            <w:vAlign w:val="center"/>
          </w:tcPr>
          <w:p w14:paraId="151C0B39">
            <w:pPr>
              <w:keepNext w:val="0"/>
              <w:keepLines w:val="0"/>
              <w:pageBreakBefore w:val="0"/>
              <w:spacing w:line="240" w:lineRule="auto"/>
            </w:pPr>
          </w:p>
        </w:tc>
        <w:tc>
          <w:tcPr>
            <w:tcW w:w="382" w:type="pct"/>
            <w:noWrap/>
            <w:vAlign w:val="center"/>
          </w:tcPr>
          <w:p w14:paraId="2963414A">
            <w:pPr>
              <w:keepNext w:val="0"/>
              <w:keepLines w:val="0"/>
              <w:pageBreakBefore w:val="0"/>
              <w:widowControl/>
              <w:spacing w:after="0" w:line="240" w:lineRule="auto"/>
              <w:jc w:val="center"/>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5</w:t>
            </w:r>
            <w:r>
              <w:rPr>
                <w:rFonts w:ascii="Times New Roman" w:hAnsi="Times New Roman" w:eastAsia="仿宋" w:cs="Times New Roman"/>
                <w:color w:val="auto"/>
                <w:sz w:val="21"/>
                <w:szCs w:val="21"/>
              </w:rPr>
              <w:t>分</w:t>
            </w:r>
          </w:p>
        </w:tc>
        <w:tc>
          <w:tcPr>
            <w:tcW w:w="3951" w:type="pct"/>
            <w:noWrap/>
            <w:vAlign w:val="center"/>
          </w:tcPr>
          <w:p w14:paraId="2D79BBF2">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项目实施团队保障（5 分）</w:t>
            </w:r>
          </w:p>
          <w:p w14:paraId="52EE285D">
            <w:pPr>
              <w:keepNext w:val="0"/>
              <w:keepLines w:val="0"/>
              <w:pageBreakBefore w:val="0"/>
              <w:widowControl/>
              <w:spacing w:after="0" w:line="240" w:lineRule="auto"/>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从项目组织架构、人员配置、驻场服务、分工职责、实施流程、质量管控、进度保障方案完整性</w:t>
            </w:r>
            <w:r>
              <w:rPr>
                <w:rFonts w:ascii="Times New Roman" w:hAnsi="Times New Roman" w:eastAsia="仿宋" w:cs="Times New Roman"/>
                <w:color w:val="auto"/>
                <w:sz w:val="21"/>
                <w:szCs w:val="21"/>
                <w:lang w:val="en-US" w:eastAsia="zh-CN"/>
              </w:rPr>
              <w:t>等方面进行</w:t>
            </w:r>
            <w:r>
              <w:rPr>
                <w:rFonts w:ascii="Times New Roman" w:hAnsi="Times New Roman" w:eastAsia="仿宋" w:cs="Times New Roman"/>
                <w:color w:val="auto"/>
                <w:sz w:val="21"/>
                <w:szCs w:val="21"/>
              </w:rPr>
              <w:t>打分</w:t>
            </w:r>
            <w:r>
              <w:rPr>
                <w:rFonts w:ascii="Times New Roman" w:hAnsi="Times New Roman" w:eastAsia="仿宋" w:cs="Times New Roman"/>
                <w:color w:val="auto"/>
                <w:sz w:val="21"/>
                <w:szCs w:val="21"/>
                <w:lang w:val="en-US" w:eastAsia="zh-CN"/>
              </w:rPr>
              <w:t>:</w:t>
            </w:r>
          </w:p>
          <w:p w14:paraId="488C74DD">
            <w:pPr>
              <w:keepNext w:val="0"/>
              <w:keepLines w:val="0"/>
              <w:pageBreakBefore w:val="0"/>
              <w:widowControl/>
              <w:spacing w:after="0" w:line="240" w:lineRule="auto"/>
              <w:rPr>
                <w:rFonts w:ascii="Times New Roman" w:hAnsi="Times New Roman" w:eastAsia="仿宋" w:cs="Times New Roman"/>
                <w:color w:val="auto"/>
                <w:sz w:val="21"/>
                <w:szCs w:val="21"/>
                <w:lang w:val="en-US" w:eastAsia="zh-CN"/>
              </w:rPr>
            </w:pPr>
            <w:r>
              <w:rPr>
                <w:rFonts w:eastAsia="仿宋"/>
                <w:color w:val="auto"/>
                <w:szCs w:val="21"/>
                <w:lang w:val="en-US" w:eastAsia="zh-CN"/>
              </w:rPr>
              <w:t>团队运维要有稳定性，独立且专业的运维团队，后期运维服务确保有保</w:t>
            </w:r>
            <w:r>
              <w:rPr>
                <w:rFonts w:ascii="Times New Roman" w:hAnsi="Times New Roman" w:eastAsia="仿宋" w:cs="Times New Roman"/>
                <w:color w:val="auto"/>
                <w:sz w:val="21"/>
                <w:szCs w:val="21"/>
                <w:lang w:val="en-US" w:eastAsia="zh-CN"/>
              </w:rPr>
              <w:t>障，</w:t>
            </w:r>
            <w:r>
              <w:rPr>
                <w:rFonts w:ascii="Times New Roman" w:hAnsi="Times New Roman" w:eastAsia="仿宋" w:cs="Times New Roman"/>
                <w:color w:val="auto"/>
                <w:sz w:val="21"/>
                <w:szCs w:val="21"/>
              </w:rPr>
              <w:t xml:space="preserve">方案完善合理得 </w:t>
            </w:r>
            <w:r>
              <w:rPr>
                <w:rFonts w:ascii="Times New Roman" w:hAnsi="Times New Roman" w:eastAsia="仿宋" w:cs="Times New Roman"/>
                <w:color w:val="auto"/>
                <w:sz w:val="21"/>
                <w:szCs w:val="21"/>
                <w:lang w:val="en-US" w:eastAsia="zh-CN"/>
              </w:rPr>
              <w:t>5</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val="en-US" w:eastAsia="zh-CN"/>
              </w:rPr>
              <w:t>；</w:t>
            </w:r>
          </w:p>
          <w:p w14:paraId="7238B7F0">
            <w:pPr>
              <w:keepNext w:val="0"/>
              <w:keepLines w:val="0"/>
              <w:pageBreakBefore w:val="0"/>
              <w:widowControl/>
              <w:spacing w:after="0" w:line="240" w:lineRule="auto"/>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 xml:space="preserve">基本可行得 </w:t>
            </w:r>
            <w:r>
              <w:rPr>
                <w:rFonts w:ascii="Times New Roman" w:hAnsi="Times New Roman" w:eastAsia="仿宋" w:cs="Times New Roman"/>
                <w:color w:val="auto"/>
                <w:sz w:val="21"/>
                <w:szCs w:val="21"/>
                <w:lang w:val="en-US" w:eastAsia="zh-CN"/>
              </w:rPr>
              <w:t>3</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val="en-US" w:eastAsia="zh-CN"/>
              </w:rPr>
              <w:t>；</w:t>
            </w:r>
          </w:p>
          <w:p w14:paraId="153C1E68">
            <w:pPr>
              <w:keepNext w:val="0"/>
              <w:keepLines w:val="0"/>
              <w:pageBreakBefore w:val="0"/>
              <w:widowControl/>
              <w:spacing w:after="0" w:line="240" w:lineRule="auto"/>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简陋缺失得 </w:t>
            </w:r>
            <w:r>
              <w:rPr>
                <w:rFonts w:ascii="Times New Roman" w:hAnsi="Times New Roman" w:eastAsia="仿宋" w:cs="Times New Roman"/>
                <w:color w:val="auto"/>
                <w:sz w:val="21"/>
                <w:szCs w:val="21"/>
                <w:lang w:val="en-US" w:eastAsia="zh-CN"/>
              </w:rPr>
              <w:t>1</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eastAsia="zh-CN"/>
              </w:rPr>
              <w:t>；</w:t>
            </w:r>
          </w:p>
          <w:p w14:paraId="03D1C0C1">
            <w:pPr>
              <w:keepNext w:val="0"/>
              <w:keepLines w:val="0"/>
              <w:pageBreakBefore w:val="0"/>
              <w:widowControl/>
              <w:spacing w:after="0" w:line="240" w:lineRule="auto"/>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未提供不得分。</w:t>
            </w:r>
          </w:p>
        </w:tc>
      </w:tr>
      <w:tr w14:paraId="562A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2" w:hRule="atLeast"/>
          <w:jc w:val="center"/>
        </w:trPr>
        <w:tc>
          <w:tcPr>
            <w:tcW w:w="288" w:type="pct"/>
            <w:noWrap/>
            <w:vAlign w:val="center"/>
          </w:tcPr>
          <w:p w14:paraId="19988061">
            <w:pPr>
              <w:keepNext w:val="0"/>
              <w:keepLines w:val="0"/>
              <w:pageBreakBefore w:val="0"/>
              <w:widowControl/>
              <w:spacing w:after="0" w:line="240" w:lineRule="auto"/>
              <w:jc w:val="center"/>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七</w:t>
            </w:r>
          </w:p>
        </w:tc>
        <w:tc>
          <w:tcPr>
            <w:tcW w:w="377" w:type="pct"/>
            <w:vMerge w:val="continue"/>
            <w:noWrap/>
            <w:vAlign w:val="center"/>
          </w:tcPr>
          <w:p w14:paraId="30649F8C">
            <w:pPr>
              <w:keepNext w:val="0"/>
              <w:keepLines w:val="0"/>
              <w:pageBreakBefore w:val="0"/>
              <w:spacing w:line="240" w:lineRule="auto"/>
            </w:pPr>
          </w:p>
        </w:tc>
        <w:tc>
          <w:tcPr>
            <w:tcW w:w="382" w:type="pct"/>
            <w:noWrap/>
            <w:vAlign w:val="center"/>
          </w:tcPr>
          <w:p w14:paraId="53AB8DF9">
            <w:pPr>
              <w:keepNext w:val="0"/>
              <w:keepLines w:val="0"/>
              <w:pageBreakBefore w:val="0"/>
              <w:widowControl/>
              <w:spacing w:after="0" w:line="240" w:lineRule="auto"/>
              <w:jc w:val="center"/>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5分</w:t>
            </w:r>
          </w:p>
        </w:tc>
        <w:tc>
          <w:tcPr>
            <w:tcW w:w="3951" w:type="pct"/>
            <w:noWrap/>
            <w:vAlign w:val="center"/>
          </w:tcPr>
          <w:p w14:paraId="253F4BD1">
            <w:pPr>
              <w:keepNext w:val="0"/>
              <w:keepLines w:val="0"/>
              <w:pageBreakBefore w:val="0"/>
              <w:widowControl/>
              <w:spacing w:after="0" w:line="240" w:lineRule="auto"/>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培训与售后服务方案（5 分）</w:t>
            </w:r>
          </w:p>
          <w:p w14:paraId="0AA96C65">
            <w:pPr>
              <w:keepNext w:val="0"/>
              <w:keepLines w:val="0"/>
              <w:pageBreakBefore w:val="0"/>
              <w:widowControl/>
              <w:spacing w:after="0" w:line="240" w:lineRule="auto"/>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lang w:val="en-US" w:eastAsia="zh-CN"/>
              </w:rPr>
              <w:t>从</w:t>
            </w:r>
            <w:r>
              <w:rPr>
                <w:rFonts w:ascii="Times New Roman" w:hAnsi="Times New Roman" w:eastAsia="仿宋" w:cs="Times New Roman"/>
                <w:color w:val="auto"/>
                <w:sz w:val="21"/>
                <w:szCs w:val="21"/>
              </w:rPr>
              <w:t>投标人提供的项目培训、驻场运维及质保服务方案，包含 7×24 小时技术值守、限时故障处置、</w:t>
            </w:r>
            <w:r>
              <w:rPr>
                <w:rFonts w:hint="eastAsia" w:eastAsia="仿宋" w:cs="Times New Roman"/>
                <w:color w:val="auto"/>
                <w:sz w:val="21"/>
                <w:szCs w:val="21"/>
                <w:lang w:val="en-US" w:eastAsia="zh-CN"/>
              </w:rPr>
              <w:t>塘口调整后监控跟进移位承诺、</w:t>
            </w:r>
            <w:r>
              <w:rPr>
                <w:rFonts w:ascii="Times New Roman" w:hAnsi="Times New Roman" w:eastAsia="仿宋" w:cs="Times New Roman"/>
                <w:color w:val="auto"/>
                <w:sz w:val="21"/>
                <w:szCs w:val="21"/>
              </w:rPr>
              <w:t>系统迭代升级及免费维保承诺</w:t>
            </w:r>
            <w:r>
              <w:rPr>
                <w:rFonts w:ascii="Times New Roman" w:hAnsi="Times New Roman" w:eastAsia="仿宋" w:cs="Times New Roman"/>
                <w:color w:val="auto"/>
                <w:sz w:val="21"/>
                <w:szCs w:val="21"/>
                <w:lang w:val="en-US" w:eastAsia="zh-CN"/>
              </w:rPr>
              <w:t>等方面进行打分</w:t>
            </w:r>
            <w:r>
              <w:rPr>
                <w:rFonts w:ascii="Times New Roman" w:hAnsi="Times New Roman" w:eastAsia="仿宋" w:cs="Times New Roman"/>
                <w:color w:val="auto"/>
                <w:sz w:val="21"/>
                <w:szCs w:val="21"/>
                <w:lang w:eastAsia="zh-CN"/>
              </w:rPr>
              <w:t>：</w:t>
            </w:r>
          </w:p>
          <w:p w14:paraId="61A2F410">
            <w:pPr>
              <w:keepNext w:val="0"/>
              <w:keepLines w:val="0"/>
              <w:pageBreakBefore w:val="0"/>
              <w:widowControl/>
              <w:spacing w:after="0" w:line="240" w:lineRule="auto"/>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方案完整合理、保障措施到位得</w:t>
            </w:r>
            <w:r>
              <w:rPr>
                <w:rFonts w:ascii="Times New Roman" w:hAnsi="Times New Roman" w:eastAsia="仿宋" w:cs="Times New Roman"/>
                <w:color w:val="auto"/>
                <w:sz w:val="21"/>
                <w:szCs w:val="21"/>
                <w:lang w:val="en-US" w:eastAsia="zh-CN"/>
              </w:rPr>
              <w:t>5分</w:t>
            </w:r>
            <w:r>
              <w:rPr>
                <w:rFonts w:ascii="Times New Roman" w:hAnsi="Times New Roman" w:eastAsia="仿宋" w:cs="Times New Roman"/>
                <w:color w:val="auto"/>
                <w:sz w:val="21"/>
                <w:szCs w:val="21"/>
                <w:lang w:eastAsia="zh-CN"/>
              </w:rPr>
              <w:t>；</w:t>
            </w:r>
          </w:p>
          <w:p w14:paraId="73F72486">
            <w:pPr>
              <w:keepNext w:val="0"/>
              <w:keepLines w:val="0"/>
              <w:pageBreakBefore w:val="0"/>
              <w:widowControl/>
              <w:spacing w:after="0" w:line="240" w:lineRule="auto"/>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方案</w:t>
            </w:r>
            <w:r>
              <w:rPr>
                <w:rFonts w:ascii="Times New Roman" w:hAnsi="Times New Roman" w:eastAsia="仿宋" w:cs="Times New Roman"/>
                <w:color w:val="auto"/>
                <w:sz w:val="21"/>
                <w:szCs w:val="21"/>
                <w:lang w:val="en-US" w:eastAsia="zh-CN"/>
              </w:rPr>
              <w:t>基本</w:t>
            </w:r>
            <w:r>
              <w:rPr>
                <w:rFonts w:ascii="Times New Roman" w:hAnsi="Times New Roman" w:eastAsia="仿宋" w:cs="Times New Roman"/>
                <w:color w:val="auto"/>
                <w:sz w:val="21"/>
                <w:szCs w:val="21"/>
              </w:rPr>
              <w:t>完整合理、保障措施</w:t>
            </w:r>
            <w:r>
              <w:rPr>
                <w:rFonts w:ascii="Times New Roman" w:hAnsi="Times New Roman" w:eastAsia="仿宋" w:cs="Times New Roman"/>
                <w:color w:val="auto"/>
                <w:sz w:val="21"/>
                <w:szCs w:val="21"/>
                <w:lang w:val="en-US" w:eastAsia="zh-CN"/>
              </w:rPr>
              <w:t>基本</w:t>
            </w:r>
            <w:r>
              <w:rPr>
                <w:rFonts w:ascii="Times New Roman" w:hAnsi="Times New Roman" w:eastAsia="仿宋" w:cs="Times New Roman"/>
                <w:color w:val="auto"/>
                <w:sz w:val="21"/>
                <w:szCs w:val="21"/>
              </w:rPr>
              <w:t>到位得</w:t>
            </w:r>
            <w:r>
              <w:rPr>
                <w:rFonts w:ascii="Times New Roman" w:hAnsi="Times New Roman" w:eastAsia="仿宋" w:cs="Times New Roman"/>
                <w:color w:val="auto"/>
                <w:sz w:val="21"/>
                <w:szCs w:val="21"/>
                <w:lang w:val="en-US" w:eastAsia="zh-CN"/>
              </w:rPr>
              <w:t>3分</w:t>
            </w:r>
            <w:r>
              <w:rPr>
                <w:rFonts w:ascii="Times New Roman" w:hAnsi="Times New Roman" w:eastAsia="仿宋" w:cs="Times New Roman"/>
                <w:color w:val="auto"/>
                <w:sz w:val="21"/>
                <w:szCs w:val="21"/>
                <w:lang w:eastAsia="zh-CN"/>
              </w:rPr>
              <w:t>；</w:t>
            </w:r>
          </w:p>
          <w:p w14:paraId="1010BB87">
            <w:pPr>
              <w:keepNext w:val="0"/>
              <w:keepLines w:val="0"/>
              <w:pageBreakBefore w:val="0"/>
              <w:widowControl/>
              <w:spacing w:after="0" w:line="240" w:lineRule="auto"/>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内容简略、缺失关键服务条款</w:t>
            </w:r>
            <w:r>
              <w:rPr>
                <w:rFonts w:ascii="Times New Roman" w:hAnsi="Times New Roman" w:eastAsia="仿宋" w:cs="Times New Roman"/>
                <w:color w:val="auto"/>
                <w:sz w:val="21"/>
                <w:szCs w:val="21"/>
                <w:lang w:val="en-US" w:eastAsia="zh-CN"/>
              </w:rPr>
              <w:t>得1分；</w:t>
            </w:r>
          </w:p>
          <w:p w14:paraId="0A91CC25">
            <w:pPr>
              <w:keepNext w:val="0"/>
              <w:keepLines w:val="0"/>
              <w:pageBreakBefore w:val="0"/>
              <w:widowControl/>
              <w:spacing w:after="0" w:line="240" w:lineRule="auto"/>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未提供不得分。</w:t>
            </w:r>
          </w:p>
        </w:tc>
      </w:tr>
      <w:tr w14:paraId="6557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jc w:val="center"/>
        </w:trPr>
        <w:tc>
          <w:tcPr>
            <w:tcW w:w="288" w:type="pct"/>
            <w:noWrap/>
            <w:vAlign w:val="center"/>
          </w:tcPr>
          <w:p w14:paraId="613090CF">
            <w:pPr>
              <w:keepNext w:val="0"/>
              <w:keepLines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八</w:t>
            </w:r>
          </w:p>
        </w:tc>
        <w:tc>
          <w:tcPr>
            <w:tcW w:w="377" w:type="pct"/>
            <w:vMerge w:val="continue"/>
            <w:noWrap/>
            <w:vAlign w:val="center"/>
          </w:tcPr>
          <w:p w14:paraId="61EF428D">
            <w:pPr>
              <w:keepNext w:val="0"/>
              <w:keepLines w:val="0"/>
              <w:pageBreakBefore w:val="0"/>
              <w:spacing w:line="240" w:lineRule="auto"/>
            </w:pPr>
          </w:p>
        </w:tc>
        <w:tc>
          <w:tcPr>
            <w:tcW w:w="382" w:type="pct"/>
            <w:noWrap/>
            <w:vAlign w:val="center"/>
          </w:tcPr>
          <w:p w14:paraId="66CA27CC">
            <w:pPr>
              <w:keepNext w:val="0"/>
              <w:keepLines w:val="0"/>
              <w:pageBreakBefore w:val="0"/>
              <w:widowControl/>
              <w:spacing w:after="0" w:line="240" w:lineRule="auto"/>
              <w:jc w:val="center"/>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1</w:t>
            </w:r>
            <w:r>
              <w:rPr>
                <w:rFonts w:hint="eastAsia" w:eastAsia="仿宋" w:cs="Times New Roman"/>
                <w:color w:val="auto"/>
                <w:sz w:val="21"/>
                <w:szCs w:val="21"/>
                <w:lang w:val="en-US" w:eastAsia="zh-CN"/>
              </w:rPr>
              <w:t>9</w:t>
            </w:r>
            <w:r>
              <w:rPr>
                <w:rFonts w:ascii="Times New Roman" w:hAnsi="Times New Roman" w:eastAsia="仿宋" w:cs="Times New Roman"/>
                <w:color w:val="auto"/>
                <w:sz w:val="21"/>
                <w:szCs w:val="21"/>
                <w:lang w:val="en-US" w:eastAsia="zh-CN"/>
              </w:rPr>
              <w:t>分</w:t>
            </w:r>
          </w:p>
        </w:tc>
        <w:tc>
          <w:tcPr>
            <w:tcW w:w="3951" w:type="pct"/>
            <w:noWrap/>
            <w:vAlign w:val="center"/>
          </w:tcPr>
          <w:p w14:paraId="61FF1174">
            <w:pPr>
              <w:keepNext w:val="0"/>
              <w:keepLines w:val="0"/>
              <w:pageBreakBefore w:val="0"/>
              <w:widowControl/>
              <w:pBdr>
                <w:top w:val="none" w:color="auto" w:sz="0" w:space="0"/>
                <w:left w:val="none" w:color="auto" w:sz="0" w:space="0"/>
                <w:bottom w:val="none" w:color="auto" w:sz="0" w:space="0"/>
                <w:right w:val="none" w:color="auto" w:sz="0" w:space="0"/>
              </w:pBdr>
              <w:spacing w:after="0" w:line="240" w:lineRule="auto"/>
              <w:jc w:val="left"/>
              <w:rPr>
                <w:rFonts w:ascii="Times New Roman" w:hAnsi="Times New Roman" w:eastAsia="仿宋" w:cs="Times New Roman"/>
                <w:color w:val="auto"/>
                <w:sz w:val="21"/>
                <w:szCs w:val="21"/>
                <w:highlight w:val="none"/>
              </w:rPr>
            </w:pPr>
            <w:r>
              <w:rPr>
                <w:rFonts w:ascii="Times New Roman" w:hAnsi="Times New Roman" w:eastAsia="仿宋" w:cs="Times New Roman"/>
                <w:color w:val="auto"/>
                <w:sz w:val="21"/>
                <w:szCs w:val="21"/>
                <w:highlight w:val="none"/>
              </w:rPr>
              <w:t>软件平台综合方案（1</w:t>
            </w:r>
            <w:r>
              <w:rPr>
                <w:rFonts w:hint="eastAsia" w:eastAsia="仿宋" w:cs="Times New Roman"/>
                <w:color w:val="auto"/>
                <w:sz w:val="21"/>
                <w:szCs w:val="21"/>
                <w:highlight w:val="none"/>
                <w:lang w:val="en-US" w:eastAsia="zh-CN"/>
              </w:rPr>
              <w:t>9</w:t>
            </w:r>
            <w:r>
              <w:rPr>
                <w:rFonts w:ascii="Times New Roman" w:hAnsi="Times New Roman" w:eastAsia="仿宋" w:cs="Times New Roman"/>
                <w:color w:val="auto"/>
                <w:sz w:val="21"/>
                <w:szCs w:val="21"/>
                <w:highlight w:val="none"/>
              </w:rPr>
              <w:t>分）</w:t>
            </w:r>
          </w:p>
          <w:p w14:paraId="2FA6B8E9">
            <w:pPr>
              <w:keepNext w:val="0"/>
              <w:keepLines w:val="0"/>
              <w:pageBreakBefore w:val="0"/>
              <w:widowControl w:val="0"/>
              <w:spacing w:after="0" w:line="240" w:lineRule="auto"/>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1、</w:t>
            </w:r>
            <w:r>
              <w:rPr>
                <w:rFonts w:ascii="Times New Roman" w:hAnsi="Times New Roman" w:eastAsia="仿宋" w:cs="Times New Roman"/>
                <w:b w:val="0"/>
                <w:bCs w:val="0"/>
                <w:i w:val="0"/>
                <w:iCs w:val="0"/>
                <w:color w:val="auto"/>
                <w:spacing w:val="0"/>
                <w:sz w:val="21"/>
                <w:szCs w:val="21"/>
                <w:vertAlign w:val="baseline"/>
              </w:rPr>
              <w:t>软件功能设计、算法模型整体架构设计的合理性、科学性与项目业务场景适配度（</w:t>
            </w:r>
            <w:r>
              <w:rPr>
                <w:rFonts w:hint="eastAsia" w:eastAsia="仿宋" w:cs="Times New Roman"/>
                <w:b w:val="0"/>
                <w:bCs w:val="0"/>
                <w:i w:val="0"/>
                <w:iCs w:val="0"/>
                <w:color w:val="auto"/>
                <w:spacing w:val="0"/>
                <w:sz w:val="21"/>
                <w:szCs w:val="21"/>
                <w:vertAlign w:val="baseline"/>
                <w:lang w:val="en-US" w:eastAsia="zh-CN"/>
              </w:rPr>
              <w:t>7</w:t>
            </w:r>
            <w:r>
              <w:rPr>
                <w:rFonts w:ascii="Times New Roman" w:hAnsi="Times New Roman" w:eastAsia="仿宋" w:cs="Times New Roman"/>
                <w:b w:val="0"/>
                <w:bCs w:val="0"/>
                <w:i w:val="0"/>
                <w:iCs w:val="0"/>
                <w:color w:val="auto"/>
                <w:spacing w:val="0"/>
                <w:sz w:val="21"/>
                <w:szCs w:val="21"/>
                <w:vertAlign w:val="baseline"/>
              </w:rPr>
              <w:t>分）</w:t>
            </w:r>
            <w:r>
              <w:rPr>
                <w:rFonts w:hint="eastAsia" w:eastAsia="仿宋"/>
                <w:color w:val="auto"/>
                <w:szCs w:val="21"/>
              </w:rPr>
              <w:t>内容详实完整，软件功能设计明确覆盖"前端边缘实时推理—云边协同传输—后端证据链复核"全链路功能；算法模型整体架构设计合理、科学，模型训练、版本管理、模型包远程下发边缘终端、边缘推理运行监控等管理能力完整；与项目业务场景适配度高，明确适配塘口部署环境及鳊鱼出塘监管、渔政取证溯源业务需求，方案可落地，得7分；内容基本完整、无重大缺失，但部分功能边界或适配性论述不够充分，得4分；内容简略、关键部分缺失，得</w:t>
            </w:r>
            <w:r>
              <w:rPr>
                <w:rFonts w:hint="eastAsia" w:eastAsia="仿宋"/>
                <w:color w:val="auto"/>
                <w:szCs w:val="21"/>
                <w:lang w:val="en-US" w:eastAsia="zh-CN"/>
              </w:rPr>
              <w:t>1</w:t>
            </w:r>
            <w:r>
              <w:rPr>
                <w:rFonts w:hint="eastAsia" w:eastAsia="仿宋"/>
                <w:color w:val="auto"/>
                <w:szCs w:val="21"/>
              </w:rPr>
              <w:t>分</w:t>
            </w:r>
            <w:r>
              <w:rPr>
                <w:rFonts w:hint="eastAsia" w:eastAsia="仿宋"/>
                <w:color w:val="auto"/>
                <w:szCs w:val="21"/>
                <w:lang w:eastAsia="zh-CN"/>
              </w:rPr>
              <w:t>；</w:t>
            </w:r>
            <w:r>
              <w:rPr>
                <w:rFonts w:ascii="Times New Roman" w:hAnsi="Times New Roman" w:eastAsia="仿宋" w:cs="Times New Roman"/>
                <w:color w:val="auto"/>
                <w:sz w:val="21"/>
                <w:szCs w:val="21"/>
                <w:lang w:val="en-US" w:eastAsia="zh-CN"/>
              </w:rPr>
              <w:t>未提供不得分。</w:t>
            </w:r>
          </w:p>
          <w:p w14:paraId="06A0EA9E">
            <w:pPr>
              <w:keepNext w:val="0"/>
              <w:keepLines w:val="0"/>
              <w:pageBreakBefore w:val="0"/>
              <w:widowControl w:val="0"/>
              <w:spacing w:after="0" w:line="240" w:lineRule="auto"/>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2、</w:t>
            </w:r>
            <w:r>
              <w:rPr>
                <w:rFonts w:ascii="Times New Roman" w:hAnsi="Times New Roman" w:eastAsia="仿宋" w:cs="Times New Roman"/>
                <w:b w:val="0"/>
                <w:bCs w:val="0"/>
                <w:i w:val="0"/>
                <w:iCs w:val="0"/>
                <w:color w:val="auto"/>
                <w:spacing w:val="0"/>
                <w:sz w:val="21"/>
                <w:szCs w:val="21"/>
                <w:vertAlign w:val="baseline"/>
              </w:rPr>
              <w:t>语义层 / 动势层 / 动态层三层数据模型整体架构合理性、规范性（</w:t>
            </w:r>
            <w:r>
              <w:rPr>
                <w:rFonts w:hint="eastAsia" w:eastAsia="仿宋" w:cs="Times New Roman"/>
                <w:b w:val="0"/>
                <w:bCs w:val="0"/>
                <w:i w:val="0"/>
                <w:iCs w:val="0"/>
                <w:color w:val="auto"/>
                <w:spacing w:val="0"/>
                <w:sz w:val="21"/>
                <w:szCs w:val="21"/>
                <w:vertAlign w:val="baseline"/>
                <w:lang w:val="en-US" w:eastAsia="zh-CN"/>
              </w:rPr>
              <w:t>3</w:t>
            </w:r>
            <w:r>
              <w:rPr>
                <w:rFonts w:ascii="Times New Roman" w:hAnsi="Times New Roman" w:eastAsia="仿宋" w:cs="Times New Roman"/>
                <w:b w:val="0"/>
                <w:bCs w:val="0"/>
                <w:i w:val="0"/>
                <w:iCs w:val="0"/>
                <w:color w:val="auto"/>
                <w:spacing w:val="0"/>
                <w:sz w:val="21"/>
                <w:szCs w:val="21"/>
                <w:vertAlign w:val="baseline"/>
              </w:rPr>
              <w:t>分）。</w:t>
            </w:r>
            <w:r>
              <w:rPr>
                <w:rFonts w:hint="eastAsia" w:eastAsia="仿宋"/>
                <w:color w:val="auto"/>
                <w:szCs w:val="21"/>
              </w:rPr>
              <w:t>逻辑清晰、结构合理，三层模型层次职责划分明确、定义规范，可直接对接边缘上报的告警事件与塘口证据材料，完整支撑出塘报备、边缘告警接收、后端证据复核、工单流转、智能研判全业务流程，贴合鳊鱼养殖监管业务，得3分；三层模型设计基本合理、无明显缺陷，得2分；模型设计不完整、层次缺失或逻辑混乱，得1分</w:t>
            </w:r>
            <w:r>
              <w:rPr>
                <w:rFonts w:hint="eastAsia" w:eastAsia="仿宋"/>
                <w:color w:val="auto"/>
                <w:szCs w:val="21"/>
                <w:lang w:eastAsia="zh-CN"/>
              </w:rPr>
              <w:t>；</w:t>
            </w:r>
            <w:r>
              <w:rPr>
                <w:rFonts w:ascii="Times New Roman" w:hAnsi="Times New Roman" w:eastAsia="仿宋" w:cs="Times New Roman"/>
                <w:color w:val="auto"/>
                <w:sz w:val="21"/>
                <w:szCs w:val="21"/>
                <w:lang w:val="en-US" w:eastAsia="zh-CN"/>
              </w:rPr>
              <w:t>未提供不得分。</w:t>
            </w:r>
          </w:p>
          <w:p w14:paraId="7C1B33DF">
            <w:pPr>
              <w:keepNext w:val="0"/>
              <w:keepLines w:val="0"/>
              <w:pageBreakBefore w:val="0"/>
              <w:widowControl w:val="0"/>
              <w:spacing w:after="0" w:line="240" w:lineRule="auto"/>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3、</w:t>
            </w:r>
            <w:r>
              <w:rPr>
                <w:rFonts w:ascii="Times New Roman" w:hAnsi="Times New Roman" w:eastAsia="仿宋" w:cs="Times New Roman"/>
                <w:b w:val="0"/>
                <w:bCs w:val="0"/>
                <w:i w:val="0"/>
                <w:iCs w:val="0"/>
                <w:color w:val="auto"/>
                <w:spacing w:val="0"/>
                <w:sz w:val="21"/>
                <w:szCs w:val="21"/>
                <w:vertAlign w:val="baseline"/>
              </w:rPr>
              <w:t>苏渔管家、无锡农安通</w:t>
            </w:r>
            <w:r>
              <w:rPr>
                <w:rFonts w:hint="eastAsia" w:eastAsia="仿宋" w:cs="Times New Roman"/>
                <w:b w:val="0"/>
                <w:bCs w:val="0"/>
                <w:i w:val="0"/>
                <w:iCs w:val="0"/>
                <w:color w:val="auto"/>
                <w:spacing w:val="0"/>
                <w:sz w:val="21"/>
                <w:szCs w:val="21"/>
                <w:vertAlign w:val="baseline"/>
                <w:lang w:val="en-US" w:eastAsia="zh-CN"/>
              </w:rPr>
              <w:t>等</w:t>
            </w:r>
            <w:r>
              <w:rPr>
                <w:rFonts w:ascii="Times New Roman" w:hAnsi="Times New Roman" w:eastAsia="仿宋" w:cs="Times New Roman"/>
                <w:b w:val="0"/>
                <w:bCs w:val="0"/>
                <w:i w:val="0"/>
                <w:iCs w:val="0"/>
                <w:color w:val="auto"/>
                <w:spacing w:val="0"/>
                <w:sz w:val="21"/>
                <w:szCs w:val="21"/>
                <w:vertAlign w:val="baseline"/>
              </w:rPr>
              <w:t>省市农产品质量安全监管平台、及各地现有报备检测小程序接口对接适配方案（</w:t>
            </w:r>
            <w:r>
              <w:rPr>
                <w:rFonts w:ascii="Times New Roman" w:hAnsi="Times New Roman" w:eastAsia="仿宋" w:cs="Times New Roman"/>
                <w:b w:val="0"/>
                <w:bCs w:val="0"/>
                <w:i w:val="0"/>
                <w:iCs w:val="0"/>
                <w:color w:val="auto"/>
                <w:spacing w:val="0"/>
                <w:sz w:val="21"/>
                <w:szCs w:val="21"/>
                <w:vertAlign w:val="baseline"/>
                <w:lang w:val="en-US" w:eastAsia="zh-CN"/>
              </w:rPr>
              <w:t>3</w:t>
            </w:r>
            <w:r>
              <w:rPr>
                <w:rFonts w:ascii="Times New Roman" w:hAnsi="Times New Roman" w:eastAsia="仿宋" w:cs="Times New Roman"/>
                <w:b w:val="0"/>
                <w:bCs w:val="0"/>
                <w:i w:val="0"/>
                <w:iCs w:val="0"/>
                <w:color w:val="auto"/>
                <w:spacing w:val="0"/>
                <w:sz w:val="21"/>
                <w:szCs w:val="21"/>
                <w:vertAlign w:val="baseline"/>
              </w:rPr>
              <w:t>分）。</w:t>
            </w:r>
            <w:r>
              <w:rPr>
                <w:rFonts w:hint="eastAsia" w:eastAsia="仿宋"/>
                <w:color w:val="auto"/>
                <w:szCs w:val="21"/>
              </w:rPr>
              <w:t>对接方案完整，接口规范、TLS1.3+Token签名安全可控，实现双向数据互通，明确区分业务数据、边缘告警证据、原始视频的传输边界，得3分</w:t>
            </w:r>
            <w:r>
              <w:rPr>
                <w:rFonts w:ascii="Times New Roman" w:hAnsi="Times New Roman" w:eastAsia="仿宋" w:cs="Times New Roman"/>
                <w:b w:val="0"/>
                <w:bCs w:val="0"/>
                <w:i w:val="0"/>
                <w:iCs w:val="0"/>
                <w:color w:val="auto"/>
                <w:spacing w:val="0"/>
                <w:sz w:val="21"/>
                <w:szCs w:val="21"/>
                <w:vertAlign w:val="baseline"/>
                <w:lang w:val="en-US" w:eastAsia="zh-CN"/>
              </w:rPr>
              <w:t>；对接方案基本完整、主要平台可对接得2分；部分平台对接方案缺失或不可行得1分</w:t>
            </w:r>
            <w:r>
              <w:rPr>
                <w:rFonts w:hint="eastAsia" w:eastAsia="仿宋" w:cs="Times New Roman"/>
                <w:b w:val="0"/>
                <w:bCs w:val="0"/>
                <w:i w:val="0"/>
                <w:iCs w:val="0"/>
                <w:color w:val="auto"/>
                <w:spacing w:val="0"/>
                <w:sz w:val="21"/>
                <w:szCs w:val="21"/>
                <w:vertAlign w:val="baseline"/>
                <w:lang w:val="en-US" w:eastAsia="zh-CN"/>
              </w:rPr>
              <w:t>；</w:t>
            </w:r>
            <w:r>
              <w:rPr>
                <w:rFonts w:ascii="Times New Roman" w:hAnsi="Times New Roman" w:eastAsia="仿宋" w:cs="Times New Roman"/>
                <w:color w:val="auto"/>
                <w:sz w:val="21"/>
                <w:szCs w:val="21"/>
                <w:lang w:val="en-US" w:eastAsia="zh-CN"/>
              </w:rPr>
              <w:t>未提供不得分。</w:t>
            </w:r>
          </w:p>
          <w:p w14:paraId="50130200">
            <w:pPr>
              <w:keepNext w:val="0"/>
              <w:keepLines w:val="0"/>
              <w:pageBreakBefore w:val="0"/>
              <w:widowControl w:val="0"/>
              <w:spacing w:after="0" w:line="240" w:lineRule="auto"/>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4、</w:t>
            </w:r>
            <w:r>
              <w:rPr>
                <w:rFonts w:ascii="Times New Roman" w:hAnsi="Times New Roman" w:eastAsia="仿宋" w:cs="Times New Roman"/>
                <w:b w:val="0"/>
                <w:bCs w:val="0"/>
                <w:i w:val="0"/>
                <w:iCs w:val="0"/>
                <w:color w:val="auto"/>
                <w:spacing w:val="0"/>
                <w:sz w:val="21"/>
                <w:szCs w:val="21"/>
                <w:vertAlign w:val="baseline"/>
              </w:rPr>
              <w:t>网络安全、数据安全、日志审计、权限管控、加密存储、容灾备份等安全运维体系方案完整性（3 分）。</w:t>
            </w:r>
            <w:r>
              <w:rPr>
                <w:rFonts w:ascii="Times New Roman" w:hAnsi="Times New Roman" w:eastAsia="仿宋" w:cs="Times New Roman"/>
                <w:color w:val="auto"/>
                <w:sz w:val="21"/>
                <w:szCs w:val="21"/>
                <w:lang w:val="en-US" w:eastAsia="zh-CN"/>
              </w:rPr>
              <w:t>完整覆盖</w:t>
            </w:r>
            <w:r>
              <w:rPr>
                <w:rFonts w:hint="eastAsia" w:eastAsia="仿宋"/>
                <w:color w:val="auto"/>
                <w:szCs w:val="21"/>
              </w:rPr>
              <w:t>边缘终端</w:t>
            </w:r>
            <w:r>
              <w:rPr>
                <w:rFonts w:hint="eastAsia" w:eastAsia="仿宋"/>
                <w:color w:val="auto"/>
                <w:szCs w:val="21"/>
              </w:rPr>
              <w:noBreakHyphen/>
            </w:r>
            <w:r>
              <w:rPr>
                <w:rFonts w:hint="eastAsia" w:eastAsia="仿宋"/>
                <w:color w:val="auto"/>
                <w:szCs w:val="21"/>
              </w:rPr>
              <w:t>传输</w:t>
            </w:r>
            <w:r>
              <w:rPr>
                <w:rFonts w:hint="eastAsia" w:eastAsia="仿宋"/>
                <w:color w:val="auto"/>
                <w:szCs w:val="21"/>
              </w:rPr>
              <w:noBreakHyphen/>
            </w:r>
            <w:r>
              <w:rPr>
                <w:rFonts w:hint="eastAsia" w:eastAsia="仿宋"/>
                <w:color w:val="auto"/>
                <w:szCs w:val="21"/>
              </w:rPr>
              <w:t>后端平台全链路网络安全</w:t>
            </w:r>
            <w:r>
              <w:rPr>
                <w:rFonts w:ascii="Times New Roman" w:hAnsi="Times New Roman" w:eastAsia="仿宋" w:cs="Times New Roman"/>
                <w:color w:val="auto"/>
                <w:sz w:val="21"/>
                <w:szCs w:val="21"/>
                <w:lang w:val="en-US" w:eastAsia="zh-CN"/>
              </w:rPr>
              <w:t>、数据安全、日志审计、权限管控、加密存储、容灾备份、运维管理，符合等保2.0 三级要求，措施具体、可落地得 3 分；安全措施基本完整、符合基本要求得 2 分；安全措施不完善、关键项缺失得1分；无安全运维方案得0分。</w:t>
            </w:r>
          </w:p>
          <w:p w14:paraId="4887B68B">
            <w:pPr>
              <w:keepNext w:val="0"/>
              <w:keepLines w:val="0"/>
              <w:pageBreakBefore w:val="0"/>
              <w:widowControl w:val="0"/>
              <w:spacing w:after="0" w:line="240" w:lineRule="auto"/>
              <w:rPr>
                <w:rFonts w:ascii="Times New Roman" w:hAnsi="Times New Roman" w:eastAsia="仿宋" w:cs="Times New Roman"/>
                <w:b w:val="0"/>
                <w:bCs w:val="0"/>
                <w:i w:val="0"/>
                <w:iCs w:val="0"/>
                <w:color w:val="auto"/>
                <w:spacing w:val="0"/>
                <w:sz w:val="21"/>
                <w:szCs w:val="21"/>
                <w:vertAlign w:val="baseline"/>
                <w:lang w:val="en-US" w:eastAsia="zh-CN"/>
              </w:rPr>
            </w:pPr>
            <w:r>
              <w:rPr>
                <w:rFonts w:ascii="Times New Roman" w:hAnsi="Times New Roman" w:eastAsia="仿宋" w:cs="Times New Roman"/>
                <w:b w:val="0"/>
                <w:bCs w:val="0"/>
                <w:i w:val="0"/>
                <w:iCs w:val="0"/>
                <w:color w:val="auto"/>
                <w:spacing w:val="0"/>
                <w:sz w:val="21"/>
                <w:szCs w:val="21"/>
                <w:vertAlign w:val="baseline"/>
                <w:lang w:val="en-US" w:eastAsia="zh-CN"/>
              </w:rPr>
              <w:t>5、</w:t>
            </w:r>
            <w:r>
              <w:rPr>
                <w:rFonts w:ascii="Times New Roman" w:hAnsi="Times New Roman" w:eastAsia="仿宋" w:cs="Times New Roman"/>
                <w:b w:val="0"/>
                <w:bCs w:val="0"/>
                <w:i w:val="0"/>
                <w:iCs w:val="0"/>
                <w:color w:val="auto"/>
                <w:spacing w:val="0"/>
                <w:sz w:val="21"/>
                <w:szCs w:val="21"/>
                <w:vertAlign w:val="baseline"/>
              </w:rPr>
              <w:t>平台日常运维、版本迭代、漏洞加固、数据管理、故障处置等长效运维保障方案合理性（</w:t>
            </w:r>
            <w:r>
              <w:rPr>
                <w:rFonts w:hint="eastAsia" w:eastAsia="仿宋" w:cs="Times New Roman"/>
                <w:b w:val="0"/>
                <w:bCs w:val="0"/>
                <w:i w:val="0"/>
                <w:iCs w:val="0"/>
                <w:color w:val="auto"/>
                <w:spacing w:val="0"/>
                <w:sz w:val="21"/>
                <w:szCs w:val="21"/>
                <w:vertAlign w:val="baseline"/>
                <w:lang w:val="en-US" w:eastAsia="zh-CN"/>
              </w:rPr>
              <w:t>3</w:t>
            </w:r>
            <w:r>
              <w:rPr>
                <w:rFonts w:ascii="Times New Roman" w:hAnsi="Times New Roman" w:eastAsia="仿宋" w:cs="Times New Roman"/>
                <w:b w:val="0"/>
                <w:bCs w:val="0"/>
                <w:i w:val="0"/>
                <w:iCs w:val="0"/>
                <w:color w:val="auto"/>
                <w:spacing w:val="0"/>
                <w:sz w:val="21"/>
                <w:szCs w:val="21"/>
                <w:vertAlign w:val="baseline"/>
              </w:rPr>
              <w:t>分）。</w:t>
            </w:r>
            <w:r>
              <w:rPr>
                <w:rFonts w:ascii="Times New Roman" w:hAnsi="Times New Roman" w:eastAsia="仿宋" w:cs="Times New Roman"/>
                <w:b w:val="0"/>
                <w:bCs w:val="0"/>
                <w:i w:val="0"/>
                <w:iCs w:val="0"/>
                <w:color w:val="auto"/>
                <w:spacing w:val="0"/>
                <w:sz w:val="21"/>
                <w:szCs w:val="21"/>
                <w:vertAlign w:val="baseline"/>
                <w:lang w:val="en-US" w:eastAsia="zh-CN"/>
              </w:rPr>
              <w:t>方案安全可靠</w:t>
            </w:r>
            <w:r>
              <w:rPr>
                <w:rFonts w:hint="eastAsia" w:eastAsia="仿宋" w:cs="Times New Roman"/>
                <w:b w:val="0"/>
                <w:bCs w:val="0"/>
                <w:i w:val="0"/>
                <w:iCs w:val="0"/>
                <w:color w:val="auto"/>
                <w:spacing w:val="0"/>
                <w:sz w:val="21"/>
                <w:szCs w:val="21"/>
                <w:vertAlign w:val="baseline"/>
                <w:lang w:val="en-US" w:eastAsia="zh-CN"/>
              </w:rPr>
              <w:t>，</w:t>
            </w:r>
            <w:r>
              <w:rPr>
                <w:rFonts w:hint="eastAsia" w:eastAsia="仿宋"/>
                <w:color w:val="auto"/>
                <w:szCs w:val="21"/>
              </w:rPr>
              <w:t>支持AI算法模型包远程下发迭代</w:t>
            </w:r>
            <w:r>
              <w:rPr>
                <w:rFonts w:ascii="Times New Roman" w:hAnsi="Times New Roman" w:eastAsia="仿宋" w:cs="Times New Roman"/>
                <w:b w:val="0"/>
                <w:bCs w:val="0"/>
                <w:i w:val="0"/>
                <w:iCs w:val="0"/>
                <w:color w:val="auto"/>
                <w:spacing w:val="0"/>
                <w:sz w:val="21"/>
                <w:szCs w:val="21"/>
                <w:vertAlign w:val="baseline"/>
                <w:lang w:val="en-US" w:eastAsia="zh-CN"/>
              </w:rPr>
              <w:t>，方案完整成熟得</w:t>
            </w:r>
            <w:r>
              <w:rPr>
                <w:rFonts w:hint="eastAsia" w:eastAsia="仿宋" w:cs="Times New Roman"/>
                <w:b w:val="0"/>
                <w:bCs w:val="0"/>
                <w:i w:val="0"/>
                <w:iCs w:val="0"/>
                <w:color w:val="auto"/>
                <w:spacing w:val="0"/>
                <w:sz w:val="21"/>
                <w:szCs w:val="21"/>
                <w:vertAlign w:val="baseline"/>
                <w:lang w:val="en-US" w:eastAsia="zh-CN"/>
              </w:rPr>
              <w:t>3</w:t>
            </w:r>
            <w:r>
              <w:rPr>
                <w:rFonts w:ascii="Times New Roman" w:hAnsi="Times New Roman" w:eastAsia="仿宋" w:cs="Times New Roman"/>
                <w:b w:val="0"/>
                <w:bCs w:val="0"/>
                <w:i w:val="0"/>
                <w:iCs w:val="0"/>
                <w:color w:val="auto"/>
                <w:spacing w:val="0"/>
                <w:sz w:val="21"/>
                <w:szCs w:val="21"/>
                <w:vertAlign w:val="baseline"/>
                <w:lang w:val="en-US" w:eastAsia="zh-CN"/>
              </w:rPr>
              <w:t>分；方案基本可行、关键能力具备得</w:t>
            </w:r>
            <w:r>
              <w:rPr>
                <w:rFonts w:hint="eastAsia" w:eastAsia="仿宋" w:cs="Times New Roman"/>
                <w:b w:val="0"/>
                <w:bCs w:val="0"/>
                <w:i w:val="0"/>
                <w:iCs w:val="0"/>
                <w:color w:val="auto"/>
                <w:spacing w:val="0"/>
                <w:sz w:val="21"/>
                <w:szCs w:val="21"/>
                <w:vertAlign w:val="baseline"/>
                <w:lang w:val="en-US" w:eastAsia="zh-CN"/>
              </w:rPr>
              <w:t>2</w:t>
            </w:r>
            <w:r>
              <w:rPr>
                <w:rFonts w:ascii="Times New Roman" w:hAnsi="Times New Roman" w:eastAsia="仿宋" w:cs="Times New Roman"/>
                <w:b w:val="0"/>
                <w:bCs w:val="0"/>
                <w:i w:val="0"/>
                <w:iCs w:val="0"/>
                <w:color w:val="auto"/>
                <w:spacing w:val="0"/>
                <w:sz w:val="21"/>
                <w:szCs w:val="21"/>
                <w:vertAlign w:val="baseline"/>
                <w:lang w:val="en-US" w:eastAsia="zh-CN"/>
              </w:rPr>
              <w:t>分；方案不成熟或关键内容缺失得</w:t>
            </w:r>
            <w:r>
              <w:rPr>
                <w:rFonts w:hint="eastAsia" w:eastAsia="仿宋" w:cs="Times New Roman"/>
                <w:b w:val="0"/>
                <w:bCs w:val="0"/>
                <w:i w:val="0"/>
                <w:iCs w:val="0"/>
                <w:color w:val="auto"/>
                <w:spacing w:val="0"/>
                <w:sz w:val="21"/>
                <w:szCs w:val="21"/>
                <w:vertAlign w:val="baseline"/>
                <w:lang w:val="en-US" w:eastAsia="zh-CN"/>
              </w:rPr>
              <w:t>1</w:t>
            </w:r>
            <w:r>
              <w:rPr>
                <w:rFonts w:ascii="Times New Roman" w:hAnsi="Times New Roman" w:eastAsia="仿宋" w:cs="Times New Roman"/>
                <w:b w:val="0"/>
                <w:bCs w:val="0"/>
                <w:i w:val="0"/>
                <w:iCs w:val="0"/>
                <w:color w:val="auto"/>
                <w:spacing w:val="0"/>
                <w:sz w:val="21"/>
                <w:szCs w:val="21"/>
                <w:vertAlign w:val="baseline"/>
                <w:lang w:val="en-US" w:eastAsia="zh-CN"/>
              </w:rPr>
              <w:t>分</w:t>
            </w:r>
            <w:r>
              <w:rPr>
                <w:rFonts w:hint="eastAsia" w:eastAsia="仿宋" w:cs="Times New Roman"/>
                <w:b w:val="0"/>
                <w:bCs w:val="0"/>
                <w:i w:val="0"/>
                <w:iCs w:val="0"/>
                <w:color w:val="auto"/>
                <w:spacing w:val="0"/>
                <w:sz w:val="21"/>
                <w:szCs w:val="21"/>
                <w:vertAlign w:val="baseline"/>
                <w:lang w:val="en-US" w:eastAsia="zh-CN"/>
              </w:rPr>
              <w:t>；</w:t>
            </w:r>
            <w:r>
              <w:rPr>
                <w:rFonts w:ascii="Times New Roman" w:hAnsi="Times New Roman" w:eastAsia="仿宋" w:cs="Times New Roman"/>
                <w:color w:val="auto"/>
                <w:sz w:val="21"/>
                <w:szCs w:val="21"/>
                <w:lang w:val="en-US" w:eastAsia="zh-CN"/>
              </w:rPr>
              <w:t>未提供不得分。</w:t>
            </w:r>
          </w:p>
        </w:tc>
      </w:tr>
      <w:tr w14:paraId="6F48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288" w:type="pct"/>
            <w:noWrap/>
            <w:vAlign w:val="center"/>
          </w:tcPr>
          <w:p w14:paraId="2C7EEF4B">
            <w:pPr>
              <w:keepNext w:val="0"/>
              <w:keepLines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九</w:t>
            </w:r>
          </w:p>
        </w:tc>
        <w:tc>
          <w:tcPr>
            <w:tcW w:w="377" w:type="pct"/>
            <w:vMerge w:val="continue"/>
            <w:noWrap/>
            <w:vAlign w:val="center"/>
          </w:tcPr>
          <w:p w14:paraId="1D78D930">
            <w:pPr>
              <w:keepNext w:val="0"/>
              <w:keepLines w:val="0"/>
              <w:pageBreakBefore w:val="0"/>
              <w:spacing w:line="240" w:lineRule="auto"/>
            </w:pPr>
          </w:p>
        </w:tc>
        <w:tc>
          <w:tcPr>
            <w:tcW w:w="382" w:type="pct"/>
            <w:shd w:val="clear" w:color="auto" w:fill="auto"/>
            <w:noWrap/>
            <w:vAlign w:val="center"/>
          </w:tcPr>
          <w:p w14:paraId="79997B0E">
            <w:pPr>
              <w:keepNext w:val="0"/>
              <w:keepLines w:val="0"/>
              <w:pageBreakBefore w:val="0"/>
              <w:widowControl/>
              <w:spacing w:after="0" w:line="240" w:lineRule="auto"/>
              <w:jc w:val="left"/>
              <w:rPr>
                <w:rFonts w:ascii="Times New Roman" w:hAnsi="Times New Roman" w:eastAsia="仿宋" w:cs="Times New Roman"/>
                <w:color w:val="auto"/>
                <w:sz w:val="21"/>
                <w:szCs w:val="21"/>
                <w:lang w:val="en-US" w:eastAsia="zh-CN" w:bidi="ar-SA"/>
              </w:rPr>
            </w:pPr>
            <w:r>
              <w:rPr>
                <w:rFonts w:hint="eastAsia" w:eastAsia="仿宋" w:cs="Times New Roman"/>
                <w:color w:val="auto"/>
                <w:sz w:val="21"/>
                <w:szCs w:val="21"/>
                <w:lang w:val="en-US" w:eastAsia="zh-CN"/>
              </w:rPr>
              <w:t>25</w:t>
            </w:r>
            <w:r>
              <w:rPr>
                <w:rFonts w:ascii="Times New Roman" w:hAnsi="Times New Roman" w:eastAsia="仿宋" w:cs="Times New Roman"/>
                <w:color w:val="auto"/>
                <w:sz w:val="21"/>
                <w:szCs w:val="21"/>
                <w:lang w:val="en-US" w:eastAsia="zh-CN"/>
              </w:rPr>
              <w:t>分</w:t>
            </w:r>
          </w:p>
        </w:tc>
        <w:tc>
          <w:tcPr>
            <w:tcW w:w="3951" w:type="pct"/>
            <w:shd w:val="clear" w:color="auto" w:fill="auto"/>
            <w:noWrap/>
          </w:tcPr>
          <w:p w14:paraId="2182F207">
            <w:pPr>
              <w:keepNext w:val="0"/>
              <w:keepLines w:val="0"/>
              <w:pageBreakBefore w:val="0"/>
              <w:widowControl/>
              <w:numPr>
                <w:ilvl w:val="-1"/>
                <w:numId w:val="0"/>
              </w:numPr>
              <w:spacing w:after="0" w:line="240" w:lineRule="auto"/>
              <w:rPr>
                <w:rFonts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1、</w:t>
            </w:r>
            <w:r>
              <w:rPr>
                <w:rFonts w:ascii="Times New Roman" w:hAnsi="Times New Roman" w:eastAsia="仿宋" w:cs="Times New Roman"/>
                <w:color w:val="auto"/>
                <w:sz w:val="21"/>
                <w:szCs w:val="21"/>
                <w:lang w:val="en-US" w:eastAsia="zh-CN"/>
              </w:rPr>
              <w:t>硬件整体选型</w:t>
            </w:r>
            <w:r>
              <w:rPr>
                <w:rFonts w:hint="eastAsia" w:eastAsia="仿宋" w:cs="Times New Roman"/>
                <w:color w:val="auto"/>
                <w:sz w:val="21"/>
                <w:szCs w:val="21"/>
                <w:lang w:val="en-US" w:eastAsia="zh-CN"/>
              </w:rPr>
              <w:t>和数量配置</w:t>
            </w:r>
            <w:r>
              <w:rPr>
                <w:rFonts w:ascii="Times New Roman" w:hAnsi="Times New Roman" w:eastAsia="仿宋" w:cs="Times New Roman"/>
                <w:color w:val="auto"/>
                <w:sz w:val="21"/>
                <w:szCs w:val="21"/>
                <w:lang w:val="en-US" w:eastAsia="zh-CN"/>
              </w:rPr>
              <w:t>方案（</w:t>
            </w:r>
            <w:r>
              <w:rPr>
                <w:rFonts w:hint="eastAsia" w:eastAsia="仿宋" w:cs="Times New Roman"/>
                <w:color w:val="auto"/>
                <w:sz w:val="21"/>
                <w:szCs w:val="21"/>
                <w:lang w:val="en-US" w:eastAsia="zh-CN"/>
              </w:rPr>
              <w:t>13</w:t>
            </w:r>
            <w:r>
              <w:rPr>
                <w:rFonts w:ascii="Times New Roman" w:hAnsi="Times New Roman" w:eastAsia="仿宋" w:cs="Times New Roman"/>
                <w:color w:val="auto"/>
                <w:sz w:val="21"/>
                <w:szCs w:val="21"/>
                <w:lang w:val="en-US" w:eastAsia="zh-CN"/>
              </w:rPr>
              <w:t>分）</w:t>
            </w:r>
          </w:p>
          <w:p w14:paraId="41F54C35">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硬件/服务资源选型、数量配置充分匹配鳊鱼养殖塘口野外部署场景，设备功耗合理，关键技术参数、品牌、资源清单完整，全部满足采购需求中项目硬件准备及效果要求；清晰体现边缘</w:t>
            </w:r>
            <w:r>
              <w:rPr>
                <w:rFonts w:hint="eastAsia" w:eastAsia="仿宋"/>
                <w:color w:val="auto"/>
                <w:szCs w:val="21"/>
              </w:rPr>
              <w:noBreakHyphen/>
            </w:r>
            <w:r>
              <w:rPr>
                <w:rFonts w:hint="eastAsia" w:eastAsia="仿宋"/>
                <w:color w:val="auto"/>
                <w:szCs w:val="21"/>
              </w:rPr>
              <w:t>后端分工，可保障三年稳定运维，方案可落地，得1</w:t>
            </w:r>
            <w:r>
              <w:rPr>
                <w:rFonts w:hint="eastAsia" w:eastAsia="仿宋"/>
                <w:color w:val="auto"/>
                <w:szCs w:val="21"/>
                <w:lang w:val="en-US" w:eastAsia="zh-CN"/>
              </w:rPr>
              <w:t>3</w:t>
            </w:r>
            <w:r>
              <w:rPr>
                <w:rFonts w:hint="eastAsia" w:eastAsia="仿宋"/>
                <w:color w:val="auto"/>
                <w:szCs w:val="21"/>
              </w:rPr>
              <w:t>分；</w:t>
            </w:r>
          </w:p>
          <w:p w14:paraId="74850C6F">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设备选型和数量配置较匹配塘口场景，野外环境较适配，功耗较合理；硬件/资源清单较为完整；边缘</w:t>
            </w:r>
            <w:r>
              <w:rPr>
                <w:rFonts w:hint="eastAsia" w:eastAsia="仿宋"/>
                <w:color w:val="auto"/>
                <w:szCs w:val="21"/>
              </w:rPr>
              <w:noBreakHyphen/>
            </w:r>
            <w:r>
              <w:rPr>
                <w:rFonts w:hint="eastAsia" w:eastAsia="仿宋"/>
                <w:color w:val="auto"/>
                <w:szCs w:val="21"/>
              </w:rPr>
              <w:t>后端架构基本体现，三年运维较可靠，得</w:t>
            </w:r>
            <w:r>
              <w:rPr>
                <w:rFonts w:hint="eastAsia" w:eastAsia="仿宋"/>
                <w:color w:val="auto"/>
                <w:szCs w:val="21"/>
                <w:lang w:val="en-US" w:eastAsia="zh-CN"/>
              </w:rPr>
              <w:t>8</w:t>
            </w:r>
            <w:r>
              <w:rPr>
                <w:rFonts w:hint="eastAsia" w:eastAsia="仿宋"/>
                <w:color w:val="auto"/>
                <w:szCs w:val="21"/>
              </w:rPr>
              <w:t>分；</w:t>
            </w:r>
          </w:p>
          <w:p w14:paraId="13D8B0B1">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设备选型和数量配置</w:t>
            </w:r>
            <w:r>
              <w:rPr>
                <w:rFonts w:hint="eastAsia" w:eastAsia="仿宋"/>
                <w:color w:val="auto"/>
                <w:szCs w:val="21"/>
                <w:lang w:val="en-US" w:eastAsia="zh-CN"/>
              </w:rPr>
              <w:t>基本</w:t>
            </w:r>
            <w:r>
              <w:rPr>
                <w:rFonts w:hint="eastAsia" w:eastAsia="仿宋"/>
                <w:color w:val="auto"/>
                <w:szCs w:val="21"/>
              </w:rPr>
              <w:t>匹配塘口场景，野外环境</w:t>
            </w:r>
            <w:r>
              <w:rPr>
                <w:rFonts w:hint="eastAsia" w:eastAsia="仿宋"/>
                <w:color w:val="auto"/>
                <w:szCs w:val="21"/>
                <w:lang w:val="en-US" w:eastAsia="zh-CN"/>
              </w:rPr>
              <w:t>基本</w:t>
            </w:r>
            <w:r>
              <w:rPr>
                <w:rFonts w:hint="eastAsia" w:eastAsia="仿宋"/>
                <w:color w:val="auto"/>
                <w:szCs w:val="21"/>
              </w:rPr>
              <w:t>适配，功耗</w:t>
            </w:r>
            <w:r>
              <w:rPr>
                <w:rFonts w:hint="eastAsia" w:eastAsia="仿宋"/>
                <w:color w:val="auto"/>
                <w:szCs w:val="21"/>
                <w:lang w:val="en-US" w:eastAsia="zh-CN"/>
              </w:rPr>
              <w:t>基本</w:t>
            </w:r>
            <w:r>
              <w:rPr>
                <w:rFonts w:hint="eastAsia" w:eastAsia="仿宋"/>
                <w:color w:val="auto"/>
                <w:szCs w:val="21"/>
              </w:rPr>
              <w:t>合理；未充分体现架构思路；三年运维基本可靠，得</w:t>
            </w:r>
            <w:r>
              <w:rPr>
                <w:rFonts w:hint="eastAsia" w:eastAsia="仿宋"/>
                <w:color w:val="auto"/>
                <w:szCs w:val="21"/>
                <w:lang w:val="en-US" w:eastAsia="zh-CN"/>
              </w:rPr>
              <w:t>3</w:t>
            </w:r>
            <w:r>
              <w:rPr>
                <w:rFonts w:hint="eastAsia" w:eastAsia="仿宋"/>
                <w:color w:val="auto"/>
                <w:szCs w:val="21"/>
              </w:rPr>
              <w:t>分；</w:t>
            </w:r>
          </w:p>
          <w:p w14:paraId="1DFA15C1">
            <w:pPr>
              <w:keepNext w:val="0"/>
              <w:keepLines w:val="0"/>
              <w:pageBreakBefore w:val="0"/>
              <w:widowControl/>
              <w:numPr>
                <w:ilvl w:val="-1"/>
                <w:numId w:val="0"/>
              </w:numPr>
              <w:spacing w:after="0" w:line="240" w:lineRule="auto"/>
              <w:rPr>
                <w:rFonts w:hint="eastAsia" w:eastAsia="仿宋"/>
                <w:color w:val="auto"/>
                <w:szCs w:val="21"/>
              </w:rPr>
            </w:pPr>
            <w:r>
              <w:rPr>
                <w:rFonts w:hint="eastAsia" w:eastAsia="仿宋"/>
                <w:color w:val="auto"/>
                <w:szCs w:val="21"/>
              </w:rPr>
              <w:t>未提供选型及配置方案，或核心</w:t>
            </w:r>
            <w:r>
              <w:rPr>
                <w:rFonts w:hint="eastAsia" w:eastAsia="仿宋"/>
                <w:color w:val="auto"/>
                <w:szCs w:val="21"/>
                <w:lang w:val="en-US" w:eastAsia="zh-CN"/>
              </w:rPr>
              <w:t>硬件选型不符合要求</w:t>
            </w:r>
            <w:r>
              <w:rPr>
                <w:rFonts w:hint="eastAsia" w:eastAsia="仿宋"/>
                <w:color w:val="auto"/>
                <w:szCs w:val="21"/>
              </w:rPr>
              <w:t>，不得分。</w:t>
            </w:r>
          </w:p>
          <w:p w14:paraId="62C913F0">
            <w:pPr>
              <w:keepNext w:val="0"/>
              <w:keepLines w:val="0"/>
              <w:pageBreakBefore w:val="0"/>
              <w:widowControl/>
              <w:spacing w:after="0" w:line="240" w:lineRule="auto"/>
              <w:rPr>
                <w:rFonts w:hint="eastAsia" w:eastAsia="仿宋"/>
                <w:b/>
                <w:bCs/>
                <w:color w:val="auto"/>
                <w:szCs w:val="21"/>
                <w:lang w:val="en-US" w:eastAsia="zh-CN"/>
              </w:rPr>
            </w:pPr>
            <w:r>
              <w:rPr>
                <w:rFonts w:hint="eastAsia" w:eastAsia="仿宋"/>
                <w:b/>
                <w:bCs/>
                <w:color w:val="auto"/>
                <w:szCs w:val="21"/>
              </w:rPr>
              <w:t>注：采购需求中项目硬件准备及效果要求里带★的实质性参数，投标人必须全部提供对应设备检测报告作为佐证材料。</w:t>
            </w:r>
          </w:p>
          <w:p w14:paraId="1A6F49C9">
            <w:pPr>
              <w:keepNext w:val="0"/>
              <w:keepLines w:val="0"/>
              <w:pageBreakBefore w:val="0"/>
              <w:widowControl/>
              <w:spacing w:after="0" w:line="240" w:lineRule="auto"/>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2、</w:t>
            </w:r>
            <w:r>
              <w:rPr>
                <w:rFonts w:hint="eastAsia" w:ascii="Times New Roman" w:hAnsi="Times New Roman" w:eastAsia="仿宋" w:cs="Times New Roman"/>
                <w:color w:val="auto"/>
                <w:sz w:val="21"/>
                <w:szCs w:val="21"/>
                <w:lang w:val="en-US" w:eastAsia="zh-CN"/>
              </w:rPr>
              <w:t>全域覆盖方案、点位部署合理性（</w:t>
            </w:r>
            <w:r>
              <w:rPr>
                <w:rFonts w:hint="eastAsia" w:eastAsia="仿宋" w:cs="Times New Roman"/>
                <w:color w:val="auto"/>
                <w:sz w:val="21"/>
                <w:szCs w:val="21"/>
                <w:lang w:val="en-US" w:eastAsia="zh-CN"/>
              </w:rPr>
              <w:t>3</w:t>
            </w:r>
            <w:r>
              <w:rPr>
                <w:rFonts w:hint="eastAsia" w:ascii="Times New Roman" w:hAnsi="Times New Roman" w:eastAsia="仿宋" w:cs="Times New Roman"/>
                <w:color w:val="auto"/>
                <w:sz w:val="21"/>
                <w:szCs w:val="21"/>
                <w:lang w:val="en-US" w:eastAsia="zh-CN"/>
              </w:rPr>
              <w:t>分）</w:t>
            </w:r>
          </w:p>
          <w:p w14:paraId="543A431E">
            <w:pPr>
              <w:keepNext w:val="0"/>
              <w:keepLines w:val="0"/>
              <w:pageBreakBefore w:val="0"/>
              <w:widowControl/>
              <w:spacing w:after="0" w:line="240" w:lineRule="auto"/>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部署方案与塘口分布情况紧密结合、点位</w:t>
            </w:r>
            <w:r>
              <w:rPr>
                <w:rFonts w:hint="eastAsia" w:eastAsia="仿宋" w:cs="Times New Roman"/>
                <w:color w:val="auto"/>
                <w:sz w:val="21"/>
                <w:szCs w:val="21"/>
                <w:lang w:val="en-US" w:eastAsia="zh-CN"/>
              </w:rPr>
              <w:t>部署</w:t>
            </w:r>
            <w:r>
              <w:rPr>
                <w:rFonts w:hint="eastAsia" w:ascii="Times New Roman" w:hAnsi="Times New Roman" w:eastAsia="仿宋" w:cs="Times New Roman"/>
                <w:color w:val="auto"/>
                <w:sz w:val="21"/>
                <w:szCs w:val="21"/>
                <w:lang w:val="en-US" w:eastAsia="zh-CN"/>
              </w:rPr>
              <w:t>全面合理、监控逻辑科学可行、供电与网络</w:t>
            </w:r>
            <w:r>
              <w:rPr>
                <w:rFonts w:hint="eastAsia" w:eastAsia="仿宋" w:cs="Times New Roman"/>
                <w:color w:val="auto"/>
                <w:sz w:val="21"/>
                <w:szCs w:val="21"/>
                <w:lang w:val="en-US" w:eastAsia="zh-CN"/>
              </w:rPr>
              <w:t>传输稳定可行</w:t>
            </w:r>
            <w:r>
              <w:rPr>
                <w:rFonts w:hint="eastAsia" w:ascii="Times New Roman" w:hAnsi="Times New Roman" w:eastAsia="仿宋" w:cs="Times New Roman"/>
                <w:color w:val="auto"/>
                <w:sz w:val="21"/>
                <w:szCs w:val="21"/>
                <w:lang w:val="en-US" w:eastAsia="zh-CN"/>
              </w:rPr>
              <w:t>得</w:t>
            </w:r>
            <w:r>
              <w:rPr>
                <w:rFonts w:hint="eastAsia" w:eastAsia="仿宋" w:cs="Times New Roman"/>
                <w:color w:val="auto"/>
                <w:sz w:val="21"/>
                <w:szCs w:val="21"/>
                <w:lang w:val="en-US" w:eastAsia="zh-CN"/>
              </w:rPr>
              <w:t>3</w:t>
            </w:r>
            <w:r>
              <w:rPr>
                <w:rFonts w:hint="eastAsia" w:ascii="Times New Roman" w:hAnsi="Times New Roman" w:eastAsia="仿宋" w:cs="Times New Roman"/>
                <w:color w:val="auto"/>
                <w:sz w:val="21"/>
                <w:szCs w:val="21"/>
                <w:lang w:val="en-US" w:eastAsia="zh-CN"/>
              </w:rPr>
              <w:t>分；</w:t>
            </w:r>
          </w:p>
          <w:p w14:paraId="2F57F161">
            <w:pPr>
              <w:keepNext w:val="0"/>
              <w:keepLines w:val="0"/>
              <w:pageBreakBefore w:val="0"/>
              <w:widowControl/>
              <w:spacing w:after="0" w:line="240" w:lineRule="auto"/>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部署方案与塘口分布情况</w:t>
            </w:r>
            <w:r>
              <w:rPr>
                <w:rFonts w:hint="eastAsia" w:eastAsia="仿宋" w:cs="Times New Roman"/>
                <w:color w:val="auto"/>
                <w:sz w:val="21"/>
                <w:szCs w:val="21"/>
                <w:lang w:val="en-US" w:eastAsia="zh-CN"/>
              </w:rPr>
              <w:t>较为结合</w:t>
            </w:r>
            <w:r>
              <w:rPr>
                <w:rFonts w:hint="eastAsia" w:ascii="Times New Roman" w:hAnsi="Times New Roman" w:eastAsia="仿宋" w:cs="Times New Roman"/>
                <w:color w:val="auto"/>
                <w:sz w:val="21"/>
                <w:szCs w:val="21"/>
                <w:lang w:val="en-US" w:eastAsia="zh-CN"/>
              </w:rPr>
              <w:t>、点位</w:t>
            </w:r>
            <w:r>
              <w:rPr>
                <w:rFonts w:hint="eastAsia" w:eastAsia="仿宋" w:cs="Times New Roman"/>
                <w:color w:val="auto"/>
                <w:sz w:val="21"/>
                <w:szCs w:val="21"/>
                <w:lang w:val="en-US" w:eastAsia="zh-CN"/>
              </w:rPr>
              <w:t>部署覆盖较为全面</w:t>
            </w:r>
            <w:r>
              <w:rPr>
                <w:rFonts w:hint="eastAsia" w:ascii="Times New Roman" w:hAnsi="Times New Roman" w:eastAsia="仿宋" w:cs="Times New Roman"/>
                <w:color w:val="auto"/>
                <w:sz w:val="21"/>
                <w:szCs w:val="21"/>
                <w:lang w:val="en-US" w:eastAsia="zh-CN"/>
              </w:rPr>
              <w:t>、监控逻辑</w:t>
            </w:r>
            <w:r>
              <w:rPr>
                <w:rFonts w:hint="eastAsia" w:eastAsia="仿宋" w:cs="Times New Roman"/>
                <w:color w:val="auto"/>
                <w:sz w:val="21"/>
                <w:szCs w:val="21"/>
                <w:lang w:val="en-US" w:eastAsia="zh-CN"/>
              </w:rPr>
              <w:t>较为</w:t>
            </w:r>
            <w:r>
              <w:rPr>
                <w:rFonts w:hint="eastAsia" w:ascii="Times New Roman" w:hAnsi="Times New Roman" w:eastAsia="仿宋" w:cs="Times New Roman"/>
                <w:color w:val="auto"/>
                <w:sz w:val="21"/>
                <w:szCs w:val="21"/>
                <w:lang w:val="en-US" w:eastAsia="zh-CN"/>
              </w:rPr>
              <w:t>可行、供电与网络</w:t>
            </w:r>
            <w:r>
              <w:rPr>
                <w:rFonts w:hint="eastAsia" w:eastAsia="仿宋" w:cs="Times New Roman"/>
                <w:color w:val="auto"/>
                <w:sz w:val="21"/>
                <w:szCs w:val="21"/>
                <w:lang w:val="en-US" w:eastAsia="zh-CN"/>
              </w:rPr>
              <w:t>传输较为可行</w:t>
            </w:r>
            <w:r>
              <w:rPr>
                <w:rFonts w:hint="eastAsia" w:ascii="Times New Roman" w:hAnsi="Times New Roman" w:eastAsia="仿宋" w:cs="Times New Roman"/>
                <w:color w:val="auto"/>
                <w:sz w:val="21"/>
                <w:szCs w:val="21"/>
                <w:lang w:val="en-US" w:eastAsia="zh-CN"/>
              </w:rPr>
              <w:t>得</w:t>
            </w:r>
            <w:r>
              <w:rPr>
                <w:rFonts w:hint="eastAsia" w:eastAsia="仿宋" w:cs="Times New Roman"/>
                <w:color w:val="auto"/>
                <w:sz w:val="21"/>
                <w:szCs w:val="21"/>
                <w:lang w:val="en-US" w:eastAsia="zh-CN"/>
              </w:rPr>
              <w:t>2</w:t>
            </w:r>
            <w:r>
              <w:rPr>
                <w:rFonts w:hint="eastAsia" w:ascii="Times New Roman" w:hAnsi="Times New Roman" w:eastAsia="仿宋" w:cs="Times New Roman"/>
                <w:color w:val="auto"/>
                <w:sz w:val="21"/>
                <w:szCs w:val="21"/>
                <w:lang w:val="en-US" w:eastAsia="zh-CN"/>
              </w:rPr>
              <w:t>分；</w:t>
            </w:r>
          </w:p>
          <w:p w14:paraId="736E447F">
            <w:pPr>
              <w:keepNext w:val="0"/>
              <w:keepLines w:val="0"/>
              <w:pageBreakBefore w:val="0"/>
              <w:widowControl/>
              <w:spacing w:after="0" w:line="240" w:lineRule="auto"/>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部署方案与塘口分布情况结合一般、点位部署覆盖率低、监控逻辑一般、供电与网络传输不可行得</w:t>
            </w:r>
            <w:r>
              <w:rPr>
                <w:rFonts w:hint="eastAsia" w:eastAsia="仿宋" w:cs="Times New Roman"/>
                <w:color w:val="auto"/>
                <w:sz w:val="21"/>
                <w:szCs w:val="21"/>
                <w:lang w:val="en-US" w:eastAsia="zh-CN"/>
              </w:rPr>
              <w:t>1</w:t>
            </w:r>
            <w:r>
              <w:rPr>
                <w:rFonts w:hint="eastAsia" w:ascii="Times New Roman" w:hAnsi="Times New Roman" w:eastAsia="仿宋" w:cs="Times New Roman"/>
                <w:color w:val="auto"/>
                <w:sz w:val="21"/>
                <w:szCs w:val="21"/>
                <w:lang w:val="en-US" w:eastAsia="zh-CN"/>
              </w:rPr>
              <w:t>分；未提供不得分。</w:t>
            </w:r>
          </w:p>
          <w:p w14:paraId="1F942918">
            <w:pPr>
              <w:keepNext w:val="0"/>
              <w:keepLines w:val="0"/>
              <w:pageBreakBefore w:val="0"/>
              <w:widowControl/>
              <w:spacing w:after="0" w:line="240" w:lineRule="auto"/>
              <w:rPr>
                <w:rFonts w:hint="eastAsia" w:eastAsia="仿宋"/>
                <w:color w:val="auto"/>
                <w:szCs w:val="21"/>
              </w:rPr>
            </w:pPr>
            <w:r>
              <w:rPr>
                <w:rFonts w:hint="eastAsia" w:eastAsia="仿宋"/>
                <w:color w:val="auto"/>
                <w:szCs w:val="21"/>
                <w:lang w:val="en-US" w:eastAsia="zh-CN"/>
              </w:rPr>
              <w:t>3、</w:t>
            </w:r>
            <w:r>
              <w:rPr>
                <w:rFonts w:hint="eastAsia" w:eastAsia="仿宋"/>
                <w:color w:val="auto"/>
                <w:szCs w:val="21"/>
              </w:rPr>
              <w:t>边缘、云资源可靠性及容灾保障方案（</w:t>
            </w:r>
            <w:r>
              <w:rPr>
                <w:rFonts w:hint="eastAsia" w:eastAsia="仿宋"/>
                <w:color w:val="auto"/>
                <w:szCs w:val="21"/>
                <w:lang w:val="en-US" w:eastAsia="zh-CN"/>
              </w:rPr>
              <w:t>3</w:t>
            </w:r>
            <w:r>
              <w:rPr>
                <w:rFonts w:hint="eastAsia" w:eastAsia="仿宋"/>
                <w:color w:val="auto"/>
                <w:szCs w:val="21"/>
              </w:rPr>
              <w:t>分）</w:t>
            </w:r>
          </w:p>
          <w:p w14:paraId="2FE231D1">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边缘终端具备断网本地缓存、断点续传；云端告警证据采用本地 + 云端主备三副本容灾；云算力、云存储支持弹性扩容；硬件、云服务具备故障告警、故障切换机制；完整阐述边缘</w:t>
            </w:r>
            <w:r>
              <w:rPr>
                <w:rFonts w:hint="eastAsia" w:eastAsia="仿宋"/>
                <w:color w:val="auto"/>
                <w:szCs w:val="21"/>
              </w:rPr>
              <w:noBreakHyphen/>
            </w:r>
            <w:r>
              <w:rPr>
                <w:rFonts w:hint="eastAsia" w:eastAsia="仿宋"/>
                <w:color w:val="auto"/>
                <w:szCs w:val="21"/>
              </w:rPr>
              <w:t>云端两级故障降级业务保障逻辑，极端故障下告警业务不中断，得</w:t>
            </w:r>
            <w:r>
              <w:rPr>
                <w:rFonts w:hint="eastAsia" w:eastAsia="仿宋"/>
                <w:color w:val="auto"/>
                <w:szCs w:val="21"/>
                <w:lang w:val="en-US" w:eastAsia="zh-CN"/>
              </w:rPr>
              <w:t>3</w:t>
            </w:r>
            <w:r>
              <w:rPr>
                <w:rFonts w:hint="eastAsia" w:eastAsia="仿宋"/>
                <w:color w:val="auto"/>
                <w:szCs w:val="21"/>
              </w:rPr>
              <w:t>分；</w:t>
            </w:r>
          </w:p>
          <w:p w14:paraId="0A885E3D">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具备边缘缓存、云端备份能力，容灾降级逻辑基本完整，得2分；</w:t>
            </w:r>
          </w:p>
          <w:p w14:paraId="44539768">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仅实现简单存储备份，缺少故障降级业务保障设计，得1分；</w:t>
            </w:r>
          </w:p>
          <w:p w14:paraId="427F01DC">
            <w:pPr>
              <w:keepNext w:val="0"/>
              <w:keepLines w:val="0"/>
              <w:pageBreakBefore w:val="0"/>
              <w:widowControl/>
              <w:spacing w:after="0" w:line="240" w:lineRule="auto"/>
              <w:rPr>
                <w:rFonts w:hint="eastAsia" w:ascii="Times New Roman" w:hAnsi="Times New Roman" w:eastAsia="仿宋" w:cs="Times New Roman"/>
                <w:color w:val="auto"/>
                <w:sz w:val="21"/>
                <w:szCs w:val="21"/>
                <w:lang w:val="en-US" w:eastAsia="zh-CN"/>
              </w:rPr>
            </w:pPr>
            <w:r>
              <w:rPr>
                <w:rFonts w:hint="eastAsia" w:eastAsia="仿宋"/>
                <w:color w:val="auto"/>
                <w:szCs w:val="21"/>
              </w:rPr>
              <w:t>未提供容灾保障方案不得分。</w:t>
            </w:r>
          </w:p>
          <w:p w14:paraId="5D54436C">
            <w:pPr>
              <w:keepNext w:val="0"/>
              <w:keepLines w:val="0"/>
              <w:pageBreakBefore w:val="0"/>
              <w:widowControl/>
              <w:spacing w:after="0" w:line="240" w:lineRule="auto"/>
              <w:rPr>
                <w:rFonts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4</w:t>
            </w:r>
            <w:r>
              <w:rPr>
                <w:rFonts w:hint="eastAsia" w:ascii="Times New Roman" w:hAnsi="Times New Roman" w:eastAsia="仿宋" w:cs="Times New Roman"/>
                <w:color w:val="auto"/>
                <w:sz w:val="21"/>
                <w:szCs w:val="21"/>
                <w:lang w:val="en-US" w:eastAsia="zh-CN"/>
              </w:rPr>
              <w:t>、</w:t>
            </w:r>
            <w:r>
              <w:rPr>
                <w:rFonts w:ascii="Times New Roman" w:hAnsi="Times New Roman" w:eastAsia="仿宋" w:cs="Times New Roman"/>
                <w:color w:val="auto"/>
                <w:sz w:val="21"/>
                <w:szCs w:val="21"/>
                <w:lang w:val="en-US" w:eastAsia="zh-CN"/>
              </w:rPr>
              <w:t>兼容性与开放能力（</w:t>
            </w:r>
            <w:r>
              <w:rPr>
                <w:rFonts w:hint="eastAsia" w:ascii="Times New Roman" w:hAnsi="Times New Roman" w:eastAsia="仿宋" w:cs="Times New Roman"/>
                <w:color w:val="auto"/>
                <w:sz w:val="21"/>
                <w:szCs w:val="21"/>
                <w:lang w:val="en-US" w:eastAsia="zh-CN"/>
              </w:rPr>
              <w:t>2</w:t>
            </w:r>
            <w:r>
              <w:rPr>
                <w:rFonts w:ascii="Times New Roman" w:hAnsi="Times New Roman" w:eastAsia="仿宋" w:cs="Times New Roman"/>
                <w:color w:val="auto"/>
                <w:sz w:val="21"/>
                <w:szCs w:val="21"/>
                <w:lang w:val="en-US" w:eastAsia="zh-CN"/>
              </w:rPr>
              <w:t>分）</w:t>
            </w:r>
          </w:p>
          <w:p w14:paraId="11BDCA50">
            <w:pPr>
              <w:keepNext w:val="0"/>
              <w:keepLines w:val="0"/>
              <w:pageBreakBefore w:val="0"/>
              <w:widowControl/>
              <w:spacing w:after="0" w:line="240" w:lineRule="auto"/>
              <w:rPr>
                <w:rFonts w:hint="eastAsia" w:eastAsia="仿宋"/>
                <w:color w:val="auto"/>
                <w:szCs w:val="21"/>
                <w:lang w:val="en-US" w:eastAsia="zh-CN"/>
              </w:rPr>
            </w:pPr>
            <w:r>
              <w:rPr>
                <w:rFonts w:hint="eastAsia" w:eastAsia="仿宋"/>
                <w:color w:val="auto"/>
                <w:szCs w:val="21"/>
              </w:rPr>
              <w:t>硬件及云服务资源适配性好</w:t>
            </w:r>
            <w:r>
              <w:rPr>
                <w:rFonts w:hint="eastAsia" w:eastAsia="仿宋"/>
                <w:color w:val="auto"/>
                <w:szCs w:val="21"/>
                <w:lang w:val="en-US" w:eastAsia="zh-CN"/>
              </w:rPr>
              <w:t>、全设备开放接口、SDK / 协议文档齐全、支持与平台无缝对接、数据互通得2分；</w:t>
            </w:r>
          </w:p>
          <w:p w14:paraId="49BEBFC8">
            <w:pPr>
              <w:keepNext w:val="0"/>
              <w:keepLines w:val="0"/>
              <w:pageBreakBefore w:val="0"/>
              <w:widowControl/>
              <w:spacing w:after="0" w:line="240" w:lineRule="auto"/>
              <w:rPr>
                <w:rFonts w:hint="eastAsia" w:ascii="Times New Roman" w:hAnsi="Times New Roman" w:eastAsia="仿宋" w:cs="Times New Roman"/>
                <w:color w:val="auto"/>
                <w:sz w:val="21"/>
                <w:szCs w:val="21"/>
                <w:lang w:val="en-US" w:eastAsia="zh-CN"/>
              </w:rPr>
            </w:pPr>
            <w:r>
              <w:rPr>
                <w:rFonts w:hint="eastAsia" w:eastAsia="仿宋"/>
                <w:color w:val="auto"/>
                <w:szCs w:val="21"/>
              </w:rPr>
              <w:t>硬件及云服务资源适配性较好</w:t>
            </w:r>
            <w:r>
              <w:rPr>
                <w:rFonts w:hint="eastAsia" w:eastAsia="仿宋"/>
                <w:color w:val="auto"/>
                <w:szCs w:val="21"/>
                <w:lang w:val="en-US" w:eastAsia="zh-CN"/>
              </w:rPr>
              <w:t>、全设备开放接口、SDK / 协议文档较齐全、支持与平台无缝对接、数据互</w:t>
            </w:r>
            <w:r>
              <w:rPr>
                <w:rFonts w:ascii="Times New Roman" w:hAnsi="Times New Roman" w:eastAsia="仿宋" w:cs="Times New Roman"/>
                <w:color w:val="auto"/>
                <w:sz w:val="21"/>
                <w:szCs w:val="21"/>
                <w:lang w:val="en-US" w:eastAsia="zh-CN"/>
              </w:rPr>
              <w:t>通</w:t>
            </w:r>
            <w:r>
              <w:rPr>
                <w:rFonts w:hint="eastAsia" w:ascii="Times New Roman" w:hAnsi="Times New Roman" w:eastAsia="仿宋" w:cs="Times New Roman"/>
                <w:color w:val="auto"/>
                <w:sz w:val="21"/>
                <w:szCs w:val="21"/>
                <w:lang w:val="en-US" w:eastAsia="zh-CN"/>
              </w:rPr>
              <w:t>较</w:t>
            </w:r>
            <w:r>
              <w:rPr>
                <w:rFonts w:ascii="Times New Roman" w:hAnsi="Times New Roman" w:eastAsia="仿宋" w:cs="Times New Roman"/>
                <w:color w:val="auto"/>
                <w:sz w:val="21"/>
                <w:szCs w:val="21"/>
                <w:lang w:val="en-US" w:eastAsia="zh-CN"/>
              </w:rPr>
              <w:t>开放：</w:t>
            </w:r>
            <w:r>
              <w:rPr>
                <w:rFonts w:hint="eastAsia" w:ascii="Times New Roman" w:hAnsi="Times New Roman" w:eastAsia="仿宋" w:cs="Times New Roman"/>
                <w:color w:val="auto"/>
                <w:sz w:val="21"/>
                <w:szCs w:val="21"/>
                <w:lang w:val="en-US" w:eastAsia="zh-CN"/>
              </w:rPr>
              <w:t>1</w:t>
            </w:r>
            <w:r>
              <w:rPr>
                <w:rFonts w:ascii="Times New Roman" w:hAnsi="Times New Roman" w:eastAsia="仿宋" w:cs="Times New Roman"/>
                <w:color w:val="auto"/>
                <w:sz w:val="21"/>
                <w:szCs w:val="21"/>
                <w:lang w:val="en-US" w:eastAsia="zh-CN"/>
              </w:rPr>
              <w:t>分；</w:t>
            </w:r>
            <w:r>
              <w:rPr>
                <w:rFonts w:hint="eastAsia" w:ascii="Times New Roman" w:hAnsi="Times New Roman" w:eastAsia="仿宋" w:cs="Times New Roman"/>
                <w:color w:val="auto"/>
                <w:sz w:val="21"/>
                <w:szCs w:val="21"/>
                <w:lang w:val="en-US" w:eastAsia="zh-CN"/>
              </w:rPr>
              <w:t>未提供不得分。</w:t>
            </w:r>
          </w:p>
          <w:p w14:paraId="69CD20D8">
            <w:pPr>
              <w:keepNext w:val="0"/>
              <w:keepLines w:val="0"/>
              <w:pageBreakBefore w:val="0"/>
              <w:widowControl/>
              <w:numPr>
                <w:ilvl w:val="0"/>
                <w:numId w:val="0"/>
              </w:numPr>
              <w:tabs>
                <w:tab w:val="left" w:pos="0"/>
              </w:tabs>
              <w:spacing w:after="0" w:line="240" w:lineRule="auto"/>
              <w:ind w:leftChars="0"/>
              <w:rPr>
                <w:rFonts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5、</w:t>
            </w:r>
            <w:r>
              <w:rPr>
                <w:rFonts w:ascii="Times New Roman" w:hAnsi="Times New Roman" w:eastAsia="仿宋" w:cs="Times New Roman"/>
                <w:color w:val="auto"/>
                <w:sz w:val="21"/>
                <w:szCs w:val="21"/>
                <w:lang w:val="en-US" w:eastAsia="zh-CN"/>
              </w:rPr>
              <w:t>投标人需承诺监控覆盖面积达到鱼塘总面积的</w:t>
            </w:r>
            <w:r>
              <w:rPr>
                <w:rFonts w:hint="eastAsia" w:eastAsia="仿宋" w:cs="Times New Roman"/>
                <w:color w:val="auto"/>
                <w:sz w:val="21"/>
                <w:szCs w:val="21"/>
                <w:lang w:val="en-US" w:eastAsia="zh-CN"/>
              </w:rPr>
              <w:t>100</w:t>
            </w:r>
            <w:r>
              <w:rPr>
                <w:rFonts w:ascii="Times New Roman" w:hAnsi="Times New Roman" w:eastAsia="仿宋" w:cs="Times New Roman"/>
                <w:color w:val="auto"/>
                <w:sz w:val="21"/>
                <w:szCs w:val="21"/>
                <w:lang w:val="en-US" w:eastAsia="zh-CN"/>
              </w:rPr>
              <w:t>%，得1分，且提供全量监控塘口的现场有效勘察报告得2分。</w:t>
            </w:r>
          </w:p>
          <w:p w14:paraId="588DBCBA">
            <w:pPr>
              <w:keepNext w:val="0"/>
              <w:keepLines w:val="0"/>
              <w:pageBreakBefore w:val="0"/>
              <w:widowControl/>
              <w:numPr>
                <w:ilvl w:val="0"/>
                <w:numId w:val="0"/>
              </w:numPr>
              <w:tabs>
                <w:tab w:val="left" w:pos="0"/>
              </w:tabs>
              <w:spacing w:after="0" w:line="240" w:lineRule="auto"/>
              <w:ind w:leftChars="0"/>
              <w:rPr>
                <w:rFonts w:ascii="Times New Roman" w:hAnsi="Times New Roman" w:eastAsia="仿宋" w:cs="Times New Roman"/>
                <w:color w:val="auto"/>
                <w:sz w:val="21"/>
                <w:szCs w:val="21"/>
                <w:lang w:val="en-US" w:eastAsia="zh-CN" w:bidi="ar-SA"/>
              </w:rPr>
            </w:pPr>
            <w:r>
              <w:rPr>
                <w:rFonts w:hint="eastAsia" w:eastAsia="仿宋" w:cs="Times New Roman"/>
                <w:color w:val="auto"/>
                <w:sz w:val="21"/>
                <w:szCs w:val="21"/>
                <w:lang w:val="en-US" w:eastAsia="zh-CN"/>
              </w:rPr>
              <w:t>6、投标人需承诺提供不低于监控点位总数30%的移机服务，在塘口调整后5个工作日内完成监控移机，得2分，10个工作日内完成监控移机，得1分，否则不得分。</w:t>
            </w:r>
          </w:p>
        </w:tc>
      </w:tr>
      <w:tr w14:paraId="4E2BA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88" w:type="pct"/>
            <w:noWrap/>
            <w:vAlign w:val="center"/>
          </w:tcPr>
          <w:p w14:paraId="0E787A3E">
            <w:pPr>
              <w:keepNext w:val="0"/>
              <w:keepLines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十</w:t>
            </w:r>
          </w:p>
        </w:tc>
        <w:tc>
          <w:tcPr>
            <w:tcW w:w="377" w:type="pct"/>
            <w:vMerge w:val="continue"/>
            <w:noWrap/>
            <w:vAlign w:val="center"/>
          </w:tcPr>
          <w:p w14:paraId="474EE985">
            <w:pPr>
              <w:keepNext w:val="0"/>
              <w:keepLines w:val="0"/>
              <w:pageBreakBefore w:val="0"/>
              <w:spacing w:line="240" w:lineRule="auto"/>
            </w:pPr>
          </w:p>
        </w:tc>
        <w:tc>
          <w:tcPr>
            <w:tcW w:w="382" w:type="pct"/>
            <w:shd w:val="clear" w:color="auto" w:fill="auto"/>
            <w:noWrap/>
            <w:vAlign w:val="center"/>
          </w:tcPr>
          <w:p w14:paraId="658EA400">
            <w:pPr>
              <w:keepNext w:val="0"/>
              <w:keepLines w:val="0"/>
              <w:pageBreakBefore w:val="0"/>
              <w:widowControl/>
              <w:spacing w:after="0" w:line="240" w:lineRule="auto"/>
              <w:jc w:val="center"/>
              <w:rPr>
                <w:rFonts w:ascii="Times New Roman" w:hAnsi="Times New Roman" w:eastAsia="仿宋" w:cs="Times New Roman"/>
                <w:color w:val="auto"/>
                <w:sz w:val="21"/>
                <w:szCs w:val="21"/>
                <w:lang w:val="en-US" w:eastAsia="zh-CN" w:bidi="ar-SA"/>
              </w:rPr>
            </w:pPr>
            <w:r>
              <w:rPr>
                <w:rFonts w:hint="eastAsia" w:eastAsia="仿宋" w:cs="Times New Roman"/>
                <w:color w:val="auto"/>
                <w:sz w:val="21"/>
                <w:szCs w:val="21"/>
                <w:lang w:val="en-US" w:eastAsia="zh-CN"/>
              </w:rPr>
              <w:t>5</w:t>
            </w:r>
            <w:r>
              <w:rPr>
                <w:rFonts w:ascii="Times New Roman" w:hAnsi="Times New Roman" w:eastAsia="仿宋" w:cs="Times New Roman"/>
                <w:color w:val="auto"/>
                <w:sz w:val="21"/>
                <w:szCs w:val="21"/>
              </w:rPr>
              <w:t>分</w:t>
            </w:r>
          </w:p>
        </w:tc>
        <w:tc>
          <w:tcPr>
            <w:tcW w:w="3951" w:type="pct"/>
            <w:shd w:val="clear" w:color="auto" w:fill="auto"/>
            <w:noWrap/>
            <w:vAlign w:val="center"/>
          </w:tcPr>
          <w:p w14:paraId="3EB67866">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AI及软件功能演示（5 分）</w:t>
            </w:r>
          </w:p>
          <w:p w14:paraId="4B9EF939">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投标人须提供软件功能演示（完整录屏演示文件），演示内容必须与投标文件技术方案、所投软件系统保持一致；若存在重大不符、虚假演示，本项不得分。</w:t>
            </w:r>
          </w:p>
          <w:p w14:paraId="63462B53">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完整演示边缘终端实时AI识别疑似出塘行为并上报告警证据；后端平台开展多模态证据链二次复核研判；出塘报备数据联动校验；规则引擎研判；违规告警工单自动生成流转；大屏态势展示业务统计；业务链路完整、操作流畅，两级研判逻辑清晰，效果符合鳊鱼塘口监管业务场景，得5分；</w:t>
            </w:r>
          </w:p>
          <w:p w14:paraId="282765C6">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能够演示主要业务功能，边缘-后端两级研判流程可展示，存在少量细分环节缺失、操作略有卡顿，核心业务可跑通，得3分；</w:t>
            </w:r>
          </w:p>
          <w:p w14:paraId="7612B3CE">
            <w:pPr>
              <w:keepNext w:val="0"/>
              <w:keepLines w:val="0"/>
              <w:pageBreakBefore w:val="0"/>
              <w:widowControl/>
              <w:spacing w:after="0" w:line="240" w:lineRule="auto"/>
              <w:rPr>
                <w:rFonts w:hint="eastAsia" w:eastAsia="仿宋"/>
                <w:color w:val="auto"/>
                <w:szCs w:val="21"/>
              </w:rPr>
            </w:pPr>
            <w:r>
              <w:rPr>
                <w:rFonts w:hint="eastAsia" w:eastAsia="仿宋"/>
                <w:color w:val="auto"/>
                <w:szCs w:val="21"/>
              </w:rPr>
              <w:t>演示功能缺失较多，部分核心业务链路无法完整展示，运行存在异常，得</w:t>
            </w:r>
            <w:r>
              <w:rPr>
                <w:rFonts w:hint="eastAsia" w:eastAsia="仿宋"/>
                <w:color w:val="auto"/>
                <w:szCs w:val="21"/>
                <w:lang w:val="en-US" w:eastAsia="zh-CN"/>
              </w:rPr>
              <w:t>1</w:t>
            </w:r>
            <w:r>
              <w:rPr>
                <w:rFonts w:hint="eastAsia" w:eastAsia="仿宋"/>
                <w:color w:val="auto"/>
                <w:szCs w:val="21"/>
              </w:rPr>
              <w:t>分；</w:t>
            </w:r>
          </w:p>
          <w:p w14:paraId="38933540">
            <w:pPr>
              <w:keepNext w:val="0"/>
              <w:keepLines w:val="0"/>
              <w:pageBreakBefore w:val="0"/>
              <w:widowControl/>
              <w:spacing w:after="0" w:line="240" w:lineRule="auto"/>
              <w:rPr>
                <w:rFonts w:ascii="Times New Roman" w:hAnsi="Times New Roman" w:eastAsia="仿宋" w:cs="Times New Roman"/>
                <w:color w:val="auto"/>
                <w:sz w:val="21"/>
                <w:szCs w:val="21"/>
                <w:lang w:val="en-US" w:eastAsia="zh-CN" w:bidi="ar-SA"/>
              </w:rPr>
            </w:pPr>
            <w:r>
              <w:rPr>
                <w:rFonts w:hint="eastAsia" w:eastAsia="仿宋"/>
                <w:color w:val="auto"/>
                <w:szCs w:val="21"/>
              </w:rPr>
              <w:t>未提供演示材料，或演示内容与投标技术方案严重不符、虚假演示，本项不得分。</w:t>
            </w:r>
          </w:p>
        </w:tc>
      </w:tr>
      <w:tr w14:paraId="33B94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048" w:type="pct"/>
            <w:gridSpan w:val="3"/>
            <w:noWrap/>
            <w:vAlign w:val="center"/>
          </w:tcPr>
          <w:p w14:paraId="22207FDD">
            <w:pPr>
              <w:keepNext w:val="0"/>
              <w:keepLines w:val="0"/>
              <w:pageBreakBefore w:val="0"/>
              <w:widowControl/>
              <w:spacing w:after="0" w:line="240" w:lineRule="auto"/>
              <w:jc w:val="center"/>
              <w:rPr>
                <w:rFonts w:ascii="Times New Roman" w:hAnsi="Times New Roman" w:eastAsia="仿宋" w:cs="Times New Roman"/>
                <w:sz w:val="21"/>
                <w:szCs w:val="21"/>
                <w:lang w:val="en-US" w:eastAsia="zh-CN"/>
              </w:rPr>
            </w:pPr>
            <w:r>
              <w:rPr>
                <w:rFonts w:ascii="Times New Roman" w:hAnsi="Times New Roman" w:eastAsia="仿宋" w:cs="Times New Roman"/>
                <w:sz w:val="21"/>
                <w:szCs w:val="21"/>
                <w:lang w:val="en-US" w:eastAsia="zh-CN"/>
              </w:rPr>
              <w:t>合计：</w:t>
            </w:r>
          </w:p>
        </w:tc>
        <w:tc>
          <w:tcPr>
            <w:tcW w:w="3951" w:type="pct"/>
            <w:noWrap/>
            <w:vAlign w:val="center"/>
          </w:tcPr>
          <w:p w14:paraId="3510ED32">
            <w:pPr>
              <w:keepNext w:val="0"/>
              <w:keepLines w:val="0"/>
              <w:pageBreakBefore w:val="0"/>
              <w:widowControl/>
              <w:spacing w:after="0" w:line="240" w:lineRule="auto"/>
              <w:jc w:val="center"/>
              <w:rPr>
                <w:rFonts w:ascii="Times New Roman" w:hAnsi="Times New Roman" w:eastAsia="仿宋" w:cs="Times New Roman"/>
                <w:sz w:val="21"/>
                <w:szCs w:val="21"/>
                <w:lang w:val="en-US" w:eastAsia="zh-CN"/>
              </w:rPr>
            </w:pPr>
            <w:r>
              <w:rPr>
                <w:rFonts w:ascii="Times New Roman" w:hAnsi="Times New Roman" w:eastAsia="仿宋" w:cs="Times New Roman"/>
                <w:sz w:val="21"/>
                <w:szCs w:val="21"/>
                <w:lang w:val="en-US" w:eastAsia="zh-CN"/>
              </w:rPr>
              <w:t>100分</w:t>
            </w:r>
          </w:p>
        </w:tc>
      </w:tr>
    </w:tbl>
    <w:p w14:paraId="34FCF64A">
      <w:pPr>
        <w:keepNext w:val="0"/>
        <w:keepLines w:val="0"/>
        <w:pageBreakBefore w:val="0"/>
        <w:widowControl w:val="0"/>
        <w:spacing w:line="240" w:lineRule="auto"/>
        <w:ind w:firstLine="420"/>
        <w:rPr>
          <w:rFonts w:ascii="Times New Roman" w:hAnsi="Times New Roman" w:eastAsia="宋体" w:cs="Times New Roman"/>
        </w:rPr>
      </w:pPr>
    </w:p>
    <w:p w14:paraId="53E95210">
      <w:pPr>
        <w:spacing w:line="360" w:lineRule="auto"/>
        <w:rPr>
          <w:rFonts w:ascii="Times New Roman" w:hAnsi="Times New Roman" w:eastAsia="宋体" w:cs="Times New Roman"/>
          <w:b/>
          <w:sz w:val="22"/>
          <w:szCs w:val="28"/>
        </w:rPr>
      </w:pPr>
      <w:r>
        <w:rPr>
          <w:rFonts w:ascii="Times New Roman" w:hAnsi="Times New Roman" w:eastAsia="宋体" w:cs="Times New Roman"/>
          <w:b/>
          <w:sz w:val="22"/>
          <w:szCs w:val="28"/>
        </w:rPr>
        <w:t>说明：</w:t>
      </w:r>
    </w:p>
    <w:p w14:paraId="4E6BE634">
      <w:pPr>
        <w:ind w:firstLine="420"/>
        <w:rPr>
          <w:rFonts w:ascii="Times New Roman" w:hAnsi="Times New Roman" w:eastAsia="宋体" w:cs="Times New Roman"/>
        </w:rPr>
      </w:pPr>
      <w:r>
        <w:rPr>
          <w:rFonts w:ascii="Times New Roman" w:hAnsi="Times New Roman" w:eastAsia="宋体" w:cs="Times New Roman"/>
        </w:rPr>
        <w:t>1、所有认证、证明和业绩均以有效的证明文件的复印件为依据</w:t>
      </w:r>
      <w:r>
        <w:rPr>
          <w:rFonts w:ascii="Times New Roman" w:hAnsi="Times New Roman" w:eastAsia="宋体" w:cs="Times New Roman"/>
          <w:bCs/>
          <w:sz w:val="22"/>
          <w:szCs w:val="28"/>
        </w:rPr>
        <w:t>，原件备查。</w:t>
      </w:r>
    </w:p>
    <w:p w14:paraId="5529B64F">
      <w:pPr>
        <w:ind w:firstLine="420"/>
        <w:rPr>
          <w:rFonts w:ascii="Times New Roman" w:hAnsi="Times New Roman" w:eastAsia="宋体" w:cs="Times New Roman"/>
        </w:rPr>
      </w:pPr>
      <w:r>
        <w:rPr>
          <w:rFonts w:ascii="Times New Roman" w:hAnsi="Times New Roman" w:eastAsia="宋体" w:cs="Times New Roman"/>
        </w:rPr>
        <w:t>2、小微企业价格扣除</w:t>
      </w:r>
    </w:p>
    <w:p w14:paraId="432A2070">
      <w:pPr>
        <w:ind w:firstLine="420"/>
        <w:rPr>
          <w:rFonts w:ascii="Times New Roman" w:hAnsi="Times New Roman" w:eastAsia="宋体" w:cs="Times New Roman"/>
        </w:rPr>
      </w:pPr>
      <w:r>
        <w:rPr>
          <w:rFonts w:ascii="Times New Roman" w:hAnsi="Times New Roman" w:eastAsia="宋体" w:cs="Times New Roman"/>
        </w:rPr>
        <w:t>2.1对于专门面向中小企业或小型、微型企业的项目，只面向中小企业或小型、微型企业采购。对于非专门面向中小企业的项目，对小型和微型企业的价格给予10%的扣除，用扣除后的价格参与评审。</w:t>
      </w:r>
    </w:p>
    <w:p w14:paraId="30E08B89">
      <w:pPr>
        <w:ind w:firstLine="420"/>
        <w:rPr>
          <w:rFonts w:ascii="Times New Roman" w:hAnsi="Times New Roman" w:eastAsia="宋体" w:cs="Times New Roman"/>
        </w:rPr>
      </w:pPr>
      <w:r>
        <w:rPr>
          <w:rFonts w:ascii="Times New Roman" w:hAnsi="Times New Roman" w:eastAsia="宋体" w:cs="Times New Roman"/>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87ECE6D">
      <w:pPr>
        <w:ind w:firstLine="420"/>
        <w:rPr>
          <w:rFonts w:ascii="Times New Roman" w:hAnsi="Times New Roman" w:eastAsia="宋体" w:cs="Times New Roman"/>
        </w:rPr>
      </w:pPr>
      <w:r>
        <w:rPr>
          <w:rFonts w:ascii="Times New Roman" w:hAnsi="Times New Roman" w:eastAsia="宋体" w:cs="Times New Roman"/>
        </w:rPr>
        <w:t>3.监狱和戒毒企业的价格扣除</w:t>
      </w:r>
    </w:p>
    <w:p w14:paraId="64862EA1">
      <w:pPr>
        <w:ind w:firstLine="420"/>
        <w:rPr>
          <w:rFonts w:ascii="Times New Roman" w:hAnsi="Times New Roman" w:eastAsia="宋体" w:cs="Times New Roman"/>
        </w:rPr>
      </w:pPr>
      <w:r>
        <w:rPr>
          <w:rFonts w:ascii="Times New Roman" w:hAnsi="Times New Roman" w:eastAsia="宋体" w:cs="Times New Roman"/>
        </w:rPr>
        <w:t>3.1 本项目对监狱和戒毒企业，给予10%的价格扣除，用扣除后的价格参与评审。</w:t>
      </w:r>
    </w:p>
    <w:p w14:paraId="7185A910">
      <w:pPr>
        <w:ind w:firstLine="420"/>
        <w:rPr>
          <w:rFonts w:ascii="Times New Roman" w:hAnsi="Times New Roman" w:eastAsia="宋体" w:cs="Times New Roman"/>
        </w:rPr>
      </w:pPr>
      <w:r>
        <w:rPr>
          <w:rFonts w:ascii="Times New Roman" w:hAnsi="Times New Roman" w:eastAsia="宋体" w:cs="Times New Roman"/>
        </w:rPr>
        <w:t>3.2 监狱企业需提供由省级以上监狱管理局、戒毒管理局（含新疆生产建设兵团）出具的属于监狱企业的证明文件。</w:t>
      </w:r>
    </w:p>
    <w:p w14:paraId="2ECAA6E7">
      <w:pPr>
        <w:ind w:firstLine="420"/>
        <w:rPr>
          <w:rFonts w:ascii="Times New Roman" w:hAnsi="Times New Roman" w:eastAsia="宋体" w:cs="Times New Roman"/>
        </w:rPr>
      </w:pPr>
      <w:r>
        <w:rPr>
          <w:rFonts w:ascii="Times New Roman" w:hAnsi="Times New Roman" w:eastAsia="宋体" w:cs="Times New Roman"/>
        </w:rPr>
        <w:t>3.3 监狱企业标准请参照《关于政府采购支持监狱企业发展有关问题的通知》（财库〔2014〕68号）。</w:t>
      </w:r>
    </w:p>
    <w:p w14:paraId="57B6A21D">
      <w:pPr>
        <w:ind w:firstLine="420"/>
        <w:rPr>
          <w:rFonts w:ascii="Times New Roman" w:hAnsi="Times New Roman" w:eastAsia="宋体" w:cs="Times New Roman"/>
        </w:rPr>
      </w:pPr>
      <w:r>
        <w:rPr>
          <w:rFonts w:ascii="Times New Roman" w:hAnsi="Times New Roman" w:eastAsia="宋体" w:cs="Times New Roman"/>
        </w:rPr>
        <w:t>4.残疾人福利性单位的价格扣除</w:t>
      </w:r>
    </w:p>
    <w:p w14:paraId="4872CF4F">
      <w:pPr>
        <w:ind w:firstLine="420"/>
        <w:rPr>
          <w:rFonts w:ascii="Times New Roman" w:hAnsi="Times New Roman" w:eastAsia="宋体" w:cs="Times New Roman"/>
        </w:rPr>
      </w:pPr>
      <w:r>
        <w:rPr>
          <w:rFonts w:ascii="Times New Roman" w:hAnsi="Times New Roman" w:eastAsia="宋体" w:cs="Times New Roman"/>
        </w:rPr>
        <w:t>4.1 本项目对残疾人福利性单位，给予10%的价格扣除，用扣除后的价格参与评审。</w:t>
      </w:r>
    </w:p>
    <w:p w14:paraId="5BC2326A">
      <w:pPr>
        <w:ind w:firstLine="420"/>
        <w:rPr>
          <w:rFonts w:ascii="Times New Roman" w:hAnsi="Times New Roman" w:eastAsia="宋体" w:cs="Times New Roman"/>
        </w:rPr>
      </w:pPr>
      <w:r>
        <w:rPr>
          <w:rFonts w:ascii="Times New Roman" w:hAnsi="Times New Roman" w:eastAsia="宋体" w:cs="Times New Roman"/>
        </w:rPr>
        <w:t>4.2 残疾人福利性单位需提供《残疾人福利性单位声明函》。</w:t>
      </w:r>
    </w:p>
    <w:p w14:paraId="19C61EE1">
      <w:pPr>
        <w:ind w:firstLine="420"/>
        <w:rPr>
          <w:rFonts w:ascii="Times New Roman" w:hAnsi="Times New Roman" w:eastAsia="宋体" w:cs="Times New Roman"/>
        </w:rPr>
      </w:pPr>
      <w:r>
        <w:rPr>
          <w:rFonts w:ascii="Times New Roman" w:hAnsi="Times New Roman" w:eastAsia="宋体" w:cs="Times New Roman"/>
        </w:rPr>
        <w:t>4.3 残疾人福利性单位标准请参照《关于促进残疾人就业政府采购政策的通知》（财库〔2017〕141号）。</w:t>
      </w:r>
    </w:p>
    <w:p w14:paraId="420F1E94">
      <w:pPr>
        <w:ind w:firstLine="420"/>
        <w:rPr>
          <w:rFonts w:ascii="Times New Roman" w:hAnsi="Times New Roman" w:eastAsia="宋体" w:cs="Times New Roman"/>
        </w:rPr>
      </w:pPr>
      <w:r>
        <w:rPr>
          <w:rFonts w:ascii="Times New Roman" w:hAnsi="Times New Roman" w:eastAsia="宋体" w:cs="Times New Roman"/>
        </w:rPr>
        <w:t>5.监狱企业、残疾人福利性单位属于小型、微型企业的，不重复享受政策。</w:t>
      </w:r>
    </w:p>
    <w:p w14:paraId="3AB483CA">
      <w:pPr>
        <w:pStyle w:val="3"/>
        <w:keepNext/>
        <w:keepLines/>
        <w:pageBreakBefore w:val="0"/>
        <w:widowControl w:val="0"/>
        <w:numPr>
          <w:ilvl w:val="0"/>
          <w:numId w:val="0"/>
        </w:numPr>
        <w:kinsoku/>
        <w:wordWrap/>
        <w:overflowPunct/>
        <w:topLinePunct w:val="0"/>
        <w:autoSpaceDE/>
        <w:autoSpaceDN/>
        <w:bidi w:val="0"/>
        <w:adjustRightInd/>
        <w:snapToGrid/>
        <w:spacing w:after="160" w:line="579" w:lineRule="auto"/>
        <w:textAlignment w:val="auto"/>
        <w:rPr>
          <w:rFonts w:hint="eastAsia" w:cs="Times New Roman"/>
          <w:b/>
          <w:color w:val="000000"/>
          <w:sz w:val="21"/>
          <w:szCs w:val="21"/>
          <w:lang w:val="en-US" w:eastAsia="zh-CN"/>
        </w:rPr>
      </w:pPr>
      <w:bookmarkStart w:id="35" w:name="_Toc14826"/>
      <w:r>
        <w:rPr>
          <w:rFonts w:ascii="Times New Roman" w:hAnsi="Times New Roman" w:eastAsia="宋体" w:cs="Times New Roman"/>
        </w:rPr>
        <w:br w:type="page" w:clear="all"/>
      </w:r>
      <w:bookmarkStart w:id="36" w:name="_Toc22286"/>
      <w:bookmarkStart w:id="37" w:name="_Toc176849587"/>
      <w:r>
        <w:rPr>
          <w:rFonts w:ascii="Times New Roman" w:hAnsi="Times New Roman" w:eastAsia="宋体" w:cs="Times New Roman"/>
        </w:rPr>
        <w:t>第四章 采购需求</w:t>
      </w:r>
      <w:bookmarkEnd w:id="35"/>
      <w:bookmarkEnd w:id="36"/>
      <w:bookmarkEnd w:id="37"/>
      <w:bookmarkStart w:id="38" w:name="_Toc155363894"/>
      <w:bookmarkEnd w:id="38"/>
      <w:bookmarkStart w:id="39" w:name="_Toc8808"/>
      <w:bookmarkStart w:id="40" w:name="_Toc481057147"/>
    </w:p>
    <w:p w14:paraId="2DBCFFF9">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rPr>
      </w:pPr>
      <w:r>
        <w:rPr>
          <w:rFonts w:hint="eastAsia" w:cs="Times New Roman"/>
          <w:b/>
          <w:color w:val="000000"/>
          <w:sz w:val="21"/>
          <w:szCs w:val="21"/>
          <w:lang w:val="en-US" w:eastAsia="zh-CN"/>
        </w:rPr>
        <w:t>一、</w:t>
      </w:r>
      <w:r>
        <w:rPr>
          <w:rFonts w:ascii="Times New Roman" w:hAnsi="Times New Roman" w:eastAsia="宋体" w:cs="Times New Roman"/>
          <w:b/>
          <w:color w:val="000000"/>
          <w:sz w:val="21"/>
          <w:szCs w:val="21"/>
        </w:rPr>
        <w:t>项目概述</w:t>
      </w:r>
    </w:p>
    <w:p w14:paraId="5159C4F2">
      <w:pPr>
        <w:keepNext w:val="0"/>
        <w:keepLines w:val="0"/>
        <w:pageBreakBefore w:val="0"/>
        <w:widowControl/>
        <w:tabs>
          <w:tab w:val="left" w:pos="4830"/>
        </w:tabs>
        <w:spacing w:after="0" w:line="240" w:lineRule="auto"/>
        <w:ind w:firstLine="420"/>
        <w:jc w:val="left"/>
        <w:outlineLvl w:val="9"/>
        <w:rPr>
          <w:rFonts w:hint="default"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宜兴、丹阳、大丰作为重点鳊鱼养殖区域，</w:t>
      </w:r>
      <w:r>
        <w:rPr>
          <w:rFonts w:hint="eastAsia" w:cs="Times New Roman"/>
          <w:color w:val="000000"/>
          <w:sz w:val="21"/>
          <w:szCs w:val="21"/>
          <w:lang w:val="en-US" w:eastAsia="zh-CN"/>
        </w:rPr>
        <w:t>根据各地最新计数，目前</w:t>
      </w:r>
      <w:r>
        <w:rPr>
          <w:rFonts w:ascii="Times New Roman" w:hAnsi="Times New Roman" w:eastAsia="宋体" w:cs="Times New Roman"/>
          <w:color w:val="000000"/>
          <w:sz w:val="21"/>
          <w:szCs w:val="21"/>
        </w:rPr>
        <w:t>全域</w:t>
      </w:r>
      <w:r>
        <w:rPr>
          <w:rFonts w:ascii="Times New Roman" w:hAnsi="Times New Roman" w:eastAsia="宋体" w:cs="Times New Roman"/>
          <w:color w:val="000000"/>
          <w:sz w:val="21"/>
          <w:szCs w:val="21"/>
          <w:highlight w:val="none"/>
        </w:rPr>
        <w:t>共</w:t>
      </w:r>
      <w:r>
        <w:rPr>
          <w:rFonts w:hint="eastAsia" w:cs="Times New Roman"/>
          <w:color w:val="000000"/>
          <w:sz w:val="21"/>
          <w:szCs w:val="21"/>
          <w:highlight w:val="none"/>
          <w:lang w:val="en-US" w:eastAsia="zh-CN"/>
        </w:rPr>
        <w:t>326</w:t>
      </w:r>
      <w:r>
        <w:rPr>
          <w:rFonts w:ascii="Times New Roman" w:hAnsi="Times New Roman" w:eastAsia="宋体" w:cs="Times New Roman"/>
          <w:color w:val="000000"/>
          <w:sz w:val="21"/>
          <w:szCs w:val="21"/>
        </w:rPr>
        <w:t>个养殖塘口，塘口大小差异大、既有集中连片规模化塘口，也有偏远零散小微塘口，部分区域无有线网络覆盖。传统人工巡查效率低、管控滞后，缺乏24小时全天候智能监管手段。为规范鳊鱼</w:t>
      </w:r>
      <w:r>
        <w:rPr>
          <w:rFonts w:hint="eastAsia" w:cs="Times New Roman"/>
          <w:color w:val="000000"/>
          <w:sz w:val="21"/>
          <w:szCs w:val="21"/>
          <w:lang w:val="en-US" w:eastAsia="zh-CN"/>
        </w:rPr>
        <w:t>等重点水产品种</w:t>
      </w:r>
      <w:r>
        <w:rPr>
          <w:rFonts w:ascii="Times New Roman" w:hAnsi="Times New Roman" w:eastAsia="宋体" w:cs="Times New Roman"/>
          <w:color w:val="000000"/>
          <w:sz w:val="21"/>
          <w:szCs w:val="21"/>
        </w:rPr>
        <w:t>养殖出塘秩序，强化源头质量安全监管，依托视频监控、大数据、AI智能、云和物联网技术，建设全域出塘预警监控体系，实现全覆盖、全时段、智能化、闭环式渔业监管。</w:t>
      </w:r>
      <w:r>
        <w:rPr>
          <w:rFonts w:hint="eastAsia" w:cs="Times New Roman"/>
          <w:b/>
          <w:bCs/>
          <w:color w:val="000000"/>
          <w:sz w:val="21"/>
          <w:szCs w:val="21"/>
          <w:lang w:val="en-US" w:eastAsia="zh-CN"/>
        </w:rPr>
        <w:t>本项目为采购人购买</w:t>
      </w:r>
      <w:r>
        <w:rPr>
          <w:rFonts w:hint="eastAsia" w:cs="Times New Roman"/>
          <w:b/>
          <w:bCs/>
          <w:color w:val="000000"/>
          <w:szCs w:val="21"/>
          <w:u w:val="none"/>
          <w:lang w:eastAsia="zh-CN"/>
        </w:rPr>
        <w:t>预警监测</w:t>
      </w:r>
      <w:r>
        <w:rPr>
          <w:rFonts w:hint="eastAsia" w:cs="Times New Roman"/>
          <w:b/>
          <w:bCs/>
          <w:color w:val="000000"/>
          <w:szCs w:val="21"/>
          <w:u w:val="none"/>
          <w:lang w:val="en-US" w:eastAsia="zh-CN"/>
        </w:rPr>
        <w:t>服务，</w:t>
      </w:r>
      <w:r>
        <w:rPr>
          <w:rFonts w:hint="eastAsia" w:cs="Times New Roman"/>
          <w:b/>
          <w:bCs/>
          <w:color w:val="000000"/>
          <w:sz w:val="21"/>
          <w:szCs w:val="21"/>
          <w:lang w:val="en-US" w:eastAsia="zh-CN"/>
        </w:rPr>
        <w:t>非采购人建设项目，核心为供应商向采购人提供服务，中标供应商承担项目全周期安全生产责任。前期软硬件准备工作通过主管部门整体验收后，中标供应商须向采购人提交整体软硬件建设台账。</w:t>
      </w:r>
    </w:p>
    <w:p w14:paraId="43262A17">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rPr>
      </w:pPr>
      <w:r>
        <w:rPr>
          <w:rFonts w:hint="eastAsia" w:cs="Times New Roman"/>
          <w:b/>
          <w:color w:val="000000"/>
          <w:sz w:val="21"/>
          <w:szCs w:val="21"/>
          <w:lang w:val="en-US" w:eastAsia="zh-CN"/>
        </w:rPr>
        <w:t>二、项目实施内容</w:t>
      </w:r>
    </w:p>
    <w:p w14:paraId="5B656198">
      <w:pPr>
        <w:pStyle w:val="2"/>
        <w:numPr>
          <w:ilvl w:val="0"/>
          <w:numId w:val="0"/>
        </w:numPr>
        <w:ind w:firstLine="420" w:firstLineChars="200"/>
        <w:rPr>
          <w:rFonts w:hint="eastAsia" w:ascii="Times New Roman" w:hAnsi="Times New Roman" w:eastAsia="宋体" w:cs="Times New Roman"/>
          <w:b w:val="0"/>
          <w:color w:val="000000"/>
          <w:sz w:val="21"/>
          <w:szCs w:val="21"/>
          <w:lang w:val="en-US" w:eastAsia="zh-CN"/>
        </w:rPr>
      </w:pPr>
      <w:r>
        <w:rPr>
          <w:rFonts w:hint="eastAsia" w:cs="Times New Roman"/>
          <w:color w:val="000000"/>
          <w:sz w:val="21"/>
          <w:szCs w:val="21"/>
          <w:lang w:val="en-US" w:eastAsia="zh-CN"/>
        </w:rPr>
        <w:t>在</w:t>
      </w:r>
      <w:r>
        <w:rPr>
          <w:rFonts w:ascii="Times New Roman" w:hAnsi="Times New Roman" w:eastAsia="宋体" w:cs="Times New Roman"/>
          <w:color w:val="000000"/>
          <w:sz w:val="21"/>
          <w:szCs w:val="21"/>
        </w:rPr>
        <w:t>宜兴</w:t>
      </w:r>
      <w:r>
        <w:rPr>
          <w:rFonts w:hint="eastAsia" w:ascii="Times New Roman" w:hAnsi="Times New Roman" w:eastAsia="宋体" w:cs="Times New Roman"/>
          <w:color w:val="000000"/>
          <w:sz w:val="21"/>
          <w:szCs w:val="21"/>
          <w:lang w:val="en-US" w:eastAsia="zh-CN"/>
        </w:rPr>
        <w:t>市</w:t>
      </w:r>
      <w:r>
        <w:rPr>
          <w:rFonts w:ascii="Times New Roman" w:hAnsi="Times New Roman" w:eastAsia="宋体" w:cs="Times New Roman"/>
          <w:color w:val="000000"/>
          <w:sz w:val="21"/>
          <w:szCs w:val="21"/>
        </w:rPr>
        <w:t>、丹阳</w:t>
      </w:r>
      <w:r>
        <w:rPr>
          <w:rFonts w:hint="eastAsia" w:ascii="Times New Roman" w:hAnsi="Times New Roman" w:eastAsia="宋体" w:cs="Times New Roman"/>
          <w:color w:val="000000"/>
          <w:sz w:val="21"/>
          <w:szCs w:val="21"/>
          <w:lang w:val="en-US" w:eastAsia="zh-CN"/>
        </w:rPr>
        <w:t>市</w:t>
      </w:r>
      <w:r>
        <w:rPr>
          <w:rFonts w:ascii="Times New Roman" w:hAnsi="Times New Roman" w:eastAsia="宋体" w:cs="Times New Roman"/>
          <w:color w:val="000000"/>
          <w:sz w:val="21"/>
          <w:szCs w:val="21"/>
        </w:rPr>
        <w:t>、</w:t>
      </w:r>
      <w:r>
        <w:rPr>
          <w:rFonts w:hint="eastAsia" w:ascii="Times New Roman" w:hAnsi="Times New Roman" w:eastAsia="宋体" w:cs="Times New Roman"/>
          <w:color w:val="000000"/>
          <w:sz w:val="21"/>
          <w:szCs w:val="21"/>
          <w:lang w:val="en-US" w:eastAsia="zh-CN"/>
        </w:rPr>
        <w:t>盐城市</w:t>
      </w:r>
      <w:r>
        <w:rPr>
          <w:rFonts w:ascii="Times New Roman" w:hAnsi="Times New Roman" w:eastAsia="宋体" w:cs="Times New Roman"/>
          <w:color w:val="000000"/>
          <w:sz w:val="21"/>
          <w:szCs w:val="21"/>
        </w:rPr>
        <w:t>大丰</w:t>
      </w:r>
      <w:r>
        <w:rPr>
          <w:rFonts w:hint="eastAsia" w:ascii="Times New Roman" w:hAnsi="Times New Roman" w:eastAsia="宋体" w:cs="Times New Roman"/>
          <w:color w:val="000000"/>
          <w:sz w:val="21"/>
          <w:szCs w:val="21"/>
          <w:lang w:val="en-US" w:eastAsia="zh-CN"/>
        </w:rPr>
        <w:t>区开展</w:t>
      </w:r>
      <w:r>
        <w:rPr>
          <w:rFonts w:ascii="Times New Roman" w:hAnsi="Times New Roman" w:eastAsia="宋体" w:cs="Times New Roman"/>
          <w:color w:val="000000"/>
          <w:sz w:val="21"/>
          <w:szCs w:val="21"/>
        </w:rPr>
        <w:t>鳊鱼</w:t>
      </w:r>
      <w:r>
        <w:rPr>
          <w:rFonts w:hint="eastAsia" w:cs="Times New Roman"/>
          <w:color w:val="000000"/>
          <w:sz w:val="21"/>
          <w:szCs w:val="21"/>
          <w:lang w:val="en-US" w:eastAsia="zh-CN"/>
        </w:rPr>
        <w:t>等重点水产品种</w:t>
      </w:r>
      <w:r>
        <w:rPr>
          <w:rFonts w:ascii="Times New Roman" w:hAnsi="Times New Roman" w:eastAsia="宋体" w:cs="Times New Roman"/>
          <w:color w:val="000000"/>
          <w:sz w:val="21"/>
          <w:szCs w:val="21"/>
        </w:rPr>
        <w:t>养殖出塘</w:t>
      </w:r>
      <w:r>
        <w:rPr>
          <w:rFonts w:hint="eastAsia" w:ascii="Times New Roman" w:hAnsi="Times New Roman" w:eastAsia="宋体" w:cs="Times New Roman"/>
          <w:color w:val="000000"/>
          <w:sz w:val="21"/>
          <w:szCs w:val="21"/>
          <w:lang w:val="en-US" w:eastAsia="zh-CN"/>
        </w:rPr>
        <w:t>监测服务。项目</w:t>
      </w:r>
      <w:r>
        <w:rPr>
          <w:rFonts w:hint="eastAsia" w:cs="Times New Roman"/>
          <w:b w:val="0"/>
          <w:color w:val="000000"/>
          <w:sz w:val="21"/>
          <w:szCs w:val="21"/>
          <w:lang w:val="en-US" w:eastAsia="zh-CN"/>
        </w:rPr>
        <w:t>主要绩效目标为：对接苏渔管家小程序、无锡农安通、盐农云等省市相关农产品质量安全监管平台≥3个；上图入库的鳊鱼养殖塘实现视频感知覆盖率100%；监控站点在线率≥98%；对出塘行为的识别及预警率≥95%；为提升鳊鱼质量安全提供技术支撑。</w:t>
      </w:r>
    </w:p>
    <w:p w14:paraId="536F7931">
      <w:pPr>
        <w:pStyle w:val="2"/>
        <w:numPr>
          <w:ilvl w:val="0"/>
          <w:numId w:val="0"/>
        </w:numPr>
        <w:ind w:firstLine="0" w:firstLineChars="0"/>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b w:val="0"/>
          <w:color w:val="000000"/>
          <w:sz w:val="21"/>
          <w:szCs w:val="21"/>
          <w:lang w:val="en-US" w:eastAsia="zh-CN"/>
        </w:rPr>
        <w:t>三、</w:t>
      </w:r>
      <w:r>
        <w:rPr>
          <w:rFonts w:hint="eastAsia" w:ascii="Times New Roman" w:hAnsi="Times New Roman" w:eastAsia="宋体" w:cs="Times New Roman"/>
          <w:b/>
          <w:bCs/>
          <w:color w:val="000000"/>
          <w:sz w:val="21"/>
          <w:szCs w:val="21"/>
          <w:lang w:val="en-US" w:eastAsia="zh-CN"/>
        </w:rPr>
        <w:t>项目核心目标</w:t>
      </w:r>
    </w:p>
    <w:p w14:paraId="25A9B2DA">
      <w:pPr>
        <w:keepNext w:val="0"/>
        <w:keepLines w:val="0"/>
        <w:pageBreakBefore w:val="0"/>
        <w:widowControl/>
        <w:spacing w:after="0" w:line="240" w:lineRule="auto"/>
        <w:ind w:firstLine="420" w:firstLineChars="200"/>
        <w:jc w:val="left"/>
        <w:outlineLvl w:val="9"/>
        <w:rPr>
          <w:rFonts w:ascii="Times New Roman" w:hAnsi="Times New Roman" w:eastAsia="宋体" w:cs="Times New Roman"/>
          <w:color w:val="000000"/>
          <w:sz w:val="21"/>
          <w:szCs w:val="21"/>
        </w:rPr>
      </w:pPr>
      <w:r>
        <w:rPr>
          <w:rFonts w:hint="eastAsia" w:cs="Times New Roman"/>
          <w:color w:val="000000"/>
          <w:sz w:val="21"/>
          <w:szCs w:val="21"/>
          <w:lang w:val="en-US" w:eastAsia="zh-CN"/>
        </w:rPr>
        <w:t>1、</w:t>
      </w:r>
      <w:r>
        <w:rPr>
          <w:rFonts w:ascii="Times New Roman" w:hAnsi="Times New Roman" w:eastAsia="宋体" w:cs="Times New Roman"/>
          <w:color w:val="000000"/>
          <w:sz w:val="21"/>
          <w:szCs w:val="21"/>
        </w:rPr>
        <w:t>感知全覆盖：上图入库的鳊鱼</w:t>
      </w:r>
      <w:r>
        <w:rPr>
          <w:rFonts w:hint="eastAsia" w:cs="Times New Roman"/>
          <w:color w:val="000000"/>
          <w:sz w:val="21"/>
          <w:szCs w:val="21"/>
          <w:lang w:val="en-US" w:eastAsia="zh-CN"/>
        </w:rPr>
        <w:t>等重点水产品种</w:t>
      </w:r>
      <w:r>
        <w:rPr>
          <w:rFonts w:ascii="Times New Roman" w:hAnsi="Times New Roman" w:eastAsia="宋体" w:cs="Times New Roman"/>
          <w:color w:val="000000"/>
          <w:sz w:val="21"/>
          <w:szCs w:val="21"/>
        </w:rPr>
        <w:t>养殖塘实现视频感知100%覆盖，监控站点</w:t>
      </w:r>
      <w:r>
        <w:rPr>
          <w:rFonts w:hint="eastAsia" w:cs="Times New Roman"/>
          <w:color w:val="000000"/>
          <w:sz w:val="21"/>
          <w:szCs w:val="21"/>
          <w:lang w:val="en-US" w:eastAsia="zh-CN"/>
        </w:rPr>
        <w:t>非不可抗力情况下</w:t>
      </w:r>
      <w:r>
        <w:rPr>
          <w:rFonts w:ascii="Times New Roman" w:hAnsi="Times New Roman" w:eastAsia="宋体" w:cs="Times New Roman"/>
          <w:color w:val="000000"/>
          <w:sz w:val="21"/>
          <w:szCs w:val="21"/>
        </w:rPr>
        <w:t>在线率</w:t>
      </w:r>
      <w:r>
        <w:rPr>
          <w:rFonts w:hint="eastAsia" w:cs="Times New Roman"/>
          <w:color w:val="000000"/>
          <w:sz w:val="21"/>
          <w:szCs w:val="21"/>
          <w:lang w:val="en-US" w:eastAsia="zh-CN"/>
        </w:rPr>
        <w:t>100%</w:t>
      </w:r>
      <w:r>
        <w:rPr>
          <w:rFonts w:ascii="Times New Roman" w:hAnsi="Times New Roman" w:eastAsia="宋体" w:cs="Times New Roman"/>
          <w:color w:val="000000"/>
          <w:sz w:val="21"/>
          <w:szCs w:val="21"/>
        </w:rPr>
        <w:t>；</w:t>
      </w:r>
    </w:p>
    <w:p w14:paraId="0F5CFB2A">
      <w:pPr>
        <w:keepNext w:val="0"/>
        <w:keepLines w:val="0"/>
        <w:pageBreakBefore w:val="0"/>
        <w:widowControl/>
        <w:spacing w:after="0" w:line="240" w:lineRule="auto"/>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hint="eastAsia" w:cs="Times New Roman"/>
          <w:color w:val="000000"/>
          <w:sz w:val="21"/>
          <w:szCs w:val="21"/>
          <w:lang w:val="en-US" w:eastAsia="zh-CN"/>
        </w:rPr>
        <w:t>2、</w:t>
      </w:r>
      <w:r>
        <w:rPr>
          <w:rFonts w:hint="eastAsia" w:ascii="微软雅黑" w:hAnsi="微软雅黑" w:eastAsia="微软雅黑" w:cs="微软雅黑"/>
          <w:color w:val="000000"/>
          <w:sz w:val="21"/>
          <w:szCs w:val="21"/>
        </w:rPr>
        <w:t>★</w:t>
      </w:r>
      <w:r>
        <w:rPr>
          <w:rFonts w:ascii="Times New Roman" w:hAnsi="Times New Roman" w:eastAsia="宋体" w:cs="Times New Roman"/>
          <w:color w:val="000000"/>
          <w:sz w:val="21"/>
          <w:szCs w:val="21"/>
        </w:rPr>
        <w:t>智能识别：AI自动识别人员</w:t>
      </w:r>
      <w:r>
        <w:rPr>
          <w:rFonts w:hint="eastAsia" w:cs="Times New Roman"/>
          <w:color w:val="000000"/>
          <w:sz w:val="21"/>
          <w:szCs w:val="21"/>
          <w:lang w:val="en-US" w:eastAsia="zh-CN"/>
        </w:rPr>
        <w:t>聚集</w:t>
      </w:r>
      <w:r>
        <w:rPr>
          <w:rFonts w:ascii="Times New Roman" w:hAnsi="Times New Roman" w:eastAsia="宋体" w:cs="Times New Roman"/>
          <w:color w:val="000000"/>
          <w:sz w:val="21"/>
          <w:szCs w:val="21"/>
        </w:rPr>
        <w:t>、渔网、渔船、车辆</w:t>
      </w:r>
      <w:r>
        <w:rPr>
          <w:rFonts w:hint="eastAsia" w:cs="Times New Roman"/>
          <w:color w:val="000000"/>
          <w:sz w:val="21"/>
          <w:szCs w:val="21"/>
          <w:lang w:val="en-US" w:eastAsia="zh-CN"/>
        </w:rPr>
        <w:t>车牌等出塘</w:t>
      </w:r>
      <w:r>
        <w:rPr>
          <w:rFonts w:ascii="Times New Roman" w:hAnsi="Times New Roman" w:eastAsia="宋体" w:cs="Times New Roman"/>
          <w:color w:val="000000"/>
          <w:sz w:val="21"/>
          <w:szCs w:val="21"/>
        </w:rPr>
        <w:t>行为</w:t>
      </w:r>
      <w:r>
        <w:rPr>
          <w:rFonts w:hint="eastAsia" w:cs="Times New Roman"/>
          <w:color w:val="000000"/>
          <w:sz w:val="21"/>
          <w:szCs w:val="21"/>
          <w:lang w:eastAsia="zh-CN"/>
        </w:rPr>
        <w:t>。</w:t>
      </w:r>
      <w:r>
        <w:rPr>
          <w:rFonts w:hint="eastAsia" w:cs="Times New Roman"/>
          <w:color w:val="000000"/>
          <w:sz w:val="21"/>
          <w:szCs w:val="21"/>
          <w:lang w:val="en-US" w:eastAsia="zh-CN"/>
        </w:rPr>
        <w:t>对车辆车牌、出塘行为的识别及预警率不低于95%</w:t>
      </w:r>
      <w:r>
        <w:rPr>
          <w:rFonts w:ascii="Times New Roman" w:hAnsi="Times New Roman" w:eastAsia="宋体" w:cs="Times New Roman"/>
          <w:color w:val="000000"/>
          <w:sz w:val="21"/>
          <w:szCs w:val="21"/>
        </w:rPr>
        <w:t>；</w:t>
      </w:r>
    </w:p>
    <w:p w14:paraId="116ECBC4">
      <w:pPr>
        <w:keepNext w:val="0"/>
        <w:keepLines w:val="0"/>
        <w:pageBreakBefore w:val="0"/>
        <w:widowControl/>
        <w:spacing w:after="0" w:line="240" w:lineRule="auto"/>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hint="eastAsia" w:cs="Times New Roman"/>
          <w:color w:val="000000"/>
          <w:sz w:val="21"/>
          <w:szCs w:val="21"/>
          <w:lang w:val="en-US" w:eastAsia="zh-CN"/>
        </w:rPr>
        <w:t>3、</w:t>
      </w:r>
      <w:r>
        <w:rPr>
          <w:rFonts w:ascii="Times New Roman" w:hAnsi="Times New Roman" w:eastAsia="宋体" w:cs="Times New Roman"/>
          <w:color w:val="000000"/>
          <w:sz w:val="21"/>
          <w:szCs w:val="21"/>
        </w:rPr>
        <w:t>智能判定：自动</w:t>
      </w:r>
      <w:r>
        <w:rPr>
          <w:rFonts w:hint="eastAsia" w:cs="Times New Roman"/>
          <w:color w:val="000000"/>
          <w:sz w:val="21"/>
          <w:szCs w:val="21"/>
          <w:lang w:val="en-US" w:eastAsia="zh-CN"/>
        </w:rPr>
        <w:t>比对苏渔管家，</w:t>
      </w:r>
      <w:r>
        <w:rPr>
          <w:rFonts w:ascii="Times New Roman" w:hAnsi="Times New Roman" w:eastAsia="宋体" w:cs="Times New Roman"/>
          <w:color w:val="000000"/>
          <w:sz w:val="21"/>
          <w:szCs w:val="21"/>
        </w:rPr>
        <w:t>区分已报备且检测合格允许出塘、未报备 / 检测不合格自动告警；</w:t>
      </w:r>
    </w:p>
    <w:p w14:paraId="123D1C6B">
      <w:pPr>
        <w:keepNext w:val="0"/>
        <w:keepLines w:val="0"/>
        <w:pageBreakBefore w:val="0"/>
        <w:widowControl/>
        <w:spacing w:after="0" w:line="240" w:lineRule="auto"/>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hint="eastAsia" w:cs="Times New Roman"/>
          <w:color w:val="000000"/>
          <w:sz w:val="21"/>
          <w:szCs w:val="21"/>
          <w:lang w:val="en-US" w:eastAsia="zh-CN"/>
        </w:rPr>
        <w:t>4、</w:t>
      </w:r>
      <w:r>
        <w:rPr>
          <w:rFonts w:ascii="Times New Roman" w:hAnsi="Times New Roman" w:eastAsia="宋体" w:cs="Times New Roman"/>
          <w:color w:val="000000"/>
          <w:sz w:val="21"/>
          <w:szCs w:val="21"/>
        </w:rPr>
        <w:t>业务闭环：实现出塘报备、检测核验、告警派发、现场核查、结果归档全流程线上化；</w:t>
      </w:r>
    </w:p>
    <w:p w14:paraId="0F5771F4">
      <w:pPr>
        <w:keepNext w:val="0"/>
        <w:keepLines w:val="0"/>
        <w:pageBreakBefore w:val="0"/>
        <w:widowControl/>
        <w:spacing w:after="0" w:line="240" w:lineRule="auto"/>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hint="eastAsia" w:cs="Times New Roman"/>
          <w:color w:val="000000"/>
          <w:sz w:val="21"/>
          <w:szCs w:val="21"/>
          <w:lang w:val="en-US" w:eastAsia="zh-CN"/>
        </w:rPr>
        <w:t>5、</w:t>
      </w:r>
      <w:r>
        <w:rPr>
          <w:rFonts w:ascii="Times New Roman" w:hAnsi="Times New Roman" w:eastAsia="宋体" w:cs="Times New Roman"/>
          <w:color w:val="000000"/>
          <w:sz w:val="21"/>
          <w:szCs w:val="21"/>
        </w:rPr>
        <w:t>多端联动：</w:t>
      </w:r>
      <w:r>
        <w:rPr>
          <w:rFonts w:hint="eastAsia" w:cs="Times New Roman"/>
          <w:color w:val="000000"/>
          <w:sz w:val="21"/>
          <w:szCs w:val="21"/>
          <w:lang w:val="en-US" w:eastAsia="zh-CN"/>
        </w:rPr>
        <w:t>负责以在线/离线数据方式</w:t>
      </w:r>
      <w:r>
        <w:rPr>
          <w:rFonts w:ascii="Times New Roman" w:hAnsi="Times New Roman" w:eastAsia="宋体" w:cs="Times New Roman"/>
          <w:color w:val="000000"/>
          <w:sz w:val="21"/>
          <w:szCs w:val="21"/>
        </w:rPr>
        <w:t>对接苏渔管家、</w:t>
      </w:r>
      <w:r>
        <w:rPr>
          <w:rFonts w:hint="eastAsia" w:cs="Times New Roman"/>
          <w:color w:val="000000"/>
          <w:sz w:val="21"/>
          <w:szCs w:val="21"/>
          <w:lang w:val="en-US" w:eastAsia="zh-CN"/>
        </w:rPr>
        <w:t>无锡</w:t>
      </w:r>
      <w:r>
        <w:rPr>
          <w:rFonts w:ascii="Times New Roman" w:hAnsi="Times New Roman" w:eastAsia="宋体" w:cs="Times New Roman"/>
          <w:color w:val="000000"/>
          <w:sz w:val="21"/>
          <w:szCs w:val="21"/>
        </w:rPr>
        <w:t>农安通</w:t>
      </w:r>
      <w:r>
        <w:rPr>
          <w:rFonts w:hint="eastAsia" w:cs="Times New Roman"/>
          <w:color w:val="000000"/>
          <w:sz w:val="21"/>
          <w:szCs w:val="21"/>
          <w:lang w:eastAsia="zh-CN"/>
        </w:rPr>
        <w:t>、盐</w:t>
      </w:r>
      <w:r>
        <w:rPr>
          <w:rFonts w:hint="eastAsia" w:cs="Times New Roman"/>
          <w:color w:val="000000"/>
          <w:sz w:val="21"/>
          <w:szCs w:val="21"/>
          <w:lang w:val="en-US" w:eastAsia="zh-CN"/>
        </w:rPr>
        <w:t>农云</w:t>
      </w:r>
      <w:r>
        <w:rPr>
          <w:rFonts w:hint="eastAsia" w:cs="Times New Roman"/>
          <w:color w:val="000000"/>
          <w:sz w:val="21"/>
          <w:szCs w:val="21"/>
          <w:lang w:eastAsia="zh-CN"/>
        </w:rPr>
        <w:t>系统</w:t>
      </w:r>
      <w:r>
        <w:rPr>
          <w:rFonts w:hint="eastAsia" w:cs="Times New Roman"/>
          <w:color w:val="000000"/>
          <w:sz w:val="21"/>
          <w:szCs w:val="21"/>
          <w:lang w:val="en-US" w:eastAsia="zh-CN"/>
        </w:rPr>
        <w:t>等</w:t>
      </w:r>
      <w:r>
        <w:rPr>
          <w:rFonts w:ascii="Times New Roman" w:hAnsi="Times New Roman" w:eastAsia="宋体" w:cs="Times New Roman"/>
          <w:color w:val="000000"/>
          <w:sz w:val="21"/>
          <w:szCs w:val="21"/>
        </w:rPr>
        <w:t>省市</w:t>
      </w:r>
      <w:r>
        <w:rPr>
          <w:rFonts w:hint="eastAsia" w:cs="Times New Roman"/>
          <w:color w:val="000000"/>
          <w:sz w:val="21"/>
          <w:szCs w:val="21"/>
          <w:lang w:val="en-US" w:eastAsia="zh-CN"/>
        </w:rPr>
        <w:t>相关</w:t>
      </w:r>
      <w:r>
        <w:rPr>
          <w:rFonts w:ascii="Times New Roman" w:hAnsi="Times New Roman" w:eastAsia="宋体" w:cs="Times New Roman"/>
          <w:color w:val="000000"/>
          <w:sz w:val="21"/>
          <w:szCs w:val="21"/>
        </w:rPr>
        <w:t>农产品质量安全监管平台</w:t>
      </w:r>
      <w:r>
        <w:rPr>
          <w:rFonts w:hint="eastAsia" w:cs="Times New Roman"/>
          <w:color w:val="000000"/>
          <w:sz w:val="21"/>
          <w:szCs w:val="21"/>
          <w:lang w:val="en-US" w:eastAsia="zh-CN"/>
        </w:rPr>
        <w:t>报备信息，即时比对，并将疑似违规出塘行为推送给相关地方农业农村局</w:t>
      </w:r>
      <w:r>
        <w:rPr>
          <w:rFonts w:ascii="Times New Roman" w:hAnsi="Times New Roman" w:eastAsia="宋体" w:cs="Times New Roman"/>
          <w:color w:val="000000"/>
          <w:sz w:val="21"/>
          <w:szCs w:val="21"/>
        </w:rPr>
        <w:t>；</w:t>
      </w:r>
    </w:p>
    <w:p w14:paraId="0864E043">
      <w:pPr>
        <w:keepNext w:val="0"/>
        <w:keepLines w:val="0"/>
        <w:pageBreakBefore w:val="0"/>
        <w:widowControl/>
        <w:spacing w:after="0" w:line="240" w:lineRule="auto"/>
        <w:ind w:left="0" w:hanging="1"/>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hint="eastAsia" w:cs="Times New Roman"/>
          <w:color w:val="000000"/>
          <w:sz w:val="21"/>
          <w:szCs w:val="21"/>
          <w:lang w:val="en-US" w:eastAsia="zh-CN"/>
        </w:rPr>
        <w:t>6、</w:t>
      </w:r>
      <w:r>
        <w:rPr>
          <w:rFonts w:ascii="Times New Roman" w:hAnsi="Times New Roman" w:eastAsia="宋体" w:cs="Times New Roman"/>
          <w:color w:val="000000"/>
          <w:sz w:val="21"/>
          <w:szCs w:val="21"/>
        </w:rPr>
        <w:t>安全合规：按照政务信息化行业安全规范建设，落实传输存储安全、操作安全审计、数据分级管控、敏感数据不出域、访问权限隔离等安全合规要求，适配行业监管与三年运维安全运行标准。</w:t>
      </w:r>
    </w:p>
    <w:p w14:paraId="7DE13D7C">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rPr>
      </w:pPr>
      <w:r>
        <w:rPr>
          <w:rFonts w:hint="eastAsia" w:cs="Times New Roman"/>
          <w:b/>
          <w:color w:val="000000"/>
          <w:sz w:val="21"/>
          <w:szCs w:val="21"/>
          <w:lang w:val="en-US" w:eastAsia="zh-CN"/>
        </w:rPr>
        <w:t>四 、项目实施</w:t>
      </w:r>
      <w:r>
        <w:rPr>
          <w:rFonts w:ascii="Times New Roman" w:hAnsi="Times New Roman" w:eastAsia="宋体" w:cs="Times New Roman"/>
          <w:b/>
          <w:color w:val="000000"/>
          <w:sz w:val="21"/>
          <w:szCs w:val="21"/>
        </w:rPr>
        <w:t>原则</w:t>
      </w:r>
    </w:p>
    <w:p w14:paraId="77080242">
      <w:pPr>
        <w:keepNext w:val="0"/>
        <w:keepLines w:val="0"/>
        <w:pageBreakBefore w:val="0"/>
        <w:widowControl/>
        <w:spacing w:after="0" w:line="240" w:lineRule="auto"/>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统筹规划、集约共建、技术先进、兼容扩展、安全可控、运维长效、标准规范。</w:t>
      </w:r>
    </w:p>
    <w:p w14:paraId="0AFDDDE5">
      <w:pPr>
        <w:keepNext w:val="0"/>
        <w:keepLines w:val="0"/>
        <w:pageBreakBefore w:val="0"/>
        <w:widowControl/>
        <w:spacing w:after="0" w:line="240" w:lineRule="auto"/>
        <w:jc w:val="left"/>
        <w:outlineLvl w:val="9"/>
        <w:rPr>
          <w:rFonts w:hint="eastAsia" w:cs="Times New Roman"/>
          <w:b/>
          <w:color w:val="000000"/>
          <w:sz w:val="21"/>
          <w:szCs w:val="21"/>
          <w:lang w:val="en-US" w:eastAsia="zh-CN"/>
        </w:rPr>
      </w:pPr>
      <w:r>
        <w:rPr>
          <w:rFonts w:hint="eastAsia" w:cs="Times New Roman"/>
          <w:b/>
          <w:color w:val="000000"/>
          <w:sz w:val="21"/>
          <w:szCs w:val="21"/>
          <w:lang w:val="en-US" w:eastAsia="zh-CN"/>
        </w:rPr>
        <w:t>五  、服务要求</w:t>
      </w:r>
    </w:p>
    <w:p w14:paraId="03E324D4">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rPr>
      </w:pPr>
      <w:r>
        <w:rPr>
          <w:rFonts w:hint="eastAsia" w:cs="Times New Roman"/>
          <w:b/>
          <w:color w:val="000000"/>
          <w:sz w:val="21"/>
          <w:szCs w:val="21"/>
          <w:lang w:val="en-US" w:eastAsia="zh-CN"/>
        </w:rPr>
        <w:t>（一）</w:t>
      </w:r>
      <w:r>
        <w:rPr>
          <w:rFonts w:ascii="Times New Roman" w:hAnsi="Times New Roman" w:eastAsia="宋体" w:cs="Times New Roman"/>
          <w:b/>
          <w:color w:val="000000"/>
          <w:sz w:val="21"/>
          <w:szCs w:val="21"/>
        </w:rPr>
        <w:t>总体技术要求</w:t>
      </w:r>
    </w:p>
    <w:p w14:paraId="3C5F0099">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架构要求：</w:t>
      </w:r>
      <w:r>
        <w:rPr>
          <w:rFonts w:hint="eastAsia" w:ascii="Times New Roman" w:hAnsi="Times New Roman" w:eastAsia="宋体" w:cs="Times New Roman"/>
          <w:color w:val="000000"/>
          <w:sz w:val="21"/>
          <w:szCs w:val="21"/>
        </w:rPr>
        <w:t xml:space="preserve">整体采用边缘终端 </w:t>
      </w:r>
      <w:r>
        <w:rPr>
          <w:rFonts w:hint="eastAsia" w:ascii="Times New Roman" w:hAnsi="Times New Roman" w:eastAsia="宋体" w:cs="Times New Roman"/>
          <w:color w:val="000000"/>
          <w:sz w:val="21"/>
          <w:szCs w:val="21"/>
        </w:rPr>
        <w:noBreakHyphen/>
      </w:r>
      <w:r>
        <w:rPr>
          <w:rFonts w:hint="eastAsia" w:ascii="Times New Roman" w:hAnsi="Times New Roman" w:eastAsia="宋体" w:cs="Times New Roman"/>
          <w:color w:val="000000"/>
          <w:sz w:val="21"/>
          <w:szCs w:val="21"/>
        </w:rPr>
        <w:t xml:space="preserve">数据传输 </w:t>
      </w:r>
      <w:r>
        <w:rPr>
          <w:rFonts w:hint="eastAsia" w:ascii="Times New Roman" w:hAnsi="Times New Roman" w:eastAsia="宋体" w:cs="Times New Roman"/>
          <w:color w:val="000000"/>
          <w:sz w:val="21"/>
          <w:szCs w:val="21"/>
        </w:rPr>
        <w:noBreakHyphen/>
      </w:r>
      <w:r>
        <w:rPr>
          <w:rFonts w:hint="eastAsia" w:ascii="Times New Roman" w:hAnsi="Times New Roman" w:eastAsia="宋体" w:cs="Times New Roman"/>
          <w:color w:val="000000"/>
          <w:sz w:val="21"/>
          <w:szCs w:val="21"/>
        </w:rPr>
        <w:t xml:space="preserve">平台分析决策 </w:t>
      </w:r>
      <w:r>
        <w:rPr>
          <w:rFonts w:hint="eastAsia" w:ascii="Times New Roman" w:hAnsi="Times New Roman" w:eastAsia="宋体" w:cs="Times New Roman"/>
          <w:color w:val="000000"/>
          <w:sz w:val="21"/>
          <w:szCs w:val="21"/>
        </w:rPr>
        <w:noBreakHyphen/>
      </w:r>
      <w:r>
        <w:rPr>
          <w:rFonts w:hint="eastAsia" w:ascii="Times New Roman" w:hAnsi="Times New Roman" w:eastAsia="宋体" w:cs="Times New Roman"/>
          <w:color w:val="000000"/>
          <w:sz w:val="21"/>
          <w:szCs w:val="21"/>
        </w:rPr>
        <w:t xml:space="preserve">调度指挥应用四层云 </w:t>
      </w:r>
      <w:r>
        <w:rPr>
          <w:rFonts w:hint="eastAsia" w:ascii="Times New Roman" w:hAnsi="Times New Roman" w:eastAsia="宋体" w:cs="Times New Roman"/>
          <w:color w:val="000000"/>
          <w:sz w:val="21"/>
          <w:szCs w:val="21"/>
        </w:rPr>
        <w:noBreakHyphen/>
      </w:r>
      <w:r>
        <w:rPr>
          <w:rFonts w:hint="eastAsia" w:ascii="Times New Roman" w:hAnsi="Times New Roman" w:eastAsia="宋体" w:cs="Times New Roman"/>
          <w:color w:val="000000"/>
          <w:sz w:val="21"/>
          <w:szCs w:val="21"/>
        </w:rPr>
        <w:t xml:space="preserve">边 </w:t>
      </w:r>
      <w:r>
        <w:rPr>
          <w:rFonts w:hint="eastAsia" w:ascii="Times New Roman" w:hAnsi="Times New Roman" w:eastAsia="宋体" w:cs="Times New Roman"/>
          <w:color w:val="000000"/>
          <w:sz w:val="21"/>
          <w:szCs w:val="21"/>
        </w:rPr>
        <w:noBreakHyphen/>
      </w:r>
      <w:r>
        <w:rPr>
          <w:rFonts w:hint="eastAsia" w:ascii="Times New Roman" w:hAnsi="Times New Roman" w:eastAsia="宋体" w:cs="Times New Roman"/>
          <w:color w:val="000000"/>
          <w:sz w:val="21"/>
          <w:szCs w:val="21"/>
        </w:rPr>
        <w:t>端协同架构；边缘终端完成鳊鱼</w:t>
      </w:r>
      <w:r>
        <w:rPr>
          <w:rFonts w:hint="eastAsia" w:cs="Times New Roman"/>
          <w:color w:val="000000"/>
          <w:sz w:val="21"/>
          <w:szCs w:val="21"/>
          <w:lang w:val="en-US" w:eastAsia="zh-CN"/>
        </w:rPr>
        <w:t>等重点水产品种</w:t>
      </w:r>
      <w:r>
        <w:rPr>
          <w:rFonts w:hint="eastAsia" w:ascii="Times New Roman" w:hAnsi="Times New Roman" w:eastAsia="宋体" w:cs="Times New Roman"/>
          <w:color w:val="000000"/>
          <w:sz w:val="21"/>
          <w:szCs w:val="21"/>
        </w:rPr>
        <w:t>出塘行为实时AI推理；后端云平台接收边缘回传告警截图、视频片段、结构化事件，</w:t>
      </w:r>
      <w:r>
        <w:rPr>
          <w:rFonts w:hint="eastAsia" w:cs="Times New Roman"/>
          <w:color w:val="000000"/>
          <w:sz w:val="21"/>
          <w:szCs w:val="21"/>
          <w:lang w:val="en-US" w:eastAsia="zh-CN"/>
        </w:rPr>
        <w:t>实现</w:t>
      </w:r>
      <w:r>
        <w:rPr>
          <w:rFonts w:hint="eastAsia" w:ascii="Times New Roman" w:hAnsi="Times New Roman" w:eastAsia="宋体" w:cs="Times New Roman"/>
          <w:color w:val="000000"/>
          <w:sz w:val="21"/>
          <w:szCs w:val="21"/>
        </w:rPr>
        <w:t>多模态证据链复核、业务流转、告警闭环处置</w:t>
      </w:r>
      <w:r>
        <w:rPr>
          <w:rFonts w:hint="eastAsia" w:cs="Times New Roman"/>
          <w:color w:val="000000"/>
          <w:sz w:val="21"/>
          <w:szCs w:val="21"/>
          <w:lang w:val="en-US" w:eastAsia="zh-CN"/>
        </w:rPr>
        <w:t>；</w:t>
      </w:r>
    </w:p>
    <w:p w14:paraId="246F4E44">
      <w:pPr>
        <w:keepNext w:val="0"/>
        <w:keepLines w:val="0"/>
        <w:pageBreakBefore w:val="0"/>
        <w:widowControl/>
        <w:spacing w:after="0" w:line="240" w:lineRule="auto"/>
        <w:jc w:val="left"/>
        <w:outlineLvl w:val="9"/>
      </w:pPr>
      <w:r>
        <w:rPr>
          <w:rFonts w:ascii="Times New Roman" w:hAnsi="Times New Roman" w:eastAsia="宋体" w:cs="Times New Roman"/>
          <w:color w:val="000000"/>
          <w:sz w:val="21"/>
          <w:szCs w:val="21"/>
          <w:highlight w:val="none"/>
        </w:rPr>
        <w:t xml:space="preserve">    点位部署：采用</w:t>
      </w:r>
      <w:r>
        <w:rPr>
          <w:rFonts w:hint="eastAsia" w:cs="Times New Roman"/>
          <w:color w:val="000000"/>
          <w:sz w:val="21"/>
          <w:szCs w:val="21"/>
          <w:highlight w:val="none"/>
          <w:lang w:val="en-US" w:eastAsia="zh-CN"/>
        </w:rPr>
        <w:t>不低于5</w:t>
      </w:r>
      <w:r>
        <w:rPr>
          <w:rFonts w:ascii="Times New Roman" w:hAnsi="Times New Roman" w:eastAsia="宋体" w:cs="Times New Roman"/>
          <w:color w:val="000000"/>
          <w:sz w:val="21"/>
          <w:szCs w:val="21"/>
          <w:highlight w:val="none"/>
        </w:rPr>
        <w:t>米</w:t>
      </w:r>
      <w:r>
        <w:rPr>
          <w:rFonts w:hint="eastAsia" w:cs="Times New Roman"/>
          <w:color w:val="000000"/>
          <w:sz w:val="21"/>
          <w:szCs w:val="21"/>
          <w:highlight w:val="none"/>
          <w:lang w:val="en-US" w:eastAsia="zh-CN"/>
        </w:rPr>
        <w:t>的</w:t>
      </w:r>
      <w:r>
        <w:rPr>
          <w:rFonts w:ascii="Times New Roman" w:hAnsi="Times New Roman" w:eastAsia="宋体" w:cs="Times New Roman"/>
          <w:color w:val="000000"/>
          <w:sz w:val="21"/>
          <w:szCs w:val="21"/>
          <w:highlight w:val="none"/>
        </w:rPr>
        <w:t>挑高球机高点覆盖，大塘口</w:t>
      </w:r>
      <w:r>
        <w:rPr>
          <w:rFonts w:hint="eastAsia" w:cs="Times New Roman"/>
          <w:color w:val="000000"/>
          <w:sz w:val="21"/>
          <w:szCs w:val="21"/>
          <w:highlight w:val="none"/>
          <w:lang w:eastAsia="zh-CN"/>
        </w:rPr>
        <w:t>、</w:t>
      </w:r>
      <w:r>
        <w:rPr>
          <w:rFonts w:ascii="Times New Roman" w:hAnsi="Times New Roman" w:eastAsia="宋体" w:cs="Times New Roman"/>
          <w:color w:val="000000"/>
          <w:sz w:val="21"/>
          <w:szCs w:val="21"/>
          <w:highlight w:val="none"/>
        </w:rPr>
        <w:t>集中养殖区</w:t>
      </w:r>
      <w:r>
        <w:rPr>
          <w:rFonts w:hint="eastAsia" w:cs="Times New Roman"/>
          <w:color w:val="000000"/>
          <w:sz w:val="21"/>
          <w:szCs w:val="21"/>
          <w:highlight w:val="none"/>
          <w:lang w:val="en-US" w:eastAsia="zh-CN"/>
        </w:rPr>
        <w:t>关键</w:t>
      </w:r>
      <w:r>
        <w:rPr>
          <w:rFonts w:ascii="Times New Roman" w:hAnsi="Times New Roman" w:eastAsia="宋体" w:cs="Times New Roman"/>
          <w:color w:val="000000"/>
          <w:sz w:val="21"/>
          <w:szCs w:val="21"/>
          <w:highlight w:val="none"/>
        </w:rPr>
        <w:t>出入口增设车牌抓拍，</w:t>
      </w:r>
      <w:r>
        <w:rPr>
          <w:rFonts w:hint="eastAsia" w:cs="Times New Roman"/>
          <w:color w:val="000000"/>
          <w:sz w:val="21"/>
          <w:szCs w:val="21"/>
          <w:highlight w:val="none"/>
          <w:lang w:val="en-US" w:eastAsia="zh-CN"/>
        </w:rPr>
        <w:t>全域科学合理</w:t>
      </w:r>
      <w:r>
        <w:rPr>
          <w:rFonts w:ascii="Times New Roman" w:hAnsi="Times New Roman" w:eastAsia="宋体" w:cs="Times New Roman"/>
          <w:color w:val="000000"/>
          <w:sz w:val="21"/>
          <w:szCs w:val="21"/>
          <w:highlight w:val="none"/>
        </w:rPr>
        <w:t>部署无人机补盲；</w:t>
      </w:r>
    </w:p>
    <w:p w14:paraId="48964E33">
      <w:pPr>
        <w:keepNext w:val="0"/>
        <w:keepLines w:val="0"/>
        <w:pageBreakBefore w:val="0"/>
        <w:widowControl/>
        <w:spacing w:after="0" w:line="240" w:lineRule="auto"/>
        <w:jc w:val="left"/>
        <w:outlineLvl w:val="9"/>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    组网要求：采用有线千兆交换机 + 室外无线网桥</w:t>
      </w:r>
      <w:r>
        <w:rPr>
          <w:rFonts w:hint="eastAsia" w:cs="Times New Roman"/>
          <w:color w:val="000000"/>
          <w:sz w:val="21"/>
          <w:szCs w:val="21"/>
          <w:highlight w:val="none"/>
          <w:lang w:val="en-US" w:eastAsia="zh-CN"/>
        </w:rPr>
        <w:t>/专网专线</w:t>
      </w:r>
      <w:r>
        <w:rPr>
          <w:rFonts w:ascii="Times New Roman" w:hAnsi="Times New Roman" w:eastAsia="宋体" w:cs="Times New Roman"/>
          <w:color w:val="000000"/>
          <w:sz w:val="21"/>
          <w:szCs w:val="21"/>
          <w:highlight w:val="none"/>
        </w:rPr>
        <w:t xml:space="preserve"> + 核心汇聚交换机混合组网；</w:t>
      </w:r>
    </w:p>
    <w:p w14:paraId="1C7F24CE">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运行指标：视频传输延迟≤3 秒，视频录像存储时长≥30 天，前端设备适应野外高湿、雷雨、宽温环境，7×24 小时稳定运行；</w:t>
      </w:r>
    </w:p>
    <w:p w14:paraId="47FA72E5">
      <w:pPr>
        <w:keepNext w:val="0"/>
        <w:keepLines w:val="0"/>
        <w:pageBreakBefore w:val="0"/>
        <w:widowControl/>
        <w:spacing w:after="0" w:line="240" w:lineRule="auto"/>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平台能力：支持AutoML和模型训练、版本管理工作流智能编排</w:t>
      </w:r>
      <w:r>
        <w:rPr>
          <w:rFonts w:hint="eastAsia"/>
          <w:color w:val="000000"/>
          <w:szCs w:val="21"/>
        </w:rPr>
        <w:t>、模型训练与调优</w:t>
      </w:r>
      <w:r>
        <w:rPr>
          <w:rFonts w:hint="eastAsia" w:ascii="Times New Roman" w:hAnsi="Times New Roman" w:eastAsia="宋体" w:cs="Times New Roman"/>
          <w:color w:val="000000"/>
          <w:sz w:val="21"/>
          <w:szCs w:val="21"/>
        </w:rPr>
        <w:t>、AI算法包远程OTA下发</w:t>
      </w:r>
      <w:r>
        <w:rPr>
          <w:rFonts w:ascii="Times New Roman" w:hAnsi="Times New Roman" w:eastAsia="宋体" w:cs="Times New Roman"/>
          <w:color w:val="000000"/>
          <w:sz w:val="21"/>
          <w:szCs w:val="21"/>
        </w:rPr>
        <w:t>、RAG 知识问答、GIS一张图、大屏决策展示；具备良好业务扩展与数据兼容能力，预留科学养鱼、水质溯源等后续业务数据标准接入接口，支持多业态业务模块无缝扩容、平滑升级，无需重构底层架构；</w:t>
      </w:r>
    </w:p>
    <w:p w14:paraId="2D9B2EBD">
      <w:pPr>
        <w:keepNext w:val="0"/>
        <w:keepLines w:val="0"/>
        <w:pageBreakBefore w:val="0"/>
        <w:widowControl/>
        <w:spacing w:after="0" w:line="240" w:lineRule="auto"/>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权限要求：平台采用分权分域、RBAC 细粒度权限，市、县、乡镇各级账号仅可管辖所属塘口，越权访问自动拦截；</w:t>
      </w:r>
    </w:p>
    <w:p w14:paraId="52AE2E3A">
      <w:pPr>
        <w:keepNext w:val="0"/>
        <w:keepLines w:val="0"/>
        <w:pageBreakBefore w:val="0"/>
        <w:widowControl/>
        <w:spacing w:after="0" w:line="240" w:lineRule="auto"/>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对接要求：采用标准协议及加密接口，实现与苏渔管家小程序、无锡农安通 APP、省市监管平台双向数据互通、告警实时推送</w:t>
      </w:r>
    </w:p>
    <w:p w14:paraId="0C036C44">
      <w:pPr>
        <w:keepNext w:val="0"/>
        <w:keepLines w:val="0"/>
        <w:pageBreakBefore w:val="0"/>
        <w:widowControl/>
        <w:spacing w:after="0" w:line="240" w:lineRule="auto"/>
        <w:ind w:firstLine="420"/>
        <w:jc w:val="left"/>
        <w:outlineLvl w:val="9"/>
        <w:rPr>
          <w:rFonts w:hint="eastAsia" w:cs="Times New Roman"/>
          <w:color w:val="000000"/>
          <w:sz w:val="21"/>
          <w:szCs w:val="21"/>
          <w:lang w:val="en-US" w:eastAsia="zh-CN"/>
        </w:rPr>
      </w:pPr>
      <w:r>
        <w:rPr>
          <w:rFonts w:ascii="Times New Roman" w:hAnsi="Times New Roman" w:eastAsia="宋体" w:cs="Times New Roman"/>
          <w:color w:val="000000"/>
          <w:sz w:val="21"/>
          <w:szCs w:val="21"/>
        </w:rPr>
        <w:t>安全要求：整体方案按“网络安全等级保护2.0</w:t>
      </w:r>
      <w:r>
        <w:rPr>
          <w:rFonts w:hint="eastAsia" w:cs="Times New Roman"/>
          <w:color w:val="000000"/>
          <w:sz w:val="21"/>
          <w:szCs w:val="21"/>
          <w:lang w:val="en-US" w:eastAsia="zh-CN"/>
        </w:rPr>
        <w:t>三</w:t>
      </w:r>
      <w:r>
        <w:rPr>
          <w:rFonts w:ascii="Times New Roman" w:hAnsi="Times New Roman" w:eastAsia="宋体" w:cs="Times New Roman"/>
          <w:color w:val="000000"/>
          <w:sz w:val="21"/>
          <w:szCs w:val="21"/>
        </w:rPr>
        <w:t>级”标准规划设计，</w:t>
      </w:r>
      <w:r>
        <w:rPr>
          <w:rFonts w:hint="eastAsia"/>
          <w:color w:val="000000"/>
          <w:szCs w:val="21"/>
        </w:rPr>
        <w:t>配置国产化下一代视频防火墙，满足视频安全增强 II 级防护，</w:t>
      </w:r>
      <w:r>
        <w:rPr>
          <w:rFonts w:ascii="Times New Roman" w:hAnsi="Times New Roman" w:eastAsia="宋体" w:cs="Times New Roman"/>
          <w:color w:val="000000"/>
          <w:sz w:val="21"/>
          <w:szCs w:val="21"/>
        </w:rPr>
        <w:t>身份认证和权限满足安全管控要求，传输采用 TLS1.3 加密、存储采用 AES-256 加密，完整操作审计日志留存≥180 天。</w:t>
      </w:r>
      <w:r>
        <w:rPr>
          <w:rFonts w:hint="eastAsia" w:ascii="Times New Roman" w:hAnsi="Times New Roman" w:eastAsia="宋体" w:cs="Times New Roman"/>
          <w:color w:val="000000"/>
          <w:sz w:val="21"/>
          <w:szCs w:val="21"/>
          <w:lang w:val="en-US" w:eastAsia="zh-CN"/>
        </w:rPr>
        <w:t>服务要求：提供不低于监控点位总数</w:t>
      </w:r>
      <w:r>
        <w:rPr>
          <w:rFonts w:hint="eastAsia" w:cs="Times New Roman"/>
          <w:color w:val="000000"/>
          <w:sz w:val="21"/>
          <w:szCs w:val="21"/>
          <w:lang w:val="en-US" w:eastAsia="zh-CN"/>
        </w:rPr>
        <w:t>30</w:t>
      </w:r>
      <w:r>
        <w:rPr>
          <w:rFonts w:hint="eastAsia" w:ascii="Times New Roman" w:hAnsi="Times New Roman" w:eastAsia="宋体" w:cs="Times New Roman"/>
          <w:color w:val="000000"/>
          <w:sz w:val="21"/>
          <w:szCs w:val="21"/>
          <w:lang w:val="en-US" w:eastAsia="zh-CN"/>
        </w:rPr>
        <w:t>%的移机服务；实行7×24小时技术值守，故障限时响应处置；支持AI算法包远程OTA推送至边缘终端迭代升级；</w:t>
      </w:r>
    </w:p>
    <w:p w14:paraId="5A52BB3C">
      <w:pPr>
        <w:keepNext w:val="0"/>
        <w:keepLines w:val="0"/>
        <w:pageBreakBefore w:val="0"/>
        <w:widowControl/>
        <w:spacing w:after="0" w:line="240" w:lineRule="auto"/>
        <w:ind w:left="-2" w:firstLine="420"/>
        <w:jc w:val="left"/>
        <w:outlineLvl w:val="9"/>
        <w:rPr>
          <w:rFonts w:cs="Times New Roman"/>
          <w:color w:val="000000"/>
          <w:sz w:val="21"/>
          <w:szCs w:val="21"/>
          <w:lang w:val="en-US" w:eastAsia="zh-CN"/>
        </w:rPr>
      </w:pPr>
      <w:r>
        <w:rPr>
          <w:rFonts w:ascii="Times New Roman" w:hAnsi="Times New Roman" w:eastAsia="宋体" w:cs="Times New Roman"/>
          <w:color w:val="000000"/>
          <w:sz w:val="21"/>
          <w:szCs w:val="21"/>
        </w:rPr>
        <w:t>按月提供</w:t>
      </w:r>
      <w:r>
        <w:rPr>
          <w:rFonts w:hint="eastAsia" w:cs="Times New Roman"/>
          <w:color w:val="000000"/>
          <w:sz w:val="21"/>
          <w:szCs w:val="21"/>
          <w:lang w:val="en-US" w:eastAsia="zh-CN"/>
        </w:rPr>
        <w:t>正式</w:t>
      </w:r>
      <w:r>
        <w:rPr>
          <w:rFonts w:ascii="Times New Roman" w:hAnsi="Times New Roman" w:eastAsia="宋体" w:cs="Times New Roman"/>
          <w:color w:val="000000"/>
          <w:sz w:val="21"/>
          <w:szCs w:val="21"/>
        </w:rPr>
        <w:t>用印版预警调度的内容报告，若无，则按照零报告上报。</w:t>
      </w:r>
    </w:p>
    <w:p w14:paraId="3C0CA4ED">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rPr>
      </w:pPr>
      <w:r>
        <w:rPr>
          <w:rFonts w:hint="eastAsia" w:cs="Times New Roman"/>
          <w:b/>
          <w:color w:val="000000"/>
          <w:sz w:val="21"/>
          <w:szCs w:val="21"/>
          <w:lang w:val="en-US" w:eastAsia="zh-CN"/>
        </w:rPr>
        <w:t>（二）</w:t>
      </w:r>
      <w:r>
        <w:rPr>
          <w:rFonts w:ascii="Times New Roman" w:hAnsi="Times New Roman" w:eastAsia="宋体" w:cs="Times New Roman"/>
          <w:b/>
          <w:color w:val="000000"/>
          <w:sz w:val="21"/>
          <w:szCs w:val="21"/>
        </w:rPr>
        <w:t>软件平台</w:t>
      </w:r>
      <w:r>
        <w:rPr>
          <w:rFonts w:hint="eastAsia" w:cs="Times New Roman"/>
          <w:b/>
          <w:color w:val="000000"/>
          <w:sz w:val="21"/>
          <w:szCs w:val="21"/>
          <w:lang w:val="en-US" w:eastAsia="zh-CN"/>
        </w:rPr>
        <w:t>要求</w:t>
      </w:r>
    </w:p>
    <w:p w14:paraId="66E880CF">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rPr>
      </w:pPr>
      <w:r>
        <w:rPr>
          <w:rFonts w:hint="eastAsia" w:cs="Times New Roman"/>
          <w:b/>
          <w:color w:val="000000"/>
          <w:sz w:val="21"/>
          <w:szCs w:val="21"/>
          <w:lang w:val="en-US" w:eastAsia="zh-CN"/>
        </w:rPr>
        <w:t>1、</w:t>
      </w:r>
      <w:r>
        <w:rPr>
          <w:rFonts w:ascii="Times New Roman" w:hAnsi="Times New Roman" w:eastAsia="宋体" w:cs="Times New Roman"/>
          <w:b/>
          <w:color w:val="000000"/>
          <w:sz w:val="21"/>
          <w:szCs w:val="21"/>
        </w:rPr>
        <w:t>智能目标识别与智慧预警平台</w:t>
      </w:r>
    </w:p>
    <w:p w14:paraId="5D669297">
      <w:pPr>
        <w:keepNext w:val="0"/>
        <w:keepLines w:val="0"/>
        <w:pageBreakBefore w:val="0"/>
        <w:widowControl/>
        <w:spacing w:after="0" w:line="240" w:lineRule="auto"/>
        <w:jc w:val="left"/>
        <w:outlineLvl w:val="9"/>
        <w:rPr>
          <w:rFonts w:hint="default" w:ascii="Times New Roman" w:hAnsi="Times New Roman" w:eastAsia="宋体" w:cs="Times New Roman"/>
          <w:b w:val="0"/>
          <w:bCs/>
          <w:color w:val="000000"/>
          <w:sz w:val="21"/>
          <w:szCs w:val="21"/>
          <w:lang w:val="en-US" w:eastAsia="zh-CN"/>
        </w:rPr>
      </w:pPr>
      <w:r>
        <w:rPr>
          <w:rFonts w:ascii="Times New Roman" w:hAnsi="Times New Roman" w:eastAsia="宋体" w:cs="Times New Roman"/>
          <w:b w:val="0"/>
          <w:bCs/>
          <w:color w:val="000000"/>
          <w:sz w:val="21"/>
          <w:szCs w:val="21"/>
          <w:lang w:val="en-US" w:eastAsia="zh-CN"/>
        </w:rPr>
        <w:t xml:space="preserve">    智能算法平台：</w:t>
      </w:r>
      <w:r>
        <w:rPr>
          <w:rFonts w:hint="eastAsia"/>
          <w:bCs/>
          <w:color w:val="000000"/>
          <w:szCs w:val="21"/>
        </w:rPr>
        <w:t>算法包可远程下发至边缘终端本地推理；后端</w:t>
      </w:r>
      <w:r>
        <w:rPr>
          <w:rFonts w:hint="eastAsia"/>
          <w:bCs/>
          <w:color w:val="000000"/>
          <w:szCs w:val="21"/>
          <w:lang w:val="en-US" w:eastAsia="zh-CN"/>
        </w:rPr>
        <w:t>实现</w:t>
      </w:r>
      <w:r>
        <w:rPr>
          <w:rFonts w:hint="eastAsia"/>
          <w:bCs/>
          <w:color w:val="000000"/>
          <w:szCs w:val="21"/>
        </w:rPr>
        <w:t>多模态证据链复核</w:t>
      </w:r>
      <w:r>
        <w:rPr>
          <w:rFonts w:ascii="Times New Roman" w:hAnsi="Times New Roman" w:eastAsia="宋体" w:cs="Times New Roman"/>
          <w:b w:val="0"/>
          <w:bCs/>
          <w:color w:val="000000"/>
          <w:sz w:val="21"/>
          <w:szCs w:val="21"/>
          <w:lang w:val="en-US" w:eastAsia="zh-CN"/>
        </w:rPr>
        <w:t>；</w:t>
      </w:r>
      <w:r>
        <w:rPr>
          <w:rFonts w:hint="eastAsia" w:cs="Times New Roman"/>
          <w:b w:val="0"/>
          <w:bCs/>
          <w:color w:val="000000"/>
          <w:sz w:val="21"/>
          <w:szCs w:val="21"/>
          <w:lang w:val="en-US" w:eastAsia="zh-CN"/>
        </w:rPr>
        <w:t>支持算法优化迭代；</w:t>
      </w:r>
    </w:p>
    <w:p w14:paraId="086DD028">
      <w:pPr>
        <w:keepNext w:val="0"/>
        <w:keepLines w:val="0"/>
        <w:pageBreakBefore w:val="0"/>
        <w:widowControl/>
        <w:spacing w:after="0" w:line="240" w:lineRule="auto"/>
        <w:jc w:val="left"/>
        <w:outlineLvl w:val="9"/>
        <w:rPr>
          <w:rFonts w:ascii="Times New Roman" w:hAnsi="Times New Roman" w:eastAsia="宋体" w:cs="Times New Roman"/>
          <w:b w:val="0"/>
          <w:bCs/>
          <w:color w:val="000000"/>
          <w:sz w:val="21"/>
          <w:szCs w:val="21"/>
          <w:lang w:val="en-US" w:eastAsia="zh-CN"/>
        </w:rPr>
      </w:pPr>
      <w:r>
        <w:rPr>
          <w:rFonts w:ascii="Times New Roman" w:hAnsi="Times New Roman" w:eastAsia="宋体" w:cs="Times New Roman"/>
          <w:b w:val="0"/>
          <w:bCs/>
          <w:color w:val="000000"/>
          <w:sz w:val="21"/>
          <w:szCs w:val="21"/>
          <w:lang w:val="en-US" w:eastAsia="zh-CN"/>
        </w:rPr>
        <w:t xml:space="preserve">    模型资产中心：版本控制、灰度发布、性能监控、自动重训；</w:t>
      </w:r>
    </w:p>
    <w:p w14:paraId="14711BE0">
      <w:pPr>
        <w:keepNext w:val="0"/>
        <w:keepLines w:val="0"/>
        <w:pageBreakBefore w:val="0"/>
        <w:widowControl/>
        <w:spacing w:after="0" w:line="240" w:lineRule="auto"/>
        <w:jc w:val="left"/>
        <w:outlineLvl w:val="9"/>
        <w:rPr>
          <w:rFonts w:ascii="Times New Roman" w:hAnsi="Times New Roman" w:eastAsia="宋体" w:cs="Times New Roman"/>
          <w:b w:val="0"/>
          <w:bCs/>
          <w:color w:val="000000"/>
          <w:sz w:val="21"/>
          <w:szCs w:val="21"/>
          <w:lang w:val="en-US" w:eastAsia="zh-CN"/>
        </w:rPr>
      </w:pPr>
      <w:r>
        <w:rPr>
          <w:rFonts w:ascii="Times New Roman" w:hAnsi="Times New Roman" w:eastAsia="宋体" w:cs="Times New Roman"/>
          <w:b w:val="0"/>
          <w:bCs/>
          <w:color w:val="000000"/>
          <w:sz w:val="21"/>
          <w:szCs w:val="21"/>
          <w:lang w:val="en-US" w:eastAsia="zh-CN"/>
        </w:rPr>
        <w:t xml:space="preserve">    模型服务引擎：边缘 / 云端智能路由、弹性伸缩推理；</w:t>
      </w:r>
    </w:p>
    <w:p w14:paraId="4C0B0CAD">
      <w:pPr>
        <w:keepNext w:val="0"/>
        <w:keepLines w:val="0"/>
        <w:pageBreakBefore w:val="0"/>
        <w:widowControl/>
        <w:spacing w:after="0" w:line="240" w:lineRule="auto"/>
        <w:jc w:val="left"/>
        <w:outlineLvl w:val="9"/>
        <w:rPr>
          <w:rFonts w:ascii="Times New Roman" w:hAnsi="Times New Roman" w:eastAsia="宋体" w:cs="Times New Roman"/>
          <w:b w:val="0"/>
          <w:bCs/>
          <w:color w:val="000000"/>
          <w:sz w:val="21"/>
          <w:szCs w:val="21"/>
          <w:lang w:val="en-US" w:eastAsia="zh-CN"/>
        </w:rPr>
      </w:pPr>
      <w:r>
        <w:rPr>
          <w:rFonts w:ascii="Times New Roman" w:hAnsi="Times New Roman" w:eastAsia="宋体" w:cs="Times New Roman"/>
          <w:b w:val="0"/>
          <w:bCs/>
          <w:color w:val="000000"/>
          <w:sz w:val="21"/>
          <w:szCs w:val="21"/>
          <w:lang w:val="en-US" w:eastAsia="zh-CN"/>
        </w:rPr>
        <w:t xml:space="preserve">    大模型能力中心：</w:t>
      </w:r>
      <w:r>
        <w:rPr>
          <w:rFonts w:hint="eastAsia"/>
          <w:bCs/>
          <w:color w:val="000000"/>
          <w:szCs w:val="21"/>
        </w:rPr>
        <w:t>存储监管法规、历史处置案例；针对告警证据做综合研判，输出核查处置建议。</w:t>
      </w:r>
      <w:r>
        <w:rPr>
          <w:rFonts w:ascii="Times New Roman" w:hAnsi="Times New Roman" w:eastAsia="宋体" w:cs="Times New Roman"/>
          <w:b w:val="0"/>
          <w:bCs/>
          <w:color w:val="000000"/>
          <w:sz w:val="21"/>
          <w:szCs w:val="21"/>
          <w:lang w:val="en-US" w:eastAsia="zh-CN"/>
        </w:rPr>
        <w:t>LLM+RAG、案例检索、法规问答、处置建议。</w:t>
      </w:r>
    </w:p>
    <w:p w14:paraId="600D3A31">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rPr>
      </w:pPr>
      <w:r>
        <w:rPr>
          <w:rFonts w:hint="eastAsia" w:cs="Times New Roman"/>
          <w:b/>
          <w:color w:val="000000"/>
          <w:sz w:val="21"/>
          <w:szCs w:val="21"/>
          <w:lang w:val="en-US" w:eastAsia="zh-CN"/>
        </w:rPr>
        <w:t>2、</w:t>
      </w:r>
      <w:r>
        <w:rPr>
          <w:rFonts w:ascii="Times New Roman" w:hAnsi="Times New Roman" w:eastAsia="宋体" w:cs="Times New Roman"/>
          <w:b/>
          <w:color w:val="000000"/>
          <w:sz w:val="21"/>
          <w:szCs w:val="21"/>
        </w:rPr>
        <w:t>智能编排与决策引擎</w:t>
      </w:r>
    </w:p>
    <w:p w14:paraId="0A92CA78">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AI + 规则 + 语义三维融合研判；</w:t>
      </w:r>
    </w:p>
    <w:p w14:paraId="383DB270">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事件驱动工单自动派发、超时升级； </w:t>
      </w:r>
    </w:p>
    <w:p w14:paraId="651EC384">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rPr>
      </w:pPr>
      <w:r>
        <w:rPr>
          <w:rFonts w:hint="eastAsia" w:cs="Times New Roman"/>
          <w:b/>
          <w:color w:val="000000"/>
          <w:sz w:val="21"/>
          <w:szCs w:val="21"/>
          <w:lang w:val="en-US" w:eastAsia="zh-CN"/>
        </w:rPr>
        <w:t>3、</w:t>
      </w:r>
      <w:r>
        <w:rPr>
          <w:rFonts w:ascii="Times New Roman" w:hAnsi="Times New Roman" w:eastAsia="宋体" w:cs="Times New Roman"/>
          <w:b/>
          <w:color w:val="000000"/>
          <w:sz w:val="21"/>
          <w:szCs w:val="21"/>
        </w:rPr>
        <w:t>五大应用子系统</w:t>
      </w:r>
    </w:p>
    <w:p w14:paraId="15FD12D1">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出塘报备监测：数据汇聚、视频及图像分析、合规校验、关联分析；</w:t>
      </w:r>
    </w:p>
    <w:p w14:paraId="08A42986">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告警处置闭环：异常告警、工单派发、核查、归档、超时升级；</w:t>
      </w:r>
    </w:p>
    <w:p w14:paraId="3F20FADB">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多终端推送：小程序/APP/短信 三通道；</w:t>
      </w:r>
    </w:p>
    <w:p w14:paraId="31FDCA6A">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决策大屏：GIS 一张图、热力图、统计下钻；</w:t>
      </w:r>
    </w:p>
    <w:p w14:paraId="6FE67184">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经纪人管理：资质、年审、信用、黑名单全生命周期。</w:t>
      </w:r>
    </w:p>
    <w:p w14:paraId="1C24E186">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rPr>
      </w:pPr>
      <w:r>
        <w:rPr>
          <w:rFonts w:hint="eastAsia" w:cs="Times New Roman"/>
          <w:b/>
          <w:color w:val="000000"/>
          <w:sz w:val="21"/>
          <w:szCs w:val="21"/>
          <w:lang w:val="en-US" w:eastAsia="zh-CN"/>
        </w:rPr>
        <w:t>4、</w:t>
      </w:r>
      <w:r>
        <w:rPr>
          <w:rFonts w:ascii="Times New Roman" w:hAnsi="Times New Roman" w:eastAsia="宋体" w:cs="Times New Roman"/>
          <w:b/>
          <w:color w:val="000000"/>
          <w:sz w:val="21"/>
          <w:szCs w:val="21"/>
        </w:rPr>
        <w:t>平台对接</w:t>
      </w:r>
    </w:p>
    <w:p w14:paraId="6E06408B">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对接苏渔管家、无锡</w:t>
      </w:r>
      <w:r>
        <w:rPr>
          <w:rFonts w:hint="eastAsia" w:cs="Times New Roman"/>
          <w:color w:val="000000"/>
          <w:sz w:val="21"/>
          <w:szCs w:val="21"/>
          <w:lang w:eastAsia="zh-CN"/>
        </w:rPr>
        <w:t>、</w:t>
      </w:r>
      <w:r>
        <w:rPr>
          <w:rFonts w:hint="eastAsia" w:cs="Times New Roman"/>
          <w:color w:val="000000"/>
          <w:sz w:val="21"/>
          <w:szCs w:val="21"/>
          <w:lang w:val="en-US" w:eastAsia="zh-CN"/>
        </w:rPr>
        <w:t>盐城</w:t>
      </w:r>
      <w:r>
        <w:rPr>
          <w:rFonts w:ascii="Times New Roman" w:hAnsi="Times New Roman" w:eastAsia="宋体" w:cs="Times New Roman"/>
          <w:color w:val="000000"/>
          <w:sz w:val="21"/>
          <w:szCs w:val="21"/>
        </w:rPr>
        <w:t>农安通</w:t>
      </w:r>
      <w:r>
        <w:rPr>
          <w:rFonts w:hint="eastAsia" w:cs="Times New Roman"/>
          <w:color w:val="000000"/>
          <w:sz w:val="21"/>
          <w:szCs w:val="21"/>
          <w:lang w:val="en-US" w:eastAsia="zh-CN"/>
        </w:rPr>
        <w:t>等</w:t>
      </w:r>
      <w:r>
        <w:rPr>
          <w:rFonts w:ascii="Times New Roman" w:hAnsi="Times New Roman" w:eastAsia="宋体" w:cs="Times New Roman"/>
          <w:color w:val="000000"/>
          <w:sz w:val="21"/>
          <w:szCs w:val="21"/>
        </w:rPr>
        <w:t>省市农产品质量安全监管平台及各地现有报备检测小程序，TLS1.3+Token 接口签名，异步数据同步。</w:t>
      </w:r>
    </w:p>
    <w:p w14:paraId="0A7CC253">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rPr>
      </w:pPr>
      <w:r>
        <w:rPr>
          <w:rFonts w:hint="eastAsia" w:cs="Times New Roman"/>
          <w:b/>
          <w:color w:val="000000"/>
          <w:sz w:val="21"/>
          <w:szCs w:val="21"/>
          <w:lang w:val="en-US" w:eastAsia="zh-CN"/>
        </w:rPr>
        <w:t>5、</w:t>
      </w:r>
      <w:r>
        <w:rPr>
          <w:rFonts w:ascii="Times New Roman" w:hAnsi="Times New Roman" w:eastAsia="宋体" w:cs="Times New Roman"/>
          <w:b/>
          <w:color w:val="000000"/>
          <w:sz w:val="21"/>
          <w:szCs w:val="21"/>
        </w:rPr>
        <w:t>安全与运维</w:t>
      </w:r>
    </w:p>
    <w:p w14:paraId="0E3DA53E">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FF0000"/>
          <w:sz w:val="21"/>
          <w:szCs w:val="21"/>
        </w:rPr>
        <w:t xml:space="preserve">  </w:t>
      </w:r>
      <w:r>
        <w:rPr>
          <w:rFonts w:ascii="Times New Roman" w:hAnsi="Times New Roman" w:eastAsia="宋体" w:cs="Times New Roman"/>
          <w:color w:val="000000"/>
          <w:sz w:val="21"/>
          <w:szCs w:val="21"/>
        </w:rPr>
        <w:t xml:space="preserve"> </w:t>
      </w:r>
      <w:r>
        <w:rPr>
          <w:rFonts w:hint="eastAsia" w:cs="Times New Roman"/>
          <w:color w:val="000000"/>
          <w:sz w:val="21"/>
          <w:szCs w:val="21"/>
          <w:lang w:eastAsia="zh-CN"/>
        </w:rPr>
        <w:t>（</w:t>
      </w:r>
      <w:r>
        <w:rPr>
          <w:rFonts w:hint="eastAsia" w:cs="Times New Roman"/>
          <w:color w:val="000000"/>
          <w:sz w:val="21"/>
          <w:szCs w:val="21"/>
          <w:lang w:val="en-US" w:eastAsia="zh-CN"/>
        </w:rPr>
        <w:t>1</w:t>
      </w:r>
      <w:r>
        <w:rPr>
          <w:rFonts w:hint="eastAsia" w:cs="Times New Roman"/>
          <w:color w:val="000000"/>
          <w:sz w:val="21"/>
          <w:szCs w:val="21"/>
          <w:lang w:eastAsia="zh-CN"/>
        </w:rPr>
        <w:t>）</w:t>
      </w:r>
      <w:r>
        <w:rPr>
          <w:rFonts w:ascii="Times New Roman" w:hAnsi="Times New Roman" w:eastAsia="宋体" w:cs="Times New Roman"/>
          <w:color w:val="000000"/>
          <w:sz w:val="21"/>
          <w:szCs w:val="21"/>
        </w:rPr>
        <w:t xml:space="preserve"> 网络安全</w:t>
      </w:r>
    </w:p>
    <w:p w14:paraId="5B91BFF5">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云平台配置防火墙、DDoS 防护，收敛开放端口，设置 IP 白名单；监控网络独立 VLAN 隔离，无线及 4G 点位采用专网加密传输，三地专线部署 VPN 加密隧道；平台实行分权分域、多因素认证，接口采用签名校验，全操作日志留存归档。</w:t>
      </w:r>
    </w:p>
    <w:p w14:paraId="0971DD81">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w:t>
      </w:r>
      <w:r>
        <w:rPr>
          <w:rFonts w:hint="eastAsia" w:cs="Times New Roman"/>
          <w:color w:val="000000"/>
          <w:sz w:val="21"/>
          <w:szCs w:val="21"/>
          <w:lang w:eastAsia="zh-CN"/>
        </w:rPr>
        <w:t>（</w:t>
      </w:r>
      <w:r>
        <w:rPr>
          <w:rFonts w:hint="eastAsia" w:cs="Times New Roman"/>
          <w:color w:val="000000"/>
          <w:sz w:val="21"/>
          <w:szCs w:val="21"/>
          <w:lang w:val="en-US" w:eastAsia="zh-CN"/>
        </w:rPr>
        <w:t>2</w:t>
      </w:r>
      <w:r>
        <w:rPr>
          <w:rFonts w:hint="eastAsia" w:cs="Times New Roman"/>
          <w:color w:val="000000"/>
          <w:sz w:val="21"/>
          <w:szCs w:val="21"/>
          <w:lang w:eastAsia="zh-CN"/>
        </w:rPr>
        <w:t>）</w:t>
      </w:r>
      <w:r>
        <w:rPr>
          <w:rFonts w:ascii="Times New Roman" w:hAnsi="Times New Roman" w:eastAsia="宋体" w:cs="Times New Roman"/>
          <w:color w:val="000000"/>
          <w:sz w:val="21"/>
          <w:szCs w:val="21"/>
        </w:rPr>
        <w:t>数据安全</w:t>
      </w:r>
    </w:p>
    <w:p w14:paraId="11805626">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    视频及业务数据云端加密存储，预览下载自带溯源水印；敏感数据分级管控、按需共享；云存储采用三副本、双可用区容灾，前端支持断网缓存、断点续传，满足行业数据合规不出域要求。</w:t>
      </w:r>
    </w:p>
    <w:p w14:paraId="744EB540">
      <w:pPr>
        <w:keepNext w:val="0"/>
        <w:keepLines w:val="0"/>
        <w:pageBreakBefore w:val="0"/>
        <w:widowControl/>
        <w:spacing w:after="0" w:line="240" w:lineRule="auto"/>
        <w:ind w:left="-2"/>
        <w:jc w:val="left"/>
        <w:outlineLvl w:val="9"/>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    </w:t>
      </w:r>
      <w:r>
        <w:rPr>
          <w:rFonts w:hint="eastAsia" w:cs="Times New Roman"/>
          <w:color w:val="000000"/>
          <w:sz w:val="21"/>
          <w:szCs w:val="21"/>
          <w:lang w:eastAsia="zh-CN"/>
        </w:rPr>
        <w:t>（</w:t>
      </w:r>
      <w:r>
        <w:rPr>
          <w:rFonts w:hint="eastAsia" w:cs="Times New Roman"/>
          <w:color w:val="000000"/>
          <w:sz w:val="21"/>
          <w:szCs w:val="21"/>
          <w:lang w:val="en-US" w:eastAsia="zh-CN"/>
        </w:rPr>
        <w:t>3</w:t>
      </w:r>
      <w:r>
        <w:rPr>
          <w:rFonts w:hint="eastAsia" w:cs="Times New Roman"/>
          <w:color w:val="000000"/>
          <w:sz w:val="21"/>
          <w:szCs w:val="21"/>
          <w:lang w:eastAsia="zh-CN"/>
        </w:rPr>
        <w:t>）</w:t>
      </w:r>
      <w:r>
        <w:rPr>
          <w:rFonts w:ascii="Times New Roman" w:hAnsi="Times New Roman" w:eastAsia="宋体" w:cs="Times New Roman"/>
          <w:color w:val="000000"/>
          <w:sz w:val="21"/>
          <w:szCs w:val="21"/>
        </w:rPr>
        <w:t>运维保障</w:t>
      </w:r>
      <w:r>
        <w:rPr>
          <w:rFonts w:hint="eastAsia" w:cs="Times New Roman"/>
          <w:color w:val="000000"/>
          <w:sz w:val="21"/>
          <w:szCs w:val="21"/>
          <w:lang w:val="en-US" w:eastAsia="zh-CN"/>
        </w:rPr>
        <w:t>及服务</w:t>
      </w:r>
    </w:p>
    <w:p w14:paraId="41768FAC">
      <w:pPr>
        <w:keepNext w:val="0"/>
        <w:keepLines w:val="0"/>
        <w:pageBreakBefore w:val="0"/>
        <w:widowControl/>
        <w:spacing w:after="0" w:line="240" w:lineRule="auto"/>
        <w:ind w:left="-2" w:firstLine="420"/>
        <w:jc w:val="left"/>
        <w:outlineLvl w:val="9"/>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实行 7×24 小时值守，限时故障响应与修复；</w:t>
      </w:r>
      <w:r>
        <w:rPr>
          <w:rFonts w:hint="eastAsia" w:cs="Times New Roman"/>
          <w:color w:val="000000"/>
          <w:sz w:val="21"/>
          <w:szCs w:val="21"/>
          <w:lang w:val="en-US" w:eastAsia="zh-CN"/>
        </w:rPr>
        <w:t>塘口养殖情况发生变更后，10个工作日内按照采购方工作需求，响应完成监控点位移机服务（30%以内变量为无偿移机）；</w:t>
      </w:r>
      <w:r>
        <w:rPr>
          <w:rFonts w:ascii="Times New Roman" w:hAnsi="Times New Roman" w:eastAsia="宋体" w:cs="Times New Roman"/>
          <w:color w:val="000000"/>
          <w:sz w:val="21"/>
          <w:szCs w:val="21"/>
        </w:rPr>
        <w:t>定期系统巡检、算法版本迭代、安全漏洞</w:t>
      </w:r>
      <w:r>
        <w:rPr>
          <w:rFonts w:hint="eastAsia" w:cs="Times New Roman"/>
          <w:color w:val="000000"/>
          <w:sz w:val="21"/>
          <w:szCs w:val="21"/>
          <w:lang w:val="en-US" w:eastAsia="zh-CN"/>
        </w:rPr>
        <w:t>及时</w:t>
      </w:r>
      <w:r>
        <w:rPr>
          <w:rFonts w:ascii="Times New Roman" w:hAnsi="Times New Roman" w:eastAsia="宋体" w:cs="Times New Roman"/>
          <w:color w:val="000000"/>
          <w:sz w:val="21"/>
          <w:szCs w:val="21"/>
        </w:rPr>
        <w:t>加固，全程保障平台、视频、业务系统稳定可靠运行。</w:t>
      </w:r>
    </w:p>
    <w:p w14:paraId="1ADF5141">
      <w:pPr>
        <w:keepNext w:val="0"/>
        <w:keepLines w:val="0"/>
        <w:pageBreakBefore w:val="0"/>
        <w:widowControl/>
        <w:spacing w:after="0" w:line="240" w:lineRule="auto"/>
        <w:jc w:val="left"/>
        <w:outlineLvl w:val="9"/>
        <w:rPr>
          <w:rFonts w:ascii="Times New Roman" w:hAnsi="Times New Roman" w:eastAsia="宋体" w:cs="Times New Roman"/>
          <w:b/>
          <w:color w:val="000000"/>
          <w:sz w:val="21"/>
          <w:szCs w:val="21"/>
          <w:lang w:val="en-US" w:eastAsia="zh-CN"/>
        </w:rPr>
      </w:pPr>
      <w:r>
        <w:rPr>
          <w:rFonts w:hint="eastAsia" w:cs="Times New Roman"/>
          <w:b/>
          <w:color w:val="000000"/>
          <w:sz w:val="21"/>
          <w:szCs w:val="21"/>
          <w:lang w:val="en-US" w:eastAsia="zh-CN"/>
        </w:rPr>
        <w:t>（三）</w:t>
      </w:r>
      <w:r>
        <w:rPr>
          <w:rFonts w:ascii="Times New Roman" w:hAnsi="Times New Roman" w:eastAsia="宋体" w:cs="Times New Roman"/>
          <w:b/>
          <w:color w:val="000000"/>
          <w:sz w:val="21"/>
          <w:szCs w:val="21"/>
          <w:lang w:val="en-US" w:eastAsia="zh-CN"/>
        </w:rPr>
        <w:t>项目</w:t>
      </w:r>
      <w:r>
        <w:rPr>
          <w:rFonts w:hint="eastAsia" w:ascii="Times New Roman" w:hAnsi="Times New Roman" w:eastAsia="宋体" w:cs="Times New Roman"/>
          <w:b/>
          <w:color w:val="000000"/>
          <w:sz w:val="21"/>
          <w:szCs w:val="21"/>
          <w:lang w:val="en-US" w:eastAsia="zh-CN"/>
        </w:rPr>
        <w:t>硬件准备及</w:t>
      </w:r>
      <w:r>
        <w:rPr>
          <w:rFonts w:ascii="Times New Roman" w:hAnsi="Times New Roman" w:eastAsia="宋体" w:cs="Times New Roman"/>
          <w:b/>
          <w:color w:val="000000"/>
          <w:sz w:val="21"/>
          <w:szCs w:val="21"/>
          <w:lang w:val="en-US" w:eastAsia="zh-CN"/>
        </w:rPr>
        <w:t>效果要求</w:t>
      </w:r>
    </w:p>
    <w:p w14:paraId="55F29E32">
      <w:pPr>
        <w:keepNext w:val="0"/>
        <w:keepLines w:val="0"/>
        <w:pageBreakBefore w:val="0"/>
        <w:widowControl/>
        <w:spacing w:after="0" w:line="240" w:lineRule="auto"/>
        <w:rPr>
          <w:rFonts w:hint="eastAsia" w:eastAsia="仿宋"/>
          <w:b/>
          <w:bCs/>
          <w:color w:val="auto"/>
          <w:szCs w:val="21"/>
          <w:lang w:val="en-US" w:eastAsia="zh-CN"/>
        </w:rPr>
      </w:pPr>
      <w:r>
        <w:rPr>
          <w:rFonts w:hint="eastAsia" w:cs="Times New Roman"/>
          <w:b/>
          <w:bCs w:val="0"/>
          <w:color w:val="000000"/>
          <w:sz w:val="21"/>
          <w:szCs w:val="21"/>
          <w:lang w:val="en-US" w:eastAsia="zh-CN"/>
        </w:rPr>
        <w:t>下列要求为</w:t>
      </w:r>
      <w:r>
        <w:rPr>
          <w:rFonts w:ascii="Times New Roman" w:hAnsi="Times New Roman" w:eastAsia="宋体" w:cs="Times New Roman"/>
          <w:b/>
          <w:bCs w:val="0"/>
          <w:color w:val="000000"/>
          <w:sz w:val="21"/>
          <w:szCs w:val="21"/>
        </w:rPr>
        <w:t>最终必</w:t>
      </w:r>
      <w:r>
        <w:rPr>
          <w:rFonts w:ascii="Times New Roman" w:hAnsi="Times New Roman" w:eastAsia="宋体" w:cs="Times New Roman"/>
          <w:b/>
          <w:bCs w:val="0"/>
          <w:color w:val="000000"/>
          <w:sz w:val="21"/>
          <w:szCs w:val="21"/>
          <w:lang w:val="en-US" w:eastAsia="zh-CN"/>
        </w:rPr>
        <w:t>须达成的整体效果，作为评标与验收核心依据。</w:t>
      </w:r>
      <w:r>
        <w:rPr>
          <w:rFonts w:hint="eastAsia" w:cs="Times New Roman"/>
          <w:b/>
          <w:bCs w:val="0"/>
          <w:color w:val="000000"/>
          <w:sz w:val="21"/>
          <w:szCs w:val="21"/>
          <w:lang w:val="en-US" w:eastAsia="zh-CN"/>
        </w:rPr>
        <w:t>资源配置（包含但不限于</w:t>
      </w:r>
      <w:r>
        <w:rPr>
          <w:rFonts w:ascii="Times New Roman" w:hAnsi="Times New Roman" w:eastAsia="宋体" w:cs="Times New Roman"/>
          <w:b/>
          <w:bCs w:val="0"/>
          <w:color w:val="000000"/>
          <w:sz w:val="21"/>
          <w:szCs w:val="21"/>
          <w:lang w:val="en-US" w:eastAsia="zh-CN"/>
        </w:rPr>
        <w:t>硬件</w:t>
      </w:r>
      <w:r>
        <w:rPr>
          <w:rFonts w:hint="eastAsia" w:cs="Times New Roman"/>
          <w:b/>
          <w:bCs w:val="0"/>
          <w:color w:val="000000"/>
          <w:sz w:val="21"/>
          <w:szCs w:val="21"/>
          <w:lang w:val="en-US" w:eastAsia="zh-CN"/>
        </w:rPr>
        <w:t>、服务等</w:t>
      </w:r>
      <w:r>
        <w:rPr>
          <w:rFonts w:ascii="Times New Roman" w:hAnsi="Times New Roman" w:eastAsia="宋体" w:cs="Times New Roman"/>
          <w:b/>
          <w:bCs w:val="0"/>
          <w:color w:val="000000"/>
          <w:sz w:val="21"/>
          <w:szCs w:val="21"/>
          <w:lang w:val="en-US" w:eastAsia="zh-CN"/>
        </w:rPr>
        <w:t>选型</w:t>
      </w:r>
      <w:r>
        <w:rPr>
          <w:rFonts w:hint="eastAsia" w:ascii="Times New Roman" w:hAnsi="Times New Roman" w:eastAsia="宋体" w:cs="Times New Roman"/>
          <w:b/>
          <w:bCs w:val="0"/>
          <w:color w:val="000000"/>
          <w:sz w:val="21"/>
          <w:szCs w:val="21"/>
          <w:lang w:val="en-US" w:eastAsia="zh-CN"/>
        </w:rPr>
        <w:t>、</w:t>
      </w:r>
      <w:r>
        <w:rPr>
          <w:rFonts w:ascii="Times New Roman" w:hAnsi="Times New Roman" w:eastAsia="宋体" w:cs="Times New Roman"/>
          <w:b/>
          <w:bCs w:val="0"/>
          <w:color w:val="000000"/>
          <w:sz w:val="21"/>
          <w:szCs w:val="21"/>
          <w:lang w:val="en-US" w:eastAsia="zh-CN"/>
        </w:rPr>
        <w:t>数量</w:t>
      </w:r>
      <w:r>
        <w:rPr>
          <w:rFonts w:hint="eastAsia" w:ascii="Times New Roman" w:hAnsi="Times New Roman" w:eastAsia="宋体" w:cs="Times New Roman"/>
          <w:b/>
          <w:bCs w:val="0"/>
          <w:color w:val="000000"/>
          <w:sz w:val="21"/>
          <w:szCs w:val="21"/>
          <w:lang w:val="en-US" w:eastAsia="zh-CN"/>
        </w:rPr>
        <w:t>、</w:t>
      </w:r>
      <w:r>
        <w:rPr>
          <w:rFonts w:ascii="Times New Roman" w:hAnsi="Times New Roman" w:eastAsia="宋体" w:cs="Times New Roman"/>
          <w:b/>
          <w:bCs w:val="0"/>
          <w:color w:val="000000"/>
          <w:sz w:val="21"/>
          <w:szCs w:val="21"/>
          <w:lang w:val="en-US" w:eastAsia="zh-CN"/>
        </w:rPr>
        <w:t>技术参数、功能</w:t>
      </w:r>
      <w:r>
        <w:rPr>
          <w:rFonts w:hint="eastAsia" w:cs="Times New Roman"/>
          <w:b/>
          <w:bCs w:val="0"/>
          <w:color w:val="000000"/>
          <w:sz w:val="21"/>
          <w:szCs w:val="21"/>
          <w:lang w:val="en-US" w:eastAsia="zh-CN"/>
        </w:rPr>
        <w:t>）需</w:t>
      </w:r>
      <w:r>
        <w:rPr>
          <w:rFonts w:hint="eastAsia" w:ascii="Times New Roman" w:hAnsi="Times New Roman" w:eastAsia="宋体" w:cs="Times New Roman"/>
          <w:b/>
          <w:bCs w:val="0"/>
          <w:color w:val="000000"/>
          <w:sz w:val="21"/>
          <w:szCs w:val="21"/>
          <w:lang w:val="en-US" w:eastAsia="zh-CN"/>
        </w:rPr>
        <w:t>列表明示</w:t>
      </w:r>
      <w:r>
        <w:rPr>
          <w:rFonts w:ascii="Times New Roman" w:hAnsi="Times New Roman" w:eastAsia="宋体" w:cs="Times New Roman"/>
          <w:b/>
          <w:bCs w:val="0"/>
          <w:color w:val="000000"/>
          <w:sz w:val="21"/>
          <w:szCs w:val="21"/>
          <w:lang w:val="en-US" w:eastAsia="zh-CN"/>
        </w:rPr>
        <w:t>，以充分证明其方案能够符合本项目需求。以服务承诺与资源配置响应为准。</w:t>
      </w:r>
      <w:r>
        <w:rPr>
          <w:rFonts w:hint="eastAsia" w:ascii="Times New Roman" w:hAnsi="Times New Roman" w:eastAsia="宋体" w:cs="Times New Roman"/>
          <w:b/>
          <w:bCs w:val="0"/>
          <w:color w:val="000000"/>
          <w:sz w:val="21"/>
          <w:szCs w:val="21"/>
          <w:lang w:val="en-US" w:eastAsia="zh-CN"/>
        </w:rPr>
        <w:t>项目硬件准备及效果要求里带★的实质性参数，投标人必须全部提供对应设备检测报告作为佐证材料。</w:t>
      </w:r>
    </w:p>
    <w:p w14:paraId="235CFB6E">
      <w:pPr>
        <w:keepNext w:val="0"/>
        <w:keepLines w:val="0"/>
        <w:pageBreakBefore w:val="0"/>
        <w:widowControl w:val="0"/>
        <w:spacing w:line="240" w:lineRule="auto"/>
        <w:ind w:firstLine="422"/>
        <w:rPr>
          <w:rFonts w:ascii="Times New Roman" w:hAnsi="Times New Roman" w:eastAsia="宋体" w:cs="Times New Roman"/>
          <w:b/>
          <w:bCs w:val="0"/>
          <w:color w:val="000000"/>
          <w:sz w:val="21"/>
          <w:szCs w:val="21"/>
        </w:rPr>
      </w:pPr>
    </w:p>
    <w:p w14:paraId="61CDC24A">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1、</w:t>
      </w:r>
      <w:r>
        <w:rPr>
          <w:rFonts w:ascii="Times New Roman" w:hAnsi="Times New Roman" w:eastAsia="宋体" w:cs="Times New Roman"/>
          <w:b w:val="0"/>
          <w:bCs/>
          <w:color w:val="000000"/>
          <w:sz w:val="21"/>
          <w:szCs w:val="21"/>
        </w:rPr>
        <w:t>视频图像效果</w:t>
      </w:r>
    </w:p>
    <w:p w14:paraId="25064603">
      <w:pPr>
        <w:keepNext w:val="0"/>
        <w:keepLines w:val="0"/>
        <w:pageBreakBefore w:val="0"/>
        <w:widowControl w:val="0"/>
        <w:spacing w:line="240" w:lineRule="auto"/>
        <w:ind w:firstLine="420"/>
        <w:rPr>
          <w:rFonts w:hint="eastAsia" w:cs="Times New Roman"/>
          <w:b w:val="0"/>
          <w:bCs/>
          <w:color w:val="000000"/>
          <w:sz w:val="21"/>
          <w:szCs w:val="21"/>
          <w:lang w:val="en-US" w:eastAsia="zh-CN"/>
        </w:rPr>
      </w:pPr>
      <w:r>
        <w:rPr>
          <w:rFonts w:hint="eastAsia" w:cs="Times New Roman"/>
          <w:b w:val="0"/>
          <w:bCs/>
          <w:color w:val="000000"/>
          <w:sz w:val="21"/>
          <w:szCs w:val="21"/>
          <w:lang w:val="en-US" w:eastAsia="zh-CN"/>
        </w:rPr>
        <w:t>★所有塘口监控球机有效分辨率像素不低于400万，主码流模式下支持30fps及以上输出；</w:t>
      </w:r>
    </w:p>
    <w:p w14:paraId="1B6EA561">
      <w:pPr>
        <w:keepNext w:val="0"/>
        <w:keepLines w:val="0"/>
        <w:pageBreakBefore w:val="0"/>
        <w:widowControl w:val="0"/>
        <w:spacing w:line="240" w:lineRule="auto"/>
        <w:ind w:firstLine="420"/>
        <w:rPr>
          <w:rFonts w:hint="eastAsia" w:cs="Times New Roman"/>
          <w:b w:val="0"/>
          <w:bCs/>
          <w:color w:val="000000"/>
          <w:sz w:val="21"/>
          <w:szCs w:val="21"/>
          <w:lang w:val="en-US" w:eastAsia="zh-CN"/>
        </w:rPr>
      </w:pPr>
      <w:r>
        <w:rPr>
          <w:rFonts w:hint="eastAsia" w:cs="Times New Roman"/>
          <w:b w:val="0"/>
          <w:bCs/>
          <w:color w:val="000000"/>
          <w:sz w:val="21"/>
          <w:szCs w:val="21"/>
          <w:lang w:val="en-US" w:eastAsia="zh-CN"/>
        </w:rPr>
        <w:t>最低照度：彩色≤0.005Lux，黑白≤0.001Lux；</w:t>
      </w:r>
    </w:p>
    <w:p w14:paraId="4DA21BE7">
      <w:pPr>
        <w:keepNext w:val="0"/>
        <w:keepLines w:val="0"/>
        <w:pageBreakBefore w:val="0"/>
        <w:widowControl w:val="0"/>
        <w:spacing w:line="240" w:lineRule="auto"/>
        <w:ind w:firstLine="420"/>
        <w:rPr>
          <w:rFonts w:hint="eastAsia" w:cs="Times New Roman"/>
          <w:b w:val="0"/>
          <w:bCs/>
          <w:color w:val="000000"/>
          <w:sz w:val="21"/>
          <w:szCs w:val="21"/>
          <w:lang w:val="en-US" w:eastAsia="zh-CN"/>
        </w:rPr>
      </w:pPr>
      <w:r>
        <w:rPr>
          <w:rFonts w:hint="eastAsia" w:cs="Times New Roman"/>
          <w:b w:val="0"/>
          <w:bCs/>
          <w:color w:val="000000"/>
          <w:sz w:val="21"/>
          <w:szCs w:val="21"/>
          <w:lang w:val="en-US" w:eastAsia="zh-CN"/>
        </w:rPr>
        <w:t>★夜间夜视清晰，采用近红外激光补光，激光补光≥500m，禁止可见光白光/暖光补光；</w:t>
      </w:r>
    </w:p>
    <w:p w14:paraId="4C7D426B">
      <w:pPr>
        <w:keepNext w:val="0"/>
        <w:keepLines w:val="0"/>
        <w:pageBreakBefore w:val="0"/>
        <w:widowControl w:val="0"/>
        <w:spacing w:line="240" w:lineRule="auto"/>
        <w:ind w:firstLine="420"/>
        <w:rPr>
          <w:rFonts w:hint="eastAsia" w:cs="Times New Roman"/>
          <w:b w:val="0"/>
          <w:bCs/>
          <w:color w:val="000000"/>
          <w:sz w:val="21"/>
          <w:szCs w:val="21"/>
          <w:lang w:val="en-US" w:eastAsia="zh-CN"/>
        </w:rPr>
      </w:pPr>
      <w:r>
        <w:rPr>
          <w:rFonts w:hint="eastAsia" w:cs="Times New Roman"/>
          <w:b w:val="0"/>
          <w:bCs/>
          <w:color w:val="000000"/>
          <w:sz w:val="21"/>
          <w:szCs w:val="21"/>
          <w:lang w:val="en-US" w:eastAsia="zh-CN"/>
        </w:rPr>
        <w:t>★球机光学变倍≥40倍，可清晰摄录人员、车辆、渔网、捕捞、装卸等出塘行为；</w:t>
      </w:r>
    </w:p>
    <w:p w14:paraId="04920017">
      <w:pPr>
        <w:keepNext w:val="0"/>
        <w:keepLines w:val="0"/>
        <w:pageBreakBefore w:val="0"/>
        <w:widowControl w:val="0"/>
        <w:spacing w:line="240" w:lineRule="auto"/>
        <w:ind w:firstLine="420"/>
        <w:rPr>
          <w:rFonts w:hint="eastAsia" w:cs="Times New Roman"/>
          <w:b w:val="0"/>
          <w:bCs/>
          <w:color w:val="000000"/>
          <w:sz w:val="21"/>
          <w:szCs w:val="21"/>
          <w:lang w:val="en-US" w:eastAsia="zh-CN"/>
        </w:rPr>
      </w:pPr>
      <w:r>
        <w:rPr>
          <w:rFonts w:hint="eastAsia" w:cs="Times New Roman"/>
          <w:b w:val="0"/>
          <w:bCs/>
          <w:color w:val="000000"/>
          <w:sz w:val="21"/>
          <w:szCs w:val="21"/>
          <w:lang w:val="en-US" w:eastAsia="zh-CN"/>
        </w:rPr>
        <w:t>★设备外壳防护等级不低于IP66，具备防浪涌、防突波保护，满足GB/T17626.5防雷要求，可适应南方水塘露天潮湿、多雷雨的野外严酷电磁环境；</w:t>
      </w:r>
    </w:p>
    <w:p w14:paraId="70C19A70">
      <w:pPr>
        <w:keepNext w:val="0"/>
        <w:keepLines w:val="0"/>
        <w:pageBreakBefore w:val="0"/>
        <w:widowControl w:val="0"/>
        <w:spacing w:line="240" w:lineRule="auto"/>
        <w:ind w:firstLine="420"/>
        <w:rPr>
          <w:rFonts w:hint="eastAsia" w:cs="Times New Roman"/>
          <w:b w:val="0"/>
          <w:bCs/>
          <w:color w:val="000000"/>
          <w:sz w:val="21"/>
          <w:szCs w:val="21"/>
          <w:lang w:val="en-US" w:eastAsia="zh-CN"/>
        </w:rPr>
      </w:pPr>
      <w:r>
        <w:rPr>
          <w:rFonts w:hint="eastAsia" w:cs="Times New Roman"/>
          <w:b w:val="0"/>
          <w:bCs/>
          <w:color w:val="000000"/>
          <w:sz w:val="21"/>
          <w:szCs w:val="21"/>
          <w:lang w:val="en-US" w:eastAsia="zh-CN"/>
        </w:rPr>
        <w:t xml:space="preserve">卡口枪机： </w:t>
      </w:r>
    </w:p>
    <w:p w14:paraId="09083C73">
      <w:pPr>
        <w:keepNext w:val="0"/>
        <w:keepLines w:val="0"/>
        <w:pageBreakBefore w:val="0"/>
        <w:widowControl w:val="0"/>
        <w:spacing w:line="240" w:lineRule="auto"/>
        <w:ind w:firstLine="420"/>
        <w:rPr>
          <w:rFonts w:hint="eastAsia" w:cs="Times New Roman"/>
          <w:b w:val="0"/>
          <w:bCs/>
          <w:color w:val="000000"/>
          <w:sz w:val="21"/>
          <w:szCs w:val="21"/>
          <w:lang w:val="en-US" w:eastAsia="zh-CN"/>
        </w:rPr>
      </w:pPr>
      <w:r>
        <w:rPr>
          <w:rFonts w:hint="eastAsia" w:cs="Times New Roman"/>
          <w:b w:val="0"/>
          <w:bCs/>
          <w:color w:val="000000"/>
          <w:sz w:val="21"/>
          <w:szCs w:val="21"/>
          <w:lang w:val="en-US" w:eastAsia="zh-CN"/>
        </w:rPr>
        <w:t xml:space="preserve">★有效分辨率不低于400万，主码流支持30fps及以上输出； </w:t>
      </w:r>
    </w:p>
    <w:p w14:paraId="4E60B2F8">
      <w:pPr>
        <w:keepNext w:val="0"/>
        <w:keepLines w:val="0"/>
        <w:pageBreakBefore w:val="0"/>
        <w:widowControl w:val="0"/>
        <w:spacing w:line="240" w:lineRule="auto"/>
        <w:ind w:firstLine="420"/>
        <w:rPr>
          <w:rFonts w:hint="eastAsia" w:cs="Times New Roman"/>
          <w:b w:val="0"/>
          <w:bCs/>
          <w:color w:val="000000"/>
          <w:sz w:val="21"/>
          <w:szCs w:val="21"/>
          <w:lang w:val="en-US" w:eastAsia="zh-CN"/>
        </w:rPr>
      </w:pPr>
      <w:r>
        <w:rPr>
          <w:rFonts w:hint="eastAsia" w:cs="Times New Roman"/>
          <w:b w:val="0"/>
          <w:bCs/>
          <w:color w:val="000000"/>
          <w:sz w:val="21"/>
          <w:szCs w:val="21"/>
          <w:lang w:val="en-US" w:eastAsia="zh-CN"/>
        </w:rPr>
        <w:t>最低照度：彩色≤0.0014Lux，补光环境下输出全彩图像；</w:t>
      </w:r>
    </w:p>
    <w:p w14:paraId="1897AB31">
      <w:pPr>
        <w:keepNext w:val="0"/>
        <w:keepLines w:val="0"/>
        <w:pageBreakBefore w:val="0"/>
        <w:widowControl w:val="0"/>
        <w:spacing w:line="240" w:lineRule="auto"/>
        <w:ind w:firstLine="420"/>
        <w:rPr>
          <w:rFonts w:hint="eastAsia" w:cs="Times New Roman"/>
          <w:b w:val="0"/>
          <w:bCs/>
          <w:color w:val="000000"/>
          <w:sz w:val="21"/>
          <w:szCs w:val="21"/>
          <w:lang w:val="en-US" w:eastAsia="zh-CN"/>
        </w:rPr>
      </w:pPr>
      <w:r>
        <w:rPr>
          <w:rFonts w:hint="eastAsia" w:cs="Times New Roman"/>
          <w:b w:val="0"/>
          <w:bCs/>
          <w:color w:val="000000"/>
          <w:sz w:val="21"/>
          <w:szCs w:val="21"/>
          <w:lang w:val="en-US" w:eastAsia="zh-CN"/>
        </w:rPr>
        <w:t>★设备外壳防护等级不低于IP66，具备防浪涌、防雷保</w:t>
      </w:r>
      <w:r>
        <w:rPr>
          <w:rFonts w:hint="eastAsia" w:cs="Times New Roman"/>
          <w:b w:val="0"/>
          <w:bCs/>
          <w:color w:val="auto"/>
          <w:sz w:val="21"/>
          <w:szCs w:val="21"/>
          <w:lang w:val="en-US" w:eastAsia="zh-CN"/>
        </w:rPr>
        <w:t>护、镜头雨刷，适配塘</w:t>
      </w:r>
      <w:r>
        <w:rPr>
          <w:rFonts w:hint="eastAsia" w:cs="Times New Roman"/>
          <w:b w:val="0"/>
          <w:bCs/>
          <w:color w:val="000000"/>
          <w:sz w:val="21"/>
          <w:szCs w:val="21"/>
          <w:lang w:val="en-US" w:eastAsia="zh-CN"/>
        </w:rPr>
        <w:t>口野外部署环境。</w:t>
      </w:r>
    </w:p>
    <w:p w14:paraId="47E8F9E0">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2、</w:t>
      </w:r>
      <w:r>
        <w:rPr>
          <w:rFonts w:ascii="Times New Roman" w:hAnsi="Times New Roman" w:eastAsia="宋体" w:cs="Times New Roman"/>
          <w:b w:val="0"/>
          <w:bCs/>
          <w:color w:val="000000"/>
          <w:sz w:val="21"/>
          <w:szCs w:val="21"/>
        </w:rPr>
        <w:t>网络传输与带宽效果</w:t>
      </w:r>
    </w:p>
    <w:p w14:paraId="07DC27A5">
      <w:pPr>
        <w:keepNext w:val="0"/>
        <w:keepLines w:val="0"/>
        <w:pageBreakBefore w:val="0"/>
        <w:widowControl w:val="0"/>
        <w:spacing w:line="240" w:lineRule="auto"/>
        <w:ind w:firstLine="420"/>
        <w:rPr>
          <w:rFonts w:hint="eastAsia" w:ascii="Times New Roman" w:hAnsi="Times New Roman" w:eastAsia="宋体" w:cs="Times New Roman"/>
          <w:b w:val="0"/>
          <w:bCs/>
          <w:color w:val="000000"/>
          <w:sz w:val="21"/>
          <w:szCs w:val="21"/>
          <w:lang w:val="en-US" w:eastAsia="zh-CN"/>
        </w:rPr>
      </w:pPr>
      <w:r>
        <w:rPr>
          <w:rFonts w:ascii="Times New Roman" w:hAnsi="Times New Roman" w:eastAsia="宋体" w:cs="Times New Roman"/>
          <w:b w:val="0"/>
          <w:bCs/>
          <w:color w:val="000000"/>
          <w:sz w:val="21"/>
          <w:szCs w:val="21"/>
        </w:rPr>
        <w:t>视频端到端传输延迟≤400毫秒；网络传输上行带宽≥5M</w:t>
      </w:r>
      <w:r>
        <w:rPr>
          <w:rFonts w:hint="eastAsia" w:ascii="Times New Roman" w:hAnsi="Times New Roman" w:eastAsia="宋体" w:cs="Times New Roman"/>
          <w:b w:val="0"/>
          <w:bCs/>
          <w:color w:val="000000"/>
          <w:sz w:val="21"/>
          <w:szCs w:val="21"/>
        </w:rPr>
        <w:t>；</w:t>
      </w:r>
    </w:p>
    <w:p w14:paraId="428C4E6D">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支持</w:t>
      </w:r>
      <w:r>
        <w:rPr>
          <w:rFonts w:hint="eastAsia" w:cs="Times New Roman"/>
          <w:b w:val="0"/>
          <w:bCs/>
          <w:color w:val="000000"/>
          <w:sz w:val="21"/>
          <w:szCs w:val="21"/>
          <w:lang w:val="en-US" w:eastAsia="zh-CN"/>
        </w:rPr>
        <w:t>兼容IPv4/</w:t>
      </w:r>
      <w:r>
        <w:rPr>
          <w:rFonts w:ascii="Times New Roman" w:hAnsi="Times New Roman" w:eastAsia="宋体" w:cs="Times New Roman"/>
          <w:b w:val="0"/>
          <w:bCs/>
          <w:color w:val="000000"/>
          <w:sz w:val="21"/>
          <w:szCs w:val="21"/>
        </w:rPr>
        <w:t>IPv6加密专网传输，断网自动续传。</w:t>
      </w:r>
    </w:p>
    <w:p w14:paraId="404C03D8">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3、</w:t>
      </w:r>
      <w:r>
        <w:rPr>
          <w:rFonts w:ascii="Times New Roman" w:hAnsi="Times New Roman" w:eastAsia="宋体" w:cs="Times New Roman"/>
          <w:b w:val="0"/>
          <w:bCs/>
          <w:color w:val="000000"/>
          <w:sz w:val="21"/>
          <w:szCs w:val="21"/>
        </w:rPr>
        <w:t>存储容量与保存周期</w:t>
      </w:r>
    </w:p>
    <w:p w14:paraId="139F3053">
      <w:pPr>
        <w:keepNext w:val="0"/>
        <w:keepLines w:val="0"/>
        <w:pageBreakBefore w:val="0"/>
        <w:widowControl w:val="0"/>
        <w:spacing w:line="240" w:lineRule="auto"/>
        <w:ind w:firstLine="420"/>
        <w:rPr>
          <w:rFonts w:hint="eastAsia" w:ascii="Times New Roman" w:hAnsi="Times New Roman" w:eastAsia="宋体" w:cs="Times New Roman"/>
          <w:b w:val="0"/>
          <w:bCs/>
          <w:color w:val="000000"/>
          <w:sz w:val="21"/>
          <w:szCs w:val="21"/>
        </w:rPr>
      </w:pPr>
      <w:r>
        <w:rPr>
          <w:rFonts w:hint="eastAsia" w:ascii="Times New Roman" w:hAnsi="Times New Roman" w:eastAsia="宋体" w:cs="Times New Roman"/>
          <w:b w:val="0"/>
          <w:bCs/>
          <w:color w:val="000000"/>
          <w:sz w:val="21"/>
          <w:szCs w:val="21"/>
        </w:rPr>
        <w:t>边缘终端：所有点位24小时连续录像，存储周期≥30天；</w:t>
      </w:r>
    </w:p>
    <w:p w14:paraId="2260BF0D">
      <w:pPr>
        <w:keepNext w:val="0"/>
        <w:keepLines w:val="0"/>
        <w:pageBreakBefore w:val="0"/>
        <w:widowControl w:val="0"/>
        <w:spacing w:line="240" w:lineRule="auto"/>
        <w:ind w:firstLine="420"/>
        <w:rPr>
          <w:rFonts w:hint="eastAsia" w:ascii="Times New Roman" w:hAnsi="Times New Roman" w:eastAsia="宋体" w:cs="Times New Roman"/>
          <w:b w:val="0"/>
          <w:bCs/>
          <w:color w:val="000000"/>
          <w:sz w:val="21"/>
          <w:szCs w:val="21"/>
        </w:rPr>
      </w:pPr>
      <w:r>
        <w:rPr>
          <w:rFonts w:hint="eastAsia" w:ascii="Times New Roman" w:hAnsi="Times New Roman" w:eastAsia="宋体" w:cs="Times New Roman"/>
          <w:b w:val="0"/>
          <w:bCs/>
          <w:color w:val="000000"/>
          <w:sz w:val="21"/>
          <w:szCs w:val="21"/>
        </w:rPr>
        <w:t>云端：业务数据、告警日志、事件记录保存≥180天；</w:t>
      </w:r>
    </w:p>
    <w:p w14:paraId="10816573">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hint="eastAsia" w:ascii="Times New Roman" w:hAnsi="Times New Roman" w:eastAsia="宋体" w:cs="Times New Roman"/>
          <w:b w:val="0"/>
          <w:bCs/>
          <w:color w:val="000000"/>
          <w:sz w:val="21"/>
          <w:szCs w:val="21"/>
        </w:rPr>
        <w:t>云端告警证据存储采用三副本、本地 + 云端主备容灾架构，保障</w:t>
      </w:r>
      <w:r>
        <w:rPr>
          <w:rFonts w:hint="eastAsia" w:cs="Times New Roman"/>
          <w:b w:val="0"/>
          <w:bCs/>
          <w:color w:val="000000"/>
          <w:sz w:val="21"/>
          <w:szCs w:val="21"/>
          <w:lang w:val="en-US" w:eastAsia="zh-CN"/>
        </w:rPr>
        <w:t>预</w:t>
      </w:r>
      <w:r>
        <w:rPr>
          <w:rFonts w:hint="eastAsia" w:ascii="Times New Roman" w:hAnsi="Times New Roman" w:eastAsia="宋体" w:cs="Times New Roman"/>
          <w:b w:val="0"/>
          <w:bCs/>
          <w:color w:val="000000"/>
          <w:sz w:val="21"/>
          <w:szCs w:val="21"/>
        </w:rPr>
        <w:t>警</w:t>
      </w:r>
      <w:r>
        <w:rPr>
          <w:rFonts w:hint="eastAsia" w:cs="Times New Roman"/>
          <w:b w:val="0"/>
          <w:bCs/>
          <w:color w:val="000000"/>
          <w:sz w:val="21"/>
          <w:szCs w:val="21"/>
          <w:lang w:val="en-US" w:eastAsia="zh-CN"/>
        </w:rPr>
        <w:t>监测数据</w:t>
      </w:r>
      <w:r>
        <w:rPr>
          <w:rFonts w:hint="eastAsia" w:ascii="Times New Roman" w:hAnsi="Times New Roman" w:eastAsia="宋体" w:cs="Times New Roman"/>
          <w:b w:val="0"/>
          <w:bCs/>
          <w:color w:val="000000"/>
          <w:sz w:val="21"/>
          <w:szCs w:val="21"/>
        </w:rPr>
        <w:t>不丢帧、证据文件不丢失。</w:t>
      </w:r>
    </w:p>
    <w:p w14:paraId="7D33156C">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4、AI</w:t>
      </w:r>
      <w:r>
        <w:rPr>
          <w:rFonts w:ascii="Times New Roman" w:hAnsi="Times New Roman" w:eastAsia="宋体" w:cs="Times New Roman"/>
          <w:b w:val="0"/>
          <w:bCs/>
          <w:color w:val="000000"/>
          <w:sz w:val="21"/>
          <w:szCs w:val="21"/>
        </w:rPr>
        <w:t>视频分析平台部署资源效果</w:t>
      </w:r>
    </w:p>
    <w:p w14:paraId="5AF66A86">
      <w:pPr>
        <w:keepNext w:val="0"/>
        <w:keepLines w:val="0"/>
        <w:pageBreakBefore w:val="0"/>
        <w:widowControl w:val="0"/>
        <w:spacing w:line="240" w:lineRule="auto"/>
        <w:ind w:firstLine="420"/>
        <w:rPr>
          <w:rFonts w:hint="eastAsia"/>
          <w:bCs/>
          <w:color w:val="000000"/>
          <w:szCs w:val="21"/>
        </w:rPr>
      </w:pPr>
      <w:r>
        <w:rPr>
          <w:rFonts w:hint="eastAsia"/>
          <w:bCs/>
          <w:color w:val="000000"/>
          <w:szCs w:val="21"/>
        </w:rPr>
        <w:t xml:space="preserve">边缘侧：依托边缘终端完成全部监控点位实时视频AI推理，识别人员聚集、渔网、渔船、运输车辆等疑似违规出塘行为，实时生成告警事件与证据片段；支持AI算法包远程 OTA 下发升级。 </w:t>
      </w:r>
    </w:p>
    <w:p w14:paraId="3BBCF241">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hint="eastAsia"/>
          <w:bCs/>
          <w:color w:val="000000"/>
          <w:szCs w:val="21"/>
        </w:rPr>
        <w:t>后端侧：算力服务于边缘上传告警图片、短视频片段做多模态证据链二次复核研判；适配国产操作系统；支持算力弹性扩容；平台 7×24 小时稳定运行，推理服务中断恢复时间≤5 分钟。</w:t>
      </w:r>
    </w:p>
    <w:p w14:paraId="64FF7C84">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算力资源：满足200路视频并行推理</w:t>
      </w:r>
      <w:r>
        <w:rPr>
          <w:rFonts w:hint="eastAsia" w:cs="Times New Roman"/>
          <w:b w:val="0"/>
          <w:bCs/>
          <w:color w:val="000000"/>
          <w:sz w:val="21"/>
          <w:szCs w:val="21"/>
          <w:lang w:eastAsia="zh-CN"/>
        </w:rPr>
        <w:t>，</w:t>
      </w:r>
      <w:r>
        <w:rPr>
          <w:rFonts w:hint="eastAsia" w:cs="Times New Roman"/>
          <w:b w:val="0"/>
          <w:bCs/>
          <w:color w:val="000000"/>
          <w:sz w:val="21"/>
          <w:szCs w:val="21"/>
          <w:lang w:val="en-US" w:eastAsia="zh-CN"/>
        </w:rPr>
        <w:t>实现</w:t>
      </w:r>
      <w:r>
        <w:rPr>
          <w:rFonts w:ascii="Times New Roman" w:hAnsi="Times New Roman" w:eastAsia="宋体" w:cs="Times New Roman"/>
          <w:color w:val="000000"/>
          <w:sz w:val="21"/>
          <w:szCs w:val="21"/>
        </w:rPr>
        <w:t>AI自动识别人员</w:t>
      </w:r>
      <w:r>
        <w:rPr>
          <w:rFonts w:hint="eastAsia" w:cs="Times New Roman"/>
          <w:color w:val="000000"/>
          <w:sz w:val="21"/>
          <w:szCs w:val="21"/>
          <w:lang w:val="en-US" w:eastAsia="zh-CN"/>
        </w:rPr>
        <w:t>聚集</w:t>
      </w:r>
      <w:r>
        <w:rPr>
          <w:rFonts w:ascii="Times New Roman" w:hAnsi="Times New Roman" w:eastAsia="宋体" w:cs="Times New Roman"/>
          <w:color w:val="000000"/>
          <w:sz w:val="21"/>
          <w:szCs w:val="21"/>
        </w:rPr>
        <w:t>、渔网、渔船、运输车辆</w:t>
      </w:r>
      <w:r>
        <w:rPr>
          <w:rFonts w:hint="eastAsia" w:cs="Times New Roman"/>
          <w:color w:val="000000"/>
          <w:sz w:val="21"/>
          <w:szCs w:val="21"/>
          <w:lang w:val="en-US" w:eastAsia="zh-CN"/>
        </w:rPr>
        <w:t>等</w:t>
      </w:r>
      <w:r>
        <w:rPr>
          <w:rFonts w:ascii="Times New Roman" w:hAnsi="Times New Roman" w:eastAsia="宋体" w:cs="Times New Roman"/>
          <w:color w:val="000000"/>
          <w:sz w:val="21"/>
          <w:szCs w:val="21"/>
        </w:rPr>
        <w:t>违规</w:t>
      </w:r>
      <w:r>
        <w:rPr>
          <w:rFonts w:hint="eastAsia" w:cs="Times New Roman"/>
          <w:color w:val="000000"/>
          <w:sz w:val="21"/>
          <w:szCs w:val="21"/>
          <w:lang w:val="en-US" w:eastAsia="zh-CN"/>
        </w:rPr>
        <w:t>出塘</w:t>
      </w:r>
      <w:r>
        <w:rPr>
          <w:rFonts w:ascii="Times New Roman" w:hAnsi="Times New Roman" w:eastAsia="宋体" w:cs="Times New Roman"/>
          <w:color w:val="000000"/>
          <w:sz w:val="21"/>
          <w:szCs w:val="21"/>
        </w:rPr>
        <w:t>行为</w:t>
      </w:r>
      <w:r>
        <w:rPr>
          <w:rFonts w:ascii="Times New Roman" w:hAnsi="Times New Roman" w:eastAsia="宋体" w:cs="Times New Roman"/>
          <w:b w:val="0"/>
          <w:bCs/>
          <w:color w:val="000000"/>
          <w:sz w:val="21"/>
          <w:szCs w:val="21"/>
        </w:rPr>
        <w:t>；</w:t>
      </w:r>
    </w:p>
    <w:p w14:paraId="7D99D4B0">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兼容性：适配国产操作系统，</w:t>
      </w:r>
      <w:r>
        <w:rPr>
          <w:rFonts w:ascii="Times New Roman" w:hAnsi="Times New Roman" w:eastAsia="宋体" w:cs="Times New Roman"/>
          <w:b w:val="0"/>
          <w:bCs/>
          <w:color w:val="000000"/>
          <w:sz w:val="21"/>
          <w:szCs w:val="21"/>
          <w:lang w:val="en-US" w:eastAsia="zh-CN"/>
        </w:rPr>
        <w:t xml:space="preserve"> </w:t>
      </w:r>
      <w:r>
        <w:rPr>
          <w:rFonts w:ascii="Times New Roman" w:hAnsi="Times New Roman" w:eastAsia="宋体" w:cs="Times New Roman"/>
          <w:b w:val="0"/>
          <w:bCs/>
          <w:color w:val="000000"/>
          <w:sz w:val="21"/>
          <w:szCs w:val="21"/>
        </w:rPr>
        <w:t>兼容主流大模型，支持模型OTA升级；</w:t>
      </w:r>
    </w:p>
    <w:p w14:paraId="19930999">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稳定性：平台7×24小时运行，推理服务中断恢复时间≤5分钟，支持算力弹性扩容。</w:t>
      </w:r>
    </w:p>
    <w:p w14:paraId="5884C450">
      <w:pPr>
        <w:keepNext w:val="0"/>
        <w:keepLines w:val="0"/>
        <w:pageBreakBefore w:val="0"/>
        <w:widowControl w:val="0"/>
        <w:spacing w:line="240" w:lineRule="auto"/>
        <w:ind w:firstLine="420"/>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5、</w:t>
      </w:r>
      <w:r>
        <w:rPr>
          <w:rFonts w:ascii="Times New Roman" w:hAnsi="Times New Roman" w:eastAsia="宋体" w:cs="Times New Roman"/>
          <w:b w:val="0"/>
          <w:bCs/>
          <w:color w:val="000000"/>
          <w:sz w:val="21"/>
          <w:szCs w:val="21"/>
        </w:rPr>
        <w:t>网络安全与数据安全效果</w:t>
      </w:r>
    </w:p>
    <w:p w14:paraId="3ACD9AB5">
      <w:pPr>
        <w:keepNext w:val="0"/>
        <w:keepLines w:val="0"/>
        <w:pageBreakBefore w:val="0"/>
        <w:widowControl w:val="0"/>
        <w:spacing w:line="240" w:lineRule="auto"/>
        <w:ind w:firstLine="420"/>
        <w:rPr>
          <w:rFonts w:ascii="Times New Roman" w:hAnsi="Times New Roman" w:eastAsia="宋体" w:cs="Times New Roman"/>
          <w:b w:val="0"/>
          <w:bCs/>
          <w:color w:val="auto"/>
          <w:sz w:val="21"/>
          <w:szCs w:val="21"/>
        </w:rPr>
      </w:pPr>
      <w:r>
        <w:rPr>
          <w:rFonts w:hint="eastAsia"/>
          <w:bCs/>
          <w:color w:val="000000"/>
          <w:szCs w:val="21"/>
        </w:rPr>
        <w:t>★</w:t>
      </w:r>
      <w:r>
        <w:rPr>
          <w:rFonts w:hint="eastAsia" w:ascii="Times New Roman" w:hAnsi="Times New Roman" w:eastAsia="宋体" w:cs="Times New Roman"/>
          <w:b w:val="0"/>
          <w:bCs/>
          <w:color w:val="000000"/>
          <w:sz w:val="21"/>
          <w:szCs w:val="21"/>
        </w:rPr>
        <w:t>配置国产化防火墙，采用国产处理器和操作系统；具备访问控制、流量清洗、端口收敛、IP 白名单、非法接入拦截能力；支持 GB/T28181、GB35114、SIP、RTSP、ONVIF 等安防协议识别检测，可对非合规视频终端协议访问进行阻断并生成告警日志；具备入侵防御、病毒防护、应用识别管控、SSL流量解密检测、多种VPN 接入，支持国密 SM2/SM3/SM4 算法，支持 IPv4/IPv6 双栈防护，支持 HA主备高可用，满足视频安全增 II 级防护要求。</w:t>
      </w:r>
    </w:p>
    <w:p w14:paraId="555EFE8A">
      <w:pPr>
        <w:keepNext w:val="0"/>
        <w:keepLines w:val="0"/>
        <w:pageBreakBefore w:val="0"/>
        <w:widowControl w:val="0"/>
        <w:spacing w:line="240" w:lineRule="auto"/>
        <w:ind w:firstLine="420"/>
        <w:rPr>
          <w:rFonts w:ascii="Times New Roman" w:hAnsi="Times New Roman" w:eastAsia="宋体" w:cs="Times New Roman"/>
          <w:b w:val="0"/>
          <w:bCs/>
          <w:color w:val="auto"/>
          <w:sz w:val="21"/>
          <w:szCs w:val="21"/>
        </w:rPr>
      </w:pPr>
      <w:r>
        <w:rPr>
          <w:rFonts w:ascii="Times New Roman" w:hAnsi="Times New Roman" w:eastAsia="宋体" w:cs="Times New Roman"/>
          <w:b w:val="0"/>
          <w:bCs/>
          <w:color w:val="auto"/>
          <w:sz w:val="21"/>
          <w:szCs w:val="21"/>
        </w:rPr>
        <w:t>具备AI资产安全运营能力，可完成AI资产测绘、漏洞扫描、异常行为检测、业务基线告警，实现模型、框架、设备、服务全维度安全监管。</w:t>
      </w:r>
    </w:p>
    <w:p w14:paraId="47243BB2">
      <w:pPr>
        <w:keepNext w:val="0"/>
        <w:keepLines w:val="0"/>
        <w:pageBreakBefore w:val="0"/>
        <w:widowControl w:val="0"/>
        <w:spacing w:line="240" w:lineRule="auto"/>
        <w:ind w:firstLine="420"/>
        <w:rPr>
          <w:rFonts w:ascii="Times New Roman" w:hAnsi="Times New Roman" w:eastAsia="宋体" w:cs="Times New Roman"/>
          <w:b w:val="0"/>
          <w:bCs/>
          <w:color w:val="auto"/>
          <w:sz w:val="21"/>
          <w:szCs w:val="21"/>
        </w:rPr>
      </w:pPr>
      <w:r>
        <w:rPr>
          <w:rFonts w:ascii="Times New Roman" w:hAnsi="Times New Roman" w:eastAsia="宋体" w:cs="Times New Roman"/>
          <w:b w:val="0"/>
          <w:bCs/>
          <w:color w:val="auto"/>
          <w:sz w:val="21"/>
          <w:szCs w:val="21"/>
        </w:rPr>
        <w:t>整体按等保2.0</w:t>
      </w:r>
      <w:r>
        <w:rPr>
          <w:rFonts w:hint="eastAsia" w:cs="Times New Roman"/>
          <w:b w:val="0"/>
          <w:bCs/>
          <w:color w:val="auto"/>
          <w:sz w:val="21"/>
          <w:szCs w:val="21"/>
          <w:lang w:val="en-US" w:eastAsia="zh-CN"/>
        </w:rPr>
        <w:t>三级</w:t>
      </w:r>
      <w:r>
        <w:rPr>
          <w:rFonts w:ascii="Times New Roman" w:hAnsi="Times New Roman" w:eastAsia="宋体" w:cs="Times New Roman"/>
          <w:b w:val="0"/>
          <w:bCs/>
          <w:color w:val="auto"/>
          <w:sz w:val="21"/>
          <w:szCs w:val="21"/>
        </w:rPr>
        <w:t>建设，采用传输 TLS1.3 加密、存储 AES-256 加密，操作日志留存≥180天，实现分权分域管理、身份认证、访问控制、数据防泄密、防篡改、云端冗余备份。</w:t>
      </w:r>
    </w:p>
    <w:p w14:paraId="3A07577C">
      <w:pPr>
        <w:pStyle w:val="2"/>
        <w:numPr>
          <w:ilvl w:val="0"/>
          <w:numId w:val="0"/>
        </w:numPr>
        <w:rPr>
          <w:rFonts w:hint="eastAsia" w:cs="Times New Roman"/>
          <w:b/>
          <w:color w:val="000000"/>
          <w:sz w:val="21"/>
          <w:szCs w:val="21"/>
          <w:lang w:val="en-US" w:eastAsia="zh-CN"/>
        </w:rPr>
      </w:pPr>
      <w:bookmarkStart w:id="41" w:name="_Toc176849588"/>
      <w:bookmarkStart w:id="42" w:name="_Toc24541"/>
      <w:r>
        <w:rPr>
          <w:rFonts w:hint="eastAsia" w:cs="Times New Roman"/>
          <w:b/>
          <w:color w:val="000000"/>
          <w:sz w:val="21"/>
          <w:szCs w:val="21"/>
          <w:lang w:val="en-US" w:eastAsia="zh-CN" w:bidi="ar-SA"/>
        </w:rPr>
        <w:t>六</w:t>
      </w:r>
      <w:r>
        <w:rPr>
          <w:rFonts w:hint="eastAsia" w:ascii="Times New Roman" w:hAnsi="Times New Roman" w:eastAsia="宋体" w:cs="Times New Roman"/>
          <w:b/>
          <w:color w:val="000000"/>
          <w:sz w:val="21"/>
          <w:szCs w:val="21"/>
          <w:lang w:val="en-US" w:eastAsia="zh-CN" w:bidi="ar-SA"/>
        </w:rPr>
        <w:t>、</w:t>
      </w:r>
      <w:r>
        <w:rPr>
          <w:rFonts w:hint="eastAsia" w:cs="Times New Roman"/>
          <w:b/>
          <w:color w:val="000000"/>
          <w:sz w:val="21"/>
          <w:szCs w:val="21"/>
          <w:lang w:val="en-US" w:eastAsia="zh-CN"/>
        </w:rPr>
        <w:t>服务成果</w:t>
      </w:r>
    </w:p>
    <w:p w14:paraId="7DE7F002">
      <w:pPr>
        <w:pStyle w:val="2"/>
        <w:numPr>
          <w:ilvl w:val="-1"/>
          <w:numId w:val="0"/>
        </w:numPr>
        <w:ind w:firstLine="420" w:firstLineChars="200"/>
        <w:rPr>
          <w:rFonts w:hint="default" w:cs="Times New Roman"/>
          <w:b/>
          <w:color w:val="000000"/>
          <w:sz w:val="21"/>
          <w:szCs w:val="21"/>
          <w:lang w:val="en-US" w:eastAsia="zh-CN"/>
        </w:rPr>
      </w:pPr>
      <w:r>
        <w:rPr>
          <w:rFonts w:hint="eastAsia" w:cs="Times New Roman"/>
          <w:color w:val="000000"/>
          <w:sz w:val="21"/>
          <w:szCs w:val="21"/>
          <w:lang w:val="en-US" w:eastAsia="zh-CN"/>
        </w:rPr>
        <w:t>服务期间，每季度提交相关监测预警报表及系统运维报告</w:t>
      </w:r>
      <w:r>
        <w:rPr>
          <w:rFonts w:hint="eastAsia" w:ascii="Times New Roman" w:hAnsi="Times New Roman" w:eastAsia="宋体" w:cs="Times New Roman"/>
          <w:color w:val="000000"/>
          <w:sz w:val="21"/>
          <w:szCs w:val="21"/>
          <w:lang w:val="en-US" w:eastAsia="zh-CN"/>
        </w:rPr>
        <w:t>。2029年</w:t>
      </w:r>
      <w:r>
        <w:rPr>
          <w:rFonts w:hint="eastAsia" w:cs="Times New Roman"/>
          <w:color w:val="000000"/>
          <w:sz w:val="21"/>
          <w:szCs w:val="21"/>
          <w:lang w:val="en-US" w:eastAsia="zh-CN"/>
        </w:rPr>
        <w:t>12月1日</w:t>
      </w:r>
      <w:r>
        <w:rPr>
          <w:rFonts w:hint="eastAsia" w:ascii="Times New Roman" w:hAnsi="Times New Roman" w:eastAsia="宋体" w:cs="Times New Roman"/>
          <w:color w:val="000000"/>
          <w:sz w:val="21"/>
          <w:szCs w:val="21"/>
          <w:lang w:val="en-US" w:eastAsia="zh-CN"/>
        </w:rPr>
        <w:t>提供所有报表、报告及其他相关材料的纸质盖章件及电子档文本。</w:t>
      </w:r>
    </w:p>
    <w:p w14:paraId="1CA29E0C">
      <w:pPr>
        <w:pStyle w:val="2"/>
        <w:numPr>
          <w:ilvl w:val="0"/>
          <w:numId w:val="0"/>
        </w:numPr>
        <w:rPr>
          <w:rFonts w:hint="eastAsia" w:ascii="Times New Roman" w:hAnsi="Times New Roman" w:eastAsia="宋体" w:cs="Times New Roman"/>
          <w:b/>
          <w:color w:val="000000"/>
          <w:szCs w:val="21"/>
          <w:lang w:val="en-US" w:eastAsia="zh-CN"/>
        </w:rPr>
      </w:pPr>
      <w:r>
        <w:rPr>
          <w:rFonts w:hint="eastAsia" w:ascii="Times New Roman" w:hAnsi="Times New Roman" w:eastAsia="宋体" w:cs="Times New Roman"/>
          <w:b/>
          <w:color w:val="000000"/>
          <w:szCs w:val="21"/>
          <w:lang w:val="en-US" w:eastAsia="zh-CN"/>
        </w:rPr>
        <w:t>七、其他要求</w:t>
      </w:r>
    </w:p>
    <w:p w14:paraId="1565D7DC">
      <w:pPr>
        <w:keepNext w:val="0"/>
        <w:keepLines w:val="0"/>
        <w:pageBreakBefore w:val="0"/>
        <w:widowControl/>
        <w:numPr>
          <w:ilvl w:val="0"/>
          <w:numId w:val="0"/>
        </w:numPr>
        <w:kinsoku/>
        <w:wordWrap/>
        <w:overflowPunct/>
        <w:topLinePunct w:val="0"/>
        <w:autoSpaceDE/>
        <w:autoSpaceDN/>
        <w:bidi w:val="0"/>
        <w:adjustRightInd/>
        <w:snapToGrid/>
        <w:spacing w:line="279" w:lineRule="auto"/>
        <w:ind w:firstLine="422" w:firstLineChars="200"/>
        <w:textAlignment w:val="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b/>
          <w:bCs/>
          <w:sz w:val="21"/>
          <w:szCs w:val="24"/>
          <w:lang w:val="en-US" w:eastAsia="zh-CN" w:bidi="ar-SA"/>
        </w:rPr>
        <w:t>（1）服务期限：</w:t>
      </w:r>
      <w:r>
        <w:rPr>
          <w:rFonts w:hint="eastAsia" w:ascii="Times New Roman" w:hAnsi="Times New Roman" w:eastAsia="宋体" w:cs="Times New Roman"/>
          <w:sz w:val="21"/>
          <w:szCs w:val="24"/>
          <w:lang w:val="en-US" w:eastAsia="zh-CN" w:bidi="ar-SA"/>
        </w:rPr>
        <w:t>自合同签订生效之日起至2029年12月31日。</w:t>
      </w:r>
    </w:p>
    <w:p w14:paraId="7299AC6A">
      <w:pPr>
        <w:widowControl/>
        <w:numPr>
          <w:ilvl w:val="0"/>
          <w:numId w:val="0"/>
        </w:numPr>
        <w:spacing w:line="279" w:lineRule="auto"/>
        <w:ind w:firstLine="420" w:firstLineChars="0"/>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b/>
          <w:bCs/>
          <w:sz w:val="21"/>
          <w:szCs w:val="24"/>
          <w:lang w:val="en-US" w:eastAsia="zh-CN" w:bidi="ar-SA"/>
        </w:rPr>
        <w:t>（2）实施方案论证：</w:t>
      </w:r>
      <w:r>
        <w:rPr>
          <w:rFonts w:hint="eastAsia" w:ascii="Times New Roman" w:hAnsi="Times New Roman" w:eastAsia="宋体" w:cs="Times New Roman"/>
          <w:sz w:val="21"/>
          <w:szCs w:val="24"/>
          <w:lang w:val="en-US" w:eastAsia="zh-CN" w:bidi="ar-SA"/>
        </w:rPr>
        <w:t>中标公示结束后，中标单位应在10个自然日内完成具体实施方案并组织专家论证，修改完善后报采购单位备案。</w:t>
      </w:r>
    </w:p>
    <w:p w14:paraId="0E0C0C34">
      <w:pPr>
        <w:widowControl/>
        <w:numPr>
          <w:ilvl w:val="0"/>
          <w:numId w:val="0"/>
        </w:numPr>
        <w:spacing w:line="279" w:lineRule="auto"/>
        <w:ind w:firstLine="420" w:firstLineChars="0"/>
        <w:rPr>
          <w:rFonts w:hint="eastAsia" w:ascii="Times New Roman" w:hAnsi="Times New Roman" w:eastAsia="宋体" w:cs="Times New Roman"/>
          <w:sz w:val="21"/>
          <w:szCs w:val="21"/>
        </w:rPr>
      </w:pPr>
      <w:r>
        <w:rPr>
          <w:rFonts w:hint="eastAsia" w:cs="Times New Roman"/>
          <w:b/>
          <w:bCs/>
          <w:szCs w:val="21"/>
          <w:lang w:val="en-US" w:eastAsia="zh-CN"/>
        </w:rPr>
        <w:t>（3）项目进度安排：</w:t>
      </w:r>
      <w:r>
        <w:rPr>
          <w:rFonts w:hint="default" w:cs="Times New Roman"/>
          <w:b w:val="0"/>
          <w:bCs w:val="0"/>
          <w:szCs w:val="21"/>
          <w:lang w:val="en-US" w:eastAsia="zh-CN"/>
        </w:rPr>
        <w:t>自</w:t>
      </w:r>
      <w:r>
        <w:rPr>
          <w:rFonts w:ascii="Times New Roman" w:hAnsi="Times New Roman" w:eastAsia="宋体" w:cs="Times New Roman"/>
          <w:szCs w:val="21"/>
        </w:rPr>
        <w:t>合同签订生效之日起</w:t>
      </w:r>
      <w:r>
        <w:rPr>
          <w:rFonts w:hint="eastAsia" w:cs="Times New Roman"/>
          <w:szCs w:val="21"/>
          <w:lang w:val="en-US" w:eastAsia="zh-CN"/>
        </w:rPr>
        <w:t>80个自然日</w:t>
      </w:r>
      <w:r>
        <w:rPr>
          <w:rFonts w:ascii="Times New Roman" w:hAnsi="Times New Roman" w:eastAsia="宋体" w:cs="Times New Roman"/>
          <w:szCs w:val="21"/>
        </w:rPr>
        <w:t>内</w:t>
      </w:r>
      <w:r>
        <w:rPr>
          <w:rFonts w:hint="eastAsia" w:ascii="Times New Roman" w:hAnsi="Times New Roman" w:eastAsia="宋体" w:cs="Times New Roman"/>
          <w:sz w:val="21"/>
          <w:szCs w:val="24"/>
          <w:lang w:val="en-US" w:eastAsia="zh-CN" w:bidi="ar-SA"/>
        </w:rPr>
        <w:t>，中标单位应</w:t>
      </w:r>
      <w:r>
        <w:rPr>
          <w:rFonts w:ascii="Times New Roman" w:hAnsi="Times New Roman" w:eastAsia="宋体" w:cs="Times New Roman"/>
          <w:sz w:val="21"/>
          <w:szCs w:val="21"/>
        </w:rPr>
        <w:t>完成本项目全部</w:t>
      </w:r>
      <w:r>
        <w:rPr>
          <w:rFonts w:hint="eastAsia" w:cs="Times New Roman"/>
          <w:sz w:val="21"/>
          <w:szCs w:val="21"/>
          <w:lang w:val="en-US" w:eastAsia="zh-CN"/>
        </w:rPr>
        <w:t>预警监控管理服务准备</w:t>
      </w:r>
      <w:r>
        <w:rPr>
          <w:rFonts w:ascii="Times New Roman" w:hAnsi="Times New Roman" w:eastAsia="宋体" w:cs="Times New Roman"/>
          <w:sz w:val="21"/>
          <w:szCs w:val="21"/>
        </w:rPr>
        <w:t>工作</w:t>
      </w:r>
      <w:r>
        <w:rPr>
          <w:rFonts w:hint="eastAsia" w:cs="Times New Roman"/>
          <w:sz w:val="21"/>
          <w:szCs w:val="21"/>
          <w:lang w:eastAsia="zh-CN"/>
        </w:rPr>
        <w:t>，</w:t>
      </w:r>
      <w:r>
        <w:rPr>
          <w:rFonts w:hint="eastAsia" w:cs="Times New Roman"/>
          <w:sz w:val="21"/>
          <w:szCs w:val="21"/>
          <w:lang w:val="en-US" w:eastAsia="zh-CN"/>
        </w:rPr>
        <w:t>确保预警监测服务能够正式运行后，向采购单位提出整体验收申请。经采购单位整体验收</w:t>
      </w:r>
      <w:r>
        <w:rPr>
          <w:rFonts w:ascii="Times New Roman" w:hAnsi="Times New Roman" w:eastAsia="宋体" w:cs="Times New Roman"/>
          <w:sz w:val="21"/>
          <w:szCs w:val="21"/>
        </w:rPr>
        <w:t>通过</w:t>
      </w:r>
      <w:r>
        <w:rPr>
          <w:rFonts w:hint="eastAsia" w:cs="Times New Roman"/>
          <w:sz w:val="21"/>
          <w:szCs w:val="21"/>
          <w:lang w:val="en-US" w:eastAsia="zh-CN"/>
        </w:rPr>
        <w:t>后</w:t>
      </w:r>
      <w:r>
        <w:rPr>
          <w:rFonts w:ascii="Times New Roman" w:hAnsi="Times New Roman" w:eastAsia="宋体" w:cs="Times New Roman"/>
          <w:sz w:val="21"/>
          <w:szCs w:val="21"/>
        </w:rPr>
        <w:t>，</w:t>
      </w:r>
      <w:r>
        <w:rPr>
          <w:rFonts w:hint="eastAsia" w:ascii="Times New Roman" w:hAnsi="Times New Roman" w:eastAsia="宋体" w:cs="Times New Roman"/>
          <w:sz w:val="21"/>
          <w:szCs w:val="24"/>
          <w:lang w:val="en-US" w:eastAsia="zh-CN" w:bidi="ar-SA"/>
        </w:rPr>
        <w:t>中标单位</w:t>
      </w:r>
      <w:r>
        <w:rPr>
          <w:rFonts w:ascii="Times New Roman" w:hAnsi="Times New Roman" w:eastAsia="宋体" w:cs="Times New Roman"/>
          <w:sz w:val="21"/>
          <w:szCs w:val="21"/>
        </w:rPr>
        <w:t>正式启动</w:t>
      </w:r>
      <w:r>
        <w:rPr>
          <w:rFonts w:hint="eastAsia" w:cs="Times New Roman"/>
          <w:sz w:val="21"/>
          <w:szCs w:val="21"/>
          <w:u w:val="single"/>
          <w:lang w:eastAsia="zh-CN"/>
        </w:rPr>
        <w:t>预警监测</w:t>
      </w:r>
      <w:r>
        <w:rPr>
          <w:rFonts w:hint="eastAsia" w:cs="Times New Roman"/>
          <w:sz w:val="21"/>
          <w:szCs w:val="21"/>
          <w:u w:val="single"/>
          <w:lang w:val="en-US" w:eastAsia="zh-CN"/>
        </w:rPr>
        <w:t>服务，并</w:t>
      </w:r>
      <w:r>
        <w:rPr>
          <w:rFonts w:hint="eastAsia" w:ascii="Times New Roman" w:hAnsi="Times New Roman" w:eastAsia="宋体" w:cs="Times New Roman"/>
          <w:sz w:val="21"/>
          <w:szCs w:val="21"/>
        </w:rPr>
        <w:t>按照项目要求的期限，安排实施进度，完成目标任务。</w:t>
      </w:r>
      <w:r>
        <w:rPr>
          <w:rFonts w:hint="eastAsia" w:ascii="Times New Roman" w:hAnsi="Times New Roman" w:eastAsia="宋体" w:cs="Times New Roman"/>
          <w:sz w:val="21"/>
          <w:szCs w:val="24"/>
          <w:lang w:val="en-US" w:eastAsia="zh-CN" w:bidi="ar-SA"/>
        </w:rPr>
        <w:t>中标单位</w:t>
      </w:r>
      <w:r>
        <w:rPr>
          <w:rFonts w:hint="eastAsia" w:cs="Times New Roman"/>
          <w:sz w:val="21"/>
          <w:szCs w:val="24"/>
          <w:lang w:val="en-US" w:eastAsia="zh-CN" w:bidi="ar-SA"/>
        </w:rPr>
        <w:t>应</w:t>
      </w:r>
      <w:r>
        <w:rPr>
          <w:rFonts w:hint="eastAsia" w:ascii="Times New Roman" w:hAnsi="Times New Roman" w:eastAsia="宋体" w:cs="Times New Roman"/>
          <w:sz w:val="21"/>
          <w:szCs w:val="24"/>
          <w:lang w:val="en-US" w:eastAsia="zh-CN" w:bidi="ar-SA"/>
        </w:rPr>
        <w:t>分别于2027年9月15日</w:t>
      </w:r>
      <w:r>
        <w:rPr>
          <w:rFonts w:hint="eastAsia" w:ascii="Times New Roman" w:hAnsi="Times New Roman" w:eastAsia="宋体" w:cs="Times New Roman"/>
          <w:bCs w:val="0"/>
          <w:sz w:val="21"/>
          <w:szCs w:val="24"/>
          <w:lang w:val="en-US" w:eastAsia="zh-CN" w:bidi="ar-SA"/>
        </w:rPr>
        <w:t>、2028年12月15日之前，提交对应阶段的服务成果并进行项目</w:t>
      </w:r>
      <w:r>
        <w:rPr>
          <w:rFonts w:hint="eastAsia" w:cs="Times New Roman"/>
          <w:bCs w:val="0"/>
          <w:sz w:val="21"/>
          <w:szCs w:val="24"/>
          <w:lang w:val="en-US" w:eastAsia="zh-CN" w:bidi="ar-SA"/>
        </w:rPr>
        <w:t>阶段</w:t>
      </w:r>
      <w:r>
        <w:rPr>
          <w:rFonts w:hint="eastAsia" w:ascii="Times New Roman" w:hAnsi="Times New Roman" w:eastAsia="宋体" w:cs="Times New Roman"/>
          <w:bCs w:val="0"/>
          <w:sz w:val="21"/>
          <w:szCs w:val="24"/>
          <w:lang w:val="en-US" w:eastAsia="zh-CN" w:bidi="ar-SA"/>
        </w:rPr>
        <w:t>验收，验收合格后</w:t>
      </w:r>
      <w:r>
        <w:rPr>
          <w:rFonts w:hint="eastAsia" w:cs="Times New Roman"/>
          <w:bCs w:val="0"/>
          <w:sz w:val="21"/>
          <w:szCs w:val="24"/>
          <w:lang w:val="en-US" w:eastAsia="zh-CN" w:bidi="ar-SA"/>
        </w:rPr>
        <w:t>，</w:t>
      </w:r>
      <w:r>
        <w:rPr>
          <w:rFonts w:hint="eastAsia" w:ascii="Times New Roman" w:hAnsi="Times New Roman" w:eastAsia="宋体" w:cs="Times New Roman"/>
          <w:bCs w:val="0"/>
          <w:sz w:val="21"/>
          <w:szCs w:val="24"/>
          <w:lang w:val="en-US" w:eastAsia="zh-CN" w:bidi="ar-SA"/>
        </w:rPr>
        <w:t>续签下一阶段服务合同</w:t>
      </w:r>
      <w:r>
        <w:rPr>
          <w:rFonts w:hint="eastAsia" w:cs="Times New Roman"/>
          <w:bCs w:val="0"/>
          <w:sz w:val="21"/>
          <w:szCs w:val="24"/>
          <w:lang w:val="en-US" w:eastAsia="zh-CN" w:bidi="ar-SA"/>
        </w:rPr>
        <w:t>。</w:t>
      </w:r>
      <w:r>
        <w:rPr>
          <w:rFonts w:hint="eastAsia" w:ascii="Times New Roman" w:hAnsi="Times New Roman" w:eastAsia="宋体" w:cs="Times New Roman"/>
          <w:bCs w:val="0"/>
          <w:sz w:val="21"/>
          <w:szCs w:val="24"/>
          <w:lang w:val="en-US" w:eastAsia="zh-CN" w:bidi="ar-SA"/>
        </w:rPr>
        <w:t>如服务质量不达标或服务成果不合格，采购人有权不再续签合同。</w:t>
      </w:r>
      <w:r>
        <w:rPr>
          <w:rFonts w:hint="eastAsia" w:ascii="Times New Roman" w:hAnsi="Times New Roman" w:eastAsia="宋体" w:cs="Times New Roman"/>
          <w:sz w:val="21"/>
          <w:szCs w:val="24"/>
          <w:lang w:val="en-US" w:eastAsia="zh-CN" w:bidi="ar-SA"/>
        </w:rPr>
        <w:t>中标单位</w:t>
      </w:r>
      <w:r>
        <w:rPr>
          <w:rFonts w:hint="eastAsia" w:cs="Times New Roman"/>
          <w:sz w:val="21"/>
          <w:szCs w:val="24"/>
          <w:lang w:val="en-US" w:eastAsia="zh-CN" w:bidi="ar-SA"/>
        </w:rPr>
        <w:t>应于</w:t>
      </w:r>
      <w:r>
        <w:rPr>
          <w:rFonts w:hint="eastAsia" w:ascii="Times New Roman" w:hAnsi="Times New Roman" w:eastAsia="宋体" w:cs="Times New Roman"/>
          <w:color w:val="000000"/>
          <w:sz w:val="21"/>
          <w:szCs w:val="21"/>
          <w:lang w:val="en-US" w:eastAsia="zh-CN"/>
        </w:rPr>
        <w:t>2029年</w:t>
      </w:r>
      <w:r>
        <w:rPr>
          <w:rFonts w:hint="eastAsia" w:cs="Times New Roman"/>
          <w:color w:val="000000"/>
          <w:sz w:val="21"/>
          <w:szCs w:val="21"/>
          <w:lang w:val="en-US" w:eastAsia="zh-CN"/>
        </w:rPr>
        <w:t>12月1日提交服务成果，并同步提交验收申请。</w:t>
      </w:r>
    </w:p>
    <w:p w14:paraId="3FA5D7ED">
      <w:pPr>
        <w:spacing w:after="0" w:line="240" w:lineRule="auto"/>
        <w:ind w:firstLine="422" w:firstLineChars="200"/>
        <w:rPr>
          <w:rFonts w:hint="eastAsia" w:cs="Times New Roman"/>
          <w:b/>
          <w:color w:val="000000"/>
          <w:sz w:val="21"/>
          <w:szCs w:val="21"/>
          <w:lang w:val="en-US" w:eastAsia="zh-CN"/>
        </w:rPr>
      </w:pPr>
      <w:r>
        <w:rPr>
          <w:rFonts w:hint="eastAsia" w:cs="Times New Roman"/>
          <w:b/>
          <w:color w:val="000000"/>
          <w:sz w:val="21"/>
          <w:szCs w:val="21"/>
          <w:lang w:val="en-US" w:eastAsia="zh-CN"/>
        </w:rPr>
        <w:t>（4）付款方式</w:t>
      </w:r>
    </w:p>
    <w:p w14:paraId="6AC351C7">
      <w:pPr>
        <w:widowControl/>
        <w:numPr>
          <w:ilvl w:val="0"/>
          <w:numId w:val="0"/>
        </w:numPr>
        <w:spacing w:after="0" w:line="279" w:lineRule="auto"/>
        <w:ind w:firstLine="420" w:firstLineChars="0"/>
        <w:rPr>
          <w:rFonts w:hint="default" w:cs="Times New Roman"/>
          <w:b w:val="0"/>
          <w:bCs w:val="0"/>
          <w:sz w:val="21"/>
          <w:szCs w:val="21"/>
          <w:u w:val="none"/>
          <w:lang w:val="en-US" w:eastAsia="zh-CN" w:bidi="ar-SA"/>
        </w:rPr>
      </w:pPr>
      <w:r>
        <w:rPr>
          <w:rFonts w:hint="eastAsia" w:cs="Times New Roman"/>
          <w:b w:val="0"/>
          <w:bCs w:val="0"/>
          <w:sz w:val="21"/>
          <w:szCs w:val="24"/>
          <w:u w:val="none"/>
          <w:lang w:val="en-US" w:eastAsia="zh-CN" w:bidi="ar-SA"/>
        </w:rPr>
        <w:t>首次</w:t>
      </w:r>
      <w:r>
        <w:rPr>
          <w:rFonts w:hint="eastAsia" w:ascii="Times New Roman" w:hAnsi="Times New Roman" w:eastAsia="宋体" w:cs="Times New Roman"/>
          <w:b w:val="0"/>
          <w:bCs w:val="0"/>
          <w:sz w:val="21"/>
          <w:szCs w:val="24"/>
          <w:u w:val="none"/>
          <w:lang w:val="en-US" w:eastAsia="zh-CN" w:bidi="ar-SA"/>
        </w:rPr>
        <w:t>合同签订后</w:t>
      </w:r>
      <w:r>
        <w:rPr>
          <w:rFonts w:hint="default" w:ascii="Times New Roman" w:hAnsi="Times New Roman" w:eastAsia="宋体" w:cs="Times New Roman"/>
          <w:b w:val="0"/>
          <w:bCs w:val="0"/>
          <w:sz w:val="21"/>
          <w:szCs w:val="21"/>
          <w:u w:val="none"/>
          <w:lang w:val="en-US" w:eastAsia="zh-CN" w:bidi="ar-SA"/>
        </w:rPr>
        <w:t>甲方</w:t>
      </w:r>
      <w:r>
        <w:rPr>
          <w:rFonts w:hint="eastAsia" w:cs="Times New Roman"/>
          <w:b w:val="0"/>
          <w:bCs w:val="0"/>
          <w:sz w:val="21"/>
          <w:szCs w:val="21"/>
          <w:u w:val="none"/>
          <w:lang w:val="en-US" w:eastAsia="zh-CN" w:bidi="ar-SA"/>
        </w:rPr>
        <w:t>支付合同总额（投标总价）的30%，</w:t>
      </w:r>
      <w:r>
        <w:rPr>
          <w:rFonts w:hint="default" w:eastAsia="宋体" w:cs="Times New Roman"/>
          <w:sz w:val="21"/>
          <w:szCs w:val="21"/>
          <w:u w:val="none"/>
          <w:lang w:val="en-US" w:eastAsia="zh-CN"/>
        </w:rPr>
        <w:t>2027年9月30日</w:t>
      </w:r>
      <w:r>
        <w:rPr>
          <w:rFonts w:hint="eastAsia" w:cs="Times New Roman"/>
          <w:sz w:val="21"/>
          <w:szCs w:val="21"/>
          <w:u w:val="none"/>
          <w:lang w:val="en-US" w:eastAsia="zh-CN"/>
        </w:rPr>
        <w:t>前对第一阶段服务成果验收通过后，支付</w:t>
      </w:r>
      <w:r>
        <w:rPr>
          <w:rFonts w:hint="eastAsia" w:cs="Times New Roman"/>
          <w:b w:val="0"/>
          <w:bCs w:val="0"/>
          <w:sz w:val="21"/>
          <w:szCs w:val="21"/>
          <w:u w:val="none"/>
          <w:lang w:val="en-US" w:eastAsia="zh-CN" w:bidi="ar-SA"/>
        </w:rPr>
        <w:t>合同总额（投标总价）的20%；注：前两笔付款最多不超过245万元，不足部分第三次付款时补足。</w:t>
      </w:r>
    </w:p>
    <w:p w14:paraId="32FC2DD3">
      <w:pPr>
        <w:widowControl/>
        <w:numPr>
          <w:ilvl w:val="0"/>
          <w:numId w:val="0"/>
        </w:numPr>
        <w:spacing w:after="0" w:line="279" w:lineRule="auto"/>
        <w:ind w:firstLine="420" w:firstLineChars="0"/>
        <w:rPr>
          <w:rFonts w:hint="eastAsia" w:cs="Times New Roman"/>
          <w:b w:val="0"/>
          <w:bCs w:val="0"/>
          <w:sz w:val="21"/>
          <w:szCs w:val="21"/>
          <w:u w:val="none"/>
          <w:lang w:val="en-US" w:eastAsia="zh-CN" w:bidi="ar-SA"/>
        </w:rPr>
      </w:pPr>
      <w:r>
        <w:rPr>
          <w:rFonts w:hint="eastAsia" w:ascii="Times New Roman" w:hAnsi="Times New Roman" w:eastAsia="宋体" w:cs="Times New Roman"/>
          <w:bCs w:val="0"/>
          <w:sz w:val="21"/>
          <w:szCs w:val="24"/>
          <w:u w:val="none"/>
          <w:lang w:val="en-US" w:eastAsia="zh-CN" w:bidi="ar-SA"/>
        </w:rPr>
        <w:t>2028年</w:t>
      </w:r>
      <w:r>
        <w:rPr>
          <w:rFonts w:hint="eastAsia" w:cs="Times New Roman"/>
          <w:bCs w:val="0"/>
          <w:sz w:val="21"/>
          <w:szCs w:val="24"/>
          <w:u w:val="none"/>
          <w:lang w:val="en-US" w:eastAsia="zh-CN" w:bidi="ar-SA"/>
        </w:rPr>
        <w:t>12月31日</w:t>
      </w:r>
      <w:r>
        <w:rPr>
          <w:rFonts w:hint="eastAsia" w:cs="Times New Roman"/>
          <w:sz w:val="21"/>
          <w:szCs w:val="21"/>
          <w:u w:val="none"/>
          <w:lang w:val="en-US" w:eastAsia="zh-CN"/>
        </w:rPr>
        <w:t>前对第二阶段服务成果验收通过后，</w:t>
      </w:r>
      <w:r>
        <w:rPr>
          <w:rFonts w:hint="eastAsia" w:cs="Times New Roman"/>
          <w:b w:val="0"/>
          <w:bCs w:val="0"/>
          <w:sz w:val="21"/>
          <w:szCs w:val="21"/>
          <w:u w:val="none"/>
          <w:lang w:val="en-US" w:eastAsia="zh-CN" w:bidi="ar-SA"/>
        </w:rPr>
        <w:t>支付合同总额（投标总价）的25%；2029年12月31日前全部服务成果验收通过后，支付合同总额（投标总价）的25%。</w:t>
      </w:r>
    </w:p>
    <w:p w14:paraId="528F9ECD">
      <w:pPr>
        <w:widowControl/>
        <w:numPr>
          <w:ilvl w:val="0"/>
          <w:numId w:val="0"/>
        </w:numPr>
        <w:spacing w:after="0" w:line="279" w:lineRule="auto"/>
        <w:ind w:firstLine="420" w:firstLineChars="0"/>
        <w:rPr>
          <w:rFonts w:hint="eastAsia" w:ascii="Times New Roman" w:hAnsi="Times New Roman" w:eastAsia="宋体" w:cs="Times New Roman"/>
          <w:sz w:val="21"/>
          <w:szCs w:val="24"/>
          <w:u w:val="none"/>
          <w:lang w:val="en-US" w:eastAsia="zh-CN" w:bidi="ar-SA"/>
        </w:rPr>
      </w:pPr>
      <w:r>
        <w:rPr>
          <w:rFonts w:hint="eastAsia" w:ascii="Times New Roman" w:hAnsi="Times New Roman" w:eastAsia="宋体" w:cs="Times New Roman"/>
          <w:b w:val="0"/>
          <w:bCs w:val="0"/>
          <w:sz w:val="21"/>
          <w:szCs w:val="24"/>
          <w:u w:val="none"/>
          <w:lang w:val="en-US" w:eastAsia="zh-CN" w:bidi="ar-SA"/>
        </w:rPr>
        <w:t>付款之前需收到乙方开具的合法有效的相应金额发票。</w:t>
      </w:r>
    </w:p>
    <w:p w14:paraId="54781057">
      <w:pPr>
        <w:pStyle w:val="2"/>
        <w:numPr>
          <w:ilvl w:val="0"/>
          <w:numId w:val="0"/>
        </w:numPr>
        <w:ind w:firstLine="422" w:firstLineChars="200"/>
        <w:rPr>
          <w:rFonts w:hint="eastAsia" w:cs="Times New Roman"/>
          <w:b/>
          <w:color w:val="000000"/>
          <w:sz w:val="21"/>
          <w:szCs w:val="21"/>
          <w:lang w:val="en-US" w:eastAsia="zh-CN"/>
        </w:rPr>
      </w:pPr>
      <w:r>
        <w:rPr>
          <w:rFonts w:hint="eastAsia" w:ascii="Times New Roman" w:hAnsi="Times New Roman" w:eastAsia="宋体" w:cs="Times New Roman"/>
          <w:b/>
          <w:color w:val="000000"/>
          <w:sz w:val="21"/>
          <w:szCs w:val="21"/>
          <w:lang w:val="en-US" w:eastAsia="zh-CN" w:bidi="ar-SA"/>
        </w:rPr>
        <w:t>（5）</w:t>
      </w:r>
      <w:r>
        <w:rPr>
          <w:rFonts w:hint="eastAsia" w:cs="Times New Roman"/>
          <w:b/>
          <w:color w:val="000000"/>
          <w:sz w:val="21"/>
          <w:szCs w:val="21"/>
          <w:lang w:val="en-US" w:eastAsia="zh-CN"/>
        </w:rPr>
        <w:t>验收要求</w:t>
      </w:r>
    </w:p>
    <w:p w14:paraId="04BECF72">
      <w:pPr>
        <w:pStyle w:val="2"/>
        <w:widowControl w:val="0"/>
        <w:numPr>
          <w:ilvl w:val="0"/>
          <w:numId w:val="0"/>
        </w:numPr>
        <w:spacing w:after="160" w:line="278" w:lineRule="auto"/>
        <w:jc w:val="both"/>
        <w:rPr>
          <w:rFonts w:hint="default" w:cs="Times New Roman"/>
          <w:b w:val="0"/>
          <w:sz w:val="21"/>
          <w:szCs w:val="21"/>
          <w:lang w:val="en-US" w:eastAsia="zh-CN"/>
        </w:rPr>
      </w:pPr>
      <w:r>
        <w:rPr>
          <w:rFonts w:hint="eastAsia" w:cs="Times New Roman"/>
          <w:b w:val="0"/>
          <w:sz w:val="21"/>
          <w:szCs w:val="21"/>
          <w:lang w:val="en-US" w:eastAsia="zh-CN"/>
        </w:rPr>
        <w:t xml:space="preserve">    </w:t>
      </w:r>
      <w:r>
        <w:rPr>
          <w:rFonts w:hint="default" w:eastAsia="宋体" w:cs="Times New Roman"/>
          <w:sz w:val="21"/>
          <w:szCs w:val="21"/>
          <w:u w:val="none"/>
          <w:lang w:val="en-US" w:eastAsia="zh-CN"/>
        </w:rPr>
        <w:t>2027年9月30日</w:t>
      </w:r>
      <w:r>
        <w:rPr>
          <w:rFonts w:hint="eastAsia" w:cs="Times New Roman"/>
          <w:sz w:val="21"/>
          <w:szCs w:val="21"/>
          <w:u w:val="none"/>
          <w:lang w:val="en-US" w:eastAsia="zh-CN"/>
        </w:rPr>
        <w:t>、</w:t>
      </w:r>
      <w:r>
        <w:rPr>
          <w:rFonts w:hint="eastAsia" w:ascii="Times New Roman" w:hAnsi="Times New Roman" w:eastAsia="宋体" w:cs="Times New Roman"/>
          <w:bCs w:val="0"/>
          <w:sz w:val="21"/>
          <w:szCs w:val="24"/>
          <w:u w:val="none"/>
          <w:lang w:val="en-US" w:eastAsia="zh-CN" w:bidi="ar-SA"/>
        </w:rPr>
        <w:t>2028年</w:t>
      </w:r>
      <w:r>
        <w:rPr>
          <w:rFonts w:hint="eastAsia" w:cs="Times New Roman"/>
          <w:bCs w:val="0"/>
          <w:sz w:val="21"/>
          <w:szCs w:val="24"/>
          <w:u w:val="none"/>
          <w:lang w:val="en-US" w:eastAsia="zh-CN" w:bidi="ar-SA"/>
        </w:rPr>
        <w:t>12月31日</w:t>
      </w:r>
      <w:r>
        <w:rPr>
          <w:rFonts w:hint="eastAsia" w:cs="Times New Roman"/>
          <w:sz w:val="21"/>
          <w:szCs w:val="21"/>
          <w:u w:val="none"/>
          <w:lang w:val="en-US" w:eastAsia="zh-CN"/>
        </w:rPr>
        <w:t>前分别开展一次阶段性验收，2029年12月31日前开展终验。阶段验收由甲方采取打分制进行，满分100分，合格线为80分（具体评分细则由甲方另行制定并在合同中明确）；终验由甲方组织专家评审，验收合格后方可结清尾款。</w:t>
      </w:r>
    </w:p>
    <w:p w14:paraId="21B7FD58">
      <w:pPr>
        <w:pStyle w:val="2"/>
        <w:ind w:firstLine="422" w:firstLineChars="200"/>
        <w:rPr>
          <w:rFonts w:hint="eastAsia" w:cs="Times New Roman"/>
          <w:b/>
          <w:color w:val="000000"/>
          <w:sz w:val="21"/>
          <w:szCs w:val="21"/>
          <w:lang w:val="en-US" w:eastAsia="zh-CN"/>
        </w:rPr>
      </w:pPr>
      <w:r>
        <w:rPr>
          <w:rFonts w:hint="eastAsia" w:cs="Times New Roman"/>
          <w:b/>
          <w:color w:val="000000"/>
          <w:sz w:val="21"/>
          <w:szCs w:val="21"/>
          <w:lang w:val="en-US" w:eastAsia="zh-CN"/>
        </w:rPr>
        <w:t>（6）售后服务要求</w:t>
      </w:r>
    </w:p>
    <w:p w14:paraId="54AB2146">
      <w:pPr>
        <w:widowControl/>
        <w:numPr>
          <w:ilvl w:val="0"/>
          <w:numId w:val="0"/>
        </w:numPr>
        <w:spacing w:line="279" w:lineRule="auto"/>
        <w:ind w:firstLine="420" w:firstLineChars="0"/>
        <w:rPr>
          <w:rFonts w:hint="eastAsia" w:cs="Times New Roman"/>
          <w:b/>
          <w:color w:val="000000"/>
          <w:sz w:val="21"/>
          <w:szCs w:val="21"/>
          <w:lang w:val="en-US" w:eastAsia="zh-CN"/>
        </w:rPr>
      </w:pPr>
      <w:r>
        <w:rPr>
          <w:rFonts w:hint="eastAsia" w:ascii="Times New Roman" w:hAnsi="Times New Roman" w:eastAsia="宋体" w:cs="Times New Roman"/>
          <w:sz w:val="21"/>
          <w:szCs w:val="21"/>
        </w:rPr>
        <w:t>提供相关咨询、协调和项目审查等技术支持。投标人在投标文件中应提供详细的售后服务承诺书。</w:t>
      </w:r>
      <w:r>
        <w:rPr>
          <w:rFonts w:hint="eastAsia" w:ascii="Times New Roman" w:hAnsi="Times New Roman" w:eastAsia="宋体" w:cs="Times New Roman"/>
          <w:bCs w:val="0"/>
          <w:sz w:val="21"/>
          <w:szCs w:val="21"/>
        </w:rPr>
        <w:t>本项目的售后服务时间为1年。</w:t>
      </w:r>
      <w:r>
        <w:rPr>
          <w:rFonts w:hint="eastAsia" w:ascii="Times New Roman" w:hAnsi="Times New Roman" w:eastAsia="宋体" w:cs="Times New Roman"/>
          <w:b/>
          <w:bCs/>
          <w:sz w:val="21"/>
          <w:szCs w:val="21"/>
        </w:rPr>
        <w:t>提供承诺书原件加盖供应商公章。</w:t>
      </w:r>
    </w:p>
    <w:p w14:paraId="244406C1">
      <w:pPr>
        <w:pStyle w:val="2"/>
        <w:ind w:firstLine="422" w:firstLineChars="200"/>
        <w:rPr>
          <w:rFonts w:hint="eastAsia" w:cs="Times New Roman"/>
          <w:b/>
          <w:color w:val="000000"/>
          <w:sz w:val="21"/>
          <w:szCs w:val="21"/>
          <w:lang w:val="en-US" w:eastAsia="zh-CN"/>
        </w:rPr>
      </w:pPr>
      <w:r>
        <w:rPr>
          <w:rFonts w:hint="eastAsia" w:cs="Times New Roman"/>
          <w:b/>
          <w:color w:val="000000"/>
          <w:sz w:val="21"/>
          <w:szCs w:val="21"/>
          <w:lang w:val="en-US" w:eastAsia="zh-CN"/>
        </w:rPr>
        <w:t>（7）保密及信息安全要求</w:t>
      </w:r>
    </w:p>
    <w:p w14:paraId="65D01B59">
      <w:pPr>
        <w:spacing w:line="279" w:lineRule="auto"/>
        <w:ind w:firstLine="420" w:firstLineChars="200"/>
        <w:rPr>
          <w:rFonts w:hint="default" w:eastAsia="宋体" w:cs="Times New Roman"/>
          <w:b w:val="0"/>
          <w:bCs/>
          <w:color w:val="000000"/>
          <w:sz w:val="21"/>
          <w:szCs w:val="21"/>
          <w:lang w:val="en-US" w:eastAsia="zh-CN"/>
        </w:rPr>
      </w:pPr>
      <w:r>
        <w:rPr>
          <w:rFonts w:hint="eastAsia" w:cs="Times New Roman"/>
          <w:b w:val="0"/>
          <w:bCs/>
          <w:color w:val="000000"/>
          <w:sz w:val="21"/>
          <w:szCs w:val="21"/>
          <w:lang w:val="en-US" w:eastAsia="zh-CN"/>
        </w:rPr>
        <w:t>投标人在中标后，应严格遵守保密规定，未经招标人同意，不得将与本项目有关的任何资料、数据或信息向第三方泄露或公开</w:t>
      </w:r>
      <w:r>
        <w:rPr>
          <w:rFonts w:hint="eastAsia" w:ascii="Times New Roman" w:hAnsi="Times New Roman" w:eastAsia="宋体" w:cs="Times New Roman"/>
          <w:bCs w:val="0"/>
          <w:sz w:val="21"/>
          <w:szCs w:val="21"/>
        </w:rPr>
        <w:t>。</w:t>
      </w:r>
      <w:r>
        <w:rPr>
          <w:rFonts w:hint="eastAsia" w:cs="Times New Roman"/>
          <w:lang w:val="en-US" w:eastAsia="zh-CN"/>
        </w:rPr>
        <w:t>供应商</w:t>
      </w:r>
      <w:r>
        <w:rPr>
          <w:rFonts w:hint="eastAsia" w:ascii="Times New Roman" w:hAnsi="Times New Roman" w:eastAsia="宋体" w:cs="Times New Roman"/>
        </w:rPr>
        <w:t>应对其提供的产品、系统及运维服务本身引发的网络安全风险承担责任，保障</w:t>
      </w:r>
      <w:r>
        <w:rPr>
          <w:rFonts w:hint="eastAsia" w:cs="Times New Roman"/>
          <w:lang w:val="en-US" w:eastAsia="zh-CN"/>
        </w:rPr>
        <w:t>采购人</w:t>
      </w:r>
      <w:r>
        <w:rPr>
          <w:rFonts w:hint="eastAsia" w:ascii="Times New Roman" w:hAnsi="Times New Roman" w:eastAsia="宋体" w:cs="Times New Roman"/>
        </w:rPr>
        <w:t>信息安全，及时排查、修复自身服务存在的网络漏洞。发现安全缺陷、漏洞或安全事件时，</w:t>
      </w:r>
      <w:r>
        <w:rPr>
          <w:rFonts w:hint="eastAsia" w:cs="Times New Roman"/>
          <w:lang w:val="en-US" w:eastAsia="zh-CN"/>
        </w:rPr>
        <w:t>供应商</w:t>
      </w:r>
      <w:r>
        <w:rPr>
          <w:rFonts w:hint="eastAsia" w:ascii="Times New Roman" w:hAnsi="Times New Roman" w:eastAsia="宋体" w:cs="Times New Roman"/>
        </w:rPr>
        <w:t>须第一时间通知</w:t>
      </w:r>
      <w:r>
        <w:rPr>
          <w:rFonts w:hint="eastAsia" w:cs="Times New Roman"/>
          <w:lang w:val="en-US" w:eastAsia="zh-CN"/>
        </w:rPr>
        <w:t>采购人</w:t>
      </w:r>
      <w:r>
        <w:rPr>
          <w:rFonts w:hint="eastAsia" w:ascii="Times New Roman" w:hAnsi="Times New Roman" w:eastAsia="宋体" w:cs="Times New Roman"/>
        </w:rPr>
        <w:t>并采取应急处置措施。因</w:t>
      </w:r>
      <w:r>
        <w:rPr>
          <w:rFonts w:hint="eastAsia" w:cs="Times New Roman"/>
          <w:lang w:val="en-US" w:eastAsia="zh-CN"/>
        </w:rPr>
        <w:t>供应商</w:t>
      </w:r>
      <w:r>
        <w:rPr>
          <w:rFonts w:hint="eastAsia" w:ascii="Times New Roman" w:hAnsi="Times New Roman" w:eastAsia="宋体" w:cs="Times New Roman"/>
        </w:rPr>
        <w:t>原因（代码缺陷、配置错误、运维疏漏、未按期修复漏洞等）造成信息泄露、系统遭攻击、数据损坏等安全事故，由</w:t>
      </w:r>
      <w:r>
        <w:rPr>
          <w:rFonts w:hint="eastAsia" w:cs="Times New Roman"/>
          <w:lang w:val="en-US" w:eastAsia="zh-CN"/>
        </w:rPr>
        <w:t>供应商</w:t>
      </w:r>
      <w:r>
        <w:rPr>
          <w:rFonts w:hint="eastAsia" w:ascii="Times New Roman" w:hAnsi="Times New Roman" w:eastAsia="宋体" w:cs="Times New Roman"/>
        </w:rPr>
        <w:t>承担全部赔偿责任，包括</w:t>
      </w:r>
      <w:r>
        <w:rPr>
          <w:rFonts w:hint="eastAsia" w:cs="Times New Roman"/>
          <w:lang w:val="en-US" w:eastAsia="zh-CN"/>
        </w:rPr>
        <w:t>采购人</w:t>
      </w:r>
      <w:r>
        <w:rPr>
          <w:rFonts w:hint="eastAsia" w:ascii="Times New Roman" w:hAnsi="Times New Roman" w:eastAsia="宋体" w:cs="Times New Roman"/>
        </w:rPr>
        <w:t>直接损失、第三方索赔、行政罚款、维权律师费等。</w:t>
      </w:r>
      <w:r>
        <w:rPr>
          <w:rFonts w:hint="eastAsia" w:ascii="Times New Roman" w:hAnsi="Times New Roman" w:eastAsia="宋体" w:cs="Times New Roman"/>
          <w:b/>
          <w:bCs/>
          <w:sz w:val="21"/>
          <w:szCs w:val="21"/>
        </w:rPr>
        <w:t>提供承诺书原件加盖供应商公章。</w:t>
      </w:r>
      <w:r>
        <w:rPr>
          <w:rFonts w:hint="eastAsia" w:cs="Times New Roman"/>
          <w:b/>
          <w:bCs/>
          <w:sz w:val="21"/>
          <w:szCs w:val="21"/>
          <w:lang w:val="en-US" w:eastAsia="zh-CN"/>
        </w:rPr>
        <w:t>塘口分布信息涉及详细坐标属敏感信息，如有需要请与代理机构联系获取。</w:t>
      </w:r>
    </w:p>
    <w:p w14:paraId="44ED0DCA">
      <w:pPr>
        <w:pStyle w:val="2"/>
        <w:ind w:firstLine="422" w:firstLineChars="200"/>
        <w:rPr>
          <w:rFonts w:hint="eastAsia" w:cs="Times New Roman"/>
          <w:b/>
          <w:color w:val="000000"/>
          <w:sz w:val="21"/>
          <w:szCs w:val="21"/>
          <w:lang w:val="en-US" w:eastAsia="zh-CN"/>
        </w:rPr>
      </w:pPr>
      <w:r>
        <w:rPr>
          <w:rFonts w:hint="eastAsia" w:cs="Times New Roman"/>
          <w:b/>
          <w:color w:val="000000"/>
          <w:sz w:val="21"/>
          <w:szCs w:val="21"/>
          <w:lang w:val="en-US" w:eastAsia="zh-CN"/>
        </w:rPr>
        <w:t>（8）服务安全要求</w:t>
      </w:r>
    </w:p>
    <w:p w14:paraId="0F7BA0FE">
      <w:pPr>
        <w:pStyle w:val="2"/>
        <w:ind w:firstLine="420" w:firstLineChars="200"/>
        <w:rPr>
          <w:rFonts w:hint="default" w:cs="Times New Roman"/>
          <w:b/>
          <w:color w:val="000000"/>
          <w:sz w:val="21"/>
          <w:szCs w:val="21"/>
          <w:lang w:val="en-US" w:eastAsia="zh-CN"/>
        </w:rPr>
      </w:pPr>
      <w:r>
        <w:rPr>
          <w:rFonts w:hint="eastAsia" w:cs="Times New Roman"/>
          <w:b w:val="0"/>
          <w:bCs/>
          <w:color w:val="000000"/>
          <w:sz w:val="21"/>
          <w:szCs w:val="21"/>
          <w:lang w:val="en-US" w:eastAsia="zh-CN"/>
        </w:rPr>
        <w:t>投标人在中标后，实施项目的过程中需采取一定的安全措施，保证项目实施的人员、设备等的安全。如出现安全事故，招标人不承担任何责任。</w:t>
      </w:r>
      <w:r>
        <w:rPr>
          <w:rFonts w:hint="eastAsia" w:ascii="Times New Roman" w:hAnsi="Times New Roman" w:eastAsia="宋体" w:cs="Times New Roman"/>
          <w:b/>
          <w:bCs/>
          <w:sz w:val="21"/>
          <w:szCs w:val="21"/>
        </w:rPr>
        <w:t>提供承诺书原件加盖供应商公章。</w:t>
      </w:r>
    </w:p>
    <w:p w14:paraId="6550EE59">
      <w:pPr>
        <w:pStyle w:val="2"/>
        <w:ind w:firstLine="422" w:firstLineChars="200"/>
        <w:rPr>
          <w:rFonts w:hint="default" w:cs="Times New Roman"/>
          <w:b/>
          <w:color w:val="000000"/>
          <w:sz w:val="21"/>
          <w:szCs w:val="21"/>
          <w:lang w:val="en-US" w:eastAsia="zh-CN"/>
        </w:rPr>
      </w:pPr>
      <w:r>
        <w:rPr>
          <w:rFonts w:hint="eastAsia" w:cs="Times New Roman"/>
          <w:b/>
          <w:color w:val="000000"/>
          <w:sz w:val="21"/>
          <w:szCs w:val="21"/>
          <w:lang w:val="en-US" w:eastAsia="zh-CN"/>
        </w:rPr>
        <w:t>（9）质量要求</w:t>
      </w:r>
    </w:p>
    <w:p w14:paraId="2B39727F">
      <w:pPr>
        <w:keepNext w:val="0"/>
        <w:keepLines w:val="0"/>
        <w:pageBreakBefore w:val="0"/>
        <w:widowControl/>
        <w:numPr>
          <w:ilvl w:val="0"/>
          <w:numId w:val="0"/>
        </w:numPr>
        <w:kinsoku/>
        <w:wordWrap/>
        <w:overflowPunct/>
        <w:topLinePunct w:val="0"/>
        <w:autoSpaceDE/>
        <w:autoSpaceDN/>
        <w:bidi w:val="0"/>
        <w:adjustRightInd/>
        <w:snapToGrid/>
        <w:spacing w:line="279" w:lineRule="auto"/>
        <w:ind w:firstLine="420" w:firstLineChars="0"/>
        <w:textAlignment w:val="auto"/>
        <w:rPr>
          <w:rFonts w:hint="eastAsia" w:ascii="Times New Roman" w:hAnsi="Times New Roman" w:eastAsia="宋体" w:cs="Times New Roman"/>
          <w:b/>
          <w:bCs/>
          <w:sz w:val="21"/>
          <w:szCs w:val="21"/>
          <w:lang w:val="en-US" w:eastAsia="zh-CN" w:bidi="ar-SA"/>
        </w:rPr>
      </w:pPr>
      <w:r>
        <w:rPr>
          <w:rFonts w:hint="eastAsia"/>
          <w:lang w:val="en-US" w:eastAsia="zh-CN"/>
        </w:rPr>
        <w:t>投标人在中标后，须强化服务质量管控。</w:t>
      </w:r>
      <w:r>
        <w:rPr>
          <w:rFonts w:hint="eastAsia" w:ascii="Times New Roman" w:hAnsi="Times New Roman" w:eastAsia="宋体" w:cs="Times New Roman"/>
          <w:b/>
          <w:bCs/>
          <w:sz w:val="21"/>
          <w:szCs w:val="21"/>
          <w:lang w:val="en-US" w:eastAsia="zh-CN" w:bidi="ar-SA"/>
        </w:rPr>
        <w:t>提供质量保障方案及违约责任承诺函</w:t>
      </w:r>
      <w:r>
        <w:rPr>
          <w:rFonts w:hint="eastAsia" w:ascii="Times New Roman" w:hAnsi="Times New Roman" w:eastAsia="宋体" w:cs="Times New Roman"/>
          <w:b/>
          <w:bCs/>
          <w:sz w:val="21"/>
          <w:szCs w:val="21"/>
        </w:rPr>
        <w:t>原件加盖供应商公章</w:t>
      </w:r>
      <w:r>
        <w:rPr>
          <w:rFonts w:hint="eastAsia" w:ascii="Times New Roman" w:hAnsi="Times New Roman" w:eastAsia="宋体" w:cs="Times New Roman"/>
          <w:b/>
          <w:bCs/>
          <w:sz w:val="21"/>
          <w:szCs w:val="21"/>
          <w:lang w:val="en-US" w:eastAsia="zh-CN" w:bidi="ar-SA"/>
        </w:rPr>
        <w:t>。</w:t>
      </w:r>
    </w:p>
    <w:p w14:paraId="43959299">
      <w:pPr>
        <w:keepNext w:val="0"/>
        <w:keepLines w:val="0"/>
        <w:pageBreakBefore w:val="0"/>
        <w:widowControl/>
        <w:numPr>
          <w:ilvl w:val="0"/>
          <w:numId w:val="0"/>
        </w:numPr>
        <w:kinsoku/>
        <w:wordWrap/>
        <w:overflowPunct/>
        <w:topLinePunct w:val="0"/>
        <w:autoSpaceDE/>
        <w:autoSpaceDN/>
        <w:bidi w:val="0"/>
        <w:adjustRightInd/>
        <w:snapToGrid/>
        <w:spacing w:line="279" w:lineRule="auto"/>
        <w:ind w:firstLine="420" w:firstLineChars="0"/>
        <w:textAlignment w:val="auto"/>
        <w:rPr>
          <w:rFonts w:ascii="Times New Roman" w:hAnsi="Times New Roman" w:eastAsia="宋体" w:cs="Times New Roman"/>
        </w:rPr>
      </w:pPr>
      <w:r>
        <w:rPr>
          <w:rFonts w:ascii="Times New Roman" w:hAnsi="Times New Roman" w:eastAsia="宋体" w:cs="Times New Roman"/>
        </w:rPr>
        <w:br w:type="page" w:clear="all"/>
      </w:r>
    </w:p>
    <w:p w14:paraId="50F08ED5">
      <w:pPr>
        <w:pStyle w:val="3"/>
        <w:numPr>
          <w:ilvl w:val="0"/>
          <w:numId w:val="0"/>
        </w:numPr>
        <w:rPr>
          <w:rFonts w:ascii="Times New Roman" w:hAnsi="Times New Roman" w:eastAsia="宋体" w:cs="Times New Roman"/>
        </w:rPr>
      </w:pPr>
      <w:r>
        <w:rPr>
          <w:rFonts w:ascii="Times New Roman" w:hAnsi="Times New Roman" w:eastAsia="宋体" w:cs="Times New Roman"/>
        </w:rPr>
        <w:t>第五章 合同主要条款及格式</w:t>
      </w:r>
      <w:bookmarkEnd w:id="39"/>
      <w:bookmarkEnd w:id="40"/>
      <w:bookmarkEnd w:id="41"/>
      <w:bookmarkEnd w:id="42"/>
    </w:p>
    <w:p w14:paraId="28C36718">
      <w:pPr>
        <w:spacing w:line="480" w:lineRule="exact"/>
        <w:ind w:firstLine="640"/>
        <w:jc w:val="center"/>
        <w:rPr>
          <w:rFonts w:ascii="Times New Roman" w:hAnsi="Times New Roman" w:eastAsia="仿宋" w:cs="Times New Roman"/>
          <w:sz w:val="32"/>
          <w:szCs w:val="32"/>
        </w:rPr>
      </w:pPr>
      <w:bookmarkStart w:id="43" w:name="_Toc176849589"/>
      <w:bookmarkStart w:id="44" w:name="_Toc12929"/>
      <w:r>
        <w:rPr>
          <w:rFonts w:ascii="Times New Roman" w:hAnsi="Times New Roman" w:eastAsia="仿宋" w:cs="Times New Roman"/>
          <w:sz w:val="32"/>
          <w:szCs w:val="32"/>
        </w:rPr>
        <w:t>【   】服务合同</w:t>
      </w:r>
    </w:p>
    <w:p w14:paraId="2A8BEC5E">
      <w:pPr>
        <w:spacing w:line="480" w:lineRule="exact"/>
        <w:ind w:firstLine="480"/>
        <w:rPr>
          <w:rFonts w:ascii="Times New Roman" w:hAnsi="Times New Roman" w:eastAsia="仿宋" w:cs="Times New Roman"/>
          <w:sz w:val="24"/>
        </w:rPr>
      </w:pPr>
    </w:p>
    <w:p w14:paraId="21D72981">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委托方（甲方）：[  ]</w:t>
      </w:r>
    </w:p>
    <w:p w14:paraId="19AD705D">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地址：[  ]     </w:t>
      </w:r>
    </w:p>
    <w:p w14:paraId="426888FE">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法定代表人/负责人：[  ]        </w:t>
      </w:r>
    </w:p>
    <w:p w14:paraId="651CA0BE">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项目联系人：[  ]           </w:t>
      </w:r>
    </w:p>
    <w:p w14:paraId="65C44AC4">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联系电话：[  ]                      </w:t>
      </w:r>
    </w:p>
    <w:p w14:paraId="5A0CF2F1">
      <w:pPr>
        <w:spacing w:line="480" w:lineRule="exact"/>
        <w:ind w:firstLine="480"/>
        <w:rPr>
          <w:rFonts w:ascii="Times New Roman" w:hAnsi="Times New Roman" w:eastAsia="仿宋" w:cs="Times New Roman"/>
          <w:sz w:val="24"/>
        </w:rPr>
      </w:pPr>
    </w:p>
    <w:p w14:paraId="736596E5">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受托方（乙方）：[  ]                        </w:t>
      </w:r>
    </w:p>
    <w:p w14:paraId="3F90F79E">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地址：[  ]     </w:t>
      </w:r>
    </w:p>
    <w:p w14:paraId="59140040">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法定代表人/负责人：[  ]        </w:t>
      </w:r>
    </w:p>
    <w:p w14:paraId="31348471">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项目联系人：[  ]                                             </w:t>
      </w:r>
    </w:p>
    <w:p w14:paraId="6A8E0C5C">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联系电话：[  ]                   </w:t>
      </w:r>
    </w:p>
    <w:p w14:paraId="29E49919">
      <w:pPr>
        <w:spacing w:line="480" w:lineRule="exact"/>
        <w:ind w:firstLine="480"/>
        <w:rPr>
          <w:rFonts w:ascii="Times New Roman" w:hAnsi="Times New Roman" w:eastAsia="仿宋" w:cs="Times New Roman"/>
          <w:sz w:val="24"/>
        </w:rPr>
      </w:pPr>
    </w:p>
    <w:p w14:paraId="37FD838B">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本合同甲方委托乙方就[    ]项目（“项目”）进行[    ]的专项服务，并支付相应的服务报酬。双方经过平等协商，在真实、充分地表达各自意愿的基础上，根据《中华人民共和国民法典》的规定，达成如下合同，并由双方共同恪守。</w:t>
      </w:r>
    </w:p>
    <w:p w14:paraId="3DB8F1A3">
      <w:pPr>
        <w:spacing w:line="480" w:lineRule="exact"/>
        <w:ind w:firstLine="480"/>
        <w:rPr>
          <w:rFonts w:ascii="Times New Roman" w:hAnsi="Times New Roman" w:eastAsia="仿宋" w:cs="Times New Roman"/>
          <w:sz w:val="24"/>
          <w:lang w:val="en-US" w:eastAsia="zh-CN"/>
        </w:rPr>
      </w:pPr>
      <w:r>
        <w:rPr>
          <w:rFonts w:hint="eastAsia" w:eastAsia="仿宋" w:cs="Times New Roman"/>
          <w:sz w:val="24"/>
          <w:lang w:val="en-US" w:eastAsia="zh-CN"/>
        </w:rPr>
        <w:t>本合同为年度合同，后续两年均需单独续签，实质性条款不得变更，本合同所称合同金额指当年度合同总额</w:t>
      </w:r>
    </w:p>
    <w:p w14:paraId="5E17722C">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第一条 甲方委托乙方进行服务的内容如下：</w:t>
      </w:r>
    </w:p>
    <w:p w14:paraId="5A310BD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1.1服务的目标：[  ]。</w:t>
      </w:r>
    </w:p>
    <w:p w14:paraId="7185AB93">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1.2服务的内容：[  ]。</w:t>
      </w:r>
    </w:p>
    <w:p w14:paraId="3E65397D">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1.3服务的方式：[  ]。</w:t>
      </w:r>
    </w:p>
    <w:p w14:paraId="4532965F">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第二条 乙方应按下列要求完成服务工作：</w:t>
      </w:r>
    </w:p>
    <w:p w14:paraId="37A987C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2.1服务地点：[  ]。</w:t>
      </w:r>
    </w:p>
    <w:p w14:paraId="6E02D38E">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2.2服务期限：</w:t>
      </w:r>
      <w:r>
        <w:rPr>
          <w:rFonts w:hint="eastAsia" w:cs="Times New Roman"/>
          <w:szCs w:val="21"/>
          <w:lang w:val="en-US" w:eastAsia="zh-CN"/>
        </w:rPr>
        <w:t>本项目服务期自首次</w:t>
      </w:r>
      <w:r>
        <w:rPr>
          <w:rFonts w:ascii="Times New Roman" w:hAnsi="Times New Roman" w:eastAsia="宋体" w:cs="Times New Roman"/>
          <w:szCs w:val="21"/>
        </w:rPr>
        <w:t>合同签订生效之日</w:t>
      </w:r>
      <w:r>
        <w:rPr>
          <w:rFonts w:hint="eastAsia" w:cs="Times New Roman"/>
          <w:szCs w:val="21"/>
          <w:lang w:val="en-US" w:eastAsia="zh-CN"/>
        </w:rPr>
        <w:t>起至2029年12月31日止。</w:t>
      </w:r>
      <w:r>
        <w:rPr>
          <w:rFonts w:ascii="Times New Roman" w:hAnsi="Times New Roman" w:eastAsia="宋体" w:cs="Times New Roman"/>
          <w:szCs w:val="21"/>
          <w:lang w:val="en-US" w:eastAsia="zh-CN"/>
        </w:rPr>
        <w:t>合同</w:t>
      </w:r>
      <w:r>
        <w:rPr>
          <w:rFonts w:hint="eastAsia" w:cs="Times New Roman"/>
          <w:szCs w:val="21"/>
          <w:lang w:val="en-US" w:eastAsia="zh-CN"/>
        </w:rPr>
        <w:t>分3个阶段进行签约。</w:t>
      </w:r>
      <w:r>
        <w:rPr>
          <w:rFonts w:hint="eastAsia" w:ascii="Times New Roman" w:hAnsi="Times New Roman" w:eastAsia="宋体" w:cs="Times New Roman"/>
          <w:sz w:val="21"/>
          <w:szCs w:val="24"/>
          <w:lang w:val="en-US" w:eastAsia="zh-CN" w:bidi="ar-SA"/>
        </w:rPr>
        <w:t>中标单位</w:t>
      </w:r>
      <w:r>
        <w:rPr>
          <w:rFonts w:hint="eastAsia" w:cs="Times New Roman"/>
          <w:szCs w:val="21"/>
          <w:lang w:val="en-US" w:eastAsia="zh-CN"/>
        </w:rPr>
        <w:t>须</w:t>
      </w:r>
      <w:r>
        <w:rPr>
          <w:rFonts w:hint="eastAsia" w:ascii="Times New Roman" w:hAnsi="Times New Roman" w:eastAsia="宋体" w:cs="Times New Roman"/>
          <w:sz w:val="21"/>
          <w:szCs w:val="24"/>
          <w:lang w:val="en-US" w:eastAsia="zh-CN" w:bidi="ar-SA"/>
        </w:rPr>
        <w:t>分别于2027年9月15日</w:t>
      </w:r>
      <w:r>
        <w:rPr>
          <w:rFonts w:hint="eastAsia" w:ascii="Times New Roman" w:hAnsi="Times New Roman" w:eastAsia="宋体" w:cs="Times New Roman"/>
          <w:bCs w:val="0"/>
          <w:sz w:val="21"/>
          <w:szCs w:val="24"/>
          <w:lang w:val="en-US" w:eastAsia="zh-CN" w:bidi="ar-SA"/>
        </w:rPr>
        <w:t>、2028年12月15日之前，提交对应阶段的服务成果并进行项目</w:t>
      </w:r>
      <w:r>
        <w:rPr>
          <w:rFonts w:hint="eastAsia" w:cs="Times New Roman"/>
          <w:bCs w:val="0"/>
          <w:sz w:val="21"/>
          <w:szCs w:val="24"/>
          <w:lang w:val="en-US" w:eastAsia="zh-CN" w:bidi="ar-SA"/>
        </w:rPr>
        <w:t>阶段</w:t>
      </w:r>
      <w:r>
        <w:rPr>
          <w:rFonts w:hint="eastAsia" w:ascii="Times New Roman" w:hAnsi="Times New Roman" w:eastAsia="宋体" w:cs="Times New Roman"/>
          <w:bCs w:val="0"/>
          <w:sz w:val="21"/>
          <w:szCs w:val="24"/>
          <w:lang w:val="en-US" w:eastAsia="zh-CN" w:bidi="ar-SA"/>
        </w:rPr>
        <w:t>验收，验收合格后</w:t>
      </w:r>
      <w:r>
        <w:rPr>
          <w:rFonts w:hint="eastAsia" w:cs="Times New Roman"/>
          <w:bCs w:val="0"/>
          <w:sz w:val="21"/>
          <w:szCs w:val="24"/>
          <w:lang w:val="en-US" w:eastAsia="zh-CN" w:bidi="ar-SA"/>
        </w:rPr>
        <w:t>，</w:t>
      </w:r>
      <w:r>
        <w:rPr>
          <w:rFonts w:hint="eastAsia" w:ascii="Times New Roman" w:hAnsi="Times New Roman" w:eastAsia="宋体" w:cs="Times New Roman"/>
          <w:bCs w:val="0"/>
          <w:sz w:val="21"/>
          <w:szCs w:val="24"/>
          <w:lang w:val="en-US" w:eastAsia="zh-CN" w:bidi="ar-SA"/>
        </w:rPr>
        <w:t>续签下</w:t>
      </w:r>
      <w:r>
        <w:rPr>
          <w:rFonts w:hint="eastAsia" w:ascii="Times New Roman" w:hAnsi="Times New Roman" w:eastAsia="宋体" w:cs="Times New Roman"/>
          <w:sz w:val="21"/>
          <w:szCs w:val="24"/>
          <w:lang w:val="en-US" w:eastAsia="zh-CN" w:bidi="ar-SA"/>
        </w:rPr>
        <w:t>一阶段服务合同。如服务质量不达标或服务成果不合格，采购人有权不再续签合同。</w:t>
      </w:r>
    </w:p>
    <w:p w14:paraId="3A2119CB">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2.3服务</w:t>
      </w:r>
      <w:r>
        <w:rPr>
          <w:rFonts w:hint="eastAsia" w:eastAsia="仿宋" w:cs="Times New Roman"/>
          <w:sz w:val="24"/>
          <w:lang w:val="en-US" w:eastAsia="zh-CN"/>
        </w:rPr>
        <w:t>时间</w:t>
      </w:r>
      <w:r>
        <w:rPr>
          <w:rFonts w:ascii="Times New Roman" w:hAnsi="Times New Roman" w:eastAsia="仿宋" w:cs="Times New Roman"/>
          <w:sz w:val="24"/>
        </w:rPr>
        <w:t>：[  ]。</w:t>
      </w:r>
    </w:p>
    <w:p w14:paraId="621B3638">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2.4服务质量要求：[  ]。</w:t>
      </w:r>
    </w:p>
    <w:p w14:paraId="413FB7D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第三条 为保证乙方有效进行服务工作，甲方应当向乙方提供必要的资料及工作条件。</w:t>
      </w:r>
    </w:p>
    <w:p w14:paraId="4874C98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第四条 甲方向乙方支付服务报酬及支付方式为：</w:t>
      </w:r>
    </w:p>
    <w:p w14:paraId="6D222317">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4.1本合同费用总额（含税价）：人民币大写[  ]元，小写[  ]元；其中价款为人民币大写[  ]元，小写[  ]元。</w:t>
      </w:r>
    </w:p>
    <w:p w14:paraId="3BC815A0">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本合同费用总额已包括甲方就乙方履行本合同所应支付的全部报酬、所需的全部费用及税费（包括但不限于营业税、增值税等）。</w:t>
      </w:r>
    </w:p>
    <w:p w14:paraId="0B23991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除另有约定外，甲方无需就本合同项下委托事项向乙方支付上述费用之外的任何其他费用及税费（包括但不限于营业税、增值税等）。</w:t>
      </w:r>
    </w:p>
    <w:p w14:paraId="2D0640C3">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4.2甲方凭乙方开具的相应金额的、符合国家规定的[增值税专用/增值税普通/营业税/其他]发票支付本合同费用总额，并按以下第[2]种方式向乙方付款：</w:t>
      </w:r>
    </w:p>
    <w:p w14:paraId="0D058612">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（1）一次性支付</w:t>
      </w:r>
    </w:p>
    <w:p w14:paraId="448B40EC">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乙方完成服务工作并经甲方验收合格后[  ]个工作日内，甲方向乙方支付本合同费用总额。</w:t>
      </w:r>
    </w:p>
    <w:p w14:paraId="2F22275C">
      <w:pPr>
        <w:spacing w:line="480" w:lineRule="exact"/>
        <w:ind w:firstLine="480"/>
        <w:rPr>
          <w:rFonts w:ascii="Times New Roman" w:hAnsi="Times New Roman" w:eastAsia="仿宋" w:cs="Times New Roman"/>
          <w:sz w:val="24"/>
          <w:highlight w:val="none"/>
        </w:rPr>
      </w:pPr>
      <w:r>
        <w:rPr>
          <w:rFonts w:ascii="Times New Roman" w:hAnsi="Times New Roman" w:eastAsia="仿宋" w:cs="Times New Roman"/>
          <w:sz w:val="24"/>
          <w:highlight w:val="none"/>
        </w:rPr>
        <w:t>（2）分期支付</w:t>
      </w:r>
    </w:p>
    <w:p w14:paraId="68C51325">
      <w:pPr>
        <w:spacing w:line="480" w:lineRule="exact"/>
        <w:ind w:firstLine="480"/>
        <w:rPr>
          <w:rFonts w:hint="default" w:ascii="Times New Roman" w:hAnsi="Times New Roman" w:eastAsia="仿宋" w:cs="Times New Roman"/>
          <w:sz w:val="24"/>
          <w:lang w:val="en-US" w:eastAsia="zh-CN"/>
        </w:rPr>
      </w:pPr>
      <w:r>
        <w:rPr>
          <w:rFonts w:hint="eastAsia" w:ascii="Times New Roman" w:hAnsi="Times New Roman" w:eastAsia="仿宋" w:cs="Times New Roman"/>
          <w:sz w:val="24"/>
          <w:lang w:val="en-US" w:eastAsia="zh-CN"/>
        </w:rPr>
        <w:t>首次合同签订后</w:t>
      </w:r>
      <w:r>
        <w:rPr>
          <w:rFonts w:hint="default" w:ascii="Times New Roman" w:hAnsi="Times New Roman" w:eastAsia="仿宋" w:cs="Times New Roman"/>
          <w:sz w:val="24"/>
          <w:lang w:val="en-US" w:eastAsia="zh-CN"/>
        </w:rPr>
        <w:t>甲方</w:t>
      </w:r>
      <w:r>
        <w:rPr>
          <w:rFonts w:hint="eastAsia" w:ascii="Times New Roman" w:hAnsi="Times New Roman" w:eastAsia="仿宋" w:cs="Times New Roman"/>
          <w:sz w:val="24"/>
          <w:lang w:val="en-US" w:eastAsia="zh-CN"/>
        </w:rPr>
        <w:t>支付合同总额（投标总价）的30%，</w:t>
      </w:r>
      <w:r>
        <w:rPr>
          <w:rFonts w:hint="default" w:ascii="Times New Roman" w:hAnsi="Times New Roman" w:eastAsia="仿宋" w:cs="Times New Roman"/>
          <w:sz w:val="24"/>
          <w:lang w:val="en-US" w:eastAsia="zh-CN"/>
        </w:rPr>
        <w:t>2027年9月30日</w:t>
      </w:r>
      <w:r>
        <w:rPr>
          <w:rFonts w:hint="eastAsia" w:ascii="Times New Roman" w:hAnsi="Times New Roman" w:eastAsia="仿宋" w:cs="Times New Roman"/>
          <w:sz w:val="24"/>
          <w:lang w:val="en-US" w:eastAsia="zh-CN"/>
        </w:rPr>
        <w:t>前对第一阶段服务成果验收通过后，支付合同总额（投标总价）的20%；注：前两笔付款最多不超过245万元，不足部分第三次付款</w:t>
      </w:r>
      <w:r>
        <w:rPr>
          <w:rFonts w:hint="eastAsia" w:eastAsia="仿宋" w:cs="Times New Roman"/>
          <w:sz w:val="24"/>
          <w:lang w:val="en-US" w:eastAsia="zh-CN"/>
        </w:rPr>
        <w:t>时</w:t>
      </w:r>
      <w:r>
        <w:rPr>
          <w:rFonts w:hint="eastAsia" w:ascii="Times New Roman" w:hAnsi="Times New Roman" w:eastAsia="仿宋" w:cs="Times New Roman"/>
          <w:sz w:val="24"/>
          <w:lang w:val="en-US" w:eastAsia="zh-CN"/>
        </w:rPr>
        <w:t>补足。</w:t>
      </w:r>
    </w:p>
    <w:p w14:paraId="050D7F32">
      <w:pPr>
        <w:spacing w:line="480" w:lineRule="exact"/>
        <w:ind w:firstLine="480"/>
        <w:rPr>
          <w:rFonts w:hint="eastAsia" w:ascii="Times New Roman" w:hAnsi="Times New Roman" w:eastAsia="仿宋" w:cs="Times New Roman"/>
          <w:sz w:val="24"/>
          <w:lang w:val="en-US" w:eastAsia="zh-CN"/>
        </w:rPr>
      </w:pPr>
      <w:r>
        <w:rPr>
          <w:rFonts w:hint="eastAsia" w:ascii="Times New Roman" w:hAnsi="Times New Roman" w:eastAsia="仿宋" w:cs="Times New Roman"/>
          <w:sz w:val="24"/>
          <w:lang w:val="en-US" w:eastAsia="zh-CN"/>
        </w:rPr>
        <w:t>2028年12月31日前对第二阶段服务成果验收通过后，支付合同总额（投标总价）的25%；2029年12月31日前全部服务成果验收通过后，支付合同总额（投标总价）的25%。</w:t>
      </w:r>
    </w:p>
    <w:p w14:paraId="3D48B1A9">
      <w:pPr>
        <w:spacing w:line="480" w:lineRule="exact"/>
        <w:ind w:firstLine="480"/>
        <w:rPr>
          <w:rFonts w:hint="eastAsia" w:ascii="Times New Roman" w:hAnsi="Times New Roman" w:eastAsia="仿宋" w:cs="Times New Roman"/>
          <w:sz w:val="24"/>
          <w:lang w:val="en-US" w:eastAsia="zh-CN"/>
        </w:rPr>
      </w:pPr>
      <w:r>
        <w:rPr>
          <w:rFonts w:hint="eastAsia" w:ascii="Times New Roman" w:hAnsi="Times New Roman" w:eastAsia="仿宋" w:cs="Times New Roman"/>
          <w:sz w:val="24"/>
          <w:lang w:val="en-US" w:eastAsia="zh-CN"/>
        </w:rPr>
        <w:t>付款之前需收到乙方开具的合法有效的相应金额发票。</w:t>
      </w:r>
    </w:p>
    <w:p w14:paraId="5C5F7EBF">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4.</w:t>
      </w:r>
      <w:r>
        <w:rPr>
          <w:rFonts w:hint="eastAsia" w:eastAsia="仿宋" w:cs="Times New Roman"/>
          <w:sz w:val="24"/>
          <w:lang w:val="en-US" w:eastAsia="zh-CN"/>
        </w:rPr>
        <w:t>3</w:t>
      </w:r>
      <w:r>
        <w:rPr>
          <w:rFonts w:ascii="Times New Roman" w:hAnsi="Times New Roman" w:eastAsia="仿宋" w:cs="Times New Roman"/>
          <w:sz w:val="24"/>
        </w:rPr>
        <w:t>因乙方未按甲方要求出具相应票据导致的延迟付款，甲方不承担违约责任。</w:t>
      </w:r>
    </w:p>
    <w:p w14:paraId="1E81BD88">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4.</w:t>
      </w:r>
      <w:r>
        <w:rPr>
          <w:rFonts w:hint="eastAsia" w:eastAsia="仿宋" w:cs="Times New Roman"/>
          <w:sz w:val="24"/>
          <w:lang w:val="en-US" w:eastAsia="zh-CN"/>
        </w:rPr>
        <w:t>4</w:t>
      </w:r>
      <w:r>
        <w:rPr>
          <w:rFonts w:ascii="Times New Roman" w:hAnsi="Times New Roman" w:eastAsia="仿宋" w:cs="Times New Roman"/>
          <w:sz w:val="24"/>
        </w:rPr>
        <w:t>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p>
    <w:p w14:paraId="1304CB87">
      <w:pPr>
        <w:spacing w:line="480" w:lineRule="exact"/>
        <w:ind w:firstLine="480"/>
        <w:rPr>
          <w:rFonts w:ascii="Times New Roman" w:hAnsi="Times New Roman" w:eastAsia="仿宋" w:cs="Times New Roman"/>
          <w:sz w:val="24"/>
        </w:rPr>
      </w:pPr>
      <w:r>
        <w:rPr>
          <w:rFonts w:hint="eastAsia" w:eastAsia="仿宋" w:cs="Times New Roman"/>
          <w:sz w:val="24"/>
          <w:lang w:val="en-US" w:eastAsia="zh-CN"/>
        </w:rPr>
        <w:t>4.5</w:t>
      </w:r>
      <w:r>
        <w:rPr>
          <w:rFonts w:hint="eastAsia" w:ascii="Times New Roman" w:hAnsi="Times New Roman" w:eastAsia="仿宋" w:cs="Times New Roman"/>
          <w:sz w:val="24"/>
        </w:rPr>
        <w:t>本项目资金已纳入财政预算，如因财政政策调整导致资金拨付延迟，双方应本着公平原则协商解决。</w:t>
      </w:r>
    </w:p>
    <w:p w14:paraId="3AA3691B">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4.</w:t>
      </w:r>
      <w:r>
        <w:rPr>
          <w:rFonts w:hint="eastAsia" w:eastAsia="仿宋" w:cs="Times New Roman"/>
          <w:sz w:val="24"/>
          <w:lang w:val="en-US" w:eastAsia="zh-CN"/>
        </w:rPr>
        <w:t>6</w:t>
      </w:r>
      <w:r>
        <w:rPr>
          <w:rFonts w:ascii="Times New Roman" w:hAnsi="Times New Roman" w:eastAsia="仿宋" w:cs="Times New Roman"/>
          <w:sz w:val="24"/>
        </w:rPr>
        <w:t>本合同费用总额的所有支付由甲方以[   ]（银行转账或承兑期不超过六个月的汇票、电汇、支票等方式）付至乙方。甲乙双方银行账户信息和纳税人信息：</w:t>
      </w:r>
    </w:p>
    <w:p w14:paraId="78917BD0">
      <w:pPr>
        <w:widowControl/>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甲方信息如下：                          乙方信息如下：</w:t>
      </w:r>
    </w:p>
    <w:p w14:paraId="45124649">
      <w:pPr>
        <w:widowControl/>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开户行：[  ]                            开户行：[  ]      </w:t>
      </w:r>
    </w:p>
    <w:p w14:paraId="6C2FDB94">
      <w:pPr>
        <w:widowControl/>
        <w:spacing w:line="480" w:lineRule="exact"/>
        <w:ind w:firstLine="480"/>
        <w:rPr>
          <w:rFonts w:ascii="Times New Roman" w:hAnsi="Times New Roman" w:eastAsia="仿宋" w:cs="Times New Roman"/>
          <w:sz w:val="24"/>
        </w:rPr>
      </w:pPr>
      <w:r>
        <w:rPr>
          <w:rFonts w:ascii="Times New Roman" w:hAnsi="Times New Roman" w:eastAsia="仿宋" w:cs="Times New Roman"/>
          <w:sz w:val="24"/>
        </w:rPr>
        <w:t>户名：[  ]                              户名：[  ]</w:t>
      </w:r>
    </w:p>
    <w:p w14:paraId="490856C4">
      <w:pPr>
        <w:widowControl/>
        <w:spacing w:line="480" w:lineRule="exact"/>
        <w:ind w:firstLine="480"/>
        <w:rPr>
          <w:rFonts w:ascii="Times New Roman" w:hAnsi="Times New Roman" w:eastAsia="仿宋" w:cs="Times New Roman"/>
          <w:sz w:val="24"/>
        </w:rPr>
      </w:pPr>
      <w:r>
        <w:rPr>
          <w:rFonts w:ascii="Times New Roman" w:hAnsi="Times New Roman" w:eastAsia="仿宋" w:cs="Times New Roman"/>
          <w:sz w:val="24"/>
        </w:rPr>
        <w:t>账号：[  ]                              账号：[  ]</w:t>
      </w:r>
    </w:p>
    <w:p w14:paraId="5DED9440">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行号：[  ]                              行号：[  ]</w:t>
      </w:r>
    </w:p>
    <w:p w14:paraId="25E1351A">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4.</w:t>
      </w:r>
      <w:r>
        <w:rPr>
          <w:rFonts w:hint="eastAsia" w:eastAsia="仿宋" w:cs="Times New Roman"/>
          <w:sz w:val="24"/>
          <w:lang w:val="en-US" w:eastAsia="zh-CN"/>
        </w:rPr>
        <w:t>7</w:t>
      </w:r>
      <w:r>
        <w:rPr>
          <w:rFonts w:ascii="Times New Roman" w:hAnsi="Times New Roman" w:eastAsia="仿宋" w:cs="Times New Roman"/>
          <w:sz w:val="24"/>
        </w:rPr>
        <w:t>若根据本合同约定乙方应当支付违约金和/或承担赔偿责任，则甲方有权从上述任何一笔付款中直接扣除相应金额。</w:t>
      </w:r>
    </w:p>
    <w:p w14:paraId="68385297">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第五条 保密</w:t>
      </w:r>
    </w:p>
    <w:p w14:paraId="34D8FD5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20A1042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044240B2">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5.3 当出现下述情况时，本条对保密资料的限制不适用。当保密资料：</w:t>
      </w:r>
    </w:p>
    <w:p w14:paraId="11BA1882">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（1）并非乙方的过错而已经进入公有领域的。</w:t>
      </w:r>
    </w:p>
    <w:p w14:paraId="1B8CFFA0">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（2）已通过该方的有关记录证明是由乙方独立开发的。</w:t>
      </w:r>
    </w:p>
    <w:p w14:paraId="7DDC86FC">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（3）由乙方从没有违反对甲方的保密义务的人合法取得的。</w:t>
      </w:r>
    </w:p>
    <w:p w14:paraId="3A42B64B">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（4）法律要求乙方披露的，但乙方应在合理的时间提前通知甲方，使其得以采取其认为必要的保护措施。</w:t>
      </w:r>
    </w:p>
    <w:p w14:paraId="6E91267D">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5.4如乙方违反本合同关于保密的约定，乙方应赔偿因此而给甲方造成的一切损失。</w:t>
      </w:r>
    </w:p>
    <w:p w14:paraId="211510F3">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5.5本保密条款自保密资料提供或披露之日起至本合同终止或解除后[  ]年内持续有效。</w:t>
      </w:r>
    </w:p>
    <w:p w14:paraId="0205CA2F">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第六条 未经甲方事先书面同意，乙方不得将本合同项目部分或全部服务工作转由第三人承担。</w:t>
      </w:r>
    </w:p>
    <w:p w14:paraId="17BBC512">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第七条  侵权处理</w:t>
      </w:r>
    </w:p>
    <w:p w14:paraId="70454E9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3E9572A9">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7.2如果在侵权指控的审理过程中有关机关禁止甲方继续使用服务成果的部分或全部，乙方应当采取以下措施之一：</w:t>
      </w:r>
    </w:p>
    <w:p w14:paraId="76830818">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（1）使甲方重新免费获得使用上述服务成果的权利。</w:t>
      </w:r>
    </w:p>
    <w:p w14:paraId="0504B0E7">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（2）免费更换或改造上述服务成果，使甲方不受上述禁令限制继续使用服务成果。</w:t>
      </w:r>
    </w:p>
    <w:p w14:paraId="59D4AA7C">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（3）</w:t>
      </w:r>
      <w:r>
        <w:rPr>
          <w:rFonts w:ascii="Times New Roman" w:hAnsi="Times New Roman" w:eastAsia="仿宋" w:cs="Times New Roman"/>
          <w:sz w:val="24"/>
          <w:lang w:eastAsia="zh-CN"/>
        </w:rPr>
        <w:t>其他</w:t>
      </w:r>
      <w:r>
        <w:rPr>
          <w:rFonts w:ascii="Times New Roman" w:hAnsi="Times New Roman" w:eastAsia="仿宋" w:cs="Times New Roman"/>
          <w:sz w:val="24"/>
        </w:rPr>
        <w:t>使甲方对服务成果拥有合法使用权，或</w:t>
      </w:r>
      <w:r>
        <w:rPr>
          <w:rFonts w:ascii="Times New Roman" w:hAnsi="Times New Roman" w:eastAsia="仿宋" w:cs="Times New Roman"/>
          <w:sz w:val="24"/>
          <w:lang w:eastAsia="zh-CN"/>
        </w:rPr>
        <w:t>其他</w:t>
      </w:r>
      <w:r>
        <w:rPr>
          <w:rFonts w:ascii="Times New Roman" w:hAnsi="Times New Roman" w:eastAsia="仿宋" w:cs="Times New Roman"/>
          <w:sz w:val="24"/>
        </w:rPr>
        <w:t>弥补甲方受损利益、实现合同目的的合理方式。</w:t>
      </w:r>
    </w:p>
    <w:p w14:paraId="0449634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乙方采取上述措施不能免除乙方就甲方因此遭受的损失进行赔偿的义务。</w:t>
      </w:r>
    </w:p>
    <w:p w14:paraId="3A3DF7FE">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第八条 项目服务成果的权利归属</w:t>
      </w:r>
    </w:p>
    <w:p w14:paraId="3D795B2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8.1双方确定，乙方所完成的服务成果的所有权利，包括但不限于知识产权、专利申请权和所有权，归甲方所有。</w:t>
      </w:r>
    </w:p>
    <w:p w14:paraId="1351A3EC">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8.2双方确定，甲方利用乙方的服务成果所完成的新的成果的所有权利，包括但不限于知识产权、专利申请权和所有权，归甲方所有。</w:t>
      </w:r>
    </w:p>
    <w:p w14:paraId="6F35C4BE">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8.3乙方未经甲方书面同意，不得使用本合同中涉及的内容与信息做任何形式的推广。</w:t>
      </w:r>
    </w:p>
    <w:p w14:paraId="2C379044">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第九条 违约责任</w:t>
      </w:r>
    </w:p>
    <w:p w14:paraId="202E2FA4">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9.1双方确定，任何一方未履行或未完全履行本合同项下的义务，均构成违约。违约方应赔偿因违约给对方造成的一切损失。</w:t>
      </w:r>
    </w:p>
    <w:p w14:paraId="3C8A1964">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9.2乙方</w:t>
      </w:r>
      <w:r>
        <w:rPr>
          <w:rFonts w:hint="eastAsia" w:eastAsia="仿宋" w:cs="Times New Roman"/>
          <w:sz w:val="24"/>
          <w:lang w:val="en-US" w:eastAsia="zh-CN"/>
        </w:rPr>
        <w:t>应在</w:t>
      </w:r>
      <w:r>
        <w:rPr>
          <w:rFonts w:ascii="Times New Roman" w:hAnsi="Times New Roman" w:eastAsia="仿宋" w:cs="Times New Roman"/>
          <w:sz w:val="24"/>
        </w:rPr>
        <w:t>合同签订生效之日起</w:t>
      </w:r>
      <w:r>
        <w:rPr>
          <w:rFonts w:hint="eastAsia" w:cs="Times New Roman"/>
          <w:szCs w:val="21"/>
          <w:lang w:val="en-US" w:eastAsia="zh-CN"/>
        </w:rPr>
        <w:t>80个自然日</w:t>
      </w:r>
      <w:r>
        <w:rPr>
          <w:rFonts w:ascii="Times New Roman" w:hAnsi="Times New Roman" w:eastAsia="宋体" w:cs="Times New Roman"/>
          <w:szCs w:val="21"/>
        </w:rPr>
        <w:t>内</w:t>
      </w:r>
      <w:r>
        <w:rPr>
          <w:rFonts w:ascii="Times New Roman" w:hAnsi="Times New Roman" w:eastAsia="宋体" w:cs="Times New Roman"/>
          <w:sz w:val="21"/>
          <w:szCs w:val="21"/>
        </w:rPr>
        <w:t>完成本项目全部</w:t>
      </w:r>
      <w:r>
        <w:rPr>
          <w:rFonts w:hint="eastAsia" w:cs="Times New Roman"/>
          <w:sz w:val="21"/>
          <w:szCs w:val="21"/>
          <w:lang w:val="en-US" w:eastAsia="zh-CN"/>
        </w:rPr>
        <w:t>预警监控管理服务准备</w:t>
      </w:r>
      <w:r>
        <w:rPr>
          <w:rFonts w:ascii="Times New Roman" w:hAnsi="Times New Roman" w:eastAsia="宋体" w:cs="Times New Roman"/>
          <w:sz w:val="21"/>
          <w:szCs w:val="21"/>
        </w:rPr>
        <w:t>工作</w:t>
      </w:r>
      <w:r>
        <w:rPr>
          <w:rFonts w:hint="eastAsia" w:cs="Times New Roman"/>
          <w:sz w:val="21"/>
          <w:szCs w:val="21"/>
          <w:lang w:eastAsia="zh-CN"/>
        </w:rPr>
        <w:t>，</w:t>
      </w:r>
      <w:r>
        <w:rPr>
          <w:rFonts w:ascii="Times New Roman" w:hAnsi="Times New Roman" w:eastAsia="仿宋" w:cs="Times New Roman"/>
          <w:sz w:val="24"/>
        </w:rPr>
        <w:t>未能按期</w:t>
      </w:r>
      <w:r>
        <w:rPr>
          <w:rFonts w:hint="eastAsia" w:eastAsia="仿宋" w:cs="Times New Roman"/>
          <w:sz w:val="24"/>
          <w:lang w:val="en-US" w:eastAsia="zh-CN"/>
        </w:rPr>
        <w:t>完成预警监测前软硬件准备工作并</w:t>
      </w:r>
      <w:r>
        <w:rPr>
          <w:rFonts w:ascii="Times New Roman" w:hAnsi="Times New Roman" w:eastAsia="仿宋" w:cs="Times New Roman"/>
          <w:sz w:val="24"/>
        </w:rPr>
        <w:t>通过主管部门</w:t>
      </w:r>
      <w:r>
        <w:rPr>
          <w:rFonts w:hint="default" w:ascii="Times New Roman" w:hAnsi="Times New Roman" w:eastAsia="仿宋" w:cs="Times New Roman"/>
          <w:sz w:val="24"/>
          <w:lang w:val="en-US"/>
        </w:rPr>
        <w:t>整体</w:t>
      </w:r>
      <w:r>
        <w:rPr>
          <w:rFonts w:ascii="Times New Roman" w:hAnsi="Times New Roman" w:eastAsia="仿宋" w:cs="Times New Roman"/>
          <w:sz w:val="24"/>
        </w:rPr>
        <w:t>验收的，每逾期[</w:t>
      </w:r>
      <w:r>
        <w:rPr>
          <w:rFonts w:hint="eastAsia" w:eastAsia="仿宋" w:cs="Times New Roman"/>
          <w:sz w:val="24"/>
          <w:lang w:val="en-US" w:eastAsia="zh-CN"/>
        </w:rPr>
        <w:t>1</w:t>
      </w:r>
      <w:r>
        <w:rPr>
          <w:rFonts w:ascii="Times New Roman" w:hAnsi="Times New Roman" w:eastAsia="仿宋" w:cs="Times New Roman"/>
          <w:sz w:val="24"/>
        </w:rPr>
        <w:t>]日，乙方应当按照本合同费用总额的[</w:t>
      </w:r>
      <w:r>
        <w:rPr>
          <w:rFonts w:hint="eastAsia" w:eastAsia="仿宋" w:cs="Times New Roman"/>
          <w:sz w:val="24"/>
          <w:lang w:val="en-US" w:eastAsia="zh-CN"/>
        </w:rPr>
        <w:t>0.03</w:t>
      </w:r>
      <w:r>
        <w:rPr>
          <w:rFonts w:ascii="Times New Roman" w:hAnsi="Times New Roman" w:eastAsia="仿宋" w:cs="Times New Roman"/>
          <w:sz w:val="24"/>
        </w:rPr>
        <w:t>]%向甲方支付违约金。逾期超过[</w:t>
      </w:r>
      <w:r>
        <w:rPr>
          <w:rFonts w:hint="eastAsia" w:eastAsia="仿宋" w:cs="Times New Roman"/>
          <w:sz w:val="24"/>
          <w:lang w:val="en-US" w:eastAsia="zh-CN"/>
        </w:rPr>
        <w:t>30</w:t>
      </w:r>
      <w:r>
        <w:rPr>
          <w:rFonts w:ascii="Times New Roman" w:hAnsi="Times New Roman" w:eastAsia="仿宋" w:cs="Times New Roman"/>
          <w:sz w:val="24"/>
        </w:rPr>
        <w:t>]日的，甲方有权终止本合同，乙方仍应支付上述违约金、退还甲方已支付款项并按照同期中国人民银行贷款利率计付利息，同时赔偿甲方的相应损失。</w:t>
      </w:r>
    </w:p>
    <w:p w14:paraId="373679A4">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p>
    <w:p w14:paraId="155EF62D">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第十条 双方确定，在本合同有效期内，甲方指定[  ]为甲方项目联系人，乙方指定[  ]为乙方项目联系人。一方变更项目联系人的，应当及时以书面形式通知另一方。未及时通知并影响本合同履行，若造成损失的，应承担相应的责任。</w:t>
      </w:r>
    </w:p>
    <w:p w14:paraId="46D1FE62">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第十一条 双方确定，出现下列情形之一，致使本合同的履行成为不必要或不可能的，可以解除本合同：</w:t>
      </w:r>
    </w:p>
    <w:p w14:paraId="087D7CB8">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11.1发生不可抗力。</w:t>
      </w:r>
    </w:p>
    <w:p w14:paraId="688143BA">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11.2[  ]。</w:t>
      </w:r>
    </w:p>
    <w:p w14:paraId="62874AAA">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第十二条 法律适用和争议解决</w:t>
      </w:r>
    </w:p>
    <w:p w14:paraId="743A294C">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12.1本合同适用中华人民共和国法律。</w:t>
      </w:r>
    </w:p>
    <w:p w14:paraId="6CDADE0D">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w:t>
      </w:r>
      <w:r>
        <w:rPr>
          <w:rFonts w:ascii="Times New Roman" w:hAnsi="Times New Roman" w:eastAsia="仿宋" w:cs="Times New Roman"/>
          <w:sz w:val="24"/>
          <w:lang w:eastAsia="zh-CN"/>
        </w:rPr>
        <w:t>其他</w:t>
      </w:r>
      <w:r>
        <w:rPr>
          <w:rFonts w:ascii="Times New Roman" w:hAnsi="Times New Roman" w:eastAsia="仿宋" w:cs="Times New Roman"/>
          <w:sz w:val="24"/>
        </w:rPr>
        <w:t>部分。</w:t>
      </w:r>
    </w:p>
    <w:p w14:paraId="7CC17B1D">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第十三条 双方确定，本合同及相关附件中所涉及的有关名词和技术术语，其定义和解释如下：</w:t>
      </w:r>
    </w:p>
    <w:p w14:paraId="14D6080B">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13.1“不可抗力”：地震、台风、水灾、火灾、战争以及</w:t>
      </w:r>
      <w:r>
        <w:rPr>
          <w:rFonts w:ascii="Times New Roman" w:hAnsi="Times New Roman" w:eastAsia="仿宋" w:cs="Times New Roman"/>
          <w:sz w:val="24"/>
          <w:lang w:eastAsia="zh-CN"/>
        </w:rPr>
        <w:t>其他</w:t>
      </w:r>
      <w:r>
        <w:rPr>
          <w:rFonts w:ascii="Times New Roman" w:hAnsi="Times New Roman" w:eastAsia="仿宋" w:cs="Times New Roman"/>
          <w:sz w:val="24"/>
        </w:rPr>
        <w:t xml:space="preserve">本合同各方不能预见，并且对其发生和后果不能防止或不能避免且不可克服的客观情况。 </w:t>
      </w:r>
    </w:p>
    <w:p w14:paraId="525A08F7">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13.2[  ]。</w:t>
      </w:r>
    </w:p>
    <w:p w14:paraId="2B39AC03">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第十四条  双方约定本合同其他相关事项为：</w:t>
      </w:r>
    </w:p>
    <w:p w14:paraId="283A28A6">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14.1任何一方未经另一方同意，不得向任何第三方透露本合同的签订及其内容。甲方向其关联公司透露的，不在此限。</w:t>
      </w:r>
    </w:p>
    <w:p w14:paraId="76442947">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p>
    <w:p w14:paraId="732F9175">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14.3本合同替代此前双方所有关于本合同事项的口头或书面的纪要、备忘录、合同和协议。</w:t>
      </w:r>
    </w:p>
    <w:p w14:paraId="4E79A5D3">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14:paraId="584A279F">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第十五条 本合同自双方法定代表人或授权代表签字并加盖单位公章或合同专用章之日起生效。本合同一式[  ]份，甲方执[  ]份，乙方执[  ]份，具有同等法律效力。</w:t>
      </w:r>
    </w:p>
    <w:p w14:paraId="260941B9">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第十六条 附件为本合同不可分割的部分。若附件与合同正文有任何冲突，以合同正文为准。</w:t>
      </w:r>
    </w:p>
    <w:p w14:paraId="6F0EC302">
      <w:pPr>
        <w:pStyle w:val="2"/>
        <w:ind w:left="0" w:firstLine="0"/>
        <w:jc w:val="both"/>
        <w:rPr>
          <w:rFonts w:ascii="Times New Roman" w:hAnsi="Times New Roman" w:eastAsia="仿宋" w:cs="Times New Roman"/>
          <w:sz w:val="24"/>
          <w:lang w:val="en-US" w:eastAsia="zh-CN"/>
        </w:rPr>
      </w:pPr>
      <w:r>
        <w:rPr>
          <w:rFonts w:ascii="Times New Roman" w:hAnsi="Times New Roman" w:eastAsia="仿宋" w:cs="Times New Roman"/>
          <w:sz w:val="24"/>
          <w:lang w:val="en-US" w:eastAsia="zh-CN"/>
        </w:rPr>
        <w:t>附件：</w:t>
      </w:r>
      <w:r>
        <w:rPr>
          <w:rFonts w:hint="eastAsia" w:eastAsia="仿宋" w:cs="Times New Roman"/>
          <w:sz w:val="24"/>
          <w:lang w:val="en-US" w:eastAsia="zh-CN"/>
        </w:rPr>
        <w:t>评分</w:t>
      </w:r>
      <w:r>
        <w:rPr>
          <w:rFonts w:ascii="Times New Roman" w:hAnsi="Times New Roman" w:eastAsia="仿宋" w:cs="Times New Roman"/>
          <w:sz w:val="24"/>
          <w:lang w:val="en-US" w:eastAsia="zh-CN"/>
        </w:rPr>
        <w:t>表</w:t>
      </w:r>
    </w:p>
    <w:p w14:paraId="72404743">
      <w:pPr>
        <w:pStyle w:val="2"/>
        <w:keepNext w:val="0"/>
        <w:keepLines w:val="0"/>
        <w:pageBreakBefore w:val="0"/>
        <w:widowControl w:val="0"/>
        <w:spacing w:line="278" w:lineRule="auto"/>
        <w:ind w:left="0" w:firstLine="480"/>
        <w:jc w:val="both"/>
        <w:rPr>
          <w:rFonts w:ascii="Times New Roman" w:hAnsi="Times New Roman" w:eastAsia="仿宋" w:cs="Times New Roman"/>
          <w:sz w:val="24"/>
          <w:lang w:val="en-US" w:eastAsia="zh-CN"/>
        </w:rPr>
      </w:pPr>
      <w:r>
        <w:rPr>
          <w:rFonts w:ascii="Times New Roman" w:hAnsi="Times New Roman" w:eastAsia="仿宋" w:cs="Times New Roman"/>
          <w:sz w:val="24"/>
          <w:lang w:val="en-US" w:eastAsia="zh-CN"/>
        </w:rPr>
        <w:t>实行百分制按年定量</w:t>
      </w:r>
      <w:r>
        <w:rPr>
          <w:rFonts w:hint="eastAsia" w:eastAsia="仿宋" w:cs="Times New Roman"/>
          <w:sz w:val="24"/>
          <w:lang w:val="en-US" w:eastAsia="zh-CN"/>
        </w:rPr>
        <w:t>评分</w:t>
      </w:r>
      <w:r>
        <w:rPr>
          <w:rFonts w:ascii="Times New Roman" w:hAnsi="Times New Roman" w:eastAsia="仿宋" w:cs="Times New Roman"/>
          <w:sz w:val="24"/>
          <w:lang w:val="en-US" w:eastAsia="zh-CN"/>
        </w:rPr>
        <w:t>制度，扣分项如下</w:t>
      </w:r>
    </w:p>
    <w:p w14:paraId="58514AB9">
      <w:pPr>
        <w:pStyle w:val="2"/>
        <w:jc w:val="center"/>
        <w:rPr>
          <w:rFonts w:ascii="Times New Roman" w:hAnsi="Times New Roman" w:eastAsia="仿宋" w:cs="Times New Roman"/>
          <w:lang w:val="en-US" w:eastAsia="zh-CN"/>
        </w:rPr>
      </w:pPr>
      <w:r>
        <w:rPr>
          <w:rFonts w:hint="eastAsia" w:eastAsia="仿宋" w:cs="Times New Roman"/>
          <w:sz w:val="24"/>
          <w:lang w:val="en-US" w:eastAsia="zh-CN"/>
        </w:rPr>
        <w:t>评分</w:t>
      </w:r>
      <w:r>
        <w:rPr>
          <w:rFonts w:ascii="Times New Roman" w:hAnsi="Times New Roman" w:eastAsia="仿宋" w:cs="Times New Roman"/>
          <w:sz w:val="24"/>
          <w:lang w:val="en-US" w:eastAsia="zh-CN"/>
        </w:rPr>
        <w:t>表</w:t>
      </w:r>
    </w:p>
    <w:tbl>
      <w:tblPr>
        <w:tblStyle w:val="51"/>
        <w:tblW w:w="95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10"/>
        <w:gridCol w:w="1958"/>
        <w:gridCol w:w="4029"/>
        <w:gridCol w:w="2295"/>
        <w:gridCol w:w="675"/>
      </w:tblGrid>
      <w:tr w14:paraId="2887D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272239">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序号</w:t>
            </w:r>
          </w:p>
        </w:tc>
        <w:tc>
          <w:tcPr>
            <w:tcW w:w="19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A7F652">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运维项</w:t>
            </w:r>
          </w:p>
        </w:tc>
        <w:tc>
          <w:tcPr>
            <w:tcW w:w="40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79473A">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hint="eastAsia" w:cs="Times New Roman"/>
                <w:i w:val="0"/>
                <w:iCs w:val="0"/>
                <w:color w:val="000000"/>
                <w:sz w:val="22"/>
                <w:szCs w:val="22"/>
                <w:u w:val="none"/>
                <w:lang w:val="en-US" w:eastAsia="zh-CN"/>
              </w:rPr>
              <w:t>评分</w:t>
            </w:r>
            <w:r>
              <w:rPr>
                <w:rFonts w:ascii="Times New Roman" w:hAnsi="Times New Roman" w:eastAsia="宋体" w:cs="Times New Roman"/>
                <w:i w:val="0"/>
                <w:iCs w:val="0"/>
                <w:color w:val="000000"/>
                <w:sz w:val="22"/>
                <w:szCs w:val="22"/>
                <w:u w:val="none"/>
                <w:lang w:val="en-US" w:eastAsia="zh-CN"/>
              </w:rPr>
              <w:t>标准</w:t>
            </w:r>
          </w:p>
        </w:tc>
        <w:tc>
          <w:tcPr>
            <w:tcW w:w="22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F320C1">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扣分规则</w:t>
            </w:r>
          </w:p>
        </w:tc>
        <w:tc>
          <w:tcPr>
            <w:tcW w:w="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8D6BB5">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得分</w:t>
            </w:r>
          </w:p>
        </w:tc>
      </w:tr>
      <w:tr w14:paraId="1D2E2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2E55D4">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1</w:t>
            </w:r>
          </w:p>
        </w:tc>
        <w:tc>
          <w:tcPr>
            <w:tcW w:w="19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F14A57">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设备在线率</w:t>
            </w:r>
          </w:p>
        </w:tc>
        <w:tc>
          <w:tcPr>
            <w:tcW w:w="40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18A009">
            <w:pPr>
              <w:keepNext w:val="0"/>
              <w:keepLines w:val="0"/>
              <w:widowControl/>
              <w:suppressLineNumbers w:val="0"/>
              <w:jc w:val="center"/>
              <w:rPr>
                <w:rFonts w:ascii="Times New Roman" w:hAnsi="Times New Roman" w:eastAsia="宋体" w:cs="Times New Roman"/>
                <w:i w:val="0"/>
                <w:iCs w:val="0"/>
                <w:color w:val="000000"/>
                <w:sz w:val="22"/>
                <w:szCs w:val="22"/>
                <w:u w:val="none"/>
                <w:lang w:val="en-US" w:eastAsia="zh-CN"/>
              </w:rPr>
            </w:pPr>
            <w:r>
              <w:rPr>
                <w:rFonts w:hint="eastAsia" w:cs="Times New Roman"/>
                <w:color w:val="000000"/>
                <w:sz w:val="21"/>
                <w:szCs w:val="21"/>
                <w:lang w:val="en-US" w:eastAsia="zh-CN"/>
              </w:rPr>
              <w:t>非不可抗力情况下</w:t>
            </w:r>
            <w:r>
              <w:rPr>
                <w:rFonts w:hint="eastAsia"/>
                <w:lang w:val="en-US" w:eastAsia="zh-CN"/>
              </w:rPr>
              <w:t>100%</w:t>
            </w:r>
          </w:p>
        </w:tc>
        <w:tc>
          <w:tcPr>
            <w:tcW w:w="22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4DDC6A">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每低 1% 扣 2 分</w:t>
            </w:r>
          </w:p>
        </w:tc>
        <w:tc>
          <w:tcPr>
            <w:tcW w:w="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7F3DD5">
            <w:pPr>
              <w:jc w:val="center"/>
              <w:rPr>
                <w:rFonts w:ascii="Times New Roman" w:hAnsi="Times New Roman" w:eastAsia="宋体" w:cs="Times New Roman"/>
                <w:i w:val="0"/>
                <w:iCs w:val="0"/>
                <w:color w:val="000000"/>
                <w:sz w:val="22"/>
                <w:szCs w:val="22"/>
                <w:u w:val="none"/>
              </w:rPr>
            </w:pPr>
          </w:p>
        </w:tc>
      </w:tr>
      <w:tr w14:paraId="068C9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4FD0C2">
            <w:pPr>
              <w:keepNext w:val="0"/>
              <w:keepLines w:val="0"/>
              <w:widowControl/>
              <w:suppressLineNumbers w:val="0"/>
              <w:jc w:val="center"/>
              <w:rPr>
                <w:rFonts w:ascii="Times New Roman" w:hAnsi="Times New Roman" w:eastAsia="宋体" w:cs="Times New Roman"/>
                <w:i w:val="0"/>
                <w:iCs w:val="0"/>
                <w:color w:val="000000"/>
                <w:sz w:val="22"/>
                <w:szCs w:val="22"/>
                <w:u w:val="none"/>
                <w:lang w:val="en-US" w:eastAsia="zh-CN"/>
              </w:rPr>
            </w:pPr>
            <w:r>
              <w:rPr>
                <w:rFonts w:hint="eastAsia" w:cs="Times New Roman"/>
                <w:i w:val="0"/>
                <w:iCs w:val="0"/>
                <w:color w:val="000000"/>
                <w:sz w:val="22"/>
                <w:szCs w:val="22"/>
                <w:u w:val="none"/>
                <w:lang w:val="en-US" w:eastAsia="zh-CN"/>
              </w:rPr>
              <w:t>2</w:t>
            </w:r>
          </w:p>
        </w:tc>
        <w:tc>
          <w:tcPr>
            <w:tcW w:w="19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0D8478">
            <w:pPr>
              <w:keepNext w:val="0"/>
              <w:keepLines w:val="0"/>
              <w:widowControl/>
              <w:suppressLineNumbers w:val="0"/>
              <w:jc w:val="center"/>
              <w:rPr>
                <w:rFonts w:ascii="Times New Roman" w:hAnsi="Times New Roman" w:eastAsia="宋体" w:cs="Times New Roman"/>
                <w:i w:val="0"/>
                <w:iCs w:val="0"/>
                <w:color w:val="000000"/>
                <w:sz w:val="22"/>
                <w:szCs w:val="22"/>
                <w:u w:val="none"/>
                <w:lang w:val="en-US" w:eastAsia="zh-CN"/>
              </w:rPr>
            </w:pPr>
            <w:r>
              <w:rPr>
                <w:rFonts w:hint="eastAsia" w:cs="Times New Roman"/>
                <w:color w:val="000000"/>
                <w:sz w:val="21"/>
                <w:szCs w:val="21"/>
                <w:lang w:val="en-US" w:eastAsia="zh-CN"/>
              </w:rPr>
              <w:t>对出塘行为的识别及预警率</w:t>
            </w:r>
          </w:p>
        </w:tc>
        <w:tc>
          <w:tcPr>
            <w:tcW w:w="40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6A8373">
            <w:pPr>
              <w:keepNext w:val="0"/>
              <w:keepLines w:val="0"/>
              <w:widowControl/>
              <w:suppressLineNumbers w:val="0"/>
              <w:jc w:val="center"/>
              <w:rPr>
                <w:rFonts w:hint="eastAsia" w:cs="Times New Roman"/>
                <w:color w:val="000000"/>
                <w:sz w:val="21"/>
                <w:szCs w:val="21"/>
                <w:lang w:val="en-US" w:eastAsia="zh-CN"/>
              </w:rPr>
            </w:pPr>
            <w:r>
              <w:rPr>
                <w:rFonts w:hint="eastAsia" w:cs="Times New Roman"/>
                <w:color w:val="000000"/>
                <w:sz w:val="21"/>
                <w:szCs w:val="21"/>
                <w:lang w:val="en-US" w:eastAsia="zh-CN"/>
              </w:rPr>
              <w:t>不低于95%</w:t>
            </w:r>
          </w:p>
        </w:tc>
        <w:tc>
          <w:tcPr>
            <w:tcW w:w="22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F83432">
            <w:pPr>
              <w:keepNext w:val="0"/>
              <w:keepLines w:val="0"/>
              <w:widowControl/>
              <w:suppressLineNumbers w:val="0"/>
              <w:jc w:val="center"/>
              <w:rPr>
                <w:rFonts w:ascii="Times New Roman" w:hAnsi="Times New Roman" w:eastAsia="宋体" w:cs="Times New Roman"/>
                <w:i w:val="0"/>
                <w:iCs w:val="0"/>
                <w:color w:val="000000"/>
                <w:sz w:val="22"/>
                <w:szCs w:val="22"/>
                <w:u w:val="none"/>
                <w:lang w:val="en-US" w:eastAsia="zh-CN"/>
              </w:rPr>
            </w:pPr>
            <w:r>
              <w:rPr>
                <w:rFonts w:ascii="Times New Roman" w:hAnsi="Times New Roman" w:eastAsia="宋体" w:cs="Times New Roman"/>
                <w:i w:val="0"/>
                <w:iCs w:val="0"/>
                <w:color w:val="000000"/>
                <w:sz w:val="22"/>
                <w:szCs w:val="22"/>
                <w:u w:val="none"/>
                <w:lang w:val="en-US" w:eastAsia="zh-CN"/>
              </w:rPr>
              <w:t>每低 1% 扣 2</w:t>
            </w:r>
            <w:r>
              <w:rPr>
                <w:rFonts w:hint="eastAsia" w:cs="Times New Roman"/>
                <w:i w:val="0"/>
                <w:iCs w:val="0"/>
                <w:color w:val="000000"/>
                <w:sz w:val="22"/>
                <w:szCs w:val="22"/>
                <w:u w:val="none"/>
                <w:lang w:val="en-US" w:eastAsia="zh-CN"/>
              </w:rPr>
              <w:t>分</w:t>
            </w:r>
          </w:p>
        </w:tc>
        <w:tc>
          <w:tcPr>
            <w:tcW w:w="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7996AB">
            <w:pPr>
              <w:jc w:val="center"/>
              <w:rPr>
                <w:rFonts w:ascii="Times New Roman" w:hAnsi="Times New Roman" w:eastAsia="宋体" w:cs="Times New Roman"/>
                <w:i w:val="0"/>
                <w:iCs w:val="0"/>
                <w:color w:val="000000"/>
                <w:sz w:val="22"/>
                <w:szCs w:val="22"/>
                <w:u w:val="none"/>
              </w:rPr>
            </w:pPr>
          </w:p>
        </w:tc>
      </w:tr>
      <w:tr w14:paraId="32CA6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22AA7A">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hint="eastAsia" w:cs="Times New Roman"/>
                <w:i w:val="0"/>
                <w:iCs w:val="0"/>
                <w:color w:val="000000"/>
                <w:sz w:val="22"/>
                <w:szCs w:val="22"/>
                <w:u w:val="none"/>
                <w:lang w:val="en-US" w:eastAsia="zh-CN"/>
              </w:rPr>
              <w:t>3</w:t>
            </w:r>
          </w:p>
        </w:tc>
        <w:tc>
          <w:tcPr>
            <w:tcW w:w="19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B97BB8">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故障响应</w:t>
            </w:r>
          </w:p>
        </w:tc>
        <w:tc>
          <w:tcPr>
            <w:tcW w:w="40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AB462C">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w:t>
            </w:r>
            <w:r>
              <w:rPr>
                <w:rFonts w:hint="eastAsia" w:cs="Times New Roman"/>
                <w:i w:val="0"/>
                <w:iCs w:val="0"/>
                <w:color w:val="000000"/>
                <w:sz w:val="22"/>
                <w:szCs w:val="22"/>
                <w:u w:val="none"/>
                <w:lang w:val="en-US" w:eastAsia="zh-CN"/>
              </w:rPr>
              <w:t>2</w:t>
            </w:r>
            <w:r>
              <w:rPr>
                <w:rFonts w:ascii="Times New Roman" w:hAnsi="Times New Roman" w:eastAsia="宋体" w:cs="Times New Roman"/>
                <w:i w:val="0"/>
                <w:iCs w:val="0"/>
                <w:color w:val="000000"/>
                <w:sz w:val="22"/>
                <w:szCs w:val="22"/>
                <w:u w:val="none"/>
                <w:lang w:val="en-US" w:eastAsia="zh-CN"/>
              </w:rPr>
              <w:t>小时响应，≤</w:t>
            </w:r>
            <w:r>
              <w:rPr>
                <w:rFonts w:hint="eastAsia" w:cs="Times New Roman"/>
                <w:i w:val="0"/>
                <w:iCs w:val="0"/>
                <w:color w:val="000000"/>
                <w:sz w:val="22"/>
                <w:szCs w:val="22"/>
                <w:u w:val="none"/>
                <w:lang w:val="en-US" w:eastAsia="zh-CN"/>
              </w:rPr>
              <w:t>8</w:t>
            </w:r>
            <w:r>
              <w:rPr>
                <w:rFonts w:ascii="Times New Roman" w:hAnsi="Times New Roman" w:eastAsia="宋体" w:cs="Times New Roman"/>
                <w:i w:val="0"/>
                <w:iCs w:val="0"/>
                <w:color w:val="000000"/>
                <w:sz w:val="22"/>
                <w:szCs w:val="22"/>
                <w:u w:val="none"/>
                <w:lang w:val="en-US" w:eastAsia="zh-CN"/>
              </w:rPr>
              <w:t>小时修复</w:t>
            </w:r>
          </w:p>
        </w:tc>
        <w:tc>
          <w:tcPr>
            <w:tcW w:w="22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EC0651">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超时每次扣 3 分</w:t>
            </w:r>
          </w:p>
        </w:tc>
        <w:tc>
          <w:tcPr>
            <w:tcW w:w="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E59558">
            <w:pPr>
              <w:jc w:val="center"/>
              <w:rPr>
                <w:rFonts w:ascii="Times New Roman" w:hAnsi="Times New Roman" w:eastAsia="宋体" w:cs="Times New Roman"/>
                <w:i w:val="0"/>
                <w:iCs w:val="0"/>
                <w:color w:val="000000"/>
                <w:sz w:val="22"/>
                <w:szCs w:val="22"/>
                <w:u w:val="none"/>
              </w:rPr>
            </w:pPr>
          </w:p>
        </w:tc>
      </w:tr>
      <w:tr w14:paraId="2BC35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D47D34">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hint="eastAsia" w:cs="Times New Roman"/>
                <w:i w:val="0"/>
                <w:iCs w:val="0"/>
                <w:color w:val="000000"/>
                <w:sz w:val="22"/>
                <w:szCs w:val="22"/>
                <w:u w:val="none"/>
                <w:lang w:val="en-US" w:eastAsia="zh-CN"/>
              </w:rPr>
              <w:t>4</w:t>
            </w:r>
          </w:p>
        </w:tc>
        <w:tc>
          <w:tcPr>
            <w:tcW w:w="19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4BE6E5">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算法迭代</w:t>
            </w:r>
          </w:p>
        </w:tc>
        <w:tc>
          <w:tcPr>
            <w:tcW w:w="40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857B7E">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每季度版本升级、优化识别效果</w:t>
            </w:r>
          </w:p>
        </w:tc>
        <w:tc>
          <w:tcPr>
            <w:tcW w:w="22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AEE9D9">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未迭代每次扣 5 分</w:t>
            </w:r>
          </w:p>
        </w:tc>
        <w:tc>
          <w:tcPr>
            <w:tcW w:w="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A640F8">
            <w:pPr>
              <w:jc w:val="center"/>
              <w:rPr>
                <w:rFonts w:ascii="Times New Roman" w:hAnsi="Times New Roman" w:eastAsia="宋体" w:cs="Times New Roman"/>
                <w:i w:val="0"/>
                <w:iCs w:val="0"/>
                <w:color w:val="000000"/>
                <w:sz w:val="22"/>
                <w:szCs w:val="22"/>
                <w:u w:val="none"/>
              </w:rPr>
            </w:pPr>
          </w:p>
        </w:tc>
      </w:tr>
      <w:tr w14:paraId="6AB6A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A372F2">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hint="eastAsia" w:cs="Times New Roman"/>
                <w:i w:val="0"/>
                <w:iCs w:val="0"/>
                <w:color w:val="000000"/>
                <w:sz w:val="22"/>
                <w:szCs w:val="22"/>
                <w:u w:val="none"/>
                <w:lang w:val="en-US" w:eastAsia="zh-CN"/>
              </w:rPr>
              <w:t>5</w:t>
            </w:r>
          </w:p>
        </w:tc>
        <w:tc>
          <w:tcPr>
            <w:tcW w:w="19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CA0425">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安全巡检</w:t>
            </w:r>
          </w:p>
        </w:tc>
        <w:tc>
          <w:tcPr>
            <w:tcW w:w="40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FEEBCA">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定期漏洞加固、日志审计、备份验证</w:t>
            </w:r>
          </w:p>
        </w:tc>
        <w:tc>
          <w:tcPr>
            <w:tcW w:w="22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08207F">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缺一次扣 2 分</w:t>
            </w:r>
          </w:p>
        </w:tc>
        <w:tc>
          <w:tcPr>
            <w:tcW w:w="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C638D3">
            <w:pPr>
              <w:jc w:val="center"/>
              <w:rPr>
                <w:rFonts w:ascii="Times New Roman" w:hAnsi="Times New Roman" w:eastAsia="宋体" w:cs="Times New Roman"/>
                <w:i w:val="0"/>
                <w:iCs w:val="0"/>
                <w:color w:val="000000"/>
                <w:sz w:val="22"/>
                <w:szCs w:val="22"/>
                <w:u w:val="none"/>
              </w:rPr>
            </w:pPr>
          </w:p>
        </w:tc>
      </w:tr>
      <w:tr w14:paraId="151C8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921C2B">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hint="eastAsia" w:cs="Times New Roman"/>
                <w:i w:val="0"/>
                <w:iCs w:val="0"/>
                <w:color w:val="000000"/>
                <w:sz w:val="22"/>
                <w:szCs w:val="22"/>
                <w:u w:val="none"/>
                <w:lang w:val="en-US" w:eastAsia="zh-CN"/>
              </w:rPr>
              <w:t>6</w:t>
            </w:r>
          </w:p>
        </w:tc>
        <w:tc>
          <w:tcPr>
            <w:tcW w:w="19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F591DC">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数据合规</w:t>
            </w:r>
          </w:p>
        </w:tc>
        <w:tc>
          <w:tcPr>
            <w:tcW w:w="40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427555">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敏感数据不出域、加密存储、水印溯源</w:t>
            </w:r>
          </w:p>
        </w:tc>
        <w:tc>
          <w:tcPr>
            <w:tcW w:w="22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56B797">
            <w:pPr>
              <w:keepNext w:val="0"/>
              <w:keepLines w:val="0"/>
              <w:widowControl/>
              <w:suppressLineNumbers w:val="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lang w:val="en-US" w:eastAsia="zh-CN"/>
              </w:rPr>
              <w:t>违规一次扣 10 分</w:t>
            </w:r>
          </w:p>
        </w:tc>
        <w:tc>
          <w:tcPr>
            <w:tcW w:w="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96694B">
            <w:pPr>
              <w:jc w:val="center"/>
              <w:rPr>
                <w:rFonts w:ascii="Times New Roman" w:hAnsi="Times New Roman" w:eastAsia="宋体" w:cs="Times New Roman"/>
                <w:i w:val="0"/>
                <w:iCs w:val="0"/>
                <w:color w:val="000000"/>
                <w:sz w:val="22"/>
                <w:szCs w:val="22"/>
                <w:u w:val="none"/>
              </w:rPr>
            </w:pPr>
          </w:p>
        </w:tc>
      </w:tr>
    </w:tbl>
    <w:p w14:paraId="3D673CC7">
      <w:pPr>
        <w:keepNext w:val="0"/>
        <w:keepLines w:val="0"/>
        <w:widowControl w:val="0"/>
        <w:suppressLineNumbers w:val="0"/>
        <w:pBdr>
          <w:top w:val="none" w:color="auto" w:sz="0" w:space="0"/>
          <w:left w:val="none" w:color="auto" w:sz="0" w:space="0"/>
          <w:right w:val="none" w:color="auto" w:sz="0" w:space="0"/>
        </w:pBdr>
        <w:shd w:val="clear" w:color="auto" w:fill="FFFFFF"/>
        <w:spacing w:after="0" w:line="460" w:lineRule="exact"/>
        <w:ind w:firstLine="480"/>
        <w:jc w:val="left"/>
      </w:pPr>
      <w:r>
        <w:rPr>
          <w:rFonts w:hint="eastAsia" w:eastAsia="仿宋" w:cs="Times New Roman"/>
          <w:caps w:val="0"/>
          <w:smallCaps w:val="0"/>
          <w:color w:val="000000"/>
          <w:spacing w:val="0"/>
          <w:sz w:val="24"/>
          <w:szCs w:val="24"/>
          <w:shd w:val="clear" w:color="auto" w:fill="FFFFFF"/>
          <w:vertAlign w:val="baseline"/>
          <w:lang w:val="en-US" w:eastAsia="zh-CN"/>
        </w:rPr>
        <w:t>评分</w:t>
      </w:r>
      <w:r>
        <w:rPr>
          <w:rFonts w:ascii="Times New Roman" w:hAnsi="Times New Roman" w:eastAsia="仿宋" w:cs="Times New Roman"/>
          <w:caps w:val="0"/>
          <w:smallCaps w:val="0"/>
          <w:color w:val="000000"/>
          <w:spacing w:val="0"/>
          <w:sz w:val="24"/>
          <w:szCs w:val="24"/>
          <w:shd w:val="clear" w:color="auto" w:fill="FFFFFF"/>
          <w:vertAlign w:val="baseline"/>
        </w:rPr>
        <w:t>结果应用</w:t>
      </w:r>
      <w:r>
        <w:rPr>
          <w:rFonts w:hint="eastAsia" w:eastAsia="仿宋" w:cs="Times New Roman"/>
          <w:caps w:val="0"/>
          <w:smallCaps w:val="0"/>
          <w:spacing w:val="0"/>
          <w:sz w:val="24"/>
          <w:szCs w:val="24"/>
          <w:shd w:val="clear" w:color="auto" w:fill="auto"/>
          <w:vertAlign w:val="baseline"/>
          <w:lang w:eastAsia="zh-CN"/>
        </w:rPr>
        <w:t>：</w:t>
      </w:r>
      <w:r>
        <w:rPr>
          <w:rFonts w:ascii="Times New Roman" w:hAnsi="Times New Roman" w:eastAsia="仿宋" w:cs="Times New Roman"/>
          <w:caps w:val="0"/>
          <w:smallCaps w:val="0"/>
          <w:color w:val="000000"/>
          <w:spacing w:val="0"/>
          <w:sz w:val="24"/>
          <w:szCs w:val="24"/>
          <w:shd w:val="clear" w:color="auto" w:fill="FFFFFF"/>
          <w:vertAlign w:val="baseline"/>
        </w:rPr>
        <w:t>​</w:t>
      </w:r>
    </w:p>
    <w:p w14:paraId="13431733">
      <w:pPr>
        <w:keepNext w:val="0"/>
        <w:keepLines w:val="0"/>
        <w:widowControl w:val="0"/>
        <w:suppressLineNumbers w:val="0"/>
        <w:pBdr>
          <w:top w:val="none" w:color="auto" w:sz="0" w:space="0"/>
          <w:left w:val="none" w:color="auto" w:sz="0" w:space="0"/>
          <w:right w:val="none" w:color="auto" w:sz="0" w:space="0"/>
        </w:pBdr>
        <w:shd w:val="clear" w:color="auto" w:fill="FFFFFF"/>
        <w:spacing w:after="0" w:line="460" w:lineRule="exact"/>
        <w:ind w:left="0" w:firstLine="480"/>
        <w:jc w:val="left"/>
        <w:rPr>
          <w:rFonts w:ascii="Times New Roman" w:hAnsi="Times New Roman" w:eastAsia="仿宋" w:cs="Times New Roman"/>
          <w:caps w:val="0"/>
          <w:smallCaps w:val="0"/>
          <w:color w:val="000000"/>
          <w:spacing w:val="0"/>
          <w:sz w:val="24"/>
          <w:szCs w:val="24"/>
          <w:shd w:val="clear" w:color="auto" w:fill="FFFFFF"/>
          <w:vertAlign w:val="baseline"/>
        </w:rPr>
      </w:pPr>
      <w:r>
        <w:rPr>
          <w:rFonts w:hint="eastAsia" w:eastAsia="仿宋" w:cs="Times New Roman"/>
          <w:caps w:val="0"/>
          <w:smallCaps w:val="0"/>
          <w:spacing w:val="0"/>
          <w:sz w:val="24"/>
          <w:szCs w:val="24"/>
          <w:shd w:val="clear" w:color="auto" w:fill="auto"/>
          <w:vertAlign w:val="baseline"/>
          <w:lang w:val="en-US" w:eastAsia="zh-CN"/>
        </w:rPr>
        <w:t>1.</w:t>
      </w:r>
      <w:r>
        <w:rPr>
          <w:rFonts w:hint="eastAsia" w:eastAsia="仿宋" w:cs="Times New Roman"/>
          <w:caps w:val="0"/>
          <w:smallCaps w:val="0"/>
          <w:color w:val="000000"/>
          <w:spacing w:val="0"/>
          <w:sz w:val="24"/>
          <w:szCs w:val="24"/>
          <w:shd w:val="clear" w:color="auto" w:fill="FFFFFF"/>
          <w:vertAlign w:val="baseline"/>
          <w:lang w:val="en-US" w:eastAsia="zh-CN"/>
        </w:rPr>
        <w:t>评分</w:t>
      </w:r>
      <w:r>
        <w:rPr>
          <w:rFonts w:ascii="Times New Roman" w:hAnsi="Times New Roman" w:eastAsia="仿宋" w:cs="Times New Roman"/>
          <w:caps w:val="0"/>
          <w:smallCaps w:val="0"/>
          <w:color w:val="000000"/>
          <w:spacing w:val="0"/>
          <w:sz w:val="24"/>
          <w:szCs w:val="24"/>
          <w:shd w:val="clear" w:color="auto" w:fill="FFFFFF"/>
          <w:vertAlign w:val="baseline"/>
        </w:rPr>
        <w:t>周期：每季度</w:t>
      </w:r>
      <w:r>
        <w:rPr>
          <w:rFonts w:hint="eastAsia" w:eastAsia="仿宋" w:cs="Times New Roman"/>
          <w:caps w:val="0"/>
          <w:smallCaps w:val="0"/>
          <w:color w:val="000000"/>
          <w:spacing w:val="0"/>
          <w:sz w:val="24"/>
          <w:szCs w:val="24"/>
          <w:shd w:val="clear" w:color="auto" w:fill="FFFFFF"/>
          <w:vertAlign w:val="baseline"/>
          <w:lang w:val="en-US" w:eastAsia="zh-CN"/>
        </w:rPr>
        <w:t>打分</w:t>
      </w:r>
      <w:r>
        <w:rPr>
          <w:rFonts w:ascii="Times New Roman" w:hAnsi="Times New Roman" w:eastAsia="仿宋" w:cs="Times New Roman"/>
          <w:caps w:val="0"/>
          <w:smallCaps w:val="0"/>
          <w:color w:val="000000"/>
          <w:spacing w:val="0"/>
          <w:sz w:val="24"/>
          <w:szCs w:val="24"/>
          <w:shd w:val="clear" w:color="auto" w:fill="FFFFFF"/>
          <w:vertAlign w:val="baseline"/>
        </w:rPr>
        <w:t>一次，</w:t>
      </w:r>
      <w:r>
        <w:rPr>
          <w:rFonts w:hint="eastAsia" w:eastAsia="仿宋" w:cs="Times New Roman"/>
          <w:caps w:val="0"/>
          <w:smallCaps w:val="0"/>
          <w:color w:val="000000"/>
          <w:spacing w:val="0"/>
          <w:sz w:val="24"/>
          <w:szCs w:val="24"/>
          <w:shd w:val="clear" w:color="auto" w:fill="FFFFFF"/>
          <w:vertAlign w:val="baseline"/>
          <w:lang w:val="en-US" w:eastAsia="zh-CN"/>
        </w:rPr>
        <w:t>每个服务阶段的得分</w:t>
      </w:r>
      <w:r>
        <w:rPr>
          <w:rFonts w:ascii="Times New Roman" w:hAnsi="Times New Roman" w:eastAsia="仿宋" w:cs="Times New Roman"/>
          <w:caps w:val="0"/>
          <w:smallCaps w:val="0"/>
          <w:color w:val="000000"/>
          <w:spacing w:val="0"/>
          <w:sz w:val="24"/>
          <w:szCs w:val="24"/>
          <w:shd w:val="clear" w:color="auto" w:fill="FFFFFF"/>
          <w:vertAlign w:val="baseline"/>
        </w:rPr>
        <w:t>取平均分。</w:t>
      </w:r>
    </w:p>
    <w:p w14:paraId="1C434DDE">
      <w:pPr>
        <w:keepNext w:val="0"/>
        <w:keepLines w:val="0"/>
        <w:widowControl w:val="0"/>
        <w:suppressLineNumbers w:val="0"/>
        <w:pBdr>
          <w:top w:val="none" w:color="auto" w:sz="0" w:space="0"/>
          <w:left w:val="none" w:color="auto" w:sz="0" w:space="0"/>
          <w:right w:val="none" w:color="auto" w:sz="0" w:space="0"/>
        </w:pBdr>
        <w:shd w:val="clear" w:color="auto" w:fill="FFFFFF"/>
        <w:spacing w:after="0" w:line="460" w:lineRule="exact"/>
        <w:ind w:left="0" w:firstLine="480"/>
        <w:jc w:val="left"/>
        <w:rPr>
          <w:rFonts w:ascii="Times New Roman" w:hAnsi="Times New Roman" w:eastAsia="仿宋" w:cs="Times New Roman"/>
          <w:caps w:val="0"/>
          <w:smallCaps w:val="0"/>
          <w:color w:val="000000"/>
          <w:spacing w:val="0"/>
          <w:sz w:val="24"/>
          <w:szCs w:val="24"/>
          <w:shd w:val="clear" w:color="auto" w:fill="FFFFFF"/>
          <w:vertAlign w:val="baseline"/>
        </w:rPr>
      </w:pPr>
      <w:r>
        <w:rPr>
          <w:rFonts w:hint="eastAsia" w:eastAsia="仿宋" w:cs="Times New Roman"/>
          <w:caps w:val="0"/>
          <w:smallCaps w:val="0"/>
          <w:spacing w:val="0"/>
          <w:sz w:val="24"/>
          <w:szCs w:val="24"/>
          <w:shd w:val="clear" w:color="auto" w:fill="auto"/>
          <w:vertAlign w:val="baseline"/>
          <w:lang w:val="en-US" w:eastAsia="zh-CN"/>
        </w:rPr>
        <w:t>2.</w:t>
      </w:r>
      <w:r>
        <w:rPr>
          <w:rFonts w:hint="eastAsia" w:eastAsia="仿宋" w:cs="Times New Roman"/>
          <w:caps w:val="0"/>
          <w:smallCaps w:val="0"/>
          <w:color w:val="000000"/>
          <w:spacing w:val="0"/>
          <w:sz w:val="24"/>
          <w:szCs w:val="24"/>
          <w:shd w:val="clear" w:color="auto" w:fill="FFFFFF"/>
          <w:vertAlign w:val="baseline"/>
          <w:lang w:val="en-US" w:eastAsia="zh-CN"/>
        </w:rPr>
        <w:t>评分结果</w:t>
      </w:r>
      <w:r>
        <w:rPr>
          <w:rFonts w:ascii="Times New Roman" w:hAnsi="Times New Roman" w:eastAsia="仿宋" w:cs="Times New Roman"/>
          <w:caps w:val="0"/>
          <w:smallCaps w:val="0"/>
          <w:color w:val="000000"/>
          <w:spacing w:val="0"/>
          <w:sz w:val="24"/>
          <w:szCs w:val="24"/>
          <w:shd w:val="clear" w:color="auto" w:fill="FFFFFF"/>
          <w:vertAlign w:val="baseline"/>
        </w:rPr>
        <w:t>与费用支付：</w:t>
      </w:r>
    </w:p>
    <w:p w14:paraId="6F6E36A6">
      <w:pPr>
        <w:keepNext w:val="0"/>
        <w:keepLines w:val="0"/>
        <w:widowControl w:val="0"/>
        <w:suppressLineNumbers w:val="0"/>
        <w:pBdr>
          <w:top w:val="none" w:color="auto" w:sz="0" w:space="0"/>
          <w:left w:val="none" w:color="auto" w:sz="0" w:space="0"/>
          <w:right w:val="none" w:color="auto" w:sz="0" w:space="0"/>
        </w:pBdr>
        <w:shd w:val="clear" w:color="auto" w:fill="FFFFFF"/>
        <w:spacing w:after="0" w:line="460" w:lineRule="exact"/>
        <w:ind w:left="0" w:firstLine="480"/>
        <w:jc w:val="left"/>
        <w:rPr>
          <w:rFonts w:ascii="Times New Roman" w:hAnsi="Times New Roman" w:eastAsia="仿宋" w:cs="Times New Roman"/>
          <w:caps w:val="0"/>
          <w:smallCaps w:val="0"/>
          <w:color w:val="000000"/>
          <w:spacing w:val="0"/>
          <w:sz w:val="24"/>
          <w:szCs w:val="24"/>
          <w:shd w:val="clear" w:color="auto" w:fill="FFFFFF"/>
          <w:vertAlign w:val="baseline"/>
        </w:rPr>
      </w:pPr>
      <w:r>
        <w:rPr>
          <w:rFonts w:ascii="Times New Roman" w:hAnsi="Times New Roman" w:eastAsia="仿宋" w:cs="Times New Roman"/>
          <w:caps w:val="0"/>
          <w:smallCaps w:val="0"/>
          <w:color w:val="000000"/>
          <w:spacing w:val="0"/>
          <w:sz w:val="24"/>
          <w:szCs w:val="24"/>
          <w:shd w:val="clear" w:color="auto" w:fill="FFFFFF"/>
          <w:vertAlign w:val="baseline"/>
        </w:rPr>
        <w:t>优良：得分在80分（含）以上。视为服务</w:t>
      </w:r>
      <w:r>
        <w:rPr>
          <w:rFonts w:hint="eastAsia" w:eastAsia="仿宋" w:cs="Times New Roman"/>
          <w:caps w:val="0"/>
          <w:smallCaps w:val="0"/>
          <w:color w:val="000000"/>
          <w:spacing w:val="0"/>
          <w:sz w:val="24"/>
          <w:szCs w:val="24"/>
          <w:shd w:val="clear" w:color="auto" w:fill="FFFFFF"/>
          <w:vertAlign w:val="baseline"/>
          <w:lang w:val="en-US" w:eastAsia="zh-CN"/>
        </w:rPr>
        <w:t>合格</w:t>
      </w:r>
      <w:r>
        <w:rPr>
          <w:rFonts w:ascii="Times New Roman" w:hAnsi="Times New Roman" w:eastAsia="仿宋" w:cs="Times New Roman"/>
          <w:caps w:val="0"/>
          <w:smallCaps w:val="0"/>
          <w:color w:val="000000"/>
          <w:spacing w:val="0"/>
          <w:sz w:val="24"/>
          <w:szCs w:val="24"/>
          <w:shd w:val="clear" w:color="auto" w:fill="FFFFFF"/>
          <w:vertAlign w:val="baseline"/>
        </w:rPr>
        <w:t>，按合同约定全额支付当期服务费用。</w:t>
      </w:r>
    </w:p>
    <w:p w14:paraId="7C061E82">
      <w:pPr>
        <w:keepNext w:val="0"/>
        <w:keepLines w:val="0"/>
        <w:widowControl w:val="0"/>
        <w:suppressLineNumbers w:val="0"/>
        <w:pBdr>
          <w:top w:val="none" w:color="auto" w:sz="0" w:space="0"/>
          <w:left w:val="none" w:color="auto" w:sz="0" w:space="0"/>
          <w:right w:val="none" w:color="auto" w:sz="0" w:space="0"/>
        </w:pBdr>
        <w:shd w:val="clear" w:color="auto" w:fill="FFFFFF"/>
        <w:spacing w:after="0" w:line="460" w:lineRule="exact"/>
        <w:ind w:left="0" w:firstLine="480"/>
        <w:jc w:val="left"/>
        <w:rPr>
          <w:rFonts w:ascii="Times New Roman" w:hAnsi="Times New Roman" w:eastAsia="仿宋" w:cs="Times New Roman"/>
          <w:caps w:val="0"/>
          <w:smallCaps w:val="0"/>
          <w:color w:val="000000"/>
          <w:spacing w:val="0"/>
          <w:sz w:val="24"/>
          <w:szCs w:val="24"/>
          <w:shd w:val="clear" w:color="auto" w:fill="FFFFFF"/>
          <w:vertAlign w:val="baseline"/>
        </w:rPr>
      </w:pPr>
      <w:r>
        <w:rPr>
          <w:rFonts w:ascii="Times New Roman" w:hAnsi="Times New Roman" w:eastAsia="仿宋" w:cs="Times New Roman"/>
          <w:caps w:val="0"/>
          <w:smallCaps w:val="0"/>
          <w:color w:val="000000"/>
          <w:spacing w:val="0"/>
          <w:sz w:val="24"/>
          <w:szCs w:val="24"/>
          <w:shd w:val="clear" w:color="auto" w:fill="FFFFFF"/>
          <w:vertAlign w:val="baseline"/>
        </w:rPr>
        <w:t>合格：得分在60分（含）至80分之间。视为服务</w:t>
      </w:r>
      <w:r>
        <w:rPr>
          <w:rFonts w:hint="eastAsia" w:eastAsia="仿宋" w:cs="Times New Roman"/>
          <w:caps w:val="0"/>
          <w:smallCaps w:val="0"/>
          <w:color w:val="000000"/>
          <w:spacing w:val="0"/>
          <w:sz w:val="24"/>
          <w:szCs w:val="24"/>
          <w:shd w:val="clear" w:color="auto" w:fill="FFFFFF"/>
          <w:vertAlign w:val="baseline"/>
          <w:lang w:val="en-US" w:eastAsia="zh-CN"/>
        </w:rPr>
        <w:t>有条件</w:t>
      </w:r>
      <w:r>
        <w:rPr>
          <w:rFonts w:ascii="Times New Roman" w:hAnsi="Times New Roman" w:eastAsia="仿宋" w:cs="Times New Roman"/>
          <w:caps w:val="0"/>
          <w:smallCaps w:val="0"/>
          <w:color w:val="000000"/>
          <w:spacing w:val="0"/>
          <w:sz w:val="24"/>
          <w:szCs w:val="24"/>
          <w:shd w:val="clear" w:color="auto" w:fill="FFFFFF"/>
          <w:vertAlign w:val="baseline"/>
        </w:rPr>
        <w:t>合格，甲方有权扣除合同</w:t>
      </w:r>
      <w:r>
        <w:rPr>
          <w:rFonts w:hint="eastAsia" w:eastAsia="仿宋" w:cs="Times New Roman"/>
          <w:caps w:val="0"/>
          <w:smallCaps w:val="0"/>
          <w:color w:val="000000"/>
          <w:spacing w:val="0"/>
          <w:sz w:val="24"/>
          <w:szCs w:val="24"/>
          <w:shd w:val="clear" w:color="auto" w:fill="FFFFFF"/>
          <w:vertAlign w:val="baseline"/>
          <w:lang w:val="en-US" w:eastAsia="zh-CN"/>
        </w:rPr>
        <w:t>金</w:t>
      </w:r>
      <w:r>
        <w:rPr>
          <w:rFonts w:ascii="Times New Roman" w:hAnsi="Times New Roman" w:eastAsia="仿宋" w:cs="Times New Roman"/>
          <w:caps w:val="0"/>
          <w:smallCaps w:val="0"/>
          <w:color w:val="000000"/>
          <w:spacing w:val="0"/>
          <w:sz w:val="24"/>
          <w:szCs w:val="24"/>
          <w:shd w:val="clear" w:color="auto" w:fill="FFFFFF"/>
          <w:vertAlign w:val="baseline"/>
        </w:rPr>
        <w:t>额的2%作为违约金，并责令乙方在15个工作日内完成整改</w:t>
      </w:r>
      <w:r>
        <w:rPr>
          <w:rFonts w:hint="eastAsia" w:eastAsia="仿宋" w:cs="Times New Roman"/>
          <w:caps w:val="0"/>
          <w:smallCaps w:val="0"/>
          <w:color w:val="000000"/>
          <w:spacing w:val="0"/>
          <w:sz w:val="24"/>
          <w:szCs w:val="24"/>
          <w:shd w:val="clear" w:color="auto" w:fill="FFFFFF"/>
          <w:vertAlign w:val="baseline"/>
          <w:lang w:eastAsia="zh-CN"/>
        </w:rPr>
        <w:t>，</w:t>
      </w:r>
      <w:r>
        <w:rPr>
          <w:rFonts w:hint="eastAsia" w:eastAsia="仿宋" w:cs="Times New Roman"/>
          <w:caps w:val="0"/>
          <w:smallCaps w:val="0"/>
          <w:color w:val="000000"/>
          <w:spacing w:val="0"/>
          <w:sz w:val="24"/>
          <w:szCs w:val="24"/>
          <w:shd w:val="clear" w:color="auto" w:fill="FFFFFF"/>
          <w:vertAlign w:val="baseline"/>
          <w:lang w:val="en-US" w:eastAsia="zh-CN"/>
        </w:rPr>
        <w:t>整改合格后支付扣除违约金的当期服务费用</w:t>
      </w:r>
      <w:r>
        <w:rPr>
          <w:rFonts w:ascii="Times New Roman" w:hAnsi="Times New Roman" w:eastAsia="仿宋" w:cs="Times New Roman"/>
          <w:caps w:val="0"/>
          <w:smallCaps w:val="0"/>
          <w:color w:val="000000"/>
          <w:spacing w:val="0"/>
          <w:sz w:val="24"/>
          <w:szCs w:val="24"/>
          <w:shd w:val="clear" w:color="auto" w:fill="FFFFFF"/>
          <w:vertAlign w:val="baseline"/>
        </w:rPr>
        <w:t>。整改后复</w:t>
      </w:r>
      <w:r>
        <w:rPr>
          <w:rFonts w:hint="eastAsia" w:eastAsia="仿宋" w:cs="Times New Roman"/>
          <w:caps w:val="0"/>
          <w:smallCaps w:val="0"/>
          <w:color w:val="000000"/>
          <w:spacing w:val="0"/>
          <w:sz w:val="24"/>
          <w:szCs w:val="24"/>
          <w:shd w:val="clear" w:color="auto" w:fill="FFFFFF"/>
          <w:vertAlign w:val="baseline"/>
          <w:lang w:val="en-US" w:eastAsia="zh-CN"/>
        </w:rPr>
        <w:t>评</w:t>
      </w:r>
      <w:r>
        <w:rPr>
          <w:rFonts w:ascii="Times New Roman" w:hAnsi="Times New Roman" w:eastAsia="仿宋" w:cs="Times New Roman"/>
          <w:caps w:val="0"/>
          <w:smallCaps w:val="0"/>
          <w:color w:val="000000"/>
          <w:spacing w:val="0"/>
          <w:sz w:val="24"/>
          <w:szCs w:val="24"/>
          <w:shd w:val="clear" w:color="auto" w:fill="FFFFFF"/>
          <w:vertAlign w:val="baseline"/>
        </w:rPr>
        <w:t>仍不合格的，甲方有权采取进一步措施。</w:t>
      </w:r>
    </w:p>
    <w:p w14:paraId="71EC8EDD">
      <w:pPr>
        <w:spacing w:after="0" w:line="460" w:lineRule="exact"/>
        <w:ind w:firstLine="480"/>
        <w:rPr>
          <w:rFonts w:ascii="Times New Roman" w:hAnsi="Times New Roman" w:eastAsia="仿宋" w:cs="Times New Roman"/>
          <w:sz w:val="24"/>
        </w:rPr>
      </w:pPr>
      <w:r>
        <w:rPr>
          <w:rFonts w:ascii="Times New Roman" w:hAnsi="Times New Roman" w:eastAsia="仿宋" w:cs="Times New Roman"/>
          <w:caps w:val="0"/>
          <w:smallCaps w:val="0"/>
          <w:color w:val="auto"/>
          <w:spacing w:val="0"/>
          <w:sz w:val="24"/>
          <w:szCs w:val="24"/>
          <w:shd w:val="clear" w:color="auto" w:fill="auto"/>
          <w:vertAlign w:val="baseline"/>
        </w:rPr>
        <w:t>不合格：得分在60分以下。视为服务不合格，甲方有权单方解除合同，并不再支付后续费用。给甲方造成损失的，甲方有权追索赔偿。合同解除后，结算费用按已履约时长比例计算，多支付部分乙方需在规定时间内退还。</w:t>
      </w:r>
    </w:p>
    <w:p w14:paraId="4BCF7C8C">
      <w:pPr>
        <w:pStyle w:val="2"/>
      </w:pPr>
    </w:p>
    <w:p w14:paraId="6DCCC16C">
      <w:pPr>
        <w:spacing w:line="480" w:lineRule="exact"/>
        <w:ind w:firstLine="480"/>
        <w:rPr>
          <w:rFonts w:ascii="Times New Roman" w:hAnsi="Times New Roman" w:eastAsia="仿宋" w:cs="Times New Roman"/>
          <w:sz w:val="24"/>
        </w:rPr>
      </w:pPr>
    </w:p>
    <w:p w14:paraId="5D978D9C">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甲方：[  ]         </w:t>
      </w:r>
    </w:p>
    <w:p w14:paraId="395BF998">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法定代表人/负责人</w:t>
      </w:r>
    </w:p>
    <w:p w14:paraId="5DDEA80B">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或授权代表：（签字）         </w:t>
      </w:r>
    </w:p>
    <w:p w14:paraId="5AD8C296">
      <w:pPr>
        <w:spacing w:line="480" w:lineRule="exact"/>
        <w:ind w:firstLine="480"/>
        <w:rPr>
          <w:rFonts w:ascii="Times New Roman" w:hAnsi="Times New Roman" w:eastAsia="仿宋" w:cs="Times New Roman"/>
          <w:sz w:val="24"/>
        </w:rPr>
      </w:pPr>
    </w:p>
    <w:p w14:paraId="51ADB0B1">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]年[  ]月[  ]日</w:t>
      </w:r>
    </w:p>
    <w:p w14:paraId="044F66AC">
      <w:pPr>
        <w:spacing w:line="480" w:lineRule="exact"/>
        <w:ind w:firstLine="480"/>
        <w:rPr>
          <w:rFonts w:ascii="Times New Roman" w:hAnsi="Times New Roman" w:eastAsia="仿宋" w:cs="Times New Roman"/>
          <w:sz w:val="24"/>
        </w:rPr>
      </w:pPr>
    </w:p>
    <w:p w14:paraId="2B995C05">
      <w:pPr>
        <w:spacing w:line="480" w:lineRule="exact"/>
        <w:ind w:firstLine="480"/>
        <w:rPr>
          <w:rFonts w:ascii="Times New Roman" w:hAnsi="Times New Roman" w:eastAsia="仿宋" w:cs="Times New Roman"/>
          <w:sz w:val="24"/>
        </w:rPr>
      </w:pPr>
    </w:p>
    <w:p w14:paraId="59FF8BCA">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乙方：[  ] </w:t>
      </w:r>
    </w:p>
    <w:p w14:paraId="51705493">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 xml:space="preserve">法定代表人/负责人                     </w:t>
      </w:r>
    </w:p>
    <w:p w14:paraId="1A285399">
      <w:pPr>
        <w:spacing w:line="480" w:lineRule="exact"/>
        <w:ind w:firstLine="480"/>
        <w:rPr>
          <w:rFonts w:ascii="Times New Roman" w:hAnsi="Times New Roman" w:eastAsia="仿宋" w:cs="Times New Roman"/>
          <w:sz w:val="24"/>
        </w:rPr>
      </w:pPr>
      <w:r>
        <w:rPr>
          <w:rFonts w:ascii="Times New Roman" w:hAnsi="Times New Roman" w:eastAsia="仿宋" w:cs="Times New Roman"/>
          <w:sz w:val="24"/>
        </w:rPr>
        <w:t>或授权代表：（签字）</w:t>
      </w:r>
    </w:p>
    <w:p w14:paraId="193BB171">
      <w:pPr>
        <w:spacing w:line="480" w:lineRule="exact"/>
        <w:ind w:firstLine="480"/>
        <w:rPr>
          <w:rFonts w:ascii="Times New Roman" w:hAnsi="Times New Roman" w:eastAsia="仿宋" w:cs="Times New Roman"/>
          <w:sz w:val="24"/>
        </w:rPr>
      </w:pPr>
    </w:p>
    <w:p w14:paraId="0EE0B2EF">
      <w:pPr>
        <w:rPr>
          <w:rFonts w:ascii="Times New Roman" w:hAnsi="Times New Roman" w:cs="Times New Roman"/>
        </w:rPr>
      </w:pPr>
      <w:r>
        <w:rPr>
          <w:rFonts w:ascii="Times New Roman" w:hAnsi="Times New Roman" w:eastAsia="仿宋" w:cs="Times New Roman"/>
          <w:sz w:val="24"/>
        </w:rPr>
        <w:t>[  ]年[  ]月[  ]日</w:t>
      </w:r>
    </w:p>
    <w:p w14:paraId="17535A98">
      <w:pPr>
        <w:pStyle w:val="213"/>
        <w:rPr>
          <w:rFonts w:ascii="Times New Roman" w:hAnsi="Times New Roman" w:cs="Times New Roman"/>
          <w:color w:val="auto"/>
        </w:rPr>
        <w:sectPr>
          <w:footerReference r:id="rId5" w:type="default"/>
          <w:pgSz w:w="11906" w:h="16838"/>
          <w:pgMar w:top="1440" w:right="1797" w:bottom="1440" w:left="1399" w:header="851" w:footer="992" w:gutter="0"/>
          <w:pgNumType w:start="1"/>
          <w:cols w:space="720" w:num="1"/>
          <w:docGrid w:linePitch="360" w:charSpace="0"/>
        </w:sectPr>
      </w:pPr>
    </w:p>
    <w:p w14:paraId="09A2C0E5">
      <w:pPr>
        <w:rPr>
          <w:rFonts w:ascii="Times New Roman" w:hAnsi="Times New Roman" w:eastAsia="宋体" w:cs="Times New Roman"/>
        </w:rPr>
      </w:pPr>
    </w:p>
    <w:p w14:paraId="10E49925">
      <w:pPr>
        <w:pStyle w:val="3"/>
        <w:numPr>
          <w:ilvl w:val="0"/>
          <w:numId w:val="0"/>
        </w:numPr>
        <w:rPr>
          <w:rFonts w:ascii="Times New Roman" w:hAnsi="Times New Roman" w:eastAsia="宋体" w:cs="Times New Roman"/>
        </w:rPr>
      </w:pPr>
      <w:bookmarkStart w:id="45" w:name="_Toc28664"/>
      <w:bookmarkStart w:id="53" w:name="_GoBack"/>
      <w:bookmarkEnd w:id="53"/>
      <w:r>
        <w:rPr>
          <w:rFonts w:ascii="Times New Roman" w:hAnsi="Times New Roman" w:eastAsia="宋体" w:cs="Times New Roman"/>
        </w:rPr>
        <w:t>第六章 投标文件格式及附件</w:t>
      </w:r>
      <w:bookmarkEnd w:id="43"/>
      <w:bookmarkEnd w:id="45"/>
    </w:p>
    <w:p w14:paraId="1733ACA7">
      <w:pPr>
        <w:widowControl/>
        <w:spacing w:line="240" w:lineRule="atLeast"/>
        <w:jc w:val="left"/>
        <w:rPr>
          <w:rFonts w:ascii="Times New Roman" w:hAnsi="Times New Roman" w:eastAsia="宋体" w:cs="Times New Roman"/>
          <w:b/>
          <w:bCs/>
          <w:szCs w:val="21"/>
        </w:rPr>
      </w:pPr>
    </w:p>
    <w:p w14:paraId="6FF233E0">
      <w:pPr>
        <w:spacing w:line="440" w:lineRule="exact"/>
        <w:rPr>
          <w:rFonts w:ascii="Times New Roman" w:hAnsi="Times New Roman" w:eastAsia="宋体" w:cs="Times New Roman"/>
          <w:sz w:val="20"/>
          <w:szCs w:val="20"/>
        </w:rPr>
      </w:pPr>
    </w:p>
    <w:bookmarkEnd w:id="44"/>
    <w:p w14:paraId="1371420B">
      <w:pPr>
        <w:spacing w:line="440" w:lineRule="exact"/>
        <w:rPr>
          <w:rFonts w:ascii="Times New Roman" w:hAnsi="Times New Roman" w:eastAsia="宋体" w:cs="Times New Roman"/>
          <w:sz w:val="20"/>
          <w:szCs w:val="20"/>
        </w:rPr>
      </w:pPr>
    </w:p>
    <w:p w14:paraId="63E30E5E">
      <w:pPr>
        <w:spacing w:line="440" w:lineRule="exact"/>
        <w:rPr>
          <w:rFonts w:ascii="Times New Roman" w:hAnsi="Times New Roman" w:eastAsia="黑体" w:cs="Times New Roman"/>
          <w:sz w:val="20"/>
          <w:szCs w:val="20"/>
        </w:rPr>
      </w:pPr>
    </w:p>
    <w:p w14:paraId="380FBD6F">
      <w:pPr>
        <w:jc w:val="center"/>
        <w:rPr>
          <w:rFonts w:ascii="Times New Roman" w:hAnsi="Times New Roman" w:eastAsia="黑体" w:cs="Times New Roman"/>
          <w:sz w:val="20"/>
          <w:szCs w:val="20"/>
        </w:rPr>
      </w:pPr>
      <w:r>
        <w:rPr>
          <w:rFonts w:ascii="Times New Roman" w:hAnsi="Times New Roman" w:eastAsia="黑体" w:cs="Times New Roman"/>
          <w:sz w:val="28"/>
          <w:szCs w:val="28"/>
        </w:rPr>
        <w:t>（项目名称）</w:t>
      </w:r>
    </w:p>
    <w:p w14:paraId="49BA23FD">
      <w:pPr>
        <w:jc w:val="center"/>
        <w:rPr>
          <w:rFonts w:ascii="Times New Roman" w:hAnsi="Times New Roman" w:eastAsia="黑体" w:cs="Times New Roman"/>
          <w:sz w:val="20"/>
          <w:szCs w:val="20"/>
        </w:rPr>
      </w:pPr>
    </w:p>
    <w:p w14:paraId="7C4CB402">
      <w:pPr>
        <w:rPr>
          <w:rFonts w:ascii="Times New Roman" w:hAnsi="Times New Roman" w:eastAsia="黑体" w:cs="Times New Roman"/>
          <w:sz w:val="20"/>
          <w:szCs w:val="20"/>
        </w:rPr>
      </w:pPr>
    </w:p>
    <w:p w14:paraId="5E5C744F">
      <w:pPr>
        <w:jc w:val="center"/>
        <w:rPr>
          <w:rFonts w:ascii="Times New Roman" w:hAnsi="Times New Roman" w:eastAsia="黑体" w:cs="Times New Roman"/>
          <w:sz w:val="44"/>
          <w:szCs w:val="44"/>
        </w:rPr>
      </w:pPr>
      <w:r>
        <w:rPr>
          <w:rFonts w:ascii="Times New Roman" w:hAnsi="Times New Roman" w:eastAsia="黑体" w:cs="Times New Roman"/>
          <w:sz w:val="44"/>
          <w:szCs w:val="44"/>
        </w:rPr>
        <w:t>投标文件</w:t>
      </w:r>
    </w:p>
    <w:p w14:paraId="57FEC819">
      <w:pPr>
        <w:rPr>
          <w:rFonts w:ascii="Times New Roman" w:hAnsi="Times New Roman" w:eastAsia="黑体" w:cs="Times New Roman"/>
          <w:sz w:val="28"/>
          <w:szCs w:val="28"/>
        </w:rPr>
      </w:pPr>
    </w:p>
    <w:p w14:paraId="4149884F">
      <w:pPr>
        <w:rPr>
          <w:rFonts w:ascii="Times New Roman" w:hAnsi="Times New Roman" w:eastAsia="黑体" w:cs="Times New Roman"/>
          <w:sz w:val="28"/>
          <w:szCs w:val="28"/>
        </w:rPr>
      </w:pPr>
    </w:p>
    <w:p w14:paraId="3AB0F2F4">
      <w:pPr>
        <w:jc w:val="center"/>
        <w:rPr>
          <w:rFonts w:ascii="Times New Roman" w:hAnsi="Times New Roman" w:eastAsia="黑体" w:cs="Times New Roman"/>
          <w:sz w:val="28"/>
          <w:szCs w:val="28"/>
          <w:u w:val="single"/>
        </w:rPr>
      </w:pPr>
      <w:r>
        <w:rPr>
          <w:rFonts w:ascii="Times New Roman" w:hAnsi="Times New Roman" w:eastAsia="黑体" w:cs="Times New Roman"/>
          <w:sz w:val="28"/>
          <w:szCs w:val="28"/>
        </w:rPr>
        <w:t>投标人名称（加盖电子公章）：</w:t>
      </w:r>
    </w:p>
    <w:p w14:paraId="45D8E92E">
      <w:pPr>
        <w:jc w:val="center"/>
        <w:rPr>
          <w:rFonts w:ascii="Times New Roman" w:hAnsi="Times New Roman" w:eastAsia="黑体" w:cs="Times New Roman"/>
          <w:sz w:val="28"/>
          <w:szCs w:val="28"/>
        </w:rPr>
      </w:pPr>
    </w:p>
    <w:p w14:paraId="7909C104">
      <w:pPr>
        <w:jc w:val="center"/>
        <w:rPr>
          <w:rFonts w:ascii="Times New Roman" w:hAnsi="Times New Roman" w:eastAsia="黑体" w:cs="Times New Roman"/>
          <w:sz w:val="28"/>
          <w:szCs w:val="28"/>
        </w:rPr>
      </w:pPr>
      <w:r>
        <w:rPr>
          <w:rFonts w:ascii="Times New Roman" w:hAnsi="Times New Roman" w:eastAsia="黑体" w:cs="Times New Roman"/>
          <w:sz w:val="28"/>
          <w:szCs w:val="28"/>
        </w:rPr>
        <w:t>年 月  日</w:t>
      </w:r>
    </w:p>
    <w:p w14:paraId="1910481E">
      <w:pPr>
        <w:widowControl/>
        <w:jc w:val="left"/>
        <w:rPr>
          <w:rFonts w:ascii="Times New Roman" w:hAnsi="Times New Roman" w:eastAsia="黑体" w:cs="Times New Roman"/>
          <w:sz w:val="28"/>
          <w:szCs w:val="28"/>
        </w:rPr>
      </w:pPr>
      <w:r>
        <w:rPr>
          <w:rFonts w:ascii="Times New Roman" w:hAnsi="Times New Roman" w:eastAsia="黑体" w:cs="Times New Roman"/>
          <w:sz w:val="28"/>
          <w:szCs w:val="28"/>
        </w:rPr>
        <w:br w:type="page" w:clear="all"/>
      </w:r>
    </w:p>
    <w:p w14:paraId="11988DA4">
      <w:pPr>
        <w:spacing w:before="312" w:after="312"/>
        <w:jc w:val="center"/>
        <w:rPr>
          <w:rFonts w:ascii="Times New Roman" w:hAnsi="Times New Roman" w:eastAsia="黑体" w:cs="Times New Roman"/>
          <w:sz w:val="32"/>
          <w:szCs w:val="32"/>
        </w:rPr>
      </w:pPr>
      <w:r>
        <w:rPr>
          <w:rFonts w:ascii="Times New Roman" w:hAnsi="Times New Roman" w:eastAsia="黑体" w:cs="Times New Roman"/>
          <w:sz w:val="32"/>
          <w:szCs w:val="32"/>
        </w:rPr>
        <w:t>目录</w:t>
      </w:r>
    </w:p>
    <w:p w14:paraId="162AC3B3">
      <w:pPr>
        <w:jc w:val="center"/>
        <w:rPr>
          <w:rFonts w:ascii="Times New Roman" w:hAnsi="Times New Roman" w:eastAsia="黑体" w:cs="Times New Roman"/>
          <w:szCs w:val="21"/>
        </w:rPr>
      </w:pPr>
      <w:r>
        <w:rPr>
          <w:rFonts w:ascii="Times New Roman" w:hAnsi="Times New Roman" w:eastAsia="黑体" w:cs="Times New Roman"/>
          <w:szCs w:val="21"/>
        </w:rPr>
        <w:t>（注：供应商根据本章附件顺序编制投标文件并制作目录（须生成页码））</w:t>
      </w:r>
    </w:p>
    <w:p w14:paraId="412C4ED0">
      <w:pPr>
        <w:spacing w:line="440" w:lineRule="exact"/>
        <w:rPr>
          <w:rFonts w:ascii="Times New Roman" w:hAnsi="Times New Roman" w:cs="Times New Roman"/>
          <w:szCs w:val="21"/>
        </w:rPr>
      </w:pPr>
      <w:r>
        <w:rPr>
          <w:rFonts w:ascii="Times New Roman" w:hAnsi="Times New Roman" w:cs="Times New Roman"/>
        </w:rPr>
        <w:br w:type="page" w:clear="all"/>
      </w:r>
      <w:r>
        <w:rPr>
          <w:rFonts w:ascii="Times New Roman" w:hAnsi="Times New Roman" w:cs="Times New Roman"/>
          <w:b/>
          <w:bCs/>
          <w:szCs w:val="21"/>
        </w:rPr>
        <w:t>附件一、投标申请及声明格式</w:t>
      </w:r>
    </w:p>
    <w:p w14:paraId="119FFC60">
      <w:pPr>
        <w:widowControl/>
        <w:shd w:val="clear" w:color="auto" w:fill="FFFFFF"/>
        <w:spacing w:line="360" w:lineRule="auto"/>
        <w:jc w:val="center"/>
        <w:rPr>
          <w:rFonts w:ascii="Times New Roman" w:hAnsi="Times New Roman" w:cs="Times New Roman"/>
          <w:b/>
          <w:szCs w:val="21"/>
        </w:rPr>
      </w:pPr>
      <w:r>
        <w:rPr>
          <w:rFonts w:ascii="Times New Roman" w:hAnsi="Times New Roman" w:cs="Times New Roman"/>
          <w:b/>
          <w:sz w:val="36"/>
          <w:szCs w:val="36"/>
        </w:rPr>
        <w:t>投标申请及声明</w:t>
      </w:r>
    </w:p>
    <w:p w14:paraId="081BC1C8">
      <w:pPr>
        <w:widowControl/>
        <w:shd w:val="clear" w:color="auto" w:fill="FFFFFF"/>
        <w:spacing w:line="400" w:lineRule="exact"/>
        <w:rPr>
          <w:rFonts w:ascii="Times New Roman" w:hAnsi="Times New Roman" w:cs="Times New Roman"/>
          <w:szCs w:val="21"/>
        </w:rPr>
      </w:pPr>
      <w:r>
        <w:rPr>
          <w:rFonts w:ascii="Times New Roman" w:hAnsi="Times New Roman" w:cs="Times New Roman"/>
          <w:szCs w:val="21"/>
        </w:rPr>
        <w:t> 致：江苏省设备成套股份有限公司</w:t>
      </w:r>
    </w:p>
    <w:p w14:paraId="0AAA5972">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根据贵方</w:t>
      </w:r>
      <w:r>
        <w:rPr>
          <w:rFonts w:ascii="Times New Roman" w:hAnsi="Times New Roman" w:cs="Times New Roman"/>
          <w:szCs w:val="21"/>
          <w:u w:val="single"/>
        </w:rPr>
        <w:t>           （</w:t>
      </w:r>
      <w:r>
        <w:rPr>
          <w:rFonts w:ascii="Times New Roman" w:hAnsi="Times New Roman" w:cs="Times New Roman"/>
          <w:szCs w:val="21"/>
        </w:rPr>
        <w:t>项目名称） </w:t>
      </w:r>
      <w:r>
        <w:rPr>
          <w:rFonts w:ascii="Times New Roman" w:hAnsi="Times New Roman" w:cs="Times New Roman"/>
          <w:szCs w:val="21"/>
          <w:u w:val="single"/>
        </w:rPr>
        <w:t>       </w:t>
      </w:r>
      <w:r>
        <w:rPr>
          <w:rFonts w:ascii="Times New Roman" w:hAnsi="Times New Roman" w:cs="Times New Roman"/>
          <w:szCs w:val="21"/>
        </w:rPr>
        <w:t>（项目编号）投标邀请，正式授权下述签字人</w:t>
      </w:r>
      <w:r>
        <w:rPr>
          <w:rFonts w:ascii="Times New Roman" w:hAnsi="Times New Roman" w:cs="Times New Roman"/>
          <w:szCs w:val="21"/>
          <w:u w:val="single"/>
        </w:rPr>
        <w:t>           </w:t>
      </w:r>
      <w:r>
        <w:rPr>
          <w:rFonts w:ascii="Times New Roman" w:hAnsi="Times New Roman" w:cs="Times New Roman"/>
          <w:szCs w:val="21"/>
        </w:rPr>
        <w:t>(姓名和职务)代表投标人</w:t>
      </w:r>
      <w:r>
        <w:rPr>
          <w:rFonts w:ascii="Times New Roman" w:hAnsi="Times New Roman" w:cs="Times New Roman"/>
          <w:szCs w:val="21"/>
          <w:u w:val="single"/>
        </w:rPr>
        <w:t>     </w:t>
      </w:r>
      <w:r>
        <w:rPr>
          <w:rFonts w:ascii="Times New Roman" w:hAnsi="Times New Roman" w:cs="Times New Roman"/>
          <w:szCs w:val="21"/>
        </w:rPr>
        <w:t>（投标人名称），提交投标文件。</w:t>
      </w:r>
    </w:p>
    <w:p w14:paraId="651CD636">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据此函，签字人兹宣布声明和承诺如下：</w:t>
      </w:r>
    </w:p>
    <w:p w14:paraId="3374826F">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1、我们的资格条件完全符合政府采购法和本次招标要求，我们同意并向贵方提供了与投标有关的所有证据和资料。</w:t>
      </w:r>
    </w:p>
    <w:p w14:paraId="258A2D53">
      <w:pPr>
        <w:widowControl/>
        <w:shd w:val="clear" w:color="auto" w:fill="FFFFFF"/>
        <w:spacing w:line="400" w:lineRule="exact"/>
        <w:ind w:left="1470" w:hanging="1050"/>
        <w:rPr>
          <w:rFonts w:ascii="Times New Roman" w:hAnsi="Times New Roman" w:cs="Times New Roman"/>
          <w:szCs w:val="21"/>
        </w:rPr>
      </w:pPr>
      <w:r>
        <w:rPr>
          <w:rFonts w:ascii="Times New Roman" w:hAnsi="Times New Roman" w:cs="Times New Roman"/>
          <w:szCs w:val="21"/>
        </w:rPr>
        <w:t>2、按招标要求，我们的投标总报价详见开标一览表。</w:t>
      </w:r>
    </w:p>
    <w:p w14:paraId="04071A47">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3、本项目交付时间为：</w:t>
      </w:r>
      <w:r>
        <w:rPr>
          <w:rFonts w:ascii="Times New Roman" w:hAnsi="Times New Roman" w:cs="Times New Roman"/>
          <w:szCs w:val="21"/>
          <w:u w:val="single"/>
        </w:rPr>
        <w:t xml:space="preserve">  满足招标文件要求  </w:t>
      </w:r>
      <w:r>
        <w:rPr>
          <w:rFonts w:ascii="Times New Roman" w:hAnsi="Times New Roman" w:cs="Times New Roman"/>
          <w:szCs w:val="21"/>
        </w:rPr>
        <w:t>。</w:t>
      </w:r>
    </w:p>
    <w:p w14:paraId="3CDDE36E">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4、我们已详细阅读全部招标文件及其有效补充文件，我们放弃对招标文件任何误解的权利，提交投标文件后，不对招标文件本身提出质疑。</w:t>
      </w:r>
    </w:p>
    <w:p w14:paraId="09D9BF9A">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5、我们同意从规定的开标日期起遵循本投标文件，并在规定的投标有效期期满之前均具有约束力。</w:t>
      </w:r>
    </w:p>
    <w:p w14:paraId="54F22770">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6、一旦我方中标，我方将根据招标文件的规定及我方投标承诺严格履行合同。</w:t>
      </w:r>
    </w:p>
    <w:p w14:paraId="6701F26D">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061CC28">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8、与本投标有关的正式联系方式为：</w:t>
      </w:r>
    </w:p>
    <w:p w14:paraId="564F20A3">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地   址：</w:t>
      </w:r>
      <w:r>
        <w:rPr>
          <w:rFonts w:ascii="Times New Roman" w:hAnsi="Times New Roman" w:cs="Times New Roman"/>
          <w:szCs w:val="21"/>
          <w:u w:val="single"/>
        </w:rPr>
        <w:t>                      </w:t>
      </w:r>
    </w:p>
    <w:p w14:paraId="086F3C4A">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电   话：</w:t>
      </w:r>
      <w:r>
        <w:rPr>
          <w:rFonts w:ascii="Times New Roman" w:hAnsi="Times New Roman" w:cs="Times New Roman"/>
          <w:szCs w:val="21"/>
          <w:u w:val="single"/>
        </w:rPr>
        <w:t>                      </w:t>
      </w:r>
    </w:p>
    <w:p w14:paraId="294C75A0">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传   真：</w:t>
      </w:r>
      <w:r>
        <w:rPr>
          <w:rFonts w:ascii="Times New Roman" w:hAnsi="Times New Roman" w:cs="Times New Roman"/>
          <w:szCs w:val="21"/>
          <w:u w:val="single"/>
        </w:rPr>
        <w:t>                      </w:t>
      </w:r>
    </w:p>
    <w:p w14:paraId="330767C5">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开户银行：</w:t>
      </w:r>
    </w:p>
    <w:p w14:paraId="7AAE2B6F">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银行账号：</w:t>
      </w:r>
    </w:p>
    <w:p w14:paraId="126F1956">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投标人名称（加盖电子公章）：</w:t>
      </w:r>
      <w:r>
        <w:rPr>
          <w:rFonts w:ascii="Times New Roman" w:hAnsi="Times New Roman" w:cs="Times New Roman"/>
          <w:szCs w:val="21"/>
          <w:u w:val="single"/>
        </w:rPr>
        <w:t xml:space="preserve">                        </w:t>
      </w:r>
    </w:p>
    <w:p w14:paraId="4ABABC3D">
      <w:pPr>
        <w:widowControl/>
        <w:shd w:val="clear" w:color="auto" w:fill="FFFFFF"/>
        <w:spacing w:line="400" w:lineRule="exact"/>
        <w:ind w:firstLine="420"/>
        <w:rPr>
          <w:rFonts w:ascii="Times New Roman" w:hAnsi="Times New Roman" w:cs="Times New Roman"/>
          <w:szCs w:val="21"/>
        </w:rPr>
      </w:pPr>
      <w:r>
        <w:rPr>
          <w:rFonts w:ascii="Times New Roman" w:hAnsi="Times New Roman" w:cs="Times New Roman"/>
          <w:szCs w:val="21"/>
        </w:rPr>
        <w:t>日    期：</w:t>
      </w:r>
      <w:r>
        <w:rPr>
          <w:rFonts w:ascii="Times New Roman" w:hAnsi="Times New Roman" w:cs="Times New Roman"/>
          <w:szCs w:val="21"/>
          <w:u w:val="single"/>
        </w:rPr>
        <w:t>     </w:t>
      </w:r>
      <w:r>
        <w:rPr>
          <w:rFonts w:ascii="Times New Roman" w:hAnsi="Times New Roman" w:cs="Times New Roman"/>
          <w:szCs w:val="21"/>
        </w:rPr>
        <w:t>年</w:t>
      </w:r>
      <w:r>
        <w:rPr>
          <w:rFonts w:ascii="Times New Roman" w:hAnsi="Times New Roman" w:cs="Times New Roman"/>
          <w:szCs w:val="21"/>
          <w:u w:val="single"/>
        </w:rPr>
        <w:t>    </w:t>
      </w:r>
      <w:r>
        <w:rPr>
          <w:rFonts w:ascii="Times New Roman" w:hAnsi="Times New Roman" w:cs="Times New Roman"/>
          <w:szCs w:val="21"/>
        </w:rPr>
        <w:t>月</w:t>
      </w:r>
      <w:r>
        <w:rPr>
          <w:rFonts w:ascii="Times New Roman" w:hAnsi="Times New Roman" w:cs="Times New Roman"/>
          <w:szCs w:val="21"/>
          <w:u w:val="single"/>
        </w:rPr>
        <w:t>    </w:t>
      </w:r>
      <w:r>
        <w:rPr>
          <w:rFonts w:ascii="Times New Roman" w:hAnsi="Times New Roman" w:cs="Times New Roman"/>
          <w:szCs w:val="21"/>
        </w:rPr>
        <w:t>日</w:t>
      </w:r>
    </w:p>
    <w:p w14:paraId="6E65C067">
      <w:pPr>
        <w:widowControl/>
        <w:shd w:val="clear" w:color="auto" w:fill="FFFFFF"/>
        <w:spacing w:line="360" w:lineRule="auto"/>
        <w:rPr>
          <w:rFonts w:ascii="Times New Roman" w:hAnsi="Times New Roman" w:cs="Times New Roman"/>
          <w:szCs w:val="21"/>
        </w:rPr>
      </w:pPr>
      <w:r>
        <w:rPr>
          <w:rFonts w:ascii="Times New Roman" w:hAnsi="Times New Roman" w:cs="Times New Roman"/>
          <w:b/>
          <w:bCs/>
          <w:szCs w:val="21"/>
        </w:rPr>
        <w:br w:type="page" w:clear="all"/>
      </w:r>
      <w:r>
        <w:rPr>
          <w:rFonts w:ascii="Times New Roman" w:hAnsi="Times New Roman" w:cs="Times New Roman"/>
          <w:b/>
          <w:bCs/>
          <w:szCs w:val="21"/>
        </w:rPr>
        <w:t>附件二、法定代表人授权书格式</w:t>
      </w:r>
    </w:p>
    <w:p w14:paraId="390777D9">
      <w:pPr>
        <w:widowControl/>
        <w:shd w:val="clear" w:color="auto" w:fill="FFFFFF"/>
        <w:spacing w:line="360" w:lineRule="auto"/>
        <w:ind w:firstLine="720"/>
        <w:jc w:val="center"/>
        <w:rPr>
          <w:rFonts w:ascii="Times New Roman" w:hAnsi="Times New Roman" w:cs="Times New Roman"/>
          <w:sz w:val="36"/>
          <w:szCs w:val="36"/>
        </w:rPr>
      </w:pPr>
    </w:p>
    <w:p w14:paraId="55BCB416">
      <w:pPr>
        <w:widowControl/>
        <w:shd w:val="clear" w:color="auto" w:fill="FFFFFF"/>
        <w:spacing w:line="360" w:lineRule="auto"/>
        <w:ind w:firstLine="720"/>
        <w:jc w:val="center"/>
        <w:rPr>
          <w:rFonts w:ascii="Times New Roman" w:hAnsi="Times New Roman" w:cs="Times New Roman"/>
          <w:b/>
          <w:szCs w:val="21"/>
        </w:rPr>
      </w:pPr>
      <w:r>
        <w:rPr>
          <w:rFonts w:ascii="Times New Roman" w:hAnsi="Times New Roman" w:cs="Times New Roman"/>
          <w:b/>
          <w:sz w:val="36"/>
          <w:szCs w:val="36"/>
        </w:rPr>
        <w:t>法定代表人授权书</w:t>
      </w:r>
    </w:p>
    <w:p w14:paraId="47ED42B3">
      <w:pPr>
        <w:widowControl/>
        <w:shd w:val="clear" w:color="auto" w:fill="FFFFFF"/>
        <w:spacing w:line="360" w:lineRule="auto"/>
        <w:jc w:val="left"/>
        <w:rPr>
          <w:rFonts w:ascii="Times New Roman" w:hAnsi="Times New Roman" w:cs="Times New Roman"/>
          <w:szCs w:val="21"/>
        </w:rPr>
      </w:pPr>
    </w:p>
    <w:p w14:paraId="05DE758D">
      <w:pPr>
        <w:pStyle w:val="285"/>
        <w:tabs>
          <w:tab w:val="left" w:pos="360"/>
        </w:tabs>
        <w:spacing w:line="480" w:lineRule="exact"/>
        <w:ind w:firstLine="480"/>
        <w:rPr>
          <w:rFonts w:ascii="Times New Roman" w:hAnsi="Times New Roman" w:cs="Times New Roman"/>
          <w:sz w:val="24"/>
          <w:szCs w:val="24"/>
          <w:lang w:eastAsia="zh-CN"/>
        </w:rPr>
      </w:pPr>
      <w:r>
        <w:rPr>
          <w:rFonts w:ascii="Times New Roman" w:hAnsi="Times New Roman" w:cs="Times New Roman"/>
          <w:sz w:val="24"/>
          <w:szCs w:val="24"/>
          <w:lang w:eastAsia="zh-CN"/>
        </w:rPr>
        <w:t>本授权书声明：</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（投标人名称）授权</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（被授权人姓名）作为我方参加编号为</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项目采购活动的合法代理人，以本单位名义全权处理一切与该项目采购有关的事务。</w:t>
      </w:r>
    </w:p>
    <w:p w14:paraId="5C14CBD0">
      <w:pPr>
        <w:pStyle w:val="285"/>
        <w:tabs>
          <w:tab w:val="left" w:pos="360"/>
        </w:tabs>
        <w:spacing w:line="480" w:lineRule="exact"/>
        <w:ind w:firstLine="480"/>
        <w:rPr>
          <w:rFonts w:ascii="Times New Roman" w:hAnsi="Times New Roman" w:cs="Times New Roman"/>
          <w:sz w:val="24"/>
          <w:szCs w:val="24"/>
          <w:lang w:eastAsia="zh-CN"/>
        </w:rPr>
      </w:pPr>
      <w:r>
        <w:rPr>
          <w:rFonts w:ascii="Times New Roman" w:hAnsi="Times New Roman" w:cs="Times New Roman"/>
          <w:sz w:val="24"/>
          <w:szCs w:val="24"/>
          <w:lang w:eastAsia="zh-CN"/>
        </w:rPr>
        <w:t>本授权书自______年____月____日起生效，特此声明。</w:t>
      </w:r>
    </w:p>
    <w:p w14:paraId="2C5AC74E">
      <w:pPr>
        <w:pStyle w:val="285"/>
        <w:tabs>
          <w:tab w:val="left" w:pos="360"/>
        </w:tabs>
        <w:spacing w:line="480" w:lineRule="exact"/>
        <w:ind w:firstLine="480"/>
        <w:rPr>
          <w:rFonts w:ascii="Times New Roman" w:hAnsi="Times New Roman" w:cs="Times New Roman"/>
          <w:sz w:val="24"/>
          <w:szCs w:val="24"/>
          <w:lang w:eastAsia="zh-CN"/>
        </w:rPr>
      </w:pPr>
      <w:r>
        <w:rPr>
          <w:rFonts w:ascii="Times New Roman" w:hAnsi="Times New Roman" w:cs="Times New Roman"/>
          <w:sz w:val="24"/>
          <w:szCs w:val="24"/>
          <w:lang w:eastAsia="zh-CN"/>
        </w:rPr>
        <w:t>被授权人身份证号码：</w:t>
      </w:r>
    </w:p>
    <w:p w14:paraId="603E1C9F">
      <w:pPr>
        <w:pStyle w:val="285"/>
        <w:tabs>
          <w:tab w:val="left" w:pos="360"/>
        </w:tabs>
        <w:spacing w:line="480" w:lineRule="exact"/>
        <w:ind w:firstLine="480"/>
        <w:rPr>
          <w:rFonts w:ascii="Times New Roman" w:hAnsi="Times New Roman" w:cs="Times New Roman"/>
          <w:sz w:val="24"/>
          <w:szCs w:val="24"/>
          <w:u w:val="single"/>
          <w:lang w:eastAsia="zh-CN"/>
        </w:rPr>
      </w:pPr>
      <w:r>
        <w:rPr>
          <w:rFonts w:ascii="Times New Roman" w:hAnsi="Times New Roman" w:cs="Times New Roman"/>
          <w:sz w:val="24"/>
          <w:szCs w:val="24"/>
          <w:lang w:eastAsia="zh-CN"/>
        </w:rPr>
        <w:t>被授权人联系电话：（手机）</w:t>
      </w:r>
    </w:p>
    <w:p w14:paraId="5A488136">
      <w:pPr>
        <w:pStyle w:val="285"/>
        <w:tabs>
          <w:tab w:val="left" w:pos="360"/>
        </w:tabs>
        <w:spacing w:line="480" w:lineRule="exact"/>
        <w:ind w:firstLine="468"/>
        <w:rPr>
          <w:rFonts w:ascii="Times New Roman" w:hAnsi="Times New Roman" w:cs="Times New Roman"/>
          <w:sz w:val="24"/>
          <w:szCs w:val="24"/>
          <w:lang w:eastAsia="zh-CN"/>
        </w:rPr>
      </w:pPr>
      <w:r>
        <w:rPr>
          <w:rFonts w:ascii="Times New Roman" w:hAnsi="Times New Roman" w:cs="Times New Roman"/>
          <w:sz w:val="24"/>
          <w:szCs w:val="24"/>
          <w:lang w:eastAsia="zh-CN"/>
        </w:rPr>
        <w:t>单位名称：（加盖电子公章）</w:t>
      </w:r>
    </w:p>
    <w:p w14:paraId="1BCC6830">
      <w:pPr>
        <w:pStyle w:val="285"/>
        <w:tabs>
          <w:tab w:val="left" w:pos="360"/>
        </w:tabs>
        <w:spacing w:line="480" w:lineRule="exact"/>
        <w:ind w:firstLine="480"/>
        <w:rPr>
          <w:rFonts w:ascii="Times New Roman" w:hAnsi="Times New Roman" w:cs="Times New Roman"/>
          <w:sz w:val="24"/>
          <w:szCs w:val="24"/>
          <w:u w:val="single"/>
          <w:lang w:eastAsia="zh-CN"/>
        </w:rPr>
      </w:pPr>
      <w:r>
        <w:rPr>
          <w:rFonts w:ascii="Times New Roman" w:hAnsi="Times New Roman" w:cs="Times New Roman"/>
          <w:sz w:val="24"/>
          <w:szCs w:val="24"/>
          <w:lang w:eastAsia="zh-CN"/>
        </w:rPr>
        <w:t>单位地址：</w:t>
      </w:r>
    </w:p>
    <w:p w14:paraId="0E34F312">
      <w:pPr>
        <w:pStyle w:val="285"/>
        <w:tabs>
          <w:tab w:val="left" w:pos="360"/>
        </w:tabs>
        <w:spacing w:line="480" w:lineRule="exact"/>
        <w:ind w:firstLine="480"/>
        <w:rPr>
          <w:rFonts w:ascii="Times New Roman" w:hAnsi="Times New Roman" w:cs="Times New Roman"/>
          <w:sz w:val="24"/>
          <w:szCs w:val="24"/>
          <w:lang w:eastAsia="zh-CN"/>
        </w:rPr>
      </w:pPr>
      <w:r>
        <w:rPr>
          <w:rFonts w:ascii="Times New Roman" w:hAnsi="Times New Roman" w:cs="Times New Roman"/>
          <w:sz w:val="24"/>
          <w:szCs w:val="24"/>
          <w:lang w:eastAsia="zh-CN"/>
        </w:rPr>
        <w:t>日    期：</w:t>
      </w:r>
      <w:bookmarkStart w:id="46" w:name="_Hlt26671380"/>
      <w:bookmarkEnd w:id="46"/>
      <w:bookmarkStart w:id="47" w:name="_Hlt26955070"/>
      <w:bookmarkEnd w:id="47"/>
      <w:bookmarkStart w:id="48" w:name="_格式3__银行出具的资信证明"/>
      <w:bookmarkEnd w:id="48"/>
    </w:p>
    <w:p w14:paraId="6654BD71">
      <w:pPr>
        <w:widowControl/>
        <w:shd w:val="clear" w:color="auto" w:fill="FFFFFF"/>
        <w:spacing w:line="360" w:lineRule="auto"/>
        <w:jc w:val="left"/>
        <w:rPr>
          <w:rFonts w:ascii="Times New Roman" w:hAnsi="Times New Roman" w:cs="Times New Roman"/>
          <w:b/>
          <w:szCs w:val="21"/>
        </w:rPr>
      </w:pPr>
    </w:p>
    <w:p w14:paraId="537B1B94">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 </w:t>
      </w:r>
    </w:p>
    <w:p w14:paraId="39A091B2">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 </w:t>
      </w:r>
    </w:p>
    <w:p w14:paraId="121786AC">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 </w:t>
      </w:r>
    </w:p>
    <w:p w14:paraId="3F8E74AC">
      <w:pPr>
        <w:spacing w:line="360" w:lineRule="auto"/>
        <w:rPr>
          <w:rFonts w:ascii="Times New Roman" w:hAnsi="Times New Roman" w:cs="Times New Roman"/>
        </w:rPr>
      </w:pPr>
      <w:r>
        <w:rPr>
          <w:rFonts w:ascii="Times New Roman" w:hAnsi="Times New Roman" w:cs="Times New Roman"/>
          <w:b/>
          <w:bCs/>
          <w:szCs w:val="21"/>
        </w:rPr>
        <w:br w:type="page" w:clear="all"/>
      </w:r>
      <w:bookmarkStart w:id="49" w:name="_Toc26810"/>
      <w:r>
        <w:rPr>
          <w:rFonts w:ascii="Times New Roman" w:hAnsi="Times New Roman" w:cs="Times New Roman"/>
          <w:b/>
          <w:bCs/>
          <w:szCs w:val="21"/>
          <w:lang w:val="zh-CN"/>
        </w:rPr>
        <w:t>附件三、</w:t>
      </w:r>
      <w:bookmarkEnd w:id="49"/>
      <w:r>
        <w:rPr>
          <w:rFonts w:ascii="Times New Roman" w:hAnsi="Times New Roman" w:cs="Times New Roman"/>
          <w:b/>
          <w:bCs/>
          <w:szCs w:val="21"/>
        </w:rPr>
        <w:t>开标一览表</w:t>
      </w:r>
    </w:p>
    <w:p w14:paraId="4F83FE7B">
      <w:pPr>
        <w:rPr>
          <w:rFonts w:ascii="Times New Roman" w:hAnsi="Times New Roman" w:cs="Times New Roman"/>
          <w:b/>
          <w:bCs/>
          <w:lang w:val="zh-CN"/>
        </w:rPr>
      </w:pPr>
    </w:p>
    <w:p w14:paraId="6FFE6DE5">
      <w:pPr>
        <w:jc w:val="center"/>
        <w:rPr>
          <w:rFonts w:ascii="Times New Roman" w:hAnsi="Times New Roman" w:cs="Times New Roman"/>
          <w:b/>
          <w:sz w:val="36"/>
          <w:szCs w:val="36"/>
        </w:rPr>
      </w:pPr>
      <w:r>
        <w:rPr>
          <w:rFonts w:ascii="Times New Roman" w:hAnsi="Times New Roman" w:cs="Times New Roman"/>
          <w:b/>
          <w:sz w:val="36"/>
          <w:szCs w:val="36"/>
        </w:rPr>
        <w:t>开标一览表</w:t>
      </w:r>
    </w:p>
    <w:p w14:paraId="0E3AD317">
      <w:pPr>
        <w:pStyle w:val="14"/>
        <w:spacing w:line="440" w:lineRule="exact"/>
        <w:ind w:firstLine="474"/>
        <w:rPr>
          <w:rFonts w:ascii="Times New Roman" w:hAnsi="Times New Roman" w:cs="Times New Roman"/>
          <w:sz w:val="21"/>
          <w:szCs w:val="21"/>
        </w:rPr>
      </w:pPr>
      <w:r>
        <w:rPr>
          <w:rFonts w:ascii="Times New Roman" w:hAnsi="Times New Roman" w:cs="Times New Roman"/>
          <w:sz w:val="21"/>
          <w:szCs w:val="21"/>
        </w:rPr>
        <w:t>项目名称：                                         项目编号：</w:t>
      </w:r>
    </w:p>
    <w:tbl>
      <w:tblPr>
        <w:tblStyle w:val="51"/>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1369"/>
        <w:gridCol w:w="7625"/>
      </w:tblGrid>
      <w:tr w14:paraId="4CC6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2380" w:hRule="atLeast"/>
        </w:trPr>
        <w:tc>
          <w:tcPr>
            <w:tcW w:w="1369" w:type="dxa"/>
            <w:tcBorders>
              <w:top w:val="single" w:color="auto" w:sz="4" w:space="0"/>
              <w:left w:val="single" w:color="auto" w:sz="4" w:space="0"/>
              <w:bottom w:val="single" w:color="auto" w:sz="4" w:space="0"/>
              <w:right w:val="single" w:color="auto" w:sz="4" w:space="0"/>
            </w:tcBorders>
            <w:noWrap/>
            <w:vAlign w:val="center"/>
          </w:tcPr>
          <w:p w14:paraId="014334D4">
            <w:pPr>
              <w:pStyle w:val="14"/>
              <w:spacing w:line="440" w:lineRule="exact"/>
              <w:ind w:firstLine="0"/>
              <w:jc w:val="center"/>
              <w:rPr>
                <w:rFonts w:hint="eastAsia" w:ascii="Times New Roman" w:hAnsi="Times New Roman" w:eastAsia="宋体" w:cs="Times New Roman"/>
                <w:sz w:val="21"/>
                <w:szCs w:val="21"/>
                <w:lang w:eastAsia="zh-CN"/>
              </w:rPr>
            </w:pPr>
            <w:r>
              <w:rPr>
                <w:rFonts w:ascii="Times New Roman" w:hAnsi="Times New Roman" w:cs="Times New Roman"/>
                <w:sz w:val="21"/>
                <w:szCs w:val="21"/>
              </w:rPr>
              <w:t>投标总价</w:t>
            </w:r>
            <w:r>
              <w:rPr>
                <w:rFonts w:hint="eastAsia" w:cs="Times New Roman"/>
                <w:sz w:val="21"/>
                <w:szCs w:val="21"/>
                <w:lang w:eastAsia="zh-CN"/>
              </w:rPr>
              <w:t>（</w:t>
            </w:r>
            <w:r>
              <w:rPr>
                <w:rFonts w:hint="eastAsia" w:cs="Times New Roman"/>
                <w:sz w:val="21"/>
                <w:szCs w:val="21"/>
                <w:lang w:val="en-US" w:eastAsia="zh-CN"/>
              </w:rPr>
              <w:t>三阶段合计</w:t>
            </w:r>
            <w:r>
              <w:rPr>
                <w:rFonts w:hint="eastAsia" w:cs="Times New Roman"/>
                <w:sz w:val="21"/>
                <w:szCs w:val="21"/>
                <w:lang w:eastAsia="zh-CN"/>
              </w:rPr>
              <w:t>）</w:t>
            </w:r>
          </w:p>
        </w:tc>
        <w:tc>
          <w:tcPr>
            <w:tcW w:w="7625" w:type="dxa"/>
            <w:tcBorders>
              <w:top w:val="single" w:color="auto" w:sz="4" w:space="0"/>
              <w:left w:val="single" w:color="auto" w:sz="4" w:space="0"/>
              <w:right w:val="single" w:color="auto" w:sz="4" w:space="0"/>
            </w:tcBorders>
            <w:noWrap/>
            <w:vAlign w:val="center"/>
          </w:tcPr>
          <w:p w14:paraId="2197E182">
            <w:pPr>
              <w:pStyle w:val="14"/>
              <w:spacing w:line="440" w:lineRule="exact"/>
              <w:ind w:firstLine="0"/>
              <w:rPr>
                <w:rFonts w:ascii="Times New Roman" w:hAnsi="Times New Roman" w:cs="Times New Roman"/>
                <w:sz w:val="21"/>
                <w:szCs w:val="21"/>
              </w:rPr>
            </w:pPr>
            <w:r>
              <w:rPr>
                <w:rFonts w:ascii="Times New Roman" w:hAnsi="Times New Roman" w:cs="Times New Roman"/>
                <w:sz w:val="21"/>
                <w:szCs w:val="21"/>
              </w:rPr>
              <w:t>小写：人民币</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元    </w:t>
            </w:r>
          </w:p>
          <w:p w14:paraId="6F078935">
            <w:pPr>
              <w:pStyle w:val="14"/>
              <w:spacing w:line="440" w:lineRule="exact"/>
              <w:ind w:firstLine="0"/>
              <w:rPr>
                <w:rFonts w:ascii="Times New Roman" w:hAnsi="Times New Roman" w:eastAsia="宋体" w:cs="Times New Roman"/>
                <w:b/>
                <w:sz w:val="21"/>
                <w:szCs w:val="21"/>
                <w:lang w:val="en-US" w:eastAsia="zh-CN" w:bidi="ar-SA"/>
              </w:rPr>
            </w:pPr>
            <w:r>
              <w:rPr>
                <w:rFonts w:ascii="Times New Roman" w:hAnsi="Times New Roman" w:cs="Times New Roman"/>
                <w:sz w:val="21"/>
                <w:szCs w:val="21"/>
              </w:rPr>
              <w:t xml:space="preserve">大写：人民币                      </w:t>
            </w:r>
          </w:p>
        </w:tc>
      </w:tr>
      <w:tr w14:paraId="3D7F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829" w:hRule="atLeast"/>
        </w:trPr>
        <w:tc>
          <w:tcPr>
            <w:tcW w:w="1369" w:type="dxa"/>
            <w:tcBorders>
              <w:top w:val="single" w:color="auto" w:sz="4" w:space="0"/>
              <w:left w:val="single" w:color="auto" w:sz="4" w:space="0"/>
              <w:bottom w:val="single" w:color="auto" w:sz="4" w:space="0"/>
              <w:right w:val="single" w:color="auto" w:sz="4" w:space="0"/>
            </w:tcBorders>
            <w:noWrap/>
            <w:vAlign w:val="center"/>
          </w:tcPr>
          <w:p w14:paraId="291018A2">
            <w:pPr>
              <w:pStyle w:val="14"/>
              <w:spacing w:line="440" w:lineRule="exact"/>
              <w:ind w:firstLine="0"/>
              <w:jc w:val="center"/>
              <w:rPr>
                <w:rFonts w:ascii="Times New Roman" w:hAnsi="Times New Roman" w:cs="Times New Roman"/>
                <w:sz w:val="21"/>
                <w:szCs w:val="21"/>
              </w:rPr>
            </w:pPr>
            <w:r>
              <w:rPr>
                <w:rFonts w:ascii="Times New Roman" w:hAnsi="Times New Roman" w:cs="Times New Roman"/>
                <w:sz w:val="21"/>
                <w:szCs w:val="21"/>
              </w:rPr>
              <w:t>服务时间/交付使用时间</w:t>
            </w:r>
          </w:p>
        </w:tc>
        <w:tc>
          <w:tcPr>
            <w:tcW w:w="7625" w:type="dxa"/>
            <w:tcBorders>
              <w:top w:val="single" w:color="auto" w:sz="4" w:space="0"/>
              <w:left w:val="single" w:color="auto" w:sz="4" w:space="0"/>
              <w:bottom w:val="single" w:color="auto" w:sz="4" w:space="0"/>
              <w:right w:val="single" w:color="auto" w:sz="4" w:space="0"/>
            </w:tcBorders>
            <w:noWrap/>
            <w:vAlign w:val="center"/>
          </w:tcPr>
          <w:p w14:paraId="694C3EA6">
            <w:pPr>
              <w:pStyle w:val="14"/>
              <w:tabs>
                <w:tab w:val="left" w:pos="3624"/>
              </w:tabs>
              <w:spacing w:line="440" w:lineRule="exact"/>
              <w:ind w:firstLine="474"/>
              <w:rPr>
                <w:rFonts w:ascii="Times New Roman" w:hAnsi="Times New Roman" w:cs="Times New Roman"/>
                <w:sz w:val="21"/>
                <w:szCs w:val="21"/>
                <w:u w:val="single"/>
              </w:rPr>
            </w:pPr>
            <w:r>
              <w:rPr>
                <w:rFonts w:ascii="Times New Roman" w:hAnsi="Times New Roman" w:cs="Times New Roman"/>
                <w:sz w:val="21"/>
                <w:szCs w:val="21"/>
                <w:u w:val="single"/>
              </w:rPr>
              <w:t>满足招标文件要求。</w:t>
            </w:r>
          </w:p>
        </w:tc>
      </w:tr>
      <w:tr w14:paraId="7DCA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206" w:hRule="atLeast"/>
        </w:trPr>
        <w:tc>
          <w:tcPr>
            <w:tcW w:w="1369" w:type="dxa"/>
            <w:tcBorders>
              <w:top w:val="single" w:color="auto" w:sz="4" w:space="0"/>
              <w:left w:val="single" w:color="auto" w:sz="4" w:space="0"/>
              <w:bottom w:val="single" w:color="auto" w:sz="4" w:space="0"/>
              <w:right w:val="single" w:color="auto" w:sz="4" w:space="0"/>
            </w:tcBorders>
            <w:noWrap/>
            <w:vAlign w:val="center"/>
          </w:tcPr>
          <w:p w14:paraId="5A014EF0">
            <w:pPr>
              <w:pStyle w:val="14"/>
              <w:ind w:firstLine="0"/>
              <w:jc w:val="center"/>
              <w:rPr>
                <w:rFonts w:ascii="Times New Roman" w:hAnsi="Times New Roman" w:cs="Times New Roman"/>
                <w:sz w:val="21"/>
                <w:szCs w:val="21"/>
              </w:rPr>
            </w:pPr>
            <w:r>
              <w:rPr>
                <w:rFonts w:ascii="Times New Roman" w:hAnsi="Times New Roman" w:cs="Times New Roman"/>
                <w:sz w:val="21"/>
                <w:szCs w:val="21"/>
              </w:rPr>
              <w:t>投标标的是否全部由小微企业（含视同小微企业）提供</w:t>
            </w:r>
          </w:p>
        </w:tc>
        <w:tc>
          <w:tcPr>
            <w:tcW w:w="7625" w:type="dxa"/>
            <w:tcBorders>
              <w:top w:val="single" w:color="auto" w:sz="4" w:space="0"/>
              <w:left w:val="single" w:color="auto" w:sz="4" w:space="0"/>
              <w:bottom w:val="single" w:color="auto" w:sz="4" w:space="0"/>
              <w:right w:val="single" w:color="auto" w:sz="4" w:space="0"/>
            </w:tcBorders>
            <w:noWrap/>
            <w:vAlign w:val="center"/>
          </w:tcPr>
          <w:p w14:paraId="1C69D357">
            <w:pPr>
              <w:pStyle w:val="14"/>
              <w:ind w:firstLine="474"/>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lang w:val="zh-CN"/>
              </w:rPr>
              <w:t>填写“是”或“否</w:t>
            </w:r>
            <w:r>
              <w:rPr>
                <w:rFonts w:ascii="Times New Roman" w:hAnsi="Times New Roman" w:cs="Times New Roman"/>
                <w:sz w:val="21"/>
                <w:szCs w:val="21"/>
              </w:rPr>
              <w:t>）</w:t>
            </w:r>
          </w:p>
        </w:tc>
      </w:tr>
      <w:tr w14:paraId="3914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206" w:hRule="atLeast"/>
        </w:trPr>
        <w:tc>
          <w:tcPr>
            <w:tcW w:w="1369" w:type="dxa"/>
            <w:tcBorders>
              <w:top w:val="single" w:color="auto" w:sz="4" w:space="0"/>
              <w:left w:val="single" w:color="auto" w:sz="4" w:space="0"/>
              <w:bottom w:val="single" w:color="auto" w:sz="4" w:space="0"/>
              <w:right w:val="single" w:color="auto" w:sz="4" w:space="0"/>
            </w:tcBorders>
            <w:noWrap/>
            <w:vAlign w:val="center"/>
          </w:tcPr>
          <w:p w14:paraId="5D35B96D">
            <w:pPr>
              <w:pStyle w:val="14"/>
              <w:ind w:firstLine="0"/>
              <w:jc w:val="center"/>
              <w:rPr>
                <w:rFonts w:ascii="Times New Roman" w:hAnsi="Times New Roman" w:cs="Times New Roman"/>
                <w:sz w:val="21"/>
                <w:szCs w:val="21"/>
              </w:rPr>
            </w:pPr>
            <w:r>
              <w:rPr>
                <w:rFonts w:ascii="Times New Roman" w:hAnsi="Times New Roman" w:cs="Times New Roman"/>
                <w:sz w:val="21"/>
                <w:szCs w:val="21"/>
              </w:rPr>
              <w:t>备注</w:t>
            </w:r>
          </w:p>
        </w:tc>
        <w:tc>
          <w:tcPr>
            <w:tcW w:w="7625" w:type="dxa"/>
            <w:tcBorders>
              <w:top w:val="single" w:color="auto" w:sz="4" w:space="0"/>
              <w:left w:val="single" w:color="auto" w:sz="4" w:space="0"/>
              <w:bottom w:val="single" w:color="auto" w:sz="4" w:space="0"/>
              <w:right w:val="single" w:color="auto" w:sz="4" w:space="0"/>
            </w:tcBorders>
            <w:noWrap/>
            <w:vAlign w:val="center"/>
          </w:tcPr>
          <w:p w14:paraId="0065B663">
            <w:pPr>
              <w:pStyle w:val="14"/>
              <w:ind w:firstLine="474"/>
              <w:rPr>
                <w:rFonts w:ascii="Times New Roman" w:hAnsi="Times New Roman" w:cs="Times New Roman"/>
                <w:sz w:val="21"/>
                <w:szCs w:val="21"/>
              </w:rPr>
            </w:pPr>
          </w:p>
        </w:tc>
      </w:tr>
    </w:tbl>
    <w:p w14:paraId="13DEC03E">
      <w:pPr>
        <w:widowControl/>
        <w:shd w:val="clear" w:color="auto" w:fill="FFFFFF"/>
        <w:spacing w:line="360" w:lineRule="auto"/>
        <w:jc w:val="left"/>
        <w:rPr>
          <w:rFonts w:ascii="Times New Roman" w:hAnsi="Times New Roman" w:cs="Times New Roman"/>
          <w:szCs w:val="21"/>
        </w:rPr>
      </w:pPr>
    </w:p>
    <w:p w14:paraId="67FF9703">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投标人名称（加盖电子公章）：</w:t>
      </w:r>
      <w:r>
        <w:rPr>
          <w:rFonts w:ascii="Times New Roman" w:hAnsi="Times New Roman" w:cs="Times New Roman"/>
          <w:szCs w:val="21"/>
          <w:u w:val="single"/>
        </w:rPr>
        <w:t>                             </w:t>
      </w:r>
      <w:r>
        <w:rPr>
          <w:rFonts w:ascii="Times New Roman" w:hAnsi="Times New Roman" w:cs="Times New Roman"/>
          <w:szCs w:val="21"/>
        </w:rPr>
        <w:t xml:space="preserve"> </w:t>
      </w:r>
    </w:p>
    <w:p w14:paraId="4CDE2DFB">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说明：</w:t>
      </w:r>
    </w:p>
    <w:p w14:paraId="06D89C5A">
      <w:pPr>
        <w:widowControl/>
        <w:numPr>
          <w:ilvl w:val="0"/>
          <w:numId w:val="5"/>
        </w:numPr>
        <w:shd w:val="clear" w:color="auto" w:fill="FFFFFF"/>
        <w:spacing w:line="360" w:lineRule="auto"/>
        <w:ind w:left="0" w:firstLine="422"/>
        <w:jc w:val="left"/>
        <w:rPr>
          <w:rFonts w:ascii="Times New Roman" w:hAnsi="Times New Roman" w:cs="Times New Roman"/>
          <w:b/>
          <w:bCs/>
          <w:szCs w:val="21"/>
        </w:rPr>
      </w:pPr>
      <w:r>
        <w:rPr>
          <w:rFonts w:ascii="Times New Roman" w:hAnsi="Times New Roman" w:cs="Times New Roman"/>
          <w:b/>
          <w:bCs/>
          <w:szCs w:val="21"/>
        </w:rPr>
        <w:t>本项目仅接受一个价格，不得填报有选择性报价方案。如有优惠条款须注明，但不得影响报价，影响项目履约交付。</w:t>
      </w:r>
    </w:p>
    <w:p w14:paraId="7B56490E">
      <w:pPr>
        <w:widowControl/>
        <w:shd w:val="clear" w:color="auto" w:fill="FFFFFF"/>
        <w:spacing w:line="360" w:lineRule="auto"/>
        <w:ind w:firstLine="420"/>
        <w:jc w:val="left"/>
        <w:rPr>
          <w:rFonts w:ascii="Times New Roman" w:hAnsi="Times New Roman" w:cs="Times New Roman"/>
          <w:b/>
          <w:bCs/>
          <w:szCs w:val="21"/>
        </w:rPr>
      </w:pPr>
      <w:r>
        <w:rPr>
          <w:rFonts w:ascii="Times New Roman" w:hAnsi="Times New Roman" w:cs="Times New Roman"/>
          <w:b/>
          <w:bCs/>
          <w:szCs w:val="21"/>
        </w:rPr>
        <w:t>2、“投标标的是否全部由小微企业提供</w:t>
      </w:r>
      <w:r>
        <w:rPr>
          <w:rFonts w:ascii="Times New Roman" w:hAnsi="Times New Roman" w:cs="Times New Roman"/>
          <w:b/>
          <w:bCs/>
          <w:szCs w:val="21"/>
          <w:lang w:val="zh-CN"/>
        </w:rPr>
        <w:t>”栏内填写“是”或“否”。如填写“是”，</w:t>
      </w:r>
      <w:r>
        <w:rPr>
          <w:rFonts w:ascii="Times New Roman" w:hAnsi="Times New Roman" w:cs="Times New Roman"/>
          <w:b/>
          <w:bCs/>
          <w:szCs w:val="21"/>
        </w:rPr>
        <w:t>投标人应按招标文件要求提供《中小企业声明函》、《残疾人福利性单位声明函》、《属于监狱企业的证明文件》。如未按要求提供、填写，不享受价格扣除。</w:t>
      </w:r>
    </w:p>
    <w:p w14:paraId="1F486249">
      <w:pPr>
        <w:widowControl/>
        <w:shd w:val="clear" w:color="auto" w:fill="FFFFFF"/>
        <w:spacing w:line="360" w:lineRule="auto"/>
        <w:jc w:val="left"/>
        <w:rPr>
          <w:rFonts w:ascii="Times New Roman" w:hAnsi="Times New Roman" w:cs="Times New Roman"/>
          <w:b/>
          <w:bCs/>
          <w:szCs w:val="21"/>
          <w:lang w:val="zh-CN"/>
        </w:rPr>
      </w:pPr>
      <w:bookmarkStart w:id="50" w:name="_Toc12264"/>
      <w:r>
        <w:rPr>
          <w:rFonts w:ascii="Times New Roman" w:hAnsi="Times New Roman" w:cs="Times New Roman"/>
          <w:b/>
          <w:bCs/>
          <w:szCs w:val="21"/>
          <w:lang w:val="zh-CN"/>
        </w:rPr>
        <w:br w:type="page" w:clear="all"/>
      </w:r>
    </w:p>
    <w:p w14:paraId="6B3B888E">
      <w:pPr>
        <w:widowControl/>
        <w:shd w:val="clear" w:color="auto" w:fill="FFFFFF"/>
        <w:spacing w:line="360" w:lineRule="auto"/>
        <w:jc w:val="left"/>
        <w:rPr>
          <w:rFonts w:ascii="Times New Roman" w:hAnsi="Times New Roman" w:cs="Times New Roman"/>
          <w:b/>
          <w:bCs/>
          <w:szCs w:val="21"/>
          <w:lang w:val="zh-CN"/>
        </w:rPr>
      </w:pPr>
      <w:r>
        <w:rPr>
          <w:rFonts w:ascii="Times New Roman" w:hAnsi="Times New Roman" w:cs="Times New Roman"/>
          <w:b/>
          <w:bCs/>
          <w:szCs w:val="21"/>
        </w:rPr>
        <w:t>附表</w:t>
      </w:r>
      <w:r>
        <w:rPr>
          <w:rFonts w:ascii="Times New Roman" w:hAnsi="Times New Roman" w:cs="Times New Roman"/>
          <w:b/>
          <w:bCs/>
          <w:szCs w:val="21"/>
          <w:lang w:val="zh-CN"/>
        </w:rPr>
        <w:t>——分项报价表格式</w:t>
      </w:r>
      <w:bookmarkEnd w:id="50"/>
    </w:p>
    <w:p w14:paraId="017EE757">
      <w:pPr>
        <w:widowControl/>
        <w:spacing w:line="240" w:lineRule="atLeast"/>
        <w:jc w:val="left"/>
        <w:rPr>
          <w:rFonts w:ascii="Times New Roman" w:hAnsi="Times New Roman" w:cs="Times New Roman"/>
          <w:b/>
          <w:bCs/>
          <w:lang w:val="zh-CN"/>
        </w:rPr>
      </w:pPr>
    </w:p>
    <w:p w14:paraId="0C5EE332">
      <w:pPr>
        <w:widowControl/>
        <w:shd w:val="clear" w:color="auto" w:fill="FFFFFF"/>
        <w:spacing w:line="360" w:lineRule="auto"/>
        <w:jc w:val="left"/>
        <w:rPr>
          <w:rFonts w:ascii="Times New Roman" w:hAnsi="Times New Roman" w:eastAsia="宋体" w:cs="Times New Roman"/>
          <w:sz w:val="15"/>
          <w:szCs w:val="15"/>
          <w:lang w:val="en-US" w:eastAsia="zh-CN"/>
        </w:rPr>
      </w:pPr>
      <w:r>
        <w:rPr>
          <w:rFonts w:ascii="Times New Roman" w:hAnsi="Times New Roman" w:cs="Times New Roman"/>
          <w:b/>
          <w:sz w:val="22"/>
          <w:szCs w:val="22"/>
          <w:lang w:val="en-US" w:eastAsia="zh-CN"/>
        </w:rPr>
        <w:t>格式自拟</w:t>
      </w:r>
    </w:p>
    <w:p w14:paraId="3F2B15AA">
      <w:pPr>
        <w:widowControl/>
        <w:shd w:val="clear" w:color="auto" w:fill="FFFFFF"/>
        <w:spacing w:line="360" w:lineRule="auto"/>
        <w:jc w:val="left"/>
        <w:rPr>
          <w:rFonts w:ascii="Times New Roman" w:hAnsi="Times New Roman" w:cs="Times New Roman"/>
          <w:szCs w:val="21"/>
        </w:rPr>
      </w:pPr>
    </w:p>
    <w:p w14:paraId="40C2F9CB">
      <w:pPr>
        <w:widowControl/>
        <w:shd w:val="clear" w:color="auto" w:fill="FFFFFF"/>
        <w:spacing w:line="360" w:lineRule="auto"/>
        <w:jc w:val="left"/>
        <w:rPr>
          <w:rFonts w:ascii="Times New Roman" w:hAnsi="Times New Roman" w:cs="Times New Roman"/>
          <w:szCs w:val="21"/>
        </w:rPr>
      </w:pPr>
    </w:p>
    <w:p w14:paraId="55DD8A72">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投标人名称（加盖电子公章）：</w:t>
      </w:r>
      <w:r>
        <w:rPr>
          <w:rFonts w:ascii="Times New Roman" w:hAnsi="Times New Roman" w:cs="Times New Roman"/>
          <w:szCs w:val="21"/>
          <w:u w:val="single"/>
        </w:rPr>
        <w:t>                             </w:t>
      </w:r>
      <w:r>
        <w:rPr>
          <w:rFonts w:ascii="Times New Roman" w:hAnsi="Times New Roman" w:cs="Times New Roman"/>
          <w:szCs w:val="21"/>
        </w:rPr>
        <w:t xml:space="preserve"> </w:t>
      </w:r>
    </w:p>
    <w:p w14:paraId="6664CB63">
      <w:pPr>
        <w:widowControl/>
        <w:shd w:val="clear" w:color="auto" w:fill="FFFFFF"/>
        <w:spacing w:line="360" w:lineRule="auto"/>
        <w:jc w:val="left"/>
        <w:rPr>
          <w:rFonts w:ascii="Times New Roman" w:hAnsi="Times New Roman" w:cs="Times New Roman"/>
          <w:szCs w:val="21"/>
          <w:u w:val="single"/>
        </w:rPr>
      </w:pPr>
    </w:p>
    <w:p w14:paraId="42408664">
      <w:pPr>
        <w:widowControl/>
        <w:shd w:val="clear" w:color="auto" w:fill="FFFFFF"/>
        <w:spacing w:line="360" w:lineRule="auto"/>
        <w:jc w:val="left"/>
        <w:rPr>
          <w:rFonts w:ascii="Times New Roman" w:hAnsi="Times New Roman" w:cs="Times New Roman"/>
          <w:szCs w:val="21"/>
        </w:rPr>
      </w:pPr>
    </w:p>
    <w:p w14:paraId="52B558CF">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 xml:space="preserve"> </w:t>
      </w:r>
    </w:p>
    <w:p w14:paraId="3B6CEFA3">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rPr>
        <w:t xml:space="preserve">     </w:t>
      </w:r>
    </w:p>
    <w:p w14:paraId="60A8F742">
      <w:pPr>
        <w:widowControl/>
        <w:shd w:val="clear" w:color="auto" w:fill="FFFFFF"/>
        <w:spacing w:line="360" w:lineRule="auto"/>
        <w:jc w:val="left"/>
        <w:rPr>
          <w:rFonts w:ascii="Times New Roman" w:hAnsi="Times New Roman" w:cs="Times New Roman"/>
          <w:szCs w:val="21"/>
        </w:rPr>
      </w:pPr>
    </w:p>
    <w:p w14:paraId="1AD15CB9">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 </w:t>
      </w:r>
    </w:p>
    <w:p w14:paraId="1F9B8514">
      <w:pPr>
        <w:widowControl/>
        <w:jc w:val="left"/>
        <w:rPr>
          <w:rFonts w:ascii="Times New Roman" w:hAnsi="Times New Roman" w:cs="Times New Roman"/>
          <w:szCs w:val="21"/>
        </w:rPr>
      </w:pPr>
      <w:r>
        <w:rPr>
          <w:rFonts w:ascii="Times New Roman" w:hAnsi="Times New Roman" w:cs="Times New Roman"/>
          <w:szCs w:val="21"/>
        </w:rPr>
        <w:br w:type="page" w:clear="all"/>
      </w:r>
    </w:p>
    <w:p w14:paraId="4D8537AA">
      <w:pPr>
        <w:widowControl/>
        <w:shd w:val="clear" w:color="auto" w:fill="FFFFFF"/>
        <w:spacing w:line="360" w:lineRule="auto"/>
        <w:jc w:val="left"/>
        <w:rPr>
          <w:rFonts w:ascii="Times New Roman" w:hAnsi="Times New Roman" w:eastAsia="宋体" w:cs="Times New Roman"/>
          <w:szCs w:val="21"/>
          <w:lang w:eastAsia="zh-CN"/>
        </w:rPr>
      </w:pPr>
      <w:r>
        <w:rPr>
          <w:rFonts w:ascii="Times New Roman" w:hAnsi="Times New Roman" w:cs="Times New Roman"/>
          <w:szCs w:val="21"/>
        </w:rPr>
        <w:t> </w:t>
      </w:r>
      <w:r>
        <w:rPr>
          <w:rFonts w:ascii="Times New Roman" w:hAnsi="Times New Roman" w:cs="Times New Roman"/>
          <w:b/>
          <w:bCs/>
          <w:szCs w:val="21"/>
        </w:rPr>
        <w:t>附件四、采购需求偏离表格式</w:t>
      </w:r>
    </w:p>
    <w:p w14:paraId="4CB57032">
      <w:pPr>
        <w:widowControl/>
        <w:shd w:val="clear" w:color="auto" w:fill="FFFFFF"/>
        <w:spacing w:line="360" w:lineRule="auto"/>
        <w:ind w:left="435"/>
        <w:jc w:val="left"/>
        <w:rPr>
          <w:rFonts w:ascii="Times New Roman" w:hAnsi="Times New Roman" w:cs="Times New Roman"/>
          <w:szCs w:val="21"/>
        </w:rPr>
      </w:pPr>
      <w:r>
        <w:rPr>
          <w:rFonts w:ascii="Times New Roman" w:hAnsi="Times New Roman" w:cs="Times New Roman"/>
          <w:sz w:val="24"/>
        </w:rPr>
        <w:t> </w:t>
      </w:r>
    </w:p>
    <w:p w14:paraId="63199D5A">
      <w:pPr>
        <w:widowControl/>
        <w:shd w:val="clear" w:color="auto" w:fill="FFFFFF"/>
        <w:spacing w:line="360" w:lineRule="auto"/>
        <w:ind w:left="420"/>
        <w:jc w:val="center"/>
        <w:rPr>
          <w:rFonts w:ascii="Times New Roman" w:hAnsi="Times New Roman" w:cs="Times New Roman"/>
          <w:b/>
          <w:szCs w:val="21"/>
        </w:rPr>
      </w:pPr>
      <w:r>
        <w:rPr>
          <w:rFonts w:ascii="Times New Roman" w:hAnsi="Times New Roman" w:cs="Times New Roman"/>
          <w:b/>
          <w:sz w:val="36"/>
          <w:szCs w:val="36"/>
        </w:rPr>
        <w:t>采购需求偏离表</w:t>
      </w:r>
    </w:p>
    <w:p w14:paraId="76BFD7FA">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                       </w:t>
      </w:r>
    </w:p>
    <w:tbl>
      <w:tblPr>
        <w:tblStyle w:val="51"/>
        <w:tblpPr w:leftFromText="180" w:rightFromText="180" w:vertAnchor="text" w:horzAnchor="page" w:tblpX="669" w:tblpY="628"/>
        <w:tblW w:w="9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3012"/>
        <w:gridCol w:w="1246"/>
        <w:gridCol w:w="1246"/>
      </w:tblGrid>
      <w:tr w14:paraId="495E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4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4053CF97">
            <w:pPr>
              <w:widowControl/>
              <w:spacing w:line="360" w:lineRule="auto"/>
              <w:jc w:val="center"/>
              <w:rPr>
                <w:rFonts w:ascii="Times New Roman" w:hAnsi="Times New Roman" w:cs="Times New Roman"/>
                <w:b/>
                <w:szCs w:val="21"/>
              </w:rPr>
            </w:pPr>
            <w:r>
              <w:rPr>
                <w:rFonts w:ascii="Times New Roman" w:hAnsi="Times New Roman" w:cs="Times New Roman"/>
                <w:b/>
                <w:szCs w:val="21"/>
              </w:rPr>
              <w:t>序号</w:t>
            </w:r>
          </w:p>
        </w:tc>
        <w:tc>
          <w:tcPr>
            <w:tcW w:w="167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1B091701">
            <w:pPr>
              <w:widowControl/>
              <w:spacing w:line="360" w:lineRule="auto"/>
              <w:jc w:val="center"/>
              <w:rPr>
                <w:rFonts w:ascii="Times New Roman" w:hAnsi="Times New Roman" w:cs="Times New Roman"/>
                <w:b/>
                <w:szCs w:val="21"/>
              </w:rPr>
            </w:pPr>
            <w:r>
              <w:rPr>
                <w:rFonts w:ascii="Times New Roman" w:hAnsi="Times New Roman" w:cs="Times New Roman"/>
                <w:b/>
                <w:szCs w:val="21"/>
              </w:rPr>
              <w:t>招标文件条目号</w:t>
            </w:r>
          </w:p>
        </w:tc>
        <w:tc>
          <w:tcPr>
            <w:tcW w:w="193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1E22539E">
            <w:pPr>
              <w:widowControl/>
              <w:spacing w:line="360" w:lineRule="auto"/>
              <w:jc w:val="center"/>
              <w:rPr>
                <w:rFonts w:ascii="Times New Roman" w:hAnsi="Times New Roman" w:cs="Times New Roman"/>
                <w:b/>
                <w:szCs w:val="21"/>
              </w:rPr>
            </w:pPr>
            <w:r>
              <w:rPr>
                <w:rFonts w:ascii="Times New Roman" w:hAnsi="Times New Roman" w:cs="Times New Roman"/>
                <w:b/>
                <w:szCs w:val="21"/>
              </w:rPr>
              <w:t>条款内容</w:t>
            </w:r>
          </w:p>
        </w:tc>
        <w:tc>
          <w:tcPr>
            <w:tcW w:w="301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58DF212">
            <w:pPr>
              <w:widowControl/>
              <w:spacing w:line="360" w:lineRule="auto"/>
              <w:jc w:val="center"/>
              <w:rPr>
                <w:rFonts w:ascii="Times New Roman" w:hAnsi="Times New Roman" w:cs="Times New Roman"/>
                <w:b/>
                <w:szCs w:val="21"/>
              </w:rPr>
            </w:pPr>
            <w:r>
              <w:rPr>
                <w:rFonts w:ascii="Times New Roman" w:hAnsi="Times New Roman" w:cs="Times New Roman"/>
                <w:b/>
                <w:szCs w:val="21"/>
              </w:rPr>
              <w:t>投标响应</w:t>
            </w: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4071A11D">
            <w:pPr>
              <w:widowControl/>
              <w:spacing w:line="360" w:lineRule="auto"/>
              <w:jc w:val="center"/>
              <w:rPr>
                <w:rFonts w:ascii="Times New Roman" w:hAnsi="Times New Roman" w:cs="Times New Roman"/>
                <w:b/>
                <w:szCs w:val="21"/>
              </w:rPr>
            </w:pPr>
            <w:r>
              <w:rPr>
                <w:rFonts w:ascii="Times New Roman" w:hAnsi="Times New Roman" w:cs="Times New Roman"/>
                <w:b/>
                <w:szCs w:val="21"/>
              </w:rPr>
              <w:t>偏离</w:t>
            </w: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2D4D60D">
            <w:pPr>
              <w:widowControl/>
              <w:spacing w:line="360" w:lineRule="auto"/>
              <w:jc w:val="center"/>
              <w:rPr>
                <w:rFonts w:ascii="Times New Roman" w:hAnsi="Times New Roman" w:cs="Times New Roman"/>
                <w:b/>
                <w:szCs w:val="21"/>
              </w:rPr>
            </w:pPr>
            <w:r>
              <w:rPr>
                <w:rFonts w:ascii="Times New Roman" w:hAnsi="Times New Roman" w:cs="Times New Roman"/>
                <w:b/>
                <w:szCs w:val="21"/>
              </w:rPr>
              <w:t>证明材料对应页码</w:t>
            </w:r>
          </w:p>
        </w:tc>
      </w:tr>
      <w:tr w14:paraId="1E6F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4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ED7B761">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67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65DC8F55">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93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646460A">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301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45FCEF3">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5D86BF3">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46687484">
            <w:pPr>
              <w:widowControl/>
              <w:spacing w:line="360" w:lineRule="auto"/>
              <w:jc w:val="center"/>
              <w:rPr>
                <w:rFonts w:ascii="Times New Roman" w:hAnsi="Times New Roman" w:cs="Times New Roman"/>
                <w:szCs w:val="21"/>
              </w:rPr>
            </w:pPr>
          </w:p>
        </w:tc>
      </w:tr>
      <w:tr w14:paraId="1A2F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4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AFF1E7F">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67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986EB15">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93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72D1DFA">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301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2325FA01">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EAC91DD">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25B624B">
            <w:pPr>
              <w:widowControl/>
              <w:spacing w:line="360" w:lineRule="auto"/>
              <w:jc w:val="center"/>
              <w:rPr>
                <w:rFonts w:ascii="Times New Roman" w:hAnsi="Times New Roman" w:cs="Times New Roman"/>
                <w:szCs w:val="21"/>
              </w:rPr>
            </w:pPr>
          </w:p>
        </w:tc>
      </w:tr>
      <w:tr w14:paraId="3859F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4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4EB11FBB">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67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8AD1128">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93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21C8C573">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301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69ABCD37">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4A14D55">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647B60A">
            <w:pPr>
              <w:widowControl/>
              <w:spacing w:line="360" w:lineRule="auto"/>
              <w:jc w:val="center"/>
              <w:rPr>
                <w:rFonts w:ascii="Times New Roman" w:hAnsi="Times New Roman" w:cs="Times New Roman"/>
                <w:szCs w:val="21"/>
              </w:rPr>
            </w:pPr>
          </w:p>
        </w:tc>
      </w:tr>
      <w:tr w14:paraId="27D7A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4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3B43A81">
            <w:pPr>
              <w:widowControl/>
              <w:spacing w:line="360" w:lineRule="auto"/>
              <w:jc w:val="center"/>
              <w:rPr>
                <w:rFonts w:ascii="Times New Roman" w:hAnsi="Times New Roman" w:cs="Times New Roman"/>
                <w:szCs w:val="21"/>
              </w:rPr>
            </w:pPr>
          </w:p>
        </w:tc>
        <w:tc>
          <w:tcPr>
            <w:tcW w:w="167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24129344">
            <w:pPr>
              <w:widowControl/>
              <w:spacing w:line="360" w:lineRule="auto"/>
              <w:jc w:val="center"/>
              <w:rPr>
                <w:rFonts w:ascii="Times New Roman" w:hAnsi="Times New Roman" w:cs="Times New Roman"/>
                <w:szCs w:val="21"/>
              </w:rPr>
            </w:pPr>
          </w:p>
        </w:tc>
        <w:tc>
          <w:tcPr>
            <w:tcW w:w="193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296F3C4A">
            <w:pPr>
              <w:widowControl/>
              <w:spacing w:line="360" w:lineRule="auto"/>
              <w:jc w:val="center"/>
              <w:rPr>
                <w:rFonts w:ascii="Times New Roman" w:hAnsi="Times New Roman" w:cs="Times New Roman"/>
                <w:szCs w:val="21"/>
              </w:rPr>
            </w:pPr>
          </w:p>
        </w:tc>
        <w:tc>
          <w:tcPr>
            <w:tcW w:w="301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270F9560">
            <w:pPr>
              <w:widowControl/>
              <w:spacing w:line="360" w:lineRule="auto"/>
              <w:jc w:val="center"/>
              <w:rPr>
                <w:rFonts w:ascii="Times New Roman" w:hAnsi="Times New Roman" w:cs="Times New Roman"/>
                <w:szCs w:val="21"/>
              </w:rPr>
            </w:pP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1F60D96A">
            <w:pPr>
              <w:widowControl/>
              <w:spacing w:line="360" w:lineRule="auto"/>
              <w:jc w:val="center"/>
              <w:rPr>
                <w:rFonts w:ascii="Times New Roman" w:hAnsi="Times New Roman" w:cs="Times New Roman"/>
                <w:szCs w:val="21"/>
              </w:rPr>
            </w:pP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422E8F17">
            <w:pPr>
              <w:widowControl/>
              <w:spacing w:line="360" w:lineRule="auto"/>
              <w:jc w:val="center"/>
              <w:rPr>
                <w:rFonts w:ascii="Times New Roman" w:hAnsi="Times New Roman" w:cs="Times New Roman"/>
                <w:szCs w:val="21"/>
              </w:rPr>
            </w:pPr>
          </w:p>
        </w:tc>
      </w:tr>
      <w:tr w14:paraId="5C77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4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1F87BABD">
            <w:pPr>
              <w:widowControl/>
              <w:spacing w:line="360" w:lineRule="auto"/>
              <w:jc w:val="center"/>
              <w:rPr>
                <w:rFonts w:ascii="Times New Roman" w:hAnsi="Times New Roman" w:cs="Times New Roman"/>
                <w:szCs w:val="21"/>
              </w:rPr>
            </w:pPr>
          </w:p>
        </w:tc>
        <w:tc>
          <w:tcPr>
            <w:tcW w:w="167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176A179">
            <w:pPr>
              <w:widowControl/>
              <w:spacing w:line="360" w:lineRule="auto"/>
              <w:jc w:val="center"/>
              <w:rPr>
                <w:rFonts w:ascii="Times New Roman" w:hAnsi="Times New Roman" w:cs="Times New Roman"/>
                <w:szCs w:val="21"/>
              </w:rPr>
            </w:pPr>
          </w:p>
        </w:tc>
        <w:tc>
          <w:tcPr>
            <w:tcW w:w="193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40F45571">
            <w:pPr>
              <w:widowControl/>
              <w:spacing w:line="360" w:lineRule="auto"/>
              <w:jc w:val="center"/>
              <w:rPr>
                <w:rFonts w:ascii="Times New Roman" w:hAnsi="Times New Roman" w:cs="Times New Roman"/>
                <w:szCs w:val="21"/>
              </w:rPr>
            </w:pPr>
          </w:p>
        </w:tc>
        <w:tc>
          <w:tcPr>
            <w:tcW w:w="301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E2AF635">
            <w:pPr>
              <w:widowControl/>
              <w:spacing w:line="360" w:lineRule="auto"/>
              <w:jc w:val="center"/>
              <w:rPr>
                <w:rFonts w:ascii="Times New Roman" w:hAnsi="Times New Roman" w:cs="Times New Roman"/>
                <w:szCs w:val="21"/>
              </w:rPr>
            </w:pP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EB625C9">
            <w:pPr>
              <w:widowControl/>
              <w:spacing w:line="360" w:lineRule="auto"/>
              <w:jc w:val="center"/>
              <w:rPr>
                <w:rFonts w:ascii="Times New Roman" w:hAnsi="Times New Roman" w:cs="Times New Roman"/>
                <w:szCs w:val="21"/>
              </w:rPr>
            </w:pP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521035E">
            <w:pPr>
              <w:widowControl/>
              <w:spacing w:line="360" w:lineRule="auto"/>
              <w:jc w:val="center"/>
              <w:rPr>
                <w:rFonts w:ascii="Times New Roman" w:hAnsi="Times New Roman" w:cs="Times New Roman"/>
                <w:szCs w:val="21"/>
              </w:rPr>
            </w:pPr>
          </w:p>
        </w:tc>
      </w:tr>
      <w:tr w14:paraId="64E57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4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175BF513">
            <w:pPr>
              <w:widowControl/>
              <w:spacing w:line="360" w:lineRule="auto"/>
              <w:jc w:val="center"/>
              <w:rPr>
                <w:rFonts w:ascii="Times New Roman" w:hAnsi="Times New Roman" w:cs="Times New Roman"/>
                <w:szCs w:val="21"/>
              </w:rPr>
            </w:pPr>
          </w:p>
        </w:tc>
        <w:tc>
          <w:tcPr>
            <w:tcW w:w="167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44977457">
            <w:pPr>
              <w:widowControl/>
              <w:spacing w:line="360" w:lineRule="auto"/>
              <w:jc w:val="center"/>
              <w:rPr>
                <w:rFonts w:ascii="Times New Roman" w:hAnsi="Times New Roman" w:cs="Times New Roman"/>
                <w:szCs w:val="21"/>
              </w:rPr>
            </w:pPr>
          </w:p>
        </w:tc>
        <w:tc>
          <w:tcPr>
            <w:tcW w:w="193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6D6B9FD9">
            <w:pPr>
              <w:widowControl/>
              <w:spacing w:line="360" w:lineRule="auto"/>
              <w:jc w:val="center"/>
              <w:rPr>
                <w:rFonts w:ascii="Times New Roman" w:hAnsi="Times New Roman" w:cs="Times New Roman"/>
                <w:szCs w:val="21"/>
              </w:rPr>
            </w:pPr>
          </w:p>
        </w:tc>
        <w:tc>
          <w:tcPr>
            <w:tcW w:w="3012"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ACC6F3C">
            <w:pPr>
              <w:widowControl/>
              <w:spacing w:line="360" w:lineRule="auto"/>
              <w:jc w:val="center"/>
              <w:rPr>
                <w:rFonts w:ascii="Times New Roman" w:hAnsi="Times New Roman" w:cs="Times New Roman"/>
                <w:szCs w:val="21"/>
              </w:rPr>
            </w:pP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4D3703E">
            <w:pPr>
              <w:widowControl/>
              <w:spacing w:line="360" w:lineRule="auto"/>
              <w:jc w:val="center"/>
              <w:rPr>
                <w:rFonts w:ascii="Times New Roman" w:hAnsi="Times New Roman" w:cs="Times New Roman"/>
                <w:szCs w:val="21"/>
              </w:rPr>
            </w:pPr>
          </w:p>
        </w:tc>
        <w:tc>
          <w:tcPr>
            <w:tcW w:w="1246"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F2EA657">
            <w:pPr>
              <w:widowControl/>
              <w:spacing w:line="360" w:lineRule="auto"/>
              <w:jc w:val="center"/>
              <w:rPr>
                <w:rFonts w:ascii="Times New Roman" w:hAnsi="Times New Roman" w:cs="Times New Roman"/>
                <w:szCs w:val="21"/>
              </w:rPr>
            </w:pPr>
          </w:p>
        </w:tc>
      </w:tr>
    </w:tbl>
    <w:p w14:paraId="1A2B5046">
      <w:pPr>
        <w:widowControl/>
        <w:tabs>
          <w:tab w:val="left" w:pos="5397"/>
        </w:tabs>
        <w:spacing w:line="360" w:lineRule="auto"/>
        <w:ind w:firstLine="84"/>
        <w:jc w:val="left"/>
        <w:rPr>
          <w:rFonts w:ascii="Times New Roman" w:hAnsi="Times New Roman" w:cs="Times New Roman"/>
          <w:szCs w:val="21"/>
        </w:rPr>
      </w:pPr>
      <w:r>
        <w:rPr>
          <w:rFonts w:ascii="Times New Roman" w:hAnsi="Times New Roman" w:cs="Times New Roman"/>
          <w:szCs w:val="21"/>
        </w:rPr>
        <w:t>项目名称：</w:t>
      </w:r>
      <w:r>
        <w:rPr>
          <w:rFonts w:ascii="Times New Roman" w:hAnsi="Times New Roman" w:cs="Times New Roman"/>
          <w:szCs w:val="21"/>
        </w:rPr>
        <w:tab/>
      </w:r>
      <w:r>
        <w:rPr>
          <w:rFonts w:ascii="Times New Roman" w:hAnsi="Times New Roman" w:cs="Times New Roman"/>
          <w:szCs w:val="21"/>
        </w:rPr>
        <w:t>项目编号：  </w:t>
      </w:r>
    </w:p>
    <w:p w14:paraId="685BF703">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说明：投标文件采购需求部分内容响应存在正偏离或负偏离的，请在本表中逐条列出。未列出的，视为响应招标文件要求。如果行数不够，请自行增加。</w:t>
      </w:r>
    </w:p>
    <w:p w14:paraId="239E5436">
      <w:pPr>
        <w:widowControl/>
        <w:shd w:val="clear" w:color="auto" w:fill="FFFFFF"/>
        <w:spacing w:line="360" w:lineRule="auto"/>
        <w:jc w:val="left"/>
        <w:rPr>
          <w:rFonts w:ascii="Times New Roman" w:hAnsi="Times New Roman" w:cs="Times New Roman"/>
          <w:szCs w:val="21"/>
        </w:rPr>
      </w:pPr>
    </w:p>
    <w:p w14:paraId="6DDDE0BE">
      <w:pPr>
        <w:widowControl/>
        <w:shd w:val="clear" w:color="auto" w:fill="FFFFFF"/>
        <w:spacing w:line="360" w:lineRule="auto"/>
        <w:jc w:val="left"/>
        <w:rPr>
          <w:rFonts w:ascii="Times New Roman" w:hAnsi="Times New Roman" w:cs="Times New Roman"/>
          <w:szCs w:val="21"/>
        </w:rPr>
      </w:pPr>
    </w:p>
    <w:p w14:paraId="43F7BA1D">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投标人名称（加盖电子公章）：</w:t>
      </w:r>
      <w:r>
        <w:rPr>
          <w:rFonts w:ascii="Times New Roman" w:hAnsi="Times New Roman" w:cs="Times New Roman"/>
          <w:szCs w:val="21"/>
          <w:u w:val="single"/>
        </w:rPr>
        <w:t>                             </w:t>
      </w:r>
      <w:r>
        <w:rPr>
          <w:rFonts w:ascii="Times New Roman" w:hAnsi="Times New Roman" w:cs="Times New Roman"/>
          <w:szCs w:val="21"/>
        </w:rPr>
        <w:t xml:space="preserve"> </w:t>
      </w:r>
    </w:p>
    <w:p w14:paraId="0302AF61">
      <w:pPr>
        <w:widowControl/>
        <w:shd w:val="clear" w:color="auto" w:fill="FFFFFF"/>
        <w:spacing w:line="360" w:lineRule="auto"/>
        <w:jc w:val="left"/>
        <w:rPr>
          <w:rFonts w:ascii="Times New Roman" w:hAnsi="Times New Roman" w:cs="Times New Roman"/>
          <w:szCs w:val="21"/>
        </w:rPr>
      </w:pPr>
    </w:p>
    <w:p w14:paraId="407C28A8">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 </w:t>
      </w:r>
    </w:p>
    <w:p w14:paraId="2EA2DD7C">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 </w:t>
      </w:r>
    </w:p>
    <w:p w14:paraId="5DD06655">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 </w:t>
      </w:r>
    </w:p>
    <w:p w14:paraId="0BA8B85E">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b/>
          <w:bCs/>
          <w:szCs w:val="21"/>
        </w:rPr>
        <w:br w:type="page" w:clear="all"/>
      </w:r>
      <w:r>
        <w:rPr>
          <w:rFonts w:ascii="Times New Roman" w:hAnsi="Times New Roman" w:cs="Times New Roman"/>
          <w:b/>
          <w:bCs/>
          <w:szCs w:val="21"/>
        </w:rPr>
        <w:t>附件五、商务条款偏离表格式</w:t>
      </w:r>
    </w:p>
    <w:p w14:paraId="51E9BB3D">
      <w:pPr>
        <w:widowControl/>
        <w:shd w:val="clear" w:color="auto" w:fill="FFFFFF"/>
        <w:spacing w:line="360" w:lineRule="auto"/>
        <w:ind w:firstLine="420"/>
        <w:jc w:val="left"/>
        <w:rPr>
          <w:rFonts w:ascii="Times New Roman" w:hAnsi="Times New Roman" w:cs="Times New Roman"/>
          <w:szCs w:val="21"/>
        </w:rPr>
      </w:pPr>
      <w:r>
        <w:rPr>
          <w:rFonts w:ascii="Times New Roman" w:hAnsi="Times New Roman" w:cs="Times New Roman"/>
          <w:szCs w:val="21"/>
        </w:rPr>
        <w:t> </w:t>
      </w:r>
    </w:p>
    <w:p w14:paraId="0F59710F">
      <w:pPr>
        <w:widowControl/>
        <w:shd w:val="clear" w:color="auto" w:fill="FFFFFF"/>
        <w:spacing w:line="360" w:lineRule="auto"/>
        <w:ind w:left="420"/>
        <w:jc w:val="center"/>
        <w:rPr>
          <w:rFonts w:ascii="Times New Roman" w:hAnsi="Times New Roman" w:cs="Times New Roman"/>
          <w:b/>
          <w:szCs w:val="21"/>
        </w:rPr>
      </w:pPr>
      <w:r>
        <w:rPr>
          <w:rFonts w:ascii="Times New Roman" w:hAnsi="Times New Roman" w:cs="Times New Roman"/>
          <w:b/>
          <w:sz w:val="36"/>
          <w:szCs w:val="36"/>
        </w:rPr>
        <w:t>商务条款偏离表</w:t>
      </w:r>
    </w:p>
    <w:p w14:paraId="754162E3">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 w:val="24"/>
        </w:rPr>
        <w:t> </w:t>
      </w:r>
    </w:p>
    <w:p w14:paraId="6063744E">
      <w:pPr>
        <w:widowControl/>
        <w:tabs>
          <w:tab w:val="left" w:pos="5366"/>
        </w:tabs>
        <w:spacing w:line="360" w:lineRule="auto"/>
        <w:ind w:firstLine="96"/>
        <w:jc w:val="left"/>
        <w:rPr>
          <w:rFonts w:ascii="Times New Roman" w:hAnsi="Times New Roman" w:cs="Times New Roman"/>
          <w:szCs w:val="21"/>
        </w:rPr>
      </w:pPr>
      <w:r>
        <w:rPr>
          <w:rFonts w:ascii="Times New Roman" w:hAnsi="Times New Roman" w:cs="Times New Roman"/>
          <w:szCs w:val="21"/>
        </w:rPr>
        <w:t>项目名称：</w:t>
      </w:r>
      <w:r>
        <w:rPr>
          <w:rFonts w:ascii="Times New Roman" w:hAnsi="Times New Roman" w:cs="Times New Roman"/>
          <w:szCs w:val="21"/>
        </w:rPr>
        <w:tab/>
      </w:r>
      <w:r>
        <w:rPr>
          <w:rFonts w:ascii="Times New Roman" w:hAnsi="Times New Roman" w:cs="Times New Roman"/>
          <w:szCs w:val="21"/>
        </w:rPr>
        <w:t>项目编号：         </w:t>
      </w:r>
    </w:p>
    <w:tbl>
      <w:tblPr>
        <w:tblStyle w:val="51"/>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gridCol w:w="1201"/>
      </w:tblGrid>
      <w:tr w14:paraId="3CEB9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00E8283">
            <w:pPr>
              <w:widowControl/>
              <w:spacing w:line="360" w:lineRule="auto"/>
              <w:jc w:val="center"/>
              <w:rPr>
                <w:rFonts w:ascii="Times New Roman" w:hAnsi="Times New Roman" w:cs="Times New Roman"/>
                <w:b/>
                <w:szCs w:val="21"/>
              </w:rPr>
            </w:pPr>
            <w:r>
              <w:rPr>
                <w:rFonts w:ascii="Times New Roman" w:hAnsi="Times New Roman" w:cs="Times New Roman"/>
                <w:b/>
                <w:szCs w:val="21"/>
              </w:rPr>
              <w:t>序号</w:t>
            </w:r>
          </w:p>
        </w:tc>
        <w:tc>
          <w:tcPr>
            <w:tcW w:w="1679"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D2A3E66">
            <w:pPr>
              <w:widowControl/>
              <w:spacing w:line="360" w:lineRule="auto"/>
              <w:jc w:val="center"/>
              <w:rPr>
                <w:rFonts w:ascii="Times New Roman" w:hAnsi="Times New Roman" w:cs="Times New Roman"/>
                <w:b/>
                <w:szCs w:val="21"/>
              </w:rPr>
            </w:pPr>
            <w:r>
              <w:rPr>
                <w:rFonts w:ascii="Times New Roman" w:hAnsi="Times New Roman" w:cs="Times New Roman"/>
                <w:b/>
                <w:szCs w:val="21"/>
              </w:rPr>
              <w:t>招标文件条目号</w:t>
            </w:r>
          </w:p>
        </w:tc>
        <w:tc>
          <w:tcPr>
            <w:tcW w:w="248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2388E39A">
            <w:pPr>
              <w:widowControl/>
              <w:spacing w:line="360" w:lineRule="auto"/>
              <w:jc w:val="center"/>
              <w:rPr>
                <w:rFonts w:ascii="Times New Roman" w:hAnsi="Times New Roman" w:cs="Times New Roman"/>
                <w:b/>
                <w:szCs w:val="21"/>
              </w:rPr>
            </w:pPr>
            <w:r>
              <w:rPr>
                <w:rFonts w:ascii="Times New Roman" w:hAnsi="Times New Roman" w:cs="Times New Roman"/>
                <w:b/>
                <w:szCs w:val="21"/>
              </w:rPr>
              <w:t>条款内容</w:t>
            </w:r>
          </w:p>
        </w:tc>
        <w:tc>
          <w:tcPr>
            <w:tcW w:w="3004"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12570B39">
            <w:pPr>
              <w:widowControl/>
              <w:spacing w:line="360" w:lineRule="auto"/>
              <w:jc w:val="center"/>
              <w:rPr>
                <w:rFonts w:ascii="Times New Roman" w:hAnsi="Times New Roman" w:cs="Times New Roman"/>
                <w:b/>
                <w:szCs w:val="21"/>
              </w:rPr>
            </w:pPr>
            <w:r>
              <w:rPr>
                <w:rFonts w:ascii="Times New Roman" w:hAnsi="Times New Roman" w:cs="Times New Roman"/>
                <w:b/>
                <w:szCs w:val="21"/>
              </w:rPr>
              <w:t>投标响应</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4BE0186">
            <w:pPr>
              <w:widowControl/>
              <w:spacing w:line="360" w:lineRule="auto"/>
              <w:jc w:val="center"/>
              <w:rPr>
                <w:rFonts w:ascii="Times New Roman" w:hAnsi="Times New Roman" w:cs="Times New Roman"/>
                <w:b/>
                <w:szCs w:val="21"/>
              </w:rPr>
            </w:pPr>
            <w:r>
              <w:rPr>
                <w:rFonts w:ascii="Times New Roman" w:hAnsi="Times New Roman" w:cs="Times New Roman"/>
                <w:b/>
                <w:szCs w:val="21"/>
              </w:rPr>
              <w:t>偏离</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6EDE5BC9">
            <w:pPr>
              <w:widowControl/>
              <w:spacing w:line="360" w:lineRule="auto"/>
              <w:jc w:val="center"/>
              <w:rPr>
                <w:rFonts w:ascii="Times New Roman" w:hAnsi="Times New Roman" w:cs="Times New Roman"/>
                <w:b/>
                <w:szCs w:val="21"/>
              </w:rPr>
            </w:pPr>
            <w:r>
              <w:rPr>
                <w:rFonts w:ascii="Times New Roman" w:hAnsi="Times New Roman" w:cs="Times New Roman"/>
                <w:b/>
                <w:szCs w:val="21"/>
              </w:rPr>
              <w:t>证明材料对应页码</w:t>
            </w:r>
          </w:p>
        </w:tc>
      </w:tr>
      <w:tr w14:paraId="2CCD6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2954FE7F">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679"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845939D">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248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5F54F04">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3004"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97F4E51">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98A1EFE">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C89F1B0">
            <w:pPr>
              <w:widowControl/>
              <w:spacing w:line="360" w:lineRule="auto"/>
              <w:jc w:val="center"/>
              <w:rPr>
                <w:rFonts w:ascii="Times New Roman" w:hAnsi="Times New Roman" w:cs="Times New Roman"/>
                <w:szCs w:val="21"/>
              </w:rPr>
            </w:pPr>
          </w:p>
        </w:tc>
      </w:tr>
      <w:tr w14:paraId="406B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1339D1F">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679"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8487A04">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248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64AD9A94">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3004"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F2CA4D8">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A9C4246">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5943BF9">
            <w:pPr>
              <w:widowControl/>
              <w:spacing w:line="360" w:lineRule="auto"/>
              <w:jc w:val="center"/>
              <w:rPr>
                <w:rFonts w:ascii="Times New Roman" w:hAnsi="Times New Roman" w:cs="Times New Roman"/>
                <w:szCs w:val="21"/>
              </w:rPr>
            </w:pPr>
          </w:p>
        </w:tc>
      </w:tr>
      <w:tr w14:paraId="00BB6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7DCA0EA">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679"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8B3364B">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248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F4E5B70">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3004"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99D3604">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6C987617">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8CA40C9">
            <w:pPr>
              <w:widowControl/>
              <w:spacing w:line="360" w:lineRule="auto"/>
              <w:jc w:val="center"/>
              <w:rPr>
                <w:rFonts w:ascii="Times New Roman" w:hAnsi="Times New Roman" w:cs="Times New Roman"/>
                <w:szCs w:val="21"/>
              </w:rPr>
            </w:pPr>
          </w:p>
        </w:tc>
      </w:tr>
      <w:tr w14:paraId="34D74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9F6F37B">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679"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2B521B64">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248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4937649D">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3004"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090F498">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B053A61">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81553E0">
            <w:pPr>
              <w:widowControl/>
              <w:spacing w:line="360" w:lineRule="auto"/>
              <w:jc w:val="center"/>
              <w:rPr>
                <w:rFonts w:ascii="Times New Roman" w:hAnsi="Times New Roman" w:cs="Times New Roman"/>
                <w:szCs w:val="21"/>
              </w:rPr>
            </w:pPr>
          </w:p>
        </w:tc>
      </w:tr>
      <w:tr w14:paraId="02149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612DFE6D">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679"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820E612">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248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152BA0F1">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3004"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955C6C8">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6D35953">
            <w:pPr>
              <w:widowControl/>
              <w:spacing w:line="360" w:lineRule="auto"/>
              <w:jc w:val="center"/>
              <w:rPr>
                <w:rFonts w:ascii="Times New Roman" w:hAnsi="Times New Roman" w:cs="Times New Roman"/>
                <w:szCs w:val="21"/>
              </w:rPr>
            </w:pPr>
            <w:r>
              <w:rPr>
                <w:rFonts w:ascii="Times New Roman" w:hAnsi="Times New Roman" w:cs="Times New Roman"/>
                <w:szCs w:val="21"/>
              </w:rPr>
              <w:t> </w:t>
            </w: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32205BD8">
            <w:pPr>
              <w:widowControl/>
              <w:spacing w:line="360" w:lineRule="auto"/>
              <w:jc w:val="center"/>
              <w:rPr>
                <w:rFonts w:ascii="Times New Roman" w:hAnsi="Times New Roman" w:cs="Times New Roman"/>
                <w:szCs w:val="21"/>
              </w:rPr>
            </w:pPr>
          </w:p>
        </w:tc>
      </w:tr>
      <w:tr w14:paraId="0148E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0DB0A86F">
            <w:pPr>
              <w:widowControl/>
              <w:spacing w:line="360" w:lineRule="auto"/>
              <w:jc w:val="center"/>
              <w:rPr>
                <w:rFonts w:ascii="Times New Roman" w:hAnsi="Times New Roman" w:cs="Times New Roman"/>
                <w:szCs w:val="21"/>
              </w:rPr>
            </w:pPr>
          </w:p>
        </w:tc>
        <w:tc>
          <w:tcPr>
            <w:tcW w:w="1679"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2F848268">
            <w:pPr>
              <w:widowControl/>
              <w:spacing w:line="360" w:lineRule="auto"/>
              <w:jc w:val="center"/>
              <w:rPr>
                <w:rFonts w:ascii="Times New Roman" w:hAnsi="Times New Roman" w:cs="Times New Roman"/>
                <w:szCs w:val="21"/>
              </w:rPr>
            </w:pPr>
          </w:p>
        </w:tc>
        <w:tc>
          <w:tcPr>
            <w:tcW w:w="248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6A64CC55">
            <w:pPr>
              <w:widowControl/>
              <w:spacing w:line="360" w:lineRule="auto"/>
              <w:jc w:val="center"/>
              <w:rPr>
                <w:rFonts w:ascii="Times New Roman" w:hAnsi="Times New Roman" w:cs="Times New Roman"/>
                <w:szCs w:val="21"/>
              </w:rPr>
            </w:pPr>
          </w:p>
        </w:tc>
        <w:tc>
          <w:tcPr>
            <w:tcW w:w="3004"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2337F13E">
            <w:pPr>
              <w:widowControl/>
              <w:spacing w:line="360" w:lineRule="auto"/>
              <w:jc w:val="center"/>
              <w:rPr>
                <w:rFonts w:ascii="Times New Roman" w:hAnsi="Times New Roman" w:cs="Times New Roman"/>
                <w:szCs w:val="21"/>
              </w:rPr>
            </w:pP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F402DF3">
            <w:pPr>
              <w:widowControl/>
              <w:spacing w:line="360" w:lineRule="auto"/>
              <w:jc w:val="center"/>
              <w:rPr>
                <w:rFonts w:ascii="Times New Roman" w:hAnsi="Times New Roman" w:cs="Times New Roman"/>
                <w:szCs w:val="21"/>
              </w:rPr>
            </w:pP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46BA3E33">
            <w:pPr>
              <w:widowControl/>
              <w:spacing w:line="360" w:lineRule="auto"/>
              <w:jc w:val="center"/>
              <w:rPr>
                <w:rFonts w:ascii="Times New Roman" w:hAnsi="Times New Roman" w:cs="Times New Roman"/>
                <w:szCs w:val="21"/>
              </w:rPr>
            </w:pPr>
          </w:p>
        </w:tc>
      </w:tr>
      <w:tr w14:paraId="001B2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F9AB0CE">
            <w:pPr>
              <w:widowControl/>
              <w:spacing w:line="360" w:lineRule="auto"/>
              <w:jc w:val="center"/>
              <w:rPr>
                <w:rFonts w:ascii="Times New Roman" w:hAnsi="Times New Roman" w:cs="Times New Roman"/>
                <w:szCs w:val="21"/>
              </w:rPr>
            </w:pPr>
          </w:p>
        </w:tc>
        <w:tc>
          <w:tcPr>
            <w:tcW w:w="1679"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76A42318">
            <w:pPr>
              <w:widowControl/>
              <w:spacing w:line="360" w:lineRule="auto"/>
              <w:jc w:val="center"/>
              <w:rPr>
                <w:rFonts w:ascii="Times New Roman" w:hAnsi="Times New Roman" w:cs="Times New Roman"/>
                <w:szCs w:val="21"/>
              </w:rPr>
            </w:pPr>
          </w:p>
        </w:tc>
        <w:tc>
          <w:tcPr>
            <w:tcW w:w="2488"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11975DB3">
            <w:pPr>
              <w:widowControl/>
              <w:spacing w:line="360" w:lineRule="auto"/>
              <w:jc w:val="center"/>
              <w:rPr>
                <w:rFonts w:ascii="Times New Roman" w:hAnsi="Times New Roman" w:cs="Times New Roman"/>
                <w:szCs w:val="21"/>
              </w:rPr>
            </w:pPr>
          </w:p>
        </w:tc>
        <w:tc>
          <w:tcPr>
            <w:tcW w:w="3004"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1984B3A0">
            <w:pPr>
              <w:widowControl/>
              <w:spacing w:line="360" w:lineRule="auto"/>
              <w:jc w:val="center"/>
              <w:rPr>
                <w:rFonts w:ascii="Times New Roman" w:hAnsi="Times New Roman" w:cs="Times New Roman"/>
                <w:szCs w:val="21"/>
              </w:rPr>
            </w:pP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58F88A44">
            <w:pPr>
              <w:widowControl/>
              <w:spacing w:line="360" w:lineRule="auto"/>
              <w:jc w:val="center"/>
              <w:rPr>
                <w:rFonts w:ascii="Times New Roman" w:hAnsi="Times New Roman" w:cs="Times New Roman"/>
                <w:szCs w:val="21"/>
              </w:rPr>
            </w:pPr>
          </w:p>
        </w:tc>
        <w:tc>
          <w:tcPr>
            <w:tcW w:w="1201" w:type="dxa"/>
            <w:tcBorders>
              <w:top w:val="single" w:color="auto" w:sz="4" w:space="0"/>
              <w:left w:val="single" w:color="auto" w:sz="4" w:space="0"/>
              <w:bottom w:val="single" w:color="auto" w:sz="4" w:space="0"/>
              <w:right w:val="single" w:color="auto" w:sz="4" w:space="0"/>
            </w:tcBorders>
            <w:noWrap/>
            <w:tcMar>
              <w:left w:w="10" w:type="dxa"/>
              <w:right w:w="10" w:type="dxa"/>
            </w:tcMar>
            <w:vAlign w:val="center"/>
          </w:tcPr>
          <w:p w14:paraId="13A0AC6B">
            <w:pPr>
              <w:widowControl/>
              <w:spacing w:line="360" w:lineRule="auto"/>
              <w:jc w:val="center"/>
              <w:rPr>
                <w:rFonts w:ascii="Times New Roman" w:hAnsi="Times New Roman" w:cs="Times New Roman"/>
                <w:szCs w:val="21"/>
              </w:rPr>
            </w:pPr>
          </w:p>
        </w:tc>
      </w:tr>
    </w:tbl>
    <w:p w14:paraId="0B716743">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说明：投标文件商务部分内容响应存在正偏离或负偏离的，请在本表中逐条列出。未列出的，视为响应招标文件要求。如果行数不够，请自行增加。</w:t>
      </w:r>
    </w:p>
    <w:p w14:paraId="1C024A57">
      <w:pPr>
        <w:widowControl/>
        <w:shd w:val="clear" w:color="auto" w:fill="FFFFFF"/>
        <w:spacing w:line="360" w:lineRule="auto"/>
        <w:jc w:val="left"/>
        <w:rPr>
          <w:rFonts w:ascii="Times New Roman" w:hAnsi="Times New Roman" w:cs="Times New Roman"/>
          <w:szCs w:val="21"/>
        </w:rPr>
      </w:pPr>
    </w:p>
    <w:p w14:paraId="3A3DAC94">
      <w:pPr>
        <w:widowControl/>
        <w:shd w:val="clear" w:color="auto" w:fill="FFFFFF"/>
        <w:spacing w:line="360" w:lineRule="auto"/>
        <w:jc w:val="left"/>
        <w:rPr>
          <w:rFonts w:ascii="Times New Roman" w:hAnsi="Times New Roman" w:cs="Times New Roman"/>
          <w:szCs w:val="21"/>
        </w:rPr>
      </w:pPr>
    </w:p>
    <w:p w14:paraId="2B01845C">
      <w:pPr>
        <w:widowControl/>
        <w:shd w:val="clear" w:color="auto" w:fill="FFFFFF"/>
        <w:spacing w:line="360" w:lineRule="auto"/>
        <w:jc w:val="left"/>
        <w:rPr>
          <w:rFonts w:ascii="Times New Roman" w:hAnsi="Times New Roman" w:cs="Times New Roman"/>
          <w:szCs w:val="21"/>
        </w:rPr>
      </w:pPr>
    </w:p>
    <w:p w14:paraId="3B6AC19C">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投标人名称（加盖电子公章）：</w:t>
      </w:r>
      <w:r>
        <w:rPr>
          <w:rFonts w:ascii="Times New Roman" w:hAnsi="Times New Roman" w:cs="Times New Roman"/>
          <w:szCs w:val="21"/>
          <w:u w:val="single"/>
        </w:rPr>
        <w:t>                             </w:t>
      </w:r>
      <w:r>
        <w:rPr>
          <w:rFonts w:ascii="Times New Roman" w:hAnsi="Times New Roman" w:cs="Times New Roman"/>
          <w:szCs w:val="21"/>
        </w:rPr>
        <w:t xml:space="preserve"> </w:t>
      </w:r>
    </w:p>
    <w:p w14:paraId="10A3C654">
      <w:pPr>
        <w:widowControl/>
        <w:shd w:val="clear" w:color="auto" w:fill="FFFFFF"/>
        <w:spacing w:line="360" w:lineRule="auto"/>
        <w:jc w:val="left"/>
        <w:rPr>
          <w:rFonts w:ascii="Times New Roman" w:hAnsi="Times New Roman" w:cs="Times New Roman"/>
          <w:szCs w:val="21"/>
        </w:rPr>
      </w:pPr>
    </w:p>
    <w:p w14:paraId="678E5B07">
      <w:pPr>
        <w:widowControl/>
        <w:shd w:val="clear" w:color="auto" w:fill="FFFFFF"/>
        <w:spacing w:line="360" w:lineRule="auto"/>
        <w:jc w:val="left"/>
        <w:rPr>
          <w:rFonts w:ascii="Times New Roman" w:hAnsi="Times New Roman" w:cs="Times New Roman"/>
          <w:szCs w:val="21"/>
        </w:rPr>
      </w:pPr>
    </w:p>
    <w:p w14:paraId="1140D58A">
      <w:pPr>
        <w:widowControl/>
        <w:shd w:val="clear" w:color="auto" w:fill="FFFFFF"/>
        <w:spacing w:line="360" w:lineRule="auto"/>
        <w:jc w:val="left"/>
        <w:rPr>
          <w:rFonts w:ascii="Times New Roman" w:hAnsi="Times New Roman" w:cs="Times New Roman"/>
          <w:b/>
          <w:szCs w:val="21"/>
          <w:lang w:val="zh-CN"/>
        </w:rPr>
      </w:pPr>
      <w:r>
        <w:rPr>
          <w:rFonts w:ascii="Times New Roman" w:hAnsi="Times New Roman" w:cs="Times New Roman"/>
          <w:b/>
          <w:bCs/>
          <w:szCs w:val="21"/>
        </w:rPr>
        <w:br w:type="page" w:clear="all"/>
      </w:r>
      <w:r>
        <w:rPr>
          <w:rFonts w:ascii="Times New Roman" w:hAnsi="Times New Roman" w:cs="Times New Roman"/>
          <w:b/>
          <w:bCs/>
          <w:szCs w:val="21"/>
        </w:rPr>
        <w:t>附件六、</w:t>
      </w:r>
      <w:r>
        <w:rPr>
          <w:rFonts w:ascii="Times New Roman" w:hAnsi="Times New Roman" w:cs="Times New Roman"/>
          <w:b/>
          <w:szCs w:val="21"/>
          <w:lang w:val="zh-CN"/>
        </w:rPr>
        <w:t>技术说明与服务方案</w:t>
      </w:r>
    </w:p>
    <w:p w14:paraId="56919C83">
      <w:pPr>
        <w:widowControl/>
        <w:shd w:val="clear" w:color="auto" w:fill="FFFFFF"/>
        <w:spacing w:line="360" w:lineRule="auto"/>
        <w:jc w:val="left"/>
        <w:rPr>
          <w:rFonts w:ascii="Times New Roman" w:hAnsi="Times New Roman" w:cs="Times New Roman"/>
          <w:b/>
          <w:szCs w:val="21"/>
          <w:lang w:val="zh-CN"/>
        </w:rPr>
      </w:pPr>
    </w:p>
    <w:p w14:paraId="1FFDEFA4">
      <w:pPr>
        <w:pStyle w:val="306"/>
        <w:spacing w:before="0" w:after="0"/>
        <w:ind w:firstLine="420"/>
        <w:rPr>
          <w:rFonts w:ascii="Times New Roman" w:hAnsi="Times New Roman" w:eastAsia="宋体" w:cs="Times New Roman"/>
          <w:b/>
          <w:bCs/>
          <w:sz w:val="21"/>
          <w:szCs w:val="21"/>
          <w:lang w:val="en-US" w:eastAsia="zh-CN"/>
        </w:rPr>
      </w:pPr>
      <w:r>
        <w:rPr>
          <w:rFonts w:ascii="Times New Roman" w:hAnsi="Times New Roman" w:cs="Times New Roman"/>
          <w:b w:val="0"/>
          <w:bCs w:val="0"/>
          <w:sz w:val="21"/>
          <w:szCs w:val="21"/>
        </w:rPr>
        <w:t>技术方案及服务承诺应根据采购人对项目的要求、评标标准的要求及项目本身的特点编写，</w:t>
      </w:r>
      <w:r>
        <w:rPr>
          <w:rFonts w:hint="eastAsia" w:ascii="Times New Roman" w:hAnsi="Times New Roman" w:cs="Times New Roman"/>
          <w:b/>
          <w:bCs/>
          <w:sz w:val="21"/>
          <w:szCs w:val="21"/>
          <w:lang w:val="en-US" w:eastAsia="zh-CN"/>
        </w:rPr>
        <w:t>其中就本项目建设标准、硬件选型，数量，技术参数、功能，必须列表说明，以充分证明其方案能够符合本项目。</w:t>
      </w:r>
    </w:p>
    <w:p w14:paraId="5DECDF10">
      <w:pPr>
        <w:pStyle w:val="306"/>
        <w:spacing w:before="0" w:after="0"/>
        <w:ind w:firstLine="420"/>
        <w:rPr>
          <w:rFonts w:ascii="Times New Roman" w:hAnsi="Times New Roman" w:cs="Times New Roman"/>
          <w:sz w:val="21"/>
          <w:szCs w:val="21"/>
        </w:rPr>
      </w:pPr>
    </w:p>
    <w:p w14:paraId="0BA3D278">
      <w:pPr>
        <w:widowControl/>
        <w:shd w:val="clear" w:color="auto" w:fill="FFFFFF"/>
        <w:spacing w:line="360" w:lineRule="auto"/>
        <w:jc w:val="left"/>
        <w:rPr>
          <w:rFonts w:ascii="Times New Roman" w:hAnsi="Times New Roman" w:cs="Times New Roman"/>
          <w:szCs w:val="21"/>
        </w:rPr>
      </w:pPr>
    </w:p>
    <w:p w14:paraId="45ECB9E3">
      <w:pPr>
        <w:widowControl/>
        <w:shd w:val="clear" w:color="auto" w:fill="FFFFFF"/>
        <w:spacing w:line="360" w:lineRule="auto"/>
        <w:jc w:val="left"/>
        <w:rPr>
          <w:rFonts w:ascii="Times New Roman" w:hAnsi="Times New Roman" w:cs="Times New Roman"/>
          <w:szCs w:val="21"/>
        </w:rPr>
      </w:pPr>
    </w:p>
    <w:p w14:paraId="1E964223">
      <w:pPr>
        <w:widowControl/>
        <w:shd w:val="clear" w:color="auto" w:fill="FFFFFF"/>
        <w:spacing w:line="360" w:lineRule="auto"/>
        <w:jc w:val="left"/>
        <w:rPr>
          <w:rFonts w:ascii="Times New Roman" w:hAnsi="Times New Roman" w:cs="Times New Roman"/>
          <w:b/>
          <w:bCs/>
          <w:szCs w:val="21"/>
        </w:rPr>
      </w:pPr>
      <w:r>
        <w:rPr>
          <w:rFonts w:ascii="Times New Roman" w:hAnsi="Times New Roman" w:cs="Times New Roman"/>
          <w:b/>
          <w:bCs/>
          <w:szCs w:val="21"/>
        </w:rPr>
        <w:t> </w:t>
      </w:r>
    </w:p>
    <w:p w14:paraId="614C9DA5">
      <w:pPr>
        <w:widowControl/>
        <w:spacing w:line="460" w:lineRule="atLeast"/>
        <w:rPr>
          <w:rFonts w:ascii="Times New Roman" w:hAnsi="Times New Roman" w:cs="Times New Roman"/>
          <w:b/>
          <w:bCs/>
          <w:sz w:val="24"/>
        </w:rPr>
      </w:pPr>
      <w:r>
        <w:rPr>
          <w:rFonts w:ascii="Times New Roman" w:hAnsi="Times New Roman" w:cs="Times New Roman"/>
        </w:rPr>
        <w:br w:type="page" w:clear="all"/>
      </w:r>
      <w:r>
        <w:rPr>
          <w:rFonts w:ascii="Times New Roman" w:hAnsi="Times New Roman" w:cs="Times New Roman"/>
          <w:b/>
          <w:bCs/>
          <w:sz w:val="24"/>
        </w:rPr>
        <w:t>附件七、拟参与本项目服务人员一览表</w:t>
      </w:r>
    </w:p>
    <w:p w14:paraId="7151E07A">
      <w:pPr>
        <w:widowControl/>
        <w:spacing w:line="460" w:lineRule="atLeast"/>
        <w:rPr>
          <w:rFonts w:ascii="Times New Roman" w:hAnsi="Times New Roman" w:cs="Times New Roman"/>
          <w:b/>
          <w:bCs/>
          <w:sz w:val="24"/>
        </w:rPr>
      </w:pPr>
    </w:p>
    <w:p w14:paraId="339EAA9A">
      <w:pPr>
        <w:widowControl/>
        <w:jc w:val="center"/>
        <w:rPr>
          <w:rFonts w:ascii="Times New Roman" w:hAnsi="Times New Roman" w:cs="Times New Roman"/>
          <w:b/>
          <w:bCs/>
          <w:sz w:val="24"/>
        </w:rPr>
      </w:pPr>
      <w:r>
        <w:rPr>
          <w:rFonts w:ascii="Times New Roman" w:hAnsi="Times New Roman" w:cs="Times New Roman"/>
          <w:b/>
          <w:bCs/>
          <w:sz w:val="24"/>
        </w:rPr>
        <w:t>拟参与本项目服务人员一览表</w:t>
      </w:r>
    </w:p>
    <w:p w14:paraId="63E5BAEE">
      <w:pPr>
        <w:widowControl/>
        <w:jc w:val="center"/>
        <w:rPr>
          <w:rFonts w:ascii="Times New Roman" w:hAnsi="Times New Roman" w:cs="Times New Roman"/>
          <w:b/>
          <w:bCs/>
          <w:sz w:val="24"/>
        </w:rPr>
      </w:pPr>
    </w:p>
    <w:p w14:paraId="70DF6E0B">
      <w:pPr>
        <w:widowControl/>
        <w:rPr>
          <w:rFonts w:ascii="Times New Roman" w:hAnsi="Times New Roman" w:cs="Times New Roman"/>
          <w:szCs w:val="21"/>
        </w:rPr>
      </w:pPr>
      <w:r>
        <w:rPr>
          <w:rFonts w:ascii="Times New Roman" w:hAnsi="Times New Roman" w:cs="Times New Roman"/>
          <w:szCs w:val="21"/>
        </w:rPr>
        <w:t>项目名称：                                 项目编号：</w:t>
      </w:r>
    </w:p>
    <w:tbl>
      <w:tblPr>
        <w:tblStyle w:val="51"/>
        <w:tblW w:w="94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425C0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ign w:val="center"/>
          </w:tcPr>
          <w:p w14:paraId="5917B963">
            <w:pPr>
              <w:widowControl/>
              <w:jc w:val="center"/>
              <w:rPr>
                <w:rFonts w:ascii="Times New Roman" w:hAnsi="Times New Roman" w:cs="Times New Roman"/>
                <w:b/>
                <w:bCs/>
                <w:szCs w:val="21"/>
              </w:rPr>
            </w:pPr>
            <w:r>
              <w:rPr>
                <w:rFonts w:ascii="Times New Roman" w:hAnsi="Times New Roman" w:cs="Times New Roman"/>
                <w:b/>
                <w:bCs/>
                <w:szCs w:val="21"/>
              </w:rPr>
              <w:t>序号</w:t>
            </w:r>
          </w:p>
        </w:tc>
        <w:tc>
          <w:tcPr>
            <w:tcW w:w="896" w:type="dxa"/>
            <w:tcBorders>
              <w:top w:val="single" w:color="000000" w:sz="4" w:space="0"/>
              <w:left w:val="nil"/>
              <w:bottom w:val="single" w:color="000000" w:sz="4" w:space="0"/>
              <w:right w:val="single" w:color="000000" w:sz="4" w:space="0"/>
            </w:tcBorders>
            <w:noWrap/>
            <w:vAlign w:val="center"/>
          </w:tcPr>
          <w:p w14:paraId="08397F52">
            <w:pPr>
              <w:widowControl/>
              <w:jc w:val="center"/>
              <w:rPr>
                <w:rFonts w:ascii="Times New Roman" w:hAnsi="Times New Roman" w:cs="Times New Roman"/>
                <w:b/>
                <w:bCs/>
                <w:szCs w:val="21"/>
              </w:rPr>
            </w:pPr>
            <w:r>
              <w:rPr>
                <w:rFonts w:ascii="Times New Roman" w:hAnsi="Times New Roman" w:cs="Times New Roman"/>
                <w:b/>
                <w:bCs/>
                <w:szCs w:val="21"/>
              </w:rPr>
              <w:t>姓名</w:t>
            </w:r>
          </w:p>
        </w:tc>
        <w:tc>
          <w:tcPr>
            <w:tcW w:w="663" w:type="dxa"/>
            <w:tcBorders>
              <w:top w:val="single" w:color="000000" w:sz="4" w:space="0"/>
              <w:left w:val="nil"/>
              <w:bottom w:val="single" w:color="000000" w:sz="4" w:space="0"/>
              <w:right w:val="single" w:color="000000" w:sz="4" w:space="0"/>
            </w:tcBorders>
            <w:noWrap/>
            <w:vAlign w:val="center"/>
          </w:tcPr>
          <w:p w14:paraId="7D4E6564">
            <w:pPr>
              <w:widowControl/>
              <w:jc w:val="center"/>
              <w:rPr>
                <w:rFonts w:ascii="Times New Roman" w:hAnsi="Times New Roman" w:cs="Times New Roman"/>
                <w:b/>
                <w:bCs/>
                <w:szCs w:val="21"/>
              </w:rPr>
            </w:pPr>
            <w:r>
              <w:rPr>
                <w:rFonts w:ascii="Times New Roman" w:hAnsi="Times New Roman" w:cs="Times New Roman"/>
                <w:b/>
                <w:bCs/>
                <w:szCs w:val="21"/>
              </w:rPr>
              <w:t>性别</w:t>
            </w:r>
          </w:p>
        </w:tc>
        <w:tc>
          <w:tcPr>
            <w:tcW w:w="709" w:type="dxa"/>
            <w:tcBorders>
              <w:top w:val="single" w:color="000000" w:sz="4" w:space="0"/>
              <w:left w:val="nil"/>
              <w:bottom w:val="single" w:color="000000" w:sz="4" w:space="0"/>
              <w:right w:val="single" w:color="000000" w:sz="4" w:space="0"/>
            </w:tcBorders>
            <w:noWrap/>
            <w:vAlign w:val="center"/>
          </w:tcPr>
          <w:p w14:paraId="62D1CE0F">
            <w:pPr>
              <w:widowControl/>
              <w:jc w:val="center"/>
              <w:rPr>
                <w:rFonts w:ascii="Times New Roman" w:hAnsi="Times New Roman" w:cs="Times New Roman"/>
                <w:b/>
                <w:bCs/>
                <w:szCs w:val="21"/>
              </w:rPr>
            </w:pPr>
            <w:r>
              <w:rPr>
                <w:rFonts w:ascii="Times New Roman" w:hAnsi="Times New Roman" w:cs="Times New Roman"/>
                <w:b/>
                <w:bCs/>
                <w:szCs w:val="21"/>
              </w:rPr>
              <w:t>年龄</w:t>
            </w:r>
          </w:p>
        </w:tc>
        <w:tc>
          <w:tcPr>
            <w:tcW w:w="1134" w:type="dxa"/>
            <w:tcBorders>
              <w:top w:val="single" w:color="000000" w:sz="4" w:space="0"/>
              <w:left w:val="nil"/>
              <w:bottom w:val="single" w:color="000000" w:sz="4" w:space="0"/>
              <w:right w:val="single" w:color="000000" w:sz="4" w:space="0"/>
            </w:tcBorders>
            <w:noWrap/>
            <w:vAlign w:val="center"/>
          </w:tcPr>
          <w:p w14:paraId="43CC569B">
            <w:pPr>
              <w:widowControl/>
              <w:jc w:val="center"/>
              <w:rPr>
                <w:rFonts w:ascii="Times New Roman" w:hAnsi="Times New Roman" w:cs="Times New Roman"/>
                <w:b/>
                <w:bCs/>
                <w:szCs w:val="21"/>
              </w:rPr>
            </w:pPr>
            <w:r>
              <w:rPr>
                <w:rFonts w:ascii="Times New Roman" w:hAnsi="Times New Roman" w:cs="Times New Roman"/>
                <w:b/>
                <w:bCs/>
                <w:szCs w:val="21"/>
              </w:rPr>
              <w:t>专业</w:t>
            </w:r>
          </w:p>
        </w:tc>
        <w:tc>
          <w:tcPr>
            <w:tcW w:w="931" w:type="dxa"/>
            <w:tcBorders>
              <w:top w:val="single" w:color="000000" w:sz="4" w:space="0"/>
              <w:left w:val="nil"/>
              <w:bottom w:val="single" w:color="000000" w:sz="4" w:space="0"/>
              <w:right w:val="single" w:color="000000" w:sz="4" w:space="0"/>
            </w:tcBorders>
            <w:noWrap/>
            <w:vAlign w:val="center"/>
          </w:tcPr>
          <w:p w14:paraId="47A8625F">
            <w:pPr>
              <w:widowControl/>
              <w:jc w:val="center"/>
              <w:rPr>
                <w:rFonts w:ascii="Times New Roman" w:hAnsi="Times New Roman" w:cs="Times New Roman"/>
                <w:b/>
                <w:bCs/>
                <w:szCs w:val="21"/>
              </w:rPr>
            </w:pPr>
            <w:r>
              <w:rPr>
                <w:rFonts w:ascii="Times New Roman" w:hAnsi="Times New Roman" w:cs="Times New Roman"/>
                <w:b/>
                <w:bCs/>
                <w:szCs w:val="21"/>
              </w:rPr>
              <w:t>学历</w:t>
            </w:r>
          </w:p>
        </w:tc>
        <w:tc>
          <w:tcPr>
            <w:tcW w:w="1020" w:type="dxa"/>
            <w:tcBorders>
              <w:top w:val="single" w:color="000000" w:sz="4" w:space="0"/>
              <w:left w:val="nil"/>
              <w:bottom w:val="single" w:color="000000" w:sz="4" w:space="0"/>
              <w:right w:val="single" w:color="000000" w:sz="4" w:space="0"/>
            </w:tcBorders>
            <w:noWrap/>
            <w:vAlign w:val="center"/>
          </w:tcPr>
          <w:p w14:paraId="17B42E40">
            <w:pPr>
              <w:widowControl/>
              <w:jc w:val="center"/>
              <w:rPr>
                <w:rFonts w:ascii="Times New Roman" w:hAnsi="Times New Roman" w:cs="Times New Roman"/>
                <w:b/>
                <w:bCs/>
                <w:szCs w:val="21"/>
              </w:rPr>
            </w:pPr>
            <w:r>
              <w:rPr>
                <w:rFonts w:ascii="Times New Roman" w:hAnsi="Times New Roman" w:cs="Times New Roman"/>
                <w:b/>
                <w:bCs/>
                <w:szCs w:val="21"/>
              </w:rPr>
              <w:t>执业</w:t>
            </w:r>
          </w:p>
          <w:p w14:paraId="5BE49773">
            <w:pPr>
              <w:widowControl/>
              <w:jc w:val="center"/>
              <w:rPr>
                <w:rFonts w:ascii="Times New Roman" w:hAnsi="Times New Roman" w:cs="Times New Roman"/>
                <w:b/>
                <w:bCs/>
                <w:szCs w:val="21"/>
              </w:rPr>
            </w:pPr>
            <w:r>
              <w:rPr>
                <w:rFonts w:ascii="Times New Roman" w:hAnsi="Times New Roman" w:cs="Times New Roman"/>
                <w:b/>
                <w:bCs/>
                <w:szCs w:val="21"/>
              </w:rPr>
              <w:t>资格</w:t>
            </w:r>
          </w:p>
        </w:tc>
        <w:tc>
          <w:tcPr>
            <w:tcW w:w="994" w:type="dxa"/>
            <w:tcBorders>
              <w:top w:val="single" w:color="000000" w:sz="4" w:space="0"/>
              <w:left w:val="nil"/>
              <w:bottom w:val="single" w:color="000000" w:sz="4" w:space="0"/>
              <w:right w:val="single" w:color="000000" w:sz="4" w:space="0"/>
            </w:tcBorders>
            <w:noWrap/>
            <w:vAlign w:val="center"/>
          </w:tcPr>
          <w:p w14:paraId="59D8B4CA">
            <w:pPr>
              <w:widowControl/>
              <w:jc w:val="center"/>
              <w:rPr>
                <w:rFonts w:ascii="Times New Roman" w:hAnsi="Times New Roman" w:cs="Times New Roman"/>
                <w:b/>
                <w:bCs/>
                <w:szCs w:val="21"/>
              </w:rPr>
            </w:pPr>
            <w:r>
              <w:rPr>
                <w:rFonts w:ascii="Times New Roman" w:hAnsi="Times New Roman" w:cs="Times New Roman"/>
                <w:b/>
                <w:bCs/>
                <w:szCs w:val="21"/>
              </w:rPr>
              <w:t>证书号</w:t>
            </w:r>
          </w:p>
        </w:tc>
        <w:tc>
          <w:tcPr>
            <w:tcW w:w="882" w:type="dxa"/>
            <w:tcBorders>
              <w:top w:val="single" w:color="000000" w:sz="4" w:space="0"/>
              <w:left w:val="nil"/>
              <w:bottom w:val="single" w:color="000000" w:sz="4" w:space="0"/>
              <w:right w:val="single" w:color="000000" w:sz="4" w:space="0"/>
            </w:tcBorders>
            <w:noWrap/>
            <w:vAlign w:val="center"/>
          </w:tcPr>
          <w:p w14:paraId="41DA20B9">
            <w:pPr>
              <w:widowControl/>
              <w:jc w:val="center"/>
              <w:rPr>
                <w:rFonts w:ascii="Times New Roman" w:hAnsi="Times New Roman" w:cs="Times New Roman"/>
                <w:b/>
                <w:bCs/>
                <w:szCs w:val="21"/>
              </w:rPr>
            </w:pPr>
            <w:r>
              <w:rPr>
                <w:rFonts w:ascii="Times New Roman" w:hAnsi="Times New Roman" w:cs="Times New Roman"/>
                <w:b/>
                <w:bCs/>
                <w:szCs w:val="21"/>
              </w:rPr>
              <w:t>技术职称</w:t>
            </w:r>
          </w:p>
        </w:tc>
        <w:tc>
          <w:tcPr>
            <w:tcW w:w="850" w:type="dxa"/>
            <w:tcBorders>
              <w:top w:val="single" w:color="000000" w:sz="4" w:space="0"/>
              <w:left w:val="nil"/>
              <w:bottom w:val="single" w:color="000000" w:sz="4" w:space="0"/>
              <w:right w:val="single" w:color="000000" w:sz="4" w:space="0"/>
            </w:tcBorders>
            <w:noWrap/>
            <w:vAlign w:val="center"/>
          </w:tcPr>
          <w:p w14:paraId="72EE344C">
            <w:pPr>
              <w:widowControl/>
              <w:jc w:val="center"/>
              <w:rPr>
                <w:rFonts w:ascii="Times New Roman" w:hAnsi="Times New Roman" w:cs="Times New Roman"/>
                <w:b/>
                <w:bCs/>
                <w:szCs w:val="21"/>
              </w:rPr>
            </w:pPr>
            <w:r>
              <w:rPr>
                <w:rFonts w:ascii="Times New Roman" w:hAnsi="Times New Roman" w:cs="Times New Roman"/>
                <w:b/>
                <w:bCs/>
                <w:szCs w:val="21"/>
              </w:rPr>
              <w:t>相关工作年限</w:t>
            </w:r>
          </w:p>
        </w:tc>
        <w:tc>
          <w:tcPr>
            <w:tcW w:w="851" w:type="dxa"/>
            <w:tcBorders>
              <w:top w:val="single" w:color="000000" w:sz="4" w:space="0"/>
              <w:left w:val="nil"/>
              <w:bottom w:val="single" w:color="000000" w:sz="4" w:space="0"/>
              <w:right w:val="single" w:color="000000" w:sz="4" w:space="0"/>
            </w:tcBorders>
            <w:noWrap/>
            <w:vAlign w:val="center"/>
          </w:tcPr>
          <w:p w14:paraId="5E73E809">
            <w:pPr>
              <w:widowControl/>
              <w:jc w:val="center"/>
              <w:rPr>
                <w:rFonts w:ascii="Times New Roman" w:hAnsi="Times New Roman" w:cs="Times New Roman"/>
                <w:b/>
                <w:bCs/>
                <w:szCs w:val="21"/>
              </w:rPr>
            </w:pPr>
            <w:r>
              <w:rPr>
                <w:rFonts w:ascii="Times New Roman" w:hAnsi="Times New Roman" w:cs="Times New Roman"/>
                <w:b/>
                <w:bCs/>
                <w:szCs w:val="21"/>
              </w:rPr>
              <w:t>备注</w:t>
            </w:r>
          </w:p>
        </w:tc>
      </w:tr>
      <w:tr w14:paraId="3FEE1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31BBDC38">
            <w:pPr>
              <w:widowControl/>
              <w:rPr>
                <w:rFonts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noWrap/>
          </w:tcPr>
          <w:p w14:paraId="4A55823C">
            <w:pPr>
              <w:widowControl/>
              <w:rPr>
                <w:rFonts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noWrap/>
          </w:tcPr>
          <w:p w14:paraId="22AC573E">
            <w:pPr>
              <w:widowControl/>
              <w:rPr>
                <w:rFonts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noWrap/>
          </w:tcPr>
          <w:p w14:paraId="4EC818F7">
            <w:pPr>
              <w:widowControl/>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5FD61426">
            <w:pPr>
              <w:widowControl/>
              <w:rPr>
                <w:rFonts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noWrap/>
          </w:tcPr>
          <w:p w14:paraId="34C26DEE">
            <w:pPr>
              <w:widowControl/>
              <w:rPr>
                <w:rFonts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noWrap/>
          </w:tcPr>
          <w:p w14:paraId="62797D9C">
            <w:pPr>
              <w:widowControl/>
              <w:rPr>
                <w:rFonts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noWrap/>
          </w:tcPr>
          <w:p w14:paraId="32D52226">
            <w:pPr>
              <w:widowControl/>
              <w:rPr>
                <w:rFonts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noWrap/>
          </w:tcPr>
          <w:p w14:paraId="6092AA46">
            <w:pPr>
              <w:widowControl/>
              <w:rPr>
                <w:rFonts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noWrap/>
          </w:tcPr>
          <w:p w14:paraId="4F3D5B7A">
            <w:pPr>
              <w:widowControl/>
              <w:rPr>
                <w:rFonts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noWrap/>
          </w:tcPr>
          <w:p w14:paraId="10CCC6BA">
            <w:pPr>
              <w:widowControl/>
              <w:rPr>
                <w:rFonts w:ascii="Times New Roman" w:hAnsi="Times New Roman" w:cs="Times New Roman"/>
                <w:szCs w:val="21"/>
              </w:rPr>
            </w:pPr>
          </w:p>
        </w:tc>
      </w:tr>
      <w:tr w14:paraId="1F729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319E89CF">
            <w:pPr>
              <w:widowControl/>
              <w:rPr>
                <w:rFonts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noWrap/>
          </w:tcPr>
          <w:p w14:paraId="5EEEB078">
            <w:pPr>
              <w:widowControl/>
              <w:rPr>
                <w:rFonts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noWrap/>
          </w:tcPr>
          <w:p w14:paraId="2AD75FBC">
            <w:pPr>
              <w:widowControl/>
              <w:rPr>
                <w:rFonts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noWrap/>
          </w:tcPr>
          <w:p w14:paraId="2BFBB01A">
            <w:pPr>
              <w:widowControl/>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6EBAF199">
            <w:pPr>
              <w:widowControl/>
              <w:rPr>
                <w:rFonts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noWrap/>
          </w:tcPr>
          <w:p w14:paraId="5DB7DF4A">
            <w:pPr>
              <w:widowControl/>
              <w:rPr>
                <w:rFonts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noWrap/>
          </w:tcPr>
          <w:p w14:paraId="0679010B">
            <w:pPr>
              <w:widowControl/>
              <w:rPr>
                <w:rFonts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noWrap/>
          </w:tcPr>
          <w:p w14:paraId="796EA3A4">
            <w:pPr>
              <w:widowControl/>
              <w:rPr>
                <w:rFonts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noWrap/>
          </w:tcPr>
          <w:p w14:paraId="24FA6E48">
            <w:pPr>
              <w:widowControl/>
              <w:rPr>
                <w:rFonts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noWrap/>
          </w:tcPr>
          <w:p w14:paraId="445183F8">
            <w:pPr>
              <w:widowControl/>
              <w:rPr>
                <w:rFonts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noWrap/>
          </w:tcPr>
          <w:p w14:paraId="7BC7B475">
            <w:pPr>
              <w:widowControl/>
              <w:rPr>
                <w:rFonts w:ascii="Times New Roman" w:hAnsi="Times New Roman" w:cs="Times New Roman"/>
                <w:szCs w:val="21"/>
              </w:rPr>
            </w:pPr>
          </w:p>
        </w:tc>
      </w:tr>
      <w:tr w14:paraId="79281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0B970496">
            <w:pPr>
              <w:widowControl/>
              <w:rPr>
                <w:rFonts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noWrap/>
          </w:tcPr>
          <w:p w14:paraId="06BE21F8">
            <w:pPr>
              <w:widowControl/>
              <w:rPr>
                <w:rFonts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noWrap/>
          </w:tcPr>
          <w:p w14:paraId="5B450C63">
            <w:pPr>
              <w:widowControl/>
              <w:rPr>
                <w:rFonts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noWrap/>
          </w:tcPr>
          <w:p w14:paraId="49889AFA">
            <w:pPr>
              <w:widowControl/>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18987B36">
            <w:pPr>
              <w:widowControl/>
              <w:rPr>
                <w:rFonts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noWrap/>
          </w:tcPr>
          <w:p w14:paraId="5260EF2D">
            <w:pPr>
              <w:widowControl/>
              <w:rPr>
                <w:rFonts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noWrap/>
          </w:tcPr>
          <w:p w14:paraId="3E9AF118">
            <w:pPr>
              <w:widowControl/>
              <w:rPr>
                <w:rFonts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noWrap/>
          </w:tcPr>
          <w:p w14:paraId="53753C74">
            <w:pPr>
              <w:widowControl/>
              <w:rPr>
                <w:rFonts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noWrap/>
          </w:tcPr>
          <w:p w14:paraId="6C31C76A">
            <w:pPr>
              <w:widowControl/>
              <w:rPr>
                <w:rFonts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noWrap/>
          </w:tcPr>
          <w:p w14:paraId="1D0E66F1">
            <w:pPr>
              <w:widowControl/>
              <w:rPr>
                <w:rFonts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noWrap/>
          </w:tcPr>
          <w:p w14:paraId="482C6BA2">
            <w:pPr>
              <w:widowControl/>
              <w:rPr>
                <w:rFonts w:ascii="Times New Roman" w:hAnsi="Times New Roman" w:cs="Times New Roman"/>
                <w:szCs w:val="21"/>
              </w:rPr>
            </w:pPr>
          </w:p>
        </w:tc>
      </w:tr>
      <w:tr w14:paraId="22DE2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02638324">
            <w:pPr>
              <w:widowControl/>
              <w:rPr>
                <w:rFonts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noWrap/>
          </w:tcPr>
          <w:p w14:paraId="40A1502E">
            <w:pPr>
              <w:widowControl/>
              <w:rPr>
                <w:rFonts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noWrap/>
          </w:tcPr>
          <w:p w14:paraId="1DC022C5">
            <w:pPr>
              <w:widowControl/>
              <w:rPr>
                <w:rFonts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noWrap/>
          </w:tcPr>
          <w:p w14:paraId="39B10FB1">
            <w:pPr>
              <w:widowControl/>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4CCAA370">
            <w:pPr>
              <w:widowControl/>
              <w:rPr>
                <w:rFonts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noWrap/>
          </w:tcPr>
          <w:p w14:paraId="7C38C09C">
            <w:pPr>
              <w:widowControl/>
              <w:rPr>
                <w:rFonts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noWrap/>
          </w:tcPr>
          <w:p w14:paraId="436096A8">
            <w:pPr>
              <w:widowControl/>
              <w:rPr>
                <w:rFonts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noWrap/>
          </w:tcPr>
          <w:p w14:paraId="21CC3FDC">
            <w:pPr>
              <w:widowControl/>
              <w:rPr>
                <w:rFonts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noWrap/>
          </w:tcPr>
          <w:p w14:paraId="229B054F">
            <w:pPr>
              <w:widowControl/>
              <w:rPr>
                <w:rFonts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noWrap/>
          </w:tcPr>
          <w:p w14:paraId="41ABC000">
            <w:pPr>
              <w:widowControl/>
              <w:rPr>
                <w:rFonts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noWrap/>
          </w:tcPr>
          <w:p w14:paraId="764DCB06">
            <w:pPr>
              <w:widowControl/>
              <w:rPr>
                <w:rFonts w:ascii="Times New Roman" w:hAnsi="Times New Roman" w:cs="Times New Roman"/>
                <w:szCs w:val="21"/>
              </w:rPr>
            </w:pPr>
          </w:p>
        </w:tc>
      </w:tr>
      <w:tr w14:paraId="0BA93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4989FE46">
            <w:pPr>
              <w:widowControl/>
              <w:rPr>
                <w:rFonts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noWrap/>
          </w:tcPr>
          <w:p w14:paraId="0C1B050B">
            <w:pPr>
              <w:widowControl/>
              <w:rPr>
                <w:rFonts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noWrap/>
          </w:tcPr>
          <w:p w14:paraId="2195C7BD">
            <w:pPr>
              <w:widowControl/>
              <w:rPr>
                <w:rFonts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noWrap/>
          </w:tcPr>
          <w:p w14:paraId="189E9DCE">
            <w:pPr>
              <w:widowControl/>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60D89EA6">
            <w:pPr>
              <w:widowControl/>
              <w:rPr>
                <w:rFonts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noWrap/>
          </w:tcPr>
          <w:p w14:paraId="630DF602">
            <w:pPr>
              <w:widowControl/>
              <w:rPr>
                <w:rFonts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noWrap/>
          </w:tcPr>
          <w:p w14:paraId="09709A09">
            <w:pPr>
              <w:widowControl/>
              <w:rPr>
                <w:rFonts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noWrap/>
          </w:tcPr>
          <w:p w14:paraId="20C8D108">
            <w:pPr>
              <w:widowControl/>
              <w:rPr>
                <w:rFonts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noWrap/>
          </w:tcPr>
          <w:p w14:paraId="0F5C9518">
            <w:pPr>
              <w:widowControl/>
              <w:rPr>
                <w:rFonts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noWrap/>
          </w:tcPr>
          <w:p w14:paraId="2C13BA6E">
            <w:pPr>
              <w:widowControl/>
              <w:rPr>
                <w:rFonts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noWrap/>
          </w:tcPr>
          <w:p w14:paraId="34AB88BF">
            <w:pPr>
              <w:widowControl/>
              <w:rPr>
                <w:rFonts w:ascii="Times New Roman" w:hAnsi="Times New Roman" w:cs="Times New Roman"/>
                <w:szCs w:val="21"/>
              </w:rPr>
            </w:pPr>
          </w:p>
        </w:tc>
      </w:tr>
      <w:tr w14:paraId="0E6C6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256CF0F8">
            <w:pPr>
              <w:widowControl/>
              <w:rPr>
                <w:rFonts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noWrap/>
          </w:tcPr>
          <w:p w14:paraId="11E2DBB3">
            <w:pPr>
              <w:widowControl/>
              <w:rPr>
                <w:rFonts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noWrap/>
          </w:tcPr>
          <w:p w14:paraId="74D55D48">
            <w:pPr>
              <w:widowControl/>
              <w:rPr>
                <w:rFonts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noWrap/>
          </w:tcPr>
          <w:p w14:paraId="2534E745">
            <w:pPr>
              <w:widowControl/>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4380A925">
            <w:pPr>
              <w:widowControl/>
              <w:rPr>
                <w:rFonts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noWrap/>
          </w:tcPr>
          <w:p w14:paraId="0878015E">
            <w:pPr>
              <w:widowControl/>
              <w:rPr>
                <w:rFonts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noWrap/>
          </w:tcPr>
          <w:p w14:paraId="3BD58C51">
            <w:pPr>
              <w:widowControl/>
              <w:rPr>
                <w:rFonts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noWrap/>
          </w:tcPr>
          <w:p w14:paraId="628413FB">
            <w:pPr>
              <w:widowControl/>
              <w:rPr>
                <w:rFonts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noWrap/>
          </w:tcPr>
          <w:p w14:paraId="69120903">
            <w:pPr>
              <w:widowControl/>
              <w:rPr>
                <w:rFonts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noWrap/>
          </w:tcPr>
          <w:p w14:paraId="2E258148">
            <w:pPr>
              <w:widowControl/>
              <w:rPr>
                <w:rFonts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noWrap/>
          </w:tcPr>
          <w:p w14:paraId="237528D9">
            <w:pPr>
              <w:widowControl/>
              <w:rPr>
                <w:rFonts w:ascii="Times New Roman" w:hAnsi="Times New Roman" w:cs="Times New Roman"/>
                <w:szCs w:val="21"/>
              </w:rPr>
            </w:pPr>
          </w:p>
        </w:tc>
      </w:tr>
      <w:tr w14:paraId="4DC81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75B84C0C">
            <w:pPr>
              <w:widowControl/>
              <w:rPr>
                <w:rFonts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noWrap/>
          </w:tcPr>
          <w:p w14:paraId="788D74AF">
            <w:pPr>
              <w:widowControl/>
              <w:rPr>
                <w:rFonts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noWrap/>
          </w:tcPr>
          <w:p w14:paraId="30E0D698">
            <w:pPr>
              <w:widowControl/>
              <w:rPr>
                <w:rFonts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noWrap/>
          </w:tcPr>
          <w:p w14:paraId="6B2A253F">
            <w:pPr>
              <w:widowControl/>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75E21A21">
            <w:pPr>
              <w:widowControl/>
              <w:rPr>
                <w:rFonts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noWrap/>
          </w:tcPr>
          <w:p w14:paraId="4DB5DBBA">
            <w:pPr>
              <w:widowControl/>
              <w:rPr>
                <w:rFonts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noWrap/>
          </w:tcPr>
          <w:p w14:paraId="11D17453">
            <w:pPr>
              <w:widowControl/>
              <w:rPr>
                <w:rFonts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noWrap/>
          </w:tcPr>
          <w:p w14:paraId="56182834">
            <w:pPr>
              <w:widowControl/>
              <w:rPr>
                <w:rFonts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noWrap/>
          </w:tcPr>
          <w:p w14:paraId="3FB128D5">
            <w:pPr>
              <w:widowControl/>
              <w:rPr>
                <w:rFonts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noWrap/>
          </w:tcPr>
          <w:p w14:paraId="43E15503">
            <w:pPr>
              <w:widowControl/>
              <w:rPr>
                <w:rFonts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noWrap/>
          </w:tcPr>
          <w:p w14:paraId="3867B8CC">
            <w:pPr>
              <w:widowControl/>
              <w:rPr>
                <w:rFonts w:ascii="Times New Roman" w:hAnsi="Times New Roman" w:cs="Times New Roman"/>
                <w:szCs w:val="21"/>
              </w:rPr>
            </w:pPr>
          </w:p>
        </w:tc>
      </w:tr>
      <w:tr w14:paraId="0546A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tcPr>
          <w:p w14:paraId="43F0055B">
            <w:pPr>
              <w:widowControl/>
              <w:rPr>
                <w:rFonts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noWrap/>
          </w:tcPr>
          <w:p w14:paraId="75B3600A">
            <w:pPr>
              <w:widowControl/>
              <w:rPr>
                <w:rFonts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noWrap/>
          </w:tcPr>
          <w:p w14:paraId="2CFA0DF6">
            <w:pPr>
              <w:widowControl/>
              <w:rPr>
                <w:rFonts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noWrap/>
          </w:tcPr>
          <w:p w14:paraId="5F903AE3">
            <w:pPr>
              <w:widowControl/>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700EECB5">
            <w:pPr>
              <w:widowControl/>
              <w:rPr>
                <w:rFonts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noWrap/>
          </w:tcPr>
          <w:p w14:paraId="5AE3E515">
            <w:pPr>
              <w:widowControl/>
              <w:rPr>
                <w:rFonts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noWrap/>
          </w:tcPr>
          <w:p w14:paraId="1A853D04">
            <w:pPr>
              <w:widowControl/>
              <w:rPr>
                <w:rFonts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noWrap/>
          </w:tcPr>
          <w:p w14:paraId="29621A00">
            <w:pPr>
              <w:widowControl/>
              <w:rPr>
                <w:rFonts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noWrap/>
          </w:tcPr>
          <w:p w14:paraId="7284266C">
            <w:pPr>
              <w:widowControl/>
              <w:rPr>
                <w:rFonts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noWrap/>
          </w:tcPr>
          <w:p w14:paraId="0B3C9252">
            <w:pPr>
              <w:widowControl/>
              <w:rPr>
                <w:rFonts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noWrap/>
          </w:tcPr>
          <w:p w14:paraId="71C34EF9">
            <w:pPr>
              <w:widowControl/>
              <w:rPr>
                <w:rFonts w:ascii="Times New Roman" w:hAnsi="Times New Roman" w:cs="Times New Roman"/>
                <w:szCs w:val="21"/>
              </w:rPr>
            </w:pPr>
          </w:p>
        </w:tc>
      </w:tr>
    </w:tbl>
    <w:p w14:paraId="0417EBA6">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投标人名称（加盖电子公章）：</w:t>
      </w:r>
      <w:r>
        <w:rPr>
          <w:rFonts w:ascii="Times New Roman" w:hAnsi="Times New Roman" w:cs="Times New Roman"/>
          <w:szCs w:val="21"/>
          <w:u w:val="single"/>
        </w:rPr>
        <w:t>                             </w:t>
      </w:r>
      <w:r>
        <w:rPr>
          <w:rFonts w:ascii="Times New Roman" w:hAnsi="Times New Roman" w:cs="Times New Roman"/>
          <w:szCs w:val="21"/>
        </w:rPr>
        <w:t xml:space="preserve"> </w:t>
      </w:r>
    </w:p>
    <w:p w14:paraId="5C5C0587">
      <w:pPr>
        <w:widowControl/>
        <w:shd w:val="clear" w:color="auto" w:fill="FFFFFF"/>
        <w:spacing w:line="360" w:lineRule="auto"/>
        <w:jc w:val="left"/>
        <w:rPr>
          <w:rFonts w:ascii="Times New Roman" w:hAnsi="Times New Roman" w:cs="Times New Roman"/>
          <w:szCs w:val="21"/>
          <w:u w:val="single"/>
        </w:rPr>
      </w:pPr>
    </w:p>
    <w:p w14:paraId="099B53F1">
      <w:pPr>
        <w:widowControl/>
        <w:rPr>
          <w:rFonts w:ascii="Times New Roman" w:hAnsi="Times New Roman" w:cs="Times New Roman"/>
          <w:szCs w:val="21"/>
        </w:rPr>
      </w:pPr>
    </w:p>
    <w:p w14:paraId="53746D82">
      <w:pPr>
        <w:widowControl/>
        <w:rPr>
          <w:rFonts w:ascii="Times New Roman" w:hAnsi="Times New Roman" w:cs="Times New Roman"/>
          <w:b/>
          <w:bCs/>
          <w:szCs w:val="21"/>
        </w:rPr>
      </w:pPr>
    </w:p>
    <w:p w14:paraId="7A52425D">
      <w:pPr>
        <w:widowControl/>
        <w:spacing w:line="360" w:lineRule="auto"/>
        <w:rPr>
          <w:rFonts w:ascii="Times New Roman" w:hAnsi="Times New Roman" w:cs="Times New Roman"/>
          <w:b/>
          <w:bCs/>
          <w:sz w:val="24"/>
        </w:rPr>
      </w:pPr>
      <w:r>
        <w:rPr>
          <w:rFonts w:ascii="Times New Roman" w:hAnsi="Times New Roman" w:cs="Times New Roman"/>
          <w:b/>
          <w:bCs/>
          <w:sz w:val="24"/>
        </w:rPr>
        <w:br w:type="page" w:clear="all"/>
      </w:r>
      <w:r>
        <w:rPr>
          <w:rFonts w:ascii="Times New Roman" w:hAnsi="Times New Roman" w:cs="Times New Roman"/>
          <w:b/>
          <w:bCs/>
          <w:sz w:val="24"/>
        </w:rPr>
        <w:t>附件八、 投标人类似业绩情况表</w:t>
      </w:r>
    </w:p>
    <w:p w14:paraId="1C494A66">
      <w:pPr>
        <w:widowControl/>
        <w:spacing w:line="360" w:lineRule="auto"/>
        <w:jc w:val="center"/>
        <w:rPr>
          <w:rFonts w:ascii="Times New Roman" w:hAnsi="Times New Roman" w:cs="Times New Roman"/>
          <w:b/>
          <w:bCs/>
          <w:sz w:val="24"/>
        </w:rPr>
      </w:pPr>
    </w:p>
    <w:p w14:paraId="4C8295A1">
      <w:pPr>
        <w:widowControl/>
        <w:spacing w:line="360" w:lineRule="auto"/>
        <w:jc w:val="center"/>
        <w:rPr>
          <w:rFonts w:ascii="Times New Roman" w:hAnsi="Times New Roman" w:cs="Times New Roman"/>
          <w:b/>
          <w:bCs/>
          <w:sz w:val="24"/>
        </w:rPr>
      </w:pPr>
      <w:r>
        <w:rPr>
          <w:rFonts w:ascii="Times New Roman" w:hAnsi="Times New Roman" w:cs="Times New Roman"/>
          <w:b/>
          <w:bCs/>
          <w:sz w:val="24"/>
        </w:rPr>
        <w:t>投标人类似业绩情况表</w:t>
      </w:r>
    </w:p>
    <w:tbl>
      <w:tblPr>
        <w:tblStyle w:val="51"/>
        <w:tblW w:w="94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10CE1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tcPr>
          <w:p w14:paraId="59389CC8">
            <w:pPr>
              <w:widowControl/>
              <w:spacing w:line="400" w:lineRule="atLeast"/>
              <w:jc w:val="center"/>
              <w:rPr>
                <w:rFonts w:ascii="Times New Roman" w:hAnsi="Times New Roman" w:cs="Times New Roman"/>
                <w:szCs w:val="21"/>
              </w:rPr>
            </w:pPr>
            <w:r>
              <w:rPr>
                <w:rFonts w:ascii="Times New Roman" w:hAnsi="Times New Roman" w:cs="Times New Roman"/>
                <w:szCs w:val="21"/>
              </w:rPr>
              <w:t>序号</w:t>
            </w:r>
          </w:p>
        </w:tc>
        <w:tc>
          <w:tcPr>
            <w:tcW w:w="1559" w:type="dxa"/>
            <w:tcBorders>
              <w:top w:val="single" w:color="000000" w:sz="4" w:space="0"/>
              <w:left w:val="nil"/>
              <w:bottom w:val="single" w:color="000000" w:sz="4" w:space="0"/>
              <w:right w:val="single" w:color="000000" w:sz="4" w:space="0"/>
            </w:tcBorders>
            <w:noWrap/>
            <w:vAlign w:val="center"/>
          </w:tcPr>
          <w:p w14:paraId="49991654">
            <w:pPr>
              <w:widowControl/>
              <w:spacing w:line="400" w:lineRule="atLeast"/>
              <w:jc w:val="center"/>
              <w:rPr>
                <w:rFonts w:ascii="Times New Roman" w:hAnsi="Times New Roman" w:cs="Times New Roman"/>
                <w:szCs w:val="21"/>
              </w:rPr>
            </w:pPr>
            <w:r>
              <w:rPr>
                <w:rFonts w:ascii="Times New Roman" w:hAnsi="Times New Roman" w:cs="Times New Roman"/>
                <w:szCs w:val="21"/>
              </w:rPr>
              <w:t>项目名称</w:t>
            </w:r>
          </w:p>
        </w:tc>
        <w:tc>
          <w:tcPr>
            <w:tcW w:w="1418" w:type="dxa"/>
            <w:tcBorders>
              <w:top w:val="single" w:color="000000" w:sz="4" w:space="0"/>
              <w:left w:val="nil"/>
              <w:bottom w:val="single" w:color="000000" w:sz="4" w:space="0"/>
              <w:right w:val="single" w:color="000000" w:sz="4" w:space="0"/>
            </w:tcBorders>
            <w:noWrap/>
            <w:vAlign w:val="center"/>
          </w:tcPr>
          <w:p w14:paraId="69E377B8">
            <w:pPr>
              <w:widowControl/>
              <w:spacing w:line="400" w:lineRule="atLeast"/>
              <w:jc w:val="center"/>
              <w:rPr>
                <w:rFonts w:ascii="Times New Roman" w:hAnsi="Times New Roman" w:cs="Times New Roman"/>
                <w:szCs w:val="21"/>
              </w:rPr>
            </w:pPr>
            <w:r>
              <w:rPr>
                <w:rFonts w:ascii="Times New Roman" w:hAnsi="Times New Roman" w:cs="Times New Roman"/>
                <w:szCs w:val="21"/>
              </w:rPr>
              <w:t>业主单位</w:t>
            </w:r>
          </w:p>
        </w:tc>
        <w:tc>
          <w:tcPr>
            <w:tcW w:w="992" w:type="dxa"/>
            <w:tcBorders>
              <w:top w:val="single" w:color="000000" w:sz="4" w:space="0"/>
              <w:left w:val="nil"/>
              <w:bottom w:val="single" w:color="000000" w:sz="4" w:space="0"/>
              <w:right w:val="single" w:color="000000" w:sz="4" w:space="0"/>
            </w:tcBorders>
            <w:noWrap/>
            <w:vAlign w:val="center"/>
          </w:tcPr>
          <w:p w14:paraId="5B4C31E8">
            <w:pPr>
              <w:widowControl/>
              <w:spacing w:line="400" w:lineRule="atLeast"/>
              <w:jc w:val="center"/>
              <w:rPr>
                <w:rFonts w:ascii="Times New Roman" w:hAnsi="Times New Roman" w:cs="Times New Roman"/>
                <w:szCs w:val="21"/>
              </w:rPr>
            </w:pPr>
            <w:r>
              <w:rPr>
                <w:rFonts w:ascii="Times New Roman" w:hAnsi="Times New Roman" w:cs="Times New Roman"/>
                <w:szCs w:val="21"/>
              </w:rPr>
              <w:t>项目</w:t>
            </w:r>
          </w:p>
          <w:p w14:paraId="7E2205D3">
            <w:pPr>
              <w:widowControl/>
              <w:spacing w:line="400" w:lineRule="atLeast"/>
              <w:jc w:val="center"/>
              <w:rPr>
                <w:rFonts w:ascii="Times New Roman" w:hAnsi="Times New Roman" w:cs="Times New Roman"/>
                <w:szCs w:val="21"/>
              </w:rPr>
            </w:pPr>
            <w:r>
              <w:rPr>
                <w:rFonts w:ascii="Times New Roman" w:hAnsi="Times New Roman" w:cs="Times New Roman"/>
                <w:szCs w:val="21"/>
              </w:rPr>
              <w:t>规模</w:t>
            </w:r>
          </w:p>
        </w:tc>
        <w:tc>
          <w:tcPr>
            <w:tcW w:w="1034" w:type="dxa"/>
            <w:tcBorders>
              <w:top w:val="single" w:color="000000" w:sz="4" w:space="0"/>
              <w:left w:val="nil"/>
              <w:bottom w:val="single" w:color="000000" w:sz="4" w:space="0"/>
              <w:right w:val="single" w:color="000000" w:sz="4" w:space="0"/>
            </w:tcBorders>
            <w:noWrap/>
            <w:vAlign w:val="center"/>
          </w:tcPr>
          <w:p w14:paraId="16591491">
            <w:pPr>
              <w:widowControl/>
              <w:spacing w:line="400" w:lineRule="atLeast"/>
              <w:jc w:val="center"/>
              <w:rPr>
                <w:rFonts w:ascii="Times New Roman" w:hAnsi="Times New Roman" w:cs="Times New Roman"/>
                <w:szCs w:val="21"/>
              </w:rPr>
            </w:pPr>
            <w:r>
              <w:rPr>
                <w:rFonts w:ascii="Times New Roman" w:hAnsi="Times New Roman" w:cs="Times New Roman"/>
                <w:szCs w:val="21"/>
              </w:rPr>
              <w:t>获奖</w:t>
            </w:r>
          </w:p>
          <w:p w14:paraId="6BBD4527">
            <w:pPr>
              <w:widowControl/>
              <w:spacing w:line="400" w:lineRule="atLeast"/>
              <w:jc w:val="center"/>
              <w:rPr>
                <w:rFonts w:ascii="Times New Roman" w:hAnsi="Times New Roman" w:cs="Times New Roman"/>
                <w:szCs w:val="21"/>
              </w:rPr>
            </w:pPr>
            <w:r>
              <w:rPr>
                <w:rFonts w:ascii="Times New Roman" w:hAnsi="Times New Roman" w:cs="Times New Roman"/>
                <w:szCs w:val="21"/>
              </w:rPr>
              <w:t>情况</w:t>
            </w:r>
          </w:p>
        </w:tc>
        <w:tc>
          <w:tcPr>
            <w:tcW w:w="1517" w:type="dxa"/>
            <w:tcBorders>
              <w:top w:val="single" w:color="000000" w:sz="4" w:space="0"/>
              <w:left w:val="nil"/>
              <w:bottom w:val="single" w:color="000000" w:sz="4" w:space="0"/>
              <w:right w:val="single" w:color="000000" w:sz="4" w:space="0"/>
            </w:tcBorders>
            <w:noWrap/>
          </w:tcPr>
          <w:p w14:paraId="49122F49">
            <w:pPr>
              <w:widowControl/>
              <w:spacing w:line="400" w:lineRule="atLeast"/>
              <w:jc w:val="center"/>
              <w:rPr>
                <w:rFonts w:ascii="Times New Roman" w:hAnsi="Times New Roman" w:cs="Times New Roman"/>
                <w:szCs w:val="21"/>
              </w:rPr>
            </w:pPr>
            <w:r>
              <w:rPr>
                <w:rFonts w:ascii="Times New Roman" w:hAnsi="Times New Roman" w:cs="Times New Roman"/>
                <w:szCs w:val="21"/>
              </w:rPr>
              <w:t>签约及服务</w:t>
            </w:r>
          </w:p>
          <w:p w14:paraId="252B5E47">
            <w:pPr>
              <w:widowControl/>
              <w:spacing w:line="400" w:lineRule="atLeast"/>
              <w:jc w:val="center"/>
              <w:rPr>
                <w:rFonts w:ascii="Times New Roman" w:hAnsi="Times New Roman" w:cs="Times New Roman"/>
                <w:szCs w:val="21"/>
              </w:rPr>
            </w:pPr>
            <w:r>
              <w:rPr>
                <w:rFonts w:ascii="Times New Roman" w:hAnsi="Times New Roman" w:cs="Times New Roman"/>
                <w:szCs w:val="21"/>
              </w:rPr>
              <w:t>时间</w:t>
            </w:r>
          </w:p>
        </w:tc>
        <w:tc>
          <w:tcPr>
            <w:tcW w:w="1134" w:type="dxa"/>
            <w:tcBorders>
              <w:top w:val="single" w:color="000000" w:sz="4" w:space="0"/>
              <w:left w:val="nil"/>
              <w:bottom w:val="single" w:color="000000" w:sz="4" w:space="0"/>
              <w:right w:val="single" w:color="000000" w:sz="4" w:space="0"/>
            </w:tcBorders>
            <w:noWrap/>
          </w:tcPr>
          <w:p w14:paraId="4377A163">
            <w:pPr>
              <w:widowControl/>
              <w:spacing w:line="400" w:lineRule="atLeast"/>
              <w:jc w:val="center"/>
              <w:rPr>
                <w:rFonts w:ascii="Times New Roman" w:hAnsi="Times New Roman" w:cs="Times New Roman"/>
                <w:szCs w:val="21"/>
              </w:rPr>
            </w:pPr>
            <w:r>
              <w:rPr>
                <w:rFonts w:ascii="Times New Roman" w:hAnsi="Times New Roman" w:cs="Times New Roman"/>
                <w:szCs w:val="21"/>
              </w:rPr>
              <w:t>联系人及电话</w:t>
            </w:r>
          </w:p>
        </w:tc>
        <w:tc>
          <w:tcPr>
            <w:tcW w:w="1134" w:type="dxa"/>
            <w:tcBorders>
              <w:top w:val="single" w:color="000000" w:sz="4" w:space="0"/>
              <w:left w:val="nil"/>
              <w:bottom w:val="single" w:color="000000" w:sz="4" w:space="0"/>
              <w:right w:val="single" w:color="000000" w:sz="4" w:space="0"/>
            </w:tcBorders>
            <w:noWrap/>
          </w:tcPr>
          <w:p w14:paraId="6D631A06">
            <w:pPr>
              <w:widowControl/>
              <w:spacing w:line="400" w:lineRule="atLeast"/>
              <w:jc w:val="center"/>
              <w:rPr>
                <w:rFonts w:ascii="Times New Roman" w:hAnsi="Times New Roman" w:cs="Times New Roman"/>
                <w:szCs w:val="21"/>
              </w:rPr>
            </w:pPr>
            <w:r>
              <w:rPr>
                <w:rFonts w:ascii="Times New Roman" w:hAnsi="Times New Roman" w:cs="Times New Roman"/>
                <w:szCs w:val="21"/>
              </w:rPr>
              <w:t>备注</w:t>
            </w:r>
          </w:p>
        </w:tc>
      </w:tr>
      <w:tr w14:paraId="7AC16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tcPr>
          <w:p w14:paraId="4719B9F4">
            <w:pPr>
              <w:widowControl/>
              <w:spacing w:line="400" w:lineRule="atLeast"/>
              <w:jc w:val="center"/>
              <w:rPr>
                <w:rFonts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noWrap/>
          </w:tcPr>
          <w:p w14:paraId="688FF443">
            <w:pPr>
              <w:widowControl/>
              <w:spacing w:line="400" w:lineRule="atLeast"/>
              <w:jc w:val="center"/>
              <w:rPr>
                <w:rFonts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noWrap/>
          </w:tcPr>
          <w:p w14:paraId="3CF784A2">
            <w:pPr>
              <w:widowControl/>
              <w:spacing w:line="400" w:lineRule="atLeast"/>
              <w:ind w:firstLine="120"/>
              <w:rPr>
                <w:rFonts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noWrap/>
          </w:tcPr>
          <w:p w14:paraId="1BA76401">
            <w:pPr>
              <w:widowControl/>
              <w:spacing w:line="400" w:lineRule="atLeast"/>
              <w:jc w:val="center"/>
              <w:rPr>
                <w:rFonts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noWrap/>
          </w:tcPr>
          <w:p w14:paraId="16C7155E">
            <w:pPr>
              <w:widowControl/>
              <w:spacing w:line="400" w:lineRule="atLeast"/>
              <w:jc w:val="center"/>
              <w:rPr>
                <w:rFonts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noWrap/>
          </w:tcPr>
          <w:p w14:paraId="4CEE8085">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279F479B">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0A23D64F">
            <w:pPr>
              <w:widowControl/>
              <w:spacing w:line="400" w:lineRule="atLeast"/>
              <w:jc w:val="center"/>
              <w:rPr>
                <w:rFonts w:ascii="Times New Roman" w:hAnsi="Times New Roman" w:cs="Times New Roman"/>
                <w:szCs w:val="21"/>
              </w:rPr>
            </w:pPr>
          </w:p>
        </w:tc>
      </w:tr>
      <w:tr w14:paraId="7264B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tcPr>
          <w:p w14:paraId="792D094A">
            <w:pPr>
              <w:widowControl/>
              <w:spacing w:line="400" w:lineRule="atLeast"/>
              <w:jc w:val="center"/>
              <w:rPr>
                <w:rFonts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noWrap/>
          </w:tcPr>
          <w:p w14:paraId="35156CB0">
            <w:pPr>
              <w:widowControl/>
              <w:spacing w:line="400" w:lineRule="atLeast"/>
              <w:jc w:val="center"/>
              <w:rPr>
                <w:rFonts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noWrap/>
          </w:tcPr>
          <w:p w14:paraId="40F57D52">
            <w:pPr>
              <w:widowControl/>
              <w:spacing w:line="400" w:lineRule="atLeast"/>
              <w:jc w:val="center"/>
              <w:rPr>
                <w:rFonts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noWrap/>
          </w:tcPr>
          <w:p w14:paraId="7BFE3B76">
            <w:pPr>
              <w:widowControl/>
              <w:spacing w:line="400" w:lineRule="atLeast"/>
              <w:jc w:val="center"/>
              <w:rPr>
                <w:rFonts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noWrap/>
          </w:tcPr>
          <w:p w14:paraId="5FF19DA1">
            <w:pPr>
              <w:widowControl/>
              <w:spacing w:line="400" w:lineRule="atLeast"/>
              <w:jc w:val="center"/>
              <w:rPr>
                <w:rFonts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noWrap/>
          </w:tcPr>
          <w:p w14:paraId="6E972030">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7F123DA1">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7DA3E2BA">
            <w:pPr>
              <w:widowControl/>
              <w:spacing w:line="400" w:lineRule="atLeast"/>
              <w:jc w:val="center"/>
              <w:rPr>
                <w:rFonts w:ascii="Times New Roman" w:hAnsi="Times New Roman" w:cs="Times New Roman"/>
                <w:szCs w:val="21"/>
              </w:rPr>
            </w:pPr>
          </w:p>
        </w:tc>
      </w:tr>
      <w:tr w14:paraId="31F36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tcPr>
          <w:p w14:paraId="3EEA2AE1">
            <w:pPr>
              <w:widowControl/>
              <w:spacing w:line="400" w:lineRule="atLeast"/>
              <w:jc w:val="center"/>
              <w:rPr>
                <w:rFonts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noWrap/>
          </w:tcPr>
          <w:p w14:paraId="6CADAA9F">
            <w:pPr>
              <w:widowControl/>
              <w:spacing w:line="400" w:lineRule="atLeast"/>
              <w:jc w:val="center"/>
              <w:rPr>
                <w:rFonts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noWrap/>
          </w:tcPr>
          <w:p w14:paraId="57CCAACE">
            <w:pPr>
              <w:widowControl/>
              <w:spacing w:line="400" w:lineRule="atLeast"/>
              <w:jc w:val="center"/>
              <w:rPr>
                <w:rFonts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noWrap/>
          </w:tcPr>
          <w:p w14:paraId="291E9E7D">
            <w:pPr>
              <w:widowControl/>
              <w:spacing w:line="400" w:lineRule="atLeast"/>
              <w:jc w:val="center"/>
              <w:rPr>
                <w:rFonts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noWrap/>
          </w:tcPr>
          <w:p w14:paraId="236E888C">
            <w:pPr>
              <w:widowControl/>
              <w:spacing w:line="400" w:lineRule="atLeast"/>
              <w:jc w:val="center"/>
              <w:rPr>
                <w:rFonts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noWrap/>
          </w:tcPr>
          <w:p w14:paraId="7064EE4E">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6645705A">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6F93622E">
            <w:pPr>
              <w:widowControl/>
              <w:spacing w:line="400" w:lineRule="atLeast"/>
              <w:jc w:val="center"/>
              <w:rPr>
                <w:rFonts w:ascii="Times New Roman" w:hAnsi="Times New Roman" w:cs="Times New Roman"/>
                <w:szCs w:val="21"/>
              </w:rPr>
            </w:pPr>
          </w:p>
        </w:tc>
      </w:tr>
      <w:tr w14:paraId="20F55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tcPr>
          <w:p w14:paraId="42E8A915">
            <w:pPr>
              <w:widowControl/>
              <w:spacing w:line="400" w:lineRule="atLeast"/>
              <w:jc w:val="center"/>
              <w:rPr>
                <w:rFonts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noWrap/>
          </w:tcPr>
          <w:p w14:paraId="183D82C1">
            <w:pPr>
              <w:widowControl/>
              <w:spacing w:line="400" w:lineRule="atLeast"/>
              <w:jc w:val="center"/>
              <w:rPr>
                <w:rFonts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noWrap/>
          </w:tcPr>
          <w:p w14:paraId="71AEB888">
            <w:pPr>
              <w:widowControl/>
              <w:spacing w:line="400" w:lineRule="atLeast"/>
              <w:jc w:val="center"/>
              <w:rPr>
                <w:rFonts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noWrap/>
          </w:tcPr>
          <w:p w14:paraId="7B99DF45">
            <w:pPr>
              <w:widowControl/>
              <w:spacing w:line="400" w:lineRule="atLeast"/>
              <w:jc w:val="center"/>
              <w:rPr>
                <w:rFonts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noWrap/>
          </w:tcPr>
          <w:p w14:paraId="56CDCE95">
            <w:pPr>
              <w:widowControl/>
              <w:spacing w:line="400" w:lineRule="atLeast"/>
              <w:jc w:val="center"/>
              <w:rPr>
                <w:rFonts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noWrap/>
          </w:tcPr>
          <w:p w14:paraId="723C392B">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5981EEAA">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67490D72">
            <w:pPr>
              <w:widowControl/>
              <w:spacing w:line="400" w:lineRule="atLeast"/>
              <w:jc w:val="center"/>
              <w:rPr>
                <w:rFonts w:ascii="Times New Roman" w:hAnsi="Times New Roman" w:cs="Times New Roman"/>
                <w:szCs w:val="21"/>
              </w:rPr>
            </w:pPr>
          </w:p>
        </w:tc>
      </w:tr>
      <w:tr w14:paraId="29B98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tcPr>
          <w:p w14:paraId="7BB83A5C">
            <w:pPr>
              <w:widowControl/>
              <w:spacing w:line="400" w:lineRule="atLeast"/>
              <w:jc w:val="center"/>
              <w:rPr>
                <w:rFonts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noWrap/>
          </w:tcPr>
          <w:p w14:paraId="466A0889">
            <w:pPr>
              <w:widowControl/>
              <w:spacing w:line="400" w:lineRule="atLeast"/>
              <w:jc w:val="center"/>
              <w:rPr>
                <w:rFonts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noWrap/>
          </w:tcPr>
          <w:p w14:paraId="41BF6AC3">
            <w:pPr>
              <w:widowControl/>
              <w:spacing w:line="400" w:lineRule="atLeast"/>
              <w:jc w:val="center"/>
              <w:rPr>
                <w:rFonts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noWrap/>
          </w:tcPr>
          <w:p w14:paraId="49CFC2B8">
            <w:pPr>
              <w:widowControl/>
              <w:spacing w:line="400" w:lineRule="atLeast"/>
              <w:jc w:val="center"/>
              <w:rPr>
                <w:rFonts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noWrap/>
          </w:tcPr>
          <w:p w14:paraId="7F9C6DA3">
            <w:pPr>
              <w:widowControl/>
              <w:spacing w:line="400" w:lineRule="atLeast"/>
              <w:jc w:val="center"/>
              <w:rPr>
                <w:rFonts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noWrap/>
          </w:tcPr>
          <w:p w14:paraId="02E734D0">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5D2E526E">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791F09D3">
            <w:pPr>
              <w:widowControl/>
              <w:spacing w:line="400" w:lineRule="atLeast"/>
              <w:jc w:val="center"/>
              <w:rPr>
                <w:rFonts w:ascii="Times New Roman" w:hAnsi="Times New Roman" w:cs="Times New Roman"/>
                <w:szCs w:val="21"/>
              </w:rPr>
            </w:pPr>
          </w:p>
        </w:tc>
      </w:tr>
      <w:tr w14:paraId="3E2FB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tcPr>
          <w:p w14:paraId="25D286DE">
            <w:pPr>
              <w:widowControl/>
              <w:spacing w:line="400" w:lineRule="atLeast"/>
              <w:jc w:val="center"/>
              <w:rPr>
                <w:rFonts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noWrap/>
          </w:tcPr>
          <w:p w14:paraId="05244FDA">
            <w:pPr>
              <w:widowControl/>
              <w:spacing w:line="400" w:lineRule="atLeast"/>
              <w:jc w:val="center"/>
              <w:rPr>
                <w:rFonts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noWrap/>
          </w:tcPr>
          <w:p w14:paraId="75867DEC">
            <w:pPr>
              <w:widowControl/>
              <w:spacing w:line="400" w:lineRule="atLeast"/>
              <w:jc w:val="center"/>
              <w:rPr>
                <w:rFonts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noWrap/>
          </w:tcPr>
          <w:p w14:paraId="204C2940">
            <w:pPr>
              <w:widowControl/>
              <w:spacing w:line="400" w:lineRule="atLeast"/>
              <w:jc w:val="center"/>
              <w:rPr>
                <w:rFonts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noWrap/>
          </w:tcPr>
          <w:p w14:paraId="67632BE4">
            <w:pPr>
              <w:widowControl/>
              <w:spacing w:line="400" w:lineRule="atLeast"/>
              <w:jc w:val="center"/>
              <w:rPr>
                <w:rFonts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noWrap/>
          </w:tcPr>
          <w:p w14:paraId="62DD1377">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6EC6E7FB">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459922DE">
            <w:pPr>
              <w:widowControl/>
              <w:spacing w:line="400" w:lineRule="atLeast"/>
              <w:jc w:val="center"/>
              <w:rPr>
                <w:rFonts w:ascii="Times New Roman" w:hAnsi="Times New Roman" w:cs="Times New Roman"/>
                <w:szCs w:val="21"/>
              </w:rPr>
            </w:pPr>
          </w:p>
        </w:tc>
      </w:tr>
      <w:tr w14:paraId="6AEDE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tcPr>
          <w:p w14:paraId="72B954A6">
            <w:pPr>
              <w:widowControl/>
              <w:spacing w:line="400" w:lineRule="atLeast"/>
              <w:jc w:val="center"/>
              <w:rPr>
                <w:rFonts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noWrap/>
          </w:tcPr>
          <w:p w14:paraId="124052F8">
            <w:pPr>
              <w:widowControl/>
              <w:spacing w:line="400" w:lineRule="atLeast"/>
              <w:jc w:val="center"/>
              <w:rPr>
                <w:rFonts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noWrap/>
          </w:tcPr>
          <w:p w14:paraId="05EF07A9">
            <w:pPr>
              <w:widowControl/>
              <w:spacing w:line="400" w:lineRule="atLeast"/>
              <w:jc w:val="center"/>
              <w:rPr>
                <w:rFonts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noWrap/>
          </w:tcPr>
          <w:p w14:paraId="414F250A">
            <w:pPr>
              <w:widowControl/>
              <w:spacing w:line="400" w:lineRule="atLeast"/>
              <w:jc w:val="center"/>
              <w:rPr>
                <w:rFonts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noWrap/>
          </w:tcPr>
          <w:p w14:paraId="7A61DF44">
            <w:pPr>
              <w:widowControl/>
              <w:spacing w:line="400" w:lineRule="atLeast"/>
              <w:jc w:val="center"/>
              <w:rPr>
                <w:rFonts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noWrap/>
          </w:tcPr>
          <w:p w14:paraId="22AD24B1">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72C421B5">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67A8783C">
            <w:pPr>
              <w:widowControl/>
              <w:spacing w:line="400" w:lineRule="atLeast"/>
              <w:jc w:val="center"/>
              <w:rPr>
                <w:rFonts w:ascii="Times New Roman" w:hAnsi="Times New Roman" w:cs="Times New Roman"/>
                <w:szCs w:val="21"/>
              </w:rPr>
            </w:pPr>
          </w:p>
        </w:tc>
      </w:tr>
      <w:tr w14:paraId="38866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tcPr>
          <w:p w14:paraId="5B679DBF">
            <w:pPr>
              <w:widowControl/>
              <w:spacing w:line="400" w:lineRule="atLeast"/>
              <w:jc w:val="center"/>
              <w:rPr>
                <w:rFonts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noWrap/>
          </w:tcPr>
          <w:p w14:paraId="1549CA9C">
            <w:pPr>
              <w:widowControl/>
              <w:spacing w:line="400" w:lineRule="atLeast"/>
              <w:jc w:val="center"/>
              <w:rPr>
                <w:rFonts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noWrap/>
          </w:tcPr>
          <w:p w14:paraId="7A5CADC5">
            <w:pPr>
              <w:widowControl/>
              <w:spacing w:line="400" w:lineRule="atLeast"/>
              <w:jc w:val="center"/>
              <w:rPr>
                <w:rFonts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noWrap/>
          </w:tcPr>
          <w:p w14:paraId="06C523CA">
            <w:pPr>
              <w:widowControl/>
              <w:spacing w:line="400" w:lineRule="atLeast"/>
              <w:jc w:val="center"/>
              <w:rPr>
                <w:rFonts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noWrap/>
          </w:tcPr>
          <w:p w14:paraId="515CFA12">
            <w:pPr>
              <w:widowControl/>
              <w:spacing w:line="400" w:lineRule="atLeast"/>
              <w:jc w:val="center"/>
              <w:rPr>
                <w:rFonts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noWrap/>
          </w:tcPr>
          <w:p w14:paraId="3B8141EF">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027C029A">
            <w:pPr>
              <w:widowControl/>
              <w:spacing w:line="400" w:lineRule="atLeast"/>
              <w:jc w:val="center"/>
              <w:rPr>
                <w:rFonts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noWrap/>
          </w:tcPr>
          <w:p w14:paraId="2FADD88E">
            <w:pPr>
              <w:widowControl/>
              <w:spacing w:line="400" w:lineRule="atLeast"/>
              <w:jc w:val="center"/>
              <w:rPr>
                <w:rFonts w:ascii="Times New Roman" w:hAnsi="Times New Roman" w:cs="Times New Roman"/>
                <w:szCs w:val="21"/>
              </w:rPr>
            </w:pPr>
          </w:p>
        </w:tc>
      </w:tr>
    </w:tbl>
    <w:p w14:paraId="4A10C404">
      <w:pPr>
        <w:widowControl/>
        <w:shd w:val="clear" w:color="auto" w:fill="FFFFFF"/>
        <w:spacing w:line="360" w:lineRule="auto"/>
        <w:jc w:val="left"/>
        <w:rPr>
          <w:rFonts w:ascii="Times New Roman" w:hAnsi="Times New Roman" w:cs="Times New Roman"/>
          <w:szCs w:val="21"/>
        </w:rPr>
      </w:pPr>
      <w:r>
        <w:rPr>
          <w:rFonts w:ascii="Times New Roman" w:hAnsi="Times New Roman" w:cs="Times New Roman"/>
          <w:szCs w:val="21"/>
        </w:rPr>
        <w:t>投标人名称（加盖电子公章）：</w:t>
      </w:r>
      <w:r>
        <w:rPr>
          <w:rFonts w:ascii="Times New Roman" w:hAnsi="Times New Roman" w:cs="Times New Roman"/>
          <w:szCs w:val="21"/>
          <w:u w:val="single"/>
        </w:rPr>
        <w:t>                             </w:t>
      </w:r>
      <w:r>
        <w:rPr>
          <w:rFonts w:ascii="Times New Roman" w:hAnsi="Times New Roman" w:cs="Times New Roman"/>
          <w:szCs w:val="21"/>
        </w:rPr>
        <w:t xml:space="preserve"> </w:t>
      </w:r>
    </w:p>
    <w:p w14:paraId="528FE61B">
      <w:pPr>
        <w:widowControl/>
        <w:spacing w:line="360" w:lineRule="auto"/>
        <w:rPr>
          <w:rFonts w:ascii="Times New Roman" w:hAnsi="Times New Roman" w:cs="Times New Roman"/>
          <w:b/>
          <w:bCs/>
          <w:szCs w:val="21"/>
        </w:rPr>
      </w:pPr>
    </w:p>
    <w:p w14:paraId="4CFE1A4F">
      <w:pPr>
        <w:widowControl/>
        <w:spacing w:line="360" w:lineRule="auto"/>
        <w:rPr>
          <w:rFonts w:ascii="Times New Roman" w:hAnsi="Times New Roman" w:cs="Times New Roman"/>
          <w:b/>
          <w:bCs/>
          <w:szCs w:val="21"/>
        </w:rPr>
      </w:pPr>
    </w:p>
    <w:p w14:paraId="505CE75E">
      <w:pPr>
        <w:spacing w:line="360" w:lineRule="auto"/>
        <w:rPr>
          <w:rFonts w:ascii="Times New Roman" w:hAnsi="Times New Roman" w:cs="Times New Roman"/>
        </w:rPr>
      </w:pPr>
    </w:p>
    <w:p w14:paraId="41ACC9AD">
      <w:pPr>
        <w:widowControl/>
        <w:spacing w:line="360" w:lineRule="auto"/>
        <w:rPr>
          <w:rFonts w:ascii="Times New Roman" w:hAnsi="Times New Roman" w:cs="Times New Roman"/>
          <w:b/>
          <w:bCs/>
        </w:rPr>
      </w:pPr>
      <w:r>
        <w:rPr>
          <w:rFonts w:ascii="Times New Roman" w:hAnsi="Times New Roman" w:cs="Times New Roman"/>
          <w:b/>
        </w:rPr>
        <w:br w:type="page" w:clear="all"/>
      </w:r>
      <w:r>
        <w:rPr>
          <w:rFonts w:ascii="Times New Roman" w:hAnsi="Times New Roman" w:eastAsia="宋体" w:cs="Times New Roman"/>
          <w:b/>
          <w:bCs/>
          <w:sz w:val="24"/>
        </w:rPr>
        <w:t>附件九：企业声明函格式</w:t>
      </w:r>
    </w:p>
    <w:p w14:paraId="182D0148">
      <w:pPr>
        <w:spacing w:before="312" w:after="312" w:line="480" w:lineRule="auto"/>
        <w:jc w:val="center"/>
        <w:rPr>
          <w:rFonts w:ascii="Times New Roman" w:hAnsi="Times New Roman" w:cs="Times New Roman"/>
          <w:b/>
          <w:bCs/>
          <w:sz w:val="28"/>
          <w:szCs w:val="28"/>
        </w:rPr>
      </w:pPr>
      <w:bookmarkStart w:id="51" w:name="OLE_LINK14"/>
      <w:bookmarkStart w:id="52" w:name="OLE_LINK13"/>
      <w:r>
        <w:rPr>
          <w:rFonts w:ascii="Times New Roman" w:hAnsi="Times New Roman" w:cs="Times New Roman"/>
          <w:b/>
          <w:bCs/>
          <w:sz w:val="28"/>
          <w:szCs w:val="28"/>
        </w:rPr>
        <w:t>中小企业声明函（工程、服务）</w:t>
      </w:r>
    </w:p>
    <w:p w14:paraId="306AA38D">
      <w:pPr>
        <w:widowControl/>
        <w:spacing w:line="440" w:lineRule="exact"/>
        <w:ind w:firstLine="420"/>
        <w:jc w:val="left"/>
        <w:rPr>
          <w:rFonts w:ascii="Times New Roman" w:hAnsi="Times New Roman" w:cs="Times New Roman"/>
          <w:szCs w:val="21"/>
        </w:rPr>
      </w:pPr>
      <w:r>
        <w:rPr>
          <w:rFonts w:ascii="Times New Roman" w:hAnsi="Times New Roman" w:cs="Times New Roman"/>
        </w:rPr>
        <w:t>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6AF41426">
      <w:pPr>
        <w:widowControl/>
        <w:spacing w:line="440" w:lineRule="exact"/>
        <w:ind w:firstLine="420"/>
        <w:jc w:val="left"/>
        <w:rPr>
          <w:rFonts w:ascii="Times New Roman" w:hAnsi="Times New Roman" w:cs="Times New Roman"/>
        </w:rPr>
      </w:pPr>
      <w:r>
        <w:rPr>
          <w:rFonts w:ascii="Times New Roman" w:hAnsi="Times New Roman" w:cs="Times New Roman"/>
          <w:u w:val="single"/>
        </w:rPr>
        <w:t>（标的名称）</w:t>
      </w:r>
      <w:r>
        <w:rPr>
          <w:rFonts w:ascii="Times New Roman" w:hAnsi="Times New Roman" w:cs="Times New Roman"/>
        </w:rPr>
        <w:t>,属于</w:t>
      </w:r>
      <w:r>
        <w:rPr>
          <w:rFonts w:ascii="Times New Roman" w:hAnsi="Times New Roman" w:cs="Times New Roman"/>
          <w:u w:val="single"/>
        </w:rPr>
        <w:t>（采购文件中明确的所属行业）</w:t>
      </w:r>
      <w:r>
        <w:rPr>
          <w:rFonts w:ascii="Times New Roman" w:hAnsi="Times New Roman" w:cs="Times New Roman"/>
        </w:rPr>
        <w:t>, 承建（承接）企业为（企业名称）,从业人员</w:t>
      </w:r>
      <w:r>
        <w:rPr>
          <w:rFonts w:ascii="Times New Roman" w:hAnsi="Times New Roman" w:cs="Times New Roman"/>
          <w:u w:val="single"/>
        </w:rPr>
        <w:tab/>
      </w:r>
      <w:r>
        <w:rPr>
          <w:rFonts w:ascii="Times New Roman" w:hAnsi="Times New Roman" w:cs="Times New Roman"/>
          <w:u w:val="single"/>
        </w:rPr>
        <w:t>人</w:t>
      </w:r>
      <w:r>
        <w:rPr>
          <w:rFonts w:ascii="Times New Roman" w:hAnsi="Times New Roman" w:cs="Times New Roman"/>
        </w:rPr>
        <w:t>，营业收入为</w:t>
      </w:r>
      <w:r>
        <w:rPr>
          <w:rFonts w:ascii="Times New Roman" w:hAnsi="Times New Roman" w:cs="Times New Roman"/>
          <w:u w:val="single"/>
        </w:rPr>
        <w:tab/>
      </w:r>
      <w:r>
        <w:rPr>
          <w:rFonts w:ascii="Times New Roman" w:hAnsi="Times New Roman" w:cs="Times New Roman"/>
        </w:rPr>
        <w:t>万元，资产总额为</w:t>
      </w:r>
      <w:r>
        <w:rPr>
          <w:rFonts w:ascii="Times New Roman" w:hAnsi="Times New Roman" w:cs="Times New Roman"/>
          <w:u w:val="single"/>
        </w:rPr>
        <w:tab/>
      </w:r>
      <w:r>
        <w:rPr>
          <w:rFonts w:ascii="Times New Roman" w:hAnsi="Times New Roman" w:cs="Times New Roman"/>
        </w:rPr>
        <w:t>万元，属于（中型企业、小型企业、微型企业）；</w:t>
      </w:r>
    </w:p>
    <w:p w14:paraId="1C94090A">
      <w:pPr>
        <w:widowControl/>
        <w:spacing w:line="440" w:lineRule="exact"/>
        <w:ind w:firstLine="420"/>
        <w:jc w:val="left"/>
        <w:rPr>
          <w:rFonts w:ascii="Times New Roman" w:hAnsi="Times New Roman" w:cs="Times New Roman"/>
        </w:rPr>
      </w:pPr>
      <w:r>
        <w:rPr>
          <w:rFonts w:ascii="Times New Roman" w:hAnsi="Times New Roman" w:cs="Times New Roman"/>
          <w:u w:val="single"/>
        </w:rPr>
        <w:t>（标的名称）,</w:t>
      </w:r>
      <w:r>
        <w:rPr>
          <w:rFonts w:ascii="Times New Roman" w:hAnsi="Times New Roman" w:cs="Times New Roman"/>
        </w:rPr>
        <w:t>属于（采购文件中明确的所属行业）, 承建（承接）企业为（企业名称）,从业人员</w:t>
      </w:r>
      <w:r>
        <w:rPr>
          <w:rFonts w:ascii="Times New Roman" w:hAnsi="Times New Roman" w:cs="Times New Roman"/>
          <w:u w:val="single"/>
        </w:rPr>
        <w:tab/>
      </w:r>
      <w:r>
        <w:rPr>
          <w:rFonts w:ascii="Times New Roman" w:hAnsi="Times New Roman" w:cs="Times New Roman"/>
          <w:u w:val="single"/>
        </w:rPr>
        <w:t>人</w:t>
      </w:r>
      <w:r>
        <w:rPr>
          <w:rFonts w:ascii="Times New Roman" w:hAnsi="Times New Roman" w:cs="Times New Roman"/>
        </w:rPr>
        <w:t>，营业收入为</w:t>
      </w:r>
      <w:r>
        <w:rPr>
          <w:rFonts w:ascii="Times New Roman" w:hAnsi="Times New Roman" w:cs="Times New Roman"/>
          <w:u w:val="single"/>
        </w:rPr>
        <w:tab/>
      </w:r>
      <w:r>
        <w:rPr>
          <w:rFonts w:ascii="Times New Roman" w:hAnsi="Times New Roman" w:cs="Times New Roman"/>
        </w:rPr>
        <w:t>万元，资产总额为</w:t>
      </w:r>
      <w:r>
        <w:rPr>
          <w:rFonts w:ascii="Times New Roman" w:hAnsi="Times New Roman" w:cs="Times New Roman"/>
          <w:u w:val="single"/>
        </w:rPr>
        <w:tab/>
      </w:r>
      <w:r>
        <w:rPr>
          <w:rFonts w:ascii="Times New Roman" w:hAnsi="Times New Roman" w:cs="Times New Roman"/>
        </w:rPr>
        <w:t>万元，属于（中型企业、小型企业、微型企业）；</w:t>
      </w:r>
      <w:r>
        <w:rPr>
          <w:rFonts w:ascii="Times New Roman" w:hAnsi="Times New Roman" w:cs="Times New Roman"/>
        </w:rPr>
        <w:tab/>
      </w:r>
    </w:p>
    <w:p w14:paraId="5AF360E7">
      <w:pPr>
        <w:widowControl/>
        <w:spacing w:line="440" w:lineRule="exact"/>
        <w:ind w:firstLine="420"/>
        <w:jc w:val="left"/>
        <w:rPr>
          <w:rFonts w:ascii="Times New Roman" w:hAnsi="Times New Roman" w:cs="Times New Roman"/>
        </w:rPr>
      </w:pPr>
      <w:r>
        <w:rPr>
          <w:rFonts w:ascii="Times New Roman" w:hAnsi="Times New Roman" w:cs="Times New Roman"/>
        </w:rPr>
        <w:t>以上企业，不属于大企业的分支机构，不存在控股股东为大企业的情形，也不存在与大企业的负责人为同一人的情形。</w:t>
      </w:r>
    </w:p>
    <w:p w14:paraId="196D22D2">
      <w:pPr>
        <w:widowControl/>
        <w:spacing w:line="440" w:lineRule="exact"/>
        <w:ind w:firstLine="420"/>
        <w:jc w:val="left"/>
        <w:rPr>
          <w:rFonts w:ascii="Times New Roman" w:hAnsi="Times New Roman" w:cs="Times New Roman"/>
        </w:rPr>
      </w:pPr>
      <w:r>
        <w:rPr>
          <w:rFonts w:ascii="Times New Roman" w:hAnsi="Times New Roman" w:cs="Times New Roman"/>
        </w:rPr>
        <w:t>本企业对上述声明内容的真实性负责。如有虚假，将依法承担相应责任。</w:t>
      </w:r>
    </w:p>
    <w:p w14:paraId="7F82918C">
      <w:pPr>
        <w:widowControl/>
        <w:spacing w:line="440" w:lineRule="exact"/>
        <w:ind w:firstLine="420"/>
        <w:jc w:val="left"/>
        <w:rPr>
          <w:rFonts w:ascii="Times New Roman" w:hAnsi="Times New Roman" w:cs="Times New Roman"/>
        </w:rPr>
      </w:pPr>
    </w:p>
    <w:p w14:paraId="7FF8F545">
      <w:pPr>
        <w:widowControl/>
        <w:spacing w:line="440" w:lineRule="exact"/>
        <w:ind w:firstLine="420"/>
        <w:jc w:val="left"/>
        <w:rPr>
          <w:rFonts w:ascii="Times New Roman" w:hAnsi="Times New Roman" w:cs="Times New Roman"/>
        </w:rPr>
      </w:pPr>
    </w:p>
    <w:p w14:paraId="76B8F086">
      <w:pPr>
        <w:widowControl/>
        <w:spacing w:line="440" w:lineRule="exact"/>
        <w:ind w:firstLine="420"/>
        <w:jc w:val="left"/>
        <w:rPr>
          <w:rFonts w:ascii="Times New Roman" w:hAnsi="Times New Roman" w:cs="Times New Roman"/>
        </w:rPr>
      </w:pPr>
    </w:p>
    <w:p w14:paraId="235D3627">
      <w:pPr>
        <w:widowControl/>
        <w:spacing w:line="440" w:lineRule="exact"/>
        <w:ind w:firstLine="420"/>
        <w:jc w:val="left"/>
        <w:rPr>
          <w:rFonts w:ascii="Times New Roman" w:hAnsi="Times New Roman" w:cs="Times New Roman"/>
        </w:rPr>
      </w:pPr>
    </w:p>
    <w:p w14:paraId="36D05A69">
      <w:pPr>
        <w:widowControl/>
        <w:spacing w:line="440" w:lineRule="exact"/>
        <w:ind w:firstLine="420"/>
        <w:jc w:val="right"/>
        <w:rPr>
          <w:rFonts w:ascii="Times New Roman" w:hAnsi="Times New Roman" w:cs="Times New Roman"/>
        </w:rPr>
      </w:pPr>
      <w:r>
        <w:rPr>
          <w:rFonts w:ascii="Times New Roman" w:hAnsi="Times New Roman" w:cs="Times New Roman"/>
        </w:rPr>
        <w:t xml:space="preserve">投标人名称（加盖电子公章）：            </w:t>
      </w:r>
    </w:p>
    <w:p w14:paraId="62D137D1">
      <w:pPr>
        <w:widowControl/>
        <w:spacing w:line="440" w:lineRule="exact"/>
        <w:ind w:firstLine="420"/>
        <w:jc w:val="center"/>
        <w:rPr>
          <w:rFonts w:ascii="Times New Roman" w:hAnsi="Times New Roman" w:cs="Times New Roman"/>
        </w:rPr>
      </w:pPr>
      <w:r>
        <w:rPr>
          <w:rFonts w:ascii="Times New Roman" w:hAnsi="Times New Roman" w:cs="Times New Roman"/>
        </w:rPr>
        <w:t xml:space="preserve">                                               日期：</w:t>
      </w:r>
    </w:p>
    <w:p w14:paraId="2AACE0C2">
      <w:pPr>
        <w:spacing w:line="360" w:lineRule="auto"/>
        <w:jc w:val="center"/>
        <w:rPr>
          <w:rFonts w:ascii="Times New Roman" w:hAnsi="Times New Roman" w:cs="Times New Roman"/>
          <w:b/>
          <w:bCs/>
          <w:sz w:val="28"/>
        </w:rPr>
      </w:pPr>
    </w:p>
    <w:p w14:paraId="1F249CA4">
      <w:pPr>
        <w:spacing w:line="360" w:lineRule="auto"/>
        <w:jc w:val="center"/>
        <w:rPr>
          <w:rFonts w:ascii="Times New Roman" w:hAnsi="Times New Roman" w:cs="Times New Roman"/>
          <w:b/>
          <w:bCs/>
          <w:sz w:val="28"/>
        </w:rPr>
      </w:pPr>
    </w:p>
    <w:p w14:paraId="392E739C">
      <w:pPr>
        <w:spacing w:line="360" w:lineRule="auto"/>
        <w:jc w:val="center"/>
        <w:rPr>
          <w:rFonts w:ascii="Times New Roman" w:hAnsi="Times New Roman" w:cs="Times New Roman"/>
          <w:b/>
          <w:bCs/>
          <w:sz w:val="28"/>
        </w:rPr>
        <w:sectPr>
          <w:footerReference r:id="rId6" w:type="default"/>
          <w:pgSz w:w="11906" w:h="16838"/>
          <w:pgMar w:top="1440" w:right="1800" w:bottom="1440" w:left="1600" w:header="851" w:footer="992" w:gutter="0"/>
          <w:cols w:space="720" w:num="1"/>
          <w:docGrid w:linePitch="360" w:charSpace="0"/>
        </w:sectPr>
      </w:pPr>
    </w:p>
    <w:p w14:paraId="119F2E0E">
      <w:pPr>
        <w:spacing w:line="360" w:lineRule="auto"/>
        <w:jc w:val="center"/>
        <w:rPr>
          <w:rFonts w:ascii="Times New Roman" w:hAnsi="Times New Roman" w:cs="Times New Roman"/>
          <w:b/>
          <w:bCs/>
          <w:sz w:val="28"/>
        </w:rPr>
      </w:pPr>
      <w:r>
        <w:rPr>
          <w:rFonts w:ascii="Times New Roman" w:hAnsi="Times New Roman" w:cs="Times New Roman"/>
          <w:b/>
          <w:bCs/>
          <w:sz w:val="28"/>
        </w:rPr>
        <w:t>残疾人福利性单位声明函</w:t>
      </w:r>
      <w:bookmarkEnd w:id="51"/>
      <w:bookmarkEnd w:id="52"/>
    </w:p>
    <w:p w14:paraId="7C0BE041">
      <w:pPr>
        <w:widowControl/>
        <w:spacing w:line="440" w:lineRule="exact"/>
        <w:ind w:firstLine="420"/>
        <w:jc w:val="left"/>
        <w:rPr>
          <w:rFonts w:ascii="Times New Roman" w:hAnsi="Times New Roman" w:cs="Times New Roman"/>
          <w:szCs w:val="21"/>
        </w:rPr>
      </w:pPr>
      <w:r>
        <w:rPr>
          <w:rFonts w:ascii="Times New Roman" w:hAnsi="Times New Roman" w:cs="Times New Roman"/>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4F58A3">
      <w:pPr>
        <w:widowControl/>
        <w:spacing w:line="440" w:lineRule="exact"/>
        <w:ind w:firstLine="420"/>
        <w:jc w:val="left"/>
        <w:rPr>
          <w:rFonts w:ascii="Times New Roman" w:hAnsi="Times New Roman" w:cs="Times New Roman"/>
          <w:szCs w:val="21"/>
        </w:rPr>
      </w:pPr>
      <w:r>
        <w:rPr>
          <w:rFonts w:ascii="Times New Roman" w:hAnsi="Times New Roman" w:cs="Times New Roman"/>
          <w:szCs w:val="21"/>
        </w:rPr>
        <w:t>本单位对上述声明的真实性负责。如有虚假，将依法承担相应责任。</w:t>
      </w:r>
    </w:p>
    <w:p w14:paraId="176C8BA9">
      <w:pPr>
        <w:widowControl/>
        <w:spacing w:line="440" w:lineRule="exact"/>
        <w:ind w:firstLine="5040"/>
        <w:jc w:val="left"/>
        <w:rPr>
          <w:rFonts w:ascii="Times New Roman" w:hAnsi="Times New Roman" w:cs="Times New Roman"/>
          <w:szCs w:val="21"/>
        </w:rPr>
      </w:pPr>
      <w:r>
        <w:rPr>
          <w:rFonts w:ascii="Times New Roman" w:hAnsi="Times New Roman" w:cs="Times New Roman"/>
          <w:szCs w:val="21"/>
        </w:rPr>
        <w:t>投标人名称（加盖电子公章）：</w:t>
      </w:r>
    </w:p>
    <w:p w14:paraId="54FE111B">
      <w:pPr>
        <w:widowControl/>
        <w:spacing w:line="440" w:lineRule="exact"/>
        <w:ind w:firstLine="5040"/>
        <w:jc w:val="left"/>
        <w:rPr>
          <w:rFonts w:ascii="Times New Roman" w:hAnsi="Times New Roman" w:cs="Times New Roman"/>
          <w:szCs w:val="21"/>
        </w:rPr>
      </w:pPr>
      <w:r>
        <w:rPr>
          <w:rFonts w:ascii="Times New Roman" w:hAnsi="Times New Roman" w:cs="Times New Roman"/>
          <w:szCs w:val="21"/>
        </w:rPr>
        <w:t>日  期：</w:t>
      </w:r>
    </w:p>
    <w:p w14:paraId="336776E2">
      <w:pPr>
        <w:spacing w:line="360" w:lineRule="auto"/>
        <w:rPr>
          <w:rFonts w:ascii="Times New Roman" w:hAnsi="Times New Roman" w:cs="Times New Roman"/>
          <w:b/>
          <w:bCs/>
        </w:rPr>
      </w:pPr>
    </w:p>
    <w:p w14:paraId="21EC1901">
      <w:pPr>
        <w:spacing w:line="360" w:lineRule="auto"/>
        <w:rPr>
          <w:rFonts w:ascii="Times New Roman" w:hAnsi="Times New Roman" w:cs="Times New Roman"/>
          <w:b/>
          <w:bCs/>
        </w:rPr>
      </w:pPr>
    </w:p>
    <w:p w14:paraId="6E110E16">
      <w:pPr>
        <w:spacing w:line="360" w:lineRule="auto"/>
        <w:jc w:val="center"/>
        <w:rPr>
          <w:rFonts w:ascii="Times New Roman" w:hAnsi="Times New Roman" w:cs="Times New Roman"/>
          <w:b/>
          <w:bCs/>
          <w:sz w:val="28"/>
        </w:rPr>
      </w:pPr>
      <w:r>
        <w:rPr>
          <w:rFonts w:ascii="Times New Roman" w:hAnsi="Times New Roman" w:cs="Times New Roman"/>
          <w:b/>
          <w:bCs/>
          <w:sz w:val="28"/>
        </w:rPr>
        <w:t>属于监狱企业的证明文件</w:t>
      </w:r>
    </w:p>
    <w:p w14:paraId="1082C77C">
      <w:pPr>
        <w:spacing w:line="360" w:lineRule="auto"/>
        <w:rPr>
          <w:rFonts w:ascii="Times New Roman" w:hAnsi="Times New Roman" w:cs="Times New Roman"/>
        </w:rPr>
      </w:pPr>
      <w:r>
        <w:rPr>
          <w:rFonts w:ascii="Times New Roman" w:hAnsi="Times New Roman" w:cs="Times New Roman"/>
        </w:rPr>
        <w:t>（提供由省级以上监狱管理局、戒毒管理局(含新疆生产建设兵团)出具的属于监狱企业的证明文件）</w:t>
      </w:r>
    </w:p>
    <w:p w14:paraId="0A698DBF">
      <w:pPr>
        <w:spacing w:line="360" w:lineRule="auto"/>
        <w:rPr>
          <w:rFonts w:ascii="Times New Roman" w:hAnsi="Times New Roman" w:cs="Times New Roman"/>
          <w:b/>
          <w:bCs/>
        </w:rPr>
      </w:pPr>
    </w:p>
    <w:p w14:paraId="639750B7">
      <w:pPr>
        <w:spacing w:line="360" w:lineRule="auto"/>
        <w:rPr>
          <w:rFonts w:ascii="Times New Roman" w:hAnsi="Times New Roman" w:cs="Times New Roman"/>
          <w:b/>
          <w:bCs/>
        </w:rPr>
      </w:pPr>
    </w:p>
    <w:p w14:paraId="03E7BF3D">
      <w:pPr>
        <w:spacing w:line="360" w:lineRule="auto"/>
        <w:jc w:val="center"/>
        <w:rPr>
          <w:rFonts w:ascii="Times New Roman" w:hAnsi="Times New Roman" w:cs="Times New Roman"/>
          <w:b/>
          <w:bCs/>
        </w:rPr>
      </w:pPr>
      <w:r>
        <w:rPr>
          <w:rFonts w:ascii="Times New Roman" w:hAnsi="Times New Roman" w:cs="Times New Roman"/>
          <w:b/>
          <w:bCs/>
          <w:sz w:val="28"/>
        </w:rPr>
        <w:t>节能产品认证证书</w:t>
      </w:r>
    </w:p>
    <w:p w14:paraId="6A4D744D">
      <w:pPr>
        <w:spacing w:line="360" w:lineRule="auto"/>
        <w:rPr>
          <w:rFonts w:ascii="Times New Roman" w:hAnsi="Times New Roman" w:cs="Times New Roman"/>
          <w:bCs/>
        </w:rPr>
      </w:pPr>
      <w:r>
        <w:rPr>
          <w:rFonts w:ascii="Times New Roman" w:hAnsi="Times New Roman" w:cs="Times New Roman"/>
          <w:bCs/>
        </w:rPr>
        <w:t>（提供国家确定的认证机构出具的、处于有效期之内的产品认证证书）</w:t>
      </w:r>
    </w:p>
    <w:p w14:paraId="10828A26">
      <w:pPr>
        <w:spacing w:line="360" w:lineRule="auto"/>
        <w:rPr>
          <w:rFonts w:ascii="Times New Roman" w:hAnsi="Times New Roman" w:cs="Times New Roman"/>
          <w:b/>
          <w:bCs/>
        </w:rPr>
      </w:pPr>
    </w:p>
    <w:p w14:paraId="3DF5F11E">
      <w:pPr>
        <w:spacing w:line="360" w:lineRule="auto"/>
        <w:rPr>
          <w:rFonts w:ascii="Times New Roman" w:hAnsi="Times New Roman" w:cs="Times New Roman"/>
          <w:b/>
          <w:bCs/>
        </w:rPr>
      </w:pPr>
    </w:p>
    <w:p w14:paraId="3AF124E2">
      <w:pPr>
        <w:spacing w:line="360" w:lineRule="auto"/>
        <w:rPr>
          <w:rFonts w:ascii="Times New Roman" w:hAnsi="Times New Roman" w:cs="Times New Roman"/>
          <w:b/>
          <w:bCs/>
        </w:rPr>
      </w:pPr>
    </w:p>
    <w:p w14:paraId="395AED5F">
      <w:pPr>
        <w:spacing w:line="360" w:lineRule="auto"/>
        <w:jc w:val="center"/>
        <w:rPr>
          <w:rFonts w:ascii="Times New Roman" w:hAnsi="Times New Roman" w:cs="Times New Roman"/>
          <w:b/>
          <w:bCs/>
        </w:rPr>
      </w:pPr>
      <w:r>
        <w:rPr>
          <w:rFonts w:ascii="Times New Roman" w:hAnsi="Times New Roman" w:cs="Times New Roman"/>
          <w:b/>
          <w:bCs/>
          <w:sz w:val="28"/>
        </w:rPr>
        <w:t>环境标志产品认证证书</w:t>
      </w:r>
    </w:p>
    <w:p w14:paraId="5D8AE489">
      <w:pPr>
        <w:spacing w:line="360" w:lineRule="auto"/>
        <w:rPr>
          <w:rFonts w:ascii="Times New Roman" w:hAnsi="Times New Roman" w:cs="Times New Roman"/>
          <w:bCs/>
        </w:rPr>
      </w:pPr>
      <w:r>
        <w:rPr>
          <w:rFonts w:ascii="Times New Roman" w:hAnsi="Times New Roman" w:cs="Times New Roman"/>
          <w:bCs/>
        </w:rPr>
        <w:t>（提供国家确定的认证机构出具的、处于有效期之内的产品认证证书）</w:t>
      </w:r>
    </w:p>
    <w:p w14:paraId="3F656F94">
      <w:pPr>
        <w:pStyle w:val="2"/>
        <w:rPr>
          <w:rFonts w:ascii="Times New Roman" w:hAnsi="Times New Roman" w:cs="Times New Roman"/>
          <w:bCs/>
        </w:rPr>
      </w:pPr>
    </w:p>
    <w:p w14:paraId="5B56CA53">
      <w:pPr>
        <w:pStyle w:val="2"/>
        <w:rPr>
          <w:rFonts w:ascii="Times New Roman" w:hAnsi="Times New Roman" w:cs="Times New Roman"/>
          <w:bCs/>
        </w:rPr>
      </w:pPr>
    </w:p>
    <w:p w14:paraId="047DCD25">
      <w:pPr>
        <w:pStyle w:val="2"/>
        <w:rPr>
          <w:rFonts w:ascii="Times New Roman" w:hAnsi="Times New Roman" w:cs="Times New Roman"/>
          <w:bCs/>
        </w:rPr>
      </w:pPr>
    </w:p>
    <w:p w14:paraId="04E7FB9D">
      <w:pPr>
        <w:spacing w:line="360" w:lineRule="auto"/>
        <w:jc w:val="center"/>
        <w:rPr>
          <w:rFonts w:ascii="Times New Roman" w:hAnsi="Times New Roman" w:cs="Times New Roman"/>
          <w:b/>
          <w:bCs/>
          <w:sz w:val="28"/>
        </w:rPr>
      </w:pPr>
      <w:r>
        <w:rPr>
          <w:rFonts w:ascii="Times New Roman" w:hAnsi="Times New Roman" w:cs="Times New Roman"/>
          <w:b/>
          <w:bCs/>
          <w:sz w:val="28"/>
        </w:rPr>
        <w:t>进口产品转让技术、消化吸收再创新方案</w:t>
      </w:r>
    </w:p>
    <w:p w14:paraId="08589D83">
      <w:pPr>
        <w:spacing w:line="360" w:lineRule="auto"/>
        <w:rPr>
          <w:rFonts w:ascii="Times New Roman" w:hAnsi="Times New Roman" w:cs="Times New Roman"/>
          <w:bCs/>
        </w:rPr>
      </w:pPr>
      <w:r>
        <w:rPr>
          <w:rFonts w:ascii="Times New Roman" w:hAnsi="Times New Roman" w:cs="Times New Roman"/>
          <w:bCs/>
        </w:rPr>
        <w:t>（对于允许进口产品参加的项目）</w:t>
      </w:r>
    </w:p>
    <w:p w14:paraId="6AEC63B8">
      <w:pPr>
        <w:spacing w:line="360" w:lineRule="auto"/>
        <w:rPr>
          <w:rFonts w:ascii="Times New Roman" w:hAnsi="Times New Roman" w:cs="Times New Roman"/>
          <w:b/>
          <w:bCs/>
        </w:rPr>
      </w:pPr>
    </w:p>
    <w:p w14:paraId="3806B340">
      <w:pPr>
        <w:pStyle w:val="46"/>
        <w:shd w:val="clear" w:color="auto" w:fill="FFFFFF"/>
        <w:spacing w:before="0" w:beforeAutospacing="0" w:after="0" w:afterAutospacing="0"/>
        <w:ind w:firstLine="420"/>
        <w:rPr>
          <w:rFonts w:ascii="Times New Roman" w:hAnsi="Times New Roman" w:cs="Times New Roman"/>
          <w:color w:val="333333"/>
          <w:sz w:val="21"/>
          <w:szCs w:val="21"/>
        </w:rPr>
      </w:pPr>
    </w:p>
    <w:p w14:paraId="0BCAA1C2">
      <w:pPr>
        <w:spacing w:line="360" w:lineRule="auto"/>
        <w:rPr>
          <w:rFonts w:ascii="Times New Roman" w:hAnsi="Times New Roman" w:cs="Times New Roman"/>
          <w:b/>
        </w:rPr>
      </w:pPr>
      <w:r>
        <w:rPr>
          <w:rFonts w:ascii="Times New Roman" w:hAnsi="Times New Roman" w:cs="Times New Roman"/>
          <w:b/>
          <w:szCs w:val="21"/>
          <w:lang w:val="zh-CN"/>
        </w:rPr>
        <w:br w:type="page" w:clear="all"/>
      </w:r>
      <w:r>
        <w:rPr>
          <w:rFonts w:ascii="Times New Roman" w:hAnsi="Times New Roman" w:cs="Times New Roman"/>
          <w:b/>
        </w:rPr>
        <w:t>附件十、无重大违法记录声明格式</w:t>
      </w:r>
    </w:p>
    <w:p w14:paraId="180AA820">
      <w:pPr>
        <w:spacing w:line="240" w:lineRule="atLeast"/>
        <w:jc w:val="center"/>
        <w:rPr>
          <w:rFonts w:ascii="Times New Roman" w:hAnsi="Times New Roman" w:eastAsia="黑体" w:cs="Times New Roman"/>
          <w:sz w:val="28"/>
          <w:szCs w:val="36"/>
        </w:rPr>
      </w:pPr>
    </w:p>
    <w:p w14:paraId="4626B83D">
      <w:pPr>
        <w:spacing w:line="240" w:lineRule="atLeast"/>
        <w:jc w:val="center"/>
        <w:rPr>
          <w:rFonts w:ascii="Times New Roman" w:hAnsi="Times New Roman" w:eastAsia="黑体" w:cs="Times New Roman"/>
          <w:sz w:val="28"/>
          <w:szCs w:val="36"/>
        </w:rPr>
      </w:pPr>
      <w:r>
        <w:rPr>
          <w:rFonts w:ascii="Times New Roman" w:hAnsi="Times New Roman" w:eastAsia="黑体" w:cs="Times New Roman"/>
          <w:sz w:val="28"/>
          <w:szCs w:val="36"/>
        </w:rPr>
        <w:t>无重大违法记录声明</w:t>
      </w:r>
    </w:p>
    <w:p w14:paraId="2F507B20">
      <w:pPr>
        <w:spacing w:line="360" w:lineRule="auto"/>
        <w:rPr>
          <w:rFonts w:ascii="Times New Roman" w:hAnsi="Times New Roman" w:eastAsia="黑体" w:cs="Times New Roman"/>
          <w:szCs w:val="21"/>
        </w:rPr>
      </w:pPr>
    </w:p>
    <w:p w14:paraId="73774172">
      <w:pPr>
        <w:spacing w:line="360" w:lineRule="auto"/>
        <w:rPr>
          <w:rFonts w:ascii="Times New Roman" w:hAnsi="Times New Roman" w:cs="Times New Roman"/>
          <w:szCs w:val="21"/>
        </w:rPr>
      </w:pPr>
      <w:r>
        <w:rPr>
          <w:rFonts w:ascii="Times New Roman" w:hAnsi="Times New Roman" w:cs="Times New Roman"/>
          <w:szCs w:val="21"/>
        </w:rPr>
        <w:t>江苏省设备成套股份有限公司：</w:t>
      </w:r>
    </w:p>
    <w:p w14:paraId="1D5D2E42">
      <w:pPr>
        <w:spacing w:line="360" w:lineRule="auto"/>
        <w:rPr>
          <w:rFonts w:ascii="Times New Roman" w:hAnsi="Times New Roman" w:cs="Times New Roman"/>
        </w:rPr>
      </w:pPr>
    </w:p>
    <w:p w14:paraId="7535428E">
      <w:pPr>
        <w:spacing w:line="360" w:lineRule="auto"/>
        <w:ind w:firstLine="336"/>
        <w:rPr>
          <w:rFonts w:ascii="Times New Roman" w:hAnsi="Times New Roman" w:cs="Times New Roman"/>
        </w:rPr>
      </w:pPr>
      <w:r>
        <w:rPr>
          <w:rFonts w:ascii="Times New Roman" w:hAnsi="Times New Roman" w:cs="Times New Roman"/>
        </w:rPr>
        <w:t>我单位（供应商名称）郑重声明：</w:t>
      </w:r>
    </w:p>
    <w:p w14:paraId="24A73695">
      <w:pPr>
        <w:widowControl/>
        <w:shd w:val="clear" w:color="auto" w:fill="FFFFFF"/>
        <w:spacing w:line="360" w:lineRule="auto"/>
        <w:ind w:firstLine="308"/>
        <w:rPr>
          <w:rFonts w:ascii="Times New Roman" w:hAnsi="Times New Roman" w:cs="Times New Roman"/>
          <w:b/>
          <w:szCs w:val="21"/>
        </w:rPr>
      </w:pPr>
      <w:r>
        <w:rPr>
          <w:rFonts w:ascii="Times New Roman" w:hAnsi="Times New Roman" w:cs="Times New Roman"/>
          <w:szCs w:val="21"/>
        </w:rPr>
        <w:t>我单位</w:t>
      </w:r>
      <w:r>
        <w:rPr>
          <w:rFonts w:ascii="Times New Roman" w:hAnsi="Times New Roman" w:cs="Times New Roman"/>
        </w:rPr>
        <w:t>参加政府采购活动前3年内在经营活动中（</w:t>
      </w:r>
      <w:r>
        <w:rPr>
          <w:rFonts w:ascii="Times New Roman" w:hAnsi="Times New Roman" w:cs="Times New Roman"/>
          <w:b/>
          <w:i/>
          <w:u w:val="single"/>
        </w:rPr>
        <w:t>在下划线上如实填写：有或没有</w:t>
      </w:r>
      <w:r>
        <w:rPr>
          <w:rFonts w:ascii="Times New Roman" w:hAnsi="Times New Roman" w:cs="Times New Roman"/>
        </w:rPr>
        <w:t>）</w:t>
      </w:r>
      <w:r>
        <w:rPr>
          <w:rFonts w:ascii="Times New Roman" w:hAnsi="Times New Roman" w:cs="Times New Roman"/>
          <w:b/>
        </w:rPr>
        <w:t>重大违法记录</w:t>
      </w:r>
      <w:r>
        <w:rPr>
          <w:rFonts w:ascii="Times New Roman" w:hAnsi="Times New Roman" w:cs="Times New Roman"/>
          <w:b/>
          <w:szCs w:val="21"/>
        </w:rPr>
        <w:t>，且不是失信被执行人、重大税收违法案件当事人名单、政府采购严重违法失信行为记录名单的供应商。</w:t>
      </w:r>
    </w:p>
    <w:p w14:paraId="0C0E4329">
      <w:pPr>
        <w:spacing w:line="360" w:lineRule="auto"/>
        <w:ind w:firstLine="420"/>
        <w:rPr>
          <w:rFonts w:ascii="Times New Roman" w:hAnsi="Times New Roman" w:cs="Times New Roman"/>
        </w:rPr>
      </w:pPr>
    </w:p>
    <w:p w14:paraId="2920E1CB">
      <w:pPr>
        <w:spacing w:line="360" w:lineRule="auto"/>
        <w:ind w:firstLine="315"/>
        <w:rPr>
          <w:rFonts w:ascii="Times New Roman" w:hAnsi="Times New Roman" w:cs="Times New Roman"/>
        </w:rPr>
      </w:pPr>
      <w:r>
        <w:rPr>
          <w:rFonts w:ascii="Times New Roman" w:hAnsi="Times New Roman" w:cs="Times New Roman"/>
        </w:rPr>
        <w:t>（说明：政府采购法第二十二条第一款第五项所称重大违法记录，是指供应商因违法经营受到刑事处罚或者责令停产停业、吊销许可证或者执照、较大数额罚款等行政处罚。）</w:t>
      </w:r>
    </w:p>
    <w:p w14:paraId="6946538E">
      <w:pPr>
        <w:spacing w:line="360" w:lineRule="auto"/>
        <w:rPr>
          <w:rFonts w:ascii="Times New Roman" w:hAnsi="Times New Roman" w:cs="Times New Roman"/>
        </w:rPr>
      </w:pPr>
    </w:p>
    <w:p w14:paraId="6039FC1E">
      <w:pPr>
        <w:spacing w:line="360" w:lineRule="auto"/>
        <w:rPr>
          <w:rFonts w:ascii="Times New Roman" w:hAnsi="Times New Roman" w:cs="Times New Roman"/>
        </w:rPr>
      </w:pPr>
    </w:p>
    <w:p w14:paraId="52DB06EE">
      <w:pPr>
        <w:spacing w:line="360" w:lineRule="auto"/>
        <w:ind w:firstLine="5103"/>
        <w:rPr>
          <w:rFonts w:ascii="Times New Roman" w:hAnsi="Times New Roman" w:cs="Times New Roman"/>
        </w:rPr>
      </w:pPr>
      <w:r>
        <w:rPr>
          <w:rFonts w:ascii="Times New Roman" w:hAnsi="Times New Roman" w:cs="Times New Roman"/>
        </w:rPr>
        <w:t>投标人名称（加盖电子公章）：</w:t>
      </w:r>
      <w:r>
        <w:rPr>
          <w:rFonts w:ascii="Times New Roman" w:hAnsi="Times New Roman" w:cs="Times New Roman"/>
          <w:u w:val="single"/>
        </w:rPr>
        <w:t xml:space="preserve">         </w:t>
      </w:r>
    </w:p>
    <w:p w14:paraId="765A85FC">
      <w:pPr>
        <w:spacing w:line="360" w:lineRule="auto"/>
        <w:ind w:firstLine="5040"/>
        <w:rPr>
          <w:rFonts w:ascii="Times New Roman" w:hAnsi="Times New Roman" w:cs="Times New Roman"/>
          <w:b/>
        </w:rPr>
      </w:pPr>
      <w:r>
        <w:rPr>
          <w:rFonts w:ascii="Times New Roman" w:hAnsi="Times New Roman" w:cs="Times New Roman"/>
          <w:szCs w:val="21"/>
          <w:lang w:val="zh-CN"/>
        </w:rPr>
        <w:t>日期：</w:t>
      </w:r>
      <w:r>
        <w:rPr>
          <w:rFonts w:ascii="Times New Roman" w:hAnsi="Times New Roman" w:cs="Times New Roman"/>
          <w:szCs w:val="21"/>
        </w:rPr>
        <w:t xml:space="preserve">    </w:t>
      </w:r>
      <w:r>
        <w:rPr>
          <w:rFonts w:ascii="Times New Roman" w:hAnsi="Times New Roman" w:cs="Times New Roman"/>
          <w:szCs w:val="21"/>
          <w:lang w:val="zh-CN"/>
        </w:rPr>
        <w:t>年</w:t>
      </w:r>
      <w:r>
        <w:rPr>
          <w:rFonts w:ascii="Times New Roman" w:hAnsi="Times New Roman" w:cs="Times New Roman"/>
          <w:szCs w:val="21"/>
        </w:rPr>
        <w:t xml:space="preserve">   </w:t>
      </w:r>
      <w:r>
        <w:rPr>
          <w:rFonts w:ascii="Times New Roman" w:hAnsi="Times New Roman" w:cs="Times New Roman"/>
          <w:szCs w:val="21"/>
          <w:lang w:val="zh-CN"/>
        </w:rPr>
        <w:t>月</w:t>
      </w:r>
      <w:r>
        <w:rPr>
          <w:rFonts w:ascii="Times New Roman" w:hAnsi="Times New Roman" w:cs="Times New Roman"/>
          <w:b/>
          <w:szCs w:val="21"/>
          <w:lang w:val="zh-CN"/>
        </w:rPr>
        <w:br w:type="page" w:clear="all"/>
      </w:r>
    </w:p>
    <w:p w14:paraId="783CD40A">
      <w:pPr>
        <w:spacing w:line="360" w:lineRule="auto"/>
        <w:rPr>
          <w:rFonts w:ascii="Times New Roman" w:hAnsi="Times New Roman" w:cs="Times New Roman"/>
          <w:b/>
        </w:rPr>
      </w:pPr>
      <w:r>
        <w:rPr>
          <w:rFonts w:ascii="Times New Roman" w:hAnsi="Times New Roman" w:cs="Times New Roman"/>
          <w:b/>
        </w:rPr>
        <w:t>附件十一、 资格资信证明文件</w:t>
      </w:r>
    </w:p>
    <w:p w14:paraId="337DA595">
      <w:pPr>
        <w:spacing w:line="360" w:lineRule="auto"/>
        <w:rPr>
          <w:rFonts w:ascii="Times New Roman" w:hAnsi="Times New Roman" w:cs="Times New Roman"/>
          <w:b/>
        </w:rPr>
      </w:pPr>
    </w:p>
    <w:p w14:paraId="2046E66C">
      <w:pPr>
        <w:spacing w:line="360" w:lineRule="auto"/>
        <w:rPr>
          <w:rFonts w:ascii="Times New Roman" w:hAnsi="Times New Roman" w:cs="Times New Roman"/>
          <w:b/>
        </w:rPr>
      </w:pPr>
    </w:p>
    <w:p w14:paraId="5345D777">
      <w:pPr>
        <w:spacing w:line="360" w:lineRule="auto"/>
        <w:rPr>
          <w:rFonts w:ascii="Times New Roman" w:hAnsi="Times New Roman" w:cs="Times New Roman"/>
          <w:szCs w:val="21"/>
        </w:rPr>
      </w:pPr>
    </w:p>
    <w:p w14:paraId="5F5E515A">
      <w:pPr>
        <w:pStyle w:val="2"/>
        <w:rPr>
          <w:rFonts w:ascii="Times New Roman" w:hAnsi="Times New Roman" w:cs="Times New Roman"/>
        </w:rPr>
      </w:pPr>
    </w:p>
    <w:p w14:paraId="261CF6B9">
      <w:pPr>
        <w:rPr>
          <w:rFonts w:ascii="Times New Roman" w:hAnsi="Times New Roman" w:cs="Times New Roman"/>
          <w:b/>
        </w:rPr>
      </w:pPr>
      <w:r>
        <w:rPr>
          <w:rFonts w:ascii="Times New Roman" w:hAnsi="Times New Roman" w:cs="Times New Roman"/>
          <w:b/>
        </w:rPr>
        <w:br w:type="page"/>
      </w:r>
    </w:p>
    <w:p w14:paraId="5C7B14F6">
      <w:pPr>
        <w:spacing w:line="360" w:lineRule="auto"/>
        <w:rPr>
          <w:rFonts w:ascii="Times New Roman" w:hAnsi="Times New Roman" w:cs="Times New Roman"/>
          <w:b/>
        </w:rPr>
      </w:pPr>
    </w:p>
    <w:p w14:paraId="721A4C2E">
      <w:pPr>
        <w:rPr>
          <w:rFonts w:ascii="Times New Roman" w:hAnsi="Times New Roman" w:eastAsia="宋体" w:cs="Times New Roman"/>
        </w:rPr>
      </w:pPr>
    </w:p>
    <w:p w14:paraId="37BA46EE">
      <w:pPr>
        <w:spacing w:line="360" w:lineRule="auto"/>
        <w:rPr>
          <w:rFonts w:hint="eastAsia" w:ascii="Times New Roman" w:hAnsi="Times New Roman" w:eastAsia="宋体" w:cs="Times New Roman"/>
          <w:b/>
          <w:lang w:eastAsia="zh-CN"/>
        </w:rPr>
      </w:pPr>
      <w:r>
        <w:rPr>
          <w:rFonts w:ascii="Times New Roman" w:hAnsi="Times New Roman" w:cs="Times New Roman"/>
          <w:b/>
        </w:rPr>
        <w:t>附件十</w:t>
      </w:r>
      <w:r>
        <w:rPr>
          <w:rFonts w:hint="eastAsia" w:cs="Times New Roman"/>
          <w:b/>
          <w:lang w:val="en-US" w:eastAsia="zh-CN"/>
        </w:rPr>
        <w:t>二</w:t>
      </w:r>
      <w:r>
        <w:rPr>
          <w:rFonts w:ascii="Times New Roman" w:hAnsi="Times New Roman" w:cs="Times New Roman"/>
          <w:b/>
        </w:rPr>
        <w:t>、</w:t>
      </w:r>
      <w:r>
        <w:rPr>
          <w:rFonts w:hint="eastAsia" w:cs="Times New Roman"/>
          <w:b/>
          <w:lang w:val="en-US" w:eastAsia="zh-CN"/>
        </w:rPr>
        <w:t xml:space="preserve"> 其他</w:t>
      </w:r>
    </w:p>
    <w:p w14:paraId="1064CA07">
      <w:pPr>
        <w:pStyle w:val="2"/>
      </w:pPr>
    </w:p>
    <w:sectPr>
      <w:footerReference r:id="rId8" w:type="first"/>
      <w:footerReference r:id="rId7" w:type="default"/>
      <w:pgSz w:w="11906" w:h="16838"/>
      <w:pgMar w:top="1440" w:right="1797" w:bottom="1440" w:left="1399" w:header="851"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Agilent TT CondLight">
    <w:altName w:val="DejaVu Math TeX Gyre"/>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TimesNewRomanPSMT">
    <w:altName w:val="Times New Roman"/>
    <w:panose1 w:val="02020603050405020304"/>
    <w:charset w:val="00"/>
    <w:family w:val="auto"/>
    <w:pitch w:val="default"/>
    <w:sig w:usb0="00000000" w:usb1="00000000" w:usb2="00000000" w:usb3="00000000" w:csb0="00000000" w:csb1="00000000"/>
  </w:font>
  <w:font w:name="Garamond">
    <w:panose1 w:val="02020404030301010803"/>
    <w:charset w:val="00"/>
    <w:family w:val="auto"/>
    <w:pitch w:val="default"/>
    <w:sig w:usb0="00000287" w:usb1="00000000" w:usb2="00000000" w:usb3="00000000" w:csb0="0000009F" w:csb1="DFD7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753F1">
    <w:pPr>
      <w:pStyle w:val="33"/>
      <w:jc w:val="both"/>
    </w:pPr>
    <w:r>
      <w:rPr>
        <w:sz w:val="18"/>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1" name="文本框 4"/>
              <wp:cNvGraphicFramePr/>
              <a:graphic xmlns:a="http://schemas.openxmlformats.org/drawingml/2006/main">
                <a:graphicData uri="http://schemas.microsoft.com/office/word/2010/wordprocessingShape">
                  <wps:wsp>
                    <wps:cNvSpPr/>
                    <wps:spPr bwMode="auto">
                      <a:xfrm>
                        <a:off x="0" y="0"/>
                        <a:ext cx="114300" cy="254208"/>
                      </a:xfrm>
                      <a:prstGeom prst="rect">
                        <a:avLst/>
                      </a:prstGeom>
                      <a:noFill/>
                      <a:ln w="6350" cap="flat" cmpd="sng">
                        <a:noFill/>
                        <a:prstDash val="solid"/>
                        <a:round/>
                      </a:ln>
                    </wps:spPr>
                    <wps:txbx>
                      <w:txbxContent>
                        <w:p w14:paraId="35C48B3C">
                          <w:pPr>
                            <w:pStyle w:val="3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rect id="文本框 4" o:spid="_x0000_s1026" o:spt="1" style="position:absolute;left:0pt;margin-top:0pt;height:20pt;width:9pt;mso-position-horizontal:center;mso-position-horizontal-relative:margin;mso-wrap-style:none;z-index:251659264;mso-width-relative:page;mso-height-relative:page;" filled="f" stroked="f" coordsize="21600,21600" o:gfxdata="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JrLJnXVAAAAAwEAAA8AAAAAAAAAAQAgAAAA&#10;IgAAAGRycy9kb3ducmV2LnhtbFBLAQIUABQAAAAIAIdO4kDhgmaIDgIAAAIEAAAOAAAAAAAAAAEA&#10;IAAAACQBAABkcnMvZTJvRG9jLnhtbFBLBQYAAAAABgAGAFkBAACkBQAAAAA=&#10;">
              <v:fill on="f" focussize="0,0"/>
              <v:stroke on="f" weight="0.5pt" joinstyle="round"/>
              <v:imagedata o:title=""/>
              <o:lock v:ext="edit" aspectratio="f"/>
              <v:textbox inset="0mm,0mm,0mm,0mm" style="mso-fit-shape-to-text:t;">
                <w:txbxContent>
                  <w:p w14:paraId="35C48B3C">
                    <w:pPr>
                      <w:pStyle w:val="33"/>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C696B">
    <w:pPr>
      <w:pStyle w:val="33"/>
      <w:jc w:val="both"/>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2" name="文本框 3"/>
              <wp:cNvGraphicFramePr/>
              <a:graphic xmlns:a="http://schemas.openxmlformats.org/drawingml/2006/main">
                <a:graphicData uri="http://schemas.microsoft.com/office/word/2010/wordprocessingShape">
                  <wps:wsp>
                    <wps:cNvSpPr/>
                    <wps:spPr bwMode="auto">
                      <a:xfrm>
                        <a:off x="0" y="0"/>
                        <a:ext cx="114300" cy="254208"/>
                      </a:xfrm>
                      <a:prstGeom prst="rect">
                        <a:avLst/>
                      </a:prstGeom>
                      <a:noFill/>
                      <a:ln w="9525" cap="flat" cmpd="sng">
                        <a:noFill/>
                        <a:prstDash val="solid"/>
                        <a:round/>
                      </a:ln>
                    </wps:spPr>
                    <wps:txbx>
                      <w:txbxContent>
                        <w:p w14:paraId="546BB162">
                          <w:pPr>
                            <w:pStyle w:val="33"/>
                            <w:jc w:val="center"/>
                          </w:pPr>
                          <w:r>
                            <w:fldChar w:fldCharType="begin"/>
                          </w:r>
                          <w:r>
                            <w:instrText xml:space="preserve">PAGE   \* MERGEFORMAT</w:instrText>
                          </w:r>
                          <w:r>
                            <w:fldChar w:fldCharType="separate"/>
                          </w:r>
                          <w:r>
                            <w:rPr>
                              <w:lang w:val="zh-CN"/>
                            </w:rPr>
                            <w:t>29</w:t>
                          </w:r>
                          <w:r>
                            <w:fldChar w:fldCharType="end"/>
                          </w:r>
                        </w:p>
                      </w:txbxContent>
                    </wps:txbx>
                    <wps:bodyPr vert="horz" wrap="none" lIns="0" tIns="0" rIns="0" bIns="0" anchor="t" anchorCtr="0" upright="0">
                      <a:spAutoFit/>
                    </wps:bodyPr>
                  </wps:wsp>
                </a:graphicData>
              </a:graphic>
            </wp:anchor>
          </w:drawing>
        </mc:Choice>
        <mc:Fallback>
          <w:pict>
            <v:rect id="文本框 3" o:spid="_x0000_s1026" o:spt="1" style="position:absolute;left:0pt;margin-top:0pt;height:20pt;width:9pt;mso-position-horizontal:center;mso-position-horizontal-relative:margin;mso-wrap-style:none;z-index:251659264;mso-width-relative:page;mso-height-relative:page;" filled="f" stroked="f" coordsize="21600,21600" o:gfxdata="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gqXRDQAAAAAwEAAA8AAAAAAAAAAQAgAAAAIgAA&#10;AGRycy9kb3ducmV2LnhtbFBLAQIUABQAAAAIAIdO4kA+un7FEAIAAAIEAAAOAAAAAAAAAAEAIAAA&#10;AB8BAABkcnMvZTJvRG9jLnhtbFBLBQYAAAAABgAGAFkBAAChBQAAAAA=&#10;">
              <v:fill on="f" focussize="0,0"/>
              <v:stroke on="f" joinstyle="round"/>
              <v:imagedata o:title=""/>
              <o:lock v:ext="edit" aspectratio="f"/>
              <v:textbox inset="0mm,0mm,0mm,0mm" style="mso-fit-shape-to-text:t;">
                <w:txbxContent>
                  <w:p w14:paraId="546BB162">
                    <w:pPr>
                      <w:pStyle w:val="33"/>
                      <w:jc w:val="center"/>
                    </w:pPr>
                    <w:r>
                      <w:fldChar w:fldCharType="begin"/>
                    </w:r>
                    <w:r>
                      <w:instrText xml:space="preserve">PAGE   \* MERGEFORMAT</w:instrText>
                    </w:r>
                    <w:r>
                      <w:fldChar w:fldCharType="separate"/>
                    </w:r>
                    <w:r>
                      <w:rPr>
                        <w:lang w:val="zh-CN"/>
                      </w:rPr>
                      <w:t>29</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4FA6A">
    <w:pPr>
      <w:pStyle w:val="33"/>
      <w:jc w:val="both"/>
    </w:pPr>
    <w:r>
      <w:rPr>
        <w:sz w:val="18"/>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3" name="文本框 1"/>
              <wp:cNvGraphicFramePr/>
              <a:graphic xmlns:a="http://schemas.openxmlformats.org/drawingml/2006/main">
                <a:graphicData uri="http://schemas.microsoft.com/office/word/2010/wordprocessingShape">
                  <wps:wsp>
                    <wps:cNvSpPr/>
                    <wps:spPr bwMode="auto">
                      <a:xfrm>
                        <a:off x="0" y="0"/>
                        <a:ext cx="114300" cy="254208"/>
                      </a:xfrm>
                      <a:prstGeom prst="rect">
                        <a:avLst/>
                      </a:prstGeom>
                      <a:noFill/>
                      <a:ln w="6350" cap="flat" cmpd="sng">
                        <a:noFill/>
                        <a:prstDash val="solid"/>
                        <a:round/>
                      </a:ln>
                    </wps:spPr>
                    <wps:txbx>
                      <w:txbxContent>
                        <w:p w14:paraId="0323F2E7">
                          <w:pPr>
                            <w:pStyle w:val="3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rect id="文本框 1" o:spid="_x0000_s1026" o:spt="1" style="position:absolute;left:0pt;margin-top:0pt;height:20pt;width:9pt;mso-position-horizontal:center;mso-position-horizontal-relative:margin;mso-wrap-style:none;z-index:251659264;mso-width-relative:page;mso-height-relative:page;" filled="f" stroked="f" coordsize="21600,21600" o:gfxdata="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JrLJnXVAAAAAwEAAA8AAAAAAAAAAQAgAAAA&#10;IgAAAGRycy9kb3ducmV2LnhtbFBLAQIUABQAAAAIAIdO4kAxt7u3DgIAAAIEAAAOAAAAAAAAAAEA&#10;IAAAACQBAABkcnMvZTJvRG9jLnhtbFBLBQYAAAAABgAGAFkBAACkBQAAAAA=&#10;">
              <v:fill on="f" focussize="0,0"/>
              <v:stroke on="f" weight="0.5pt" joinstyle="round"/>
              <v:imagedata o:title=""/>
              <o:lock v:ext="edit" aspectratio="f"/>
              <v:textbox inset="0mm,0mm,0mm,0mm" style="mso-fit-shape-to-text:t;">
                <w:txbxContent>
                  <w:p w14:paraId="0323F2E7">
                    <w:pPr>
                      <w:pStyle w:val="33"/>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740DF">
    <w:pPr>
      <w:pStyle w:val="33"/>
    </w:pPr>
    <w:r>
      <w:rPr>
        <w:sz w:val="18"/>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254000"/>
              <wp:effectExtent l="0" t="0" r="0" b="0"/>
              <wp:wrapNone/>
              <wp:docPr id="4" name="文本框 2"/>
              <wp:cNvGraphicFramePr/>
              <a:graphic xmlns:a="http://schemas.openxmlformats.org/drawingml/2006/main">
                <a:graphicData uri="http://schemas.microsoft.com/office/word/2010/wordprocessingShape">
                  <wps:wsp>
                    <wps:cNvSpPr/>
                    <wps:spPr bwMode="auto">
                      <a:xfrm>
                        <a:off x="0" y="0"/>
                        <a:ext cx="57150" cy="253999"/>
                      </a:xfrm>
                      <a:prstGeom prst="rect">
                        <a:avLst/>
                      </a:prstGeom>
                      <a:noFill/>
                      <a:ln w="6350" cap="flat" cmpd="sng">
                        <a:noFill/>
                        <a:prstDash val="solid"/>
                        <a:round/>
                      </a:ln>
                    </wps:spPr>
                    <wps:txbx>
                      <w:txbxContent>
                        <w:p w14:paraId="4F025B9F">
                          <w:pPr>
                            <w:pStyle w:val="3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rect id="文本框 2" o:spid="_x0000_s1026" o:spt="1" style="position:absolute;left:0pt;margin-top:0pt;height:20pt;width:4.5pt;mso-position-horizontal:center;mso-position-horizontal-relative:margin;mso-wrap-style:none;z-index:251659264;mso-width-relative:page;mso-height-relative:page;" filled="f" stroked="f" coordsize="21600,21600" o:gfxdata="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SeIT9UAAAACAQAADwAAAAAAAAABACAAAAAi&#10;AAAAZHJzL2Rvd25yZXYueG1sUEsBAhQAFAAAAAgAh07iQMIDEg8NAgAAAQQAAA4AAAAAAAAAAQAg&#10;AAAAJAEAAGRycy9lMm9Eb2MueG1sUEsFBgAAAAAGAAYAWQEAAKMFAAAAAA==&#10;">
              <v:fill on="f" focussize="0,0"/>
              <v:stroke on="f" weight="0.5pt" joinstyle="round"/>
              <v:imagedata o:title=""/>
              <o:lock v:ext="edit" aspectratio="f"/>
              <v:textbox inset="0mm,0mm,0mm,0mm" style="mso-fit-shape-to-text:t;">
                <w:txbxContent>
                  <w:p w14:paraId="4F025B9F">
                    <w:pPr>
                      <w:pStyle w:val="33"/>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9"/>
      <w:numFmt w:val="decimal"/>
      <w:suff w:val="nothing"/>
      <w:lvlText w:val="%1、"/>
      <w:lvlJc w:val="left"/>
      <w:pPr>
        <w:tabs>
          <w:tab w:val="left" w:pos="0"/>
        </w:tabs>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70"/>
      <w:lvlText w:val="%1"/>
      <w:lvlJc w:val="left"/>
      <w:pPr>
        <w:tabs>
          <w:tab w:val="left" w:pos="0"/>
        </w:tabs>
        <w:ind w:left="425" w:hanging="425"/>
      </w:pPr>
      <w:rPr>
        <w:rFonts w:hint="eastAsia" w:ascii="Arial Unicode MS" w:hAnsi="Arial Unicode MS" w:eastAsia="微软雅黑" w:cs="Times New Roman"/>
        <w:b/>
        <w:i w:val="0"/>
      </w:rPr>
    </w:lvl>
    <w:lvl w:ilvl="1" w:tentative="0">
      <w:start w:val="1"/>
      <w:numFmt w:val="decimal"/>
      <w:pStyle w:val="289"/>
      <w:isLgl/>
      <w:lvlText w:val="%1.%2"/>
      <w:lvlJc w:val="left"/>
      <w:pPr>
        <w:tabs>
          <w:tab w:val="left" w:pos="0"/>
        </w:tabs>
        <w:ind w:left="425" w:hanging="425"/>
      </w:pPr>
      <w:rPr>
        <w:rFonts w:hint="eastAsia" w:ascii="Arial Unicode MS" w:hAnsi="Arial Unicode MS" w:eastAsia="微软雅黑" w:cs="Times New Roman"/>
        <w:b/>
        <w:i w:val="0"/>
      </w:rPr>
    </w:lvl>
    <w:lvl w:ilvl="2" w:tentative="0">
      <w:start w:val="1"/>
      <w:numFmt w:val="decimal"/>
      <w:pStyle w:val="303"/>
      <w:isLgl/>
      <w:lvlText w:val="%1.%2.%3"/>
      <w:lvlJc w:val="left"/>
      <w:pPr>
        <w:tabs>
          <w:tab w:val="left" w:pos="0"/>
        </w:tabs>
        <w:ind w:left="425" w:hanging="425"/>
      </w:pPr>
      <w:rPr>
        <w:rFonts w:hint="eastAsia" w:ascii="Arial Unicode MS" w:hAnsi="Arial Unicode MS" w:eastAsia="微软雅黑" w:cs="Times New Roman"/>
        <w:b/>
        <w:i w:val="0"/>
      </w:rPr>
    </w:lvl>
    <w:lvl w:ilvl="3" w:tentative="0">
      <w:start w:val="1"/>
      <w:numFmt w:val="decimal"/>
      <w:isLgl/>
      <w:lvlText w:val="%1.%2.%3.%4"/>
      <w:lvlJc w:val="left"/>
      <w:pPr>
        <w:tabs>
          <w:tab w:val="left" w:pos="0"/>
        </w:tabs>
        <w:ind w:left="425" w:hanging="425"/>
      </w:pPr>
      <w:rPr>
        <w:rFonts w:hint="eastAsia" w:ascii="Arial Unicode MS" w:hAnsi="Arial Unicode MS" w:eastAsia="微软雅黑" w:cs="Times New Roman"/>
        <w:b/>
        <w:i w:val="0"/>
      </w:rPr>
    </w:lvl>
    <w:lvl w:ilvl="4" w:tentative="0">
      <w:start w:val="1"/>
      <w:numFmt w:val="decimal"/>
      <w:isLgl/>
      <w:lvlText w:val="%1.%2.%3.%4.%5"/>
      <w:lvlJc w:val="left"/>
      <w:pPr>
        <w:tabs>
          <w:tab w:val="left" w:pos="0"/>
        </w:tabs>
        <w:ind w:left="425" w:hanging="425"/>
      </w:pPr>
      <w:rPr>
        <w:rFonts w:hint="eastAsia" w:ascii="Arial Unicode MS" w:hAnsi="Arial Unicode MS" w:eastAsia="微软雅黑" w:cs="Times New Roman"/>
        <w:b/>
        <w:i w:val="0"/>
      </w:rPr>
    </w:lvl>
    <w:lvl w:ilvl="5" w:tentative="0">
      <w:start w:val="1"/>
      <w:numFmt w:val="none"/>
      <w:lvlText w:val="%1.%2.%3.%4.%5.%6"/>
      <w:lvlJc w:val="left"/>
      <w:pPr>
        <w:tabs>
          <w:tab w:val="left" w:pos="0"/>
        </w:tabs>
        <w:ind w:left="425" w:hanging="425"/>
      </w:pPr>
      <w:rPr>
        <w:rFonts w:hint="eastAsia" w:cs="Times New Roman"/>
      </w:rPr>
    </w:lvl>
    <w:lvl w:ilvl="6" w:tentative="0">
      <w:start w:val="1"/>
      <w:numFmt w:val="decimal"/>
      <w:lvlText w:val="%1.%2.%3.%4.%5.%6.%7"/>
      <w:lvlJc w:val="left"/>
      <w:pPr>
        <w:tabs>
          <w:tab w:val="left" w:pos="0"/>
        </w:tabs>
        <w:ind w:left="425" w:hanging="425"/>
      </w:pPr>
      <w:rPr>
        <w:rFonts w:hint="eastAsia" w:cs="Times New Roman"/>
      </w:rPr>
    </w:lvl>
    <w:lvl w:ilvl="7" w:tentative="0">
      <w:start w:val="1"/>
      <w:numFmt w:val="decimal"/>
      <w:lvlText w:val="%1.%2.%3.%4.%5.%6.%7.%8"/>
      <w:lvlJc w:val="left"/>
      <w:pPr>
        <w:tabs>
          <w:tab w:val="left" w:pos="0"/>
        </w:tabs>
        <w:ind w:left="425" w:hanging="425"/>
      </w:pPr>
      <w:rPr>
        <w:rFonts w:hint="eastAsia" w:cs="Times New Roman"/>
      </w:rPr>
    </w:lvl>
    <w:lvl w:ilvl="8" w:tentative="0">
      <w:start w:val="1"/>
      <w:numFmt w:val="decimal"/>
      <w:lvlText w:val="%1.%2.%3.%4.%5.%6.%7.%8.%9"/>
      <w:lvlJc w:val="left"/>
      <w:pPr>
        <w:tabs>
          <w:tab w:val="left" w:pos="0"/>
        </w:tabs>
        <w:ind w:left="425" w:hanging="425"/>
      </w:pPr>
      <w:rPr>
        <w:rFonts w:hint="eastAsia" w:cs="Times New Roman"/>
      </w:rPr>
    </w:lvl>
  </w:abstractNum>
  <w:abstractNum w:abstractNumId="2">
    <w:nsid w:val="0053208E"/>
    <w:multiLevelType w:val="multilevel"/>
    <w:tmpl w:val="0053208E"/>
    <w:lvl w:ilvl="0" w:tentative="0">
      <w:start w:val="1"/>
      <w:numFmt w:val="chineseCountingThousand"/>
      <w:pStyle w:val="3"/>
      <w:suff w:val="nothing"/>
      <w:lvlText w:val="第%1章"/>
      <w:lvlJc w:val="left"/>
      <w:pPr>
        <w:tabs>
          <w:tab w:val="left" w:pos="0"/>
        </w:tabs>
        <w:ind w:left="0" w:firstLine="0"/>
      </w:pPr>
      <w:rPr>
        <w:rFonts w:cs="Times New Roman"/>
      </w:rPr>
    </w:lvl>
    <w:lvl w:ilvl="1" w:tentative="0">
      <w:start w:val="1"/>
      <w:numFmt w:val="none"/>
      <w:pStyle w:val="4"/>
      <w:suff w:val="nothing"/>
      <w:lvlText w:val=""/>
      <w:lvlJc w:val="left"/>
      <w:pPr>
        <w:tabs>
          <w:tab w:val="left" w:pos="0"/>
        </w:tabs>
        <w:ind w:left="0" w:firstLine="0"/>
      </w:pPr>
      <w:rPr>
        <w:rFonts w:cs="Times New Roman"/>
      </w:rPr>
    </w:lvl>
    <w:lvl w:ilvl="2" w:tentative="0">
      <w:start w:val="1"/>
      <w:numFmt w:val="none"/>
      <w:pStyle w:val="5"/>
      <w:suff w:val="nothing"/>
      <w:lvlText w:val=""/>
      <w:lvlJc w:val="left"/>
      <w:pPr>
        <w:tabs>
          <w:tab w:val="left" w:pos="0"/>
        </w:tabs>
        <w:ind w:left="0" w:firstLine="0"/>
      </w:pPr>
      <w:rPr>
        <w:rFonts w:cs="Times New Roman"/>
      </w:rPr>
    </w:lvl>
    <w:lvl w:ilvl="3" w:tentative="0">
      <w:start w:val="1"/>
      <w:numFmt w:val="none"/>
      <w:pStyle w:val="6"/>
      <w:suff w:val="nothing"/>
      <w:lvlText w:val=""/>
      <w:lvlJc w:val="left"/>
      <w:pPr>
        <w:tabs>
          <w:tab w:val="left" w:pos="0"/>
        </w:tabs>
        <w:ind w:left="0" w:firstLine="0"/>
      </w:pPr>
      <w:rPr>
        <w:rFonts w:cs="Times New Roman"/>
      </w:rPr>
    </w:lvl>
    <w:lvl w:ilvl="4" w:tentative="0">
      <w:start w:val="1"/>
      <w:numFmt w:val="none"/>
      <w:pStyle w:val="7"/>
      <w:suff w:val="nothing"/>
      <w:lvlText w:val=""/>
      <w:lvlJc w:val="left"/>
      <w:pPr>
        <w:tabs>
          <w:tab w:val="left" w:pos="0"/>
        </w:tabs>
        <w:ind w:left="0" w:firstLine="0"/>
      </w:pPr>
      <w:rPr>
        <w:rFonts w:cs="Times New Roman"/>
      </w:rPr>
    </w:lvl>
    <w:lvl w:ilvl="5" w:tentative="0">
      <w:start w:val="1"/>
      <w:numFmt w:val="none"/>
      <w:pStyle w:val="8"/>
      <w:suff w:val="nothing"/>
      <w:lvlText w:val=""/>
      <w:lvlJc w:val="left"/>
      <w:pPr>
        <w:tabs>
          <w:tab w:val="left" w:pos="0"/>
        </w:tabs>
        <w:ind w:left="0" w:firstLine="0"/>
      </w:pPr>
      <w:rPr>
        <w:rFonts w:cs="Times New Roman"/>
      </w:rPr>
    </w:lvl>
    <w:lvl w:ilvl="6" w:tentative="0">
      <w:start w:val="1"/>
      <w:numFmt w:val="none"/>
      <w:pStyle w:val="9"/>
      <w:suff w:val="nothing"/>
      <w:lvlText w:val=""/>
      <w:lvlJc w:val="left"/>
      <w:pPr>
        <w:tabs>
          <w:tab w:val="left" w:pos="0"/>
        </w:tabs>
        <w:ind w:left="0" w:firstLine="0"/>
      </w:pPr>
      <w:rPr>
        <w:rFonts w:cs="Times New Roman"/>
      </w:rPr>
    </w:lvl>
    <w:lvl w:ilvl="7" w:tentative="0">
      <w:start w:val="1"/>
      <w:numFmt w:val="none"/>
      <w:pStyle w:val="10"/>
      <w:suff w:val="nothing"/>
      <w:lvlText w:val=""/>
      <w:lvlJc w:val="left"/>
      <w:pPr>
        <w:tabs>
          <w:tab w:val="left" w:pos="0"/>
        </w:tabs>
        <w:ind w:left="0" w:firstLine="0"/>
      </w:pPr>
      <w:rPr>
        <w:rFonts w:cs="Times New Roman"/>
      </w:rPr>
    </w:lvl>
    <w:lvl w:ilvl="8" w:tentative="0">
      <w:start w:val="1"/>
      <w:numFmt w:val="none"/>
      <w:pStyle w:val="11"/>
      <w:suff w:val="nothing"/>
      <w:lvlText w:val=""/>
      <w:lvlJc w:val="left"/>
      <w:pPr>
        <w:tabs>
          <w:tab w:val="left" w:pos="0"/>
        </w:tabs>
        <w:ind w:left="0" w:firstLine="0"/>
      </w:pPr>
      <w:rPr>
        <w:rFonts w:cs="Times New Roman"/>
      </w:rPr>
    </w:lvl>
  </w:abstractNum>
  <w:abstractNum w:abstractNumId="3">
    <w:nsid w:val="03D62ECE"/>
    <w:multiLevelType w:val="multilevel"/>
    <w:tmpl w:val="03D62ECE"/>
    <w:lvl w:ilvl="0" w:tentative="0">
      <w:start w:val="1"/>
      <w:numFmt w:val="decimal"/>
      <w:suff w:val="nothing"/>
      <w:lvlText w:val="%1、"/>
      <w:lvlJc w:val="left"/>
      <w:pPr>
        <w:tabs>
          <w:tab w:val="left" w:pos="0"/>
        </w:tabs>
        <w:ind w:left="0" w:firstLine="0"/>
      </w:pPr>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3"/>
      <w:numFmt w:val="decimal"/>
      <w:lvlText w:val="%1"/>
      <w:lvlJc w:val="left"/>
      <w:pPr>
        <w:tabs>
          <w:tab w:val="left" w:pos="0"/>
        </w:tabs>
        <w:ind w:left="360" w:hanging="360"/>
      </w:pPr>
      <w:rPr>
        <w:rFonts w:hint="default" w:cs="Times New Roman"/>
      </w:rPr>
    </w:lvl>
    <w:lvl w:ilvl="1" w:tentative="0">
      <w:start w:val="1"/>
      <w:numFmt w:val="decimal"/>
      <w:lvlText w:val="%1.%2"/>
      <w:lvlJc w:val="left"/>
      <w:pPr>
        <w:tabs>
          <w:tab w:val="left" w:pos="0"/>
        </w:tabs>
        <w:ind w:left="644" w:hanging="360"/>
      </w:pPr>
      <w:rPr>
        <w:rFonts w:hint="default" w:ascii="Times New Roman" w:hAnsi="Times New Roman" w:cs="Times New Roman"/>
        <w:b w:val="0"/>
      </w:rPr>
    </w:lvl>
    <w:lvl w:ilvl="2" w:tentative="0">
      <w:start w:val="1"/>
      <w:numFmt w:val="decimal"/>
      <w:pStyle w:val="322"/>
      <w:lvlText w:val="%1.%2.%3"/>
      <w:lvlJc w:val="left"/>
      <w:pPr>
        <w:tabs>
          <w:tab w:val="left" w:pos="0"/>
        </w:tabs>
        <w:ind w:left="720" w:hanging="720"/>
      </w:pPr>
      <w:rPr>
        <w:rFonts w:hint="default" w:cs="Times New Roman"/>
        <w:b w:val="0"/>
      </w:rPr>
    </w:lvl>
    <w:lvl w:ilvl="3" w:tentative="0">
      <w:start w:val="1"/>
      <w:numFmt w:val="decimal"/>
      <w:lvlText w:val="%1.%2.%3.%4"/>
      <w:lvlJc w:val="left"/>
      <w:pPr>
        <w:tabs>
          <w:tab w:val="left" w:pos="0"/>
        </w:tabs>
        <w:ind w:left="720" w:hanging="720"/>
      </w:pPr>
      <w:rPr>
        <w:rFonts w:hint="default" w:cs="Times New Roman"/>
      </w:rPr>
    </w:lvl>
    <w:lvl w:ilvl="4" w:tentative="0">
      <w:start w:val="1"/>
      <w:numFmt w:val="decimal"/>
      <w:lvlText w:val="%1.%2.%3.%4.%5"/>
      <w:lvlJc w:val="left"/>
      <w:pPr>
        <w:tabs>
          <w:tab w:val="left" w:pos="0"/>
        </w:tabs>
        <w:ind w:left="1080" w:hanging="1080"/>
      </w:pPr>
      <w:rPr>
        <w:rFonts w:hint="default" w:cs="Times New Roman"/>
      </w:rPr>
    </w:lvl>
    <w:lvl w:ilvl="5" w:tentative="0">
      <w:start w:val="1"/>
      <w:numFmt w:val="decimal"/>
      <w:lvlText w:val="%1.%2.%3.%4.%5.%6"/>
      <w:lvlJc w:val="left"/>
      <w:pPr>
        <w:tabs>
          <w:tab w:val="left" w:pos="0"/>
        </w:tabs>
        <w:ind w:left="1080" w:hanging="1080"/>
      </w:pPr>
      <w:rPr>
        <w:rFonts w:hint="default" w:cs="Times New Roman"/>
      </w:rPr>
    </w:lvl>
    <w:lvl w:ilvl="6" w:tentative="0">
      <w:start w:val="1"/>
      <w:numFmt w:val="decimal"/>
      <w:lvlText w:val="%1.%2.%3.%4.%5.%6.%7"/>
      <w:lvlJc w:val="left"/>
      <w:pPr>
        <w:tabs>
          <w:tab w:val="left" w:pos="0"/>
        </w:tabs>
        <w:ind w:left="1080" w:hanging="1080"/>
      </w:pPr>
      <w:rPr>
        <w:rFonts w:hint="default" w:cs="Times New Roman"/>
      </w:rPr>
    </w:lvl>
    <w:lvl w:ilvl="7" w:tentative="0">
      <w:start w:val="1"/>
      <w:numFmt w:val="decimal"/>
      <w:lvlText w:val="%1.%2.%3.%4.%5.%6.%7.%8"/>
      <w:lvlJc w:val="left"/>
      <w:pPr>
        <w:tabs>
          <w:tab w:val="left" w:pos="0"/>
        </w:tabs>
        <w:ind w:left="1440" w:hanging="1440"/>
      </w:pPr>
      <w:rPr>
        <w:rFonts w:hint="default" w:cs="Times New Roman"/>
      </w:rPr>
    </w:lvl>
    <w:lvl w:ilvl="8" w:tentative="0">
      <w:start w:val="1"/>
      <w:numFmt w:val="decimal"/>
      <w:lvlText w:val="%1.%2.%3.%4.%5.%6.%7.%8.%9"/>
      <w:lvlJc w:val="left"/>
      <w:pPr>
        <w:tabs>
          <w:tab w:val="left" w:pos="0"/>
        </w:tabs>
        <w:ind w:left="1440" w:hanging="1440"/>
      </w:pPr>
      <w:rPr>
        <w:rFonts w:hint="default" w:cs="Times New Roman"/>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52F5B"/>
    <w:rsid w:val="02ED53B1"/>
    <w:rsid w:val="042E2F8B"/>
    <w:rsid w:val="05661221"/>
    <w:rsid w:val="05F463F9"/>
    <w:rsid w:val="07FC2E4B"/>
    <w:rsid w:val="0B661A58"/>
    <w:rsid w:val="0BC727C6"/>
    <w:rsid w:val="0BCF762A"/>
    <w:rsid w:val="0E9B1118"/>
    <w:rsid w:val="101D20A7"/>
    <w:rsid w:val="11762C7E"/>
    <w:rsid w:val="133A3B86"/>
    <w:rsid w:val="14865D29"/>
    <w:rsid w:val="1600136D"/>
    <w:rsid w:val="1F9C3EC1"/>
    <w:rsid w:val="22260253"/>
    <w:rsid w:val="22D718B2"/>
    <w:rsid w:val="24432268"/>
    <w:rsid w:val="276002A5"/>
    <w:rsid w:val="2AB758DB"/>
    <w:rsid w:val="2D585664"/>
    <w:rsid w:val="2F2443BA"/>
    <w:rsid w:val="30F74D2A"/>
    <w:rsid w:val="33394D40"/>
    <w:rsid w:val="33E40E39"/>
    <w:rsid w:val="34D10F18"/>
    <w:rsid w:val="34FC0988"/>
    <w:rsid w:val="35F70AE5"/>
    <w:rsid w:val="3B481FB0"/>
    <w:rsid w:val="3F962A07"/>
    <w:rsid w:val="405B0AE5"/>
    <w:rsid w:val="407D4ADF"/>
    <w:rsid w:val="4154116C"/>
    <w:rsid w:val="41E6364A"/>
    <w:rsid w:val="42015959"/>
    <w:rsid w:val="42BC318C"/>
    <w:rsid w:val="43AB23D6"/>
    <w:rsid w:val="445511BF"/>
    <w:rsid w:val="46063F19"/>
    <w:rsid w:val="484571DF"/>
    <w:rsid w:val="4A170DF8"/>
    <w:rsid w:val="4DC25F0A"/>
    <w:rsid w:val="4DF5722F"/>
    <w:rsid w:val="4EB71E32"/>
    <w:rsid w:val="51A50EC5"/>
    <w:rsid w:val="51FC3EAB"/>
    <w:rsid w:val="57452F9B"/>
    <w:rsid w:val="59C64321"/>
    <w:rsid w:val="5C114D08"/>
    <w:rsid w:val="5E2B0400"/>
    <w:rsid w:val="5EB84053"/>
    <w:rsid w:val="5F7D1411"/>
    <w:rsid w:val="5F9D6F61"/>
    <w:rsid w:val="604A6CF4"/>
    <w:rsid w:val="6051159A"/>
    <w:rsid w:val="61F271D4"/>
    <w:rsid w:val="626E4F8C"/>
    <w:rsid w:val="644261D3"/>
    <w:rsid w:val="64DB75A4"/>
    <w:rsid w:val="6A174F0A"/>
    <w:rsid w:val="6AAA4D62"/>
    <w:rsid w:val="6CA3071D"/>
    <w:rsid w:val="6E545270"/>
    <w:rsid w:val="724F7E7E"/>
    <w:rsid w:val="73DA561F"/>
    <w:rsid w:val="761168A6"/>
    <w:rsid w:val="76325C6F"/>
    <w:rsid w:val="77DC3372"/>
    <w:rsid w:val="78D072B7"/>
    <w:rsid w:val="79B815F5"/>
    <w:rsid w:val="79F308DF"/>
    <w:rsid w:val="7A680890"/>
    <w:rsid w:val="7A9905B0"/>
    <w:rsid w:val="7BFD8DBD"/>
    <w:rsid w:val="7E5300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0"/>
    <w:pPr>
      <w:keepNext/>
      <w:keepLines/>
      <w:widowControl w:val="0"/>
      <w:numPr>
        <w:ilvl w:val="0"/>
        <w:numId w:val="1"/>
      </w:numPr>
      <w:spacing w:before="340" w:after="330" w:line="578" w:lineRule="auto"/>
      <w:jc w:val="center"/>
      <w:outlineLvl w:val="0"/>
    </w:pPr>
    <w:rPr>
      <w:b/>
      <w:bCs/>
      <w:sz w:val="32"/>
      <w:szCs w:val="44"/>
    </w:rPr>
  </w:style>
  <w:style w:type="paragraph" w:styleId="4">
    <w:name w:val="heading 2"/>
    <w:basedOn w:val="1"/>
    <w:next w:val="1"/>
    <w:qFormat/>
    <w:uiPriority w:val="0"/>
    <w:pPr>
      <w:keepNext/>
      <w:keepLines/>
      <w:widowControl w:val="0"/>
      <w:numPr>
        <w:ilvl w:val="1"/>
        <w:numId w:val="1"/>
      </w:numPr>
      <w:spacing w:before="260" w:after="260" w:line="415" w:lineRule="auto"/>
      <w:outlineLvl w:val="1"/>
    </w:pPr>
    <w:rPr>
      <w:rFonts w:ascii="Cambria" w:hAnsi="Cambria"/>
      <w:b/>
      <w:bCs/>
      <w:sz w:val="32"/>
      <w:szCs w:val="32"/>
    </w:rPr>
  </w:style>
  <w:style w:type="paragraph" w:styleId="5">
    <w:name w:val="heading 3"/>
    <w:basedOn w:val="1"/>
    <w:next w:val="1"/>
    <w:qFormat/>
    <w:uiPriority w:val="0"/>
    <w:pPr>
      <w:keepNext/>
      <w:keepLines/>
      <w:widowControl w:val="0"/>
      <w:numPr>
        <w:ilvl w:val="2"/>
        <w:numId w:val="1"/>
      </w:numPr>
      <w:spacing w:before="260" w:after="260" w:line="415" w:lineRule="auto"/>
      <w:outlineLvl w:val="2"/>
    </w:pPr>
    <w:rPr>
      <w:b/>
      <w:bCs/>
      <w:sz w:val="32"/>
      <w:szCs w:val="32"/>
    </w:rPr>
  </w:style>
  <w:style w:type="paragraph" w:styleId="6">
    <w:name w:val="heading 4"/>
    <w:basedOn w:val="1"/>
    <w:next w:val="1"/>
    <w:qFormat/>
    <w:uiPriority w:val="0"/>
    <w:pPr>
      <w:keepNext/>
      <w:keepLines/>
      <w:widowControl w:val="0"/>
      <w:numPr>
        <w:ilvl w:val="3"/>
        <w:numId w:val="1"/>
      </w:numPr>
      <w:spacing w:before="280" w:after="290" w:line="377" w:lineRule="auto"/>
      <w:outlineLvl w:val="3"/>
    </w:pPr>
    <w:rPr>
      <w:rFonts w:ascii="Cambria" w:hAnsi="Cambria"/>
      <w:b/>
      <w:bCs/>
      <w:sz w:val="28"/>
      <w:szCs w:val="28"/>
    </w:rPr>
  </w:style>
  <w:style w:type="paragraph" w:styleId="7">
    <w:name w:val="heading 5"/>
    <w:basedOn w:val="1"/>
    <w:next w:val="1"/>
    <w:qFormat/>
    <w:uiPriority w:val="0"/>
    <w:pPr>
      <w:keepNext/>
      <w:keepLines/>
      <w:widowControl w:val="0"/>
      <w:numPr>
        <w:ilvl w:val="4"/>
        <w:numId w:val="1"/>
      </w:numPr>
      <w:spacing w:before="280" w:after="290" w:line="377" w:lineRule="auto"/>
      <w:outlineLvl w:val="4"/>
    </w:pPr>
    <w:rPr>
      <w:b/>
      <w:bCs/>
      <w:sz w:val="28"/>
      <w:szCs w:val="28"/>
    </w:rPr>
  </w:style>
  <w:style w:type="paragraph" w:styleId="8">
    <w:name w:val="heading 6"/>
    <w:basedOn w:val="1"/>
    <w:next w:val="1"/>
    <w:qFormat/>
    <w:uiPriority w:val="0"/>
    <w:pPr>
      <w:keepNext/>
      <w:keepLines/>
      <w:widowControl w:val="0"/>
      <w:numPr>
        <w:ilvl w:val="5"/>
        <w:numId w:val="1"/>
      </w:numPr>
      <w:spacing w:before="240" w:after="64" w:line="319" w:lineRule="auto"/>
      <w:outlineLvl w:val="5"/>
    </w:pPr>
    <w:rPr>
      <w:rFonts w:ascii="Cambria" w:hAnsi="Cambria"/>
      <w:b/>
      <w:bCs/>
      <w:sz w:val="24"/>
    </w:rPr>
  </w:style>
  <w:style w:type="paragraph" w:styleId="9">
    <w:name w:val="heading 7"/>
    <w:basedOn w:val="1"/>
    <w:next w:val="1"/>
    <w:qFormat/>
    <w:uiPriority w:val="0"/>
    <w:pPr>
      <w:keepNext/>
      <w:keepLines/>
      <w:widowControl w:val="0"/>
      <w:numPr>
        <w:ilvl w:val="6"/>
        <w:numId w:val="1"/>
      </w:numPr>
      <w:spacing w:before="240" w:after="64" w:line="319" w:lineRule="auto"/>
      <w:outlineLvl w:val="6"/>
    </w:pPr>
    <w:rPr>
      <w:b/>
      <w:bCs/>
      <w:sz w:val="24"/>
    </w:rPr>
  </w:style>
  <w:style w:type="paragraph" w:styleId="10">
    <w:name w:val="heading 8"/>
    <w:basedOn w:val="1"/>
    <w:next w:val="1"/>
    <w:qFormat/>
    <w:uiPriority w:val="0"/>
    <w:pPr>
      <w:keepNext/>
      <w:keepLines/>
      <w:widowControl w:val="0"/>
      <w:numPr>
        <w:ilvl w:val="7"/>
        <w:numId w:val="1"/>
      </w:numPr>
      <w:spacing w:before="240" w:after="64" w:line="319" w:lineRule="auto"/>
      <w:outlineLvl w:val="7"/>
    </w:pPr>
    <w:rPr>
      <w:rFonts w:ascii="Cambria" w:hAnsi="Cambria"/>
      <w:sz w:val="24"/>
    </w:rPr>
  </w:style>
  <w:style w:type="paragraph" w:styleId="11">
    <w:name w:val="heading 9"/>
    <w:basedOn w:val="1"/>
    <w:next w:val="1"/>
    <w:qFormat/>
    <w:uiPriority w:val="0"/>
    <w:pPr>
      <w:keepNext/>
      <w:keepLines/>
      <w:widowControl w:val="0"/>
      <w:numPr>
        <w:ilvl w:val="8"/>
        <w:numId w:val="1"/>
      </w:numPr>
      <w:spacing w:before="240" w:after="64" w:line="319" w:lineRule="auto"/>
      <w:outlineLvl w:val="8"/>
    </w:pPr>
    <w:rPr>
      <w:rFonts w:ascii="Cambria" w:hAnsi="Cambria"/>
      <w:szCs w:val="21"/>
    </w:rPr>
  </w:style>
  <w:style w:type="character" w:default="1" w:styleId="53">
    <w:name w:val="Default Paragraph Font"/>
    <w:qFormat/>
    <w:uiPriority w:val="0"/>
  </w:style>
  <w:style w:type="table" w:default="1" w:styleId="51">
    <w:name w:val="Normal Table"/>
    <w:semiHidden/>
    <w:qFormat/>
    <w:uiPriority w:val="0"/>
    <w:tblPr>
      <w:tblCellMar>
        <w:top w:w="0" w:type="dxa"/>
        <w:left w:w="108" w:type="dxa"/>
        <w:bottom w:w="0" w:type="dxa"/>
        <w:right w:w="108" w:type="dxa"/>
      </w:tblCellMar>
    </w:tblPr>
  </w:style>
  <w:style w:type="paragraph" w:customStyle="1" w:styleId="2">
    <w:name w:val="列表段落1"/>
    <w:basedOn w:val="1"/>
    <w:qFormat/>
    <w:uiPriority w:val="0"/>
    <w:pPr>
      <w:ind w:firstLine="200"/>
    </w:pPr>
  </w:style>
  <w:style w:type="paragraph" w:styleId="12">
    <w:name w:val="List 3"/>
    <w:basedOn w:val="1"/>
    <w:qFormat/>
    <w:uiPriority w:val="0"/>
    <w:pPr>
      <w:spacing w:before="100" w:beforeAutospacing="1" w:after="100" w:afterAutospacing="1"/>
      <w:ind w:left="1260" w:hanging="420"/>
    </w:pPr>
    <w:rPr>
      <w:szCs w:val="21"/>
    </w:rPr>
  </w:style>
  <w:style w:type="paragraph" w:styleId="13">
    <w:name w:val="toc 7"/>
    <w:basedOn w:val="1"/>
    <w:next w:val="1"/>
    <w:qFormat/>
    <w:uiPriority w:val="0"/>
    <w:pPr>
      <w:ind w:left="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qFormat/>
    <w:uiPriority w:val="0"/>
    <w:rPr>
      <w:rFonts w:ascii="宋体"/>
      <w:sz w:val="18"/>
      <w:szCs w:val="18"/>
    </w:rPr>
  </w:style>
  <w:style w:type="paragraph" w:styleId="17">
    <w:name w:val="annotation text"/>
    <w:basedOn w:val="1"/>
    <w:qFormat/>
    <w:uiPriority w:val="0"/>
    <w:pPr>
      <w:widowControl w:val="0"/>
      <w:spacing w:after="160" w:line="278" w:lineRule="auto"/>
      <w:jc w:val="left"/>
    </w:pPr>
    <w:rPr>
      <w:rFonts w:ascii="Times New Roman" w:hAnsi="Times New Roman" w:eastAsia="宋体" w:cs="Times New Roman"/>
      <w:sz w:val="21"/>
      <w:szCs w:val="24"/>
      <w:lang w:val="en-US" w:eastAsia="zh-CN" w:bidi="ar-SA"/>
    </w:rPr>
  </w:style>
  <w:style w:type="paragraph" w:styleId="18">
    <w:name w:val="Body Text 3"/>
    <w:basedOn w:val="1"/>
    <w:qFormat/>
    <w:uiPriority w:val="0"/>
    <w:rPr>
      <w:rFonts w:ascii="宋体"/>
      <w:sz w:val="24"/>
      <w:szCs w:val="20"/>
    </w:rPr>
  </w:style>
  <w:style w:type="paragraph" w:styleId="19">
    <w:name w:val="Body Text"/>
    <w:basedOn w:val="1"/>
    <w:next w:val="1"/>
    <w:qFormat/>
    <w:uiPriority w:val="0"/>
    <w:pPr>
      <w:jc w:val="center"/>
    </w:pPr>
    <w:rPr>
      <w:rFonts w:eastAsia="幼圆"/>
      <w:b/>
      <w:bCs/>
      <w:sz w:val="44"/>
    </w:rPr>
  </w:style>
  <w:style w:type="paragraph" w:styleId="20">
    <w:name w:val="Body Text Indent"/>
    <w:basedOn w:val="1"/>
    <w:next w:val="21"/>
    <w:qFormat/>
    <w:uiPriority w:val="0"/>
    <w:pPr>
      <w:spacing w:after="120"/>
      <w:ind w:left="200"/>
    </w:pPr>
  </w:style>
  <w:style w:type="paragraph" w:styleId="21">
    <w:name w:val="envelope return"/>
    <w:basedOn w:val="1"/>
    <w:qFormat/>
    <w:uiPriority w:val="0"/>
    <w:rPr>
      <w:rFonts w:ascii="Arial" w:hAnsi="Arial"/>
    </w:rPr>
  </w:style>
  <w:style w:type="paragraph" w:styleId="22">
    <w:name w:val="Block Text"/>
    <w:basedOn w:val="1"/>
    <w:next w:val="1"/>
    <w:qFormat/>
    <w:uiPriority w:val="0"/>
    <w:pPr>
      <w:spacing w:after="120"/>
      <w:ind w:left="700" w:right="700"/>
    </w:pPr>
  </w:style>
  <w:style w:type="paragraph" w:styleId="23">
    <w:name w:val="index 4"/>
    <w:basedOn w:val="24"/>
    <w:next w:val="1"/>
    <w:qFormat/>
    <w:uiPriority w:val="0"/>
    <w:pPr>
      <w:ind w:left="600"/>
    </w:pPr>
    <w:rPr>
      <w:rFonts w:ascii="Calibri" w:hAnsi="Calibri"/>
    </w:rPr>
  </w:style>
  <w:style w:type="paragraph" w:styleId="24">
    <w:name w:val="index 1"/>
    <w:basedOn w:val="1"/>
    <w:next w:val="1"/>
    <w:qFormat/>
    <w:uiPriority w:val="0"/>
    <w:pPr>
      <w:spacing w:line="220" w:lineRule="exact"/>
      <w:jc w:val="center"/>
    </w:pPr>
    <w:rPr>
      <w:rFonts w:ascii="仿宋_GB2312" w:eastAsia="仿宋_GB2312"/>
      <w:szCs w:val="22"/>
    </w:rPr>
  </w:style>
  <w:style w:type="paragraph" w:styleId="25">
    <w:name w:val="toc 5"/>
    <w:basedOn w:val="1"/>
    <w:next w:val="1"/>
    <w:qFormat/>
    <w:uiPriority w:val="0"/>
    <w:pPr>
      <w:ind w:left="800"/>
    </w:pPr>
    <w:rPr>
      <w:rFonts w:ascii="Calibri" w:hAnsi="Calibri"/>
      <w:szCs w:val="22"/>
    </w:rPr>
  </w:style>
  <w:style w:type="paragraph" w:styleId="26">
    <w:name w:val="toc 3"/>
    <w:basedOn w:val="1"/>
    <w:next w:val="1"/>
    <w:qFormat/>
    <w:uiPriority w:val="0"/>
    <w:pPr>
      <w:ind w:left="400"/>
    </w:pPr>
    <w:rPr>
      <w:rFonts w:ascii="Calibri" w:hAnsi="Calibri"/>
      <w:szCs w:val="22"/>
    </w:rPr>
  </w:style>
  <w:style w:type="paragraph" w:styleId="27">
    <w:name w:val="Plain Text"/>
    <w:basedOn w:val="1"/>
    <w:qFormat/>
    <w:uiPriority w:val="0"/>
    <w:rPr>
      <w:rFonts w:ascii="Ari" w:hAnsi="Ari"/>
      <w:sz w:val="20"/>
      <w:szCs w:val="20"/>
    </w:rPr>
  </w:style>
  <w:style w:type="paragraph" w:styleId="28">
    <w:name w:val="toc 8"/>
    <w:basedOn w:val="1"/>
    <w:next w:val="1"/>
    <w:qFormat/>
    <w:uiPriority w:val="0"/>
    <w:pPr>
      <w:ind w:left="1400"/>
    </w:pPr>
    <w:rPr>
      <w:rFonts w:ascii="Calibri" w:hAnsi="Calibri"/>
      <w:szCs w:val="22"/>
    </w:rPr>
  </w:style>
  <w:style w:type="paragraph" w:styleId="29">
    <w:name w:val="Date"/>
    <w:basedOn w:val="1"/>
    <w:next w:val="1"/>
    <w:qFormat/>
    <w:uiPriority w:val="0"/>
  </w:style>
  <w:style w:type="paragraph" w:styleId="30">
    <w:name w:val="Body Text Indent 2"/>
    <w:basedOn w:val="1"/>
    <w:qFormat/>
    <w:uiPriority w:val="0"/>
    <w:pPr>
      <w:spacing w:line="420" w:lineRule="exact"/>
      <w:ind w:firstLine="525"/>
    </w:pPr>
    <w:rPr>
      <w:rFonts w:ascii="宋体"/>
      <w:sz w:val="20"/>
      <w:szCs w:val="20"/>
    </w:rPr>
  </w:style>
  <w:style w:type="paragraph" w:styleId="31">
    <w:name w:val="endnote text"/>
    <w:basedOn w:val="1"/>
    <w:link w:val="207"/>
    <w:semiHidden/>
    <w:unhideWhenUsed/>
    <w:qFormat/>
    <w:uiPriority w:val="99"/>
    <w:pPr>
      <w:spacing w:after="0" w:line="240" w:lineRule="auto"/>
    </w:pPr>
    <w:rPr>
      <w:sz w:val="20"/>
    </w:rPr>
  </w:style>
  <w:style w:type="paragraph" w:styleId="32">
    <w:name w:val="Balloon Text"/>
    <w:basedOn w:val="1"/>
    <w:qFormat/>
    <w:uiPriority w:val="0"/>
    <w:rPr>
      <w:sz w:val="18"/>
      <w:szCs w:val="18"/>
    </w:rPr>
  </w:style>
  <w:style w:type="paragraph" w:styleId="33">
    <w:name w:val="footer"/>
    <w:basedOn w:val="1"/>
    <w:qFormat/>
    <w:uiPriority w:val="0"/>
    <w:pPr>
      <w:tabs>
        <w:tab w:val="center" w:pos="4153"/>
        <w:tab w:val="right" w:pos="8306"/>
      </w:tabs>
      <w:jc w:val="left"/>
    </w:pPr>
    <w:rPr>
      <w:sz w:val="18"/>
      <w:szCs w:val="18"/>
    </w:rPr>
  </w:style>
  <w:style w:type="paragraph" w:styleId="34">
    <w:name w:val="header"/>
    <w:basedOn w:val="1"/>
    <w:qFormat/>
    <w:uiPriority w:val="0"/>
    <w:pPr>
      <w:pBdr>
        <w:bottom w:val="single" w:color="auto" w:sz="6" w:space="1"/>
      </w:pBdr>
      <w:tabs>
        <w:tab w:val="center" w:pos="4153"/>
        <w:tab w:val="right" w:pos="8306"/>
      </w:tabs>
      <w:jc w:val="center"/>
    </w:pPr>
    <w:rPr>
      <w:sz w:val="18"/>
      <w:szCs w:val="18"/>
    </w:rPr>
  </w:style>
  <w:style w:type="paragraph" w:styleId="35">
    <w:name w:val="toc 1"/>
    <w:basedOn w:val="1"/>
    <w:next w:val="1"/>
    <w:qFormat/>
    <w:uiPriority w:val="0"/>
  </w:style>
  <w:style w:type="paragraph" w:styleId="36">
    <w:name w:val="toc 4"/>
    <w:basedOn w:val="1"/>
    <w:next w:val="1"/>
    <w:qFormat/>
    <w:uiPriority w:val="0"/>
    <w:pPr>
      <w:ind w:left="600"/>
    </w:pPr>
    <w:rPr>
      <w:rFonts w:ascii="Calibri" w:hAnsi="Calibri"/>
      <w:szCs w:val="22"/>
    </w:rPr>
  </w:style>
  <w:style w:type="paragraph" w:styleId="37">
    <w:name w:val="Subtitle"/>
    <w:basedOn w:val="1"/>
    <w:next w:val="1"/>
    <w:qFormat/>
    <w:uiPriority w:val="0"/>
    <w:pPr>
      <w:spacing w:before="240" w:after="60" w:line="312" w:lineRule="auto"/>
      <w:jc w:val="center"/>
      <w:outlineLvl w:val="1"/>
    </w:pPr>
    <w:rPr>
      <w:rFonts w:ascii="Cambria" w:hAnsi="Cambria"/>
      <w:b/>
      <w:bCs/>
      <w:sz w:val="32"/>
      <w:szCs w:val="32"/>
    </w:rPr>
  </w:style>
  <w:style w:type="paragraph" w:styleId="38">
    <w:name w:val="footnote text"/>
    <w:basedOn w:val="1"/>
    <w:link w:val="206"/>
    <w:semiHidden/>
    <w:unhideWhenUsed/>
    <w:qFormat/>
    <w:uiPriority w:val="99"/>
    <w:pPr>
      <w:spacing w:after="40" w:line="240" w:lineRule="auto"/>
    </w:pPr>
    <w:rPr>
      <w:sz w:val="18"/>
    </w:rPr>
  </w:style>
  <w:style w:type="paragraph" w:styleId="39">
    <w:name w:val="toc 6"/>
    <w:basedOn w:val="1"/>
    <w:next w:val="1"/>
    <w:qFormat/>
    <w:uiPriority w:val="0"/>
    <w:pPr>
      <w:ind w:left="1000"/>
    </w:pPr>
    <w:rPr>
      <w:rFonts w:ascii="Calibri" w:hAnsi="Calibri"/>
      <w:szCs w:val="22"/>
    </w:rPr>
  </w:style>
  <w:style w:type="paragraph" w:styleId="40">
    <w:name w:val="Body Text Indent 3"/>
    <w:basedOn w:val="1"/>
    <w:qFormat/>
    <w:uiPriority w:val="0"/>
    <w:pPr>
      <w:spacing w:after="120"/>
      <w:ind w:left="200"/>
    </w:pPr>
    <w:rPr>
      <w:sz w:val="16"/>
      <w:szCs w:val="20"/>
    </w:rPr>
  </w:style>
  <w:style w:type="paragraph" w:styleId="41">
    <w:name w:val="table of figures"/>
    <w:basedOn w:val="1"/>
    <w:next w:val="1"/>
    <w:unhideWhenUsed/>
    <w:qFormat/>
    <w:uiPriority w:val="99"/>
    <w:pPr>
      <w:spacing w:after="0" w:afterAutospacing="0"/>
    </w:pPr>
  </w:style>
  <w:style w:type="paragraph" w:styleId="42">
    <w:name w:val="toc 2"/>
    <w:basedOn w:val="1"/>
    <w:next w:val="1"/>
    <w:qFormat/>
    <w:uiPriority w:val="0"/>
    <w:pPr>
      <w:ind w:left="200"/>
    </w:pPr>
    <w:rPr>
      <w:rFonts w:ascii="Calibri" w:hAnsi="Calibri"/>
      <w:szCs w:val="22"/>
    </w:rPr>
  </w:style>
  <w:style w:type="paragraph" w:styleId="43">
    <w:name w:val="toc 9"/>
    <w:basedOn w:val="1"/>
    <w:next w:val="1"/>
    <w:qFormat/>
    <w:uiPriority w:val="0"/>
    <w:pPr>
      <w:ind w:left="1600"/>
    </w:pPr>
    <w:rPr>
      <w:rFonts w:ascii="Calibri" w:hAnsi="Calibri"/>
      <w:szCs w:val="22"/>
    </w:rPr>
  </w:style>
  <w:style w:type="paragraph" w:styleId="44">
    <w:name w:val="Body Text 2"/>
    <w:basedOn w:val="1"/>
    <w:qFormat/>
    <w:uiPriority w:val="0"/>
    <w:pPr>
      <w:spacing w:after="120" w:line="480" w:lineRule="auto"/>
    </w:pPr>
  </w:style>
  <w:style w:type="paragraph" w:styleId="4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sz w:val="24"/>
    </w:rPr>
  </w:style>
  <w:style w:type="paragraph" w:styleId="46">
    <w:name w:val="Normal (Web)"/>
    <w:basedOn w:val="1"/>
    <w:qFormat/>
    <w:uiPriority w:val="0"/>
    <w:pPr>
      <w:widowControl/>
      <w:spacing w:before="100" w:beforeAutospacing="1" w:after="100" w:afterAutospacing="1"/>
      <w:jc w:val="left"/>
    </w:pPr>
    <w:rPr>
      <w:rFonts w:ascii="宋体" w:cs="宋体"/>
      <w:sz w:val="24"/>
    </w:rPr>
  </w:style>
  <w:style w:type="paragraph" w:styleId="47">
    <w:name w:val="Title"/>
    <w:basedOn w:val="1"/>
    <w:next w:val="1"/>
    <w:qFormat/>
    <w:uiPriority w:val="0"/>
    <w:pPr>
      <w:spacing w:before="240" w:after="60" w:line="420" w:lineRule="atLeast"/>
      <w:jc w:val="center"/>
      <w:outlineLvl w:val="0"/>
    </w:pPr>
    <w:rPr>
      <w:rFonts w:ascii="Arial" w:hAnsi="Arial"/>
      <w:b/>
      <w:sz w:val="32"/>
      <w:szCs w:val="20"/>
    </w:rPr>
  </w:style>
  <w:style w:type="paragraph" w:styleId="48">
    <w:name w:val="annotation subject"/>
    <w:basedOn w:val="17"/>
    <w:next w:val="17"/>
    <w:qFormat/>
    <w:uiPriority w:val="0"/>
    <w:rPr>
      <w:b/>
      <w:bCs/>
    </w:rPr>
  </w:style>
  <w:style w:type="paragraph" w:styleId="49">
    <w:name w:val="Body Text First Indent"/>
    <w:basedOn w:val="19"/>
    <w:qFormat/>
    <w:uiPriority w:val="0"/>
    <w:pPr>
      <w:ind w:firstLine="100"/>
    </w:pPr>
  </w:style>
  <w:style w:type="paragraph" w:styleId="50">
    <w:name w:val="Body Text First Indent 2"/>
    <w:basedOn w:val="20"/>
    <w:qFormat/>
    <w:uiPriority w:val="0"/>
    <w:pPr>
      <w:ind w:firstLine="200"/>
    </w:pPr>
  </w:style>
  <w:style w:type="table" w:styleId="52">
    <w:name w:val="Table Grid"/>
    <w:basedOn w:val="51"/>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4">
    <w:name w:val="Strong"/>
    <w:basedOn w:val="53"/>
    <w:qFormat/>
    <w:uiPriority w:val="0"/>
    <w:rPr>
      <w:rFonts w:cs="Times New Roman"/>
      <w:b/>
    </w:rPr>
  </w:style>
  <w:style w:type="character" w:styleId="55">
    <w:name w:val="endnote reference"/>
    <w:basedOn w:val="53"/>
    <w:semiHidden/>
    <w:unhideWhenUsed/>
    <w:qFormat/>
    <w:uiPriority w:val="99"/>
    <w:rPr>
      <w:vertAlign w:val="superscript"/>
    </w:rPr>
  </w:style>
  <w:style w:type="character" w:styleId="56">
    <w:name w:val="page number"/>
    <w:basedOn w:val="53"/>
    <w:qFormat/>
    <w:uiPriority w:val="0"/>
    <w:rPr>
      <w:rFonts w:eastAsia="宋体" w:cs="Times New Roman"/>
      <w:b/>
      <w:spacing w:val="0"/>
      <w:sz w:val="24"/>
      <w:vertAlign w:val="baseline"/>
      <w:lang w:val="en-US" w:eastAsia="zh-CN"/>
    </w:rPr>
  </w:style>
  <w:style w:type="character" w:styleId="57">
    <w:name w:val="FollowedHyperlink"/>
    <w:basedOn w:val="53"/>
    <w:qFormat/>
    <w:uiPriority w:val="0"/>
    <w:rPr>
      <w:rFonts w:cs="Times New Roman"/>
      <w:color w:val="800080"/>
      <w:u w:val="single"/>
    </w:rPr>
  </w:style>
  <w:style w:type="character" w:styleId="58">
    <w:name w:val="Emphasis"/>
    <w:basedOn w:val="53"/>
    <w:qFormat/>
    <w:uiPriority w:val="0"/>
    <w:rPr>
      <w:rFonts w:cs="Times New Roman"/>
      <w:color w:val="CC0000"/>
    </w:rPr>
  </w:style>
  <w:style w:type="character" w:styleId="59">
    <w:name w:val="Hyperlink"/>
    <w:basedOn w:val="53"/>
    <w:qFormat/>
    <w:uiPriority w:val="0"/>
    <w:rPr>
      <w:rFonts w:cs="Times New Roman"/>
      <w:color w:val="0000FF"/>
      <w:u w:val="single"/>
    </w:rPr>
  </w:style>
  <w:style w:type="character" w:styleId="60">
    <w:name w:val="annotation reference"/>
    <w:basedOn w:val="53"/>
    <w:qFormat/>
    <w:uiPriority w:val="0"/>
    <w:rPr>
      <w:rFonts w:cs="Times New Roman"/>
      <w:sz w:val="21"/>
    </w:rPr>
  </w:style>
  <w:style w:type="character" w:styleId="61">
    <w:name w:val="HTML Cite"/>
    <w:basedOn w:val="53"/>
    <w:qFormat/>
    <w:uiPriority w:val="0"/>
    <w:rPr>
      <w:rFonts w:cs="Times New Roman"/>
      <w:color w:val="008000"/>
    </w:rPr>
  </w:style>
  <w:style w:type="character" w:styleId="62">
    <w:name w:val="footnote reference"/>
    <w:basedOn w:val="53"/>
    <w:unhideWhenUsed/>
    <w:qFormat/>
    <w:uiPriority w:val="99"/>
    <w:rPr>
      <w:vertAlign w:val="superscript"/>
    </w:rPr>
  </w:style>
  <w:style w:type="character" w:customStyle="1" w:styleId="63">
    <w:name w:val="Heading 1 Char"/>
    <w:basedOn w:val="53"/>
    <w:qFormat/>
    <w:uiPriority w:val="9"/>
    <w:rPr>
      <w:rFonts w:ascii="Arial" w:hAnsi="Arial" w:eastAsia="Arial" w:cs="Arial"/>
      <w:sz w:val="40"/>
      <w:szCs w:val="40"/>
    </w:rPr>
  </w:style>
  <w:style w:type="character" w:customStyle="1" w:styleId="64">
    <w:name w:val="Heading 2 Char"/>
    <w:basedOn w:val="53"/>
    <w:qFormat/>
    <w:uiPriority w:val="9"/>
    <w:rPr>
      <w:rFonts w:ascii="Arial" w:hAnsi="Arial" w:eastAsia="Arial" w:cs="Arial"/>
      <w:sz w:val="34"/>
    </w:rPr>
  </w:style>
  <w:style w:type="character" w:customStyle="1" w:styleId="65">
    <w:name w:val="Heading 4 Char"/>
    <w:basedOn w:val="53"/>
    <w:qFormat/>
    <w:uiPriority w:val="9"/>
    <w:rPr>
      <w:rFonts w:ascii="Arial" w:hAnsi="Arial" w:eastAsia="Arial" w:cs="Arial"/>
      <w:b/>
      <w:bCs/>
      <w:sz w:val="26"/>
      <w:szCs w:val="26"/>
    </w:rPr>
  </w:style>
  <w:style w:type="character" w:customStyle="1" w:styleId="66">
    <w:name w:val="Heading 5 Char"/>
    <w:basedOn w:val="53"/>
    <w:qFormat/>
    <w:uiPriority w:val="9"/>
    <w:rPr>
      <w:rFonts w:ascii="Arial" w:hAnsi="Arial" w:eastAsia="Arial" w:cs="Arial"/>
      <w:b/>
      <w:bCs/>
      <w:sz w:val="24"/>
      <w:szCs w:val="24"/>
    </w:rPr>
  </w:style>
  <w:style w:type="character" w:customStyle="1" w:styleId="67">
    <w:name w:val="Heading 6 Char"/>
    <w:basedOn w:val="53"/>
    <w:qFormat/>
    <w:uiPriority w:val="9"/>
    <w:rPr>
      <w:rFonts w:ascii="Arial" w:hAnsi="Arial" w:eastAsia="Arial" w:cs="Arial"/>
      <w:b/>
      <w:bCs/>
      <w:sz w:val="22"/>
      <w:szCs w:val="22"/>
    </w:rPr>
  </w:style>
  <w:style w:type="character" w:customStyle="1" w:styleId="68">
    <w:name w:val="Heading 7 Char"/>
    <w:basedOn w:val="53"/>
    <w:qFormat/>
    <w:uiPriority w:val="9"/>
    <w:rPr>
      <w:rFonts w:ascii="Arial" w:hAnsi="Arial" w:eastAsia="Arial" w:cs="Arial"/>
      <w:b/>
      <w:bCs/>
      <w:i/>
      <w:iCs/>
      <w:sz w:val="22"/>
      <w:szCs w:val="22"/>
    </w:rPr>
  </w:style>
  <w:style w:type="character" w:customStyle="1" w:styleId="69">
    <w:name w:val="Heading 8 Char"/>
    <w:basedOn w:val="53"/>
    <w:qFormat/>
    <w:uiPriority w:val="9"/>
    <w:rPr>
      <w:rFonts w:ascii="Arial" w:hAnsi="Arial" w:eastAsia="Arial" w:cs="Arial"/>
      <w:i/>
      <w:iCs/>
      <w:sz w:val="22"/>
      <w:szCs w:val="22"/>
    </w:rPr>
  </w:style>
  <w:style w:type="character" w:customStyle="1" w:styleId="70">
    <w:name w:val="Heading 9 Char"/>
    <w:basedOn w:val="53"/>
    <w:qFormat/>
    <w:uiPriority w:val="9"/>
    <w:rPr>
      <w:rFonts w:ascii="Arial" w:hAnsi="Arial" w:eastAsia="Arial" w:cs="Arial"/>
      <w:i/>
      <w:iCs/>
      <w:sz w:val="21"/>
      <w:szCs w:val="21"/>
    </w:rPr>
  </w:style>
  <w:style w:type="paragraph" w:styleId="71">
    <w:name w:val="No Spacing"/>
    <w:qFormat/>
    <w:uiPriority w:val="1"/>
    <w:pPr>
      <w:spacing w:before="0" w:after="0" w:line="240" w:lineRule="auto"/>
    </w:pPr>
    <w:rPr>
      <w:rFonts w:hint="default" w:ascii="Times New Roman" w:hAnsi="Times New Roman" w:eastAsia="宋体" w:cs="Times New Roman"/>
    </w:rPr>
  </w:style>
  <w:style w:type="character" w:customStyle="1" w:styleId="72">
    <w:name w:val="Title Char"/>
    <w:basedOn w:val="53"/>
    <w:qFormat/>
    <w:uiPriority w:val="10"/>
    <w:rPr>
      <w:sz w:val="48"/>
      <w:szCs w:val="48"/>
    </w:rPr>
  </w:style>
  <w:style w:type="character" w:customStyle="1" w:styleId="73">
    <w:name w:val="Subtitle Char"/>
    <w:basedOn w:val="53"/>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Quote Char"/>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7">
    <w:name w:val="Intense Quote Char"/>
    <w:link w:val="76"/>
    <w:qFormat/>
    <w:uiPriority w:val="30"/>
    <w:rPr>
      <w:i/>
    </w:rPr>
  </w:style>
  <w:style w:type="character" w:customStyle="1" w:styleId="78">
    <w:name w:val="Header Char"/>
    <w:basedOn w:val="53"/>
    <w:qFormat/>
    <w:uiPriority w:val="99"/>
  </w:style>
  <w:style w:type="character" w:customStyle="1" w:styleId="79">
    <w:name w:val="Footer Char"/>
    <w:basedOn w:val="53"/>
    <w:qFormat/>
    <w:uiPriority w:val="99"/>
  </w:style>
  <w:style w:type="character" w:customStyle="1" w:styleId="80">
    <w:name w:val="Caption Char"/>
    <w:qFormat/>
    <w:uiPriority w:val="99"/>
  </w:style>
  <w:style w:type="table" w:customStyle="1" w:styleId="81">
    <w:name w:val="Table Grid Light"/>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basedOn w:val="5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basedOn w:val="5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basedOn w:val="5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basedOn w:val="5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basedOn w:val="5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5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5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5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5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5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5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Grid Table 2"/>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5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5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5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5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5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5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3"/>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5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5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5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5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5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5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4"/>
    <w:basedOn w:val="5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5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5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5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5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5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5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5 Dark"/>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Grid Table 6 Colorful"/>
    <w:basedOn w:val="5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5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5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5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6 Colorful - Accent 4"/>
    <w:basedOn w:val="5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5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5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Grid Table 7 Colorful"/>
    <w:basedOn w:val="5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5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5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5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7 Colorful - Accent 4"/>
    <w:basedOn w:val="5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5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5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List Table 1 Light"/>
    <w:basedOn w:val="5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5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5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5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5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5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5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List Table 2"/>
    <w:basedOn w:val="5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5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5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5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5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5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5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5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5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5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5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5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5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List Table 4"/>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5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5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5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5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5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5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5 Dark"/>
    <w:basedOn w:val="5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5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5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5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5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5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5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w:basedOn w:val="5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5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5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5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5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5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5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st Table 7 Colorful"/>
    <w:basedOn w:val="5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5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5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5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5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5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5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5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5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5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5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5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5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5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5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5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5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5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5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5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5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5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5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5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5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5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5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5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link w:val="38"/>
    <w:qFormat/>
    <w:uiPriority w:val="99"/>
    <w:rPr>
      <w:sz w:val="18"/>
    </w:rPr>
  </w:style>
  <w:style w:type="character" w:customStyle="1" w:styleId="207">
    <w:name w:val="Endnote Text Char"/>
    <w:link w:val="31"/>
    <w:qFormat/>
    <w:uiPriority w:val="99"/>
    <w:rPr>
      <w:sz w:val="20"/>
    </w:rPr>
  </w:style>
  <w:style w:type="paragraph" w:customStyle="1" w:styleId="208">
    <w:name w:val="TOC Heading"/>
    <w:unhideWhenUsed/>
    <w:qFormat/>
    <w:uiPriority w:val="39"/>
    <w:rPr>
      <w:rFonts w:hint="default" w:ascii="Times New Roman" w:hAnsi="Times New Roman" w:eastAsia="宋体" w:cs="Times New Roman"/>
    </w:rPr>
  </w:style>
  <w:style w:type="paragraph" w:customStyle="1" w:styleId="209">
    <w:name w:val="首行缩进"/>
    <w:basedOn w:val="1"/>
    <w:qFormat/>
    <w:uiPriority w:val="0"/>
    <w:pPr>
      <w:spacing w:line="360" w:lineRule="auto"/>
      <w:ind w:firstLine="200"/>
      <w:jc w:val="left"/>
    </w:pPr>
    <w:rPr>
      <w:rFonts w:ascii="宋体"/>
      <w:sz w:val="24"/>
    </w:rPr>
  </w:style>
  <w:style w:type="paragraph" w:customStyle="1" w:styleId="210">
    <w:name w:val="列表段落11"/>
    <w:basedOn w:val="1"/>
    <w:qFormat/>
    <w:uiPriority w:val="0"/>
    <w:pPr>
      <w:ind w:firstLine="200"/>
    </w:pPr>
    <w:rPr>
      <w:szCs w:val="20"/>
    </w:rPr>
  </w:style>
  <w:style w:type="paragraph" w:customStyle="1" w:styleId="211">
    <w:name w:val="[Normal]"/>
    <w:qFormat/>
    <w:uiPriority w:val="0"/>
    <w:pPr>
      <w:spacing w:after="160" w:line="278" w:lineRule="auto"/>
    </w:pPr>
    <w:rPr>
      <w:rFonts w:hint="default" w:ascii="方正仿宋简体" w:hAnsi="Times New Roman" w:eastAsia="方正仿宋简体" w:cs="Courier New"/>
      <w:sz w:val="24"/>
      <w:szCs w:val="22"/>
      <w:lang w:val="zh-CN" w:eastAsia="zh-CN" w:bidi="ar-SA"/>
    </w:rPr>
  </w:style>
  <w:style w:type="paragraph" w:customStyle="1" w:styleId="212">
    <w:name w:val="_Style 2"/>
    <w:basedOn w:val="1"/>
    <w:qFormat/>
    <w:uiPriority w:val="0"/>
    <w:pPr>
      <w:ind w:firstLine="200"/>
    </w:pPr>
    <w:rPr>
      <w:rFonts w:ascii="Calibri" w:hAnsi="Calibri"/>
      <w:szCs w:val="22"/>
    </w:rPr>
  </w:style>
  <w:style w:type="paragraph" w:customStyle="1" w:styleId="213">
    <w:name w:val="Default"/>
    <w:qFormat/>
    <w:uiPriority w:val="0"/>
    <w:pPr>
      <w:widowControl w:val="0"/>
      <w:spacing w:after="160" w:line="278" w:lineRule="auto"/>
    </w:pPr>
    <w:rPr>
      <w:rFonts w:hint="default" w:ascii="宋体" w:hAnsi="Times New Roman" w:eastAsia="宋体" w:cs="宋体"/>
      <w:color w:val="000000"/>
      <w:sz w:val="24"/>
      <w:szCs w:val="24"/>
      <w:lang w:val="en-US" w:eastAsia="zh-CN" w:bidi="ar-SA"/>
    </w:rPr>
  </w:style>
  <w:style w:type="character" w:customStyle="1" w:styleId="214">
    <w:name w:val="Heading 3 Char"/>
    <w:basedOn w:val="53"/>
    <w:qFormat/>
    <w:uiPriority w:val="0"/>
    <w:rPr>
      <w:rFonts w:ascii="Times New Roman" w:hAnsi="Times New Roman" w:eastAsia="宋体" w:cs="Times New Roman"/>
      <w:b/>
      <w:bCs/>
      <w:sz w:val="24"/>
      <w:szCs w:val="24"/>
    </w:rPr>
  </w:style>
  <w:style w:type="character" w:customStyle="1" w:styleId="215">
    <w:name w:val="明显强调1"/>
    <w:qFormat/>
    <w:uiPriority w:val="0"/>
    <w:rPr>
      <w:b/>
      <w:i/>
      <w:color w:val="4F81BD"/>
    </w:rPr>
  </w:style>
  <w:style w:type="character" w:customStyle="1" w:styleId="216">
    <w:name w:val="批注文字 Char2"/>
    <w:qFormat/>
    <w:uiPriority w:val="0"/>
    <w:rPr>
      <w:sz w:val="21"/>
    </w:rPr>
  </w:style>
  <w:style w:type="paragraph" w:customStyle="1" w:styleId="217">
    <w:name w:val="正文_0"/>
    <w:qFormat/>
    <w:uiPriority w:val="0"/>
    <w:pPr>
      <w:widowControl w:val="0"/>
      <w:spacing w:after="160" w:line="278" w:lineRule="auto"/>
      <w:jc w:val="both"/>
    </w:pPr>
    <w:rPr>
      <w:rFonts w:hint="default" w:ascii="Times New Roman" w:hAnsi="Times New Roman" w:eastAsia="宋体" w:cs="Times New Roman"/>
      <w:sz w:val="20"/>
      <w:szCs w:val="24"/>
      <w:lang w:val="en-US" w:eastAsia="zh-CN" w:bidi="ar-SA"/>
    </w:rPr>
  </w:style>
  <w:style w:type="paragraph" w:customStyle="1" w:styleId="218">
    <w:name w:val="标题 3_0"/>
    <w:basedOn w:val="217"/>
    <w:next w:val="217"/>
    <w:qFormat/>
    <w:uiPriority w:val="0"/>
    <w:pPr>
      <w:keepNext/>
      <w:keepLines/>
      <w:widowControl w:val="0"/>
      <w:spacing w:before="260" w:after="260" w:line="415" w:lineRule="auto"/>
      <w:outlineLvl w:val="2"/>
    </w:pPr>
    <w:rPr>
      <w:rFonts w:ascii="Calibri" w:hAnsi="Calibri" w:eastAsia="微软雅黑"/>
      <w:b/>
      <w:sz w:val="32"/>
      <w:szCs w:val="20"/>
    </w:rPr>
  </w:style>
  <w:style w:type="character" w:customStyle="1" w:styleId="219">
    <w:name w:val="正文文本 Char2"/>
    <w:qFormat/>
    <w:uiPriority w:val="0"/>
    <w:rPr>
      <w:rFonts w:ascii="Calibri" w:hAnsi="Calibri" w:eastAsia="宋体"/>
    </w:rPr>
  </w:style>
  <w:style w:type="character" w:customStyle="1" w:styleId="220">
    <w:name w:val="页脚 Char1"/>
    <w:qFormat/>
    <w:uiPriority w:val="0"/>
    <w:rPr>
      <w:rFonts w:ascii="Calibri" w:hAnsi="Calibri" w:eastAsia="宋体"/>
      <w:sz w:val="18"/>
    </w:rPr>
  </w:style>
  <w:style w:type="character" w:customStyle="1" w:styleId="221">
    <w:name w:val="明显引用 Char2"/>
    <w:qFormat/>
    <w:uiPriority w:val="0"/>
    <w:rPr>
      <w:b/>
      <w:i/>
      <w:color w:val="4F81BD"/>
      <w:sz w:val="24"/>
    </w:rPr>
  </w:style>
  <w:style w:type="paragraph" w:customStyle="1" w:styleId="222">
    <w:name w:val="引用1"/>
    <w:basedOn w:val="1"/>
    <w:next w:val="1"/>
    <w:qFormat/>
    <w:uiPriority w:val="0"/>
    <w:rPr>
      <w:rFonts w:ascii="Calibri" w:hAnsi="Calibri" w:eastAsia="微软雅黑"/>
      <w:i/>
      <w:color w:val="000000"/>
      <w:sz w:val="20"/>
      <w:szCs w:val="20"/>
    </w:rPr>
  </w:style>
  <w:style w:type="paragraph" w:customStyle="1" w:styleId="223">
    <w:name w:val="标题 1_0"/>
    <w:basedOn w:val="217"/>
    <w:next w:val="217"/>
    <w:qFormat/>
    <w:uiPriority w:val="0"/>
    <w:pPr>
      <w:keepNext/>
      <w:keepLines/>
      <w:widowControl w:val="0"/>
      <w:spacing w:before="340" w:after="330" w:line="578" w:lineRule="auto"/>
      <w:outlineLvl w:val="0"/>
    </w:pPr>
    <w:rPr>
      <w:rFonts w:ascii="Calibri" w:hAnsi="Calibri" w:eastAsia="微软雅黑"/>
      <w:b/>
      <w:sz w:val="44"/>
      <w:szCs w:val="20"/>
    </w:rPr>
  </w:style>
  <w:style w:type="character" w:customStyle="1" w:styleId="224">
    <w:name w:val="正文文本缩进 3 Char1"/>
    <w:qFormat/>
    <w:uiPriority w:val="0"/>
    <w:rPr>
      <w:sz w:val="16"/>
    </w:rPr>
  </w:style>
  <w:style w:type="character" w:customStyle="1" w:styleId="225">
    <w:name w:val="引用 Char1"/>
    <w:qFormat/>
    <w:uiPriority w:val="0"/>
    <w:rPr>
      <w:i/>
      <w:color w:val="000000"/>
      <w:sz w:val="21"/>
    </w:rPr>
  </w:style>
  <w:style w:type="character" w:customStyle="1" w:styleId="226">
    <w:name w:val="font161"/>
    <w:qFormat/>
    <w:uiPriority w:val="0"/>
    <w:rPr>
      <w:b/>
      <w:sz w:val="32"/>
    </w:rPr>
  </w:style>
  <w:style w:type="paragraph" w:customStyle="1" w:styleId="227">
    <w:name w:val="标题 4_0"/>
    <w:basedOn w:val="217"/>
    <w:next w:val="217"/>
    <w:qFormat/>
    <w:uiPriority w:val="0"/>
    <w:pPr>
      <w:keepNext/>
      <w:keepLines/>
      <w:widowControl w:val="0"/>
      <w:spacing w:before="280" w:after="290" w:line="377" w:lineRule="auto"/>
      <w:outlineLvl w:val="3"/>
    </w:pPr>
    <w:rPr>
      <w:rFonts w:ascii="Arial" w:hAnsi="Arial" w:eastAsia="黑体"/>
      <w:b/>
      <w:sz w:val="28"/>
      <w:szCs w:val="20"/>
    </w:rPr>
  </w:style>
  <w:style w:type="character" w:customStyle="1" w:styleId="228">
    <w:name w:val="引用 Char2"/>
    <w:qFormat/>
    <w:uiPriority w:val="0"/>
    <w:rPr>
      <w:i/>
      <w:color w:val="000000"/>
      <w:sz w:val="24"/>
    </w:rPr>
  </w:style>
  <w:style w:type="character" w:customStyle="1" w:styleId="229">
    <w:name w:val="rvts11"/>
    <w:qFormat/>
    <w:uiPriority w:val="0"/>
    <w:rPr>
      <w:rFonts w:ascii="KNLe" w:hAnsi="KNLe"/>
      <w:sz w:val="24"/>
      <w:u w:val="single"/>
    </w:rPr>
  </w:style>
  <w:style w:type="paragraph" w:customStyle="1" w:styleId="230">
    <w:name w:val="标题5"/>
    <w:basedOn w:val="5"/>
    <w:qFormat/>
    <w:uiPriority w:val="0"/>
    <w:pPr>
      <w:numPr>
        <w:ilvl w:val="0"/>
        <w:numId w:val="0"/>
      </w:numPr>
      <w:spacing w:line="413" w:lineRule="auto"/>
    </w:pPr>
    <w:rPr>
      <w:rFonts w:ascii="Arial" w:hAnsi="Arial" w:eastAsia="微软雅黑"/>
      <w:bCs w:val="0"/>
      <w:szCs w:val="20"/>
    </w:rPr>
  </w:style>
  <w:style w:type="character" w:customStyle="1" w:styleId="231">
    <w:name w:val="副标题 Char2"/>
    <w:qFormat/>
    <w:uiPriority w:val="0"/>
    <w:rPr>
      <w:rFonts w:ascii="Cambria" w:hAnsi="Cambria"/>
      <w:b/>
      <w:sz w:val="32"/>
    </w:rPr>
  </w:style>
  <w:style w:type="character" w:customStyle="1" w:styleId="232">
    <w:name w:val="批注主题 Char1"/>
    <w:qFormat/>
    <w:uiPriority w:val="0"/>
    <w:rPr>
      <w:b/>
      <w:sz w:val="22"/>
    </w:rPr>
  </w:style>
  <w:style w:type="character" w:customStyle="1" w:styleId="233">
    <w:name w:val="font31"/>
    <w:qFormat/>
    <w:uiPriority w:val="0"/>
    <w:rPr>
      <w:rFonts w:ascii="宋体" w:eastAsia="宋体"/>
      <w:color w:val="000000"/>
      <w:sz w:val="20"/>
      <w:u w:val="none"/>
    </w:rPr>
  </w:style>
  <w:style w:type="paragraph" w:customStyle="1" w:styleId="234">
    <w:name w:val="明显引用1"/>
    <w:basedOn w:val="1"/>
    <w:next w:val="1"/>
    <w:qFormat/>
    <w:uiPriority w:val="0"/>
    <w:pPr>
      <w:pBdr>
        <w:bottom w:val="single" w:color="4F81BD" w:sz="4" w:space="4"/>
      </w:pBdr>
      <w:spacing w:before="200" w:after="280"/>
      <w:ind w:left="936" w:right="936"/>
    </w:pPr>
    <w:rPr>
      <w:rFonts w:ascii="Calibri" w:hAnsi="Calibri" w:eastAsia="微软雅黑"/>
      <w:b/>
      <w:i/>
      <w:color w:val="4F81BD"/>
      <w:sz w:val="20"/>
      <w:szCs w:val="20"/>
    </w:rPr>
  </w:style>
  <w:style w:type="character" w:customStyle="1" w:styleId="235">
    <w:name w:val="日期 Char1"/>
    <w:qFormat/>
    <w:uiPriority w:val="0"/>
    <w:rPr>
      <w:rFonts w:ascii="Calibri" w:hAnsi="Calibri" w:eastAsia="宋体"/>
    </w:rPr>
  </w:style>
  <w:style w:type="character" w:customStyle="1" w:styleId="236">
    <w:name w:val="批注框文本 Char1"/>
    <w:qFormat/>
    <w:uiPriority w:val="0"/>
    <w:rPr>
      <w:sz w:val="18"/>
    </w:rPr>
  </w:style>
  <w:style w:type="character" w:customStyle="1" w:styleId="237">
    <w:name w:val="标题 Char1"/>
    <w:qFormat/>
    <w:uiPriority w:val="0"/>
    <w:rPr>
      <w:rFonts w:ascii="Cambria" w:hAnsi="Cambria" w:eastAsia="宋体"/>
      <w:b/>
      <w:sz w:val="32"/>
    </w:rPr>
  </w:style>
  <w:style w:type="character" w:customStyle="1" w:styleId="238">
    <w:name w:val="不明显参考1"/>
    <w:qFormat/>
    <w:uiPriority w:val="0"/>
    <w:rPr>
      <w:smallCaps/>
      <w:color w:val="C0504D"/>
      <w:u w:val="single"/>
    </w:rPr>
  </w:style>
  <w:style w:type="character" w:customStyle="1" w:styleId="239">
    <w:name w:val="批注文字 Char1"/>
    <w:qFormat/>
    <w:uiPriority w:val="0"/>
    <w:rPr>
      <w:rFonts w:ascii="Calibri" w:hAnsi="Calibri" w:eastAsia="宋体"/>
    </w:rPr>
  </w:style>
  <w:style w:type="character" w:customStyle="1" w:styleId="240">
    <w:name w:val="标题 Char2"/>
    <w:qFormat/>
    <w:uiPriority w:val="0"/>
    <w:rPr>
      <w:rFonts w:ascii="Cambria" w:hAnsi="Cambria"/>
      <w:b/>
      <w:sz w:val="32"/>
    </w:rPr>
  </w:style>
  <w:style w:type="character" w:customStyle="1" w:styleId="241">
    <w:name w:val="正文文本 3 Char1"/>
    <w:qFormat/>
    <w:uiPriority w:val="0"/>
    <w:rPr>
      <w:sz w:val="16"/>
    </w:rPr>
  </w:style>
  <w:style w:type="character" w:customStyle="1" w:styleId="242">
    <w:name w:val="批注主题 Char2"/>
    <w:qFormat/>
    <w:uiPriority w:val="0"/>
    <w:rPr>
      <w:b/>
      <w:sz w:val="21"/>
    </w:rPr>
  </w:style>
  <w:style w:type="paragraph" w:customStyle="1" w:styleId="243">
    <w:name w:val="正文文本_0"/>
    <w:basedOn w:val="217"/>
    <w:qFormat/>
    <w:uiPriority w:val="0"/>
    <w:pPr>
      <w:spacing w:after="120"/>
    </w:pPr>
    <w:rPr>
      <w:rFonts w:ascii="Calibri" w:hAnsi="Calibri" w:eastAsia="微软雅黑"/>
      <w:sz w:val="24"/>
      <w:szCs w:val="20"/>
    </w:rPr>
  </w:style>
  <w:style w:type="character" w:customStyle="1" w:styleId="244">
    <w:name w:val="bookmark"/>
    <w:basedOn w:val="53"/>
    <w:qFormat/>
    <w:uiPriority w:val="0"/>
    <w:rPr>
      <w:rFonts w:cs="Times New Roman"/>
    </w:rPr>
  </w:style>
  <w:style w:type="paragraph" w:customStyle="1" w:styleId="245">
    <w:name w:val="标题 5_0"/>
    <w:basedOn w:val="217"/>
    <w:next w:val="217"/>
    <w:qFormat/>
    <w:uiPriority w:val="0"/>
    <w:pPr>
      <w:keepNext/>
      <w:keepLines/>
      <w:widowControl w:val="0"/>
      <w:spacing w:before="280" w:after="290" w:line="372" w:lineRule="auto"/>
      <w:outlineLvl w:val="4"/>
    </w:pPr>
    <w:rPr>
      <w:rFonts w:ascii="Calibri" w:hAnsi="Calibri" w:eastAsia="微软雅黑"/>
      <w:b/>
      <w:sz w:val="28"/>
      <w:szCs w:val="20"/>
    </w:rPr>
  </w:style>
  <w:style w:type="character" w:customStyle="1" w:styleId="246">
    <w:name w:val="font11"/>
    <w:qFormat/>
    <w:uiPriority w:val="0"/>
    <w:rPr>
      <w:rFonts w:ascii="宋体" w:eastAsia="宋体"/>
      <w:color w:val="000000"/>
      <w:sz w:val="20"/>
      <w:u w:val="none"/>
    </w:rPr>
  </w:style>
  <w:style w:type="character" w:customStyle="1" w:styleId="247">
    <w:name w:val="明显参考1"/>
    <w:qFormat/>
    <w:uiPriority w:val="0"/>
    <w:rPr>
      <w:b/>
      <w:smallCaps/>
      <w:color w:val="C0504D"/>
      <w:spacing w:val="5"/>
      <w:u w:val="single"/>
    </w:rPr>
  </w:style>
  <w:style w:type="character" w:customStyle="1" w:styleId="248">
    <w:name w:val="超链接_0"/>
    <w:qFormat/>
    <w:uiPriority w:val="0"/>
    <w:rPr>
      <w:rFonts w:ascii="Calibri" w:hAnsi="Calibri"/>
      <w:color w:val="0000FF"/>
      <w:u w:val="single"/>
    </w:rPr>
  </w:style>
  <w:style w:type="character" w:customStyle="1" w:styleId="249">
    <w:name w:val="文档结构图 Char2"/>
    <w:qFormat/>
    <w:uiPriority w:val="0"/>
    <w:rPr>
      <w:rFonts w:ascii="宋体" w:eastAsia="宋体"/>
      <w:sz w:val="18"/>
    </w:rPr>
  </w:style>
  <w:style w:type="character" w:customStyle="1" w:styleId="250">
    <w:name w:val="textcontents"/>
    <w:qFormat/>
    <w:uiPriority w:val="0"/>
  </w:style>
  <w:style w:type="character" w:customStyle="1" w:styleId="251">
    <w:name w:val="标题 1 Char"/>
    <w:qFormat/>
    <w:uiPriority w:val="0"/>
    <w:rPr>
      <w:b/>
      <w:sz w:val="44"/>
    </w:rPr>
  </w:style>
  <w:style w:type="character" w:customStyle="1" w:styleId="252">
    <w:name w:val="副标题 Char1"/>
    <w:qFormat/>
    <w:uiPriority w:val="0"/>
    <w:rPr>
      <w:rFonts w:ascii="Cambria" w:hAnsi="Cambria"/>
      <w:b/>
      <w:sz w:val="32"/>
    </w:rPr>
  </w:style>
  <w:style w:type="character" w:customStyle="1" w:styleId="253">
    <w:name w:val="书籍标题1"/>
    <w:qFormat/>
    <w:uiPriority w:val="0"/>
    <w:rPr>
      <w:b/>
      <w:smallCaps/>
      <w:spacing w:val="5"/>
    </w:rPr>
  </w:style>
  <w:style w:type="paragraph" w:customStyle="1" w:styleId="254">
    <w:name w:val="标题4"/>
    <w:basedOn w:val="4"/>
    <w:next w:val="23"/>
    <w:qFormat/>
    <w:uiPriority w:val="0"/>
    <w:pPr>
      <w:numPr>
        <w:ilvl w:val="0"/>
        <w:numId w:val="0"/>
      </w:numPr>
      <w:spacing w:line="413" w:lineRule="auto"/>
    </w:pPr>
    <w:rPr>
      <w:rFonts w:ascii="Arial" w:hAnsi="Arial" w:eastAsia="微软雅黑"/>
      <w:bCs w:val="0"/>
      <w:szCs w:val="20"/>
    </w:rPr>
  </w:style>
  <w:style w:type="character" w:customStyle="1" w:styleId="255">
    <w:name w:val="正文文本 Char1"/>
    <w:qFormat/>
    <w:uiPriority w:val="0"/>
    <w:rPr>
      <w:rFonts w:ascii="Calibri" w:hAnsi="Calibri" w:eastAsia="宋体"/>
    </w:rPr>
  </w:style>
  <w:style w:type="character" w:customStyle="1" w:styleId="256">
    <w:name w:val="明显引用 Char1"/>
    <w:qFormat/>
    <w:uiPriority w:val="0"/>
    <w:rPr>
      <w:b/>
      <w:i/>
      <w:color w:val="4F81BD"/>
      <w:sz w:val="21"/>
    </w:rPr>
  </w:style>
  <w:style w:type="character" w:customStyle="1" w:styleId="257">
    <w:name w:val="页眉 Char1"/>
    <w:qFormat/>
    <w:uiPriority w:val="0"/>
    <w:rPr>
      <w:rFonts w:ascii="Calibri" w:hAnsi="Calibri" w:eastAsia="宋体"/>
      <w:sz w:val="18"/>
    </w:rPr>
  </w:style>
  <w:style w:type="character" w:customStyle="1" w:styleId="258">
    <w:name w:val="不明显强调1"/>
    <w:qFormat/>
    <w:uiPriority w:val="0"/>
    <w:rPr>
      <w:i/>
      <w:color w:val="808080"/>
    </w:rPr>
  </w:style>
  <w:style w:type="character" w:customStyle="1" w:styleId="259">
    <w:name w:val="font21"/>
    <w:qFormat/>
    <w:uiPriority w:val="0"/>
    <w:rPr>
      <w:rFonts w:ascii="宋体" w:eastAsia="宋体"/>
      <w:color w:val="000000"/>
      <w:sz w:val="20"/>
      <w:u w:val="none"/>
    </w:rPr>
  </w:style>
  <w:style w:type="character" w:customStyle="1" w:styleId="260">
    <w:name w:val="文档结构图 Char1"/>
    <w:qFormat/>
    <w:uiPriority w:val="0"/>
    <w:rPr>
      <w:rFonts w:ascii="宋体" w:eastAsia="宋体"/>
      <w:sz w:val="18"/>
    </w:rPr>
  </w:style>
  <w:style w:type="paragraph" w:customStyle="1" w:styleId="261">
    <w:name w:val="标题 2_0"/>
    <w:basedOn w:val="217"/>
    <w:next w:val="217"/>
    <w:qFormat/>
    <w:uiPriority w:val="0"/>
    <w:pPr>
      <w:keepNext/>
      <w:keepLines/>
      <w:widowControl w:val="0"/>
      <w:spacing w:before="260" w:after="260" w:line="415" w:lineRule="auto"/>
      <w:outlineLvl w:val="1"/>
    </w:pPr>
    <w:rPr>
      <w:rFonts w:ascii="Cambria" w:hAnsi="Cambria" w:eastAsia="微软雅黑"/>
      <w:b/>
      <w:sz w:val="32"/>
      <w:szCs w:val="20"/>
    </w:rPr>
  </w:style>
  <w:style w:type="character" w:customStyle="1" w:styleId="262">
    <w:name w:val="日期 Char2"/>
    <w:qFormat/>
    <w:uiPriority w:val="0"/>
    <w:rPr>
      <w:rFonts w:ascii="Calibri" w:hAnsi="Calibri" w:eastAsia="宋体"/>
    </w:rPr>
  </w:style>
  <w:style w:type="character" w:customStyle="1" w:styleId="263">
    <w:name w:val="批注框文本 Char2"/>
    <w:qFormat/>
    <w:uiPriority w:val="0"/>
    <w:rPr>
      <w:rFonts w:ascii="Calibri" w:hAnsi="Calibri" w:eastAsia="宋体"/>
      <w:sz w:val="18"/>
    </w:rPr>
  </w:style>
  <w:style w:type="paragraph" w:customStyle="1" w:styleId="264">
    <w:name w:val="List Paragraph1"/>
    <w:basedOn w:val="1"/>
    <w:qFormat/>
    <w:uiPriority w:val="0"/>
    <w:pPr>
      <w:ind w:firstLine="200"/>
    </w:pPr>
    <w:rPr>
      <w:rFonts w:ascii="Calibri" w:hAnsi="Calibri" w:eastAsia="微软雅黑"/>
      <w:sz w:val="24"/>
      <w:szCs w:val="20"/>
    </w:rPr>
  </w:style>
  <w:style w:type="paragraph" w:customStyle="1" w:styleId="265">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266">
    <w:name w:val="_Style 34"/>
    <w:next w:val="1"/>
    <w:qFormat/>
    <w:uiPriority w:val="0"/>
    <w:pPr>
      <w:widowControl w:val="0"/>
      <w:spacing w:after="160" w:line="278" w:lineRule="auto"/>
      <w:jc w:val="both"/>
    </w:pPr>
    <w:rPr>
      <w:rFonts w:hint="default" w:ascii="Times New Roman" w:hAnsi="Times New Roman" w:eastAsia="宋体" w:cs="Times New Roman"/>
      <w:sz w:val="21"/>
      <w:szCs w:val="20"/>
      <w:lang w:val="en-US" w:eastAsia="zh-CN" w:bidi="ar-SA"/>
    </w:rPr>
  </w:style>
  <w:style w:type="paragraph" w:customStyle="1" w:styleId="267">
    <w:name w:val="正文_3"/>
    <w:qFormat/>
    <w:uiPriority w:val="0"/>
    <w:pPr>
      <w:widowControl w:val="0"/>
      <w:spacing w:after="160" w:line="278" w:lineRule="auto"/>
      <w:jc w:val="both"/>
    </w:pPr>
    <w:rPr>
      <w:rFonts w:hint="default" w:ascii="Times New Roman" w:hAnsi="Times New Roman" w:eastAsia="宋体" w:cs="Times New Roman"/>
      <w:sz w:val="21"/>
      <w:szCs w:val="22"/>
      <w:lang w:val="en-US" w:eastAsia="zh-CN" w:bidi="ar-SA"/>
    </w:rPr>
  </w:style>
  <w:style w:type="paragraph" w:customStyle="1" w:styleId="268">
    <w:name w:val="_Style 36"/>
    <w:next w:val="1"/>
    <w:qFormat/>
    <w:uiPriority w:val="0"/>
    <w:pPr>
      <w:widowControl w:val="0"/>
      <w:spacing w:after="160" w:line="278" w:lineRule="auto"/>
      <w:jc w:val="both"/>
    </w:pPr>
    <w:rPr>
      <w:rFonts w:hint="default" w:ascii="Times New Roman" w:hAnsi="Times New Roman" w:eastAsia="宋体" w:cs="Times New Roman"/>
      <w:sz w:val="21"/>
      <w:szCs w:val="20"/>
      <w:lang w:val="en-US" w:eastAsia="zh-CN" w:bidi="ar-SA"/>
    </w:rPr>
  </w:style>
  <w:style w:type="paragraph" w:customStyle="1" w:styleId="269">
    <w:name w:val="空半行"/>
    <w:basedOn w:val="1"/>
    <w:qFormat/>
    <w:uiPriority w:val="0"/>
    <w:pPr>
      <w:spacing w:line="120" w:lineRule="exact"/>
    </w:pPr>
    <w:rPr>
      <w:rFonts w:ascii="Calibri" w:hAnsi="Calibri" w:eastAsia="仿宋_GB2312"/>
      <w:color w:val="FFFFFF"/>
      <w:sz w:val="30"/>
      <w:szCs w:val="22"/>
    </w:rPr>
  </w:style>
  <w:style w:type="paragraph" w:customStyle="1" w:styleId="270">
    <w:name w:val="1方案格式1"/>
    <w:basedOn w:val="3"/>
    <w:qFormat/>
    <w:uiPriority w:val="0"/>
    <w:pPr>
      <w:numPr>
        <w:ilvl w:val="0"/>
        <w:numId w:val="2"/>
      </w:numPr>
      <w:tabs>
        <w:tab w:val="left" w:pos="360"/>
      </w:tabs>
      <w:spacing w:before="50" w:after="50" w:line="360" w:lineRule="auto"/>
      <w:ind w:left="0" w:firstLine="0"/>
    </w:pPr>
    <w:rPr>
      <w:rFonts w:eastAsia="微软雅黑"/>
      <w:bCs w:val="0"/>
      <w:sz w:val="48"/>
    </w:rPr>
  </w:style>
  <w:style w:type="paragraph" w:customStyle="1" w:styleId="271">
    <w:name w:val="格式３"/>
    <w:basedOn w:val="1"/>
    <w:qFormat/>
    <w:uiPriority w:val="0"/>
    <w:pPr>
      <w:spacing w:line="420" w:lineRule="exact"/>
      <w:ind w:left="250" w:hanging="250"/>
    </w:pPr>
    <w:rPr>
      <w:rFonts w:ascii="宋体"/>
      <w:color w:val="000000"/>
      <w:sz w:val="24"/>
      <w:szCs w:val="20"/>
    </w:rPr>
  </w:style>
  <w:style w:type="paragraph" w:customStyle="1" w:styleId="272">
    <w:name w:val="正文1"/>
    <w:qFormat/>
    <w:uiPriority w:val="0"/>
    <w:pPr>
      <w:widowControl w:val="0"/>
      <w:spacing w:after="160" w:line="278" w:lineRule="auto"/>
      <w:jc w:val="both"/>
    </w:pPr>
    <w:rPr>
      <w:rFonts w:hint="default" w:ascii="Calibri" w:hAnsi="Calibri" w:eastAsia="宋体" w:cs="Times New Roman"/>
      <w:sz w:val="20"/>
      <w:szCs w:val="20"/>
      <w:lang w:val="en-US" w:eastAsia="zh-CN" w:bidi="ar-SA"/>
    </w:rPr>
  </w:style>
  <w:style w:type="paragraph" w:customStyle="1" w:styleId="273">
    <w:name w:val="列出段落1"/>
    <w:basedOn w:val="1"/>
    <w:qFormat/>
    <w:uiPriority w:val="0"/>
    <w:pPr>
      <w:widowControl/>
      <w:ind w:left="720"/>
      <w:contextualSpacing/>
      <w:jc w:val="left"/>
    </w:pPr>
    <w:rPr>
      <w:rFonts w:ascii="Arial" w:hAnsi="Arial" w:eastAsia="黑体"/>
      <w:sz w:val="24"/>
    </w:rPr>
  </w:style>
  <w:style w:type="paragraph" w:customStyle="1" w:styleId="274">
    <w:name w:val="正文空2字"/>
    <w:basedOn w:val="1"/>
    <w:qFormat/>
    <w:uiPriority w:val="0"/>
    <w:pPr>
      <w:spacing w:before="40" w:after="40" w:line="360" w:lineRule="auto"/>
      <w:ind w:firstLine="200"/>
    </w:pPr>
    <w:rPr>
      <w:sz w:val="24"/>
    </w:rPr>
  </w:style>
  <w:style w:type="paragraph" w:customStyle="1" w:styleId="275">
    <w:name w:val="正文_0_0_0"/>
    <w:qFormat/>
    <w:uiPriority w:val="0"/>
    <w:pPr>
      <w:widowControl w:val="0"/>
      <w:spacing w:after="160" w:line="278" w:lineRule="auto"/>
      <w:jc w:val="both"/>
    </w:pPr>
    <w:rPr>
      <w:rFonts w:hint="default" w:ascii="Times New Roman" w:hAnsi="Times New Roman" w:eastAsia="宋体" w:cs="Times New Roman"/>
      <w:sz w:val="20"/>
      <w:szCs w:val="20"/>
      <w:lang w:val="en-US" w:eastAsia="zh-CN" w:bidi="ar-SA"/>
    </w:rPr>
  </w:style>
  <w:style w:type="paragraph" w:customStyle="1" w:styleId="276">
    <w:name w:val="目录 5_0"/>
    <w:basedOn w:val="217"/>
    <w:next w:val="217"/>
    <w:qFormat/>
    <w:uiPriority w:val="0"/>
    <w:pPr>
      <w:ind w:left="800"/>
    </w:pPr>
    <w:rPr>
      <w:rFonts w:ascii="Calibri" w:hAnsi="Calibri"/>
    </w:rPr>
  </w:style>
  <w:style w:type="paragraph" w:customStyle="1" w:styleId="277">
    <w:name w:val="修订1"/>
    <w:qFormat/>
    <w:uiPriority w:val="0"/>
    <w:pPr>
      <w:spacing w:after="160" w:line="278" w:lineRule="auto"/>
    </w:pPr>
    <w:rPr>
      <w:rFonts w:hint="default" w:ascii="Times New Roman" w:hAnsi="Times New Roman" w:eastAsia="宋体" w:cs="Times New Roman"/>
      <w:sz w:val="21"/>
      <w:szCs w:val="24"/>
      <w:lang w:val="en-US" w:eastAsia="zh-CN" w:bidi="ar-SA"/>
    </w:rPr>
  </w:style>
  <w:style w:type="paragraph" w:customStyle="1" w:styleId="278">
    <w:name w:val="标题 11"/>
    <w:basedOn w:val="272"/>
    <w:next w:val="272"/>
    <w:qFormat/>
    <w:uiPriority w:val="0"/>
    <w:pPr>
      <w:keepNext/>
      <w:keepLines/>
      <w:widowControl w:val="0"/>
      <w:spacing w:before="340" w:after="330" w:line="576" w:lineRule="auto"/>
      <w:outlineLvl w:val="0"/>
    </w:pPr>
    <w:rPr>
      <w:rFonts w:ascii="Times New Roman" w:hAnsi="Times New Roman"/>
      <w:b/>
      <w:sz w:val="44"/>
      <w:lang w:val="zh-CN"/>
    </w:rPr>
  </w:style>
  <w:style w:type="paragraph" w:customStyle="1" w:styleId="279">
    <w:name w:val="正文 + 行距: 固定值 20 磅"/>
    <w:basedOn w:val="1"/>
    <w:qFormat/>
    <w:uiPriority w:val="0"/>
    <w:pPr>
      <w:spacing w:line="400" w:lineRule="exact"/>
      <w:ind w:firstLine="341"/>
    </w:pPr>
    <w:rPr>
      <w:rFonts w:ascii="Calibri" w:hAnsi="Calibri"/>
      <w:szCs w:val="22"/>
    </w:rPr>
  </w:style>
  <w:style w:type="paragraph" w:customStyle="1" w:styleId="280">
    <w:name w:val="TOC 标题1"/>
    <w:basedOn w:val="3"/>
    <w:next w:val="1"/>
    <w:qFormat/>
    <w:uiPriority w:val="0"/>
    <w:pPr>
      <w:keepNext/>
      <w:keepLines/>
      <w:widowControl/>
      <w:numPr>
        <w:ilvl w:val="0"/>
        <w:numId w:val="0"/>
      </w:numPr>
      <w:spacing w:before="480" w:after="0" w:line="276" w:lineRule="auto"/>
      <w:jc w:val="left"/>
      <w:outlineLvl w:val="9"/>
    </w:pPr>
    <w:rPr>
      <w:rFonts w:ascii="Cambria" w:hAnsi="Cambria"/>
      <w:color w:val="365F91"/>
      <w:sz w:val="28"/>
      <w:szCs w:val="28"/>
    </w:rPr>
  </w:style>
  <w:style w:type="paragraph" w:customStyle="1" w:styleId="281">
    <w:name w:val="表格文字"/>
    <w:basedOn w:val="1"/>
    <w:qFormat/>
    <w:uiPriority w:val="0"/>
    <w:pPr>
      <w:spacing w:line="420" w:lineRule="atLeast"/>
      <w:jc w:val="left"/>
    </w:pPr>
    <w:rPr>
      <w:rFonts w:ascii="Calibri" w:hAnsi="Calibri"/>
      <w:sz w:val="22"/>
      <w:szCs w:val="20"/>
    </w:rPr>
  </w:style>
  <w:style w:type="paragraph" w:customStyle="1" w:styleId="282">
    <w:name w:val="flNote"/>
    <w:basedOn w:val="1"/>
    <w:qFormat/>
    <w:uiPriority w:val="0"/>
    <w:pPr>
      <w:spacing w:before="320" w:line="360" w:lineRule="atLeast"/>
      <w:jc w:val="center"/>
    </w:pPr>
    <w:rPr>
      <w:rFonts w:ascii="Arial" w:hAnsi="Arial" w:eastAsia="黑体"/>
      <w:sz w:val="30"/>
      <w:szCs w:val="22"/>
    </w:rPr>
  </w:style>
  <w:style w:type="paragraph" w:customStyle="1" w:styleId="283">
    <w:name w:val="文章正文"/>
    <w:basedOn w:val="1"/>
    <w:qFormat/>
    <w:uiPriority w:val="0"/>
    <w:pPr>
      <w:spacing w:line="360" w:lineRule="auto"/>
      <w:ind w:firstLine="200"/>
    </w:pPr>
    <w:rPr>
      <w:rFonts w:ascii="仿宋_GB2312" w:eastAsia="仿宋_GB2312"/>
      <w:color w:val="FF0000"/>
      <w:sz w:val="24"/>
    </w:rPr>
  </w:style>
  <w:style w:type="paragraph" w:customStyle="1" w:styleId="284">
    <w:name w:val="表格"/>
    <w:basedOn w:val="1"/>
    <w:qFormat/>
    <w:uiPriority w:val="0"/>
    <w:pPr>
      <w:jc w:val="center"/>
    </w:pPr>
    <w:rPr>
      <w:rFonts w:ascii="华文细黑" w:hAnsi="华文细黑"/>
      <w:szCs w:val="22"/>
    </w:rPr>
  </w:style>
  <w:style w:type="paragraph" w:customStyle="1" w:styleId="285">
    <w:name w:val="Char"/>
    <w:basedOn w:val="1"/>
    <w:qFormat/>
    <w:uiPriority w:val="0"/>
    <w:pPr>
      <w:widowControl/>
      <w:spacing w:line="240" w:lineRule="exact"/>
      <w:jc w:val="left"/>
    </w:pPr>
    <w:rPr>
      <w:rFonts w:ascii="Verdana" w:hAnsi="Verdana"/>
      <w:sz w:val="20"/>
      <w:szCs w:val="20"/>
    </w:rPr>
  </w:style>
  <w:style w:type="paragraph" w:customStyle="1" w:styleId="286">
    <w:name w:val="列出段落2"/>
    <w:basedOn w:val="1"/>
    <w:qFormat/>
    <w:uiPriority w:val="0"/>
    <w:pPr>
      <w:ind w:firstLine="200"/>
    </w:pPr>
  </w:style>
  <w:style w:type="paragraph" w:customStyle="1" w:styleId="287">
    <w:name w:val="6'"/>
    <w:basedOn w:val="1"/>
    <w:qFormat/>
    <w:uiPriority w:val="0"/>
    <w:pPr>
      <w:spacing w:line="320" w:lineRule="exact"/>
      <w:jc w:val="center"/>
    </w:pPr>
    <w:rPr>
      <w:rFonts w:ascii="Calibri" w:hAnsi="Calibri"/>
      <w:spacing w:val="20"/>
      <w:szCs w:val="22"/>
    </w:rPr>
  </w:style>
  <w:style w:type="paragraph" w:customStyle="1" w:styleId="288">
    <w:name w:val="Char Char Char Char Char Char Char"/>
    <w:basedOn w:val="1"/>
    <w:qFormat/>
    <w:uiPriority w:val="0"/>
    <w:pPr>
      <w:spacing w:line="360" w:lineRule="auto"/>
    </w:pPr>
    <w:rPr>
      <w:sz w:val="24"/>
      <w:szCs w:val="20"/>
    </w:rPr>
  </w:style>
  <w:style w:type="paragraph" w:customStyle="1" w:styleId="289">
    <w:name w:val="2方案格式2"/>
    <w:basedOn w:val="270"/>
    <w:qFormat/>
    <w:uiPriority w:val="0"/>
    <w:pPr>
      <w:numPr>
        <w:ilvl w:val="1"/>
        <w:numId w:val="2"/>
      </w:numPr>
      <w:spacing w:before="50" w:after="50" w:line="240" w:lineRule="auto"/>
      <w:outlineLvl w:val="1"/>
    </w:pPr>
    <w:rPr>
      <w:sz w:val="44"/>
    </w:rPr>
  </w:style>
  <w:style w:type="paragraph" w:customStyle="1" w:styleId="290">
    <w:name w:val="无间隔1"/>
    <w:qFormat/>
    <w:uiPriority w:val="0"/>
    <w:pPr>
      <w:widowControl w:val="0"/>
      <w:spacing w:after="160" w:line="278" w:lineRule="auto"/>
      <w:jc w:val="both"/>
    </w:pPr>
    <w:rPr>
      <w:rFonts w:hint="default" w:ascii="Calibri" w:hAnsi="Calibri" w:eastAsia="宋体" w:cs="Times New Roman"/>
      <w:sz w:val="21"/>
      <w:szCs w:val="22"/>
      <w:lang w:val="en-US" w:eastAsia="zh-CN" w:bidi="ar-SA"/>
    </w:rPr>
  </w:style>
  <w:style w:type="paragraph" w:customStyle="1" w:styleId="291">
    <w:name w:val="文档正文"/>
    <w:basedOn w:val="1"/>
    <w:qFormat/>
    <w:uiPriority w:val="0"/>
    <w:pPr>
      <w:spacing w:line="480" w:lineRule="atLeast"/>
      <w:ind w:firstLine="567"/>
    </w:pPr>
    <w:rPr>
      <w:rFonts w:ascii="Ari" w:hAnsi="Ari" w:eastAsia="Times New Roman"/>
      <w:sz w:val="28"/>
      <w:szCs w:val="20"/>
    </w:rPr>
  </w:style>
  <w:style w:type="paragraph" w:customStyle="1" w:styleId="292">
    <w:name w:val="txt"/>
    <w:basedOn w:val="1"/>
    <w:qFormat/>
    <w:uiPriority w:val="0"/>
    <w:pPr>
      <w:widowControl/>
      <w:spacing w:before="100" w:beforeAutospacing="1" w:after="100" w:afterAutospacing="1"/>
      <w:jc w:val="left"/>
    </w:pPr>
    <w:rPr>
      <w:rFonts w:ascii="宋体" w:cs="宋体"/>
      <w:sz w:val="24"/>
    </w:rPr>
  </w:style>
  <w:style w:type="paragraph" w:customStyle="1" w:styleId="293">
    <w:name w:val="目录 4_0"/>
    <w:basedOn w:val="217"/>
    <w:next w:val="217"/>
    <w:qFormat/>
    <w:uiPriority w:val="0"/>
    <w:pPr>
      <w:ind w:left="600"/>
    </w:pPr>
    <w:rPr>
      <w:rFonts w:ascii="Calibri" w:hAnsi="Calibri"/>
    </w:rPr>
  </w:style>
  <w:style w:type="paragraph" w:customStyle="1" w:styleId="294">
    <w:name w:val="目录 3_0"/>
    <w:basedOn w:val="217"/>
    <w:next w:val="217"/>
    <w:qFormat/>
    <w:uiPriority w:val="0"/>
    <w:pPr>
      <w:ind w:left="400"/>
    </w:pPr>
    <w:rPr>
      <w:rFonts w:ascii="Calibri" w:hAnsi="Calibri"/>
    </w:rPr>
  </w:style>
  <w:style w:type="paragraph" w:customStyle="1" w:styleId="295">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eastAsia="黑体"/>
      <w:b w:val="0"/>
      <w:bCs w:val="0"/>
      <w:szCs w:val="20"/>
    </w:rPr>
  </w:style>
  <w:style w:type="paragraph" w:customStyle="1" w:styleId="296">
    <w:name w:val="1"/>
    <w:basedOn w:val="1"/>
    <w:next w:val="1"/>
    <w:qFormat/>
    <w:uiPriority w:val="0"/>
    <w:rPr>
      <w:rFonts w:ascii="Calibri" w:hAnsi="Calibri"/>
      <w:szCs w:val="22"/>
    </w:rPr>
  </w:style>
  <w:style w:type="paragraph" w:customStyle="1" w:styleId="297">
    <w:name w:val="Blockquote_0"/>
    <w:basedOn w:val="217"/>
    <w:qFormat/>
    <w:uiPriority w:val="0"/>
    <w:pPr>
      <w:spacing w:before="100" w:after="100"/>
      <w:ind w:left="360" w:right="360"/>
      <w:jc w:val="left"/>
    </w:pPr>
    <w:rPr>
      <w:rFonts w:ascii="Calibri" w:hAnsi="Calibri"/>
      <w:sz w:val="24"/>
      <w:szCs w:val="20"/>
    </w:rPr>
  </w:style>
  <w:style w:type="paragraph" w:customStyle="1" w:styleId="298">
    <w:name w:val="列出段落11"/>
    <w:basedOn w:val="1"/>
    <w:qFormat/>
    <w:uiPriority w:val="0"/>
    <w:pPr>
      <w:widowControl/>
      <w:ind w:left="720"/>
      <w:contextualSpacing/>
      <w:jc w:val="left"/>
    </w:pPr>
    <w:rPr>
      <w:rFonts w:ascii="Arial" w:hAnsi="Arial" w:eastAsia="黑体"/>
      <w:sz w:val="24"/>
    </w:rPr>
  </w:style>
  <w:style w:type="paragraph" w:customStyle="1" w:styleId="299">
    <w:name w:val="样式 标题 2 + Times New Roman 四号 非加粗 段前: 5 磅 段后: 0 磅 行距: 固定值 20..._0"/>
    <w:basedOn w:val="1"/>
    <w:qFormat/>
    <w:uiPriority w:val="0"/>
    <w:pPr>
      <w:keepNext/>
      <w:keepLines/>
      <w:widowControl w:val="0"/>
      <w:spacing w:before="100" w:line="360" w:lineRule="auto"/>
      <w:outlineLvl w:val="1"/>
    </w:pPr>
    <w:rPr>
      <w:rFonts w:cs="宋体"/>
      <w:sz w:val="28"/>
      <w:szCs w:val="20"/>
    </w:rPr>
  </w:style>
  <w:style w:type="paragraph" w:customStyle="1" w:styleId="300">
    <w:name w:val="op_mapdots_left"/>
    <w:basedOn w:val="1"/>
    <w:qFormat/>
    <w:uiPriority w:val="0"/>
    <w:pPr>
      <w:widowControl/>
      <w:spacing w:before="100" w:beforeAutospacing="1" w:after="100" w:afterAutospacing="1"/>
      <w:jc w:val="left"/>
    </w:pPr>
    <w:rPr>
      <w:rFonts w:ascii="宋体" w:cs="宋体"/>
      <w:sz w:val="24"/>
    </w:rPr>
  </w:style>
  <w:style w:type="paragraph" w:customStyle="1" w:styleId="301">
    <w:name w:val="p0"/>
    <w:basedOn w:val="1"/>
    <w:qFormat/>
    <w:uiPriority w:val="0"/>
    <w:pPr>
      <w:widowControl/>
    </w:pPr>
    <w:rPr>
      <w:b/>
      <w:bCs/>
      <w:sz w:val="24"/>
    </w:rPr>
  </w:style>
  <w:style w:type="paragraph" w:customStyle="1" w:styleId="302">
    <w:name w:val="Blockquote"/>
    <w:basedOn w:val="1"/>
    <w:qFormat/>
    <w:uiPriority w:val="0"/>
    <w:pPr>
      <w:spacing w:before="100" w:after="100"/>
      <w:ind w:left="360" w:right="360"/>
      <w:jc w:val="left"/>
    </w:pPr>
    <w:rPr>
      <w:rFonts w:ascii="Calibri" w:hAnsi="Calibri"/>
      <w:sz w:val="24"/>
      <w:szCs w:val="22"/>
    </w:rPr>
  </w:style>
  <w:style w:type="paragraph" w:customStyle="1" w:styleId="303">
    <w:name w:val="3方案格式3"/>
    <w:basedOn w:val="289"/>
    <w:qFormat/>
    <w:uiPriority w:val="0"/>
    <w:pPr>
      <w:numPr>
        <w:ilvl w:val="2"/>
        <w:numId w:val="2"/>
      </w:numPr>
      <w:outlineLvl w:val="2"/>
    </w:pPr>
    <w:rPr>
      <w:sz w:val="32"/>
    </w:rPr>
  </w:style>
  <w:style w:type="paragraph" w:customStyle="1" w:styleId="304">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05">
    <w:name w:val="标题2"/>
    <w:basedOn w:val="4"/>
    <w:next w:val="19"/>
    <w:qFormat/>
    <w:uiPriority w:val="0"/>
    <w:pPr>
      <w:spacing w:before="156" w:after="156" w:line="360" w:lineRule="auto"/>
    </w:pPr>
    <w:rPr>
      <w:bCs w:val="0"/>
      <w:sz w:val="24"/>
    </w:rPr>
  </w:style>
  <w:style w:type="paragraph" w:customStyle="1" w:styleId="306">
    <w:name w:val="普通正文"/>
    <w:basedOn w:val="1"/>
    <w:qFormat/>
    <w:uiPriority w:val="0"/>
    <w:pPr>
      <w:spacing w:before="120" w:after="120" w:line="360" w:lineRule="auto"/>
      <w:ind w:firstLine="480"/>
      <w:jc w:val="left"/>
    </w:pPr>
    <w:rPr>
      <w:rFonts w:ascii="Arial" w:hAnsi="Arial"/>
      <w:sz w:val="24"/>
    </w:rPr>
  </w:style>
  <w:style w:type="paragraph" w:customStyle="1" w:styleId="307">
    <w:name w:val="正文11"/>
    <w:qFormat/>
    <w:uiPriority w:val="0"/>
    <w:pPr>
      <w:spacing w:after="160" w:line="278" w:lineRule="auto"/>
    </w:pPr>
    <w:rPr>
      <w:rFonts w:hint="default" w:ascii="Calibri" w:hAnsi="Calibri" w:eastAsia="宋体" w:cs="Calibri"/>
      <w:sz w:val="24"/>
      <w:szCs w:val="24"/>
      <w:lang w:val="en-US" w:eastAsia="zh-CN" w:bidi="ar-SA"/>
    </w:rPr>
  </w:style>
  <w:style w:type="paragraph" w:customStyle="1" w:styleId="308">
    <w:name w:val="正文2"/>
    <w:qFormat/>
    <w:uiPriority w:val="0"/>
    <w:pPr>
      <w:spacing w:after="160" w:line="278" w:lineRule="auto"/>
    </w:pPr>
    <w:rPr>
      <w:rFonts w:hint="default" w:ascii="Times New Roman" w:hAnsi="Times New Roman" w:eastAsia="微软雅黑" w:cs="Times New Roman"/>
      <w:sz w:val="24"/>
      <w:szCs w:val="24"/>
      <w:lang w:val="en-US" w:eastAsia="zh-CN" w:bidi="ar-SA"/>
    </w:rPr>
  </w:style>
  <w:style w:type="paragraph" w:customStyle="1" w:styleId="309">
    <w:name w:val="列出段落3"/>
    <w:basedOn w:val="1"/>
    <w:qFormat/>
    <w:uiPriority w:val="0"/>
    <w:pPr>
      <w:widowControl/>
      <w:spacing w:after="200"/>
      <w:ind w:firstLine="200"/>
      <w:jc w:val="left"/>
    </w:pPr>
    <w:rPr>
      <w:rFonts w:ascii="Tahoma" w:hAnsi="Tahoma" w:eastAsia="微软雅黑"/>
      <w:sz w:val="22"/>
      <w:szCs w:val="22"/>
    </w:rPr>
  </w:style>
  <w:style w:type="paragraph" w:customStyle="1" w:styleId="310">
    <w:name w:val="纯文本2"/>
    <w:basedOn w:val="1"/>
    <w:qFormat/>
    <w:uiPriority w:val="0"/>
    <w:pPr>
      <w:jc w:val="left"/>
    </w:pPr>
    <w:rPr>
      <w:rFonts w:ascii="宋体" w:cs="Courier New"/>
      <w:sz w:val="24"/>
      <w:szCs w:val="20"/>
      <w:lang w:bidi="hi-IN"/>
    </w:rPr>
  </w:style>
  <w:style w:type="paragraph" w:customStyle="1" w:styleId="311">
    <w:name w:val="trs_editor"/>
    <w:basedOn w:val="1"/>
    <w:qFormat/>
    <w:uiPriority w:val="0"/>
    <w:pPr>
      <w:widowControl/>
      <w:spacing w:before="100" w:beforeAutospacing="1" w:after="100" w:afterAutospacing="1"/>
      <w:jc w:val="left"/>
    </w:pPr>
    <w:rPr>
      <w:rFonts w:ascii="宋体" w:cs="宋体"/>
      <w:sz w:val="24"/>
    </w:rPr>
  </w:style>
  <w:style w:type="character" w:customStyle="1" w:styleId="312">
    <w:name w:val="sub_title1"/>
    <w:basedOn w:val="53"/>
    <w:qFormat/>
    <w:uiPriority w:val="0"/>
    <w:rPr>
      <w:rFonts w:cs="Times New Roman"/>
    </w:rPr>
  </w:style>
  <w:style w:type="paragraph" w:customStyle="1" w:styleId="313">
    <w:name w:val="Agilent Doc Title"/>
    <w:next w:val="1"/>
    <w:qFormat/>
    <w:uiPriority w:val="0"/>
    <w:pPr>
      <w:spacing w:after="210" w:line="400" w:lineRule="exact"/>
      <w:jc w:val="center"/>
    </w:pPr>
    <w:rPr>
      <w:rFonts w:hint="default" w:ascii="Agilent TT CondLight" w:hAnsi="Agilent TT CondLight" w:eastAsia="宋体" w:cs="Times New Roman"/>
      <w:sz w:val="36"/>
      <w:szCs w:val="20"/>
      <w:lang w:val="en-US" w:eastAsia="zh-CN" w:bidi="ar-SA"/>
    </w:rPr>
  </w:style>
  <w:style w:type="character" w:customStyle="1" w:styleId="314">
    <w:name w:val="s3"/>
    <w:basedOn w:val="53"/>
    <w:qFormat/>
    <w:uiPriority w:val="0"/>
    <w:rPr>
      <w:rFonts w:ascii="Times" w:hAnsi="Times" w:cs="Times"/>
      <w:sz w:val="24"/>
      <w:szCs w:val="24"/>
    </w:rPr>
  </w:style>
  <w:style w:type="character" w:customStyle="1" w:styleId="315">
    <w:name w:val="apple-converted-space"/>
    <w:qFormat/>
    <w:uiPriority w:val="0"/>
  </w:style>
  <w:style w:type="paragraph" w:customStyle="1" w:styleId="316">
    <w:name w:val="table_1stline"/>
    <w:basedOn w:val="1"/>
    <w:qFormat/>
    <w:uiPriority w:val="0"/>
    <w:pPr>
      <w:spacing w:before="120"/>
    </w:pPr>
    <w:rPr>
      <w:rFonts w:eastAsia="MS Mincho"/>
      <w:bCs/>
      <w:lang w:val="de-DE" w:eastAsia="de-DE"/>
    </w:rPr>
  </w:style>
  <w:style w:type="character" w:customStyle="1" w:styleId="317">
    <w:name w:val="纯文本 字符"/>
    <w:qFormat/>
    <w:uiPriority w:val="0"/>
    <w:rPr>
      <w:rFonts w:ascii="宋体" w:hAnsi="宋体"/>
      <w:sz w:val="21"/>
    </w:rPr>
  </w:style>
  <w:style w:type="character" w:customStyle="1" w:styleId="318">
    <w:name w:val="apple-style-span"/>
    <w:basedOn w:val="53"/>
    <w:qFormat/>
    <w:uiPriority w:val="0"/>
    <w:rPr>
      <w:rFonts w:cs="Times New Roman"/>
    </w:rPr>
  </w:style>
  <w:style w:type="paragraph" w:customStyle="1" w:styleId="319">
    <w:name w:val="列出段落4"/>
    <w:basedOn w:val="1"/>
    <w:qFormat/>
    <w:uiPriority w:val="0"/>
    <w:pPr>
      <w:ind w:firstLine="200"/>
    </w:pPr>
    <w:rPr>
      <w:rFonts w:ascii="Calibri" w:hAnsi="Calibri"/>
      <w:szCs w:val="22"/>
    </w:rPr>
  </w:style>
  <w:style w:type="paragraph" w:customStyle="1" w:styleId="320">
    <w:name w:val="table_lines"/>
    <w:basedOn w:val="1"/>
    <w:qFormat/>
    <w:uiPriority w:val="0"/>
    <w:pPr>
      <w:widowControl/>
      <w:jc w:val="left"/>
    </w:pPr>
    <w:rPr>
      <w:rFonts w:eastAsia="MS Mincho"/>
      <w:sz w:val="20"/>
      <w:szCs w:val="20"/>
      <w:lang w:val="de-DE" w:eastAsia="de-DE"/>
    </w:rPr>
  </w:style>
  <w:style w:type="character" w:customStyle="1" w:styleId="321">
    <w:name w:val="fontstyle11"/>
    <w:qFormat/>
    <w:uiPriority w:val="0"/>
    <w:rPr>
      <w:rFonts w:ascii="TimesNewRomanPSMT" w:hAnsi="TimesNewRomanPSMT" w:eastAsia="TimesNewRomanPSMT"/>
      <w:color w:val="000000"/>
      <w:sz w:val="22"/>
    </w:rPr>
  </w:style>
  <w:style w:type="paragraph" w:customStyle="1" w:styleId="322">
    <w:name w:val="head 1.1.1"/>
    <w:basedOn w:val="2"/>
    <w:qFormat/>
    <w:uiPriority w:val="0"/>
    <w:pPr>
      <w:numPr>
        <w:ilvl w:val="2"/>
        <w:numId w:val="3"/>
      </w:numPr>
      <w:ind w:left="720" w:firstLine="0"/>
    </w:pPr>
    <w:rPr>
      <w:bCs/>
    </w:rPr>
  </w:style>
  <w:style w:type="paragraph" w:customStyle="1" w:styleId="323">
    <w:name w:val="列出段落5"/>
    <w:basedOn w:val="1"/>
    <w:qFormat/>
    <w:uiPriority w:val="0"/>
    <w:pPr>
      <w:widowControl/>
      <w:ind w:firstLine="200"/>
      <w:jc w:val="left"/>
    </w:pPr>
    <w:rPr>
      <w:rFonts w:ascii="Garamond" w:hAnsi="Garamond"/>
      <w:szCs w:val="20"/>
      <w:lang w:bidi="he-IL"/>
    </w:rPr>
  </w:style>
  <w:style w:type="character" w:customStyle="1" w:styleId="324">
    <w:name w:val="正文文本 + Arial Unicode MS"/>
    <w:qFormat/>
    <w:uiPriority w:val="0"/>
    <w:rPr>
      <w:rFonts w:ascii="Arial Unicode MS" w:hAnsi="Arial Unicode MS"/>
      <w:color w:val="000000"/>
      <w:spacing w:val="0"/>
      <w:position w:val="0"/>
      <w:sz w:val="22"/>
      <w:shd w:val="clear" w:color="auto" w:fill="FFFFFF"/>
      <w:lang w:val="en-US"/>
    </w:rPr>
  </w:style>
  <w:style w:type="paragraph" w:customStyle="1" w:styleId="325">
    <w:name w:val="正文 A"/>
    <w:qFormat/>
    <w:uiPriority w:val="0"/>
    <w:pPr>
      <w:widowControl w:val="0"/>
      <w:spacing w:after="160" w:line="278" w:lineRule="auto"/>
      <w:jc w:val="both"/>
    </w:pPr>
    <w:rPr>
      <w:rFonts w:hint="default" w:ascii="Arial Unicode MS" w:hAnsi="Arial Unicode MS" w:eastAsia="宋体" w:cs="Arial Unicode MS"/>
      <w:color w:val="000000"/>
      <w:sz w:val="21"/>
      <w:szCs w:val="21"/>
      <w:lang w:val="en-US" w:eastAsia="zh-CN" w:bidi="ar-SA"/>
    </w:rPr>
  </w:style>
  <w:style w:type="paragraph" w:customStyle="1" w:styleId="326">
    <w:name w:val="yiv1658056056msonormal"/>
    <w:basedOn w:val="1"/>
    <w:qFormat/>
    <w:uiPriority w:val="0"/>
    <w:pPr>
      <w:widowControl/>
      <w:spacing w:before="100" w:beforeAutospacing="1" w:after="100" w:afterAutospacing="1"/>
      <w:jc w:val="left"/>
    </w:pPr>
    <w:rPr>
      <w:rFonts w:ascii="宋体" w:cs="宋体"/>
      <w:sz w:val="24"/>
    </w:rPr>
  </w:style>
  <w:style w:type="character" w:customStyle="1" w:styleId="327">
    <w:name w:val="fontstyle01"/>
    <w:qFormat/>
    <w:uiPriority w:val="0"/>
    <w:rPr>
      <w:rFonts w:ascii="华文细黑" w:eastAsia="华文细黑"/>
      <w:color w:val="000000"/>
      <w:sz w:val="22"/>
    </w:rPr>
  </w:style>
  <w:style w:type="paragraph" w:customStyle="1" w:styleId="328">
    <w:name w:val="正文-标准"/>
    <w:basedOn w:val="1"/>
    <w:qFormat/>
    <w:uiPriority w:val="0"/>
    <w:pPr>
      <w:spacing w:line="312" w:lineRule="auto"/>
      <w:ind w:firstLine="200"/>
    </w:pPr>
    <w:rPr>
      <w:rFonts w:cs="宋体"/>
    </w:rPr>
  </w:style>
  <w:style w:type="paragraph" w:customStyle="1" w:styleId="329">
    <w:name w:val="Table Paragraph"/>
    <w:basedOn w:val="1"/>
    <w:qFormat/>
    <w:uiPriority w:val="0"/>
    <w:pPr>
      <w:spacing w:line="288" w:lineRule="auto"/>
      <w:jc w:val="left"/>
    </w:pPr>
    <w:rPr>
      <w:rFonts w:ascii="宋体" w:cs="宋体"/>
      <w:sz w:val="24"/>
      <w:lang w:val="zh-CN"/>
    </w:rPr>
  </w:style>
  <w:style w:type="character" w:customStyle="1" w:styleId="330">
    <w:name w:val="font01"/>
    <w:qFormat/>
    <w:uiPriority w:val="0"/>
    <w:rPr>
      <w:rFonts w:ascii="宋体" w:eastAsia="宋体"/>
      <w:color w:val="000000"/>
      <w:sz w:val="22"/>
      <w:u w:val="none"/>
    </w:rPr>
  </w:style>
  <w:style w:type="paragraph" w:customStyle="1" w:styleId="331">
    <w:name w:val="正文缩进2字"/>
    <w:basedOn w:val="49"/>
    <w:qFormat/>
    <w:uiPriority w:val="0"/>
    <w:pPr>
      <w:spacing w:line="300" w:lineRule="auto"/>
      <w:ind w:firstLine="200"/>
    </w:pPr>
    <w:rPr>
      <w:sz w:val="24"/>
    </w:rPr>
  </w:style>
  <w:style w:type="paragraph" w:customStyle="1" w:styleId="332">
    <w:name w:val="样式 样式 标准-标题4 + 首行缩进:  1 字符 + 首行缩进:  1 字符1"/>
    <w:basedOn w:val="1"/>
    <w:qFormat/>
    <w:uiPriority w:val="0"/>
    <w:pPr>
      <w:spacing w:line="312" w:lineRule="auto"/>
      <w:ind w:firstLine="100"/>
      <w:outlineLvl w:val="3"/>
    </w:pPr>
    <w:rPr>
      <w:b/>
    </w:rPr>
  </w:style>
  <w:style w:type="paragraph" w:customStyle="1" w:styleId="333">
    <w:name w:val="样式 样式 标题 3 + 首行缩进:  1 字符 + 首行缩进:  1 字符"/>
    <w:basedOn w:val="1"/>
    <w:qFormat/>
    <w:uiPriority w:val="0"/>
    <w:pPr>
      <w:keepNext/>
      <w:keepLines/>
      <w:widowControl w:val="0"/>
      <w:spacing w:before="60" w:after="60" w:line="415" w:lineRule="auto"/>
      <w:ind w:firstLine="100"/>
      <w:outlineLvl w:val="2"/>
    </w:pPr>
    <w:rPr>
      <w:rFonts w:cs="宋体"/>
      <w:b/>
    </w:rPr>
  </w:style>
  <w:style w:type="character" w:customStyle="1" w:styleId="334">
    <w:name w:val="active13"/>
    <w:basedOn w:val="53"/>
    <w:qFormat/>
    <w:uiPriority w:val="0"/>
    <w:rPr>
      <w:color w:val="FFFFFF"/>
      <w:shd w:val="clear" w:color="auto" w:fill="0F5BB9"/>
    </w:rPr>
  </w:style>
  <w:style w:type="paragraph" w:customStyle="1" w:styleId="335">
    <w:name w:val="BodyText"/>
    <w:basedOn w:val="1"/>
    <w:qFormat/>
    <w:uiPriority w:val="0"/>
    <w:rPr>
      <w:sz w:val="32"/>
    </w:rPr>
  </w:style>
  <w:style w:type="paragraph" w:customStyle="1" w:styleId="336">
    <w:name w:val="BodyText1I"/>
    <w:basedOn w:val="335"/>
    <w:next w:val="1"/>
    <w:qFormat/>
    <w:uiPriority w:val="0"/>
    <w:pPr>
      <w:spacing w:after="120"/>
      <w:ind w:firstLine="100"/>
    </w:pPr>
    <w:rPr>
      <w:sz w:val="24"/>
    </w:rPr>
  </w:style>
  <w:style w:type="paragraph" w:customStyle="1" w:styleId="337">
    <w:name w:val="无间隔2"/>
    <w:basedOn w:val="1"/>
    <w:qFormat/>
    <w:uiPriority w:val="0"/>
    <w:pPr>
      <w:widowControl/>
      <w:jc w:val="left"/>
    </w:pPr>
    <w:rPr>
      <w:rFonts w:ascii="Calibri" w:hAnsi="Calibri" w:eastAsia="宋体" w:cs="Arial"/>
      <w:sz w:val="20"/>
    </w:rPr>
  </w:style>
  <w:style w:type="character" w:customStyle="1" w:styleId="338">
    <w:name w:val="active"/>
    <w:basedOn w:val="53"/>
    <w:qFormat/>
    <w:uiPriority w:val="0"/>
    <w:rPr>
      <w:color w:val="FFFFFF"/>
      <w:shd w:val="clear" w:color="auto" w:fill="0F5BB9"/>
    </w:rPr>
  </w:style>
  <w:style w:type="paragraph" w:customStyle="1" w:styleId="339">
    <w:name w:val="修订2"/>
    <w:qFormat/>
    <w:uiPriority w:val="0"/>
    <w:pPr>
      <w:spacing w:after="160" w:line="278" w:lineRule="auto"/>
    </w:pPr>
    <w:rPr>
      <w:rFonts w:hint="default" w:ascii="Times New Roman" w:hAnsi="Times New Roman" w:eastAsia="宋体" w:cs="Times New Roman"/>
      <w:sz w:val="21"/>
      <w:szCs w:val="24"/>
      <w:lang w:val="en-US" w:eastAsia="zh-CN" w:bidi="ar-SA"/>
    </w:rPr>
  </w:style>
  <w:style w:type="paragraph" w:customStyle="1" w:styleId="340">
    <w:name w:val="修订3"/>
    <w:qFormat/>
    <w:uiPriority w:val="0"/>
    <w:pPr>
      <w:spacing w:after="160" w:line="278" w:lineRule="auto"/>
    </w:pPr>
    <w:rPr>
      <w:rFonts w:hint="default" w:ascii="Times New Roman" w:hAnsi="Times New Roman" w:eastAsia="宋体" w:cs="Times New Roman"/>
      <w:sz w:val="21"/>
      <w:szCs w:val="24"/>
      <w:lang w:val="en-US" w:eastAsia="zh-CN" w:bidi="ar-SA"/>
    </w:rPr>
  </w:style>
  <w:style w:type="paragraph" w:styleId="341">
    <w:name w:val="List Paragraph"/>
    <w:basedOn w:val="1"/>
    <w:qFormat/>
    <w:uiPriority w:val="0"/>
    <w:pPr>
      <w:ind w:firstLine="200"/>
    </w:pPr>
  </w:style>
  <w:style w:type="paragraph" w:customStyle="1" w:styleId="342">
    <w:name w:val="样式29"/>
    <w:basedOn w:val="1"/>
    <w:qFormat/>
    <w:uiPriority w:val="0"/>
    <w:pPr>
      <w:widowControl/>
      <w:spacing w:line="440" w:lineRule="exact"/>
      <w:ind w:firstLine="200"/>
      <w:jc w:val="left"/>
    </w:pPr>
    <w:rPr>
      <w:rFonts w:ascii="Calibri" w:hAnsi="Calibri" w:eastAsia="楷体_GB2312"/>
      <w:spacing w:val="6"/>
      <w:sz w:val="24"/>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江苏省设备成套有限公司</Company>
  <Pages>57</Pages>
  <Words>106</Words>
  <Characters>156</Characters>
  <TotalTime>47</TotalTime>
  <ScaleCrop>false</ScaleCrop>
  <LinksUpToDate>false</LinksUpToDate>
  <CharactersWithSpaces>169</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2023-07-08T14:38:00Z</dcterms:created>
  <dc:creator>Lenovo User</dc:creator>
  <cp:lastModifiedBy>Lenovo</cp:lastModifiedBy>
  <cp:lastPrinted>2026-09-29T15:35:00Z</cp:lastPrinted>
  <dcterms:modified xsi:type="dcterms:W3CDTF">2026-10-21T02:03:42Z</dcterms:modified>
  <dc:title>公开招标文件</dc:title>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AF5C5D32115A469792C989E8BE845B37_13</vt:lpwstr>
  </property>
  <property fmtid="{D5CDD505-2E9C-101B-9397-08002B2CF9AE}" pid="4" name="KSOTemplateDocerSaveRecord">
    <vt:lpwstr>eyJoZGlkIjoiZWQ0NWNmOWM0MTYxMDU5NDhmNTYxMTc1NGJlYTk1ODAiLCJ1c2VySWQiOiIyMTc3NzUyNDEifQ==</vt:lpwstr>
  </property>
</Properties>
</file>