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color w:val="auto"/>
          <w:sz w:val="56"/>
          <w:szCs w:val="56"/>
          <w:highlight w:val="none"/>
        </w:rPr>
      </w:pPr>
      <w:r>
        <w:rPr>
          <w:rFonts w:ascii="黑体" w:hAnsi="黑体" w:eastAsia="黑体"/>
          <w:b/>
          <w:bCs/>
          <w:color w:val="auto"/>
          <w:sz w:val="56"/>
          <w:szCs w:val="56"/>
          <w:highlight w:val="none"/>
        </w:rPr>
      </w:r>
      <w:r/>
    </w:p>
    <w:p>
      <w:pPr>
        <w:pStyle w:val="801"/>
        <w:jc w:val="center"/>
        <w:spacing w:before="0" w:beforeAutospacing="0" w:after="0" w:afterAutospacing="0"/>
        <w:widowControl w:val="off"/>
        <w:rPr>
          <w:color w:val="auto"/>
          <w:highlight w:val="none"/>
        </w:rPr>
      </w:pPr>
      <w:r>
        <w:rPr>
          <w:rFonts w:hint="eastAsia" w:cs="宋体"/>
          <w:b/>
          <w:bCs/>
          <w:color w:val="auto"/>
          <w:sz w:val="52"/>
          <w:szCs w:val="52"/>
          <w:highlight w:val="none"/>
        </w:rPr>
        <w:t xml:space="preserve">宜 兴 市 政 府 采 购</w:t>
      </w:r>
      <w:r/>
    </w:p>
    <w:p>
      <w:pPr>
        <w:pStyle w:val="801"/>
        <w:jc w:val="center"/>
        <w:spacing w:before="0" w:beforeAutospacing="0" w:after="0" w:afterAutospacing="0"/>
        <w:widowControl w:val="off"/>
        <w:rPr>
          <w:rFonts w:hint="eastAsia" w:cs="宋体"/>
          <w:b/>
          <w:bCs/>
          <w:color w:val="auto"/>
          <w:sz w:val="96"/>
          <w:szCs w:val="96"/>
          <w:highlight w:val="none"/>
        </w:rPr>
      </w:pPr>
      <w:r>
        <w:rPr>
          <w:rFonts w:hint="eastAsia" w:cs="宋体"/>
          <w:b/>
          <w:bCs/>
          <w:color w:val="auto"/>
          <w:sz w:val="96"/>
          <w:szCs w:val="96"/>
          <w:highlight w:val="none"/>
        </w:rPr>
      </w:r>
      <w:r/>
    </w:p>
    <w:p>
      <w:pPr>
        <w:pStyle w:val="801"/>
        <w:jc w:val="center"/>
        <w:spacing w:before="0" w:beforeAutospacing="0" w:after="0" w:afterAutospacing="0"/>
        <w:widowControl w:val="off"/>
        <w:rPr>
          <w:color w:val="auto"/>
          <w:highlight w:val="none"/>
        </w:rPr>
      </w:pPr>
      <w:r>
        <w:rPr>
          <w:rFonts w:hint="eastAsia" w:cs="宋体"/>
          <w:b/>
          <w:bCs/>
          <w:color w:val="auto"/>
          <w:sz w:val="96"/>
          <w:szCs w:val="96"/>
          <w:highlight w:val="none"/>
        </w:rPr>
        <w:t xml:space="preserve">磋</w:t>
      </w:r>
      <w:r/>
    </w:p>
    <w:p>
      <w:pPr>
        <w:pStyle w:val="801"/>
        <w:jc w:val="center"/>
        <w:spacing w:before="0" w:beforeAutospacing="0" w:after="0" w:afterAutospacing="0"/>
        <w:widowControl w:val="off"/>
        <w:rPr>
          <w:color w:val="auto"/>
          <w:highlight w:val="none"/>
        </w:rPr>
      </w:pPr>
      <w:r>
        <w:rPr>
          <w:rFonts w:hint="eastAsia" w:cs="宋体"/>
          <w:b/>
          <w:bCs/>
          <w:color w:val="auto"/>
          <w:sz w:val="96"/>
          <w:szCs w:val="96"/>
          <w:highlight w:val="none"/>
        </w:rPr>
        <w:t xml:space="preserve">商</w:t>
      </w:r>
      <w:r/>
    </w:p>
    <w:p>
      <w:pPr>
        <w:pStyle w:val="801"/>
        <w:jc w:val="center"/>
        <w:spacing w:before="0" w:beforeAutospacing="0" w:after="0" w:afterAutospacing="0"/>
        <w:widowControl w:val="off"/>
        <w:rPr>
          <w:color w:val="auto"/>
          <w:highlight w:val="none"/>
        </w:rPr>
      </w:pPr>
      <w:r>
        <w:rPr>
          <w:rFonts w:hint="eastAsia" w:cs="宋体"/>
          <w:b/>
          <w:bCs/>
          <w:color w:val="auto"/>
          <w:sz w:val="96"/>
          <w:szCs w:val="96"/>
          <w:highlight w:val="none"/>
        </w:rPr>
        <w:t xml:space="preserve">文</w:t>
      </w:r>
      <w:r/>
    </w:p>
    <w:p>
      <w:pPr>
        <w:pStyle w:val="801"/>
        <w:jc w:val="center"/>
        <w:spacing w:before="0" w:beforeAutospacing="0" w:after="0" w:afterAutospacing="0"/>
        <w:widowControl w:val="off"/>
        <w:rPr>
          <w:color w:val="auto"/>
          <w:highlight w:val="none"/>
        </w:rPr>
      </w:pPr>
      <w:r>
        <w:rPr>
          <w:rFonts w:hint="eastAsia" w:cs="宋体"/>
          <w:b/>
          <w:bCs/>
          <w:color w:val="auto"/>
          <w:sz w:val="96"/>
          <w:szCs w:val="96"/>
          <w:highlight w:val="none"/>
        </w:rPr>
        <w:t xml:space="preserve">件</w:t>
      </w:r>
      <w:r/>
    </w:p>
    <w:p>
      <w:pPr>
        <w:pStyle w:val="801"/>
        <w:jc w:val="center"/>
        <w:spacing w:before="0" w:beforeAutospacing="0" w:after="0" w:afterAutospacing="0"/>
        <w:widowControl w:val="off"/>
        <w:rPr>
          <w:color w:val="auto"/>
          <w:highlight w:val="none"/>
        </w:rPr>
      </w:pPr>
      <w:r>
        <w:rPr>
          <w:color w:val="auto"/>
          <w:highlight w:val="none"/>
        </w:rPr>
        <w:t xml:space="preserve"> </w:t>
      </w:r>
      <w:r/>
    </w:p>
    <w:p>
      <w:pPr>
        <w:pStyle w:val="801"/>
        <w:jc w:val="center"/>
        <w:spacing w:before="0" w:beforeAutospacing="0" w:after="0" w:afterAutospacing="0"/>
        <w:widowControl w:val="off"/>
        <w:rPr>
          <w:color w:val="auto"/>
          <w:highlight w:val="none"/>
        </w:rPr>
      </w:pPr>
      <w:r>
        <w:rPr>
          <w:rFonts w:hint="eastAsia" w:cs="宋体"/>
          <w:b/>
          <w:bCs/>
          <w:color w:val="auto"/>
          <w:sz w:val="84"/>
          <w:szCs w:val="84"/>
          <w:highlight w:val="none"/>
        </w:rPr>
        <w:t xml:space="preserve">（电子标）</w:t>
      </w:r>
      <w:r/>
    </w:p>
    <w:p>
      <w:pPr>
        <w:pStyle w:val="993"/>
        <w:ind w:firstLine="480"/>
        <w:rPr>
          <w:color w:val="auto"/>
          <w:highlight w:val="none"/>
        </w:rPr>
      </w:pPr>
      <w:r>
        <w:rPr>
          <w:color w:val="auto"/>
          <w:highlight w:val="none"/>
        </w:rPr>
      </w:r>
      <w:r/>
    </w:p>
    <w:p>
      <w:pPr>
        <w:ind w:firstLine="9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宜兴市优秀公务员健康休养服务采购项目</w:t>
      </w:r>
      <w:r/>
    </w:p>
    <w:p>
      <w:pPr>
        <w:ind w:firstLine="9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JSZC-320282-JGGC-C2026-0005</w:t>
      </w:r>
      <w:r/>
    </w:p>
    <w:p>
      <w:pPr>
        <w:ind w:firstLine="9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采购人：</w:t>
      </w:r>
      <w:r>
        <w:rPr>
          <w:rFonts w:hint="eastAsia" w:ascii="宋体" w:hAnsi="宋体" w:cs="宋体"/>
          <w:color w:val="auto"/>
          <w:sz w:val="32"/>
          <w:szCs w:val="32"/>
          <w:highlight w:val="none"/>
          <w:lang w:eastAsia="zh-CN"/>
        </w:rPr>
        <w:t xml:space="preserve">中国共产党宜兴市委员会组织部</w:t>
      </w:r>
      <w:r/>
    </w:p>
    <w:p>
      <w:pPr>
        <w:ind w:firstLine="96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采购代理机构：江苏久格工程项目管理有限公司</w:t>
      </w:r>
      <w:r/>
    </w:p>
    <w:p>
      <w:pPr>
        <w:jc w:val="both"/>
        <w:spacing w:line="360" w:lineRule="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28"/>
          <w:szCs w:val="28"/>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九</w:t>
      </w:r>
      <w:r>
        <w:rPr>
          <w:rFonts w:hint="eastAsia" w:ascii="宋体" w:hAnsi="宋体" w:cs="宋体"/>
          <w:color w:val="auto"/>
          <w:sz w:val="32"/>
          <w:szCs w:val="32"/>
          <w:highlight w:val="none"/>
        </w:rPr>
        <w:t xml:space="preserve">月</w:t>
      </w:r>
      <w:r/>
    </w:p>
    <w:p>
      <w:pPr>
        <w:jc w:val="center"/>
        <w:rPr>
          <w:rFonts w:hint="eastAsia"/>
          <w:color w:val="auto"/>
          <w:highlight w:val="none"/>
        </w:rPr>
      </w:pPr>
      <w:r>
        <w:rPr>
          <w:rFonts w:hint="eastAsia"/>
          <w:color w:val="auto"/>
          <w:highlight w:val="none"/>
        </w:rPr>
        <w:t xml:space="preserve">       </w:t>
      </w:r>
      <w:r/>
    </w:p>
    <w:p>
      <w:pPr>
        <w:jc w:val="center"/>
        <w:rPr>
          <w:rFonts w:hint="eastAsia"/>
          <w:color w:val="auto"/>
          <w:highlight w:val="none"/>
        </w:rPr>
      </w:pPr>
      <w:r>
        <w:rPr>
          <w:rFonts w:hint="eastAsia"/>
          <w:color w:val="auto"/>
          <w:highlight w:val="none"/>
        </w:rPr>
      </w:r>
      <w:r/>
    </w:p>
    <w:p>
      <w:pPr>
        <w:jc w:val="center"/>
        <w:rPr>
          <w:rStyle w:val="995"/>
          <w:rFonts w:eastAsia="黑体"/>
          <w:bCs/>
          <w:color w:val="auto"/>
          <w:sz w:val="48"/>
          <w:highlight w:val="none"/>
        </w:rPr>
      </w:pPr>
      <w:r>
        <w:rPr>
          <w:rStyle w:val="995"/>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996"/>
        <w:spacing w:line="360" w:lineRule="auto"/>
        <w:tabs>
          <w:tab w:val="right" w:pos="9639"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color w:val="auto"/>
          <w:highlight w:val="none"/>
        </w:rPr>
        <w:fldChar w:fldCharType="begin"/>
      </w:r>
      <w:r>
        <w:rPr>
          <w:color w:val="auto"/>
          <w:highlight w:val="none"/>
        </w:rPr>
        <w:instrText xml:space="preserve"> HYPERLINK \l "_Toc2870" \o "#_Toc2870" </w:instrText>
      </w:r>
      <w:r>
        <w:rPr>
          <w:color w:val="auto"/>
          <w:highlight w:val="none"/>
        </w:rPr>
        <w:fldChar w:fldCharType="separate"/>
      </w:r>
      <w:r>
        <w:rPr>
          <w:rFonts w:hint="eastAsia" w:ascii="黑体" w:hAnsi="黑体" w:eastAsia="黑体"/>
          <w:color w:val="auto"/>
          <w:sz w:val="32"/>
          <w:szCs w:val="32"/>
          <w:highlight w:val="none"/>
        </w:rPr>
        <w:t xml:space="preserve">第一章 报价邀请函</w:t>
      </w:r>
      <w:r>
        <w:rPr>
          <w:color w:val="auto"/>
          <w:sz w:val="32"/>
          <w:szCs w:val="32"/>
          <w:highlight w:val="none"/>
        </w:rPr>
        <w:tab/>
      </w:r>
      <w:r>
        <w:rPr>
          <w:rFonts w:hint="eastAsia"/>
          <w:color w:val="auto"/>
          <w:sz w:val="32"/>
          <w:szCs w:val="32"/>
          <w:highlight w:val="none"/>
          <w:lang w:val="en-US" w:eastAsia="zh-CN"/>
        </w:rPr>
        <w:t xml:space="preserve">3</w:t>
      </w:r>
      <w:r>
        <w:rPr>
          <w:rFonts w:hint="eastAsia"/>
          <w:color w:val="auto"/>
          <w:sz w:val="32"/>
          <w:szCs w:val="32"/>
          <w:highlight w:val="none"/>
        </w:rPr>
        <w:fldChar w:fldCharType="end"/>
      </w:r>
      <w:r/>
    </w:p>
    <w:p>
      <w:pPr>
        <w:pStyle w:val="996"/>
        <w:spacing w:line="360" w:lineRule="auto"/>
        <w:tabs>
          <w:tab w:val="right" w:pos="9639" w:leader="dot"/>
        </w:tabs>
        <w:rPr>
          <w:color w:val="auto"/>
          <w:sz w:val="32"/>
          <w:szCs w:val="32"/>
          <w:highlight w:val="none"/>
        </w:rPr>
      </w:pPr>
      <w:r>
        <w:rPr>
          <w:color w:val="auto"/>
          <w:highlight w:val="none"/>
        </w:rPr>
        <w:fldChar w:fldCharType="begin"/>
      </w:r>
      <w:r>
        <w:rPr>
          <w:color w:val="auto"/>
          <w:highlight w:val="none"/>
        </w:rPr>
        <w:instrText xml:space="preserve"> HYPERLINK \l "_Toc24238" \o "#_Toc24238" </w:instrText>
      </w:r>
      <w:r>
        <w:rPr>
          <w:color w:val="auto"/>
          <w:highlight w:val="none"/>
        </w:rPr>
        <w:fldChar w:fldCharType="separate"/>
      </w:r>
      <w:r>
        <w:rPr>
          <w:rFonts w:hint="eastAsia" w:ascii="黑体" w:hAnsi="黑体" w:eastAsia="黑体"/>
          <w:color w:val="auto"/>
          <w:sz w:val="32"/>
          <w:szCs w:val="32"/>
          <w:highlight w:val="none"/>
        </w:rPr>
        <w:t xml:space="preserve">第二章 供应商须知</w:t>
      </w:r>
      <w:r>
        <w:rPr>
          <w:color w:val="auto"/>
          <w:sz w:val="32"/>
          <w:szCs w:val="32"/>
          <w:highlight w:val="none"/>
        </w:rPr>
        <w:tab/>
      </w:r>
      <w:r>
        <w:rPr>
          <w:rFonts w:hint="eastAsia"/>
          <w:color w:val="auto"/>
          <w:sz w:val="32"/>
          <w:szCs w:val="32"/>
          <w:highlight w:val="none"/>
          <w:lang w:val="en-US" w:eastAsia="zh-CN"/>
        </w:rPr>
        <w:t xml:space="preserve">6</w:t>
      </w:r>
      <w:r>
        <w:rPr>
          <w:rFonts w:hint="eastAsia"/>
          <w:color w:val="auto"/>
          <w:sz w:val="32"/>
          <w:szCs w:val="32"/>
          <w:highlight w:val="none"/>
        </w:rPr>
        <w:fldChar w:fldCharType="end"/>
      </w:r>
      <w:r/>
    </w:p>
    <w:p>
      <w:pPr>
        <w:pStyle w:val="996"/>
        <w:spacing w:line="360" w:lineRule="auto"/>
        <w:tabs>
          <w:tab w:val="right" w:pos="9639" w:leader="dot"/>
        </w:tabs>
        <w:rPr>
          <w:color w:val="auto"/>
          <w:sz w:val="32"/>
          <w:szCs w:val="32"/>
          <w:highlight w:val="none"/>
        </w:rPr>
      </w:pPr>
      <w:r>
        <w:rPr>
          <w:color w:val="auto"/>
          <w:highlight w:val="none"/>
        </w:rPr>
        <w:fldChar w:fldCharType="begin"/>
      </w:r>
      <w:r>
        <w:rPr>
          <w:color w:val="auto"/>
          <w:highlight w:val="none"/>
        </w:rPr>
        <w:instrText xml:space="preserve"> HYPERLINK \l "_Toc4094" \o "#_Toc4094" </w:instrText>
      </w:r>
      <w:r>
        <w:rPr>
          <w:color w:val="auto"/>
          <w:highlight w:val="none"/>
        </w:rPr>
        <w:fldChar w:fldCharType="separate"/>
      </w:r>
      <w:r>
        <w:rPr>
          <w:rFonts w:hint="eastAsia" w:ascii="黑体" w:hAnsi="黑体" w:eastAsia="黑体"/>
          <w:color w:val="auto"/>
          <w:sz w:val="32"/>
          <w:szCs w:val="32"/>
          <w:highlight w:val="none"/>
        </w:rPr>
        <w:t xml:space="preserve">第三章 项目技术要求和有关说明</w:t>
      </w:r>
      <w:r>
        <w:rPr>
          <w:color w:val="auto"/>
          <w:sz w:val="32"/>
          <w:szCs w:val="32"/>
          <w:highlight w:val="none"/>
        </w:rPr>
        <w:tab/>
      </w:r>
      <w:r>
        <w:rPr>
          <w:color w:val="auto"/>
          <w:sz w:val="32"/>
          <w:szCs w:val="32"/>
          <w:highlight w:val="none"/>
        </w:rPr>
        <w:fldChar w:fldCharType="end"/>
      </w:r>
      <w:r>
        <w:rPr>
          <w:rFonts w:hint="eastAsia" w:ascii="黑体" w:hAnsi="黑体" w:eastAsia="黑体" w:cs="黑体"/>
          <w:color w:val="auto"/>
          <w:sz w:val="32"/>
          <w:szCs w:val="32"/>
          <w:highlight w:val="none"/>
        </w:rPr>
        <w:t xml:space="preserve">19</w:t>
      </w:r>
      <w:r/>
    </w:p>
    <w:p>
      <w:pPr>
        <w:pStyle w:val="996"/>
        <w:spacing w:line="360" w:lineRule="auto"/>
        <w:tabs>
          <w:tab w:val="right" w:pos="9639" w:leader="dot"/>
        </w:tabs>
        <w:rPr>
          <w:rFonts w:hint="default" w:ascii="黑体" w:hAnsi="黑体" w:eastAsia="宋体" w:cs="黑体"/>
          <w:color w:val="auto"/>
          <w:sz w:val="32"/>
          <w:szCs w:val="32"/>
          <w:highlight w:val="none"/>
          <w:lang w:val="en-US" w:eastAsia="zh-CN"/>
        </w:rPr>
      </w:pPr>
      <w:r>
        <w:rPr>
          <w:color w:val="auto"/>
          <w:highlight w:val="none"/>
        </w:rPr>
        <w:fldChar w:fldCharType="begin"/>
      </w:r>
      <w:r>
        <w:rPr>
          <w:color w:val="auto"/>
          <w:highlight w:val="none"/>
        </w:rPr>
        <w:instrText xml:space="preserve"> HYPERLINK \l "_Toc27472" \o "#_Toc27472" </w:instrText>
      </w:r>
      <w:r>
        <w:rPr>
          <w:color w:val="auto"/>
          <w:highlight w:val="none"/>
        </w:rPr>
        <w:fldChar w:fldCharType="separate"/>
      </w:r>
      <w:r>
        <w:rPr>
          <w:rFonts w:hint="eastAsia" w:ascii="黑体" w:hAnsi="黑体" w:eastAsia="黑体" w:cs="黑体"/>
          <w:color w:val="auto"/>
          <w:sz w:val="32"/>
          <w:szCs w:val="32"/>
          <w:highlight w:val="none"/>
        </w:rPr>
        <w:t xml:space="preserve">第四章 评审方法和标准</w:t>
      </w:r>
      <w:r>
        <w:rPr>
          <w:color w:val="auto"/>
          <w:sz w:val="32"/>
          <w:szCs w:val="32"/>
          <w:highlight w:val="none"/>
        </w:rPr>
        <w:tab/>
      </w:r>
      <w:r>
        <w:rPr>
          <w:rFonts w:hint="eastAsia"/>
          <w:color w:val="auto"/>
          <w:sz w:val="32"/>
          <w:szCs w:val="32"/>
          <w:highlight w:val="none"/>
        </w:rPr>
        <w:t xml:space="preserve">..................</w:t>
      </w:r>
      <w:r>
        <w:rPr>
          <w:rFonts w:hint="eastAsia"/>
          <w:color w:val="auto"/>
          <w:sz w:val="32"/>
          <w:szCs w:val="32"/>
          <w:highlight w:val="none"/>
        </w:rPr>
        <w:fldChar w:fldCharType="end"/>
      </w:r>
      <w:r>
        <w:rPr>
          <w:rFonts w:hint="eastAsia" w:ascii="黑体" w:hAnsi="黑体" w:eastAsia="黑体" w:cs="黑体"/>
          <w:color w:val="auto"/>
          <w:sz w:val="32"/>
          <w:szCs w:val="32"/>
          <w:highlight w:val="none"/>
          <w:lang w:val="en-US" w:eastAsia="zh-CN"/>
        </w:rPr>
        <w:t xml:space="preserve">21</w:t>
      </w:r>
      <w:r/>
    </w:p>
    <w:p>
      <w:pPr>
        <w:pStyle w:val="996"/>
        <w:spacing w:line="360" w:lineRule="auto"/>
        <w:tabs>
          <w:tab w:val="right" w:pos="9639" w:leader="dot"/>
        </w:tabs>
        <w:rPr>
          <w:rFonts w:hint="default"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"_Toc29764" \o "#_Toc29764" </w:instrText>
      </w:r>
      <w:r>
        <w:rPr>
          <w:color w:val="auto"/>
          <w:highlight w:val="none"/>
        </w:rPr>
        <w:fldChar w:fldCharType="separate"/>
      </w:r>
      <w:r>
        <w:rPr>
          <w:rFonts w:hint="eastAsia" w:ascii="黑体" w:hAnsi="黑体" w:eastAsia="黑体"/>
          <w:color w:val="auto"/>
          <w:sz w:val="32"/>
          <w:szCs w:val="32"/>
          <w:highlight w:val="none"/>
        </w:rPr>
        <w:t xml:space="preserve">第五章 政府采购合同（格式）</w:t>
      </w:r>
      <w:r>
        <w:rPr>
          <w:color w:val="auto"/>
          <w:sz w:val="32"/>
          <w:szCs w:val="32"/>
          <w:highlight w:val="none"/>
        </w:rPr>
        <w:tab/>
      </w:r>
      <w:r>
        <w:rPr>
          <w:color w:val="auto"/>
          <w:sz w:val="32"/>
          <w:szCs w:val="32"/>
          <w:highlight w:val="none"/>
        </w:rPr>
        <w:fldChar w:fldCharType="end"/>
      </w:r>
      <w:r>
        <w:rPr>
          <w:rFonts w:hint="eastAsia" w:ascii="黑体" w:hAnsi="黑体" w:eastAsia="黑体" w:cs="黑体"/>
          <w:color w:val="auto"/>
          <w:sz w:val="32"/>
          <w:szCs w:val="32"/>
          <w:highlight w:val="none"/>
          <w:lang w:val="en-US" w:eastAsia="zh-CN"/>
        </w:rPr>
        <w:t xml:space="preserve">25</w:t>
      </w:r>
      <w:r/>
    </w:p>
    <w:p>
      <w:pPr>
        <w:pStyle w:val="996"/>
        <w:spacing w:line="360" w:lineRule="auto"/>
        <w:tabs>
          <w:tab w:val="right" w:pos="9639" w:leader="dot"/>
        </w:tabs>
        <w:rPr>
          <w:rFonts w:hint="default"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"_Toc3743" \o "#_Toc3743" </w:instrText>
      </w:r>
      <w:r>
        <w:rPr>
          <w:color w:val="auto"/>
          <w:highlight w:val="none"/>
        </w:rPr>
        <w:fldChar w:fldCharType="separate"/>
      </w:r>
      <w:r>
        <w:rPr>
          <w:rFonts w:hint="eastAsia" w:ascii="黑体" w:hAnsi="黑体" w:eastAsia="黑体"/>
          <w:color w:val="auto"/>
          <w:sz w:val="32"/>
          <w:szCs w:val="32"/>
          <w:highlight w:val="none"/>
        </w:rPr>
        <w:t xml:space="preserve">第六章 响应文件（格式）</w:t>
      </w:r>
      <w:r>
        <w:rPr>
          <w:color w:val="auto"/>
          <w:sz w:val="32"/>
          <w:szCs w:val="32"/>
          <w:highlight w:val="none"/>
        </w:rPr>
        <w:tab/>
      </w:r>
      <w:r>
        <w:rPr>
          <w:color w:val="auto"/>
          <w:sz w:val="32"/>
          <w:szCs w:val="32"/>
          <w:highlight w:val="none"/>
        </w:rPr>
        <w:fldChar w:fldCharType="end"/>
      </w:r>
      <w:r>
        <w:rPr>
          <w:rFonts w:hint="eastAsia" w:ascii="黑体" w:hAnsi="黑体" w:eastAsia="黑体" w:cs="黑体"/>
          <w:color w:val="auto"/>
          <w:sz w:val="32"/>
          <w:szCs w:val="32"/>
          <w:highlight w:val="none"/>
          <w:lang w:val="en-US" w:eastAsia="zh-CN"/>
        </w:rPr>
        <w:t xml:space="preserve">35</w:t>
      </w:r>
      <w:r/>
    </w:p>
    <w:p>
      <w:pPr>
        <w:spacing w:line="360" w:lineRule="auto"/>
        <w:rPr>
          <w:rFonts w:ascii="黑体" w:hAnsi="黑体" w:eastAsia="黑体"/>
          <w:color w:val="auto"/>
          <w:sz w:val="28"/>
          <w:highlight w:val="none"/>
        </w:rPr>
        <w:sectPr>
          <w:footerReference w:type="default" r:id="rId10"/>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auto"/>
          <w:sz w:val="32"/>
          <w:szCs w:val="32"/>
          <w:highlight w:val="none"/>
        </w:rPr>
        <w:fldChar w:fldCharType="end"/>
      </w:r>
      <w:bookmarkStart w:id="0" w:name="_Toc30211"/>
      <w:r/>
      <w:r/>
    </w:p>
    <w:p>
      <w:pPr>
        <w:jc w:val="left"/>
        <w:tabs>
          <w:tab w:val="center" w:pos="4879" w:leader="none"/>
          <w:tab w:val="left" w:pos="8218" w:leader="none"/>
        </w:tabs>
        <w:rPr>
          <w:rFonts w:ascii="黑体" w:hAnsi="黑体" w:eastAsia="黑体"/>
          <w:color w:val="auto"/>
          <w:sz w:val="28"/>
          <w:highlight w:val="none"/>
        </w:rPr>
        <w:outlineLvl w:val="0"/>
      </w:pPr>
      <w:r>
        <w:rPr>
          <w:rFonts w:hint="eastAsia" w:ascii="黑体" w:hAnsi="黑体" w:eastAsia="黑体"/>
          <w:color w:val="auto"/>
          <w:sz w:val="28"/>
          <w:highlight w:val="none"/>
        </w:rPr>
        <w:tab/>
      </w:r>
      <w:bookmarkStart w:id="1" w:name="_Toc2870"/>
      <w:r/>
      <w:r/>
    </w:p>
    <w:p>
      <w:pPr>
        <w:jc w:val="center"/>
        <w:tabs>
          <w:tab w:val="center" w:pos="4879" w:leader="none"/>
          <w:tab w:val="left" w:pos="8218" w:leader="none"/>
        </w:tabs>
        <w:rPr>
          <w:rFonts w:ascii="宋体" w:hAnsi="宋体"/>
          <w:color w:val="auto"/>
          <w:sz w:val="24"/>
          <w:szCs w:val="28"/>
          <w:highlight w:val="none"/>
        </w:rPr>
        <w:outlineLvl w:val="0"/>
      </w:pPr>
      <w:r>
        <w:rPr>
          <w:rFonts w:hint="eastAsia" w:ascii="黑体" w:hAnsi="黑体" w:eastAsia="黑体"/>
          <w:color w:val="auto"/>
          <w:sz w:val="28"/>
          <w:highlight w:val="none"/>
        </w:rPr>
        <w:t xml:space="preserve">第一章 </w:t>
      </w:r>
      <w:r>
        <w:rPr>
          <w:rFonts w:hint="eastAsia" w:ascii="黑体" w:hAnsi="黑体" w:eastAsia="黑体"/>
          <w:color w:val="auto"/>
          <w:sz w:val="28"/>
          <w:highlight w:val="none"/>
        </w:rPr>
        <w:t xml:space="preserve">报价</w:t>
      </w:r>
      <w:r>
        <w:rPr>
          <w:rFonts w:hint="eastAsia" w:ascii="黑体" w:hAnsi="黑体" w:eastAsia="黑体"/>
          <w:color w:val="auto"/>
          <w:sz w:val="28"/>
          <w:highlight w:val="none"/>
        </w:rPr>
        <w:t xml:space="preserve">邀请函</w:t>
      </w:r>
      <w:bookmarkEnd w:id="0"/>
      <w:r/>
      <w:bookmarkEnd w:id="1"/>
      <w:r/>
      <w:r/>
    </w:p>
    <w:p>
      <w:pPr>
        <w:ind w:firstLine="480"/>
        <w:spacing w:line="360" w:lineRule="auto"/>
        <w:rPr>
          <w:rFonts w:ascii="宋体" w:hAnsi="宋体"/>
          <w:bCs/>
          <w:color w:val="auto"/>
          <w:sz w:val="24"/>
          <w:szCs w:val="24"/>
          <w:highlight w:val="none"/>
        </w:rPr>
      </w:pPr>
      <w:r>
        <w:rPr>
          <w:rFonts w:hint="eastAsia" w:ascii="宋体" w:hAnsi="宋体"/>
          <w:color w:val="auto"/>
          <w:sz w:val="24"/>
          <w:szCs w:val="28"/>
          <w:highlight w:val="none"/>
        </w:rPr>
        <w:t xml:space="preserve">本项目招标公告已在江苏政府采购网发布，现对本项目</w:t>
      </w:r>
      <w:r>
        <w:rPr>
          <w:rFonts w:hint="eastAsia" w:ascii="宋体" w:hAnsi="宋体"/>
          <w:color w:val="auto"/>
          <w:sz w:val="24"/>
          <w:szCs w:val="28"/>
          <w:highlight w:val="none"/>
        </w:rPr>
        <w:t xml:space="preserve">进行竞争性磋商方式采购，</w:t>
      </w:r>
      <w:r>
        <w:rPr>
          <w:rFonts w:hint="eastAsia" w:ascii="宋体" w:hAnsi="宋体"/>
          <w:bCs/>
          <w:color w:val="auto"/>
          <w:sz w:val="24"/>
          <w:szCs w:val="24"/>
          <w:highlight w:val="none"/>
        </w:rPr>
        <w:t xml:space="preserve">欢迎你单位竞争报价</w:t>
      </w:r>
      <w:r>
        <w:rPr>
          <w:rFonts w:hint="eastAsia" w:ascii="宋体" w:hAnsi="宋体"/>
          <w:color w:val="auto"/>
          <w:sz w:val="24"/>
          <w:szCs w:val="28"/>
          <w:highlight w:val="none"/>
        </w:rPr>
        <w:t xml:space="preserve">并</w:t>
      </w:r>
      <w:r>
        <w:rPr>
          <w:rFonts w:hint="eastAsia" w:ascii="宋体" w:hAnsi="宋体"/>
          <w:bCs/>
          <w:color w:val="auto"/>
          <w:sz w:val="24"/>
          <w:szCs w:val="24"/>
          <w:highlight w:val="none"/>
        </w:rPr>
        <w:t xml:space="preserve">提请遵守下表中的相关事项：</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textDirection w:val="lrTb"/>
            <w:noWrap w:val="false"/>
          </w:tcPr>
          <w:p>
            <w:pPr>
              <w:jc w:val="center"/>
              <w:rPr>
                <w:rFonts w:ascii="宋体" w:hAnsi="宋体"/>
                <w:bCs/>
                <w:color w:val="auto"/>
                <w:sz w:val="24"/>
                <w:szCs w:val="24"/>
                <w:highlight w:val="none"/>
              </w:rPr>
            </w:pPr>
            <w:r/>
            <w:bookmarkStart w:id="2" w:name="OLE_LINK37"/>
            <w:r/>
            <w:bookmarkStart w:id="3" w:name="_Toc29543"/>
            <w:r>
              <w:rPr>
                <w:rFonts w:hint="eastAsia" w:ascii="宋体" w:hAnsi="宋体"/>
                <w:bCs/>
                <w:color w:val="auto"/>
                <w:sz w:val="24"/>
                <w:szCs w:val="24"/>
                <w:highlight w:val="none"/>
              </w:rPr>
              <w:t xml:space="preserve">序号</w:t>
            </w:r>
            <w:r/>
          </w:p>
        </w:tc>
        <w:tc>
          <w:tcPr>
            <w:tcW w:w="799" w:type="dxa"/>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8052" w:type="dxa"/>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jc w:val="center"/>
          <w:trHeight w:val="2332"/>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799" w:type="dxa"/>
            <w:vAlign w:val="center"/>
            <w:textDirection w:val="lrTb"/>
            <w:noWrap w:val="false"/>
          </w:tcPr>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项</w:t>
            </w:r>
            <w:r/>
          </w:p>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目</w:t>
            </w:r>
            <w:r/>
          </w:p>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信</w:t>
            </w:r>
            <w:r/>
          </w:p>
          <w:p>
            <w:pPr>
              <w:jc w:val="center"/>
              <w:rPr>
                <w:rFonts w:ascii="宋体" w:hAnsi="宋体"/>
                <w:bCs/>
                <w:color w:val="auto"/>
                <w:sz w:val="24"/>
                <w:szCs w:val="24"/>
                <w:highlight w:val="none"/>
              </w:rPr>
            </w:pPr>
            <w:r>
              <w:rPr>
                <w:rFonts w:hint="eastAsia" w:ascii="宋体" w:hAnsi="宋体"/>
                <w:b/>
                <w:color w:val="auto"/>
                <w:sz w:val="24"/>
                <w:szCs w:val="24"/>
                <w:highlight w:val="none"/>
                <w:lang w:val="zh-CN"/>
              </w:rPr>
              <w:t xml:space="preserve">息</w:t>
            </w:r>
            <w:bookmarkStart w:id="4" w:name="OLE_LINK108"/>
            <w:r/>
            <w:bookmarkEnd w:id="4"/>
            <w:r/>
            <w:r/>
          </w:p>
        </w:tc>
        <w:tc>
          <w:tcPr>
            <w:gridSpan w:val="2"/>
            <w:tcW w:w="8052" w:type="dxa"/>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宜兴市优秀公务员健康休养服务采购项目</w:t>
            </w:r>
            <w:r>
              <w:rPr>
                <w:rFonts w:hint="eastAsia" w:ascii="宋体" w:hAnsi="宋体"/>
                <w:bCs/>
                <w:color w:val="auto"/>
                <w:sz w:val="24"/>
                <w:szCs w:val="24"/>
                <w:highlight w:val="none"/>
              </w:rPr>
              <w:t xml:space="preserve">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JSZC-320282-JGGC-C2026-0005</w:t>
            </w:r>
            <w:r>
              <w:rPr>
                <w:rFonts w:hint="eastAsia" w:ascii="宋体" w:hAnsi="宋体"/>
                <w:bCs/>
                <w:color w:val="auto"/>
                <w:sz w:val="24"/>
                <w:szCs w:val="24"/>
                <w:highlight w:val="none"/>
              </w:rPr>
              <w:t xml:space="preserve">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品    目：C23270000旅游服务</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本项目标的所属行业：</w:t>
            </w:r>
            <w:r>
              <w:rPr>
                <w:rFonts w:hint="eastAsia" w:ascii="宋体" w:hAnsi="宋体" w:eastAsia="宋体" w:cs="宋体"/>
                <w:b w:val="0"/>
                <w:bCs/>
                <w:color w:val="auto"/>
                <w:sz w:val="24"/>
                <w:szCs w:val="24"/>
                <w:highlight w:val="none"/>
                <w:lang w:val="en-US" w:eastAsia="zh-CN" w:bidi="ar-SA"/>
              </w:rPr>
              <w:t xml:space="preserve">租赁和商务服务业</w:t>
            </w:r>
            <w:r>
              <w:rPr>
                <w:rFonts w:hint="eastAsia" w:ascii="宋体" w:hAnsi="宋体"/>
                <w:bCs/>
                <w:color w:val="auto"/>
                <w:sz w:val="24"/>
                <w:szCs w:val="24"/>
                <w:highlight w:val="none"/>
              </w:rPr>
              <w:t xml:space="preserve">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采购方式：</w:t>
            </w:r>
            <w:r>
              <w:rPr>
                <w:rFonts w:hint="eastAsia" w:ascii="宋体" w:hAnsi="宋体"/>
                <w:color w:val="auto"/>
                <w:sz w:val="24"/>
                <w:szCs w:val="28"/>
                <w:highlight w:val="none"/>
              </w:rPr>
              <w:t xml:space="preserve">竞争性磋商</w:t>
            </w:r>
            <w:r>
              <w:rPr>
                <w:rFonts w:hint="eastAsia" w:ascii="宋体" w:hAnsi="宋体"/>
                <w:bCs/>
                <w:color w:val="auto"/>
                <w:sz w:val="24"/>
                <w:szCs w:val="24"/>
                <w:highlight w:val="none"/>
              </w:rPr>
              <w:t xml:space="preserve">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评标方法：</w:t>
            </w:r>
            <w:r>
              <w:rPr>
                <w:rFonts w:hint="eastAsia" w:ascii="宋体" w:hAnsi="宋体"/>
                <w:bCs/>
                <w:color w:val="auto"/>
                <w:sz w:val="24"/>
                <w:szCs w:val="24"/>
                <w:highlight w:val="none"/>
              </w:rPr>
              <w:t xml:space="preserve">参照综合评分法</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预算金额：</w:t>
            </w:r>
            <w:r>
              <w:rPr>
                <w:rFonts w:hint="eastAsia" w:ascii="宋体" w:hAnsi="宋体"/>
                <w:bCs/>
                <w:color w:val="auto"/>
                <w:sz w:val="24"/>
                <w:szCs w:val="24"/>
                <w:highlight w:val="none"/>
                <w:lang w:val="en-US" w:eastAsia="zh-CN"/>
              </w:rPr>
              <w:t xml:space="preserve">260</w:t>
            </w:r>
            <w:r>
              <w:rPr>
                <w:rFonts w:hint="eastAsia" w:ascii="宋体" w:hAnsi="宋体"/>
                <w:bCs/>
                <w:color w:val="auto"/>
                <w:sz w:val="24"/>
                <w:szCs w:val="24"/>
                <w:highlight w:val="none"/>
              </w:rPr>
              <w:t xml:space="preserve">万元</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最高限价：</w:t>
            </w:r>
            <w:r>
              <w:rPr>
                <w:rFonts w:hint="eastAsia" w:ascii="宋体" w:hAnsi="宋体"/>
                <w:bCs/>
                <w:color w:val="auto"/>
                <w:sz w:val="24"/>
                <w:szCs w:val="24"/>
                <w:highlight w:val="none"/>
                <w:lang w:val="en-US" w:eastAsia="zh-CN"/>
              </w:rPr>
              <w:t xml:space="preserve">260</w:t>
            </w:r>
            <w:r>
              <w:rPr>
                <w:rFonts w:hint="eastAsia" w:ascii="宋体" w:hAnsi="宋体"/>
                <w:bCs/>
                <w:color w:val="auto"/>
                <w:sz w:val="24"/>
                <w:szCs w:val="24"/>
                <w:highlight w:val="none"/>
              </w:rPr>
              <w:t xml:space="preserve">万元</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单价限额：4500元/人·线</w:t>
            </w:r>
            <w:r>
              <w:rPr>
                <w:rFonts w:hint="eastAsia" w:ascii="宋体" w:hAnsi="宋体"/>
                <w:bCs/>
                <w:color w:val="auto"/>
                <w:sz w:val="24"/>
                <w:szCs w:val="24"/>
                <w:highlight w:val="none"/>
                <w:lang w:eastAsia="zh-CN"/>
              </w:rPr>
              <w:t xml:space="preserve">）</w:t>
            </w:r>
            <w:r/>
          </w:p>
          <w:p>
            <w:pPr>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集中考察或答疑：无</w:t>
            </w:r>
            <w:r/>
          </w:p>
          <w:p>
            <w:pPr>
              <w:pStyle w:val="997"/>
              <w:ind w:left="0" w:firstLine="0"/>
              <w:rPr>
                <w:color w:val="auto"/>
                <w:highlight w:val="none"/>
                <w:lang w:val="zh-CN"/>
              </w:rPr>
            </w:pPr>
            <w:r>
              <w:rPr>
                <w:rFonts w:hint="eastAsia" w:ascii="宋体" w:hAnsi="宋体"/>
                <w:bCs/>
                <w:color w:val="auto"/>
                <w:highlight w:val="none"/>
              </w:rPr>
              <w:t xml:space="preserve">本项目不接受联合体，</w:t>
            </w:r>
            <w:r>
              <w:rPr>
                <w:rFonts w:hint="eastAsia" w:ascii="宋体" w:hAnsi="宋体"/>
                <w:bCs/>
                <w:color w:val="auto"/>
                <w:highlight w:val="none"/>
                <w:lang w:val="en-US" w:eastAsia="zh-CN"/>
              </w:rPr>
              <w:t xml:space="preserve">不</w:t>
            </w:r>
            <w:r>
              <w:rPr>
                <w:rFonts w:hint="eastAsia" w:ascii="宋体" w:hAnsi="宋体"/>
                <w:bCs/>
                <w:color w:val="auto"/>
                <w:highlight w:val="none"/>
              </w:rPr>
              <w:t xml:space="preserve">接受成交后分包。</w:t>
            </w:r>
            <w:r/>
          </w:p>
        </w:tc>
      </w:tr>
      <w:tr>
        <w:trPr>
          <w:jc w:val="center"/>
          <w:trHeight w:val="1413"/>
        </w:trPr>
        <w:tc>
          <w:tcPr>
            <w:tcW w:w="729" w:type="dxa"/>
            <w:vAlign w:val="center"/>
            <w:vMerge w:val="restart"/>
            <w:textDirection w:val="lrTb"/>
            <w:noWrap w:val="false"/>
          </w:tcPr>
          <w:p>
            <w:pPr>
              <w:jc w:val="center"/>
              <w:rPr>
                <w:rFonts w:ascii="宋体" w:hAnsi="宋体"/>
                <w:bCs/>
                <w:color w:val="auto"/>
                <w:sz w:val="24"/>
                <w:szCs w:val="24"/>
                <w:highlight w:val="none"/>
              </w:rPr>
            </w:pPr>
            <w:r/>
            <w:bookmarkStart w:id="5" w:name="OLE_LINK61"/>
            <w:r>
              <w:rPr>
                <w:rFonts w:ascii="宋体" w:hAnsi="宋体"/>
                <w:bCs/>
                <w:color w:val="auto"/>
                <w:sz w:val="24"/>
                <w:szCs w:val="24"/>
                <w:highlight w:val="none"/>
              </w:rPr>
              <w:t xml:space="preserve">2</w:t>
            </w:r>
            <w:r/>
          </w:p>
        </w:tc>
        <w:tc>
          <w:tcPr>
            <w:tcW w:w="799" w:type="dxa"/>
            <w:vAlign w:val="center"/>
            <w:vMerge w:val="restart"/>
            <w:textDirection w:val="lrTb"/>
            <w:noWrap w:val="false"/>
          </w:tcPr>
          <w:p>
            <w:pPr>
              <w:pStyle w:val="999"/>
              <w:jc w:val="center"/>
              <w:spacing w:line="276" w:lineRule="auto"/>
              <w:rPr>
                <w:b/>
                <w:bCs/>
                <w:color w:val="auto"/>
                <w:highlight w:val="none"/>
                <w:lang w:val="zh-CN"/>
              </w:rPr>
            </w:pPr>
            <w:r/>
            <w:bookmarkStart w:id="6" w:name="OLE_LINK208"/>
            <w:r>
              <w:rPr>
                <w:rFonts w:hint="eastAsia"/>
                <w:b/>
                <w:bCs/>
                <w:color w:val="auto"/>
                <w:highlight w:val="none"/>
                <w:lang w:val="zh-CN"/>
              </w:rPr>
              <w:t xml:space="preserve">资</w:t>
            </w:r>
            <w:r/>
          </w:p>
          <w:p>
            <w:pPr>
              <w:pStyle w:val="999"/>
              <w:jc w:val="center"/>
              <w:spacing w:line="276" w:lineRule="auto"/>
              <w:rPr>
                <w:b/>
                <w:bCs/>
                <w:color w:val="auto"/>
                <w:highlight w:val="none"/>
                <w:lang w:val="zh-CN"/>
              </w:rPr>
            </w:pPr>
            <w:r>
              <w:rPr>
                <w:rFonts w:hint="eastAsia"/>
                <w:b/>
                <w:bCs/>
                <w:color w:val="auto"/>
                <w:highlight w:val="none"/>
                <w:lang w:val="zh-CN"/>
              </w:rPr>
              <w:t xml:space="preserve">格</w:t>
            </w:r>
            <w:r/>
          </w:p>
          <w:p>
            <w:pPr>
              <w:pStyle w:val="999"/>
              <w:jc w:val="center"/>
              <w:spacing w:line="276" w:lineRule="auto"/>
              <w:rPr>
                <w:b/>
                <w:bCs/>
                <w:color w:val="auto"/>
                <w:highlight w:val="none"/>
                <w:lang w:val="zh-CN"/>
              </w:rPr>
            </w:pPr>
            <w:r>
              <w:rPr>
                <w:rFonts w:hint="eastAsia"/>
                <w:b/>
                <w:bCs/>
                <w:color w:val="auto"/>
                <w:highlight w:val="none"/>
                <w:lang w:val="zh-CN"/>
              </w:rPr>
              <w:t xml:space="preserve">审</w:t>
            </w:r>
            <w:r/>
          </w:p>
          <w:p>
            <w:pPr>
              <w:pStyle w:val="999"/>
              <w:jc w:val="center"/>
              <w:spacing w:line="276" w:lineRule="auto"/>
              <w:rPr>
                <w:color w:val="auto"/>
                <w:highlight w:val="none"/>
              </w:rPr>
            </w:pPr>
            <w:r>
              <w:rPr>
                <w:rFonts w:hint="eastAsia"/>
                <w:b/>
                <w:bCs/>
                <w:color w:val="auto"/>
                <w:highlight w:val="none"/>
                <w:lang w:val="zh-CN"/>
              </w:rPr>
              <w:t xml:space="preserve">查</w:t>
            </w:r>
            <w:bookmarkEnd w:id="6"/>
            <w:r/>
            <w:r/>
          </w:p>
        </w:tc>
        <w:tc>
          <w:tcPr>
            <w:gridSpan w:val="2"/>
            <w:tcW w:w="8052" w:type="dxa"/>
            <w:textDirection w:val="lrTb"/>
            <w:noWrap w:val="false"/>
          </w:tcPr>
          <w:p>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满足《中华人民共和国政府采购法》第二十二条规定，详见“第二章供应商须知”响应文件的组成中的“资格条件”；</w:t>
            </w:r>
            <w:r/>
          </w:p>
          <w:p>
            <w:pPr>
              <w:spacing w:line="320" w:lineRule="exact"/>
              <w:rPr>
                <w:rFonts w:ascii="宋体" w:hAnsi="宋体" w:cs="宋体"/>
                <w:bCs/>
                <w:color w:val="auto"/>
                <w:sz w:val="24"/>
                <w:szCs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bCs/>
                <w:color w:val="auto"/>
                <w:sz w:val="24"/>
                <w:szCs w:val="24"/>
                <w:highlight w:val="none"/>
              </w:rPr>
              <w:t xml:space="preserve">落实政府采购政策需满足的资格要求：</w:t>
            </w:r>
            <w:r>
              <w:rPr>
                <w:rFonts w:hint="eastAsia" w:ascii="宋体" w:hAnsi="宋体" w:cs="宋体"/>
                <w:bCs/>
                <w:color w:val="auto"/>
                <w:sz w:val="24"/>
                <w:szCs w:val="24"/>
                <w:highlight w:val="none"/>
              </w:rPr>
              <w:t xml:space="preserve">本项目专门面向中小企业采购</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本项目的特定资格要求：</w:t>
            </w:r>
            <w:r>
              <w:rPr>
                <w:rFonts w:hint="eastAsia" w:ascii="宋体" w:hAnsi="宋体"/>
                <w:bCs/>
                <w:color w:val="auto"/>
                <w:sz w:val="24"/>
                <w:szCs w:val="24"/>
                <w:highlight w:val="none"/>
              </w:rPr>
              <w:t xml:space="preserve">无</w:t>
            </w:r>
            <w:r>
              <w:rPr>
                <w:rFonts w:hint="eastAsia" w:ascii="宋体" w:hAnsi="宋体" w:cs="宋体"/>
                <w:bCs/>
                <w:color w:val="auto"/>
                <w:sz w:val="24"/>
                <w:szCs w:val="24"/>
                <w:highlight w:val="none"/>
              </w:rPr>
              <w:t xml:space="preserve">。</w:t>
            </w:r>
            <w:bookmarkEnd w:id="5"/>
            <w:r/>
            <w:r/>
          </w:p>
          <w:p>
            <w:pPr>
              <w:rPr>
                <w:color w:val="auto"/>
                <w:highlight w:val="none"/>
                <w:lang w:val="zh-CN"/>
              </w:rPr>
            </w:pPr>
            <w:r>
              <w:rPr>
                <w:rFonts w:hint="eastAsia" w:ascii="宋体" w:hAnsi="宋体" w:cs="宋体"/>
                <w:bCs/>
                <w:color w:val="auto"/>
                <w:sz w:val="24"/>
                <w:szCs w:val="24"/>
                <w:highlight w:val="none"/>
                <w:lang w:val="zh-CN"/>
              </w:rPr>
              <w:t xml:space="preserve">不接受联合体，</w:t>
            </w:r>
            <w:r>
              <w:rPr>
                <w:rFonts w:hint="eastAsia" w:ascii="宋体" w:hAnsi="宋体" w:cs="宋体"/>
                <w:bCs/>
                <w:color w:val="auto"/>
                <w:sz w:val="24"/>
                <w:szCs w:val="24"/>
                <w:highlight w:val="none"/>
                <w:lang w:val="en-US" w:eastAsia="zh-CN"/>
              </w:rPr>
              <w:t xml:space="preserve">不</w:t>
            </w:r>
            <w:r>
              <w:rPr>
                <w:rFonts w:hint="eastAsia" w:ascii="宋体" w:hAnsi="宋体" w:cs="宋体"/>
                <w:bCs/>
                <w:color w:val="auto"/>
                <w:sz w:val="24"/>
                <w:szCs w:val="24"/>
                <w:highlight w:val="none"/>
                <w:lang w:val="zh-CN"/>
              </w:rPr>
              <w:t xml:space="preserve">接受成交后分包；</w:t>
            </w:r>
            <w:r/>
          </w:p>
        </w:tc>
      </w:tr>
      <w:tr>
        <w:trPr>
          <w:jc w:val="center"/>
          <w:trHeight w:val="90"/>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799" w:type="dxa"/>
            <w:vAlign w:val="center"/>
            <w:vMerge w:val="continue"/>
            <w:textDirection w:val="lrTb"/>
            <w:noWrap w:val="false"/>
          </w:tcPr>
          <w:p>
            <w:pPr>
              <w:pStyle w:val="999"/>
              <w:jc w:val="center"/>
              <w:spacing w:line="276" w:lineRule="auto"/>
              <w:rPr>
                <w:b/>
                <w:bCs/>
                <w:color w:val="auto"/>
                <w:highlight w:val="none"/>
                <w:lang w:val="zh-CN"/>
              </w:rPr>
            </w:pPr>
            <w:r>
              <w:rPr>
                <w:b/>
                <w:bCs/>
                <w:color w:val="auto"/>
                <w:highlight w:val="none"/>
                <w:lang w:val="zh-CN"/>
              </w:rPr>
            </w:r>
            <w:r/>
          </w:p>
        </w:tc>
        <w:tc>
          <w:tcPr>
            <w:gridSpan w:val="2"/>
            <w:tcW w:w="8052" w:type="dxa"/>
            <w:textDirection w:val="lrTb"/>
            <w:noWrap w:val="false"/>
          </w:tcPr>
          <w:p>
            <w:pPr>
              <w:pStyle w:val="999"/>
              <w:spacing w:line="360" w:lineRule="auto"/>
              <w:rPr>
                <w:rFonts w:hAnsi="宋体" w:cs="宋体"/>
                <w:bCs/>
                <w:color w:val="auto"/>
                <w:szCs w:val="24"/>
                <w:highlight w:val="none"/>
              </w:rPr>
            </w:pPr>
            <w:r>
              <w:rPr>
                <w:rFonts w:hint="eastAsia" w:hAnsi="宋体" w:cs="宋体"/>
                <w:bCs/>
                <w:color w:val="auto"/>
                <w:szCs w:val="21"/>
                <w:highlight w:val="none"/>
              </w:rPr>
              <w:t xml:space="preserve">2.2 报价保证金：本项目免收</w:t>
            </w:r>
            <w:r>
              <w:rPr>
                <w:rFonts w:hint="eastAsia" w:ascii="宋体" w:hAnsi="宋体" w:eastAsia="宋体" w:cs="宋体"/>
                <w:bCs/>
                <w:color w:val="auto"/>
                <w:sz w:val="24"/>
                <w:szCs w:val="24"/>
                <w:highlight w:val="none"/>
              </w:rPr>
              <w:t xml:space="preserve">磋商保证金</w:t>
            </w:r>
            <w:r>
              <w:rPr>
                <w:rFonts w:hint="eastAsia" w:hAnsi="宋体" w:cs="宋体"/>
                <w:bCs/>
                <w:color w:val="auto"/>
                <w:szCs w:val="21"/>
                <w:highlight w:val="none"/>
              </w:rPr>
              <w:t xml:space="preserve">。</w:t>
            </w:r>
            <w:r/>
          </w:p>
        </w:tc>
      </w:tr>
      <w:tr>
        <w:trPr>
          <w:jc w:val="center"/>
          <w:trHeight w:val="1413"/>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799" w:type="dxa"/>
            <w:vAlign w:val="center"/>
            <w:vMerge w:val="continue"/>
            <w:textDirection w:val="lrTb"/>
            <w:noWrap w:val="false"/>
          </w:tcPr>
          <w:p>
            <w:pPr>
              <w:pStyle w:val="999"/>
              <w:jc w:val="center"/>
              <w:spacing w:line="276" w:lineRule="auto"/>
              <w:rPr>
                <w:b/>
                <w:bCs/>
                <w:color w:val="auto"/>
                <w:highlight w:val="none"/>
                <w:lang w:val="zh-CN"/>
              </w:rPr>
            </w:pPr>
            <w:r>
              <w:rPr>
                <w:b/>
                <w:bCs/>
                <w:color w:val="auto"/>
                <w:highlight w:val="none"/>
                <w:lang w:val="zh-CN"/>
              </w:rPr>
            </w:r>
            <w:r/>
          </w:p>
        </w:tc>
        <w:tc>
          <w:tcPr>
            <w:gridSpan w:val="2"/>
            <w:tcW w:w="8052" w:type="dxa"/>
            <w:textDirection w:val="lrTb"/>
            <w:noWrap w:val="false"/>
          </w:tcPr>
          <w:p>
            <w:pPr>
              <w:pStyle w:val="999"/>
              <w:spacing w:line="360" w:lineRule="auto"/>
              <w:rPr>
                <w:rFonts w:hAnsi="宋体" w:cs="宋体"/>
                <w:color w:val="auto"/>
                <w:highlight w:val="none"/>
              </w:rPr>
            </w:pPr>
            <w:r>
              <w:rPr>
                <w:rFonts w:hint="eastAsia" w:hAnsi="宋体" w:cs="宋体"/>
                <w:color w:val="auto"/>
                <w:highlight w:val="none"/>
                <w:lang w:val="zh-CN"/>
              </w:rPr>
              <w:t xml:space="preserve">2.</w:t>
            </w:r>
            <w:r>
              <w:rPr>
                <w:rFonts w:hint="eastAsia" w:hAnsi="宋体" w:cs="宋体"/>
                <w:color w:val="auto"/>
                <w:highlight w:val="none"/>
              </w:rPr>
              <w:t xml:space="preserve">3</w:t>
            </w:r>
            <w:r>
              <w:rPr>
                <w:rFonts w:hint="eastAsia" w:hAnsi="宋体" w:cs="宋体"/>
                <w:color w:val="auto"/>
                <w:highlight w:val="none"/>
                <w:lang w:val="zh-CN"/>
              </w:rPr>
              <w:t xml:space="preserve"> 拒绝下述供应商参加本次采购活动：</w:t>
            </w:r>
            <w:r/>
          </w:p>
          <w:p>
            <w:p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①供应商单位负责人为同一人或者存在直接控股、管理关系的不同供应商，不得参加同一合同项下的政府采购活动，否则相关报价将被认定为无效报价；</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1"/>
                <w:highlight w:val="none"/>
              </w:rPr>
              <w:t xml:space="preserve">②凡为采购项目提供整体设计、规范编制或者项目管理、监理、检测等服务的供应商，不得再参加本项目的采购活动，否则其报价将被认定为无效报价。</w:t>
            </w:r>
            <w:r/>
          </w:p>
        </w:tc>
      </w:tr>
      <w:tr>
        <w:trPr>
          <w:jc w:val="center"/>
          <w:trHeight w:val="716"/>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799" w:type="dxa"/>
            <w:vAlign w:val="center"/>
            <w:textDirection w:val="lrTb"/>
            <w:noWrap w:val="false"/>
          </w:tcPr>
          <w:p>
            <w:pPr>
              <w:jc w:val="center"/>
              <w:rPr>
                <w:rFonts w:ascii="宋体" w:hAnsi="宋体"/>
                <w:bCs/>
                <w:color w:val="auto"/>
                <w:sz w:val="24"/>
                <w:szCs w:val="24"/>
                <w:highlight w:val="none"/>
              </w:rPr>
            </w:pPr>
            <w:r>
              <w:rPr>
                <w:rFonts w:hint="eastAsia"/>
                <w:b/>
                <w:bCs/>
                <w:color w:val="auto"/>
                <w:szCs w:val="22"/>
                <w:highlight w:val="none"/>
              </w:rPr>
              <w:t xml:space="preserve">磋商文件</w:t>
            </w:r>
            <w:r/>
          </w:p>
        </w:tc>
        <w:tc>
          <w:tcPr>
            <w:gridSpan w:val="2"/>
            <w:shd w:val="clear" w:color="auto" w:fill="auto"/>
            <w:tcW w:w="8052" w:type="dxa"/>
            <w:textDirection w:val="lrTb"/>
            <w:noWrap w:val="false"/>
          </w:tcPr>
          <w:p>
            <w:p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磋商文件”的获取：在规定时间内，通过“江苏政府采购网”首页“苏采云”标签进入系统，应在“项目参与”中下载电子磋商文件（后缀名为“.kedt”）；可在“江苏政府采购网”采购公告附件中下载word版磋商文件。</w:t>
            </w:r>
            <w:r/>
          </w:p>
          <w:p>
            <w:p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2、“CA锁”的使用：供应商须办理有效的CA锁（即有效的CA数字证书及电子签章）才可参与全流程电子政府采购活动，省内各地区办理的“苏采云”系统下的CA锁全省通用。</w:t>
            </w:r>
            <w:r/>
          </w:p>
          <w:p>
            <w:p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3、CA锁办理方式、“苏采云”系统投标人操作手册及政府采购客户端工具详见江苏政府采购网“办事指南”中的资料下载专栏中的《江苏省政府采购管理交易系统（苏采云）投标人操作指南》。</w:t>
            </w:r>
            <w:r/>
          </w:p>
        </w:tc>
      </w:tr>
      <w:tr>
        <w:trPr>
          <w:jc w:val="center"/>
          <w:trHeight w:val="1171"/>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799" w:type="dxa"/>
            <w:vAlign w:val="center"/>
            <w:textDirection w:val="lrTb"/>
            <w:noWrap w:val="false"/>
          </w:tcPr>
          <w:p>
            <w:pPr>
              <w:pStyle w:val="999"/>
              <w:jc w:val="center"/>
              <w:rPr>
                <w:rFonts w:hAnsi="宋体"/>
                <w:b/>
                <w:color w:val="auto"/>
                <w:szCs w:val="24"/>
                <w:highlight w:val="none"/>
              </w:rPr>
            </w:pPr>
            <w:r>
              <w:rPr>
                <w:rFonts w:hint="eastAsia"/>
                <w:b/>
                <w:bCs/>
                <w:color w:val="auto"/>
                <w:szCs w:val="22"/>
                <w:highlight w:val="none"/>
                <w:lang w:val="zh-CN"/>
              </w:rPr>
              <w:t xml:space="preserve">响应文件</w:t>
            </w:r>
            <w:r/>
          </w:p>
        </w:tc>
        <w:tc>
          <w:tcPr>
            <w:gridSpan w:val="2"/>
            <w:tcW w:w="8052" w:type="dxa"/>
            <w:textDirection w:val="lrTb"/>
            <w:noWrap w:val="false"/>
          </w:tcPr>
          <w:p>
            <w:p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1.“响应文件”制作及提交：将后缀名为“.kedt”的磋商文件导入政府采购客户端工具－－制作响应文件－－导出加密的响应文件（后缀名为zip） --通过“苏采云”系统上传响应文件。</w:t>
            </w:r>
            <w:r/>
          </w:p>
          <w:p>
            <w:p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提交响应文件截止时间后的响应文件，恕不接受。</w:t>
            </w:r>
            <w:r/>
          </w:p>
        </w:tc>
      </w:tr>
      <w:tr>
        <w:trPr>
          <w:jc w:val="center"/>
          <w:trHeight w:val="1171"/>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799" w:type="dxa"/>
            <w:vAlign w:val="center"/>
            <w:textDirection w:val="lrTb"/>
            <w:noWrap w:val="false"/>
          </w:tcPr>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shd w:val="clear" w:color="auto" w:fill="auto"/>
            <w:tcW w:w="8052" w:type="dxa"/>
            <w:textDirection w:val="lrTb"/>
            <w:noWrap w:val="false"/>
          </w:tcPr>
          <w:p>
            <w:pPr>
              <w:ind w:firstLine="480"/>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本项目采用远程不见面交易模式，通过不见面交易系统及相应的配套硬件设备（摄像头、话筒、麦克风等）完成远程解密、开标现场异议及回复、开标唱标等交互环节。</w:t>
            </w:r>
            <w:r/>
          </w:p>
          <w:p>
            <w:pPr>
              <w:jc w:val="left"/>
              <w:rPr>
                <w:rFonts w:ascii="宋体" w:hAnsi="宋体" w:cs="宋体"/>
                <w:b/>
                <w:color w:val="auto"/>
                <w:sz w:val="24"/>
                <w:szCs w:val="21"/>
                <w:highlight w:val="none"/>
              </w:rPr>
            </w:pPr>
            <w:r>
              <w:rPr>
                <w:rFonts w:hint="eastAsia" w:ascii="宋体" w:hAnsi="宋体" w:cs="宋体"/>
                <w:b/>
                <w:color w:val="auto"/>
                <w:sz w:val="24"/>
                <w:szCs w:val="21"/>
                <w:highlight w:val="none"/>
              </w:rPr>
              <w:t xml:space="preserve">1、不见面开标注意事项：</w:t>
            </w:r>
            <w:r/>
          </w:p>
          <w:p>
            <w:pPr>
              <w:ind w:firstLine="480"/>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ind w:firstLine="480"/>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开标当日，供应商不必抵达开标现场，仅需在任意地点通过“苏采云”系统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 xml:space="preserve">“开标大厅”参与开标过程（“苏采云”系统使用谷歌浏览器参与不见面开标）；</w:t>
            </w:r>
            <w:r>
              <w:rPr>
                <w:rFonts w:ascii="宋体" w:hAnsi="宋体" w:cs="宋体"/>
                <w:bCs/>
                <w:color w:val="auto"/>
                <w:sz w:val="24"/>
                <w:szCs w:val="21"/>
                <w:highlight w:val="none"/>
              </w:rPr>
              <w:fldChar w:fldCharType="end"/>
            </w:r>
            <w:r/>
          </w:p>
          <w:p>
            <w:pPr>
              <w:ind w:firstLine="480"/>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操作的或未能在开标会议区内全程参与交互的，视为放弃交互和放弃对开评标全过程提出质疑的权利，供应商将无法看到解密指令、异议回复、唱标等实时情况，并承担由此导致的一切后果；</w:t>
            </w:r>
            <w:r/>
          </w:p>
          <w:p>
            <w:pPr>
              <w:ind w:firstLine="480"/>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rPr>
              <w:t xml:space="preserve">响应文件递交截止时间后，采购人或采购代理机构将在系统内公布供应商名单，然后通过开标会议区发出响应文件解密的指令，供应商在各自地点按规定时间自行实施远程解密，</w:t>
            </w:r>
            <w:r>
              <w:rPr>
                <w:rFonts w:hint="eastAsia" w:ascii="宋体" w:hAnsi="宋体" w:cs="宋体"/>
                <w:b/>
                <w:color w:val="auto"/>
                <w:sz w:val="24"/>
                <w:szCs w:val="21"/>
                <w:highlight w:val="none"/>
              </w:rPr>
              <w:t xml:space="preserve">供应商解密限定在</w:t>
            </w:r>
            <w:r>
              <w:rPr>
                <w:rFonts w:hint="eastAsia" w:ascii="宋体" w:hAnsi="宋体" w:cs="宋体"/>
                <w:b/>
                <w:bCs/>
                <w:color w:val="auto"/>
                <w:sz w:val="24"/>
                <w:szCs w:val="21"/>
                <w:highlight w:val="none"/>
              </w:rPr>
              <w:t xml:space="preserve">解密时间开始</w:t>
            </w:r>
            <w:r>
              <w:rPr>
                <w:rFonts w:hint="eastAsia" w:ascii="宋体" w:hAnsi="宋体" w:cs="宋体"/>
                <w:b/>
                <w:color w:val="auto"/>
                <w:sz w:val="24"/>
                <w:szCs w:val="21"/>
                <w:highlight w:val="none"/>
              </w:rPr>
              <w:t xml:space="preserve">30分钟内完成，</w:t>
            </w:r>
            <w:r>
              <w:rPr>
                <w:rFonts w:hint="eastAsia" w:ascii="宋体" w:hAnsi="宋体" w:cs="宋体"/>
                <w:bCs/>
                <w:color w:val="auto"/>
                <w:sz w:val="24"/>
                <w:szCs w:val="21"/>
                <w:highlight w:val="none"/>
              </w:rPr>
              <w:t xml:space="preserve">并在规定时间内确认报价，规定时间仍未确认的视同已确认。因供应商网络与电源不稳定、未按操作手册要求配置软硬件、解密锁</w:t>
            </w:r>
            <w:r>
              <w:rPr>
                <w:rFonts w:hint="eastAsia" w:ascii="宋体" w:hAnsi="宋体" w:cs="宋体"/>
                <w:bCs/>
                <w:color w:val="auto"/>
                <w:sz w:val="24"/>
                <w:szCs w:val="21"/>
                <w:highlight w:val="none"/>
              </w:rPr>
              <w:t xml:space="preserve">发生故障或用错、故意不在要求时限内完成解密等自身原因，导致响应文件在规定时间内未能解密、解密失败或解密超时，视为供应商撤销其响应文件；因网上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因供应商自身软硬件配备不齐全或发生故障等问题而导致在交互过程中出现不稳定或中断等情况的，其后果由供应商承担；</w:t>
            </w:r>
            <w:r/>
          </w:p>
          <w:p>
            <w:pPr>
              <w:ind w:firstLine="480"/>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供应商（供应商）应当随时关注不见面开标大厅，并按照评标委员会澄清等要求在规定时间内进行响应，且承担未及时作出响应的一切后果。参与远程交互的应当为授权委托人或法人代表，中途不得随意更换，作出响应的人员将均被视为是供应商（供应商）的授权委托人或法人代表。</w:t>
            </w:r>
            <w:r/>
          </w:p>
          <w:p>
            <w:pPr>
              <w:jc w:val="left"/>
              <w:rPr>
                <w:rFonts w:ascii="宋体" w:hAnsi="宋体" w:cs="宋体"/>
                <w:b/>
                <w:color w:val="auto"/>
                <w:sz w:val="24"/>
                <w:szCs w:val="21"/>
                <w:highlight w:val="none"/>
              </w:rPr>
            </w:pPr>
            <w:r>
              <w:rPr>
                <w:rFonts w:hint="eastAsia" w:ascii="宋体" w:hAnsi="宋体" w:cs="宋体"/>
                <w:b/>
                <w:color w:val="auto"/>
                <w:sz w:val="24"/>
                <w:szCs w:val="21"/>
                <w:highlight w:val="none"/>
              </w:rPr>
              <w:t xml:space="preserve">2、开标时间：</w:t>
            </w:r>
            <w:r/>
          </w:p>
          <w:p>
            <w:pPr>
              <w:ind w:firstLine="480"/>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提交响应文件截止（即报价截止）时间及开标时间：详见磋商公告</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定标时间：评标结束后</w:t>
            </w:r>
            <w:r/>
          </w:p>
        </w:tc>
      </w:tr>
      <w:tr>
        <w:trPr>
          <w:jc w:val="center"/>
          <w:trHeight w:val="1879"/>
        </w:trPr>
        <w:tc>
          <w:tcPr>
            <w:tcW w:w="729" w:type="dxa"/>
            <w:vAlign w:val="center"/>
            <w:vMerge w:val="restart"/>
            <w:textDirection w:val="lrTb"/>
            <w:noWrap w:val="false"/>
          </w:tcPr>
          <w:p>
            <w:pPr>
              <w:jc w:val="center"/>
              <w:rPr>
                <w:rFonts w:ascii="宋体" w:hAnsi="宋体"/>
                <w:bCs/>
                <w:color w:val="auto"/>
                <w:sz w:val="24"/>
                <w:szCs w:val="24"/>
                <w:highlight w:val="none"/>
              </w:rPr>
            </w:pPr>
            <w:r/>
            <w:bookmarkStart w:id="7" w:name="OLE_LINK84"/>
            <w:r>
              <w:rPr>
                <w:rFonts w:hint="eastAsia" w:ascii="宋体" w:hAnsi="宋体"/>
                <w:bCs/>
                <w:color w:val="auto"/>
                <w:sz w:val="24"/>
                <w:szCs w:val="24"/>
                <w:highlight w:val="none"/>
              </w:rPr>
              <w:t xml:space="preserve">6</w:t>
            </w:r>
            <w:r/>
          </w:p>
        </w:tc>
        <w:tc>
          <w:tcPr>
            <w:tcW w:w="799" w:type="dxa"/>
            <w:vAlign w:val="center"/>
            <w:vMerge w:val="restart"/>
            <w:textDirection w:val="lrTb"/>
            <w:noWrap w:val="false"/>
          </w:tcPr>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联系方式</w:t>
            </w:r>
            <w:r/>
          </w:p>
        </w:tc>
        <w:tc>
          <w:tcPr>
            <w:tcW w:w="1770"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282" w:type="dxa"/>
            <w:vAlign w:val="center"/>
            <w:textDirection w:val="lrTb"/>
            <w:noWrap w:val="false"/>
          </w:tcPr>
          <w:p>
            <w:pPr>
              <w:rPr>
                <w:rFonts w:ascii="宋体" w:hAnsi="宋体"/>
                <w:bCs/>
                <w:color w:val="auto"/>
                <w:sz w:val="24"/>
                <w:szCs w:val="24"/>
                <w:highlight w:val="none"/>
              </w:rPr>
            </w:pPr>
            <w:r>
              <w:rPr>
                <w:rFonts w:hint="eastAsia" w:ascii="宋体" w:hAnsi="宋体"/>
                <w:bCs/>
                <w:color w:val="auto"/>
                <w:sz w:val="24"/>
                <w:szCs w:val="24"/>
                <w:highlight w:val="none"/>
              </w:rPr>
              <w:t xml:space="preserve">项目负责人</w:t>
            </w:r>
            <w:r/>
          </w:p>
          <w:p>
            <w:pP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孟</w:t>
            </w:r>
            <w:r>
              <w:rPr>
                <w:rFonts w:hint="eastAsia" w:ascii="宋体" w:hAnsi="宋体"/>
                <w:bCs/>
                <w:color w:val="auto"/>
                <w:sz w:val="24"/>
                <w:szCs w:val="24"/>
                <w:highlight w:val="none"/>
              </w:rPr>
              <w:t xml:space="preserve">女士</w:t>
            </w:r>
            <w:r>
              <w:rPr>
                <w:rFonts w:hint="eastAsia" w:ascii="宋体" w:hAnsi="宋体"/>
                <w:bCs/>
                <w:color w:val="auto"/>
                <w:sz w:val="24"/>
                <w:szCs w:val="24"/>
                <w:highlight w:val="none"/>
                <w:lang w:val="en-US" w:eastAsia="zh-CN"/>
              </w:rPr>
              <w:t xml:space="preserve"> </w:t>
            </w:r>
            <w:r/>
          </w:p>
          <w:p>
            <w:pP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联系电话：0510-87986237</w:t>
            </w:r>
            <w:r>
              <w:rPr>
                <w:rFonts w:hint="eastAsia" w:ascii="宋体" w:hAnsi="宋体"/>
                <w:bCs/>
                <w:color w:val="auto"/>
                <w:sz w:val="24"/>
                <w:szCs w:val="24"/>
                <w:highlight w:val="none"/>
                <w:lang w:val="en-US" w:eastAsia="zh-CN"/>
              </w:rPr>
              <w:t xml:space="preserve"> </w:t>
            </w:r>
            <w:r/>
          </w:p>
          <w:p>
            <w:pPr>
              <w:rPr>
                <w:rFonts w:ascii="宋体" w:hAnsi="宋体"/>
                <w:bCs/>
                <w:color w:val="auto"/>
                <w:sz w:val="24"/>
                <w:szCs w:val="24"/>
                <w:highlight w:val="none"/>
              </w:rPr>
            </w:pPr>
            <w:r>
              <w:rPr>
                <w:rFonts w:hint="eastAsia" w:ascii="宋体" w:hAnsi="宋体"/>
                <w:bCs/>
                <w:color w:val="auto"/>
                <w:sz w:val="24"/>
                <w:szCs w:val="24"/>
                <w:highlight w:val="none"/>
              </w:rPr>
              <w:t xml:space="preserve">质疑受理人</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联系人：吴先生</w:t>
            </w:r>
            <w:r>
              <w:rPr>
                <w:rFonts w:hint="eastAsia" w:ascii="宋体" w:hAnsi="宋体"/>
                <w:bCs/>
                <w:color w:val="auto"/>
                <w:sz w:val="24"/>
                <w:szCs w:val="24"/>
                <w:highlight w:val="none"/>
                <w:lang w:val="en-US" w:eastAsia="zh-CN"/>
              </w:rPr>
              <w:t xml:space="preserve"> </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联系电话：0510-87986821</w:t>
            </w:r>
            <w:r>
              <w:rPr>
                <w:rFonts w:hint="eastAsia" w:ascii="宋体" w:hAnsi="宋体"/>
                <w:bCs/>
                <w:color w:val="auto"/>
                <w:sz w:val="24"/>
                <w:szCs w:val="24"/>
                <w:highlight w:val="none"/>
                <w:lang w:val="en-US" w:eastAsia="zh-CN"/>
              </w:rPr>
              <w:t xml:space="preserve"> </w:t>
            </w:r>
            <w:r/>
          </w:p>
          <w:p>
            <w:pP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联系地址：</w:t>
            </w:r>
            <w:r>
              <w:rPr>
                <w:rFonts w:hint="eastAsia" w:ascii="宋体" w:hAnsi="宋体"/>
                <w:bCs/>
                <w:color w:val="auto"/>
                <w:sz w:val="24"/>
                <w:szCs w:val="24"/>
                <w:highlight w:val="none"/>
                <w:lang w:val="en-US" w:eastAsia="zh-CN"/>
              </w:rPr>
              <w:t xml:space="preserve">江苏省宜兴市陶都路8号</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邮政编码：</w:t>
            </w:r>
            <w:r>
              <w:rPr>
                <w:rFonts w:hint="eastAsia" w:ascii="宋体" w:hAnsi="宋体"/>
                <w:bCs/>
                <w:color w:val="auto"/>
                <w:sz w:val="24"/>
                <w:szCs w:val="24"/>
                <w:highlight w:val="none"/>
                <w:lang w:val="en-US" w:eastAsia="zh-CN"/>
              </w:rPr>
              <w:t xml:space="preserve">214200 </w:t>
            </w:r>
            <w:r/>
          </w:p>
        </w:tc>
      </w:tr>
      <w:tr>
        <w:trPr>
          <w:jc w:val="center"/>
          <w:trHeight w:val="1171"/>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799" w:type="dxa"/>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770"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282" w:type="dxa"/>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采购代理机构：江苏久格工程项目管理有限公司</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联系人：王女士</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hint="eastAsia" w:ascii="宋体" w:hAnsi="宋体" w:cs="宋体"/>
                <w:bCs/>
                <w:color w:val="auto"/>
                <w:sz w:val="24"/>
                <w:szCs w:val="24"/>
                <w:highlight w:val="none"/>
              </w:rPr>
              <w:t xml:space="preserve">15250836936</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联系地址：宜兴市</w:t>
            </w:r>
            <w:r>
              <w:rPr>
                <w:rFonts w:hint="eastAsia" w:ascii="宋体" w:hAnsi="宋体"/>
                <w:bCs/>
                <w:color w:val="auto"/>
                <w:sz w:val="24"/>
                <w:szCs w:val="24"/>
                <w:highlight w:val="none"/>
                <w:lang w:val="en-US" w:eastAsia="zh-CN"/>
              </w:rPr>
              <w:t xml:space="preserve">新街街道</w:t>
            </w:r>
            <w:r>
              <w:rPr>
                <w:rFonts w:hint="eastAsia" w:ascii="宋体" w:hAnsi="宋体"/>
                <w:bCs/>
                <w:color w:val="auto"/>
                <w:sz w:val="24"/>
                <w:szCs w:val="24"/>
                <w:highlight w:val="none"/>
              </w:rPr>
              <w:t xml:space="preserve">龙潭西路189号</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邮政编码：214200</w:t>
            </w:r>
            <w:r/>
          </w:p>
        </w:tc>
      </w:tr>
      <w:tr>
        <w:trPr>
          <w:jc w:val="center"/>
          <w:trHeight w:val="670"/>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799" w:type="dxa"/>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770"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282" w:type="dxa"/>
            <w:vAlign w:val="center"/>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w:t>
            </w:r>
            <w:r>
              <w:rPr>
                <w:rFonts w:ascii="宋体" w:hAnsi="宋体"/>
                <w:bCs/>
                <w:color w:val="auto"/>
                <w:sz w:val="24"/>
                <w:szCs w:val="24"/>
                <w:highlight w:val="none"/>
              </w:rPr>
              <w:t xml:space="preserve">16651529117</w:t>
            </w:r>
            <w:r>
              <w:rPr>
                <w:rFonts w:hint="eastAsia" w:ascii="宋体" w:hAnsi="宋体"/>
                <w:bCs/>
                <w:color w:val="auto"/>
                <w:sz w:val="24"/>
                <w:szCs w:val="24"/>
                <w:highlight w:val="none"/>
              </w:rPr>
              <w:t xml:space="preserve">、025-83633744、025-83633743；</w:t>
            </w:r>
            <w:r>
              <w:rPr>
                <w:rFonts w:hint="eastAsia" w:ascii="宋体" w:hAnsi="宋体"/>
                <w:bCs/>
                <w:color w:val="auto"/>
                <w:sz w:val="24"/>
                <w:szCs w:val="24"/>
                <w:highlight w:val="none"/>
              </w:rPr>
              <w:t xml:space="preserve">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jc w:val="center"/>
          <w:trHeight w:val="822"/>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799" w:type="dxa"/>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770"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282" w:type="dxa"/>
            <w:vAlign w:val="center"/>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2"/>
            <w:r/>
            <w:bookmarkEnd w:id="7"/>
            <w:r/>
            <w:r/>
          </w:p>
        </w:tc>
      </w:tr>
    </w:tbl>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r>
      <w:r/>
    </w:p>
    <w:p>
      <w:pPr>
        <w:pStyle w:val="1017"/>
        <w:rPr>
          <w:color w:val="auto"/>
          <w:highlight w:val="none"/>
        </w:rPr>
      </w:pPr>
      <w:r>
        <w:rPr>
          <w:rFonts w:ascii="黑体" w:hAnsi="黑体" w:eastAsia="黑体"/>
          <w:color w:val="auto"/>
          <w:highlight w:val="none"/>
        </w:rPr>
        <w:br w:type="page" w:clear="all"/>
      </w:r>
      <w:bookmarkEnd w:id="3"/>
      <w:r/>
      <w:bookmarkStart w:id="8" w:name="_Toc23122"/>
      <w:r>
        <w:rPr>
          <w:rFonts w:hint="eastAsia"/>
          <w:color w:val="auto"/>
          <w:highlight w:val="none"/>
        </w:rPr>
        <w:t xml:space="preserve">第二章 供应商须知</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lang w:val="zh-CN"/>
        </w:rPr>
        <w:t xml:space="preserve">一、总   则</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lang w:val="zh-CN"/>
        </w:rPr>
        <w:t xml:space="preserve">1、适用法律</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1.1《中华人民共和国政府采购法》《中华人民共和国政府采购法实施条例》《《政府采购竞争性磋商采购方式管理暂行办法》等有关法律、法规、规章和规定等。</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lang w:val="zh-CN"/>
        </w:rPr>
        <w:t xml:space="preserve">2、定义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 “供应商”</w:t>
      </w:r>
      <w:r>
        <w:rPr>
          <w:rFonts w:hint="eastAsia" w:ascii="宋体" w:hAnsi="宋体"/>
          <w:bCs/>
          <w:color w:val="auto"/>
          <w:sz w:val="24"/>
          <w:szCs w:val="24"/>
          <w:highlight w:val="none"/>
        </w:rPr>
        <w:t xml:space="preserve">是指参加报价竞争，并符合磋商文件规定资格条件的法人、其他组织或者自然人；</w:t>
      </w:r>
      <w:bookmarkStart w:id="9" w:name="_Hlk164149790"/>
      <w:r>
        <w:rPr>
          <w:rFonts w:hint="eastAsia" w:ascii="宋体" w:hAnsi="宋体"/>
          <w:bCs/>
          <w:color w:val="auto"/>
          <w:sz w:val="24"/>
          <w:szCs w:val="24"/>
          <w:highlight w:val="none"/>
        </w:rPr>
        <w:t xml:space="preserve">银行、保险、石油石化、电力、电信等有行业特殊情况的，可以以分支机构直接参加政府采购活动，其他行业分支机构通过总公司有效授权可以参与本项目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 xml:space="preserve">项</w:t>
      </w:r>
      <w:r>
        <w:rPr>
          <w:rFonts w:hint="eastAsia" w:ascii="宋体" w:hAnsi="宋体"/>
          <w:bCs/>
          <w:color w:val="auto"/>
          <w:sz w:val="24"/>
          <w:szCs w:val="24"/>
          <w:highlight w:val="none"/>
        </w:rPr>
        <w:t xml:space="preserve">下的政府采购活动。</w:t>
      </w:r>
      <w:bookmarkEnd w:id="9"/>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磋商文件中的“法定代表人”是指供应商的营业执照</w:t>
      </w:r>
      <w:r>
        <w:rPr>
          <w:rFonts w:hint="eastAsia" w:ascii="宋体" w:hAnsi="宋体"/>
          <w:color w:val="auto"/>
          <w:sz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 </w:t>
      </w:r>
      <w:bookmarkStart w:id="10" w:name="_Hlk130920449"/>
      <w:r>
        <w:rPr>
          <w:rFonts w:hint="eastAsia" w:ascii="宋体" w:hAnsi="宋体"/>
          <w:bCs/>
          <w:color w:val="auto"/>
          <w:sz w:val="24"/>
          <w:szCs w:val="24"/>
          <w:highlight w:val="none"/>
          <w:lang w:val="zh-CN"/>
        </w:rPr>
        <w:t xml:space="preserve">“供应商（电子签章）”</w:t>
      </w:r>
      <w:r>
        <w:rPr>
          <w:rFonts w:hint="eastAsia" w:ascii="宋体" w:hAnsi="宋体"/>
          <w:bCs/>
          <w:color w:val="auto"/>
          <w:sz w:val="24"/>
          <w:szCs w:val="24"/>
          <w:highlight w:val="none"/>
        </w:rPr>
        <w:t xml:space="preserve">是指供应商的</w:t>
      </w:r>
      <w:bookmarkStart w:id="11" w:name="_Hlk152584062"/>
      <w:r>
        <w:rPr>
          <w:rFonts w:hint="eastAsia" w:ascii="宋体" w:hAnsi="宋体"/>
          <w:bCs/>
          <w:color w:val="auto"/>
          <w:sz w:val="24"/>
          <w:szCs w:val="24"/>
          <w:highlight w:val="none"/>
        </w:rPr>
        <w:t xml:space="preserve">电子</w:t>
      </w:r>
      <w:bookmarkEnd w:id="11"/>
      <w:r>
        <w:rPr>
          <w:rFonts w:hint="eastAsia" w:ascii="宋体" w:hAnsi="宋体"/>
          <w:bCs/>
          <w:color w:val="auto"/>
          <w:sz w:val="24"/>
          <w:szCs w:val="24"/>
          <w:highlight w:val="none"/>
        </w:rPr>
        <w:t xml:space="preserve">公章，</w:t>
      </w:r>
      <w:r>
        <w:rPr>
          <w:rFonts w:hint="eastAsia" w:ascii="宋体" w:hAnsi="宋体"/>
          <w:bCs/>
          <w:color w:val="auto"/>
          <w:sz w:val="24"/>
          <w:szCs w:val="24"/>
          <w:highlight w:val="none"/>
          <w:lang w:val="zh-CN"/>
        </w:rPr>
        <w:t xml:space="preserve">自然人报价即指自然人私章</w:t>
      </w:r>
      <w:bookmarkEnd w:id="10"/>
      <w:r>
        <w:rPr>
          <w:rFonts w:hint="eastAsia" w:ascii="宋体" w:hAnsi="宋体"/>
          <w:bCs/>
          <w:color w:val="auto"/>
          <w:sz w:val="24"/>
          <w:szCs w:val="24"/>
          <w:highlight w:val="none"/>
          <w:lang w:val="zh-CN"/>
        </w:rPr>
        <w:t xml:space="preserve">或签名</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w:t>
      </w:r>
      <w:r>
        <w:rPr>
          <w:rFonts w:hint="eastAsia" w:ascii="宋体" w:hAnsi="宋体"/>
          <w:bCs/>
          <w:color w:val="auto"/>
          <w:sz w:val="24"/>
          <w:szCs w:val="24"/>
          <w:highlight w:val="none"/>
          <w:lang w:val="zh-CN"/>
        </w:rPr>
        <w:t xml:space="preserve"> “服务”指本磋商文件中所述服务及相关产品。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“响应”指提交报价文件并对磋商文件提出的条件和要求进行实质性回应，采购公告及采购文件中的“报价”是指磋商报价，本采购文件中的“报价”除单独列明外均指项目总报价。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“证明材料”指磋商文件中要求提供的相关材料</w:t>
      </w:r>
      <w:bookmarkStart w:id="12" w:name="_Hlk166055298"/>
      <w:r>
        <w:rPr>
          <w:rFonts w:hint="eastAsia" w:ascii="宋体" w:hAnsi="宋体"/>
          <w:bCs/>
          <w:color w:val="auto"/>
          <w:sz w:val="24"/>
          <w:szCs w:val="24"/>
          <w:highlight w:val="none"/>
          <w:lang w:val="zh-CN"/>
        </w:rPr>
        <w:t xml:space="preserve">且必须为有效的，即证明材料的完整性、真实性、出具方、有效期限、技术标准、认证范围等相关要求符合国家相关法律法规及磋商文件规定。</w:t>
      </w:r>
      <w:bookmarkEnd w:id="12"/>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.7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指本项目政府采购活动所依托的江苏政府采购网</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www.ccgp-jiangsu.gov.cn)</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苏采云</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平台</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系统</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中小企业声明”指符合政府采购政策的供应商提供的《中小企业声明函》或《残疾人福利性单位声明函》或监狱企业的证明文件。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.9 </w:t>
      </w:r>
      <w:r>
        <w:rPr>
          <w:rFonts w:hint="eastAsia" w:ascii="宋体" w:hAnsi="宋体"/>
          <w:bCs/>
          <w:color w:val="auto"/>
          <w:sz w:val="24"/>
          <w:szCs w:val="24"/>
          <w:highlight w:val="none"/>
          <w:lang w:val="zh-CN"/>
        </w:rPr>
        <w:t xml:space="preserve">“报价无效”指供应商提交的响应文件不符合磋商文件或不符合采购人要求的情况，按无效响应处理。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.10 </w:t>
      </w:r>
      <w:r>
        <w:rPr>
          <w:rFonts w:hint="eastAsia" w:ascii="宋体" w:hAnsi="宋体"/>
          <w:bCs/>
          <w:color w:val="auto"/>
          <w:sz w:val="24"/>
          <w:szCs w:val="24"/>
          <w:highlight w:val="none"/>
        </w:rPr>
        <w:t xml:space="preserve">“评审因素”是指评审方法和标准中包括的价格因素、技术因素、商务因素等方面。</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2.11 “正偏离”指供应商提供的服务（货物）响应情况优于磋商文件要求；“负偏离”指供应商提供的服务（货物）响应情况劣于磋商文件要求。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2.12 本磋商文件中的招标与采购、磋商文件与采购文件、报价无效与响应无效、</w:t>
      </w:r>
      <w:r>
        <w:rPr>
          <w:rFonts w:hint="eastAsia" w:ascii="宋体" w:hAnsi="宋体"/>
          <w:bCs/>
          <w:color w:val="auto"/>
          <w:sz w:val="24"/>
          <w:szCs w:val="24"/>
          <w:highlight w:val="none"/>
        </w:rPr>
        <w:t xml:space="preserve">产品与货物、优惠政策与扶持政策，分别为同一概念或意思。</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3、政府采购政策</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3.1</w:t>
      </w:r>
      <w:r>
        <w:rPr>
          <w:rFonts w:hint="eastAsia" w:ascii="宋体" w:hAnsi="宋体"/>
          <w:bCs/>
          <w:color w:val="auto"/>
          <w:sz w:val="24"/>
          <w:szCs w:val="24"/>
          <w:highlight w:val="none"/>
        </w:rPr>
        <w:t xml:space="preserve"> 政府采购支持中小企业发展，供应商在参加政府采购活动过程中，符合《政府采购促进中小企业发展管理办法》（财库〔2021〕46号）第二条、第四条规定的，可以享受中小企业扶持政策。</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3.1.1 对于专门面向中小企业的项目，只面向中小企业采购；对于非专门面向中小企业的项目，对符合规定的小微企业报价给予10%（工程项目为5%）的扣除，用扣除后的价格参加评审；</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3.1.2 参加政府采购活动的中小企业，应当按照《办法》（财库〔2021〕46号）的规定提供《中小企业声明函》（“中小企业划型标准”详见《关于印发中小企业划型标准规定的通知》工信部联企业〔2011〕300号）；</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3.1.3 中小企业依据《办法》（财库〔2021〕46号）规定的扶持政策获得政府采购合同后，小微企业不得将合同分包给大中型企业，中型企业不得将合同分包给大型企业。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 </w:t>
      </w:r>
      <w:bookmarkStart w:id="13" w:name="OLE_LINK197"/>
      <w:r/>
      <w:bookmarkStart w:id="14" w:name="OLE_LINK86"/>
      <w:r>
        <w:rPr>
          <w:rFonts w:hint="eastAsia" w:ascii="宋体" w:hAnsi="宋体"/>
          <w:bCs/>
          <w:color w:val="auto"/>
          <w:sz w:val="24"/>
          <w:szCs w:val="24"/>
          <w:highlight w:val="none"/>
        </w:rPr>
        <w:t xml:space="preserve">在政府采购活动中，残疾人福利性单位视同小微企业，</w:t>
      </w:r>
      <w:bookmarkEnd w:id="13"/>
      <w:r>
        <w:rPr>
          <w:rFonts w:hint="eastAsia" w:ascii="宋体" w:hAnsi="宋体"/>
          <w:bCs/>
          <w:color w:val="auto"/>
          <w:sz w:val="24"/>
          <w:szCs w:val="24"/>
          <w:highlight w:val="none"/>
          <w:lang w:val="zh-CN"/>
        </w:rPr>
        <w:t xml:space="preserve">提供本单位制造的货物、承担的工程或者服务，或者提供其他</w:t>
      </w:r>
      <w:r>
        <w:rPr>
          <w:rFonts w:hint="eastAsia" w:ascii="宋体" w:hAnsi="宋体"/>
          <w:bCs/>
          <w:color w:val="auto"/>
          <w:sz w:val="24"/>
          <w:szCs w:val="24"/>
          <w:highlight w:val="none"/>
        </w:rPr>
        <w:t xml:space="preserve">残疾人福利性单位</w:t>
      </w:r>
      <w:r>
        <w:rPr>
          <w:rFonts w:hint="eastAsia" w:ascii="宋体" w:hAnsi="宋体"/>
          <w:bCs/>
          <w:color w:val="auto"/>
          <w:sz w:val="24"/>
          <w:szCs w:val="24"/>
          <w:highlight w:val="none"/>
          <w:lang w:val="zh-CN"/>
        </w:rPr>
        <w:t xml:space="preserve">制造的货物，</w:t>
      </w:r>
      <w:r>
        <w:rPr>
          <w:rFonts w:hint="eastAsia" w:ascii="宋体" w:hAnsi="宋体"/>
          <w:bCs/>
          <w:color w:val="auto"/>
          <w:sz w:val="24"/>
          <w:szCs w:val="24"/>
          <w:highlight w:val="none"/>
        </w:rPr>
        <w:t xml:space="preserve">在评审时将获得优势。参</w:t>
      </w:r>
      <w:bookmarkStart w:id="15" w:name="OLE_LINK198"/>
      <w:r>
        <w:rPr>
          <w:rFonts w:hint="eastAsia" w:ascii="宋体" w:hAnsi="宋体"/>
          <w:bCs/>
          <w:color w:val="auto"/>
          <w:sz w:val="24"/>
          <w:szCs w:val="24"/>
          <w:highlight w:val="none"/>
        </w:rPr>
        <w:t xml:space="preserve">加报价的</w:t>
      </w:r>
      <w:bookmarkStart w:id="16" w:name="OLE_LINK43"/>
      <w:r>
        <w:rPr>
          <w:rFonts w:hint="eastAsia" w:ascii="宋体" w:hAnsi="宋体"/>
          <w:bCs/>
          <w:color w:val="auto"/>
          <w:sz w:val="24"/>
          <w:szCs w:val="24"/>
          <w:highlight w:val="none"/>
        </w:rPr>
        <w:t xml:space="preserve">残疾人福利性单位</w:t>
      </w:r>
      <w:bookmarkEnd w:id="16"/>
      <w:r>
        <w:rPr>
          <w:rFonts w:hint="eastAsia" w:ascii="宋体" w:hAnsi="宋体"/>
          <w:bCs/>
          <w:color w:val="auto"/>
          <w:sz w:val="24"/>
          <w:szCs w:val="24"/>
          <w:highlight w:val="none"/>
        </w:rPr>
        <w:t xml:space="preserve">应当按照《关于促进残疾人就业政府采购政策的通知》</w:t>
      </w:r>
      <w:bookmarkStart w:id="17" w:name="sendNo"/>
      <w:r>
        <w:rPr>
          <w:rFonts w:hint="eastAsia" w:ascii="宋体" w:hAnsi="宋体"/>
          <w:bCs/>
          <w:color w:val="auto"/>
          <w:sz w:val="24"/>
          <w:szCs w:val="24"/>
          <w:highlight w:val="none"/>
        </w:rPr>
        <w:t xml:space="preserve">（财库〔2017〕141号）</w:t>
      </w:r>
      <w:bookmarkEnd w:id="17"/>
      <w:r>
        <w:rPr>
          <w:rFonts w:hint="eastAsia" w:ascii="宋体" w:hAnsi="宋体"/>
          <w:bCs/>
          <w:color w:val="auto"/>
          <w:sz w:val="24"/>
          <w:szCs w:val="24"/>
          <w:highlight w:val="none"/>
        </w:rPr>
        <w:t xml:space="preserve">的规定提供《</w:t>
      </w:r>
      <w:bookmarkStart w:id="18" w:name="OLE_LINK42"/>
      <w:r>
        <w:rPr>
          <w:rFonts w:hint="eastAsia" w:ascii="宋体" w:hAnsi="宋体"/>
          <w:bCs/>
          <w:color w:val="auto"/>
          <w:sz w:val="24"/>
          <w:szCs w:val="24"/>
          <w:highlight w:val="none"/>
        </w:rPr>
        <w:t xml:space="preserve">残疾人福利性单位</w:t>
      </w:r>
      <w:bookmarkEnd w:id="18"/>
      <w:r>
        <w:rPr>
          <w:rFonts w:hint="eastAsia" w:ascii="宋体" w:hAnsi="宋体"/>
          <w:bCs/>
          <w:color w:val="auto"/>
          <w:sz w:val="24"/>
          <w:szCs w:val="24"/>
          <w:highlight w:val="none"/>
        </w:rPr>
        <w:t xml:space="preserve">声明函》。</w:t>
      </w:r>
      <w:bookmarkEnd w:id="14"/>
      <w:r/>
      <w:bookmarkEnd w:id="15"/>
      <w:r/>
      <w:r/>
    </w:p>
    <w:p>
      <w:pPr>
        <w:ind w:firstLine="480"/>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3.3 在政府采购活动中，监狱企业视同小微企业，享受政府采购促进中小企业发展的政府采购政策。参加报价的监狱企业应当按照《关于政府采购支持监狱企业发展有关问题的通知》（财库〔2014〕68号）的规定提供省级以上监狱管理局、戒毒管理局（含新疆生产建设兵团）出具的属于监狱企业的证明文件。</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4、报价费用</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4.1 磋商文件中的货币单位均为人民币元。</w:t>
      </w:r>
      <w:r/>
    </w:p>
    <w:p>
      <w:pPr>
        <w:ind w:firstLine="480"/>
        <w:spacing w:line="360" w:lineRule="auto"/>
        <w:rPr>
          <w:rFonts w:ascii="宋体" w:hAnsi="宋体" w:cs="宋体"/>
          <w:bCs/>
          <w:color w:val="auto"/>
          <w:sz w:val="24"/>
          <w:szCs w:val="24"/>
          <w:highlight w:val="none"/>
        </w:rPr>
      </w:pPr>
      <w:r/>
      <w:bookmarkStart w:id="19" w:name="OLE_LINK88"/>
      <w:r>
        <w:rPr>
          <w:rFonts w:hint="eastAsia" w:ascii="宋体" w:hAnsi="宋体" w:cs="宋体"/>
          <w:bCs/>
          <w:color w:val="auto"/>
          <w:sz w:val="24"/>
          <w:szCs w:val="24"/>
          <w:highlight w:val="none"/>
        </w:rPr>
        <w:t xml:space="preserve">4.2 </w:t>
      </w:r>
      <w:bookmarkEnd w:id="19"/>
      <w:r>
        <w:rPr>
          <w:rFonts w:hint="eastAsia" w:ascii="宋体" w:hAnsi="宋体" w:cs="宋体"/>
          <w:bCs/>
          <w:color w:val="auto"/>
          <w:sz w:val="24"/>
          <w:szCs w:val="24"/>
          <w:highlight w:val="none"/>
        </w:rPr>
        <w:t xml:space="preserve">供应商应自行承担所有与准备和参加报价有关的一切费用。</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4.3采购代理费</w:t>
      </w:r>
      <w:r>
        <w:rPr>
          <w:rFonts w:hint="eastAsia" w:ascii="宋体" w:hAnsi="宋体" w:cs="宋体"/>
          <w:bCs/>
          <w:color w:val="auto"/>
          <w:sz w:val="24"/>
          <w:szCs w:val="24"/>
          <w:highlight w:val="none"/>
          <w:lang w:val="en-US" w:eastAsia="zh-CN"/>
        </w:rPr>
        <w:t xml:space="preserve">由采购人支付，</w:t>
      </w:r>
      <w:r>
        <w:rPr>
          <w:rFonts w:hint="eastAsia" w:ascii="宋体" w:hAnsi="宋体" w:cs="宋体"/>
          <w:bCs/>
          <w:color w:val="auto"/>
          <w:sz w:val="24"/>
          <w:szCs w:val="24"/>
          <w:highlight w:val="none"/>
        </w:rPr>
        <w:t xml:space="preserve">按差额定率分档累进法计算的50%收取，收费差额费率:中标金额在100万元(含)以下的为1.5%，中标金额在100万元(不含)至500万元(含)的为0.8%计取。</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5、保密要求</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二、磋商文件</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6、</w:t>
      </w:r>
      <w:r>
        <w:rPr>
          <w:rFonts w:hint="eastAsia" w:ascii="宋体" w:hAnsi="宋体"/>
          <w:b/>
          <w:color w:val="auto"/>
          <w:sz w:val="24"/>
          <w:szCs w:val="24"/>
          <w:highlight w:val="none"/>
          <w:lang w:val="zh-CN"/>
        </w:rPr>
        <w:t xml:space="preserve">磋商文件的组成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w:t>
      </w:r>
      <w:bookmarkStart w:id="20" w:name="_Hlk127867521"/>
      <w:r>
        <w:rPr>
          <w:rFonts w:hint="eastAsia" w:ascii="宋体" w:hAnsi="宋体"/>
          <w:bCs/>
          <w:color w:val="auto"/>
          <w:sz w:val="24"/>
          <w:szCs w:val="24"/>
          <w:highlight w:val="none"/>
        </w:rPr>
        <w:t xml:space="preserve">供应商应</w:t>
      </w:r>
      <w:r>
        <w:rPr>
          <w:rFonts w:ascii="宋体" w:hAnsi="宋体"/>
          <w:bCs/>
          <w:color w:val="auto"/>
          <w:sz w:val="24"/>
          <w:szCs w:val="24"/>
          <w:highlight w:val="none"/>
        </w:rPr>
        <w:t xml:space="preserve">登录“苏采云”</w:t>
      </w:r>
      <w:bookmarkEnd w:id="20"/>
      <w:r>
        <w:rPr>
          <w:rFonts w:ascii="宋体" w:hAnsi="宋体"/>
          <w:bCs/>
          <w:color w:val="auto"/>
          <w:sz w:val="24"/>
          <w:szCs w:val="24"/>
          <w:highlight w:val="none"/>
        </w:rPr>
        <w:t xml:space="preserve"> 系统</w:t>
      </w:r>
      <w:r>
        <w:rPr>
          <w:rFonts w:hint="eastAsia" w:ascii="宋体" w:hAnsi="宋体"/>
          <w:bCs/>
          <w:color w:val="auto"/>
          <w:sz w:val="24"/>
          <w:szCs w:val="24"/>
          <w:highlight w:val="none"/>
        </w:rPr>
        <w:t xml:space="preserve">下载</w:t>
      </w:r>
      <w:r>
        <w:rPr>
          <w:rFonts w:hint="eastAsia" w:ascii="宋体" w:hAnsi="宋体"/>
          <w:bCs/>
          <w:color w:val="auto"/>
          <w:sz w:val="24"/>
          <w:szCs w:val="24"/>
          <w:highlight w:val="none"/>
          <w:lang w:val="zh-CN"/>
        </w:rPr>
        <w:t xml:space="preserve">磋商文件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。供应商须按磋商文件要求提交资料并对磋商文件相关内容作出实质性响应，否则报价无效。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6.2 磋商文件包括磋商公告和本文件目录所列全部内容及其附件，如有缺漏，请立即与</w:t>
      </w:r>
      <w:bookmarkStart w:id="21" w:name="OLE_LINK253"/>
      <w:r>
        <w:rPr>
          <w:rFonts w:hint="eastAsia" w:ascii="宋体" w:hAnsi="宋体"/>
          <w:bCs/>
          <w:color w:val="auto"/>
          <w:sz w:val="24"/>
          <w:szCs w:val="24"/>
          <w:highlight w:val="none"/>
        </w:rPr>
        <w:t xml:space="preserve">采购人或者</w:t>
      </w:r>
      <w:bookmarkEnd w:id="21"/>
      <w:r>
        <w:rPr>
          <w:rFonts w:hint="eastAsia" w:ascii="宋体" w:hAnsi="宋体"/>
          <w:bCs/>
          <w:color w:val="auto"/>
          <w:sz w:val="24"/>
          <w:szCs w:val="24"/>
          <w:highlight w:val="none"/>
        </w:rPr>
        <w:t xml:space="preserve">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磋商文件如与磋商公告有不一致的地方，以磋商文件为准；电子响应文件制作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电子响应文件格式、说明与磋商文件格式、说明不一致的，以磋商文件格式、说明为准。</w:t>
      </w:r>
      <w:r/>
    </w:p>
    <w:p>
      <w:pPr>
        <w:ind w:firstLine="482"/>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rPr>
          <w:rFonts w:hint="eastAsia" w:ascii="宋体" w:hAnsi="宋体"/>
          <w:b/>
          <w:color w:val="auto"/>
          <w:sz w:val="24"/>
          <w:szCs w:val="24"/>
          <w:highlight w:val="none"/>
        </w:rPr>
        <w:t xml:space="preserve">7、</w:t>
      </w:r>
      <w:r>
        <w:rPr>
          <w:rFonts w:hint="eastAsia" w:ascii="宋体" w:hAnsi="宋体"/>
          <w:b/>
          <w:color w:val="auto"/>
          <w:sz w:val="24"/>
          <w:szCs w:val="24"/>
          <w:highlight w:val="none"/>
          <w:lang w:val="zh-CN"/>
        </w:rPr>
        <w:t xml:space="preserve">磋商文件的解释</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7.1 </w:t>
      </w:r>
      <w:bookmarkStart w:id="22" w:name="OLE_LINK11"/>
      <w:r>
        <w:rPr>
          <w:rFonts w:hint="eastAsia" w:ascii="宋体" w:hAnsi="宋体"/>
          <w:bCs/>
          <w:color w:val="auto"/>
          <w:sz w:val="24"/>
          <w:szCs w:val="24"/>
          <w:highlight w:val="none"/>
        </w:rPr>
        <w:t xml:space="preserve">本磋商文件和“第三章 项目技术要求和有关说明”</w:t>
      </w:r>
      <w:bookmarkEnd w:id="22"/>
      <w:r>
        <w:rPr>
          <w:rFonts w:hint="eastAsia" w:ascii="宋体" w:hAnsi="宋体"/>
          <w:bCs/>
          <w:color w:val="auto"/>
          <w:sz w:val="24"/>
          <w:szCs w:val="24"/>
          <w:highlight w:val="none"/>
        </w:rPr>
        <w:t xml:space="preserve">和“第四章 评审方法和标准”由采购人负责解释，其他部分由</w:t>
      </w:r>
      <w:bookmarkStart w:id="23" w:name="OLE_LINK270"/>
      <w:r>
        <w:rPr>
          <w:rFonts w:hint="eastAsia" w:ascii="宋体" w:hAnsi="宋体"/>
          <w:bCs/>
          <w:color w:val="auto"/>
          <w:sz w:val="24"/>
          <w:szCs w:val="24"/>
          <w:highlight w:val="none"/>
        </w:rPr>
        <w:t xml:space="preserve">采购人和</w:t>
      </w:r>
      <w:bookmarkEnd w:id="23"/>
      <w:r>
        <w:rPr>
          <w:rFonts w:hint="eastAsia" w:ascii="宋体" w:hAnsi="宋体"/>
          <w:bCs/>
          <w:color w:val="auto"/>
          <w:sz w:val="24"/>
          <w:szCs w:val="24"/>
          <w:highlight w:val="none"/>
        </w:rPr>
        <w:t xml:space="preserve">采购代理机构负责解释。</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8、</w:t>
      </w:r>
      <w:r>
        <w:rPr>
          <w:rFonts w:hint="eastAsia" w:ascii="宋体" w:hAnsi="宋体"/>
          <w:b/>
          <w:color w:val="auto"/>
          <w:sz w:val="24"/>
          <w:szCs w:val="24"/>
          <w:highlight w:val="none"/>
          <w:lang w:val="zh-CN"/>
        </w:rPr>
        <w:t xml:space="preserve">磋商文件的</w:t>
      </w:r>
      <w:bookmarkStart w:id="24" w:name="OLE_LINK20"/>
      <w:r>
        <w:rPr>
          <w:rFonts w:hint="eastAsia" w:ascii="宋体" w:hAnsi="宋体"/>
          <w:b/>
          <w:color w:val="auto"/>
          <w:sz w:val="24"/>
          <w:szCs w:val="24"/>
          <w:highlight w:val="none"/>
          <w:lang w:val="zh-CN"/>
        </w:rPr>
        <w:t xml:space="preserve">澄清、修改</w:t>
      </w:r>
      <w:bookmarkEnd w:id="24"/>
      <w:r/>
      <w:r/>
    </w:p>
    <w:p>
      <w:pPr>
        <w:ind w:firstLine="48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 采购人或采购代理机构对已发出的磋商文件进行必要澄清或者修改的，将在提交响应文件截止之日5日前，在原竞争性磋商公告媒体发布更正公告，并在系统中通知所有已获取磋商文件的潜在供应商, 供应商应登录系统查看相应内容。不足5日的，采购人或者采购代理机构有权决定是否顺延提交响应文件截止时间和采购活动开始时间，该澄清或者修改的内容为磋商文件的组成部分。以最新发布的补充更正、澄清和修改后的磋商文件、公告信息为准。</w:t>
      </w:r>
      <w:r/>
    </w:p>
    <w:p>
      <w:pPr>
        <w:ind w:firstLine="482"/>
        <w:spacing w:line="360" w:lineRule="auto"/>
        <w:rPr>
          <w:rFonts w:ascii="宋体" w:hAnsi="宋体"/>
          <w:color w:val="auto"/>
          <w:sz w:val="24"/>
          <w:szCs w:val="21"/>
          <w:highlight w:val="none"/>
          <w:lang w:val="zh-CN"/>
        </w:rPr>
      </w:pPr>
      <w:r>
        <w:rPr>
          <w:rFonts w:hint="eastAsia" w:ascii="宋体" w:hAnsi="宋体"/>
          <w:bCs/>
          <w:color w:val="auto"/>
          <w:sz w:val="24"/>
          <w:szCs w:val="24"/>
          <w:highlight w:val="none"/>
        </w:rPr>
        <w:t xml:space="preserve">8.2如澄清或修改公告有重新发布电子磋商文件的，供应商应下载最新发布的电子磋商文件制作响应文件。因供应商未及时关注澄清更正公告、未及时更新上传响应文件导致其提交的响应文件不符合要求的，造成的损失及风险由供应商自行承担。</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三、响应文件</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9、响应文件的组成：</w:t>
      </w:r>
      <w:r/>
    </w:p>
    <w:p>
      <w:pPr>
        <w:ind w:left="420"/>
        <w:jc w:val="left"/>
        <w:spacing w:line="360" w:lineRule="auto"/>
        <w:tabs>
          <w:tab w:val="left" w:pos="0" w:leader="none"/>
          <w:tab w:val="left" w:pos="255" w:leader="none"/>
        </w:tabs>
        <w:rPr>
          <w:rFonts w:ascii="宋体" w:hAnsi="宋体"/>
          <w:b/>
          <w:color w:val="auto"/>
          <w:sz w:val="24"/>
          <w:szCs w:val="24"/>
          <w:highlight w:val="none"/>
          <w:lang w:val="zh-CN"/>
        </w:rPr>
      </w:pPr>
      <w:r/>
      <w:bookmarkStart w:id="25" w:name="OLE_LINK51"/>
      <w:r/>
      <w:bookmarkStart w:id="26" w:name="OLE_LINK114"/>
      <w:r>
        <w:rPr>
          <w:rFonts w:hint="eastAsia" w:ascii="宋体" w:hAnsi="宋体"/>
          <w:b/>
          <w:color w:val="auto"/>
          <w:sz w:val="24"/>
          <w:szCs w:val="24"/>
          <w:highlight w:val="none"/>
          <w:lang w:val="zh-CN"/>
        </w:rPr>
        <w:t xml:space="preserve">（1）磋商报价表</w:t>
      </w:r>
      <w:r/>
    </w:p>
    <w:p>
      <w:pPr>
        <w:ind w:left="420"/>
        <w:jc w:val="left"/>
        <w:spacing w:line="360" w:lineRule="auto"/>
        <w:tabs>
          <w:tab w:val="left" w:pos="0" w:leader="none"/>
          <w:tab w:val="left" w:pos="25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（2）资格条件</w:t>
      </w:r>
      <w:r/>
    </w:p>
    <w:p>
      <w:pPr>
        <w:ind w:firstLine="48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①</w:t>
      </w:r>
      <w:r>
        <w:rPr>
          <w:rFonts w:hint="eastAsia" w:ascii="宋体" w:hAnsi="宋体"/>
          <w:b/>
          <w:color w:val="auto"/>
          <w:sz w:val="24"/>
          <w:szCs w:val="24"/>
          <w:highlight w:val="none"/>
          <w:lang w:val="zh-CN"/>
        </w:rPr>
        <w:t xml:space="preserve">资格声明函</w:t>
      </w:r>
      <w:r>
        <w:rPr>
          <w:rFonts w:hint="eastAsia" w:ascii="宋体" w:hAnsi="宋体"/>
          <w:bCs/>
          <w:color w:val="auto"/>
          <w:sz w:val="24"/>
          <w:szCs w:val="24"/>
          <w:highlight w:val="none"/>
          <w:lang w:val="zh-CN"/>
        </w:rPr>
        <w:t xml:space="preserve">：</w:t>
      </w:r>
      <w:bookmarkStart w:id="27" w:name="_Hlk151448601"/>
      <w:r>
        <w:rPr>
          <w:rFonts w:hint="eastAsia" w:ascii="宋体" w:hAnsi="宋体"/>
          <w:bCs/>
          <w:color w:val="auto"/>
          <w:sz w:val="24"/>
          <w:szCs w:val="24"/>
          <w:highlight w:val="none"/>
          <w:lang w:val="zh-CN"/>
        </w:rPr>
        <w:t xml:space="preserve">关于资格的声明函；</w:t>
      </w:r>
      <w:bookmarkEnd w:id="27"/>
      <w:r/>
    </w:p>
    <w:p>
      <w:pPr>
        <w:ind w:firstLine="48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②</w:t>
      </w:r>
      <w:r>
        <w:rPr>
          <w:rFonts w:hint="eastAsia" w:ascii="宋体" w:hAnsi="宋体"/>
          <w:b/>
          <w:color w:val="auto"/>
          <w:sz w:val="24"/>
          <w:szCs w:val="24"/>
          <w:highlight w:val="none"/>
          <w:lang w:val="zh-CN"/>
        </w:rPr>
        <w:t xml:space="preserve">被授权代表身份证明1</w:t>
      </w:r>
      <w:bookmarkStart w:id="28" w:name="_Hlk163378222"/>
      <w:r>
        <w:rPr>
          <w:rFonts w:hint="eastAsia" w:ascii="宋体" w:hAnsi="宋体"/>
          <w:b/>
          <w:color w:val="auto"/>
          <w:sz w:val="24"/>
          <w:szCs w:val="24"/>
          <w:highlight w:val="none"/>
          <w:lang w:val="zh-CN"/>
        </w:rPr>
        <w:t xml:space="preserve">（授权委托书）</w:t>
      </w:r>
      <w:bookmarkEnd w:id="28"/>
      <w:r>
        <w:rPr>
          <w:rFonts w:hint="eastAsia" w:ascii="宋体" w:hAnsi="宋体"/>
          <w:bCs/>
          <w:color w:val="auto"/>
          <w:sz w:val="24"/>
          <w:szCs w:val="24"/>
          <w:highlight w:val="none"/>
          <w:lang w:val="zh-CN"/>
        </w:rPr>
        <w:t xml:space="preserve">：提供供应商法定代表人授权委托书（法定代表人亲自参加的无需提供）；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③</w:t>
      </w:r>
      <w:r>
        <w:rPr>
          <w:rFonts w:hint="eastAsia" w:ascii="宋体" w:hAnsi="宋体"/>
          <w:b/>
          <w:color w:val="auto"/>
          <w:sz w:val="24"/>
          <w:szCs w:val="24"/>
          <w:highlight w:val="none"/>
          <w:lang w:val="zh-CN"/>
        </w:rPr>
        <w:t xml:space="preserve">被授权代表身份证明2（社保）</w:t>
      </w:r>
      <w:r>
        <w:rPr>
          <w:rFonts w:hint="eastAsia" w:ascii="宋体" w:hAnsi="宋体"/>
          <w:bCs/>
          <w:color w:val="auto"/>
          <w:sz w:val="24"/>
          <w:szCs w:val="24"/>
          <w:highlight w:val="none"/>
          <w:lang w:val="zh-CN"/>
        </w:rPr>
        <w:t xml:space="preserve">：</w:t>
      </w:r>
      <w:bookmarkStart w:id="29" w:name="_Hlk155260749"/>
      <w:r>
        <w:rPr>
          <w:rFonts w:hint="eastAsia" w:ascii="宋体" w:hAnsi="宋体"/>
          <w:bCs/>
          <w:color w:val="auto"/>
          <w:sz w:val="24"/>
          <w:szCs w:val="24"/>
          <w:highlight w:val="none"/>
          <w:lang w:val="zh-CN"/>
        </w:rPr>
        <w:t xml:space="preserve">提供供应商为本项目被授权代表缴纳的近六个月内任意一个月份的社保证明</w:t>
      </w:r>
      <w:bookmarkEnd w:id="29"/>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④</w:t>
      </w:r>
      <w:r>
        <w:rPr>
          <w:rFonts w:hint="eastAsia" w:ascii="宋体" w:hAnsi="宋体"/>
          <w:b/>
          <w:color w:val="auto"/>
          <w:sz w:val="24"/>
          <w:szCs w:val="24"/>
          <w:highlight w:val="none"/>
          <w:lang w:val="zh-CN"/>
        </w:rPr>
        <w:t xml:space="preserve">具有独立承担民事责任的能力：</w:t>
      </w:r>
      <w:r>
        <w:rPr>
          <w:rFonts w:hint="eastAsia" w:ascii="宋体" w:hAnsi="宋体"/>
          <w:bCs/>
          <w:color w:val="auto"/>
          <w:sz w:val="24"/>
          <w:szCs w:val="24"/>
          <w:highlight w:val="none"/>
          <w:lang w:val="zh-CN"/>
        </w:rPr>
        <w:t xml:space="preserve">提供供应商营业执照或法人（登记）证书，供应商为自然人的提供自然人身份证；</w:t>
      </w:r>
      <w:r/>
    </w:p>
    <w:p>
      <w:pPr>
        <w:ind w:firstLine="48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⑤</w:t>
      </w:r>
      <w:r>
        <w:rPr>
          <w:rFonts w:hint="eastAsia" w:ascii="宋体" w:hAnsi="宋体"/>
          <w:b/>
          <w:color w:val="auto"/>
          <w:sz w:val="24"/>
          <w:szCs w:val="24"/>
          <w:highlight w:val="none"/>
          <w:lang w:val="zh-CN"/>
        </w:rPr>
        <w:t xml:space="preserve">具有良好的商业信誉和健全的财务会计制度：</w:t>
      </w:r>
      <w:r>
        <w:rPr>
          <w:rFonts w:hint="eastAsia" w:ascii="宋体" w:hAnsi="宋体"/>
          <w:bCs/>
          <w:color w:val="auto"/>
          <w:sz w:val="24"/>
          <w:szCs w:val="24"/>
          <w:highlight w:val="none"/>
          <w:lang w:val="zh-CN"/>
        </w:rPr>
        <w:t xml:space="preserve">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⑥</w:t>
      </w:r>
      <w:r>
        <w:rPr>
          <w:rFonts w:hint="eastAsia" w:ascii="宋体" w:hAnsi="宋体"/>
          <w:b/>
          <w:color w:val="auto"/>
          <w:sz w:val="24"/>
          <w:szCs w:val="24"/>
          <w:highlight w:val="none"/>
          <w:lang w:val="zh-CN"/>
        </w:rPr>
        <w:t xml:space="preserve">有依法缴纳税收的良好记录：</w:t>
      </w:r>
      <w:r>
        <w:rPr>
          <w:rFonts w:hint="eastAsia" w:ascii="宋体" w:hAnsi="宋体"/>
          <w:bCs/>
          <w:color w:val="auto"/>
          <w:sz w:val="24"/>
          <w:szCs w:val="24"/>
          <w:highlight w:val="none"/>
          <w:lang w:val="zh-CN"/>
        </w:rPr>
        <w:t xml:space="preserve">提供供应商依法缴纳近十二个月中任意一个月份税收的相关材料（提供相关主管部门证明或银行代扣证明）；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⑦</w:t>
      </w:r>
      <w:r>
        <w:rPr>
          <w:rFonts w:hint="eastAsia" w:ascii="宋体" w:hAnsi="宋体"/>
          <w:b/>
          <w:color w:val="auto"/>
          <w:sz w:val="24"/>
          <w:szCs w:val="24"/>
          <w:highlight w:val="none"/>
          <w:lang w:val="zh-CN"/>
        </w:rPr>
        <w:t xml:space="preserve">有依法缴纳社会保障资金的良好记录：</w:t>
      </w:r>
      <w:r>
        <w:rPr>
          <w:rFonts w:hint="eastAsia" w:ascii="宋体" w:hAnsi="宋体"/>
          <w:bCs/>
          <w:color w:val="auto"/>
          <w:sz w:val="24"/>
          <w:szCs w:val="24"/>
          <w:highlight w:val="none"/>
          <w:lang w:val="zh-CN"/>
        </w:rPr>
        <w:t xml:space="preserve">提供供应商依法缴纳近十二个月中任意一个月份社会保障资金的相关材料（提供相关主管部门证明或银行代扣证明）；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⑧</w:t>
      </w:r>
      <w:r>
        <w:rPr>
          <w:rFonts w:hint="eastAsia" w:ascii="宋体" w:hAnsi="宋体"/>
          <w:b/>
          <w:color w:val="auto"/>
          <w:sz w:val="24"/>
          <w:szCs w:val="24"/>
          <w:highlight w:val="none"/>
          <w:lang w:val="zh-CN"/>
        </w:rPr>
        <w:t xml:space="preserve">无不良信用记录</w:t>
      </w:r>
      <w:r>
        <w:rPr>
          <w:rFonts w:hint="eastAsia" w:ascii="宋体" w:hAnsi="宋体"/>
          <w:b/>
          <w:color w:val="auto"/>
          <w:sz w:val="24"/>
          <w:szCs w:val="24"/>
          <w:highlight w:val="none"/>
        </w:rPr>
        <w:t xml:space="preserve">：</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auto"/>
          <w:sz w:val="24"/>
          <w:szCs w:val="24"/>
          <w:highlight w:val="none"/>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企业信息已录入以上网站的</w:t>
      </w:r>
      <w:r>
        <w:rPr>
          <w:rFonts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若供应商企业信息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以</w:t>
      </w:r>
      <w:bookmarkStart w:id="30" w:name="_Hlk139976635"/>
      <w:r>
        <w:rPr>
          <w:rFonts w:hint="eastAsia" w:ascii="宋体" w:hAnsi="宋体"/>
          <w:bCs/>
          <w:color w:val="auto"/>
          <w:sz w:val="24"/>
          <w:szCs w:val="24"/>
          <w:highlight w:val="none"/>
          <w:lang w:val="zh-CN"/>
        </w:rPr>
        <w:t xml:space="preserve">供应商提供的资格声明函中作出的无不良信用记录承诺为准</w:t>
      </w:r>
      <w:bookmarkEnd w:id="30"/>
      <w:r>
        <w:rPr>
          <w:rFonts w:hint="eastAsia" w:ascii="宋体" w:hAnsi="宋体"/>
          <w:bCs/>
          <w:color w:val="auto"/>
          <w:sz w:val="24"/>
          <w:szCs w:val="24"/>
          <w:highlight w:val="none"/>
        </w:rPr>
        <w:t xml:space="preserve">）</w:t>
      </w:r>
      <w:r/>
    </w:p>
    <w:p>
      <w:pPr>
        <w:pStyle w:val="1015"/>
        <w:rPr>
          <w:rFonts w:ascii="宋体" w:hAnsi="宋体"/>
          <w:b/>
          <w:color w:val="auto"/>
          <w:sz w:val="24"/>
          <w:szCs w:val="24"/>
          <w:highlight w:val="none"/>
        </w:rPr>
      </w:pPr>
      <w:r/>
      <w:bookmarkStart w:id="31" w:name="_Hlk151448642"/>
      <w:r>
        <w:rPr>
          <w:rFonts w:hint="eastAsia" w:ascii="宋体" w:hAnsi="宋体"/>
          <w:b/>
          <w:color w:val="auto"/>
          <w:sz w:val="24"/>
          <w:szCs w:val="24"/>
          <w:highlight w:val="none"/>
        </w:rPr>
        <w:t xml:space="preserve">⑨联合体：如采购人要求组成联合体或采购人允许组成联合体且供应商组成联合体的，应提供有效的联合体协议书，否则无需提供；</w:t>
      </w:r>
      <w:r/>
    </w:p>
    <w:p>
      <w:pPr>
        <w:pStyle w:val="1015"/>
        <w:rPr>
          <w:rFonts w:ascii="宋体" w:hAnsi="宋体"/>
          <w:b/>
          <w:color w:val="auto"/>
          <w:sz w:val="24"/>
          <w:szCs w:val="24"/>
          <w:highlight w:val="none"/>
        </w:rPr>
      </w:pPr>
      <w:r>
        <w:rPr>
          <w:rFonts w:hint="eastAsia" w:ascii="宋体" w:hAnsi="宋体"/>
          <w:b/>
          <w:color w:val="auto"/>
          <w:sz w:val="24"/>
          <w:szCs w:val="24"/>
          <w:highlight w:val="none"/>
        </w:rPr>
        <w:t xml:space="preserve">⑩分包：如采购人要求分包或采购人允许分包且供应商有分包意向的，应提供有效的分包情况说明，否则无需提供；</w:t>
      </w:r>
      <w:r/>
    </w:p>
    <w:p>
      <w:pPr>
        <w:pStyle w:val="1015"/>
        <w:rPr>
          <w:rFonts w:ascii="宋体" w:hAnsi="宋体"/>
          <w:b/>
          <w:color w:val="auto"/>
          <w:sz w:val="24"/>
          <w:szCs w:val="24"/>
          <w:highlight w:val="none"/>
        </w:rPr>
      </w:pPr>
      <w:r>
        <w:rPr>
          <w:rFonts w:hint="eastAsia" w:ascii="宋体" w:hAnsi="宋体"/>
          <w:b/>
          <w:color w:val="auto"/>
          <w:sz w:val="24"/>
          <w:szCs w:val="24"/>
          <w:highlight w:val="none"/>
        </w:rPr>
        <w:t xml:space="preserve">⑪中小企业声明：如专门面向中小企业采购的，供应商应提供有效的《中小企业声明函》或《残疾人福利性单位声明函》或监狱企业的证明文件，否则此处无需提供；</w:t>
      </w:r>
      <w:r/>
    </w:p>
    <w:p>
      <w:pPr>
        <w:pStyle w:val="1015"/>
        <w:rPr>
          <w:color w:val="auto"/>
          <w:highlight w:val="none"/>
        </w:rPr>
      </w:pPr>
      <w:r>
        <w:rPr>
          <w:rFonts w:hint="eastAsia" w:ascii="宋体" w:hAnsi="宋体"/>
          <w:b/>
          <w:color w:val="auto"/>
          <w:sz w:val="24"/>
          <w:szCs w:val="24"/>
          <w:highlight w:val="none"/>
          <w:lang w:val="zh-CN"/>
        </w:rPr>
        <w:t xml:space="preserve">⑫采购人特殊要求：</w:t>
      </w:r>
      <w:r>
        <w:rPr>
          <w:rFonts w:hint="eastAsia" w:ascii="宋体" w:hAnsi="宋体"/>
          <w:bCs/>
          <w:color w:val="auto"/>
          <w:sz w:val="24"/>
          <w:szCs w:val="24"/>
          <w:highlight w:val="none"/>
          <w:lang w:val="zh-CN"/>
        </w:rPr>
        <w:t xml:space="preserve">无。</w:t>
      </w:r>
      <w:bookmarkEnd w:id="31"/>
      <w:r/>
    </w:p>
    <w:p>
      <w:pPr>
        <w:ind w:firstLine="48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注：供应商具备履行合同所必需的设备和专业技术能力在资格声明函中作出承诺；</w:t>
      </w:r>
      <w:bookmarkStart w:id="32"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32"/>
      <w:r>
        <w:rPr>
          <w:rFonts w:hint="eastAsia" w:ascii="宋体" w:hAnsi="宋体"/>
          <w:bCs/>
          <w:color w:val="auto"/>
          <w:sz w:val="24"/>
          <w:szCs w:val="24"/>
          <w:highlight w:val="none"/>
        </w:rPr>
        <w:t xml:space="preserve">前三年是从提交响应文件截止日（含）向前推算，一年按3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以上近六个月、近十二个月是从提交响应文件截止日向前推算（不含响应文件提交截止当月）</w:t>
      </w:r>
      <w:r>
        <w:rPr>
          <w:rFonts w:hint="eastAsia" w:ascii="宋体" w:hAnsi="宋体"/>
          <w:bCs/>
          <w:color w:val="auto"/>
          <w:sz w:val="24"/>
          <w:szCs w:val="24"/>
          <w:highlight w:val="none"/>
        </w:rPr>
        <w:t xml:space="preserve">。</w:t>
      </w:r>
      <w:r/>
    </w:p>
    <w:p>
      <w:pPr>
        <w:ind w:left="420"/>
        <w:jc w:val="left"/>
        <w:spacing w:line="360" w:lineRule="auto"/>
        <w:tabs>
          <w:tab w:val="left" w:pos="0" w:leader="none"/>
          <w:tab w:val="left" w:pos="255" w:leader="none"/>
        </w:tabs>
        <w:rPr>
          <w:rFonts w:ascii="宋体" w:hAnsi="宋体"/>
          <w:b/>
          <w:color w:val="auto"/>
          <w:sz w:val="24"/>
          <w:szCs w:val="24"/>
          <w:highlight w:val="none"/>
        </w:rPr>
      </w:pPr>
      <w:r/>
      <w:bookmarkStart w:id="33" w:name="_Hlk151555369"/>
      <w:r>
        <w:rPr>
          <w:rFonts w:hint="eastAsia" w:ascii="宋体" w:hAnsi="宋体"/>
          <w:b/>
          <w:color w:val="auto"/>
          <w:sz w:val="24"/>
          <w:szCs w:val="24"/>
          <w:highlight w:val="none"/>
        </w:rPr>
        <w:t xml:space="preserve">（3）符合条件</w:t>
      </w:r>
      <w:bookmarkEnd w:id="33"/>
      <w:r/>
    </w:p>
    <w:p>
      <w:pPr>
        <w:pStyle w:val="1015"/>
        <w:rPr>
          <w:rFonts w:ascii="宋体" w:hAnsi="宋体"/>
          <w:bCs/>
          <w:color w:val="auto"/>
          <w:sz w:val="24"/>
          <w:szCs w:val="24"/>
          <w:highlight w:val="none"/>
        </w:rPr>
      </w:pPr>
      <w:r>
        <w:rPr>
          <w:rFonts w:hint="eastAsia" w:ascii="宋体" w:hAnsi="宋体"/>
          <w:bCs/>
          <w:color w:val="auto"/>
          <w:sz w:val="24"/>
          <w:szCs w:val="24"/>
          <w:highlight w:val="none"/>
        </w:rPr>
        <w:t xml:space="preserve">①响应函</w:t>
      </w:r>
      <w:r/>
    </w:p>
    <w:p>
      <w:pPr>
        <w:pStyle w:val="1015"/>
        <w:rPr>
          <w:rFonts w:ascii="宋体" w:hAnsi="宋体"/>
          <w:bCs/>
          <w:color w:val="auto"/>
          <w:sz w:val="24"/>
          <w:szCs w:val="24"/>
          <w:highlight w:val="none"/>
        </w:rPr>
      </w:pPr>
      <w:r>
        <w:rPr>
          <w:rFonts w:hint="eastAsia" w:ascii="宋体" w:hAnsi="宋体"/>
          <w:bCs/>
          <w:color w:val="auto"/>
          <w:sz w:val="24"/>
          <w:szCs w:val="24"/>
          <w:highlight w:val="none"/>
        </w:rPr>
        <w:t xml:space="preserve">②明细报价表</w:t>
      </w:r>
      <w:r/>
    </w:p>
    <w:p>
      <w:pPr>
        <w:pStyle w:val="1015"/>
        <w:rPr>
          <w:rFonts w:ascii="宋体" w:hAnsi="宋体"/>
          <w:bCs/>
          <w:color w:val="auto"/>
          <w:sz w:val="24"/>
          <w:szCs w:val="24"/>
          <w:highlight w:val="none"/>
        </w:rPr>
      </w:pPr>
      <w:r>
        <w:rPr>
          <w:rFonts w:hint="eastAsia" w:ascii="宋体" w:hAnsi="宋体"/>
          <w:bCs/>
          <w:color w:val="auto"/>
          <w:sz w:val="24"/>
          <w:szCs w:val="24"/>
          <w:highlight w:val="none"/>
        </w:rPr>
        <w:t xml:space="preserve">③项目技术要求偏离表</w:t>
      </w:r>
      <w:r/>
    </w:p>
    <w:p>
      <w:pPr>
        <w:ind w:left="420"/>
        <w:jc w:val="left"/>
        <w:spacing w:line="360" w:lineRule="auto"/>
        <w:tabs>
          <w:tab w:val="left" w:pos="0" w:leader="none"/>
          <w:tab w:val="left" w:pos="255" w:leader="none"/>
        </w:tabs>
        <w:rPr>
          <w:rFonts w:ascii="宋体" w:hAnsi="宋体"/>
          <w:b/>
          <w:color w:val="auto"/>
          <w:sz w:val="24"/>
          <w:szCs w:val="24"/>
          <w:highlight w:val="none"/>
        </w:rPr>
      </w:pPr>
      <w:r>
        <w:rPr>
          <w:rFonts w:hint="eastAsia" w:ascii="宋体" w:hAnsi="宋体"/>
          <w:b/>
          <w:color w:val="auto"/>
          <w:sz w:val="24"/>
          <w:szCs w:val="24"/>
          <w:highlight w:val="none"/>
        </w:rPr>
        <w:t xml:space="preserve">（4）价格折扣文件</w:t>
      </w:r>
      <w:r/>
    </w:p>
    <w:p>
      <w:pPr>
        <w:ind w:left="420"/>
        <w:jc w:val="left"/>
        <w:spacing w:line="360" w:lineRule="auto"/>
        <w:tabs>
          <w:tab w:val="left" w:pos="0" w:leader="none"/>
          <w:tab w:val="left" w:pos="255" w:leader="none"/>
        </w:tabs>
        <w:rPr>
          <w:rFonts w:ascii="宋体" w:hAnsi="宋体"/>
          <w:b/>
          <w:color w:val="auto"/>
          <w:sz w:val="24"/>
          <w:szCs w:val="24"/>
          <w:highlight w:val="none"/>
        </w:rPr>
      </w:pPr>
      <w:r>
        <w:rPr>
          <w:rFonts w:hint="eastAsia" w:ascii="宋体" w:hAnsi="宋体"/>
          <w:b/>
          <w:color w:val="auto"/>
          <w:sz w:val="24"/>
          <w:szCs w:val="24"/>
          <w:highlight w:val="none"/>
        </w:rPr>
        <w:t xml:space="preserve">（5）技术商务部分评分导读表（格式）</w:t>
      </w:r>
      <w:r>
        <w:rPr>
          <w:rFonts w:hint="eastAsia" w:ascii="宋体" w:hAnsi="宋体"/>
          <w:b/>
          <w:color w:val="auto"/>
          <w:sz w:val="24"/>
          <w:szCs w:val="24"/>
          <w:highlight w:val="none"/>
          <w:lang w:val="zh-CN"/>
        </w:rPr>
        <w:t xml:space="preserve">：</w:t>
      </w:r>
      <w:r/>
    </w:p>
    <w:p>
      <w:pPr>
        <w:ind w:left="420"/>
        <w:jc w:val="left"/>
        <w:spacing w:line="360" w:lineRule="auto"/>
        <w:tabs>
          <w:tab w:val="left" w:pos="0" w:leader="none"/>
          <w:tab w:val="left" w:pos="255" w:leader="none"/>
        </w:tabs>
        <w:rPr>
          <w:rFonts w:ascii="宋体" w:hAnsi="宋体"/>
          <w:b/>
          <w:color w:val="auto"/>
          <w:sz w:val="24"/>
          <w:szCs w:val="24"/>
          <w:highlight w:val="none"/>
        </w:rPr>
      </w:pPr>
      <w:r>
        <w:rPr>
          <w:rFonts w:hint="eastAsia" w:ascii="宋体" w:hAnsi="宋体"/>
          <w:b/>
          <w:color w:val="auto"/>
          <w:sz w:val="24"/>
          <w:szCs w:val="24"/>
          <w:highlight w:val="none"/>
        </w:rPr>
        <w:t xml:space="preserve">（6）</w:t>
      </w:r>
      <w:r>
        <w:rPr>
          <w:rFonts w:hint="eastAsia" w:ascii="宋体" w:hAnsi="宋体"/>
          <w:b/>
          <w:color w:val="auto"/>
          <w:sz w:val="24"/>
          <w:szCs w:val="24"/>
          <w:highlight w:val="none"/>
          <w:lang w:val="zh-CN"/>
        </w:rPr>
        <w:t xml:space="preserve">服务内容的详细说明及服务方案（格式自拟）：</w:t>
      </w:r>
      <w:r/>
    </w:p>
    <w:p>
      <w:pPr>
        <w:ind w:left="420"/>
        <w:jc w:val="left"/>
        <w:spacing w:line="360" w:lineRule="auto"/>
        <w:tabs>
          <w:tab w:val="left" w:pos="0" w:leader="none"/>
          <w:tab w:val="left" w:pos="255" w:leader="none"/>
        </w:tabs>
        <w:rPr>
          <w:rFonts w:ascii="宋体" w:hAnsi="宋体"/>
          <w:b/>
          <w:color w:val="auto"/>
          <w:sz w:val="24"/>
          <w:szCs w:val="24"/>
          <w:highlight w:val="none"/>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rPr>
        <w:t xml:space="preserve">7</w:t>
      </w:r>
      <w:r>
        <w:rPr>
          <w:rFonts w:hint="eastAsia" w:ascii="宋体" w:hAnsi="宋体"/>
          <w:b/>
          <w:color w:val="auto"/>
          <w:sz w:val="24"/>
          <w:szCs w:val="24"/>
          <w:highlight w:val="none"/>
          <w:lang w:val="zh-CN"/>
        </w:rPr>
        <w:t xml:space="preserve">）项目人员配置清单（格式）：</w:t>
      </w:r>
      <w:r/>
    </w:p>
    <w:p>
      <w:pPr>
        <w:ind w:left="420"/>
        <w:spacing w:line="360" w:lineRule="auto"/>
        <w:tabs>
          <w:tab w:val="left" w:pos="0" w:leader="none"/>
          <w:tab w:val="left" w:pos="255" w:leader="none"/>
        </w:tabs>
        <w:rPr>
          <w:rFonts w:ascii="宋体" w:hAnsi="宋体"/>
          <w:color w:val="auto"/>
          <w:sz w:val="24"/>
          <w:szCs w:val="24"/>
          <w:highlight w:val="none"/>
        </w:rPr>
      </w:pPr>
      <w:r>
        <w:rPr>
          <w:rFonts w:hint="eastAsia" w:ascii="宋体" w:hAnsi="宋体"/>
          <w:b/>
          <w:color w:val="auto"/>
          <w:sz w:val="24"/>
          <w:szCs w:val="24"/>
          <w:highlight w:val="none"/>
        </w:rPr>
        <w:t xml:space="preserve">（8）其他相关材料；</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上述（2）-（3）内容供应商应按要求提供有效证明材料，否则报价无效，相关材料格式见“第六章 响应文件（格式）”。若未提供</w:t>
      </w:r>
      <w:r>
        <w:rPr>
          <w:rFonts w:hint="eastAsia" w:ascii="宋体" w:hAnsi="宋体"/>
          <w:bCs/>
          <w:color w:val="auto"/>
          <w:sz w:val="24"/>
          <w:szCs w:val="24"/>
          <w:highlight w:val="none"/>
          <w:lang w:val="zh-CN"/>
        </w:rPr>
        <w:t xml:space="preserve">被授权代表授权委托书及社保证明的，视为供应商法定代表人亲自参加。</w:t>
      </w:r>
      <w:r>
        <w:rPr>
          <w:rFonts w:hint="eastAsia" w:ascii="宋体" w:hAnsi="宋体"/>
          <w:bCs/>
          <w:color w:val="auto"/>
          <w:sz w:val="24"/>
          <w:szCs w:val="24"/>
          <w:highlight w:val="none"/>
        </w:rPr>
        <w:t xml:space="preserve">如上述证明文件遇年检、换证，则必须提供法定年检、换证单位出具的有效证明。如上述“（2）资格条件”第③、</w:t>
      </w:r>
      <w:r>
        <w:rPr>
          <w:rFonts w:hint="eastAsia" w:ascii="宋体" w:hAnsi="宋体"/>
          <w:bCs/>
          <w:color w:val="auto"/>
          <w:sz w:val="24"/>
          <w:szCs w:val="24"/>
          <w:highlight w:val="none"/>
        </w:rPr>
        <w:t xml:space="preserve">⑥、⑦项，依法免税或不需要缴纳社会保障资金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如采购的项目中有多个采购包，供应商应当按照所参与的采购包提交相应的响应文件资料，不同采购包的响应文件资料不得混用且不作为评标依据。供应商在响应文件中提交的以人事代理、控股子公司等代收代缴形式缴纳社保的证明，属于无效证明文件。</w:t>
      </w:r>
      <w:bookmarkEnd w:id="25"/>
      <w:bookmarkEnd w:id="26"/>
      <w:r/>
    </w:p>
    <w:p>
      <w:pPr>
        <w:ind w:firstLine="482"/>
        <w:spacing w:line="360" w:lineRule="auto"/>
        <w:rPr>
          <w:rFonts w:ascii="宋体" w:hAnsi="宋体"/>
          <w:b/>
          <w:color w:val="auto"/>
          <w:sz w:val="24"/>
          <w:szCs w:val="24"/>
          <w:highlight w:val="none"/>
        </w:rPr>
      </w:pPr>
      <w:r/>
      <w:bookmarkStart w:id="34" w:name="OLE_LINK219"/>
      <w:r>
        <w:rPr>
          <w:rFonts w:hint="eastAsia" w:ascii="宋体" w:hAnsi="宋体"/>
          <w:b/>
          <w:color w:val="auto"/>
          <w:sz w:val="24"/>
          <w:szCs w:val="24"/>
          <w:highlight w:val="none"/>
        </w:rPr>
        <w:t xml:space="preserve">10、响应报价</w:t>
      </w:r>
      <w:bookmarkEnd w:id="34"/>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zh-CN"/>
        </w:rPr>
        <w:t xml:space="preserve">所有采购活动均以人民币报价。供应商的报价应遵守《中华人民共和国价格法》。同时，根据《中华人民共和国政府采购法》第二条的规定，为保证公平竞争，如有货物主体部分的赠与行为，其报价将被认定为无效报价。</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10.2 报价应包含完成本服务项目发生的所有含税费用、支付给员工的工资和国家强制缴纳的各种社会保障资金，以及供应商认为需要的其他费用等。</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供应商所报的各分项单价在合同履行过程中是固定不变的，不得以任何理由予以变更。任何包含价格调整要求的报价，将被认定为无效报价。</w:t>
      </w:r>
      <w:r/>
    </w:p>
    <w:p>
      <w:pPr>
        <w:ind w:firstLine="480"/>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10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每种服务及货物只能有一个报价。采购人不接受具有附加条件的报价。</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11、响应文件的制作</w:t>
      </w:r>
      <w:r/>
    </w:p>
    <w:p>
      <w:pPr>
        <w:ind w:firstLine="480"/>
        <w:jc w:val="left"/>
        <w:spacing w:line="360" w:lineRule="auto"/>
        <w:rPr>
          <w:rFonts w:ascii="宋体" w:hAnsi="宋体"/>
          <w:bCs/>
          <w:color w:val="auto"/>
          <w:sz w:val="24"/>
          <w:szCs w:val="24"/>
          <w:highlight w:val="none"/>
        </w:rPr>
      </w:pPr>
      <w:r/>
      <w:bookmarkStart w:id="35" w:name="_Hlk131926068"/>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供应商所使用的计量单位应为国家法定计量单位。</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如供应商对磋商文件的相关内容有不同意见的偏离，应在响应文件中详细说明偏离的情况，如未明确作出偏离情况的说明，则视同</w:t>
      </w:r>
      <w:r>
        <w:rPr>
          <w:rFonts w:hint="eastAsia" w:ascii="宋体" w:hAnsi="宋体"/>
          <w:bCs/>
          <w:color w:val="auto"/>
          <w:sz w:val="24"/>
          <w:szCs w:val="24"/>
          <w:highlight w:val="none"/>
        </w:rPr>
        <w:t xml:space="preserve">供应商承诺实质性响应磋商文件的要求。</w:t>
      </w:r>
      <w:r/>
    </w:p>
    <w:p>
      <w:pPr>
        <w:ind w:firstLine="480"/>
        <w:jc w:val="left"/>
        <w:spacing w:line="360" w:lineRule="auto"/>
        <w:rPr>
          <w:rFonts w:ascii="宋体" w:hAnsi="宋体"/>
          <w:bCs/>
          <w:color w:val="auto"/>
          <w:sz w:val="24"/>
          <w:szCs w:val="24"/>
          <w:highlight w:val="none"/>
        </w:rPr>
      </w:pPr>
      <w:r/>
      <w:bookmarkStart w:id="36"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不因响应文件的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而否决报价。本磋商文件中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应当在</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自负。</w:t>
      </w:r>
      <w:r>
        <w:rPr>
          <w:rFonts w:hint="eastAsia" w:ascii="宋体" w:hAnsi="宋体"/>
          <w:bCs/>
          <w:color w:val="auto"/>
          <w:sz w:val="24"/>
          <w:szCs w:val="24"/>
          <w:highlight w:val="none"/>
          <w:lang w:val="zh-CN"/>
        </w:rPr>
        <w:t xml:space="preserve">若供应商提交的响应文件格式与磋商文件中的不一致，但必要的评审所需信息不影响评标判断的，视为符合要求，否则报价无效。</w:t>
      </w:r>
      <w:r/>
    </w:p>
    <w:p>
      <w:pPr>
        <w:ind w:firstLine="480"/>
        <w:jc w:val="left"/>
        <w:spacing w:line="360" w:lineRule="auto"/>
        <w:rPr>
          <w:color w:val="auto"/>
          <w:highlight w:val="none"/>
        </w:rPr>
      </w:pPr>
      <w:r/>
      <w:bookmarkStart w:id="37" w:name="_Hlk144474413"/>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供应商提交的响应文件中加盖的公章，均视为经供应商法定代表人同意或授权。</w:t>
      </w:r>
      <w:bookmarkEnd w:id="37"/>
      <w:r>
        <w:rPr>
          <w:rFonts w:hint="eastAsia" w:ascii="宋体" w:hAnsi="宋体"/>
          <w:bCs/>
          <w:color w:val="auto"/>
          <w:sz w:val="24"/>
          <w:szCs w:val="24"/>
          <w:highlight w:val="none"/>
        </w:rPr>
        <w:t xml:space="preserve"> </w:t>
      </w:r>
      <w:bookmarkEnd w:id="36"/>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w:t>
      </w:r>
      <w:bookmarkStart w:id="38" w:name="_Hlk131926146"/>
      <w:r>
        <w:rPr>
          <w:rFonts w:ascii="宋体" w:hAnsi="宋体"/>
          <w:b/>
          <w:color w:val="auto"/>
          <w:sz w:val="24"/>
          <w:szCs w:val="24"/>
          <w:highlight w:val="none"/>
        </w:rPr>
        <w:t xml:space="preserve">电子</w:t>
      </w:r>
      <w:r>
        <w:rPr>
          <w:rFonts w:hint="eastAsia" w:ascii="宋体" w:hAnsi="宋体"/>
          <w:b/>
          <w:color w:val="auto"/>
          <w:sz w:val="24"/>
          <w:szCs w:val="24"/>
          <w:highlight w:val="none"/>
        </w:rPr>
        <w:t xml:space="preserve">响应文件</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12.1 </w:t>
      </w:r>
      <w:r>
        <w:rPr>
          <w:rFonts w:hint="eastAsia" w:ascii="宋体" w:hAnsi="宋体"/>
          <w:bCs/>
          <w:color w:val="auto"/>
          <w:sz w:val="24"/>
          <w:szCs w:val="24"/>
          <w:highlight w:val="none"/>
        </w:rPr>
        <w:t xml:space="preserve">供应商应通过响应文件制作软件使用数字认证证书对响应文件进行合成、电子签章及加密打包，并</w:t>
      </w:r>
      <w:r>
        <w:rPr>
          <w:rFonts w:ascii="宋体" w:hAnsi="宋体"/>
          <w:bCs/>
          <w:color w:val="auto"/>
          <w:sz w:val="24"/>
          <w:szCs w:val="24"/>
          <w:highlight w:val="none"/>
        </w:rPr>
        <w:t xml:space="preserve">在</w:t>
      </w:r>
      <w:r>
        <w:rPr>
          <w:rFonts w:hint="eastAsia" w:ascii="宋体" w:hAnsi="宋体"/>
          <w:bCs/>
          <w:color w:val="auto"/>
          <w:sz w:val="24"/>
          <w:szCs w:val="24"/>
          <w:highlight w:val="none"/>
        </w:rPr>
        <w:t xml:space="preserve">磋商文件</w:t>
      </w:r>
      <w:r>
        <w:rPr>
          <w:rFonts w:ascii="宋体" w:hAnsi="宋体"/>
          <w:bCs/>
          <w:color w:val="auto"/>
          <w:sz w:val="24"/>
          <w:szCs w:val="24"/>
          <w:highlight w:val="none"/>
        </w:rPr>
        <w:t xml:space="preserve">规定的截止时间前，通过</w:t>
      </w:r>
      <w:r>
        <w:rPr>
          <w:rFonts w:hint="eastAsia" w:ascii="宋体" w:hAnsi="宋体"/>
          <w:bCs/>
          <w:color w:val="auto"/>
          <w:sz w:val="24"/>
          <w:szCs w:val="24"/>
          <w:highlight w:val="none"/>
        </w:rPr>
        <w:t xml:space="preserve">响应文件</w:t>
      </w:r>
      <w:r>
        <w:rPr>
          <w:rFonts w:ascii="宋体" w:hAnsi="宋体"/>
          <w:bCs/>
          <w:color w:val="auto"/>
          <w:sz w:val="24"/>
          <w:szCs w:val="24"/>
          <w:highlight w:val="none"/>
        </w:rPr>
        <w:t xml:space="preserve">编制软件或登录“苏采云”系统在规定时间内完成提交，时间以电子交易平台时间为准。</w:t>
      </w:r>
      <w:r>
        <w:rPr>
          <w:rFonts w:hint="eastAsia" w:ascii="宋体" w:hAnsi="宋体"/>
          <w:bCs/>
          <w:color w:val="auto"/>
          <w:sz w:val="24"/>
          <w:szCs w:val="24"/>
          <w:highlight w:val="none"/>
        </w:rPr>
        <w:t xml:space="preserve">电子响应文件将作为本项目采购活动的电子档案保存，电子档案与纸档案具有同等效力。</w:t>
      </w:r>
      <w:bookmarkStart w:id="39" w:name="_Hlk131934421"/>
      <w:r>
        <w:rPr>
          <w:rFonts w:hint="eastAsia" w:ascii="宋体" w:hAnsi="宋体"/>
          <w:bCs/>
          <w:color w:val="auto"/>
          <w:sz w:val="24"/>
          <w:szCs w:val="24"/>
          <w:highlight w:val="none"/>
        </w:rPr>
        <w:t xml:space="preserve">具体流程如下：</w:t>
      </w:r>
      <w:r>
        <w:rPr>
          <w:rFonts w:hint="eastAsia" w:ascii="宋体" w:hAnsi="宋体"/>
          <w:bCs/>
          <w:color w:val="auto"/>
          <w:sz w:val="24"/>
          <w:szCs w:val="24"/>
          <w:highlight w:val="none"/>
          <w:lang w:val="zh-CN"/>
        </w:rPr>
        <w:t xml:space="preserve">将后缀名为“.kedt”的磋商文件导入政府采购客户端工具--制作响应文件--导出加密的响应文件(后缀名为zip) --通过“苏采云”系统上传响应文件。（详见《江苏省政府采购交易系统（苏采云）供应商操作手册》）</w:t>
      </w:r>
      <w:bookmarkEnd w:id="39"/>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12.2 截止时间以后传输的</w:t>
      </w:r>
      <w:r>
        <w:rPr>
          <w:rFonts w:hint="eastAsia" w:ascii="宋体" w:hAnsi="宋体"/>
          <w:bCs/>
          <w:color w:val="auto"/>
          <w:sz w:val="24"/>
          <w:szCs w:val="24"/>
          <w:highlight w:val="none"/>
        </w:rPr>
        <w:t xml:space="preserve">响应文件</w:t>
      </w:r>
      <w:r>
        <w:rPr>
          <w:rFonts w:ascii="宋体" w:hAnsi="宋体"/>
          <w:bCs/>
          <w:color w:val="auto"/>
          <w:sz w:val="24"/>
          <w:szCs w:val="24"/>
          <w:highlight w:val="none"/>
        </w:rPr>
        <w:t xml:space="preserve">，“苏采云”平台将拒绝接收。</w:t>
      </w:r>
      <w:r>
        <w:rPr>
          <w:rFonts w:hint="eastAsia" w:ascii="宋体" w:hAnsi="宋体"/>
          <w:bCs/>
          <w:color w:val="auto"/>
          <w:sz w:val="24"/>
          <w:szCs w:val="24"/>
          <w:highlight w:val="none"/>
        </w:rPr>
        <w:t xml:space="preserve">供应商</w:t>
      </w:r>
      <w:r>
        <w:rPr>
          <w:rFonts w:ascii="宋体" w:hAnsi="宋体"/>
          <w:bCs/>
          <w:color w:val="auto"/>
          <w:sz w:val="24"/>
          <w:szCs w:val="24"/>
          <w:highlight w:val="none"/>
        </w:rPr>
        <w:t xml:space="preserve">应充分考虑网络环境、网络带宽等风险因素。 </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12.3 提交完成后至解密前，</w:t>
      </w:r>
      <w:r>
        <w:rPr>
          <w:rFonts w:hint="eastAsia" w:ascii="宋体" w:hAnsi="宋体"/>
          <w:bCs/>
          <w:color w:val="auto"/>
          <w:sz w:val="24"/>
          <w:szCs w:val="24"/>
          <w:highlight w:val="none"/>
        </w:rPr>
        <w:t xml:space="preserve">供应商</w:t>
      </w:r>
      <w:r>
        <w:rPr>
          <w:rFonts w:ascii="宋体" w:hAnsi="宋体"/>
          <w:bCs/>
          <w:color w:val="auto"/>
          <w:sz w:val="24"/>
          <w:szCs w:val="24"/>
          <w:highlight w:val="none"/>
        </w:rPr>
        <w:t xml:space="preserve">不能对加密</w:t>
      </w:r>
      <w:r>
        <w:rPr>
          <w:rFonts w:hint="eastAsia" w:ascii="宋体" w:hAnsi="宋体"/>
          <w:bCs/>
          <w:color w:val="auto"/>
          <w:sz w:val="24"/>
          <w:szCs w:val="24"/>
          <w:highlight w:val="none"/>
        </w:rPr>
        <w:t xml:space="preserve">响应文件</w:t>
      </w:r>
      <w:r>
        <w:rPr>
          <w:rFonts w:ascii="宋体" w:hAnsi="宋体"/>
          <w:bCs/>
          <w:color w:val="auto"/>
          <w:sz w:val="24"/>
          <w:szCs w:val="24"/>
          <w:highlight w:val="none"/>
        </w:rPr>
        <w:t xml:space="preserve">时所使用的数字认证证书进行更新、续费，否则可能引起的</w:t>
      </w:r>
      <w:r>
        <w:rPr>
          <w:rFonts w:hint="eastAsia" w:ascii="宋体" w:hAnsi="宋体"/>
          <w:bCs/>
          <w:color w:val="auto"/>
          <w:sz w:val="24"/>
          <w:szCs w:val="24"/>
          <w:highlight w:val="none"/>
        </w:rPr>
        <w:t xml:space="preserve">响应文件</w:t>
      </w:r>
      <w:r>
        <w:rPr>
          <w:rFonts w:ascii="宋体" w:hAnsi="宋体"/>
          <w:bCs/>
          <w:color w:val="auto"/>
          <w:sz w:val="24"/>
          <w:szCs w:val="24"/>
          <w:highlight w:val="none"/>
        </w:rPr>
        <w:t xml:space="preserve">解密失败等相关后果由</w:t>
      </w:r>
      <w:r>
        <w:rPr>
          <w:rFonts w:hint="eastAsia" w:ascii="宋体" w:hAnsi="宋体"/>
          <w:bCs/>
          <w:color w:val="auto"/>
          <w:sz w:val="24"/>
          <w:szCs w:val="24"/>
          <w:highlight w:val="none"/>
        </w:rPr>
        <w:t xml:space="preserve">供应商</w:t>
      </w:r>
      <w:r>
        <w:rPr>
          <w:rFonts w:ascii="宋体" w:hAnsi="宋体"/>
          <w:bCs/>
          <w:color w:val="auto"/>
          <w:sz w:val="24"/>
          <w:szCs w:val="24"/>
          <w:highlight w:val="none"/>
        </w:rPr>
        <w:t xml:space="preserve">自行承担</w:t>
      </w:r>
      <w:r>
        <w:rPr>
          <w:rFonts w:ascii="宋体" w:hAnsi="宋体"/>
          <w:b/>
          <w:color w:val="auto"/>
          <w:sz w:val="24"/>
          <w:szCs w:val="24"/>
          <w:highlight w:val="none"/>
        </w:rPr>
        <w:t xml:space="preserve">（友情提示：若</w:t>
      </w:r>
      <w:r>
        <w:rPr>
          <w:rFonts w:hint="eastAsia" w:ascii="宋体" w:hAnsi="宋体"/>
          <w:b/>
          <w:color w:val="auto"/>
          <w:sz w:val="24"/>
          <w:szCs w:val="24"/>
          <w:highlight w:val="none"/>
        </w:rPr>
        <w:t xml:space="preserve">供应商</w:t>
      </w:r>
      <w:r>
        <w:rPr>
          <w:rFonts w:ascii="宋体" w:hAnsi="宋体"/>
          <w:b/>
          <w:color w:val="auto"/>
          <w:sz w:val="24"/>
          <w:szCs w:val="24"/>
          <w:highlight w:val="none"/>
        </w:rPr>
        <w:t xml:space="preserve">已领取副锁（含多把副锁）请注意正副锁的使用差别）</w:t>
      </w:r>
      <w:r>
        <w:rPr>
          <w:rFonts w:ascii="宋体" w:hAnsi="宋体"/>
          <w:bCs/>
          <w:color w:val="auto"/>
          <w:sz w:val="24"/>
          <w:szCs w:val="24"/>
          <w:highlight w:val="none"/>
        </w:rPr>
        <w:t xml:space="preserve">。 </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12.4 因不可抗力事件造成的响应文件的损坏、丢失的，</w:t>
      </w:r>
      <w:r>
        <w:rPr>
          <w:rFonts w:hint="eastAsia" w:ascii="宋体" w:hAnsi="宋体"/>
          <w:bCs/>
          <w:color w:val="auto"/>
          <w:sz w:val="24"/>
          <w:szCs w:val="24"/>
          <w:highlight w:val="none"/>
        </w:rPr>
        <w:t xml:space="preserve">采购代理机构</w:t>
      </w:r>
      <w:r>
        <w:rPr>
          <w:rFonts w:ascii="宋体" w:hAnsi="宋体"/>
          <w:bCs/>
          <w:color w:val="auto"/>
          <w:sz w:val="24"/>
          <w:szCs w:val="24"/>
          <w:highlight w:val="none"/>
        </w:rPr>
        <w:t xml:space="preserve">不承担责任。 </w:t>
      </w:r>
      <w:r/>
    </w:p>
    <w:p>
      <w:pPr>
        <w:ind w:firstLine="482"/>
        <w:spacing w:line="360" w:lineRule="auto"/>
        <w:rPr>
          <w:rFonts w:ascii="宋体" w:hAnsi="宋体"/>
          <w:b/>
          <w:color w:val="auto"/>
          <w:sz w:val="24"/>
          <w:szCs w:val="24"/>
          <w:highlight w:val="none"/>
        </w:rPr>
      </w:pPr>
      <w:r/>
      <w:bookmarkStart w:id="40" w:name="OLE_LINK124"/>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、响应文件的拒收：在磋商文件要求的提交响应文件截止时间之后提交的响应文件将被拒收</w:t>
      </w:r>
      <w:bookmarkEnd w:id="38"/>
      <w:r>
        <w:rPr>
          <w:rFonts w:hint="eastAsia" w:ascii="宋体" w:hAnsi="宋体"/>
          <w:bCs/>
          <w:color w:val="auto"/>
          <w:sz w:val="24"/>
          <w:szCs w:val="24"/>
          <w:highlight w:val="none"/>
        </w:rPr>
        <w:t xml:space="preserve">。</w:t>
      </w:r>
      <w:bookmarkEnd w:id="40"/>
      <w:r/>
      <w:bookmarkEnd w:id="35"/>
      <w:r/>
    </w:p>
    <w:p>
      <w:pPr>
        <w:ind w:firstLine="482"/>
        <w:spacing w:line="360" w:lineRule="auto"/>
        <w:rPr>
          <w:rFonts w:ascii="宋体" w:hAnsi="宋体"/>
          <w:b/>
          <w:color w:val="auto"/>
          <w:sz w:val="24"/>
          <w:szCs w:val="24"/>
          <w:highlight w:val="none"/>
        </w:rPr>
      </w:pPr>
      <w:r/>
      <w:bookmarkStart w:id="41" w:name="OLE_LINK94"/>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、响应文件的真实性</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供应商（含成交供应商）应对其响应文件中提供的所有材料的真实性负责。</w:t>
      </w:r>
      <w:r/>
    </w:p>
    <w:p>
      <w:pPr>
        <w:ind w:firstLine="480"/>
        <w:spacing w:line="360" w:lineRule="auto"/>
        <w:rPr>
          <w:rFonts w:ascii="宋体" w:hAnsi="宋体"/>
          <w:b/>
          <w:color w:val="auto"/>
          <w:sz w:val="24"/>
          <w:szCs w:val="24"/>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42" w:name="OLE_LINK227"/>
      <w:r>
        <w:rPr>
          <w:rFonts w:hint="eastAsia" w:ascii="宋体" w:hAnsi="宋体"/>
          <w:color w:val="auto"/>
          <w:sz w:val="24"/>
          <w:szCs w:val="28"/>
          <w:highlight w:val="none"/>
        </w:rPr>
        <w:t xml:space="preserve">如</w:t>
      </w:r>
      <w:bookmarkStart w:id="43" w:name="OLE_LINK45"/>
      <w:r>
        <w:rPr>
          <w:rFonts w:hint="eastAsia" w:ascii="宋体" w:hAnsi="宋体"/>
          <w:color w:val="auto"/>
          <w:sz w:val="24"/>
          <w:szCs w:val="28"/>
          <w:highlight w:val="none"/>
        </w:rPr>
        <w:t xml:space="preserve">采购人、</w:t>
      </w:r>
      <w:bookmarkEnd w:id="43"/>
      <w:r>
        <w:rPr>
          <w:rFonts w:hint="eastAsia" w:ascii="宋体" w:hAnsi="宋体"/>
          <w:bCs/>
          <w:color w:val="auto"/>
          <w:sz w:val="24"/>
          <w:szCs w:val="24"/>
          <w:highlight w:val="none"/>
        </w:rPr>
        <w:t xml:space="preserve">采购代理机构、评标委员会</w:t>
      </w:r>
      <w:r>
        <w:rPr>
          <w:rFonts w:hint="eastAsia" w:ascii="宋体" w:hAnsi="宋体"/>
          <w:color w:val="auto"/>
          <w:sz w:val="24"/>
          <w:szCs w:val="28"/>
          <w:highlight w:val="none"/>
        </w:rPr>
        <w:t xml:space="preserve">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磋商文件的要求。</w:t>
      </w:r>
      <w:bookmarkEnd w:id="41"/>
      <w:r/>
      <w:bookmarkEnd w:id="42"/>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15、响应文件的有效期</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响应文件的有效期为报价截止之日起的60天（含提交当日）。在特殊情况下，采购人、采购代理机构可与供应商协商延长响应文件的有效期。</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16、响应文件的退还</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 提交响应文件截止时间后，采购人和采购代理机构对所有供应商的响应文件一律不予退还。</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17、响应文件的</w:t>
      </w:r>
      <w:bookmarkStart w:id="44" w:name="OLE_LINK260"/>
      <w:r>
        <w:rPr>
          <w:rFonts w:hint="eastAsia" w:ascii="宋体" w:hAnsi="宋体"/>
          <w:b/>
          <w:color w:val="auto"/>
          <w:sz w:val="24"/>
          <w:szCs w:val="24"/>
          <w:highlight w:val="none"/>
        </w:rPr>
        <w:t xml:space="preserve">补充、修改或者撤回</w:t>
      </w:r>
      <w:bookmarkEnd w:id="44"/>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17.1</w:t>
      </w:r>
      <w:r>
        <w:rPr>
          <w:rFonts w:hint="eastAsia" w:ascii="宋体" w:hAnsi="宋体"/>
          <w:bCs/>
          <w:color w:val="auto"/>
          <w:sz w:val="24"/>
          <w:szCs w:val="24"/>
          <w:highlight w:val="none"/>
          <w:lang w:val="zh-CN"/>
        </w:rPr>
        <w:t xml:space="preserve"> 供应商在提交响应文件截止时间前，可以对所递交的响应文件进行补充、修改或撤回。补充、修改的内容应当按照磋商文件要求签署、盖章后，并作为响应文件的组成部分。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w:t>
      </w:r>
      <w:bookmarkStart w:id="45" w:name="OLE_LINK228"/>
      <w:r>
        <w:rPr>
          <w:rFonts w:hint="eastAsia" w:ascii="宋体" w:hAnsi="宋体"/>
          <w:bCs/>
          <w:color w:val="auto"/>
          <w:sz w:val="24"/>
          <w:szCs w:val="24"/>
          <w:highlight w:val="none"/>
        </w:rPr>
        <w:t xml:space="preserve">在提交响应文件截止时间之后，</w:t>
      </w:r>
      <w:bookmarkStart w:id="46" w:name="_Hlk128404679"/>
      <w:r>
        <w:rPr>
          <w:rFonts w:hint="eastAsia" w:ascii="宋体" w:hAnsi="宋体"/>
          <w:bCs/>
          <w:color w:val="auto"/>
          <w:sz w:val="24"/>
          <w:szCs w:val="24"/>
          <w:highlight w:val="none"/>
        </w:rPr>
        <w:t xml:space="preserve">采购人、采购代理机构、评标委员会不接受</w:t>
      </w:r>
      <w:bookmarkEnd w:id="46"/>
      <w:r>
        <w:rPr>
          <w:rFonts w:hint="eastAsia" w:ascii="宋体" w:hAnsi="宋体"/>
          <w:bCs/>
          <w:color w:val="auto"/>
          <w:sz w:val="24"/>
          <w:szCs w:val="24"/>
          <w:highlight w:val="none"/>
        </w:rPr>
        <w:t xml:space="preserve">供应商主动对其响应文件做任何</w:t>
      </w:r>
      <w:bookmarkStart w:id="47" w:name="OLE_LINK54"/>
      <w:r>
        <w:rPr>
          <w:rFonts w:hint="eastAsia" w:ascii="宋体" w:hAnsi="宋体"/>
          <w:bCs/>
          <w:color w:val="auto"/>
          <w:sz w:val="24"/>
          <w:szCs w:val="24"/>
          <w:highlight w:val="none"/>
        </w:rPr>
        <w:t xml:space="preserve">补充、</w:t>
      </w:r>
      <w:bookmarkEnd w:id="47"/>
      <w:r>
        <w:rPr>
          <w:rFonts w:hint="eastAsia" w:ascii="宋体" w:hAnsi="宋体"/>
          <w:bCs/>
          <w:color w:val="auto"/>
          <w:sz w:val="24"/>
          <w:szCs w:val="24"/>
          <w:highlight w:val="none"/>
        </w:rPr>
        <w:t xml:space="preserve">修改</w:t>
      </w:r>
      <w:bookmarkEnd w:id="45"/>
      <w:r>
        <w:rPr>
          <w:rFonts w:hint="eastAsia" w:ascii="宋体" w:hAnsi="宋体"/>
          <w:bCs/>
          <w:color w:val="auto"/>
          <w:sz w:val="24"/>
          <w:szCs w:val="24"/>
          <w:highlight w:val="none"/>
        </w:rPr>
        <w:t xml:space="preserve">。</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    18、</w:t>
      </w:r>
      <w:r>
        <w:rPr>
          <w:rFonts w:hint="eastAsia" w:ascii="宋体" w:hAnsi="宋体"/>
          <w:b/>
          <w:color w:val="auto"/>
          <w:sz w:val="24"/>
          <w:szCs w:val="24"/>
          <w:highlight w:val="none"/>
          <w:lang w:val="zh-CN"/>
        </w:rPr>
        <w:t xml:space="preserve">无效报价的确认</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供应商有下列情况之一者，其报价无效：</w:t>
      </w:r>
      <w:r/>
    </w:p>
    <w:p>
      <w:pPr>
        <w:spacing w:line="360" w:lineRule="auto"/>
        <w:tabs>
          <w:tab w:val="left" w:pos="42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cs="宋体"/>
          <w:color w:val="auto"/>
          <w:sz w:val="24"/>
          <w:szCs w:val="24"/>
          <w:highlight w:val="none"/>
        </w:rPr>
        <w:t xml:space="preserve">响应文件未按磋商文件</w:t>
      </w:r>
      <w:r>
        <w:rPr>
          <w:rFonts w:hint="eastAsia" w:ascii="宋体" w:hAnsi="宋体"/>
          <w:bCs/>
          <w:color w:val="auto"/>
          <w:sz w:val="24"/>
          <w:szCs w:val="24"/>
          <w:highlight w:val="none"/>
        </w:rPr>
        <w:t xml:space="preserve">给定格式如实填写（编写）的或未按</w:t>
      </w:r>
      <w:r>
        <w:rPr>
          <w:rFonts w:hint="eastAsia" w:ascii="宋体" w:hAnsi="宋体" w:cs="宋体"/>
          <w:color w:val="auto"/>
          <w:sz w:val="24"/>
          <w:szCs w:val="24"/>
          <w:highlight w:val="none"/>
        </w:rPr>
        <w:t xml:space="preserve">要求签署、盖章的；</w:t>
      </w:r>
      <w:r/>
    </w:p>
    <w:p>
      <w:pPr>
        <w:spacing w:line="360" w:lineRule="auto"/>
        <w:tabs>
          <w:tab w:val="left" w:pos="42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cs="宋体"/>
          <w:color w:val="auto"/>
          <w:sz w:val="24"/>
          <w:szCs w:val="24"/>
          <w:highlight w:val="none"/>
        </w:rPr>
        <w:t xml:space="preserve">不具备磋商文件报价邀请函中“供应商参加本次政府采购活动</w:t>
      </w:r>
      <w:r>
        <w:rPr>
          <w:rFonts w:hint="eastAsia" w:ascii="宋体" w:hAnsi="宋体" w:cs="宋体"/>
          <w:color w:val="auto"/>
          <w:sz w:val="24"/>
          <w:szCs w:val="24"/>
          <w:highlight w:val="none"/>
          <w:lang w:val="zh-CN"/>
        </w:rPr>
        <w:t xml:space="preserve">应具备的资格条件</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lang w:val="zh-CN"/>
        </w:rPr>
        <w:t xml:space="preserve">或未按磋商文件规定的要求提供资格证明文件的；</w:t>
      </w:r>
      <w:r/>
    </w:p>
    <w:p>
      <w:pPr>
        <w:spacing w:line="360" w:lineRule="auto"/>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bCs/>
          <w:color w:val="auto"/>
          <w:sz w:val="24"/>
          <w:szCs w:val="24"/>
          <w:highlight w:val="none"/>
        </w:rPr>
        <w:t xml:space="preserve">响应文件中有磋商文件未允许提供的选择性内容的；</w:t>
      </w:r>
      <w:r/>
    </w:p>
    <w:p>
      <w:pPr>
        <w:spacing w:line="360" w:lineRule="auto"/>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（4）响应文件含有采购人不能接受的附加条件的；</w:t>
      </w:r>
      <w:r/>
    </w:p>
    <w:p>
      <w:pPr>
        <w:spacing w:line="360" w:lineRule="auto"/>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报价</w:t>
      </w:r>
      <w:r>
        <w:rPr>
          <w:rFonts w:hint="eastAsia" w:ascii="宋体" w:hAnsi="宋体" w:cs="宋体"/>
          <w:color w:val="auto"/>
          <w:sz w:val="24"/>
          <w:szCs w:val="24"/>
          <w:highlight w:val="none"/>
        </w:rPr>
        <w:t xml:space="preserve">超过磋商文件中规定项目（或采购包）的预算金额或者最高限价的</w:t>
      </w:r>
      <w:r>
        <w:rPr>
          <w:rFonts w:hint="eastAsia" w:ascii="宋体" w:hAnsi="宋体" w:cs="宋体"/>
          <w:color w:val="auto"/>
          <w:sz w:val="24"/>
          <w:szCs w:val="24"/>
          <w:highlight w:val="none"/>
          <w:lang w:val="zh-CN"/>
        </w:rPr>
        <w:t xml:space="preserve">；</w:t>
      </w:r>
      <w:r/>
    </w:p>
    <w:p>
      <w:pPr>
        <w:spacing w:line="360" w:lineRule="auto"/>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响应文件报价</w:t>
      </w:r>
      <w:r>
        <w:rPr>
          <w:rFonts w:hint="eastAsia" w:ascii="宋体" w:hAnsi="宋体" w:cs="宋体"/>
          <w:color w:val="auto"/>
          <w:sz w:val="24"/>
          <w:szCs w:val="24"/>
          <w:highlight w:val="none"/>
        </w:rPr>
        <w:t xml:space="preserve">出现前后不一致，且供应商拒绝修正的；</w:t>
      </w:r>
      <w:r/>
    </w:p>
    <w:p>
      <w:pPr>
        <w:spacing w:line="360" w:lineRule="auto"/>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bCs/>
          <w:color w:val="auto"/>
          <w:sz w:val="24"/>
          <w:szCs w:val="24"/>
          <w:highlight w:val="none"/>
        </w:rPr>
        <w:t xml:space="preserve">磋商小组</w:t>
      </w:r>
      <w:r>
        <w:rPr>
          <w:rFonts w:hint="eastAsia" w:ascii="宋体" w:hAnsi="宋体" w:cs="宋体"/>
          <w:color w:val="auto"/>
          <w:sz w:val="24"/>
          <w:szCs w:val="24"/>
          <w:highlight w:val="none"/>
        </w:rPr>
        <w:t xml:space="preserve">认为供应商的报价明显低于其他通过符合性审查供应商的报价，有可能影响产品质量或者不能诚信履约，且供应商不能证明其报价合理性的；</w:t>
      </w:r>
      <w:r/>
    </w:p>
    <w:p>
      <w:pPr>
        <w:spacing w:line="360" w:lineRule="auto"/>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bCs/>
          <w:color w:val="auto"/>
          <w:sz w:val="24"/>
          <w:szCs w:val="24"/>
          <w:highlight w:val="none"/>
        </w:rPr>
        <w:t xml:space="preserve">属于报价邀请函“拒绝参加本次采购活动供应商”的；</w:t>
      </w:r>
      <w:r/>
    </w:p>
    <w:p>
      <w:pPr>
        <w:spacing w:line="360" w:lineRule="auto"/>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bCs/>
          <w:color w:val="auto"/>
          <w:sz w:val="24"/>
          <w:szCs w:val="24"/>
          <w:highlight w:val="none"/>
          <w:lang w:val="zh-CN"/>
        </w:rPr>
        <w:t xml:space="preserve">已提交响应文件的供应商，在提交最后报价之前，退出磋商的或未提交最终报价的；</w:t>
      </w:r>
      <w:r/>
    </w:p>
    <w:p>
      <w:pPr>
        <w:spacing w:line="360" w:lineRule="auto"/>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（10）与其他供应商串通报价的，包括但不限于以下几种情况：</w:t>
      </w:r>
      <w:r/>
    </w:p>
    <w:p>
      <w:pPr>
        <w:numPr>
          <w:ilvl w:val="0"/>
          <w:numId w:val="3"/>
        </w:numPr>
        <w:ind w:firstLine="840"/>
        <w:spacing w:line="360" w:lineRule="auto"/>
        <w:tabs>
          <w:tab w:val="left" w:pos="425" w:leader="none"/>
        </w:tabs>
        <w:rPr>
          <w:rFonts w:ascii="宋体" w:hAnsi="宋体"/>
          <w:bCs/>
          <w:color w:val="auto"/>
          <w:sz w:val="24"/>
          <w:szCs w:val="24"/>
          <w:highlight w:val="none"/>
        </w:rPr>
      </w:pPr>
      <w:r>
        <w:rPr>
          <w:rFonts w:hint="eastAsia" w:ascii="宋体" w:hAnsi="宋体" w:cs="宋体"/>
          <w:color w:val="auto"/>
          <w:sz w:val="24"/>
          <w:szCs w:val="24"/>
          <w:highlight w:val="none"/>
        </w:rPr>
        <w:t xml:space="preserve">不同供应商的响应文件由同一单位或者个人编制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spacing w:line="360" w:lineRule="auto"/>
        <w:tabs>
          <w:tab w:val="left" w:pos="425" w:leader="none"/>
        </w:tabs>
        <w:rPr>
          <w:rFonts w:ascii="宋体" w:hAnsi="宋体"/>
          <w:bCs/>
          <w:color w:val="auto"/>
          <w:sz w:val="24"/>
          <w:szCs w:val="24"/>
          <w:highlight w:val="none"/>
        </w:rPr>
      </w:pPr>
      <w:r>
        <w:rPr>
          <w:rFonts w:hint="eastAsia" w:ascii="宋体" w:hAnsi="宋体" w:cs="宋体"/>
          <w:color w:val="auto"/>
          <w:sz w:val="24"/>
          <w:szCs w:val="24"/>
          <w:highlight w:val="none"/>
        </w:rPr>
        <w:t xml:space="preserve">不同供应商委托同一单位或者个人办理报价事宜</w:t>
      </w:r>
      <w:r>
        <w:rPr>
          <w:rFonts w:hint="eastAsia" w:ascii="宋体" w:hAnsi="宋体"/>
          <w:bCs/>
          <w:color w:val="auto"/>
          <w:sz w:val="24"/>
          <w:szCs w:val="24"/>
          <w:highlight w:val="none"/>
          <w:lang w:val="zh-CN"/>
        </w:rPr>
        <w:t xml:space="preserve">；</w:t>
      </w:r>
      <w:r/>
    </w:p>
    <w:p>
      <w:pPr>
        <w:numPr>
          <w:ilvl w:val="0"/>
          <w:numId w:val="3"/>
        </w:numPr>
        <w:ind w:firstLine="840"/>
        <w:spacing w:line="360" w:lineRule="auto"/>
        <w:tabs>
          <w:tab w:val="left" w:pos="425" w:leader="none"/>
        </w:tabs>
        <w:rPr>
          <w:rFonts w:ascii="宋体" w:hAnsi="宋体"/>
          <w:bCs/>
          <w:color w:val="auto"/>
          <w:sz w:val="24"/>
          <w:szCs w:val="24"/>
          <w:highlight w:val="none"/>
        </w:rPr>
      </w:pPr>
      <w:r>
        <w:rPr>
          <w:rFonts w:hint="eastAsia" w:ascii="宋体" w:hAnsi="宋体" w:cs="宋体"/>
          <w:color w:val="auto"/>
          <w:sz w:val="24"/>
          <w:szCs w:val="24"/>
          <w:highlight w:val="none"/>
        </w:rPr>
        <w:t xml:space="preserve">不同供应商的响应文件载明的项目管理成员或者联系人员为同一人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spacing w:line="360" w:lineRule="auto"/>
        <w:tabs>
          <w:tab w:val="left" w:pos="425" w:leader="none"/>
        </w:tabs>
        <w:rPr>
          <w:rFonts w:ascii="宋体" w:hAnsi="宋体"/>
          <w:bCs/>
          <w:color w:val="auto"/>
          <w:sz w:val="24"/>
          <w:szCs w:val="24"/>
          <w:highlight w:val="none"/>
        </w:rPr>
      </w:pPr>
      <w:r>
        <w:rPr>
          <w:rFonts w:hint="eastAsia" w:ascii="宋体" w:hAnsi="宋体" w:cs="宋体"/>
          <w:color w:val="auto"/>
          <w:sz w:val="24"/>
          <w:szCs w:val="24"/>
          <w:highlight w:val="none"/>
        </w:rPr>
        <w:t xml:space="preserve">不同供应商的响应文件异常一致或者报价呈规律性差异</w:t>
      </w:r>
      <w:r>
        <w:rPr>
          <w:rFonts w:hint="eastAsia" w:ascii="宋体" w:hAnsi="宋体"/>
          <w:bCs/>
          <w:color w:val="auto"/>
          <w:sz w:val="24"/>
          <w:szCs w:val="24"/>
          <w:highlight w:val="none"/>
          <w:lang w:val="zh-CN"/>
        </w:rPr>
        <w:t xml:space="preserve">；</w:t>
      </w:r>
      <w:r/>
    </w:p>
    <w:p>
      <w:pPr>
        <w:spacing w:line="360" w:lineRule="auto"/>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val="zh-CN"/>
        </w:rPr>
        <w:t xml:space="preserve">提供虚假材料</w:t>
      </w:r>
      <w:bookmarkStart w:id="48" w:name="OLE_LINK137"/>
      <w:r>
        <w:rPr>
          <w:rFonts w:hint="eastAsia" w:ascii="宋体" w:hAnsi="宋体" w:cs="宋体"/>
          <w:color w:val="auto"/>
          <w:sz w:val="24"/>
          <w:szCs w:val="24"/>
          <w:highlight w:val="none"/>
          <w:lang w:val="zh-CN"/>
        </w:rPr>
        <w:t xml:space="preserve">（含虚假承诺）</w:t>
      </w:r>
      <w:bookmarkEnd w:id="48"/>
      <w:r>
        <w:rPr>
          <w:rFonts w:hint="eastAsia" w:ascii="宋体" w:hAnsi="宋体" w:cs="宋体"/>
          <w:color w:val="auto"/>
          <w:sz w:val="24"/>
          <w:szCs w:val="24"/>
          <w:highlight w:val="none"/>
          <w:lang w:val="zh-CN"/>
        </w:rPr>
        <w:t xml:space="preserve">的；</w:t>
      </w:r>
      <w:r/>
    </w:p>
    <w:p>
      <w:pPr>
        <w:spacing w:line="360" w:lineRule="auto"/>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hint="eastAsia" w:ascii="宋体" w:hAnsi="宋体" w:cs="宋体"/>
          <w:color w:val="auto"/>
          <w:sz w:val="24"/>
          <w:szCs w:val="24"/>
          <w:highlight w:val="none"/>
          <w:lang w:val="zh-CN"/>
        </w:rPr>
        <w:t xml:space="preserve">响应文件内容不全、自相矛盾或不符合法律法规和磋商文件中规定的其它实质性要求的；</w:t>
      </w:r>
      <w:r/>
    </w:p>
    <w:p>
      <w:pPr>
        <w:spacing w:line="360" w:lineRule="auto"/>
        <w:tabs>
          <w:tab w:val="left" w:pos="42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（13）</w:t>
      </w:r>
      <w:r>
        <w:rPr>
          <w:rFonts w:hint="eastAsia" w:ascii="宋体" w:hAnsi="宋体" w:cs="宋体"/>
          <w:color w:val="auto"/>
          <w:sz w:val="24"/>
          <w:szCs w:val="24"/>
          <w:highlight w:val="none"/>
          <w:lang w:val="zh-CN"/>
        </w:rPr>
        <w:t xml:space="preserve">法律、法规和磋商文件规定的其他无效情形。</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四、联合体报价、</w:t>
      </w:r>
      <w:r>
        <w:rPr>
          <w:rFonts w:hint="eastAsia" w:ascii="宋体" w:hAnsi="宋体" w:cs="宋体"/>
          <w:b/>
          <w:color w:val="auto"/>
          <w:sz w:val="24"/>
          <w:szCs w:val="24"/>
          <w:highlight w:val="none"/>
        </w:rPr>
        <w:t xml:space="preserve">成交后分包</w:t>
      </w:r>
      <w:r/>
    </w:p>
    <w:p>
      <w:pPr>
        <w:ind w:firstLine="482"/>
        <w:spacing w:line="360" w:lineRule="auto"/>
        <w:rPr>
          <w:rFonts w:ascii="宋体" w:hAnsi="宋体"/>
          <w:bCs/>
          <w:color w:val="auto"/>
          <w:sz w:val="24"/>
          <w:szCs w:val="24"/>
          <w:highlight w:val="none"/>
        </w:rPr>
      </w:pPr>
      <w:r/>
      <w:bookmarkStart w:id="49" w:name="_Hlk151449361"/>
      <w:r/>
      <w:bookmarkStart w:id="50" w:name="OLE_LINK96"/>
      <w:r>
        <w:rPr>
          <w:rFonts w:hint="eastAsia" w:ascii="宋体" w:hAnsi="宋体"/>
          <w:bCs/>
          <w:color w:val="auto"/>
          <w:sz w:val="24"/>
          <w:szCs w:val="24"/>
          <w:highlight w:val="none"/>
        </w:rPr>
        <w:t xml:space="preserve">19、</w:t>
      </w:r>
      <w:bookmarkEnd w:id="49"/>
      <w:r/>
      <w:bookmarkEnd w:id="50"/>
      <w:r>
        <w:rPr>
          <w:rFonts w:hint="eastAsia" w:ascii="宋体" w:hAnsi="宋体"/>
          <w:bCs/>
          <w:color w:val="auto"/>
          <w:sz w:val="24"/>
          <w:szCs w:val="24"/>
          <w:highlight w:val="none"/>
        </w:rPr>
        <w:t xml:space="preserve">本项目不接受联合体，</w:t>
      </w:r>
      <w:r>
        <w:rPr>
          <w:rFonts w:hint="eastAsia" w:ascii="宋体" w:hAnsi="宋体"/>
          <w:bCs/>
          <w:color w:val="auto"/>
          <w:sz w:val="24"/>
          <w:szCs w:val="24"/>
          <w:highlight w:val="none"/>
          <w:lang w:val="en-US" w:eastAsia="zh-CN"/>
        </w:rPr>
        <w:t xml:space="preserve">不</w:t>
      </w:r>
      <w:r>
        <w:rPr>
          <w:rFonts w:hint="eastAsia" w:ascii="宋体" w:hAnsi="宋体"/>
          <w:bCs/>
          <w:color w:val="auto"/>
          <w:sz w:val="24"/>
          <w:szCs w:val="24"/>
          <w:highlight w:val="none"/>
        </w:rPr>
        <w:t xml:space="preserve">接受成交后分包。</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五、</w:t>
      </w:r>
      <w:r>
        <w:rPr>
          <w:rFonts w:hint="eastAsia" w:ascii="宋体" w:hAnsi="宋体"/>
          <w:b/>
          <w:color w:val="auto"/>
          <w:sz w:val="24"/>
          <w:szCs w:val="24"/>
          <w:highlight w:val="none"/>
          <w:lang w:val="zh-CN"/>
        </w:rPr>
        <w:t xml:space="preserve">开标、资审、评标、定标、废标</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20、开标</w:t>
      </w:r>
      <w:r/>
    </w:p>
    <w:p>
      <w:pPr>
        <w:ind w:firstLine="480"/>
        <w:spacing w:line="360" w:lineRule="auto"/>
        <w:rPr>
          <w:rFonts w:ascii="宋体" w:hAnsi="宋体"/>
          <w:color w:val="auto"/>
          <w:sz w:val="24"/>
          <w:szCs w:val="24"/>
          <w:highlight w:val="none"/>
          <w:lang w:val="zh-CN"/>
        </w:rPr>
      </w:pPr>
      <w:r/>
      <w:bookmarkStart w:id="51" w:name="OLE_LINK224"/>
      <w:r>
        <w:rPr>
          <w:rFonts w:hint="eastAsia" w:ascii="宋体" w:hAnsi="宋体"/>
          <w:color w:val="auto"/>
          <w:sz w:val="24"/>
          <w:szCs w:val="24"/>
          <w:highlight w:val="none"/>
        </w:rPr>
        <w:t xml:space="preserve">20</w:t>
      </w:r>
      <w:r>
        <w:rPr>
          <w:rFonts w:hint="eastAsia" w:ascii="宋体" w:hAnsi="宋体"/>
          <w:color w:val="auto"/>
          <w:sz w:val="24"/>
          <w:szCs w:val="24"/>
          <w:highlight w:val="none"/>
          <w:lang w:val="zh-CN"/>
        </w:rPr>
        <w:t xml:space="preserve">.1 </w:t>
      </w:r>
      <w:bookmarkStart w:id="52" w:name="OLE_LINK276"/>
      <w:r>
        <w:rPr>
          <w:rFonts w:hint="eastAsia" w:ascii="宋体" w:hAnsi="宋体"/>
          <w:color w:val="auto"/>
          <w:sz w:val="24"/>
          <w:szCs w:val="24"/>
          <w:highlight w:val="none"/>
          <w:lang w:val="zh-CN"/>
        </w:rPr>
        <w:t xml:space="preserve">采购人按磋商文件规定的时间在“苏采云开标大厅”召开开标大会，邀请所有供应商代表参加。供应商应当在开标前做好充分准备，携带 CA 数字证书准时参加线上报价。</w:t>
      </w:r>
      <w:bookmarkEnd w:id="52"/>
      <w:r/>
      <w:r/>
    </w:p>
    <w:p>
      <w:pPr>
        <w:ind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提交响应文件或成功解密响应文件的供应商不足</w:t>
      </w:r>
      <w:r>
        <w:rPr>
          <w:rFonts w:hint="eastAsia" w:ascii="宋体" w:hAnsi="宋体"/>
          <w:color w:val="auto"/>
          <w:sz w:val="24"/>
          <w:szCs w:val="24"/>
          <w:highlight w:val="none"/>
        </w:rPr>
        <w:t xml:space="preserve">3家的，不得开标。</w:t>
      </w:r>
      <w:r/>
    </w:p>
    <w:p>
      <w:pPr>
        <w:ind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20.2响应文件提交截止时间后，</w:t>
      </w:r>
      <w:bookmarkStart w:id="53" w:name="_Hlk151562848"/>
      <w:r>
        <w:rPr>
          <w:rFonts w:hint="eastAsia" w:ascii="宋体" w:hAnsi="宋体"/>
          <w:color w:val="auto"/>
          <w:sz w:val="24"/>
          <w:szCs w:val="24"/>
          <w:highlight w:val="none"/>
          <w:lang w:val="zh-CN"/>
        </w:rPr>
        <w:t xml:space="preserve">在“苏采云开标大厅”开启响应文件，相关注意事项详见报价邀请函。</w:t>
      </w:r>
      <w:bookmarkEnd w:id="53"/>
      <w:r/>
      <w:bookmarkEnd w:id="51"/>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21、磋商程序</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21.1 具体评审事务由采购人依法组建的磋商小组（即评审委员会）负责，其成员由评审专家和采购人代表组成。 </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21.2 磋商小组按照磋商文件的要求对供应商进行资格性及符合性审查。未通过资格性或符合性审查的，其报价无效。</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21.2.1 资格性审查是指磋商小组按照本须知“9、响应文件的组成”中“资格条件”的要求对供应商响应文件中资格证明材料进行审查。</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21.2.2 信用查询。</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①</w:t>
      </w:r>
      <w:r>
        <w:rPr>
          <w:rFonts w:ascii="宋体" w:hAnsi="宋体"/>
          <w:bCs/>
          <w:color w:val="auto"/>
          <w:sz w:val="24"/>
          <w:szCs w:val="24"/>
          <w:highlight w:val="none"/>
        </w:rPr>
        <w:t xml:space="preserve"> 查询时间：磋商小组将在资审环节查询供应商的信用记录，供应商存在不良信用记录的，资格性审查不通过，其报价将被认定为报价无效。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②</w:t>
      </w:r>
      <w:r>
        <w:rPr>
          <w:rFonts w:ascii="宋体" w:hAnsi="宋体"/>
          <w:bCs/>
          <w:color w:val="auto"/>
          <w:sz w:val="24"/>
          <w:szCs w:val="24"/>
          <w:highlight w:val="none"/>
        </w:rPr>
        <w:t xml:space="preserve"> 不良信用记录指：被“信用中国”（www.creditchina.gov.cn)、中国政府采购网（www.ccgp.gov.cn）列入失信被执行人、重大税收非法失信主体、政府采购严重违法失信行为记录名单（在限制期内）。存在以上任意一项不良信用记录，其报价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③</w:t>
      </w:r>
      <w:r>
        <w:rPr>
          <w:rFonts w:ascii="宋体" w:hAnsi="宋体"/>
          <w:bCs/>
          <w:color w:val="auto"/>
          <w:sz w:val="24"/>
          <w:szCs w:val="24"/>
          <w:highlight w:val="none"/>
        </w:rPr>
        <w:t xml:space="preserve"> 查询及记录方式：评审当日，磋商小组在以上网站查询并打印查询结果、签字、存档备查。供应商不良信用记录以磋商小组在评审现场实时查询结果为准，评审结束后，不因供应商不良信用记录改变而改变信用查询结果；供应商自行提供的与网站信息不一致的其他证明材料不作为资格审查依据；若在以上两个网站查询不到供应商企业信息的，以供应商提供的资格声明函中作出的无不良信用记录承诺为准。</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21.2.3 符合性审查是指磋商小组对通过资格性审查的供应商的响应文件进行审查，以确定其是否满足磋商文件的实质性要求。此处实质性要求是指本须知“9、响应文件的组成” 中“符合条件”和磋商文件中其他实质性要求，未通过符合性审查的，其报价无效。</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21.3 磋商小组成员应当按照客观、公正、审慎的原则，根据磋商文件规定的评审程序、评审方法和标准进行独立评审。未实质性响应磋商文件的响应文件按无效响应处理，磋商小组应当告知提交响应文件的供应商。</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21.4 磋商小组对响应文件的有效性、完整性和响应程度进行审查时，可以要求供应商对响应文件中含义不明确、同类问题表述不一致或者有明显文字错误和计算错误的内容作出必要的澄清、说明或者更正。供应商的澄清、说明或者更正不得超出响应文件的范围或者改变响应文件的实质性内容。若对不同文字文本响应文件的解释发生异议的，以中文文本为准。供应商获得证书的时间是指发文时间或证书落款时间，若供应商同时提供了发文和证书，以发文时间为准。同一合同项下的续签合同、补充合同不单独作为有效证明材料。除以上磋商小组要求供应商作出必要的澄清、</w:t>
      </w:r>
      <w:r>
        <w:rPr>
          <w:rFonts w:hint="eastAsia" w:ascii="宋体" w:hAnsi="宋体"/>
          <w:bCs/>
          <w:color w:val="auto"/>
          <w:sz w:val="24"/>
          <w:szCs w:val="24"/>
          <w:highlight w:val="none"/>
        </w:rPr>
        <w:t xml:space="preserve">说明或者纠正时，需要供应商提供相关证明材料外，供应商提供的响应文件以外的证明材料一概不作为评审依据。</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磋商小组要求供应商澄清、说明或者更正响应文件应当以书面形式作出，采用不见面交易模式的，可以采用数据电文形式进行，并做好记录。供应商在项目评审全过程中应保持通讯畅通，及时接听电话，由法定代表人或其授权代表负责答复相关信息。如未按上述要求及时应答，由此所产生的损失及风险由供应商自行承担。</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21.5 磋商小组确定磋商程序和磋商内容后，磋商小组所有成员集中与单一供应商分别进行磋商，并给予所有参加磋商的供应商平等的磋商机会。</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21.6 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如重新提交的响应文件不满足实质性要求，作无效响应处理。</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21.7 磋商结束后，磋商小组将要求所有继续参加磋商的供应商在规定时间内通过电子交易平台提交第2次磋商报价（即最后报价），提交最后报价的供应商不得少于3家（市场竞争不充分的科研项目以及需要扶持的科技成果转化项目，提交最后报价的供应商可以为2家）。最后报价是供应商响应文件的有效组成部分，若供应商未及时在系统中填报并确认最后报价，视为放弃磋商资格、退出磋商，其报价无效。</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21.8 已提交响应文件的供应商，在提交最后报价之前，可以根据磋商情况退出磋商。退出磋商的供应商，其报价无效。</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21.9 评审方法和标准。</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21.9.1 经磋商确定最终采购需求和提交最后报价的供应商后，由磋商小组采用综合评分法对提交最后报价的供应商的响应文件和最后报价进行综合评分，各供应商的最终得分为磋商小组所有成员综合评分后得分的算术平均值（四舍五入保留两位小数）。磋商小组应当根据综合评分情况按照最终得分由高到低顺序排列，并作为成交候选人排序，编写评审报告。若最终得分相同，按最后原始报价由低到高顺序排列；若最终得分且最后原始报价均相同的，按照技术指标优劣确定排序；若</w:t>
      </w:r>
      <w:r>
        <w:rPr>
          <w:rFonts w:hint="eastAsia" w:ascii="宋体" w:hAnsi="宋体"/>
          <w:bCs/>
          <w:color w:val="auto"/>
          <w:sz w:val="24"/>
          <w:szCs w:val="24"/>
          <w:highlight w:val="none"/>
        </w:rPr>
        <w:t xml:space="preserve">报价且技术文件部分得分都相同的由采购人代表通过抽签的方式决定排名。</w:t>
      </w:r>
      <w:r>
        <w:rPr>
          <w:rFonts w:ascii="宋体" w:hAnsi="宋体"/>
          <w:bCs/>
          <w:color w:val="auto"/>
          <w:sz w:val="24"/>
          <w:szCs w:val="24"/>
          <w:highlight w:val="none"/>
        </w:rPr>
        <w:t xml:space="preserve">评分标准详见“第四章 评审方法和标准”。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除了算术修正（</w:t>
      </w:r>
      <w:r>
        <w:rPr>
          <w:rFonts w:ascii="宋体" w:hAnsi="宋体"/>
          <w:bCs/>
          <w:color w:val="auto"/>
          <w:sz w:val="24"/>
          <w:szCs w:val="24"/>
          <w:highlight w:val="none"/>
        </w:rPr>
        <w:t xml:space="preserve">21.9.2）和落实政府采购政策需进行的价格扣除外，不对供应商的价格进行任何调整。如有调整，根据调整后的报价参与评审。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21.9.2 响应文件报价出现前后不一致的，除磋商文件另有规定外，按照下列规定修正：</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①　响应文件中磋商报价表内容与响应文件中相应内容不一致的，以磋商报价表为准；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②　大写金额和小写金额不一致的，以大写金额为准；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③　单价金额小数点或者百分比有明显错位的，以磋商报价表的总价为准，并修改单价；</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④　总价金额与按单价汇总金额不一致的，以单价金额计算结果为准。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注：同时出现两种以上不一致的，按照前款规定的顺序修正。修正后的报价须加盖供应商公章，或由法定代表人或其授权的代表签字。供应商不确认的，其报价无效。</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21.10 采购人或采购机构宣读磋商小组初步评审意见。</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22、确定成交供应商</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22.1 评审结束后，采购人依照法律规定在收到评审报告后5个工作日内，在评审报告推荐的成交候选人中按顺序确定成交供应商。</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22.2 成交结果确认后，采购代理机构将向成交供应商发出电子成交通知书，请成交供应商登录“苏采云” 系统及时下载成交通知书。因系统存储空间有限，自成交结果公告发布之日起30日后，“苏采云”系统不再保证提供下载成交通知书服务。因未及时下载而造成的一切后果由成交供应商自行承担。</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23、采购终止</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23.1 在竞争性磋商方式采购中，出现下列情况之一的，本次采购活动终止：</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1）因情况变化，不再符合规定的竞争性磋商方式采购方式适用情形的；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2）出现影响采购公正的违法、违规行为的；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3）除市场竞争不充分的科研项目，以及需要扶持的科技成果转化项目以外，在采购过程中符合竞争要求的供应商或者报价未超过采购预算、最高限价的供应商不足3家的。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六、报价保证金</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24、磋商保证金：本项目免收磋商保证金。</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25、签订合同</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25.1 供应商被视为充分熟悉本</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项目所在地的与履行合同有关的各种情况，包括自然环境、气候条件、劳动力、施工现场及公用设施等，本磋商文件不再对上述情况进行描述。供应商应认真阅读和充分理解磋商文件中所有的内容，一旦</w:t>
      </w:r>
      <w:r>
        <w:rPr>
          <w:rFonts w:hint="eastAsia" w:ascii="宋体" w:hAnsi="宋体"/>
          <w:bCs/>
          <w:color w:val="auto"/>
          <w:sz w:val="24"/>
          <w:szCs w:val="24"/>
          <w:highlight w:val="none"/>
        </w:rPr>
        <w:t xml:space="preserve">中标</w:t>
      </w:r>
      <w:r>
        <w:rPr>
          <w:rFonts w:ascii="宋体" w:hAnsi="宋体"/>
          <w:bCs/>
          <w:color w:val="auto"/>
          <w:sz w:val="24"/>
          <w:szCs w:val="24"/>
          <w:highlight w:val="none"/>
        </w:rPr>
        <w:t xml:space="preserve">后，在合同履行过程中的所有风险由供应商自行承担。如因市场变化、政策性调整等因素导致报价成本的变化，成交价格将不会得到调整。</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25.2 成交供应商应于成交通知书发出之日起30日内，按照</w:t>
      </w:r>
      <w:r>
        <w:rPr>
          <w:rFonts w:hint="eastAsia" w:ascii="宋体" w:hAnsi="宋体"/>
          <w:bCs/>
          <w:color w:val="auto"/>
          <w:sz w:val="24"/>
          <w:szCs w:val="24"/>
          <w:highlight w:val="none"/>
        </w:rPr>
        <w:t xml:space="preserve">磋商</w:t>
      </w:r>
      <w:r>
        <w:rPr>
          <w:rFonts w:ascii="宋体" w:hAnsi="宋体"/>
          <w:bCs/>
          <w:color w:val="auto"/>
          <w:sz w:val="24"/>
          <w:szCs w:val="24"/>
          <w:highlight w:val="none"/>
        </w:rPr>
        <w:t xml:space="preserve">文件确定的事项与采购人签订政府采购合同；采购人应于政府采购合同签订之日起2个工作日内对合同进行公告，并于7个工作日内将合同副本报同级财政监管部门备案。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成交供应商如逾期不办理相关手续、签订合同，财政部门将依据有关规定进行处理。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如遇特殊情况，采购人及财政部门可延期签订合同。</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25.3 签订合同书及合同条款应以磋商文件和成交供应商的响应文件为依据</w:t>
      </w:r>
      <w:r>
        <w:rPr>
          <w:rFonts w:hint="eastAsia" w:ascii="宋体" w:hAnsi="宋体"/>
          <w:bCs/>
          <w:color w:val="auto"/>
          <w:sz w:val="24"/>
          <w:szCs w:val="24"/>
          <w:highlight w:val="none"/>
        </w:rPr>
        <w:t xml:space="preserve">。</w:t>
      </w:r>
      <w:r/>
    </w:p>
    <w:p>
      <w:pPr>
        <w:ind w:firstLine="480"/>
        <w:jc w:val="left"/>
        <w:spacing w:line="360" w:lineRule="auto"/>
        <w:rPr>
          <w:rFonts w:ascii="宋体" w:hAnsi="宋体"/>
          <w:b/>
          <w:bCs/>
          <w:color w:val="auto"/>
          <w:sz w:val="24"/>
          <w:szCs w:val="24"/>
          <w:highlight w:val="none"/>
          <w:lang w:val="zh-CN"/>
        </w:rPr>
      </w:pPr>
      <w:r>
        <w:rPr>
          <w:rFonts w:hint="eastAsia" w:ascii="宋体" w:hAnsi="宋体"/>
          <w:bCs/>
          <w:color w:val="auto"/>
          <w:sz w:val="24"/>
          <w:szCs w:val="24"/>
          <w:highlight w:val="none"/>
        </w:rPr>
        <w:t xml:space="preserve">25.4 </w:t>
      </w:r>
      <w:r>
        <w:rPr>
          <w:rFonts w:hint="eastAsia" w:ascii="宋体" w:hAnsi="宋体"/>
          <w:b/>
          <w:bCs/>
          <w:color w:val="auto"/>
          <w:sz w:val="24"/>
          <w:szCs w:val="24"/>
          <w:highlight w:val="none"/>
          <w:lang w:val="zh-CN"/>
        </w:rPr>
        <w:t xml:space="preserve">签订合同前，中标供应商须按下表要求交纳合同总金额</w:t>
      </w:r>
      <w:r>
        <w:rPr>
          <w:rFonts w:hint="eastAsia" w:ascii="宋体" w:hAnsi="宋体"/>
          <w:b/>
          <w:bCs/>
          <w:color w:val="auto"/>
          <w:sz w:val="24"/>
          <w:szCs w:val="24"/>
          <w:highlight w:val="none"/>
          <w:u w:val="single"/>
        </w:rPr>
        <w:t xml:space="preserve"> 8 </w:t>
      </w:r>
      <w:r>
        <w:rPr>
          <w:rFonts w:hint="eastAsia" w:ascii="宋体" w:hAnsi="宋体"/>
          <w:b/>
          <w:bCs/>
          <w:color w:val="auto"/>
          <w:sz w:val="24"/>
          <w:szCs w:val="24"/>
          <w:highlight w:val="none"/>
          <w:lang w:val="zh-CN"/>
        </w:rPr>
        <w:t xml:space="preserve">%的履约保证金。</w:t>
      </w:r>
      <w:r/>
    </w:p>
    <w:p>
      <w:pPr>
        <w:ind w:firstLine="480"/>
        <w:jc w:val="left"/>
        <w:spacing w:line="360" w:lineRule="auto"/>
        <w:rPr>
          <w:rFonts w:ascii="宋体" w:hAnsi="宋体"/>
          <w:b/>
          <w:bCs/>
          <w:color w:val="auto"/>
          <w:sz w:val="24"/>
          <w:szCs w:val="24"/>
          <w:highlight w:val="none"/>
          <w:lang w:val="zh-CN"/>
        </w:rPr>
      </w:pPr>
      <w:r>
        <w:rPr>
          <w:rFonts w:hint="eastAsia" w:ascii="宋体" w:hAnsi="宋体"/>
          <w:bCs/>
          <w:color w:val="auto"/>
          <w:sz w:val="24"/>
          <w:szCs w:val="24"/>
          <w:highlight w:val="none"/>
        </w:rPr>
        <w:t xml:space="preserve">25.4 1</w:t>
      </w:r>
      <w:r>
        <w:rPr>
          <w:rFonts w:hint="eastAsia" w:ascii="宋体" w:hAnsi="宋体"/>
          <w:b/>
          <w:bCs/>
          <w:color w:val="auto"/>
          <w:sz w:val="24"/>
          <w:szCs w:val="24"/>
          <w:highlight w:val="none"/>
          <w:lang w:val="zh-CN"/>
        </w:rPr>
        <w:t xml:space="preserve">履约保证金于服务期满之日起十个工作日内无息退还。</w:t>
      </w:r>
      <w:r/>
    </w:p>
    <w:p>
      <w:pPr>
        <w:pStyle w:val="1018"/>
        <w:rPr>
          <w:color w:val="auto"/>
          <w:highlight w:val="none"/>
        </w:rPr>
      </w:pPr>
      <w:r>
        <w:rPr>
          <w:color w:val="auto"/>
          <w:highlight w:val="none"/>
        </w:rPr>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8"/>
        <w:gridCol w:w="2969"/>
        <w:gridCol w:w="798"/>
        <w:gridCol w:w="3555"/>
      </w:tblGrid>
      <w:tr>
        <w:trPr>
          <w:jc w:val="center"/>
          <w:trHeight w:val="1111"/>
        </w:trPr>
        <w:tc>
          <w:tcPr>
            <w:tcW w:w="1878" w:type="dxa"/>
            <w:vAlign w:val="center"/>
            <w:textDirection w:val="lrTb"/>
            <w:noWrap w:val="false"/>
          </w:tcPr>
          <w:p>
            <w:pPr>
              <w:jc w:val="center"/>
              <w:rPr>
                <w:rFonts w:ascii="宋体" w:hAnsi="宋体"/>
                <w:bCs/>
                <w:color w:val="auto"/>
                <w:sz w:val="24"/>
                <w:szCs w:val="24"/>
                <w:highlight w:val="none"/>
              </w:rPr>
            </w:pPr>
            <w:r>
              <w:rPr>
                <w:rFonts w:hint="eastAsia"/>
                <w:color w:val="auto"/>
                <w:sz w:val="24"/>
                <w:szCs w:val="24"/>
                <w:highlight w:val="none"/>
              </w:rPr>
              <w:t xml:space="preserve">交纳履约保证金账户名称</w:t>
            </w:r>
            <w:r/>
          </w:p>
        </w:tc>
        <w:tc>
          <w:tcPr>
            <w:tcW w:w="2969" w:type="dxa"/>
            <w:vAlign w:val="center"/>
            <w:textDirection w:val="lrTb"/>
            <w:noWrap w:val="false"/>
          </w:tcPr>
          <w:p>
            <w:pPr>
              <w:jc w:val="center"/>
              <w:rPr>
                <w:rFonts w:hint="eastAsia" w:ascii="宋体" w:hAnsi="宋体" w:eastAsia="宋体"/>
                <w:bCs/>
                <w:color w:val="auto"/>
                <w:sz w:val="24"/>
                <w:szCs w:val="24"/>
                <w:highlight w:val="none"/>
                <w:lang w:eastAsia="zh-CN"/>
              </w:rPr>
            </w:pPr>
            <w:r>
              <w:rPr>
                <w:rFonts w:hint="eastAsia"/>
                <w:color w:val="auto"/>
                <w:spacing w:val="4"/>
                <w:sz w:val="24"/>
                <w:szCs w:val="24"/>
                <w:highlight w:val="none"/>
                <w:lang w:eastAsia="zh-CN"/>
              </w:rPr>
              <w:t xml:space="preserve">宜兴市财政局</w:t>
            </w:r>
            <w:r/>
          </w:p>
        </w:tc>
        <w:tc>
          <w:tcPr>
            <w:tcW w:w="798" w:type="dxa"/>
            <w:vAlign w:val="center"/>
            <w:vMerge w:val="restart"/>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lang w:val="zh-CN"/>
              </w:rPr>
              <w:t xml:space="preserve">交纳</w:t>
            </w:r>
            <w:r/>
          </w:p>
          <w:p>
            <w:pPr>
              <w:jc w:val="center"/>
              <w:rPr>
                <w:rFonts w:ascii="宋体" w:hAnsi="宋体"/>
                <w:bCs/>
                <w:color w:val="auto"/>
                <w:sz w:val="24"/>
                <w:szCs w:val="24"/>
                <w:highlight w:val="none"/>
              </w:rPr>
            </w:pPr>
            <w:r>
              <w:rPr>
                <w:rFonts w:hint="eastAsia" w:ascii="宋体" w:hAnsi="宋体"/>
                <w:bCs/>
                <w:color w:val="auto"/>
                <w:sz w:val="24"/>
                <w:szCs w:val="24"/>
                <w:highlight w:val="none"/>
                <w:lang w:val="zh-CN"/>
              </w:rPr>
              <w:t xml:space="preserve">形式</w:t>
            </w:r>
            <w:r/>
          </w:p>
        </w:tc>
        <w:tc>
          <w:tcPr>
            <w:tcW w:w="3555" w:type="dxa"/>
            <w:vAlign w:val="center"/>
            <w:vMerge w:val="restart"/>
            <w:textDirection w:val="lrTb"/>
            <w:noWrap w:val="false"/>
          </w:tcPr>
          <w:p>
            <w:pPr>
              <w:jc w:val="center"/>
              <w:rPr>
                <w:rFonts w:ascii="宋体" w:hAnsi="宋体"/>
                <w:bCs/>
                <w:color w:val="auto"/>
                <w:sz w:val="24"/>
                <w:szCs w:val="24"/>
                <w:highlight w:val="none"/>
              </w:rPr>
            </w:pPr>
            <w:r>
              <w:rPr>
                <w:rFonts w:hint="eastAsia"/>
                <w:bCs/>
                <w:color w:val="auto"/>
                <w:sz w:val="24"/>
                <w:szCs w:val="24"/>
                <w:highlight w:val="none"/>
              </w:rPr>
              <w:t xml:space="preserve">履约保证金必须用电汇、转账形式提供履约保证（不接受以上方式以外的履约保证</w:t>
            </w:r>
            <w:r/>
          </w:p>
        </w:tc>
      </w:tr>
      <w:tr>
        <w:trPr>
          <w:jc w:val="center"/>
          <w:trHeight w:val="909"/>
        </w:trPr>
        <w:tc>
          <w:tcPr>
            <w:tcW w:w="1878"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lang w:val="zh-CN"/>
              </w:rPr>
              <w:t xml:space="preserve">开户银行及行号</w:t>
            </w:r>
            <w:r/>
          </w:p>
        </w:tc>
        <w:tc>
          <w:tcPr>
            <w:tcW w:w="2969" w:type="dxa"/>
            <w:vAlign w:val="center"/>
            <w:textDirection w:val="lrTb"/>
            <w:noWrap w:val="false"/>
          </w:tcPr>
          <w:p>
            <w:pPr>
              <w:jc w:val="center"/>
              <w:rPr>
                <w:rFonts w:hint="eastAsia" w:ascii="宋体" w:hAnsi="宋体" w:eastAsia="宋体"/>
                <w:bCs/>
                <w:color w:val="auto"/>
                <w:szCs w:val="21"/>
                <w:highlight w:val="none"/>
                <w:lang w:eastAsia="zh-CN"/>
              </w:rPr>
            </w:pPr>
            <w:r>
              <w:rPr>
                <w:rFonts w:hint="eastAsia"/>
                <w:color w:val="auto"/>
                <w:spacing w:val="5"/>
                <w:sz w:val="24"/>
                <w:szCs w:val="24"/>
                <w:highlight w:val="none"/>
                <w:lang w:val="en-US" w:eastAsia="zh-CN"/>
              </w:rPr>
              <w:t xml:space="preserve">3202230011010081110012               江苏宜兴农村商业银行营业部</w:t>
            </w:r>
            <w:r/>
          </w:p>
        </w:tc>
        <w:tc>
          <w:tcPr>
            <w:tcW w:w="798" w:type="dxa"/>
            <w:vAlign w:val="center"/>
            <w:vMerge w:val="continue"/>
            <w:textDirection w:val="lrTb"/>
            <w:noWrap w:val="false"/>
          </w:tcPr>
          <w:p>
            <w:pPr>
              <w:jc w:val="center"/>
              <w:spacing w:line="360" w:lineRule="auto"/>
              <w:rPr>
                <w:rFonts w:ascii="宋体" w:hAnsi="宋体"/>
                <w:bCs/>
                <w:color w:val="auto"/>
                <w:szCs w:val="21"/>
                <w:highlight w:val="none"/>
                <w:lang w:val="zh-CN"/>
              </w:rPr>
            </w:pPr>
            <w:r>
              <w:rPr>
                <w:rFonts w:ascii="宋体" w:hAnsi="宋体"/>
                <w:bCs/>
                <w:color w:val="auto"/>
                <w:szCs w:val="21"/>
                <w:highlight w:val="none"/>
                <w:lang w:val="zh-CN"/>
              </w:rPr>
            </w:r>
            <w:r/>
          </w:p>
        </w:tc>
        <w:tc>
          <w:tcPr>
            <w:tcW w:w="3555" w:type="dxa"/>
            <w:vAlign w:val="center"/>
            <w:vMerge w:val="continue"/>
            <w:textDirection w:val="lrTb"/>
            <w:noWrap w:val="false"/>
          </w:tcPr>
          <w:p>
            <w:pPr>
              <w:jc w:val="center"/>
              <w:spacing w:line="360" w:lineRule="auto"/>
              <w:rPr>
                <w:rFonts w:ascii="宋体" w:hAnsi="宋体"/>
                <w:bCs/>
                <w:color w:val="auto"/>
                <w:szCs w:val="21"/>
                <w:highlight w:val="none"/>
                <w:lang w:val="zh-CN"/>
              </w:rPr>
            </w:pPr>
            <w:r>
              <w:rPr>
                <w:rFonts w:ascii="宋体" w:hAnsi="宋体"/>
                <w:bCs/>
                <w:color w:val="auto"/>
                <w:szCs w:val="21"/>
                <w:highlight w:val="none"/>
                <w:lang w:val="zh-CN"/>
              </w:rPr>
            </w:r>
            <w:r/>
          </w:p>
        </w:tc>
      </w:tr>
    </w:tbl>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25.</w:t>
      </w:r>
      <w:bookmarkStart w:id="54" w:name="OLE_LINK5"/>
      <w:r>
        <w:rPr>
          <w:rFonts w:hint="eastAsia" w:ascii="宋体" w:hAnsi="宋体"/>
          <w:bCs/>
          <w:color w:val="auto"/>
          <w:sz w:val="24"/>
          <w:szCs w:val="24"/>
          <w:highlight w:val="none"/>
        </w:rPr>
        <w:t xml:space="preserve">5</w:t>
      </w:r>
      <w:bookmarkEnd w:id="54"/>
      <w:r>
        <w:rPr>
          <w:rFonts w:hint="eastAsia" w:ascii="宋体" w:hAnsi="宋体"/>
          <w:bCs/>
          <w:color w:val="auto"/>
          <w:sz w:val="24"/>
          <w:szCs w:val="24"/>
          <w:highlight w:val="none"/>
          <w:lang w:val="zh-CN"/>
        </w:rPr>
        <w:t xml:space="preserve">成交供应商拒绝与采购人签订合同，或因不可抗力或者自身原因不能履行政府采购合同的，须要有明确的意思表示，并向采购人书面申明放弃合同，采购人可以按照评审报告推荐的成交候选人名单排序，确定下一候选人为成交供应商，也可以重新开展政府采购活动。无正当理由拒绝签订合同的成交供应商，财政监管部门将视情对其处以采购金额千分之五以上千分之十以下的罚款，列入不良行为记录名单，在一至三年内禁止参加政府采购活动。拒绝签订政府采购合同的成交供应商不得参加对该项目重新开展的采购活动。</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成交候选人放弃成交资格的，参照前款进行处理。</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5.6</w:t>
      </w:r>
      <w:r>
        <w:rPr>
          <w:rFonts w:hint="eastAsia" w:ascii="宋体" w:hAnsi="宋体"/>
          <w:bCs/>
          <w:color w:val="auto"/>
          <w:sz w:val="24"/>
          <w:szCs w:val="24"/>
          <w:highlight w:val="none"/>
          <w:lang w:val="zh-CN"/>
        </w:rPr>
        <w:t xml:space="preserve"> 采购合同履行中，采购人需追加与合同标的相同服务的，在不改变合同其他条款的前提下，可以与成交供应商协商签订补充合同，但所有补充合同的采购金额不得超过原合同采购26、政府采购合同融资</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26.1 政府采购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w:t>
      </w:r>
      <w:r>
        <w:rPr>
          <w:rFonts w:hint="eastAsia" w:ascii="宋体" w:hAnsi="宋体"/>
          <w:bCs/>
          <w:color w:val="auto"/>
          <w:sz w:val="24"/>
          <w:szCs w:val="24"/>
          <w:highlight w:val="none"/>
          <w:lang w:val="zh-CN"/>
        </w:rPr>
        <w:t xml:space="preserve">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2022〕11号）要求，并结合自身情况，在苏采云平台凭政府采购中标、成交通知书或政府采购合同在线提出融资申请，自主选择金融机构及其融资产品，由金融机构进行融资信息审查决定是否为其提供融资，做好预授信。双方达成融资意向后签订融资协议，确定融资成交信息并约定融资回款账户。</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26.2 中标、成交供应商可根据自身情况，自行决定是否选择采用合同融资形式，在江苏政府采购网——政采贷专栏提供的银行名录内自主选择合作银行。金额的百分之十。</w:t>
      </w:r>
      <w:r/>
    </w:p>
    <w:p>
      <w:pPr>
        <w:pStyle w:val="811"/>
        <w:numPr>
          <w:ilvl w:val="0"/>
          <w:numId w:val="0"/>
        </w:numPr>
        <w:ind w:left="420"/>
        <w:rPr>
          <w:color w:val="auto"/>
          <w:highlight w:val="none"/>
          <w:lang w:val="zh-CN"/>
        </w:rPr>
      </w:pPr>
      <w:r>
        <w:rPr>
          <w:color w:val="auto"/>
          <w:highlight w:val="none"/>
          <w:lang w:val="zh-CN"/>
        </w:rPr>
      </w:r>
      <w:r/>
    </w:p>
    <w:p>
      <w:pPr>
        <w:ind w:left="42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八、报价行为及报价产品</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27、报价行为及报价产品：</w:t>
      </w:r>
      <w:r/>
    </w:p>
    <w:p>
      <w:pPr>
        <w:numPr>
          <w:ilvl w:val="0"/>
          <w:numId w:val="4"/>
        </w:numPr>
        <w:jc w:val="left"/>
        <w:spacing w:line="360" w:lineRule="auto"/>
        <w:rPr>
          <w:rFonts w:ascii="宋体" w:hAnsi="宋体"/>
          <w:bCs/>
          <w:color w:val="auto"/>
          <w:sz w:val="24"/>
          <w:szCs w:val="24"/>
          <w:highlight w:val="none"/>
        </w:rPr>
      </w:pPr>
      <w:r/>
      <w:bookmarkStart w:id="55" w:name="OLE_LINK17"/>
      <w:r/>
      <w:bookmarkStart w:id="56" w:name="OLE_LINK184"/>
      <w:r>
        <w:rPr>
          <w:rFonts w:hint="eastAsia" w:ascii="宋体" w:hAnsi="宋体"/>
          <w:bCs/>
          <w:color w:val="auto"/>
          <w:sz w:val="24"/>
          <w:szCs w:val="24"/>
          <w:highlight w:val="none"/>
        </w:rPr>
        <w:t xml:space="preserve">供应商的行为必须遵守各项法律、法规、规章及相关制度的规定。</w:t>
      </w:r>
      <w:r/>
    </w:p>
    <w:p>
      <w:pPr>
        <w:numPr>
          <w:ilvl w:val="0"/>
          <w:numId w:val="4"/>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提供的服务及产品、产品安装（施工）等应符合国家、行业等相关标准及要求。</w:t>
      </w:r>
      <w:r/>
    </w:p>
    <w:p>
      <w:pPr>
        <w:numPr>
          <w:ilvl w:val="0"/>
          <w:numId w:val="4"/>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供应商提供的产品应是全新、未使用过的原装合格正品。供应商成交后，在供货期内如遇产品平滑（自然）升级，成交供应商应提供平滑升级商品不补差价（磋商文件中有特殊要求的除外）。</w:t>
      </w:r>
      <w:r/>
    </w:p>
    <w:p>
      <w:pPr>
        <w:numPr>
          <w:ilvl w:val="0"/>
          <w:numId w:val="4"/>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磋商文件中要求供应商出具的证书、证明等相关材料，应当能实质性证明采购需求中的相关要求，且均应在有效期限内，即有效期限应覆盖响应文件评审当日。</w:t>
      </w:r>
      <w:bookmarkEnd w:id="55"/>
      <w:r/>
    </w:p>
    <w:p>
      <w:pPr>
        <w:ind w:firstLine="482"/>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28、</w:t>
      </w:r>
      <w:bookmarkEnd w:id="56"/>
      <w:r>
        <w:rPr>
          <w:rFonts w:hint="eastAsia" w:ascii="宋体" w:hAnsi="宋体"/>
          <w:bCs/>
          <w:color w:val="auto"/>
          <w:sz w:val="24"/>
          <w:szCs w:val="24"/>
          <w:highlight w:val="none"/>
          <w:lang w:val="zh-CN"/>
        </w:rPr>
        <w:t xml:space="preserve">采购人将按照政府采购合同和磋商文件的规定以及供应商提供的技术、服务、安全标准等相关承诺，对供应商的履约情况进行验收并出具政府采购项目验收单。由采购人对成交供应商进行履约管理，并及时向成交供应商支付采购资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29、询问</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29.1 供应商对采购活动事项有疑问的，可以向采购人提出询问，采购人将在三个工作日内作出答复，但答复的内容不得涉及商业秘密；供应商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29.2招标代理机构不负责向任何供应商解释评审情况。</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30、质疑</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30.1 质疑必须符合《中华人民共和国政府采购法》及其实施条例中“质疑”相关内容要求，按《政府采购质疑和投诉办法》规定质疑。投标人（供应商）在法定质疑期内应当一次性提出针对同一采购程序环节的质疑，否则，采购人或代理机构将不予受理。质疑函的质疑事项应具体、明确，并具有必要的事实依据和法律依据（格式详见中国政府采购网《政府采购供应商质疑函范本》）。同一项目下的不同采购包，供应商只能对其参与的采购包质疑。</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30.2 质疑答复责任主体：</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根据《中华人民共和国政府采购法》五十一条、五十二条、五十三条规定，供应商认为磋商文件、采购过程和成交结果使自己的权益受到损害的，可以在知道或者应当知道其权益受到损害之日起七个工作日内，以书面形式向采购人提出质疑。</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供应商认为采购程序及流程操作使自己的权益受到损害的，可以向采购人提出质疑，也可以在法律规定时间内向采购代理机构提出质疑，采购代理机构就采购人委托授权范围内的事项作出答复。 </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30.3 质疑时效期间的起算：对磋商文件提出质疑的，应自磋商文件公告期限届满之日起计算；对采购过程提出质疑的，自采购程序环节结束之日起计算；对成交结果提出质疑的，自成交结果公告期限届满之日起计算。未在法律规定的时间内按要求提交质疑函（仅限于原件）的，被质疑人将不予受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30.4 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31、投诉</w:t>
      </w:r>
      <w:r/>
    </w:p>
    <w:p>
      <w:pPr>
        <w:ind w:firstLine="480"/>
        <w:jc w:val="left"/>
        <w:spacing w:line="360" w:lineRule="auto"/>
        <w:rPr>
          <w:color w:val="auto"/>
          <w:highlight w:val="none"/>
        </w:rPr>
      </w:pPr>
      <w:r>
        <w:rPr>
          <w:rFonts w:hint="eastAsia" w:ascii="宋体" w:hAnsi="宋体"/>
          <w:bCs/>
          <w:color w:val="auto"/>
          <w:sz w:val="24"/>
          <w:szCs w:val="24"/>
          <w:highlight w:val="none"/>
        </w:rPr>
        <w:t xml:space="preserve">31.1质疑供应商对采购人的答复不满意或者采购人未在规定的时间内作出答复的，可以在答复期满后十五个工作日内向报价邀请函中的财政监管部门提出投诉。</w:t>
      </w:r>
      <w:r/>
      <w:r>
        <w:rPr>
          <w:color w:val="auto"/>
          <w:highlight w:val="none"/>
        </w:rPr>
      </w:r>
      <w:r/>
      <w:r>
        <w:rPr>
          <w:color w:val="auto"/>
          <w:highlight w:val="none"/>
        </w:rPr>
      </w:r>
    </w:p>
    <w:p>
      <w:pPr>
        <w:jc w:val="center"/>
        <w:rPr>
          <w:rFonts w:ascii="黑体" w:hAnsi="黑体" w:eastAsia="黑体"/>
          <w:color w:val="auto"/>
          <w:sz w:val="28"/>
          <w:highlight w:val="none"/>
        </w:rPr>
        <w:outlineLvl w:val="0"/>
      </w:pPr>
      <w:r>
        <w:rPr>
          <w:rFonts w:ascii="黑体" w:hAnsi="黑体" w:eastAsia="黑体"/>
          <w:color w:val="auto"/>
          <w:sz w:val="28"/>
          <w:highlight w:val="none"/>
        </w:rPr>
      </w:r>
      <w:bookmarkEnd w:id="8"/>
      <w:bookmarkEnd w:id="57"/>
      <w:r/>
    </w:p>
    <w:p>
      <w:pPr>
        <w:ind w:left="480"/>
        <w:jc w:val="center"/>
        <w:spacing w:line="360" w:lineRule="auto"/>
        <w:rPr>
          <w:rFonts w:ascii="黑体" w:hAnsi="黑体" w:eastAsia="黑体"/>
          <w:color w:val="auto"/>
          <w:sz w:val="28"/>
          <w:highlight w:val="none"/>
        </w:rPr>
      </w:pPr>
      <w:r/>
      <w:bookmarkStart w:id="58" w:name="_Toc32575"/>
      <w:r/>
      <w:bookmarkStart w:id="59" w:name="_Toc23355"/>
      <w:r>
        <w:rPr>
          <w:rFonts w:hint="eastAsia" w:ascii="黑体" w:hAnsi="黑体" w:eastAsia="黑体"/>
          <w:color w:val="auto"/>
          <w:sz w:val="28"/>
          <w:highlight w:val="none"/>
        </w:rPr>
        <w:t xml:space="preserve">第三章 项目技术要求和有关说明</w:t>
      </w:r>
      <w:bookmarkEnd w:id="58"/>
      <w:r/>
      <w:r/>
    </w:p>
    <w:p>
      <w:pPr>
        <w:ind w:firstLine="482"/>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一、项目基本情况</w:t>
      </w:r>
      <w:r/>
    </w:p>
    <w:p>
      <w:pPr>
        <w:ind w:firstLine="480"/>
        <w:spacing w:line="400" w:lineRule="exact"/>
        <w:widowControl/>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1、项目名称：</w:t>
      </w:r>
      <w:r>
        <w:rPr>
          <w:rFonts w:hint="eastAsia" w:ascii="宋体" w:hAnsi="宋体"/>
          <w:color w:val="auto"/>
          <w:sz w:val="24"/>
          <w:szCs w:val="24"/>
          <w:highlight w:val="none"/>
          <w:lang w:eastAsia="zh-CN"/>
        </w:rPr>
        <w:t xml:space="preserve">宜兴市优秀公务员健康休养服务采购项目</w:t>
      </w:r>
      <w:r/>
    </w:p>
    <w:p>
      <w:pPr>
        <w:ind w:firstLine="480"/>
        <w:spacing w:line="400" w:lineRule="exact"/>
        <w:widowControl/>
        <w:rPr>
          <w:rFonts w:hint="eastAsia" w:ascii="宋体" w:hAnsi="宋体" w:cs="等线"/>
          <w:bCs/>
          <w:color w:val="auto"/>
          <w:sz w:val="24"/>
          <w:szCs w:val="24"/>
          <w:highlight w:val="none"/>
        </w:rPr>
      </w:pPr>
      <w:r>
        <w:rPr>
          <w:rFonts w:hint="eastAsia" w:ascii="宋体" w:hAnsi="宋体" w:cs="等线"/>
          <w:bCs/>
          <w:color w:val="auto"/>
          <w:sz w:val="24"/>
          <w:szCs w:val="24"/>
          <w:highlight w:val="none"/>
          <w:lang w:val="en-US" w:eastAsia="zh-CN"/>
        </w:rPr>
        <w:t xml:space="preserve">2、</w:t>
      </w:r>
      <w:r>
        <w:rPr>
          <w:rFonts w:hint="eastAsia" w:ascii="宋体" w:hAnsi="宋体" w:cs="等线"/>
          <w:bCs/>
          <w:color w:val="auto"/>
          <w:sz w:val="24"/>
          <w:szCs w:val="24"/>
          <w:highlight w:val="none"/>
          <w:lang w:eastAsia="zh-CN"/>
        </w:rPr>
        <w:t xml:space="preserve">预算金额：</w:t>
      </w:r>
      <w:r>
        <w:rPr>
          <w:rFonts w:hint="eastAsia" w:ascii="宋体" w:hAnsi="宋体" w:cs="等线"/>
          <w:bCs/>
          <w:color w:val="auto"/>
          <w:sz w:val="24"/>
          <w:szCs w:val="24"/>
          <w:highlight w:val="none"/>
          <w:lang w:val="en-US" w:eastAsia="zh-CN"/>
        </w:rPr>
        <w:t xml:space="preserve">260</w:t>
      </w:r>
      <w:r>
        <w:rPr>
          <w:rFonts w:hint="eastAsia" w:ascii="宋体" w:hAnsi="宋体" w:cs="等线"/>
          <w:bCs/>
          <w:color w:val="auto"/>
          <w:sz w:val="24"/>
          <w:szCs w:val="24"/>
          <w:highlight w:val="none"/>
        </w:rPr>
        <w:t xml:space="preserve">万元</w:t>
      </w:r>
      <w:r/>
    </w:p>
    <w:p>
      <w:pPr>
        <w:ind w:firstLine="480"/>
        <w:spacing w:line="400" w:lineRule="exact"/>
        <w:widowControl/>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3、最高限价：</w:t>
      </w:r>
      <w:r>
        <w:rPr>
          <w:rFonts w:hint="eastAsia" w:ascii="宋体" w:hAnsi="宋体" w:cs="等线"/>
          <w:bCs/>
          <w:color w:val="auto"/>
          <w:sz w:val="24"/>
          <w:szCs w:val="24"/>
          <w:highlight w:val="none"/>
          <w:lang w:val="en-US" w:eastAsia="zh-CN"/>
        </w:rPr>
        <w:t xml:space="preserve">260万</w:t>
      </w:r>
      <w:r>
        <w:rPr>
          <w:rFonts w:hint="eastAsia" w:ascii="宋体" w:hAnsi="宋体"/>
          <w:color w:val="auto"/>
          <w:sz w:val="24"/>
          <w:szCs w:val="24"/>
          <w:highlight w:val="none"/>
          <w:lang w:val="en-US" w:eastAsia="zh-CN"/>
        </w:rPr>
        <w:t xml:space="preserve">元，单价限额：4500元/人·线</w:t>
      </w:r>
      <w:r/>
    </w:p>
    <w:p>
      <w:pPr>
        <w:ind w:firstLine="480"/>
        <w:spacing w:line="40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4、采购内容：组织相关人员参加异地疗休养活动，</w:t>
      </w:r>
      <w:r>
        <w:rPr>
          <w:rFonts w:hint="eastAsia" w:ascii="宋体" w:hAnsi="宋体"/>
          <w:color w:val="auto"/>
          <w:sz w:val="24"/>
          <w:szCs w:val="24"/>
          <w:highlight w:val="none"/>
          <w:lang w:val="en-US" w:eastAsia="zh-CN"/>
        </w:rPr>
        <w:t xml:space="preserve">共计人数暂按577人，</w:t>
      </w:r>
      <w:r>
        <w:rPr>
          <w:rFonts w:hint="eastAsia" w:ascii="宋体" w:hAnsi="宋体"/>
          <w:color w:val="auto"/>
          <w:sz w:val="24"/>
          <w:szCs w:val="24"/>
          <w:highlight w:val="none"/>
          <w:lang w:val="en-US" w:eastAsia="zh-CN"/>
        </w:rPr>
        <w:t xml:space="preserve">具体人数以实</w:t>
      </w:r>
      <w:r>
        <w:rPr>
          <w:rFonts w:hint="eastAsia" w:ascii="宋体" w:hAnsi="宋体"/>
          <w:color w:val="auto"/>
          <w:sz w:val="24"/>
          <w:szCs w:val="24"/>
          <w:highlight w:val="none"/>
          <w:lang w:val="en-US" w:eastAsia="zh-CN"/>
        </w:rPr>
        <w:t xml:space="preserve">际参与人员为准；具体结算以实际参与人员数量为准。供应商需对路线服务进行规划，参照每批次</w:t>
      </w:r>
      <w:r>
        <w:rPr>
          <w:rFonts w:hint="eastAsia" w:ascii="宋体" w:hAnsi="宋体"/>
          <w:color w:val="auto"/>
          <w:sz w:val="24"/>
          <w:szCs w:val="24"/>
          <w:highlight w:val="none"/>
          <w:lang w:val="en-US" w:eastAsia="zh-CN"/>
        </w:rPr>
        <w:t xml:space="preserve">30-40</w:t>
      </w:r>
      <w:r>
        <w:rPr>
          <w:rFonts w:hint="eastAsia" w:ascii="宋体" w:hAnsi="宋体"/>
          <w:color w:val="auto"/>
          <w:sz w:val="24"/>
          <w:szCs w:val="24"/>
          <w:highlight w:val="none"/>
          <w:lang w:val="en-US" w:eastAsia="zh-CN"/>
        </w:rPr>
        <w:t xml:space="preserve">人成行，提供安排地点线路行程安排明细及服务方案。</w:t>
      </w:r>
      <w:r/>
    </w:p>
    <w:p>
      <w:pPr>
        <w:ind w:firstLine="480"/>
        <w:spacing w:line="40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5、项目需求：</w:t>
      </w:r>
      <w:r/>
    </w:p>
    <w:p>
      <w:pPr>
        <w:numPr>
          <w:ilvl w:val="0"/>
          <w:numId w:val="5"/>
        </w:numPr>
        <w:ind w:left="0" w:firstLine="400"/>
        <w:spacing w:line="40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路线要求：拟定湖南长沙、福建武夷山、福建厦门、陕西西安、山东青岛方向。（供应商需提供</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条线路方案，</w:t>
      </w:r>
      <w:r>
        <w:rPr>
          <w:rFonts w:hint="eastAsia" w:ascii="宋体" w:hAnsi="宋体" w:eastAsia="宋体" w:cs="Times New Roman"/>
          <w:color w:val="auto"/>
          <w:sz w:val="24"/>
          <w:szCs w:val="24"/>
          <w:highlight w:val="none"/>
          <w:lang w:val="en-US" w:eastAsia="zh-CN"/>
        </w:rPr>
        <w:t xml:space="preserve">每一年出行路线由采购方确定其中</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3条）</w:t>
      </w:r>
      <w:r/>
    </w:p>
    <w:p>
      <w:pPr>
        <w:numPr>
          <w:ilvl w:val="0"/>
          <w:numId w:val="5"/>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行程要求：</w:t>
      </w:r>
      <w:r>
        <w:rPr>
          <w:rFonts w:hint="eastAsia" w:ascii="宋体" w:hAnsi="宋体"/>
          <w:color w:val="auto"/>
          <w:sz w:val="24"/>
          <w:szCs w:val="24"/>
          <w:highlight w:val="none"/>
          <w:lang w:val="en-US" w:eastAsia="zh-CN"/>
        </w:rPr>
        <w:t xml:space="preserve">线路按照5天4晚进行安排</w:t>
      </w:r>
      <w:r>
        <w:rPr>
          <w:rFonts w:hint="eastAsia" w:ascii="宋体" w:hAnsi="宋体"/>
          <w:color w:val="auto"/>
          <w:sz w:val="24"/>
          <w:szCs w:val="24"/>
          <w:highlight w:val="none"/>
          <w:lang w:val="en-US" w:eastAsia="zh-CN"/>
        </w:rPr>
        <w:t xml:space="preserve">(不含周末)</w:t>
      </w:r>
      <w:r>
        <w:rPr>
          <w:rFonts w:hint="eastAsia" w:ascii="宋体" w:hAnsi="宋体" w:eastAsia="宋体" w:cs="宋体"/>
          <w:color w:val="auto"/>
          <w:sz w:val="24"/>
          <w:szCs w:val="24"/>
          <w:highlight w:val="none"/>
          <w:lang w:val="en-US" w:eastAsia="zh-CN"/>
        </w:rPr>
        <w:t xml:space="preserve">，注重休闲休养，线路安排合理，服务热情到位，食宿安全保障。</w:t>
      </w:r>
      <w:r/>
    </w:p>
    <w:p>
      <w:pPr>
        <w:numPr>
          <w:ilvl w:val="0"/>
          <w:numId w:val="5"/>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保险要求：需要为出行人员购置相关旅游保险。（包含内容要全，条款要细致）</w:t>
      </w:r>
      <w:r/>
    </w:p>
    <w:p>
      <w:pPr>
        <w:numPr>
          <w:ilvl w:val="0"/>
          <w:numId w:val="5"/>
        </w:numPr>
        <w:ind w:left="0" w:firstLine="4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门票：列明所有景点需购买的门票（如有退票按旅行社折扣执行），无自费项目；</w:t>
      </w:r>
      <w:r/>
    </w:p>
    <w:p>
      <w:pPr>
        <w:numPr>
          <w:ilvl w:val="0"/>
          <w:numId w:val="5"/>
        </w:numPr>
        <w:ind w:left="0" w:firstLine="400"/>
        <w:keepLines w:val="0"/>
        <w:keepNext w:val="0"/>
        <w:pageBreakBefore w:val="0"/>
        <w:spacing w:line="360" w:lineRule="auto"/>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用餐及住宿：由各投标人在路线方案里就住宿标准、用餐标准进行详细描述；</w:t>
      </w:r>
      <w:r/>
    </w:p>
    <w:p>
      <w:pPr>
        <w:numPr>
          <w:ilvl w:val="0"/>
          <w:numId w:val="5"/>
        </w:numPr>
        <w:ind w:left="0" w:firstLine="400"/>
        <w:keepLines w:val="0"/>
        <w:keepNext w:val="0"/>
        <w:pageBreakBefore w:val="0"/>
        <w:spacing w:line="360" w:lineRule="auto"/>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出行配置要求（往返）：</w:t>
      </w:r>
      <w:r>
        <w:rPr>
          <w:rFonts w:hint="eastAsia"/>
          <w:color w:val="auto"/>
          <w:sz w:val="24"/>
          <w:szCs w:val="24"/>
          <w:highlight w:val="none"/>
          <w:lang w:val="en-US" w:eastAsia="zh-CN"/>
        </w:rPr>
        <w:t xml:space="preserve">起始地点至目的地需考虑高铁，到达目的地后则需配备空调大巴车辆，</w:t>
      </w:r>
      <w:r>
        <w:rPr>
          <w:rFonts w:hint="eastAsia"/>
          <w:color w:val="auto"/>
          <w:sz w:val="24"/>
          <w:szCs w:val="24"/>
          <w:highlight w:val="none"/>
          <w:lang w:val="en-US" w:eastAsia="zh-CN"/>
        </w:rPr>
        <w:t xml:space="preserve">每一批次健康体养团组需配备随行工作人员1-2名、地接导游1名，</w:t>
      </w:r>
      <w:r>
        <w:rPr>
          <w:rFonts w:hint="eastAsia"/>
          <w:color w:val="auto"/>
          <w:sz w:val="24"/>
          <w:szCs w:val="24"/>
          <w:highlight w:val="none"/>
          <w:lang w:val="en-US" w:eastAsia="zh-CN"/>
        </w:rPr>
        <w:t xml:space="preserve">全程保险。</w:t>
      </w:r>
      <w:r/>
    </w:p>
    <w:p>
      <w:pPr>
        <w:ind w:firstLine="480"/>
        <w:spacing w:line="40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6、服务期限：</w:t>
      </w:r>
      <w:r>
        <w:rPr>
          <w:rFonts w:hint="eastAsia" w:ascii="宋体" w:hAnsi="宋体"/>
          <w:color w:val="auto"/>
          <w:sz w:val="24"/>
          <w:szCs w:val="24"/>
          <w:highlight w:val="none"/>
          <w:lang w:val="en-US" w:eastAsia="zh-CN"/>
        </w:rPr>
        <w:t xml:space="preserve">2026年10月至2027年12月，自合同签订之日起至完成当年度疗休养服务止。</w:t>
      </w:r>
      <w:r/>
    </w:p>
    <w:p>
      <w:pPr>
        <w:ind w:firstLine="480"/>
        <w:spacing w:line="400" w:lineRule="exact"/>
        <w:widowControl/>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7、具体疗养地点由招标人确定，请报价人自行考虑所有风险，报价一经确定不再调整。</w:t>
      </w:r>
      <w:r/>
    </w:p>
    <w:p>
      <w:pPr>
        <w:ind w:firstLine="480"/>
        <w:spacing w:line="40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说明：①最终承接的人员数量根据报名情况确定，供应商须充分考虑各疗休养地点情况并承担相应的风险；②本项目投标报价包括从项目中标起到活动结束的一切费用，包括但不仅限于项目交通费、保险费等相关服务费用以及应由</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en-US" w:eastAsia="zh-CN"/>
        </w:rPr>
        <w:t xml:space="preserve">支付的管理费、利润、规费、税金、政策性文件规定及合同包含的所有风险、责任等完成本项目的各项应有费用。</w:t>
      </w:r>
      <w:r/>
    </w:p>
    <w:p>
      <w:pPr>
        <w:ind w:firstLine="480"/>
        <w:spacing w:line="40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二、运营团队</w:t>
      </w:r>
      <w:r/>
    </w:p>
    <w:p>
      <w:pPr>
        <w:ind w:firstLine="480"/>
        <w:spacing w:line="40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运营团队必须具有组织疗休养的能力和经验，有完善且固定的项目实施小组及项目负责人，确保本项目按质、按量、按时、有序实施。在项目团队组成中，需配备1名项目负责人。投标方必须在投标文件中详细列明参与项目的人员名单，包括简历及工作职责等。</w:t>
      </w:r>
      <w:r/>
    </w:p>
    <w:p>
      <w:pPr>
        <w:ind w:firstLine="480"/>
        <w:spacing w:line="40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三、付款方式</w:t>
      </w:r>
      <w:r/>
    </w:p>
    <w:p>
      <w:pPr>
        <w:ind w:firstLine="480"/>
        <w:spacing w:line="40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待活动结束后根据实际人员数量按成交单价一次性结算，结算时成交供应商需出具正规发票。</w:t>
      </w:r>
      <w:r/>
    </w:p>
    <w:p>
      <w:pPr>
        <w:ind w:firstLine="480"/>
        <w:spacing w:line="40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四、其他要求</w:t>
      </w:r>
      <w:r/>
    </w:p>
    <w:p>
      <w:pPr>
        <w:ind w:firstLine="480"/>
        <w:keepLines w:val="0"/>
        <w:keepNext w:val="0"/>
        <w:pageBreakBefore w:val="0"/>
        <w:spacing w:line="360" w:lineRule="auto"/>
        <w:widowControl w:val="off"/>
        <w:rPr>
          <w:rFonts w:hint="default"/>
          <w:color w:val="auto"/>
          <w:sz w:val="24"/>
          <w:szCs w:val="24"/>
          <w:highlight w:val="none"/>
          <w:lang w:val="en-US" w:eastAsia="zh-CN"/>
        </w:rPr>
      </w:pPr>
      <w:r>
        <w:rPr>
          <w:rFonts w:hint="eastAsia"/>
          <w:color w:val="auto"/>
          <w:sz w:val="24"/>
          <w:szCs w:val="24"/>
          <w:highlight w:val="none"/>
          <w:lang w:val="en-US" w:eastAsia="zh-CN"/>
        </w:rPr>
        <w:t xml:space="preserve">1、成交供应商需在合同签订后及时与采购人主管科室沟通协商，并根据采购人最终需求对投标方案进行调整、深化</w:t>
      </w:r>
      <w:r>
        <w:rPr>
          <w:rFonts w:hint="eastAsia"/>
          <w:color w:val="auto"/>
          <w:sz w:val="24"/>
          <w:szCs w:val="24"/>
          <w:highlight w:val="none"/>
          <w:lang w:val="en-US" w:eastAsia="zh-CN"/>
        </w:rPr>
        <w:t xml:space="preserve">和</w:t>
      </w:r>
      <w:r>
        <w:rPr>
          <w:rFonts w:hint="eastAsia"/>
          <w:color w:val="auto"/>
          <w:sz w:val="24"/>
          <w:szCs w:val="24"/>
          <w:highlight w:val="none"/>
          <w:lang w:val="en-US" w:eastAsia="zh-CN"/>
        </w:rPr>
        <w:t xml:space="preserve">细化。</w:t>
      </w:r>
      <w:r/>
    </w:p>
    <w:p>
      <w:pPr>
        <w:ind w:firstLine="480"/>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2、疗休养项目及提供的相关服务单位、营运环节、业务流程均应符合国家法律法规，符合国家、行业、地方标准的要求，维护疗休养人员的合法权益。</w:t>
      </w:r>
      <w:r/>
    </w:p>
    <w:p>
      <w:pPr>
        <w:ind w:firstLine="480"/>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3、能确保疗休养的安全、质量、诚信；确保全面履约，发生意外情况时有应急预案。</w:t>
      </w:r>
      <w:r/>
    </w:p>
    <w:p>
      <w:pPr>
        <w:ind w:firstLine="480"/>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4、规范组织管理、提供优质服务。</w:t>
      </w:r>
      <w:r>
        <w:rPr>
          <w:rFonts w:hint="eastAsia"/>
          <w:strike w:val="0"/>
          <w:color w:val="auto"/>
          <w:sz w:val="24"/>
          <w:szCs w:val="24"/>
          <w:highlight w:val="none"/>
          <w:lang w:val="en-US" w:eastAsia="zh-CN"/>
        </w:rPr>
        <w:t xml:space="preserve">选择资质高，信誉</w:t>
      </w:r>
      <w:r>
        <w:rPr>
          <w:rFonts w:hint="eastAsia" w:ascii="Times New Roman" w:hAnsi="Times New Roman" w:eastAsia="宋体" w:cs="Times New Roman"/>
          <w:strike w:val="0"/>
          <w:color w:val="auto"/>
          <w:sz w:val="24"/>
          <w:szCs w:val="24"/>
          <w:highlight w:val="none"/>
          <w:lang w:val="en-US" w:eastAsia="zh-CN"/>
        </w:rPr>
        <w:t xml:space="preserve">好的酒店、</w:t>
      </w:r>
      <w:r>
        <w:rPr>
          <w:rFonts w:hint="eastAsia"/>
          <w:strike w:val="0"/>
          <w:color w:val="auto"/>
          <w:sz w:val="24"/>
          <w:szCs w:val="24"/>
          <w:highlight w:val="none"/>
          <w:lang w:val="en-US" w:eastAsia="zh-CN"/>
        </w:rPr>
        <w:t xml:space="preserve">餐</w:t>
      </w:r>
      <w:r>
        <w:rPr>
          <w:rFonts w:hint="eastAsia"/>
          <w:color w:val="auto"/>
          <w:sz w:val="24"/>
          <w:szCs w:val="24"/>
          <w:highlight w:val="none"/>
          <w:lang w:val="en-US" w:eastAsia="zh-CN"/>
        </w:rPr>
        <w:t xml:space="preserve">厅、景点、旅游汽车公司等提供疗休养服务，</w:t>
      </w:r>
      <w:r>
        <w:rPr>
          <w:rFonts w:hint="eastAsia"/>
          <w:color w:val="auto"/>
          <w:sz w:val="24"/>
          <w:szCs w:val="24"/>
          <w:highlight w:val="none"/>
          <w:lang w:val="en-US" w:eastAsia="zh-CN"/>
        </w:rPr>
        <w:t xml:space="preserve">并对其各项资质进行调查、核实、备案。</w:t>
      </w:r>
      <w:r/>
    </w:p>
    <w:p>
      <w:pPr>
        <w:ind w:firstLine="480"/>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5、在疗休养过程中，成交供应商不得擅自增减疗休养项目，压缩疗休养时间，中止疗休养活动，因意外情况需变更行程、增减项目的，应及时征求采购人意见同意后方可实施。</w:t>
      </w:r>
      <w:r/>
    </w:p>
    <w:p>
      <w:pPr>
        <w:ind w:firstLine="480"/>
        <w:spacing w:line="400" w:lineRule="exact"/>
        <w:widowControl/>
        <w:rPr>
          <w:rFonts w:hint="eastAsia" w:ascii="宋体" w:hAnsi="宋体"/>
          <w:color w:val="auto"/>
          <w:sz w:val="24"/>
          <w:szCs w:val="24"/>
          <w:highlight w:val="none"/>
          <w:lang w:val="en-US" w:eastAsia="zh-CN"/>
        </w:rPr>
      </w:pPr>
      <w:r>
        <w:rPr>
          <w:rFonts w:hint="eastAsia"/>
          <w:color w:val="auto"/>
          <w:sz w:val="24"/>
          <w:szCs w:val="24"/>
          <w:highlight w:val="none"/>
          <w:lang w:val="en-US" w:eastAsia="zh-CN"/>
        </w:rPr>
        <w:t xml:space="preserve">6、</w:t>
      </w:r>
      <w:r>
        <w:rPr>
          <w:rFonts w:hint="eastAsia" w:ascii="宋体" w:hAnsi="宋体"/>
          <w:color w:val="auto"/>
          <w:sz w:val="24"/>
          <w:szCs w:val="24"/>
          <w:highlight w:val="none"/>
          <w:lang w:val="en-US" w:eastAsia="zh-CN"/>
        </w:rPr>
        <w:t xml:space="preserve">供应商有实施本项目</w:t>
      </w:r>
      <w:r>
        <w:rPr>
          <w:rFonts w:hint="eastAsia" w:ascii="宋体" w:hAnsi="宋体"/>
          <w:color w:val="auto"/>
          <w:sz w:val="24"/>
          <w:szCs w:val="24"/>
          <w:highlight w:val="none"/>
          <w:lang w:val="en-US" w:eastAsia="zh-CN"/>
        </w:rPr>
        <w:t xml:space="preserve">的项目经验</w:t>
      </w:r>
      <w:r>
        <w:rPr>
          <w:rFonts w:hint="eastAsia" w:ascii="宋体" w:hAnsi="宋体"/>
          <w:strike w:val="0"/>
          <w:color w:val="auto"/>
          <w:sz w:val="24"/>
          <w:szCs w:val="24"/>
          <w:highlight w:val="none"/>
          <w:lang w:val="en-US" w:eastAsia="zh-CN"/>
        </w:rPr>
        <w:t xml:space="preserve">和</w:t>
      </w:r>
      <w:r>
        <w:rPr>
          <w:rFonts w:hint="eastAsia" w:ascii="宋体" w:hAnsi="宋体"/>
          <w:color w:val="auto"/>
          <w:sz w:val="24"/>
          <w:szCs w:val="24"/>
          <w:highlight w:val="none"/>
          <w:lang w:val="en-US" w:eastAsia="zh-CN"/>
        </w:rPr>
        <w:t xml:space="preserve">服务能力，提供相应的服务方案，包括但不限于休养服务方案、交通安排方案、住宿安排方案、餐饮安排方案、质量保证措施及应急危机处理机制。</w:t>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pStyle w:val="803"/>
        <w:rPr>
          <w:rFonts w:ascii="黑体" w:hAnsi="黑体" w:eastAsia="黑体"/>
          <w:color w:val="auto"/>
          <w:sz w:val="28"/>
          <w:highlight w:val="none"/>
        </w:rPr>
      </w:pPr>
      <w:r>
        <w:rPr>
          <w:rFonts w:ascii="黑体" w:hAnsi="黑体" w:eastAsia="黑体"/>
          <w:color w:val="auto"/>
          <w:sz w:val="28"/>
          <w:highlight w:val="none"/>
        </w:rPr>
      </w:r>
      <w:r/>
    </w:p>
    <w:p>
      <w:pPr>
        <w:ind w:firstLine="420"/>
        <w:jc w:val="center"/>
        <w:spacing w:line="500" w:lineRule="exact"/>
        <w:tabs>
          <w:tab w:val="left" w:pos="525" w:leader="none"/>
          <w:tab w:val="left" w:pos="885" w:leader="none"/>
          <w:tab w:val="left" w:pos="945" w:leader="none"/>
        </w:tabs>
        <w:rPr>
          <w:rFonts w:ascii="宋体" w:hAnsi="宋体"/>
          <w:bCs/>
          <w:color w:val="auto"/>
          <w:sz w:val="24"/>
          <w:szCs w:val="24"/>
          <w:highlight w:val="none"/>
        </w:rPr>
      </w:pPr>
      <w:r/>
      <w:bookmarkStart w:id="60" w:name="_Toc19794"/>
      <w:r>
        <w:rPr>
          <w:rFonts w:hint="eastAsia" w:ascii="黑体" w:hAnsi="黑体" w:eastAsia="黑体"/>
          <w:color w:val="auto"/>
          <w:sz w:val="28"/>
          <w:highlight w:val="none"/>
        </w:rPr>
        <w:t xml:space="preserve">第四章 </w:t>
      </w:r>
      <w:r>
        <w:rPr>
          <w:rFonts w:hint="eastAsia" w:ascii="黑体" w:hAnsi="黑体" w:eastAsia="黑体"/>
          <w:bCs/>
          <w:color w:val="auto"/>
          <w:sz w:val="28"/>
          <w:highlight w:val="none"/>
        </w:rPr>
        <w:t xml:space="preserve">评标方法和标准</w:t>
      </w:r>
      <w:bookmarkEnd w:id="60"/>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一、评分项目（总分100分）</w:t>
      </w:r>
      <w:r/>
    </w:p>
    <w:tbl>
      <w:tblPr>
        <w:tblStyle w:val="781"/>
        <w:tblW w:w="7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技术商务部分</w:t>
            </w:r>
            <w:r/>
          </w:p>
        </w:tc>
        <w:tc>
          <w:tcPr>
            <w:tcW w:w="575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80</w:t>
            </w:r>
            <w:r>
              <w:rPr>
                <w:rFonts w:hint="eastAsia" w:ascii="宋体" w:hAnsi="宋体"/>
                <w:color w:val="auto"/>
                <w:sz w:val="24"/>
                <w:szCs w:val="24"/>
                <w:highlight w:val="none"/>
              </w:rPr>
              <w:t xml:space="preserve">分</w:t>
            </w:r>
            <w:r/>
          </w:p>
        </w:tc>
      </w:tr>
      <w:tr>
        <w:trPr>
          <w:jc w:val="center"/>
          <w:trHeight w:val="629"/>
        </w:trPr>
        <w:tc>
          <w:tcPr>
            <w:tcW w:w="178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75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分</w:t>
            </w:r>
            <w:r/>
          </w:p>
        </w:tc>
      </w:tr>
    </w:tbl>
    <w:p>
      <w:pPr>
        <w:rPr>
          <w:rFonts w:ascii="宋体" w:hAnsi="宋体"/>
          <w:color w:val="auto"/>
          <w:sz w:val="24"/>
          <w:szCs w:val="24"/>
          <w:highlight w:val="none"/>
        </w:rPr>
      </w:pPr>
      <w:r>
        <w:rPr>
          <w:rFonts w:ascii="宋体" w:hAnsi="宋体"/>
          <w:color w:val="auto"/>
          <w:sz w:val="24"/>
          <w:szCs w:val="24"/>
          <w:highlight w:val="none"/>
        </w:rPr>
      </w:r>
      <w:r/>
    </w:p>
    <w:p>
      <w:pPr>
        <w:numPr>
          <w:ilvl w:val="0"/>
          <w:numId w:val="6"/>
        </w:num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评审内容：</w:t>
      </w:r>
      <w:r/>
    </w:p>
    <w:p>
      <w:pPr>
        <w:numPr>
          <w:ilvl w:val="0"/>
          <w:numId w:val="0"/>
        </w:numPr>
        <w:jc w:val="left"/>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1、技术商务部分</w:t>
      </w:r>
      <w:r/>
    </w:p>
    <w:tbl>
      <w:tblPr>
        <w:tblStyle w:val="781"/>
        <w:tblpPr w:horzAnchor="page" w:tblpX="875" w:vertAnchor="text" w:tblpY="804" w:leftFromText="180" w:topFromText="0" w:rightFromText="180" w:bottomFromText="0"/>
        <w:tblW w:w="98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95"/>
        <w:gridCol w:w="533"/>
        <w:gridCol w:w="1017"/>
        <w:gridCol w:w="625"/>
        <w:gridCol w:w="6549"/>
      </w:tblGrid>
      <w:tr>
        <w:trPr>
          <w:trHeight w:val="1262"/>
        </w:trPr>
        <w:tc>
          <w:tcPr>
            <w:tcMar>
              <w:left w:w="15" w:type="dxa"/>
              <w:top w:w="15" w:type="dxa"/>
              <w:right w:w="15" w:type="dxa"/>
            </w:tcMar>
            <w:tcW w:w="1095" w:type="dxa"/>
            <w:vAlign w:val="center"/>
            <w:textDirection w:val="lrTb"/>
            <w:noWrap w:val="false"/>
          </w:tcPr>
          <w:p>
            <w:pPr>
              <w:jc w:val="center"/>
              <w:rPr>
                <w:rFonts w:ascii="宋体" w:hAnsi="宋体" w:cs="宋体"/>
                <w:b/>
                <w:bCs/>
                <w:color w:val="auto"/>
                <w:sz w:val="22"/>
                <w:szCs w:val="24"/>
                <w:highlight w:val="none"/>
              </w:rPr>
            </w:pPr>
            <w:r>
              <w:rPr>
                <w:rFonts w:hint="eastAsia" w:ascii="宋体" w:hAnsi="宋体" w:cs="宋体"/>
                <w:b/>
                <w:bCs/>
                <w:color w:val="auto"/>
                <w:sz w:val="22"/>
                <w:szCs w:val="24"/>
                <w:highlight w:val="none"/>
              </w:rPr>
              <w:t xml:space="preserve">评审内容</w:t>
            </w:r>
            <w:r/>
          </w:p>
        </w:tc>
        <w:tc>
          <w:tcPr>
            <w:tcMar>
              <w:left w:w="15" w:type="dxa"/>
              <w:top w:w="15" w:type="dxa"/>
              <w:right w:w="15" w:type="dxa"/>
            </w:tcMar>
            <w:tcW w:w="533" w:type="dxa"/>
            <w:vAlign w:val="center"/>
            <w:textDirection w:val="lrTb"/>
            <w:noWrap w:val="false"/>
          </w:tcPr>
          <w:p>
            <w:pPr>
              <w:jc w:val="center"/>
              <w:rPr>
                <w:rFonts w:ascii="宋体" w:hAnsi="宋体" w:cs="宋体"/>
                <w:b/>
                <w:bCs/>
                <w:color w:val="auto"/>
                <w:sz w:val="22"/>
                <w:szCs w:val="24"/>
                <w:highlight w:val="none"/>
              </w:rPr>
            </w:pPr>
            <w:r>
              <w:rPr>
                <w:rFonts w:hint="eastAsia" w:ascii="宋体" w:hAnsi="宋体" w:cs="宋体"/>
                <w:b/>
                <w:bCs/>
                <w:color w:val="auto"/>
                <w:sz w:val="22"/>
                <w:szCs w:val="24"/>
                <w:highlight w:val="none"/>
              </w:rPr>
              <w:t xml:space="preserve">序号</w:t>
            </w:r>
            <w:r/>
          </w:p>
        </w:tc>
        <w:tc>
          <w:tcPr>
            <w:tcMar>
              <w:left w:w="15" w:type="dxa"/>
              <w:top w:w="15" w:type="dxa"/>
              <w:right w:w="15" w:type="dxa"/>
            </w:tcMar>
            <w:tcW w:w="1017" w:type="dxa"/>
            <w:vAlign w:val="center"/>
            <w:textDirection w:val="lrTb"/>
            <w:noWrap w:val="false"/>
          </w:tcPr>
          <w:p>
            <w:pPr>
              <w:jc w:val="center"/>
              <w:rPr>
                <w:rFonts w:hint="eastAsia" w:ascii="宋体" w:hAnsi="宋体" w:cs="宋体"/>
                <w:b/>
                <w:bCs/>
                <w:color w:val="auto"/>
                <w:sz w:val="22"/>
                <w:szCs w:val="24"/>
                <w:highlight w:val="none"/>
              </w:rPr>
            </w:pPr>
            <w:r>
              <w:rPr>
                <w:rFonts w:hint="eastAsia" w:ascii="宋体" w:hAnsi="宋体" w:eastAsia="宋体" w:cs="宋体"/>
                <w:b/>
                <w:bCs/>
                <w:color w:val="auto"/>
                <w:sz w:val="22"/>
                <w:szCs w:val="24"/>
                <w:highlight w:val="none"/>
              </w:rPr>
              <w:t xml:space="preserve">评审项目</w:t>
            </w:r>
            <w:r/>
          </w:p>
        </w:tc>
        <w:tc>
          <w:tcPr>
            <w:tcMar>
              <w:left w:w="15" w:type="dxa"/>
              <w:top w:w="15" w:type="dxa"/>
              <w:right w:w="15" w:type="dxa"/>
            </w:tcMar>
            <w:tcW w:w="625" w:type="dxa"/>
            <w:vAlign w:val="center"/>
            <w:textDirection w:val="lrTb"/>
            <w:noWrap w:val="false"/>
          </w:tcPr>
          <w:p>
            <w:pPr>
              <w:jc w:val="center"/>
              <w:rPr>
                <w:rFonts w:ascii="宋体" w:hAnsi="宋体" w:cs="宋体"/>
                <w:b/>
                <w:bCs/>
                <w:color w:val="auto"/>
                <w:sz w:val="22"/>
                <w:szCs w:val="24"/>
                <w:highlight w:val="none"/>
              </w:rPr>
            </w:pPr>
            <w:r>
              <w:rPr>
                <w:rFonts w:hint="eastAsia" w:ascii="宋体" w:hAnsi="宋体" w:cs="宋体"/>
                <w:b/>
                <w:bCs/>
                <w:color w:val="auto"/>
                <w:sz w:val="22"/>
                <w:szCs w:val="24"/>
                <w:highlight w:val="none"/>
              </w:rPr>
              <w:t xml:space="preserve">分值</w:t>
            </w:r>
            <w:r/>
          </w:p>
        </w:tc>
        <w:tc>
          <w:tcPr>
            <w:tcMar>
              <w:left w:w="15" w:type="dxa"/>
              <w:top w:w="15" w:type="dxa"/>
              <w:right w:w="15" w:type="dxa"/>
            </w:tcMar>
            <w:tcW w:w="6549" w:type="dxa"/>
            <w:vAlign w:val="center"/>
            <w:textDirection w:val="lrTb"/>
            <w:noWrap w:val="false"/>
          </w:tcPr>
          <w:p>
            <w:pPr>
              <w:jc w:val="center"/>
              <w:rPr>
                <w:rFonts w:ascii="宋体" w:hAnsi="宋体" w:cs="宋体"/>
                <w:b/>
                <w:bCs/>
                <w:color w:val="auto"/>
                <w:sz w:val="22"/>
                <w:szCs w:val="24"/>
                <w:highlight w:val="none"/>
              </w:rPr>
            </w:pPr>
            <w:r>
              <w:rPr>
                <w:rFonts w:hint="eastAsia" w:ascii="宋体" w:hAnsi="宋体" w:cs="宋体"/>
                <w:b/>
                <w:bCs/>
                <w:color w:val="auto"/>
                <w:sz w:val="22"/>
                <w:szCs w:val="24"/>
                <w:highlight w:val="none"/>
              </w:rPr>
              <w:t xml:space="preserve">评审细则</w:t>
            </w:r>
            <w:r/>
          </w:p>
        </w:tc>
      </w:tr>
      <w:tr>
        <w:trPr>
          <w:trHeight w:val="3723"/>
        </w:trPr>
        <w:tc>
          <w:tcPr>
            <w:tcMar>
              <w:left w:w="15" w:type="dxa"/>
              <w:top w:w="15" w:type="dxa"/>
              <w:right w:w="15" w:type="dxa"/>
            </w:tcMar>
            <w:tcW w:w="1095" w:type="dxa"/>
            <w:vAlign w:val="center"/>
            <w:vMerge w:val="restart"/>
            <w:textDirection w:val="lrTb"/>
            <w:noWrap w:val="false"/>
          </w:tcPr>
          <w:p>
            <w:pPr>
              <w:rPr>
                <w:rFonts w:ascii="宋体" w:hAnsi="宋体" w:cs="宋体"/>
                <w:color w:val="auto"/>
                <w:szCs w:val="21"/>
                <w:highlight w:val="none"/>
              </w:rPr>
            </w:pPr>
            <w:r>
              <w:rPr>
                <w:rFonts w:hint="eastAsia" w:ascii="宋体" w:hAnsi="宋体" w:cs="宋体"/>
                <w:color w:val="auto"/>
                <w:sz w:val="24"/>
                <w:szCs w:val="24"/>
                <w:highlight w:val="none"/>
              </w:rPr>
              <w:t xml:space="preserve">技术部分</w:t>
            </w:r>
            <w:r/>
          </w:p>
        </w:tc>
        <w:tc>
          <w:tcPr>
            <w:tcMar>
              <w:left w:w="15" w:type="dxa"/>
              <w:top w:w="15" w:type="dxa"/>
              <w:right w:w="15" w:type="dxa"/>
            </w:tcMar>
            <w:tcW w:w="533" w:type="dxa"/>
            <w:vAlign w:val="center"/>
            <w:textDirection w:val="lrTb"/>
            <w:noWrap w:val="false"/>
          </w:tcPr>
          <w:p>
            <w:pPr>
              <w:jc w:val="center"/>
              <w:spacing w:line="400" w:lineRule="exact"/>
              <w:rPr>
                <w:rFonts w:ascii="宋体" w:hAnsi="宋体" w:cs="宋体"/>
                <w:color w:val="auto"/>
                <w:sz w:val="24"/>
                <w:szCs w:val="24"/>
                <w:highlight w:val="none"/>
                <w:lang w:bidi="ar"/>
              </w:rPr>
            </w:pPr>
            <w:r>
              <w:rPr>
                <w:rFonts w:ascii="宋体" w:hAnsi="宋体"/>
                <w:color w:val="auto"/>
                <w:highlight w:val="none"/>
              </w:rPr>
              <w:t xml:space="preserve">1</w:t>
            </w:r>
            <w:r/>
          </w:p>
        </w:tc>
        <w:tc>
          <w:tcPr>
            <w:tcMar>
              <w:left w:w="15" w:type="dxa"/>
              <w:top w:w="15" w:type="dxa"/>
              <w:right w:w="15" w:type="dxa"/>
            </w:tcMar>
            <w:tcW w:w="1017" w:type="dxa"/>
            <w:vAlign w:val="center"/>
            <w:textDirection w:val="lrTb"/>
            <w:noWrap w:val="false"/>
          </w:tcPr>
          <w:p>
            <w:pPr>
              <w:jc w:val="center"/>
              <w:spacing w:line="400" w:lineRule="exact"/>
              <w:rPr>
                <w:rFonts w:ascii="宋体" w:hAnsi="宋体"/>
                <w:color w:val="auto"/>
                <w:highlight w:val="none"/>
              </w:rPr>
            </w:pPr>
            <w:r>
              <w:rPr>
                <w:rFonts w:hint="eastAsia" w:ascii="宋体" w:hAnsi="宋体" w:cs="宋体"/>
                <w:b/>
                <w:color w:val="auto"/>
                <w:sz w:val="24"/>
                <w:szCs w:val="24"/>
                <w:highlight w:val="none"/>
              </w:rPr>
              <w:t xml:space="preserve">休养服务方案</w:t>
            </w:r>
            <w:r/>
          </w:p>
        </w:tc>
        <w:tc>
          <w:tcPr>
            <w:tcMar>
              <w:left w:w="15" w:type="dxa"/>
              <w:top w:w="15" w:type="dxa"/>
              <w:right w:w="15" w:type="dxa"/>
            </w:tcMar>
            <w:tcW w:w="625"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16分</w:t>
            </w:r>
            <w:r/>
          </w:p>
        </w:tc>
        <w:tc>
          <w:tcPr>
            <w:tcMar>
              <w:left w:w="15" w:type="dxa"/>
              <w:top w:w="15" w:type="dxa"/>
              <w:right w:w="15" w:type="dxa"/>
            </w:tcMar>
            <w:tcW w:w="6549" w:type="dxa"/>
            <w:vAlign w:val="center"/>
            <w:textDirection w:val="lrTb"/>
            <w:noWrap w:val="false"/>
          </w:tcPr>
          <w:p>
            <w:pPr>
              <w:rPr>
                <w:rFonts w:hint="eastAsia" w:ascii="宋体" w:hAnsi="宋体" w:cs="宋体"/>
                <w:color w:val="auto"/>
                <w:sz w:val="24"/>
                <w:szCs w:val="24"/>
                <w:highlight w:val="none"/>
              </w:rPr>
            </w:pPr>
            <w:r>
              <w:rPr>
                <w:rFonts w:ascii="宋体" w:hAnsi="宋体" w:eastAsia="宋体" w:cs="宋体"/>
                <w:color w:val="auto"/>
                <w:sz w:val="24"/>
                <w:szCs w:val="24"/>
                <w:highlight w:val="none"/>
                <w:lang w:val="en-US" w:eastAsia="zh-CN" w:bidi="ar"/>
              </w:rPr>
              <w:t xml:space="preserve">根据供应商</w:t>
            </w:r>
            <w:r>
              <w:rPr>
                <w:rFonts w:hint="eastAsia" w:ascii="宋体" w:hAnsi="宋体" w:eastAsia="宋体" w:cs="宋体"/>
                <w:color w:val="auto"/>
                <w:sz w:val="24"/>
                <w:szCs w:val="24"/>
                <w:highlight w:val="none"/>
                <w:lang w:val="en-US" w:eastAsia="zh-CN" w:bidi="ar"/>
              </w:rPr>
              <w:t xml:space="preserve">提供的休养服务方案</w:t>
            </w:r>
            <w:r>
              <w:rPr>
                <w:rFonts w:ascii="宋体" w:hAnsi="宋体" w:eastAsia="宋体" w:cs="宋体"/>
                <w:color w:val="auto"/>
                <w:sz w:val="24"/>
                <w:szCs w:val="24"/>
                <w:highlight w:val="none"/>
                <w:lang w:val="en-US" w:eastAsia="zh-CN" w:bidi="ar"/>
              </w:rPr>
              <w:t xml:space="preserve">进行综合评审打分，评审涵盖</w:t>
            </w:r>
            <w:r>
              <w:rPr>
                <w:rFonts w:hint="eastAsia" w:ascii="宋体" w:hAnsi="宋体" w:eastAsia="宋体" w:cs="宋体"/>
                <w:color w:val="auto"/>
                <w:sz w:val="24"/>
                <w:szCs w:val="24"/>
                <w:highlight w:val="none"/>
                <w:lang w:val="en-US" w:eastAsia="zh-CN" w:bidi="ar"/>
              </w:rPr>
              <w:t xml:space="preserve">路线</w:t>
            </w:r>
            <w:r>
              <w:rPr>
                <w:rFonts w:hint="eastAsia" w:ascii="宋体" w:hAnsi="宋体" w:eastAsia="宋体" w:cs="宋体"/>
                <w:color w:val="auto"/>
                <w:sz w:val="24"/>
                <w:szCs w:val="24"/>
                <w:highlight w:val="none"/>
                <w:lang w:val="zh-CN" w:eastAsia="zh-CN" w:bidi="ar"/>
              </w:rPr>
              <w:t xml:space="preserve">思路</w:t>
            </w:r>
            <w:r>
              <w:rPr>
                <w:rFonts w:hint="eastAsia" w:ascii="宋体" w:hAnsi="宋体" w:eastAsia="宋体" w:cs="宋体"/>
                <w:color w:val="auto"/>
                <w:sz w:val="24"/>
                <w:szCs w:val="24"/>
                <w:highlight w:val="none"/>
                <w:lang w:val="en-US" w:eastAsia="zh-CN" w:bidi="ar"/>
              </w:rPr>
              <w:t xml:space="preserve">、休养</w:t>
            </w:r>
            <w:r>
              <w:rPr>
                <w:rFonts w:hint="eastAsia" w:ascii="宋体" w:hAnsi="宋体" w:eastAsia="宋体" w:cs="宋体"/>
                <w:color w:val="auto"/>
                <w:sz w:val="24"/>
                <w:szCs w:val="24"/>
                <w:highlight w:val="none"/>
                <w:lang w:val="zh-CN" w:eastAsia="zh-CN" w:bidi="ar"/>
              </w:rPr>
              <w:t xml:space="preserve">主题（</w:t>
            </w:r>
            <w:r>
              <w:rPr>
                <w:rFonts w:hint="eastAsia" w:ascii="宋体" w:hAnsi="宋体" w:eastAsia="宋体" w:cs="宋体"/>
                <w:color w:val="auto"/>
                <w:sz w:val="24"/>
                <w:szCs w:val="24"/>
                <w:highlight w:val="none"/>
                <w:lang w:val="en-US" w:eastAsia="zh-CN" w:bidi="ar"/>
              </w:rPr>
              <w:t xml:space="preserve">包含但不限于各景点行程规划、选择等</w:t>
            </w:r>
            <w:r>
              <w:rPr>
                <w:rFonts w:hint="eastAsia" w:ascii="宋体" w:hAnsi="宋体" w:eastAsia="宋体" w:cs="宋体"/>
                <w:color w:val="auto"/>
                <w:sz w:val="24"/>
                <w:szCs w:val="24"/>
                <w:highlight w:val="none"/>
                <w:lang w:val="zh-CN" w:eastAsia="zh-CN" w:bidi="ar"/>
              </w:rPr>
              <w:t xml:space="preserve">）、活动内容</w:t>
            </w:r>
            <w:r>
              <w:rPr>
                <w:rFonts w:hint="eastAsia" w:ascii="宋体" w:hAnsi="宋体" w:eastAsia="宋体" w:cs="宋体"/>
                <w:color w:val="auto"/>
                <w:sz w:val="24"/>
                <w:szCs w:val="24"/>
                <w:highlight w:val="none"/>
                <w:lang w:val="en-US" w:eastAsia="zh-CN" w:bidi="ar"/>
              </w:rPr>
              <w:t xml:space="preserve">（包含休闲内容、预算和费用管理等）。</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方案内容全面、合理、可行、针对性强，完全满足项目需求得</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方案内容基本全面、</w:t>
            </w:r>
            <w:r>
              <w:rPr>
                <w:rFonts w:hint="eastAsia" w:ascii="宋体" w:hAnsi="宋体" w:cs="宋体"/>
                <w:color w:val="auto"/>
                <w:sz w:val="24"/>
                <w:szCs w:val="24"/>
                <w:highlight w:val="none"/>
                <w:lang w:val="en-US" w:eastAsia="zh-CN"/>
              </w:rPr>
              <w:t xml:space="preserve">基本</w:t>
            </w:r>
            <w:r>
              <w:rPr>
                <w:rFonts w:hint="eastAsia" w:ascii="宋体" w:hAnsi="宋体" w:cs="宋体"/>
                <w:color w:val="auto"/>
                <w:sz w:val="24"/>
                <w:szCs w:val="24"/>
                <w:highlight w:val="none"/>
              </w:rPr>
              <w:t xml:space="preserve">合理</w:t>
            </w:r>
            <w:r>
              <w:rPr>
                <w:rFonts w:hint="eastAsia" w:ascii="宋体" w:hAnsi="宋体" w:cs="宋体"/>
                <w:color w:val="auto"/>
                <w:sz w:val="24"/>
                <w:szCs w:val="24"/>
                <w:highlight w:val="none"/>
              </w:rPr>
              <w:t xml:space="preserve">、基本可行、有一定针对性，满足项目需求得</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方案内容不够全面、可行性较差、针对性不强，基本满足项目需求得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方案内容空泛、无针对性得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jc w:val="left"/>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rPr>
              <w:t xml:space="preserve">不提供不得分。</w:t>
            </w:r>
            <w:r/>
          </w:p>
        </w:tc>
      </w:tr>
      <w:tr>
        <w:trPr>
          <w:trHeight w:val="4746"/>
        </w:trPr>
        <w:tc>
          <w:tcPr>
            <w:tcMar>
              <w:left w:w="15" w:type="dxa"/>
              <w:top w:w="15" w:type="dxa"/>
              <w:right w:w="15" w:type="dxa"/>
            </w:tcMar>
            <w:tcW w:w="1095"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Mar>
              <w:left w:w="15" w:type="dxa"/>
              <w:top w:w="15" w:type="dxa"/>
              <w:right w:w="15" w:type="dxa"/>
            </w:tcMar>
            <w:tcW w:w="533" w:type="dxa"/>
            <w:vAlign w:val="center"/>
            <w:textDirection w:val="lrTb"/>
            <w:noWrap w:val="false"/>
          </w:tcPr>
          <w:p>
            <w:pPr>
              <w:jc w:val="center"/>
              <w:spacing w:line="400" w:lineRule="exact"/>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2</w:t>
            </w:r>
            <w:r/>
          </w:p>
        </w:tc>
        <w:tc>
          <w:tcPr>
            <w:tcMar>
              <w:left w:w="15" w:type="dxa"/>
              <w:top w:w="15" w:type="dxa"/>
              <w:right w:w="15" w:type="dxa"/>
            </w:tcMar>
            <w:tcW w:w="1017" w:type="dxa"/>
            <w:vAlign w:val="center"/>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餐饮安排方案</w:t>
            </w:r>
            <w:r/>
          </w:p>
        </w:tc>
        <w:tc>
          <w:tcPr>
            <w:tcMar>
              <w:left w:w="15" w:type="dxa"/>
              <w:top w:w="15" w:type="dxa"/>
              <w:right w:w="15" w:type="dxa"/>
            </w:tcMar>
            <w:tcW w:w="625" w:type="dxa"/>
            <w:vAlign w:val="center"/>
            <w:textDirection w:val="lrTb"/>
            <w:noWrap w:val="false"/>
          </w:tcPr>
          <w:p>
            <w:pPr>
              <w:jc w:val="center"/>
              <w:spacing w:line="400" w:lineRule="exact"/>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12分</w:t>
            </w:r>
            <w:r/>
          </w:p>
        </w:tc>
        <w:tc>
          <w:tcPr>
            <w:tcMar>
              <w:left w:w="15" w:type="dxa"/>
              <w:top w:w="15" w:type="dxa"/>
              <w:right w:w="15" w:type="dxa"/>
            </w:tcMar>
            <w:tcW w:w="6549" w:type="dxa"/>
            <w:vAlign w:val="center"/>
            <w:textDirection w:val="lrTb"/>
            <w:noWrap w:val="false"/>
          </w:tcPr>
          <w:p>
            <w:pPr>
              <w:rPr>
                <w:color w:val="auto"/>
                <w:sz w:val="24"/>
                <w:szCs w:val="24"/>
                <w:highlight w:val="none"/>
              </w:rPr>
            </w:pPr>
            <w:r>
              <w:rPr>
                <w:rFonts w:ascii="宋体" w:hAnsi="宋体" w:eastAsia="宋体" w:cs="宋体"/>
                <w:color w:val="auto"/>
                <w:sz w:val="24"/>
                <w:szCs w:val="24"/>
                <w:highlight w:val="none"/>
                <w:lang w:val="en-US" w:eastAsia="zh-CN" w:bidi="ar"/>
              </w:rPr>
              <w:t xml:space="preserve">根据供应商提供的线路餐饮安排方案进行综合评审打分，评审涵盖餐饮服务标准制定、各线路目的地餐饮安排、特色饮食调配、个性化饮食适配、餐饮服务管理、食品安全保障措施等核心内容</w:t>
            </w:r>
            <w:r>
              <w:rPr>
                <w:rFonts w:hint="eastAsia" w:ascii="宋体" w:hAnsi="宋体" w:eastAsia="宋体" w:cs="宋体"/>
                <w:color w:val="auto"/>
                <w:sz w:val="24"/>
                <w:szCs w:val="24"/>
                <w:highlight w:val="none"/>
                <w:lang w:val="en-US" w:eastAsia="zh-CN" w:bidi="ar"/>
              </w:rPr>
              <w:t xml:space="preserve">。</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方案体系完整，餐饮安排科学稳妥，落地性强，充分契合项目用餐需求得</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方案核心内容齐备，整体安排基本可行，可满足项目基本用餐需求得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方案存在较多内容缺失，落地保障不足，与项目用餐需求匹配度不高得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spacing w:line="400" w:lineRule="exact"/>
              <w:rPr>
                <w:color w:val="auto"/>
                <w:sz w:val="24"/>
                <w:szCs w:val="24"/>
                <w:highlight w:val="none"/>
              </w:rPr>
            </w:pPr>
            <w:r>
              <w:rPr>
                <w:rFonts w:hint="eastAsia" w:ascii="宋体" w:hAnsi="宋体" w:cs="宋体"/>
                <w:color w:val="auto"/>
                <w:sz w:val="24"/>
                <w:szCs w:val="24"/>
                <w:highlight w:val="none"/>
              </w:rPr>
              <w:t xml:space="preserve">方案内容简略，保障举措单薄，可行性与针对性偏弱得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不提供不得分。</w:t>
            </w:r>
            <w:r/>
          </w:p>
        </w:tc>
      </w:tr>
      <w:tr>
        <w:trPr>
          <w:trHeight w:val="3875"/>
        </w:trPr>
        <w:tc>
          <w:tcPr>
            <w:tcMar>
              <w:left w:w="15" w:type="dxa"/>
              <w:top w:w="15" w:type="dxa"/>
              <w:right w:w="15" w:type="dxa"/>
            </w:tcMar>
            <w:tcW w:w="1095"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Mar>
              <w:left w:w="15" w:type="dxa"/>
              <w:top w:w="15" w:type="dxa"/>
              <w:right w:w="15" w:type="dxa"/>
            </w:tcMar>
            <w:tcW w:w="533" w:type="dxa"/>
            <w:vAlign w:val="center"/>
            <w:textDirection w:val="lrTb"/>
            <w:noWrap w:val="false"/>
          </w:tcPr>
          <w:p>
            <w:pPr>
              <w:jc w:val="center"/>
              <w:spacing w:line="400" w:lineRule="exact"/>
              <w:rPr>
                <w:rFonts w:hint="default" w:ascii="宋体" w:hAnsi="宋体"/>
                <w:color w:val="auto"/>
                <w:highlight w:val="none"/>
                <w:lang w:val="en-US" w:eastAsia="zh-CN"/>
              </w:rPr>
            </w:pPr>
            <w:r>
              <w:rPr>
                <w:rFonts w:hint="eastAsia" w:ascii="宋体" w:hAnsi="宋体"/>
                <w:color w:val="auto"/>
                <w:highlight w:val="none"/>
                <w:lang w:val="en-US" w:eastAsia="zh-CN"/>
              </w:rPr>
              <w:t xml:space="preserve">3</w:t>
            </w:r>
            <w:r/>
          </w:p>
        </w:tc>
        <w:tc>
          <w:tcPr>
            <w:tcMar>
              <w:left w:w="15" w:type="dxa"/>
              <w:top w:w="15" w:type="dxa"/>
              <w:right w:w="15" w:type="dxa"/>
            </w:tcMar>
            <w:tcW w:w="1017" w:type="dxa"/>
            <w:vAlign w:val="center"/>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住宿安排方案</w:t>
            </w:r>
            <w:r/>
          </w:p>
        </w:tc>
        <w:tc>
          <w:tcPr>
            <w:tcMar>
              <w:left w:w="15" w:type="dxa"/>
              <w:top w:w="15" w:type="dxa"/>
              <w:right w:w="15" w:type="dxa"/>
            </w:tcMar>
            <w:tcW w:w="625" w:type="dxa"/>
            <w:vAlign w:val="center"/>
            <w:textDirection w:val="lrTb"/>
            <w:noWrap w:val="false"/>
          </w:tcPr>
          <w:p>
            <w:pPr>
              <w:jc w:val="center"/>
              <w:spacing w:line="400" w:lineRule="exact"/>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12分</w:t>
            </w:r>
            <w:r/>
          </w:p>
        </w:tc>
        <w:tc>
          <w:tcPr>
            <w:tcMar>
              <w:left w:w="15" w:type="dxa"/>
              <w:top w:w="15" w:type="dxa"/>
              <w:right w:w="15" w:type="dxa"/>
            </w:tcMar>
            <w:tcW w:w="6549" w:type="dxa"/>
            <w:vAlign w:val="center"/>
            <w:textDirection w:val="lrTb"/>
            <w:noWrap w:val="false"/>
          </w:tcPr>
          <w:p>
            <w:pPr>
              <w:jc w:val="left"/>
              <w:keepLines w:val="0"/>
              <w:keepNext w:val="0"/>
              <w:widowControl/>
              <w:rPr>
                <w:rFonts w:hint="eastAsia" w:ascii="宋体" w:hAnsi="宋体" w:cs="宋体"/>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根据供应商提供的各线路住宿安排方案进行综合评审打分，评审涵盖住宿基地遴选标准、住宿日常管理制度、突发事件处置预案、各目的地住宿配置、备选酒店档次规格、点位储备数量及出行便捷性等核心内容</w:t>
            </w:r>
            <w:r>
              <w:rPr>
                <w:rFonts w:hint="eastAsia" w:ascii="宋体" w:hAnsi="宋体" w:eastAsia="宋体" w:cs="宋体"/>
                <w:color w:val="auto"/>
                <w:sz w:val="24"/>
                <w:szCs w:val="24"/>
                <w:highlight w:val="none"/>
                <w:lang w:val="en-US" w:eastAsia="zh-CN" w:bidi="ar"/>
              </w:rPr>
              <w:t xml:space="preserve">。</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方案完整规范，安全合理，落地性强，贴合项目住宿保障需求得12分；</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方案基本齐全，总体合规可行，具备一定针对性得9分；</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方案存在较多缺漏，可行性偏弱，针对性不足得6分；</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方案内容空洞，无实质内容，缺乏针对性得3分；</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不提供不得分。</w:t>
            </w:r>
            <w:r/>
          </w:p>
        </w:tc>
      </w:tr>
      <w:tr>
        <w:trPr>
          <w:trHeight w:val="413"/>
        </w:trPr>
        <w:tc>
          <w:tcPr>
            <w:tcMar>
              <w:left w:w="15" w:type="dxa"/>
              <w:top w:w="15" w:type="dxa"/>
              <w:right w:w="15" w:type="dxa"/>
            </w:tcMar>
            <w:tcW w:w="1095"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Mar>
              <w:left w:w="15" w:type="dxa"/>
              <w:top w:w="15" w:type="dxa"/>
              <w:right w:w="15" w:type="dxa"/>
            </w:tcMar>
            <w:tcW w:w="533"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w:t>
            </w:r>
            <w:r/>
          </w:p>
        </w:tc>
        <w:tc>
          <w:tcPr>
            <w:tcMar>
              <w:left w:w="15" w:type="dxa"/>
              <w:top w:w="15" w:type="dxa"/>
              <w:right w:w="15" w:type="dxa"/>
            </w:tcMar>
            <w:tcW w:w="1017" w:type="dxa"/>
            <w:vAlign w:val="center"/>
            <w:textDirection w:val="lrTb"/>
            <w:noWrap w:val="false"/>
          </w:tcPr>
          <w:p>
            <w:pPr>
              <w:jc w:val="center"/>
              <w:spacing w:line="400" w:lineRule="exact"/>
              <w:rPr>
                <w:rFonts w:ascii="宋体" w:hAnsi="宋体"/>
                <w:color w:val="auto"/>
                <w:highlight w:val="none"/>
              </w:rPr>
            </w:pPr>
            <w:r>
              <w:rPr>
                <w:rFonts w:hint="eastAsia" w:ascii="宋体" w:hAnsi="宋体" w:cs="宋体"/>
                <w:b/>
                <w:color w:val="auto"/>
                <w:sz w:val="24"/>
                <w:szCs w:val="24"/>
                <w:highlight w:val="none"/>
              </w:rPr>
              <w:t xml:space="preserve">交通安排方案</w:t>
            </w:r>
            <w:r/>
          </w:p>
        </w:tc>
        <w:tc>
          <w:tcPr>
            <w:tcMar>
              <w:left w:w="15" w:type="dxa"/>
              <w:top w:w="15" w:type="dxa"/>
              <w:right w:w="15" w:type="dxa"/>
            </w:tcMar>
            <w:tcW w:w="625"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10分</w:t>
            </w:r>
            <w:r/>
          </w:p>
        </w:tc>
        <w:tc>
          <w:tcPr>
            <w:tcMar>
              <w:left w:w="15" w:type="dxa"/>
              <w:top w:w="15" w:type="dxa"/>
              <w:right w:w="15" w:type="dxa"/>
            </w:tcMar>
            <w:tcW w:w="6549" w:type="dxa"/>
            <w:vAlign w:val="center"/>
            <w:textDirection w:val="lrTb"/>
            <w:noWrap w:val="false"/>
          </w:tcPr>
          <w:p>
            <w:pPr>
              <w:rPr>
                <w:rFonts w:hint="eastAsia" w:ascii="宋体" w:hAnsi="宋体" w:cs="宋体"/>
                <w:color w:val="auto"/>
                <w:sz w:val="24"/>
                <w:szCs w:val="24"/>
                <w:highlight w:val="none"/>
              </w:rPr>
            </w:pPr>
            <w:r>
              <w:rPr>
                <w:rFonts w:ascii="宋体" w:hAnsi="宋体" w:eastAsia="宋体" w:cs="宋体"/>
                <w:color w:val="auto"/>
                <w:sz w:val="24"/>
                <w:szCs w:val="24"/>
                <w:highlight w:val="none"/>
                <w:lang w:val="en-US" w:eastAsia="zh-CN" w:bidi="ar"/>
              </w:rPr>
              <w:t xml:space="preserve">根据</w:t>
            </w:r>
            <w:r>
              <w:rPr>
                <w:rFonts w:hint="eastAsia" w:ascii="宋体" w:hAnsi="宋体" w:cs="宋体"/>
                <w:color w:val="auto"/>
                <w:sz w:val="24"/>
                <w:szCs w:val="24"/>
                <w:highlight w:val="none"/>
              </w:rPr>
              <w:t xml:space="preserve">供应商提供的各线路交通安排方案开展逐项审核与综合评分，评审涵盖出行方式统筹规划、全程交通保障措施、交通安全管理注意事项等全部核心内容</w:t>
            </w:r>
            <w:r>
              <w:rPr>
                <w:rFonts w:hint="eastAsia" w:ascii="宋体" w:hAnsi="宋体" w:cs="宋体"/>
                <w:color w:val="auto"/>
                <w:sz w:val="24"/>
                <w:szCs w:val="24"/>
                <w:highlight w:val="none"/>
                <w:lang w:val="en-US" w:eastAsia="zh-CN"/>
              </w:rPr>
              <w:t xml:space="preserve">。</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方案内容完整详实，逻辑科学规范，落地可行性高，紧密贴合工作实际与核心问题，靶向性、针对性突出得10分。</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方案内容较为完整，整体架构合理，具备基本落地条件，能够对应工作需求，拥有一定的问题针对性得7分。</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方案内容存在较多缺漏，整体合理性不足，落地实施难度大、可行性偏弱，贴合度与针对性较差得4分。</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方案内容空洞笼统，无实质举措、无落地思路，脱离实际工作，完全不具备针对性得1分。</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不提供不得分。</w:t>
            </w:r>
            <w:r/>
          </w:p>
        </w:tc>
      </w:tr>
      <w:tr>
        <w:trPr>
          <w:trHeight w:val="3640"/>
        </w:trPr>
        <w:tc>
          <w:tcPr>
            <w:tcMar>
              <w:left w:w="15" w:type="dxa"/>
              <w:top w:w="15" w:type="dxa"/>
              <w:right w:w="15" w:type="dxa"/>
            </w:tcMar>
            <w:tcW w:w="1095"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Mar>
              <w:left w:w="15" w:type="dxa"/>
              <w:top w:w="15" w:type="dxa"/>
              <w:right w:w="15" w:type="dxa"/>
            </w:tcMar>
            <w:tcW w:w="533" w:type="dxa"/>
            <w:vAlign w:val="center"/>
            <w:textDirection w:val="lrTb"/>
            <w:noWrap w:val="false"/>
          </w:tcPr>
          <w:p>
            <w:pPr>
              <w:jc w:val="center"/>
              <w:spacing w:line="400" w:lineRule="exact"/>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5</w:t>
            </w:r>
            <w:r/>
          </w:p>
        </w:tc>
        <w:tc>
          <w:tcPr>
            <w:tcMar>
              <w:left w:w="15" w:type="dxa"/>
              <w:top w:w="15" w:type="dxa"/>
              <w:right w:w="15" w:type="dxa"/>
            </w:tcMar>
            <w:tcW w:w="1017" w:type="dxa"/>
            <w:vAlign w:val="center"/>
            <w:textDirection w:val="lrTb"/>
            <w:noWrap w:val="false"/>
          </w:tcPr>
          <w:p>
            <w:pPr>
              <w:jc w:val="center"/>
              <w:spacing w:line="400" w:lineRule="exact"/>
              <w:rPr>
                <w:rFonts w:hint="eastAsia" w:ascii="宋体" w:hAnsi="宋体"/>
                <w:color w:val="auto"/>
                <w:highlight w:val="none"/>
                <w:lang w:val="en-US" w:eastAsia="zh-CN"/>
              </w:rPr>
            </w:pPr>
            <w:r>
              <w:rPr>
                <w:rFonts w:hint="eastAsia" w:ascii="宋体" w:hAnsi="宋体" w:cs="宋体"/>
                <w:color w:val="auto"/>
                <w:sz w:val="24"/>
                <w:szCs w:val="24"/>
                <w:highlight w:val="none"/>
              </w:rPr>
              <w:t xml:space="preserve">特殊情况应急预案</w:t>
            </w:r>
            <w:r/>
          </w:p>
        </w:tc>
        <w:tc>
          <w:tcPr>
            <w:tcMar>
              <w:left w:w="15" w:type="dxa"/>
              <w:top w:w="15" w:type="dxa"/>
              <w:right w:w="15" w:type="dxa"/>
            </w:tcMar>
            <w:tcW w:w="625" w:type="dxa"/>
            <w:vAlign w:val="center"/>
            <w:textDirection w:val="lrTb"/>
            <w:noWrap w:val="false"/>
          </w:tcPr>
          <w:p>
            <w:pPr>
              <w:jc w:val="center"/>
              <w:spacing w:line="400" w:lineRule="exact"/>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c>
          <w:tcPr>
            <w:tcMar>
              <w:left w:w="15" w:type="dxa"/>
              <w:top w:w="15" w:type="dxa"/>
              <w:right w:w="15" w:type="dxa"/>
            </w:tcMar>
            <w:tcW w:w="6549"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ascii="宋体" w:hAnsi="宋体" w:eastAsia="宋体" w:cs="宋体"/>
                <w:color w:val="auto"/>
                <w:sz w:val="24"/>
                <w:szCs w:val="24"/>
                <w:highlight w:val="none"/>
                <w:lang w:val="en-US" w:eastAsia="zh-CN" w:bidi="ar"/>
              </w:rPr>
              <w:t xml:space="preserve">根据供应商提供的</w:t>
            </w:r>
            <w:r>
              <w:rPr>
                <w:rFonts w:hint="eastAsia" w:ascii="宋体" w:hAnsi="宋体" w:cs="宋体"/>
                <w:color w:val="auto"/>
                <w:sz w:val="24"/>
                <w:szCs w:val="24"/>
                <w:highlight w:val="none"/>
              </w:rPr>
              <w:t xml:space="preserve">特殊情况应急预案</w:t>
            </w:r>
            <w:r>
              <w:rPr>
                <w:rFonts w:ascii="宋体" w:hAnsi="宋体" w:eastAsia="宋体" w:cs="宋体"/>
                <w:color w:val="auto"/>
                <w:sz w:val="24"/>
                <w:szCs w:val="24"/>
                <w:highlight w:val="none"/>
                <w:lang w:val="en-US" w:eastAsia="zh-CN" w:bidi="ar"/>
              </w:rPr>
              <w:t xml:space="preserve">进行综合评审打分，</w:t>
            </w:r>
            <w:r>
              <w:rPr>
                <w:rFonts w:hint="eastAsia" w:ascii="宋体" w:hAnsi="宋体" w:cs="宋体"/>
                <w:color w:val="auto"/>
                <w:sz w:val="24"/>
                <w:szCs w:val="24"/>
                <w:highlight w:val="none"/>
              </w:rPr>
              <w:t xml:space="preserve">评审涵盖应急事件处理整体方案、事故现场急救常识、各类突发事件的应急处理方案、自然灾害类事故应急方案</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lang w:val="en-US" w:eastAsia="zh-CN"/>
              </w:rPr>
              <w:t xml:space="preserve">。</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方案完整，科学合理，设计清晰详细，完全符合本项目需求，且能够提供上述全部内容方案的，得10分；</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方案较完整，科学合理性较强，设计较清晰详细，能够符合本项目需求，能够提供上述部分内容方案的，得7分；</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方案完整性一般，科学合理性一般，设计清晰详细程度一般，基本符合本项目需求方案的，得4分；</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方案内容空泛、无针对性得1分；</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不提供不得分。</w:t>
            </w:r>
            <w:r/>
          </w:p>
        </w:tc>
      </w:tr>
      <w:tr>
        <w:trPr>
          <w:trHeight w:val="550"/>
        </w:trPr>
        <w:tc>
          <w:tcPr>
            <w:tcMar>
              <w:left w:w="15" w:type="dxa"/>
              <w:top w:w="15" w:type="dxa"/>
              <w:right w:w="15" w:type="dxa"/>
            </w:tcMar>
            <w:tcW w:w="1095"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shd w:val="clear" w:color="auto" w:fill="auto"/>
            <w:tcMar>
              <w:left w:w="15" w:type="dxa"/>
              <w:top w:w="15" w:type="dxa"/>
              <w:right w:w="15" w:type="dxa"/>
            </w:tcMar>
            <w:tcW w:w="533"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p>
        </w:tc>
        <w:tc>
          <w:tcPr>
            <w:shd w:val="clear" w:color="auto" w:fill="auto"/>
            <w:tcMar>
              <w:left w:w="15" w:type="dxa"/>
              <w:top w:w="15" w:type="dxa"/>
              <w:right w:w="15" w:type="dxa"/>
            </w:tcMar>
            <w:tcW w:w="1017" w:type="dxa"/>
            <w:vAlign w:val="center"/>
            <w:textDirection w:val="lrTb"/>
            <w:noWrap w:val="false"/>
          </w:tcPr>
          <w:p>
            <w:pPr>
              <w:jc w:val="center"/>
              <w:spacing w:line="400" w:lineRule="exact"/>
              <w:rPr>
                <w:rFonts w:hint="eastAsia" w:ascii="宋体" w:hAnsi="宋体" w:eastAsia="宋体" w:cs="Times New Roman"/>
                <w:color w:val="auto"/>
                <w:sz w:val="21"/>
                <w:highlight w:val="none"/>
                <w:lang w:val="en-US" w:eastAsia="zh-CN" w:bidi="ar-SA"/>
              </w:rPr>
            </w:pPr>
            <w:r>
              <w:rPr>
                <w:rFonts w:hint="eastAsia" w:ascii="宋体" w:hAnsi="宋体" w:cs="宋体"/>
                <w:color w:val="auto"/>
                <w:sz w:val="24"/>
                <w:szCs w:val="24"/>
                <w:highlight w:val="none"/>
              </w:rPr>
              <w:t xml:space="preserve">过失及意外保障措施</w:t>
            </w:r>
            <w:r/>
          </w:p>
        </w:tc>
        <w:tc>
          <w:tcPr>
            <w:shd w:val="clear" w:color="auto" w:fill="auto"/>
            <w:tcMar>
              <w:left w:w="15" w:type="dxa"/>
              <w:top w:w="15" w:type="dxa"/>
              <w:right w:w="15" w:type="dxa"/>
            </w:tcMar>
            <w:tcW w:w="625"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tc>
        <w:tc>
          <w:tcPr>
            <w:shd w:val="clear" w:color="auto" w:fill="auto"/>
            <w:tcMar>
              <w:left w:w="15" w:type="dxa"/>
              <w:top w:w="15" w:type="dxa"/>
              <w:right w:w="15" w:type="dxa"/>
            </w:tcMar>
            <w:tcW w:w="6549" w:type="dxa"/>
            <w:vAlign w:val="center"/>
            <w:textDirection w:val="lrTb"/>
            <w:noWrap w:val="false"/>
          </w:tcPr>
          <w:p>
            <w:pPr>
              <w:jc w:val="left"/>
              <w:spacing w:line="400" w:lineRule="exact"/>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lang w:val="en-US" w:eastAsia="zh-CN" w:bidi="ar"/>
              </w:rPr>
              <w:t xml:space="preserve">根据供应商提供的</w:t>
            </w:r>
            <w:r>
              <w:rPr>
                <w:rFonts w:hint="eastAsia" w:ascii="宋体" w:hAnsi="宋体" w:cs="宋体"/>
                <w:color w:val="auto"/>
                <w:sz w:val="24"/>
                <w:szCs w:val="24"/>
                <w:highlight w:val="none"/>
              </w:rPr>
              <w:t xml:space="preserve">过失及意外保障措施</w:t>
            </w:r>
            <w:r>
              <w:rPr>
                <w:rFonts w:ascii="宋体" w:hAnsi="宋体" w:eastAsia="宋体" w:cs="宋体"/>
                <w:color w:val="auto"/>
                <w:sz w:val="24"/>
                <w:szCs w:val="24"/>
                <w:highlight w:val="none"/>
                <w:lang w:val="en-US" w:eastAsia="zh-CN" w:bidi="ar"/>
              </w:rPr>
              <w:t xml:space="preserve">方案进行综合评审打分，</w:t>
            </w:r>
            <w:r>
              <w:rPr>
                <w:rFonts w:hint="eastAsia" w:ascii="宋体" w:hAnsi="宋体" w:cs="宋体"/>
                <w:color w:val="auto"/>
                <w:sz w:val="24"/>
                <w:szCs w:val="24"/>
                <w:highlight w:val="none"/>
              </w:rPr>
              <w:t xml:space="preserve">评审内容涵盖过失及意外保障措施意外伤害风险规避措施、意外伤害发生后的应对与处理</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意外伤害赔偿措施</w:t>
            </w:r>
            <w:r>
              <w:rPr>
                <w:rFonts w:hint="eastAsia" w:ascii="宋体" w:hAnsi="宋体" w:cs="宋体"/>
                <w:color w:val="auto"/>
                <w:sz w:val="24"/>
                <w:szCs w:val="24"/>
                <w:highlight w:val="none"/>
                <w:lang w:val="en-US" w:eastAsia="zh-CN"/>
              </w:rPr>
              <w:t xml:space="preserve">等。</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方案完整，科学合理，设计清晰详细，完全符合本项目需求，且能够提供全部内容的方案的，得8分；</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方案较完整，科学合理性较强，设计较清晰详细，能够符合本项目需求，能够提供部分内容方案的，得6分；</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方案完整性一般，科学合理性一般，设计清晰详细程度一般，基本符合本项目需求方案的，得4分。</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方案内容空泛、无针对性得2分；</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不提供不得分。</w:t>
            </w:r>
            <w:r/>
          </w:p>
        </w:tc>
      </w:tr>
      <w:tr>
        <w:trPr>
          <w:trHeight w:val="1222"/>
        </w:trPr>
        <w:tc>
          <w:tcPr>
            <w:tcMar>
              <w:left w:w="15" w:type="dxa"/>
              <w:top w:w="15" w:type="dxa"/>
              <w:right w:w="15" w:type="dxa"/>
            </w:tcMar>
            <w:tcW w:w="109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tcMar>
            <w:tcW w:w="533" w:type="dxa"/>
            <w:vAlign w:val="center"/>
            <w:textDirection w:val="lrTb"/>
            <w:noWrap w:val="false"/>
          </w:tcPr>
          <w:p>
            <w:pPr>
              <w:jc w:val="center"/>
              <w:spacing w:line="4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Mar>
              <w:left w:w="15" w:type="dxa"/>
              <w:top w:w="15" w:type="dxa"/>
              <w:right w:w="15" w:type="dxa"/>
            </w:tcMar>
            <w:tcW w:w="101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rPr>
              <w:t xml:space="preserve">质量保证措施</w:t>
            </w:r>
            <w:r/>
          </w:p>
        </w:tc>
        <w:tc>
          <w:tcPr>
            <w:tcMar>
              <w:left w:w="15" w:type="dxa"/>
              <w:top w:w="15" w:type="dxa"/>
              <w:right w:w="15" w:type="dxa"/>
            </w:tcMar>
            <w:tcW w:w="625" w:type="dxa"/>
            <w:vAlign w:val="center"/>
            <w:textDirection w:val="lrTb"/>
            <w:noWrap w:val="false"/>
          </w:tcPr>
          <w:p>
            <w:pPr>
              <w:jc w:val="center"/>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8分</w:t>
            </w:r>
            <w:r/>
          </w:p>
        </w:tc>
        <w:tc>
          <w:tcPr>
            <w:tcMar>
              <w:left w:w="15" w:type="dxa"/>
              <w:top w:w="15" w:type="dxa"/>
              <w:right w:w="15" w:type="dxa"/>
            </w:tcMar>
            <w:tcW w:w="6549" w:type="dxa"/>
            <w:vAlign w:val="center"/>
            <w:textDirection w:val="lrTb"/>
            <w:noWrap w:val="false"/>
          </w:tcPr>
          <w:p>
            <w:pPr>
              <w:tabs>
                <w:tab w:val="left" w:pos="0" w:leader="none"/>
              </w:tabs>
              <w:rPr>
                <w:rFonts w:hint="eastAsia" w:ascii="宋体" w:hAnsi="宋体" w:cs="宋体"/>
                <w:color w:val="auto"/>
                <w:sz w:val="24"/>
                <w:szCs w:val="24"/>
                <w:highlight w:val="none"/>
              </w:rPr>
            </w:pPr>
            <w:r>
              <w:rPr>
                <w:rFonts w:ascii="宋体" w:hAnsi="宋体" w:eastAsia="宋体" w:cs="宋体"/>
                <w:color w:val="auto"/>
                <w:sz w:val="24"/>
                <w:szCs w:val="24"/>
                <w:highlight w:val="none"/>
              </w:rPr>
              <w:t xml:space="preserve">依据供应商提供的质量保证措施</w:t>
            </w:r>
            <w:r>
              <w:rPr>
                <w:rFonts w:ascii="宋体" w:hAnsi="宋体" w:eastAsia="宋体" w:cs="宋体"/>
                <w:color w:val="auto"/>
                <w:sz w:val="24"/>
                <w:szCs w:val="24"/>
                <w:highlight w:val="none"/>
                <w:lang w:val="en-US" w:eastAsia="zh-CN" w:bidi="ar"/>
              </w:rPr>
              <w:t xml:space="preserve">进行综合评审打分</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评审涵盖</w:t>
            </w:r>
            <w:r>
              <w:rPr>
                <w:rFonts w:ascii="宋体" w:hAnsi="宋体" w:eastAsia="宋体" w:cs="宋体"/>
                <w:color w:val="auto"/>
                <w:sz w:val="24"/>
                <w:szCs w:val="24"/>
                <w:highlight w:val="none"/>
              </w:rPr>
              <w:t xml:space="preserve">质量保证方法、管理措施、内部质量管控机制、业务操作规程以及健康休养全流程风险防控保障、配套服务体系等</w:t>
            </w:r>
            <w:r>
              <w:rPr>
                <w:rFonts w:hint="eastAsia" w:ascii="宋体" w:hAnsi="宋体" w:eastAsia="宋体" w:cs="宋体"/>
                <w:color w:val="auto"/>
                <w:sz w:val="24"/>
                <w:szCs w:val="24"/>
                <w:highlight w:val="none"/>
                <w:lang w:val="en-US" w:eastAsia="zh-CN"/>
              </w:rPr>
              <w:t xml:space="preserve">。</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质量保障体系完备，管控举措科学有效，可全面满足项目采购要求得8分；</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主要保障举措齐全，管控举措基本可行，能够满足项目基本采购要求得6分；</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保障措施存在重要缺漏，管控举措落地困难，与采购要求契合度偏低得4分；</w:t>
            </w:r>
            <w:r/>
          </w:p>
          <w:p>
            <w:pPr>
              <w:jc w:val="left"/>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措施表述流于形式，缺少实质性管控手段，难以匹配采购要求得2分；</w:t>
            </w:r>
            <w:r/>
          </w:p>
          <w:p>
            <w:pPr>
              <w:jc w:val="left"/>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不提供不得分。</w:t>
            </w:r>
            <w:r/>
          </w:p>
        </w:tc>
      </w:tr>
      <w:tr>
        <w:trPr>
          <w:trHeight w:val="1222"/>
        </w:trPr>
        <w:tc>
          <w:tcPr>
            <w:tcMar>
              <w:left w:w="15" w:type="dxa"/>
              <w:top w:w="15" w:type="dxa"/>
              <w:right w:w="15" w:type="dxa"/>
            </w:tcMar>
            <w:tcW w:w="109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tcMar>
            <w:tcW w:w="533"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Mar>
              <w:left w:w="15" w:type="dxa"/>
              <w:top w:w="15" w:type="dxa"/>
              <w:right w:w="15" w:type="dxa"/>
            </w:tcMar>
            <w:tcW w:w="101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tc>
        <w:tc>
          <w:tcPr>
            <w:tcMar>
              <w:left w:w="15" w:type="dxa"/>
              <w:top w:w="15" w:type="dxa"/>
              <w:right w:w="15" w:type="dxa"/>
            </w:tcMar>
            <w:tcW w:w="625"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4分</w:t>
            </w:r>
            <w:r/>
          </w:p>
        </w:tc>
        <w:tc>
          <w:tcPr>
            <w:tcMar>
              <w:left w:w="15" w:type="dxa"/>
              <w:top w:w="15" w:type="dxa"/>
              <w:right w:w="15" w:type="dxa"/>
            </w:tcMar>
            <w:tcW w:w="654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供应商自2024年1月1日(合同签订时间)至今具有</w:t>
            </w:r>
            <w:r>
              <w:rPr>
                <w:rFonts w:hint="eastAsia" w:ascii="宋体" w:hAnsi="宋体" w:cs="宋体"/>
                <w:color w:val="auto"/>
                <w:sz w:val="24"/>
                <w:szCs w:val="24"/>
                <w:highlight w:val="none"/>
                <w:lang w:val="en-US" w:eastAsia="zh-CN"/>
              </w:rPr>
              <w:t xml:space="preserve">疗休养</w:t>
            </w:r>
            <w:r>
              <w:rPr>
                <w:rFonts w:hint="eastAsia" w:ascii="宋体" w:hAnsi="宋体" w:eastAsia="宋体" w:cs="宋体"/>
                <w:color w:val="auto"/>
                <w:sz w:val="24"/>
                <w:szCs w:val="24"/>
                <w:highlight w:val="none"/>
              </w:rPr>
              <w:t xml:space="preserve">服务业绩，提供服务合同原件扫描件得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分，未提供的不得分。</w:t>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2、价格部分</w:t>
      </w:r>
      <w:r/>
    </w:p>
    <w:tbl>
      <w:tblPr>
        <w:tblStyle w:val="7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9"/>
        <w:gridCol w:w="1480"/>
        <w:gridCol w:w="951"/>
        <w:gridCol w:w="6287"/>
      </w:tblGrid>
      <w:tr>
        <w:trPr>
          <w:cantSplit/>
          <w:jc w:val="center"/>
          <w:trHeight w:val="880"/>
        </w:trPr>
        <w:tc>
          <w:tcPr>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95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28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价格部分</w:t>
            </w:r>
            <w:r/>
          </w:p>
        </w:tc>
        <w:tc>
          <w:tcPr>
            <w:tcBorders>
              <w:top w:val="single" w:color="auto" w:sz="4" w:space="0"/>
              <w:left w:val="single" w:color="auto" w:sz="4" w:space="0"/>
              <w:right w:val="single" w:color="auto" w:sz="4" w:space="0"/>
            </w:tcBorders>
            <w:tcW w:w="95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287" w:type="dxa"/>
            <w:vAlign w:val="center"/>
            <w:textDirection w:val="lrTb"/>
            <w:noWrap w:val="false"/>
          </w:tcPr>
          <w:p>
            <w:pPr>
              <w:widowControl/>
              <w:rPr>
                <w:rFonts w:hint="eastAsia" w:ascii="宋体" w:hAnsi="宋体"/>
                <w:color w:val="auto"/>
                <w:sz w:val="24"/>
                <w:szCs w:val="24"/>
                <w:highlight w:val="none"/>
              </w:rPr>
            </w:pPr>
            <w:r>
              <w:rPr>
                <w:rFonts w:hint="eastAsia" w:ascii="宋体" w:hAnsi="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widowControl/>
              <w:rPr>
                <w:rFonts w:ascii="宋体" w:hAnsi="宋体"/>
                <w:b/>
                <w:bCs/>
                <w:color w:val="auto"/>
                <w:szCs w:val="21"/>
                <w:highlight w:val="none"/>
              </w:rPr>
            </w:pPr>
            <w:r>
              <w:rPr>
                <w:rFonts w:hint="eastAsia" w:ascii="宋体" w:hAnsi="宋体"/>
                <w:color w:val="auto"/>
                <w:sz w:val="24"/>
                <w:szCs w:val="24"/>
                <w:highlight w:val="none"/>
              </w:rPr>
              <w:t xml:space="preserve">磋商报价得分=（磋商基准价/最后磋商报价）×</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分。（小数点后保留两位）</w:t>
            </w:r>
            <w:r/>
          </w:p>
        </w:tc>
      </w:tr>
    </w:tbl>
    <w:p>
      <w:pPr>
        <w:jc w:val="left"/>
        <w:rPr>
          <w:rFonts w:ascii="宋体" w:hAnsi="宋体"/>
          <w:b/>
          <w:bCs/>
          <w:color w:val="auto"/>
          <w:sz w:val="24"/>
          <w:szCs w:val="24"/>
          <w:highlight w:val="none"/>
        </w:rPr>
      </w:pPr>
      <w:r>
        <w:rPr>
          <w:rFonts w:ascii="宋体" w:hAnsi="宋体"/>
          <w:b/>
          <w:bCs/>
          <w:color w:val="auto"/>
          <w:sz w:val="24"/>
          <w:szCs w:val="24"/>
          <w:highlight w:val="none"/>
        </w:rPr>
      </w:r>
      <w:r/>
    </w:p>
    <w:p>
      <w:pPr>
        <w:jc w:val="left"/>
        <w:rPr>
          <w:rFonts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ind w:firstLine="480"/>
        <w:jc w:val="left"/>
        <w:rPr>
          <w:rFonts w:ascii="宋体" w:hAnsi="宋体"/>
          <w:color w:val="auto"/>
          <w:sz w:val="24"/>
          <w:szCs w:val="24"/>
          <w:highlight w:val="none"/>
        </w:rPr>
      </w:pPr>
      <w:r>
        <w:rPr>
          <w:rFonts w:hint="eastAsia" w:ascii="宋体" w:hAnsi="宋体"/>
          <w:color w:val="auto"/>
          <w:sz w:val="24"/>
          <w:szCs w:val="24"/>
          <w:highlight w:val="none"/>
        </w:rPr>
        <w:t xml:space="preserve">2、投标文件中必须提供以上相关证明材料复印件，否则不予加分；</w:t>
      </w:r>
      <w:r/>
    </w:p>
    <w:p>
      <w:pPr>
        <w:rPr>
          <w:color w:val="auto"/>
          <w:highlight w:val="none"/>
        </w:rPr>
      </w:pPr>
      <w:r>
        <w:rPr>
          <w:color w:val="auto"/>
          <w:highlight w:val="none"/>
        </w:rPr>
      </w:r>
      <w:r/>
    </w:p>
    <w:p>
      <w:pPr>
        <w:numPr>
          <w:ilvl w:val="0"/>
          <w:numId w:val="0"/>
        </w:numPr>
        <w:ind w:firstLine="480"/>
        <w:spacing w:line="360" w:lineRule="auto"/>
        <w:rPr>
          <w:rFonts w:hint="eastAsia" w:ascii="宋体" w:hAnsi="宋体"/>
          <w:color w:val="auto"/>
          <w:sz w:val="24"/>
          <w:szCs w:val="24"/>
          <w:highlight w:val="none"/>
        </w:rPr>
        <w:outlineLvl w:val="0"/>
      </w:pP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color w:val="auto"/>
          <w:sz w:val="24"/>
          <w:szCs w:val="24"/>
          <w:highlight w:val="none"/>
        </w:rPr>
        <w:t xml:space="preserve">若供应商提供的证明材料不能体现评审要素的，其有效性由评标委员会决定。</w:t>
      </w:r>
      <w:r/>
    </w:p>
    <w:p>
      <w:pPr>
        <w:ind w:firstLine="480"/>
        <w:spacing w:line="360" w:lineRule="auto"/>
        <w:rPr>
          <w:rFonts w:ascii="宋体" w:hAnsi="宋体"/>
          <w:color w:val="auto"/>
          <w:sz w:val="24"/>
          <w:szCs w:val="24"/>
          <w:highlight w:val="none"/>
        </w:rPr>
      </w:pPr>
      <w:r>
        <w:rPr>
          <w:rFonts w:hint="eastAsia" w:ascii="宋体" w:hAnsi="宋体"/>
          <w:b w:val="0"/>
          <w:bCs w:val="0"/>
          <w:color w:val="auto"/>
          <w:sz w:val="24"/>
          <w:szCs w:val="24"/>
          <w:highlight w:val="none"/>
          <w:lang w:val="en-US" w:eastAsia="zh-CN"/>
        </w:rPr>
        <w:t xml:space="preserve">4、</w:t>
      </w:r>
      <w:r>
        <w:rPr>
          <w:rFonts w:hint="eastAsia" w:ascii="宋体" w:hAnsi="宋体"/>
          <w:b w:val="0"/>
          <w:bCs w:val="0"/>
          <w:color w:val="auto"/>
          <w:sz w:val="24"/>
          <w:szCs w:val="24"/>
          <w:highlight w:val="none"/>
        </w:rPr>
        <w:t xml:space="preserve">采</w:t>
      </w:r>
      <w:r>
        <w:rPr>
          <w:rFonts w:hint="eastAsia" w:ascii="宋体" w:hAnsi="宋体"/>
          <w:color w:val="auto"/>
          <w:sz w:val="24"/>
          <w:szCs w:val="24"/>
          <w:highlight w:val="none"/>
        </w:rPr>
        <w:t xml:space="preserve">购评审中出现下列情形之一的，评审委员会将启动异常低价投标审查程序：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③投标（响应）报价低于采购项目最高限价45%的，即投标（响应）报价&lt;采购项目最高限价×45%；</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④评审委员会基于专业判断，认为供应商报价过低，有可能影响产品质量或者不能诚信履约的其他情形。</w:t>
      </w:r>
      <w:r/>
    </w:p>
    <w:p>
      <w:pPr>
        <w:numPr>
          <w:ilvl w:val="0"/>
          <w:numId w:val="0"/>
        </w:numPr>
        <w:ind w:firstLine="480"/>
        <w:spacing w:line="360" w:lineRule="auto"/>
        <w:rPr>
          <w:rFonts w:ascii="黑体" w:hAnsi="黑体" w:eastAsia="黑体"/>
          <w:color w:val="auto"/>
          <w:sz w:val="28"/>
          <w:highlight w:val="none"/>
        </w:rPr>
        <w:outlineLvl w:val="0"/>
      </w:pPr>
      <w:r>
        <w:rPr>
          <w:rFonts w:hint="eastAsia" w:ascii="宋体" w:hAnsi="宋体" w:cs="Times New Roman"/>
          <w:b w:val="0"/>
          <w:bCs w:val="0"/>
          <w:color w:val="auto"/>
          <w:sz w:val="24"/>
          <w:szCs w:val="24"/>
          <w:highlight w:val="none"/>
          <w:lang w:val="en-US" w:eastAsia="zh-CN"/>
        </w:rPr>
        <w:t xml:space="preserve">5、</w:t>
      </w:r>
      <w:r>
        <w:rPr>
          <w:rFonts w:hint="eastAsia" w:ascii="宋体" w:hAnsi="宋体" w:cs="宋体"/>
          <w:bCs/>
          <w:color w:val="auto"/>
          <w:sz w:val="24"/>
          <w:szCs w:val="24"/>
          <w:highlight w:val="none"/>
          <w:lang w:val="en-US" w:eastAsia="zh-CN"/>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黑体" w:hAnsi="黑体" w:eastAsia="黑体"/>
          <w:color w:val="auto"/>
          <w:sz w:val="28"/>
          <w:highlight w:val="none"/>
        </w:rPr>
        <w:br w:type="page" w:clear="all"/>
      </w:r>
      <w:bookmarkEnd w:id="59"/>
      <w:r/>
      <w:bookmarkStart w:id="61" w:name="_Toc526779129"/>
      <w:r/>
      <w:bookmarkStart w:id="62" w:name="_Toc487900374"/>
      <w:r/>
      <w:bookmarkStart w:id="63" w:name="_Toc29764"/>
      <w:r/>
      <w:bookmarkStart w:id="64" w:name="_Toc5576"/>
      <w:r/>
      <w:bookmarkStart w:id="65" w:name="_Toc2535"/>
      <w:r/>
      <w:bookmarkEnd w:id="61"/>
      <w:bookmarkEnd w:id="62"/>
      <w:bookmarkEnd w:id="63"/>
      <w:bookmarkEnd w:id="64"/>
      <w:bookmarkEnd w:id="65"/>
      <w:r/>
    </w:p>
    <w:p>
      <w:pPr>
        <w:ind w:firstLine="560"/>
        <w:jc w:val="center"/>
        <w:spacing w:line="360" w:lineRule="auto"/>
        <w:rPr>
          <w:rFonts w:hint="eastAsia" w:ascii="黑体" w:hAnsi="黑体" w:eastAsia="黑体"/>
          <w:color w:val="auto"/>
          <w:sz w:val="28"/>
          <w:highlight w:val="none"/>
        </w:rPr>
        <w:outlineLvl w:val="0"/>
      </w:pPr>
      <w:r/>
      <w:bookmarkStart w:id="66" w:name="_Toc24602"/>
      <w:r/>
      <w:bookmarkStart w:id="67" w:name="_Toc3743"/>
      <w:r/>
      <w:bookmarkStart w:id="68" w:name="_Toc27444"/>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ind w:firstLine="560"/>
        <w:jc w:val="center"/>
        <w:spacing w:line="360" w:lineRule="auto"/>
        <w:rPr>
          <w:rFonts w:ascii="黑体" w:hAnsi="黑体" w:eastAsia="黑体"/>
          <w:color w:val="auto"/>
          <w:sz w:val="28"/>
          <w:highlight w:val="none"/>
        </w:rPr>
        <w:outlineLvl w:val="0"/>
      </w:pPr>
      <w:r>
        <w:rPr>
          <w:rFonts w:hint="eastAsia" w:ascii="黑体" w:hAnsi="黑体" w:eastAsia="黑体"/>
          <w:color w:val="auto"/>
          <w:sz w:val="28"/>
          <w:highlight w:val="none"/>
        </w:rPr>
        <w:t xml:space="preserve">第五章 政府采购合同（格式）</w:t>
      </w:r>
      <w:r/>
    </w:p>
    <w:p>
      <w:pPr>
        <w:pStyle w:val="1003"/>
        <w:ind w:firstLine="0"/>
        <w:jc w:val="right"/>
        <w:rPr>
          <w:rFonts w:hAnsi="宋体" w:cs="宋体"/>
          <w:b/>
          <w:color w:val="auto"/>
          <w:sz w:val="28"/>
          <w:szCs w:val="28"/>
          <w:highlight w:val="none"/>
          <w:lang w:val="zh-CN"/>
        </w:rPr>
      </w:pPr>
      <w:r>
        <w:rPr>
          <w:rFonts w:hAnsi="宋体" w:cs="宋体"/>
          <w:b/>
          <w:color w:val="auto"/>
          <w:sz w:val="28"/>
          <w:szCs w:val="28"/>
          <w:highlight w:val="none"/>
          <w:lang w:val="zh-CN"/>
        </w:rPr>
      </w:r>
      <w:r/>
    </w:p>
    <w:p>
      <w:pPr>
        <w:pStyle w:val="1003"/>
        <w:ind w:firstLine="0"/>
        <w:jc w:val="right"/>
        <w:rPr>
          <w:rFonts w:hAnsi="宋体" w:cs="宋体"/>
          <w:color w:val="auto"/>
          <w:szCs w:val="24"/>
          <w:highlight w:val="none"/>
        </w:rPr>
      </w:pPr>
      <w:r>
        <w:rPr>
          <w:rFonts w:hint="eastAsia" w:hAnsi="宋体" w:cs="宋体"/>
          <w:color w:val="auto"/>
          <w:szCs w:val="24"/>
          <w:highlight w:val="none"/>
        </w:rPr>
        <w:t xml:space="preserve">政府采购计划号：</w:t>
      </w:r>
      <w:r/>
    </w:p>
    <w:p>
      <w:pPr>
        <w:pStyle w:val="1003"/>
        <w:ind w:firstLine="0"/>
        <w:rPr>
          <w:rFonts w:hAnsi="宋体" w:cs="宋体"/>
          <w:color w:val="auto"/>
          <w:szCs w:val="24"/>
          <w:highlight w:val="none"/>
        </w:rPr>
      </w:pPr>
      <w:r>
        <w:rPr>
          <w:rFonts w:hAnsi="宋体" w:cs="宋体"/>
          <w:color w:val="auto"/>
          <w:szCs w:val="24"/>
          <w:highlight w:val="none"/>
        </w:rPr>
      </w:r>
      <w:r/>
    </w:p>
    <w:p>
      <w:pPr>
        <w:pStyle w:val="1003"/>
        <w:ind w:firstLine="0"/>
        <w:rPr>
          <w:rFonts w:hAnsi="宋体" w:cs="宋体"/>
          <w:color w:val="auto"/>
          <w:szCs w:val="24"/>
          <w:highlight w:val="none"/>
        </w:rPr>
      </w:pPr>
      <w:r>
        <w:rPr>
          <w:rFonts w:hAnsi="宋体" w:cs="宋体"/>
          <w:color w:val="auto"/>
          <w:szCs w:val="24"/>
          <w:highlight w:val="none"/>
        </w:rPr>
      </w:r>
      <w:r/>
    </w:p>
    <w:p>
      <w:pPr>
        <w:pStyle w:val="1003"/>
        <w:ind w:firstLine="0"/>
        <w:jc w:val="center"/>
        <w:rPr>
          <w:rFonts w:hAnsi="宋体" w:cs="宋体"/>
          <w:b/>
          <w:color w:val="auto"/>
          <w:szCs w:val="24"/>
          <w:highlight w:val="none"/>
        </w:rPr>
      </w:pPr>
      <w:r>
        <w:rPr>
          <w:rFonts w:hint="eastAsia" w:hAnsi="宋体" w:cs="宋体"/>
          <w:b/>
          <w:color w:val="auto"/>
          <w:szCs w:val="24"/>
          <w:highlight w:val="none"/>
        </w:rPr>
        <w:t xml:space="preserve">第一部分 合同书</w:t>
      </w:r>
      <w:r/>
    </w:p>
    <w:p>
      <w:pPr>
        <w:pStyle w:val="1003"/>
        <w:ind w:firstLine="0"/>
        <w:rPr>
          <w:rFonts w:hAnsi="宋体" w:cs="宋体"/>
          <w:color w:val="auto"/>
          <w:szCs w:val="24"/>
          <w:highlight w:val="none"/>
        </w:rPr>
      </w:pPr>
      <w:r>
        <w:rPr>
          <w:rFonts w:hAnsi="宋体" w:cs="宋体"/>
          <w:color w:val="auto"/>
          <w:szCs w:val="24"/>
          <w:highlight w:val="none"/>
        </w:rPr>
      </w:r>
      <w:r/>
    </w:p>
    <w:p>
      <w:pPr>
        <w:pStyle w:val="1003"/>
        <w:ind w:firstLine="0"/>
        <w:rPr>
          <w:rFonts w:hAnsi="宋体" w:cs="宋体"/>
          <w:color w:val="auto"/>
          <w:szCs w:val="24"/>
          <w:highlight w:val="none"/>
        </w:rPr>
      </w:pPr>
      <w:r>
        <w:rPr>
          <w:rFonts w:hAnsi="宋体" w:cs="宋体"/>
          <w:color w:val="auto"/>
          <w:szCs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58"/>
        <w:spacing w:before="120" w:line="22" w:lineRule="atLeast"/>
        <w:rPr>
          <w:rFonts w:hint="default" w:ascii="宋体" w:hAnsi="宋体" w:cs="宋体"/>
          <w:color w:val="auto"/>
          <w:sz w:val="24"/>
          <w:highlight w:val="none"/>
          <w:u w:val="singl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eastAsia="zh-CN"/>
        </w:rPr>
        <w:t xml:space="preserve">宜兴市优秀公务员健康休养服务采购项目</w:t>
      </w:r>
      <w:r>
        <w:rPr>
          <w:rFonts w:hint="eastAsia" w:ascii="宋体" w:hAnsi="宋体" w:cs="宋体"/>
          <w:color w:val="auto"/>
          <w:sz w:val="24"/>
          <w:highlight w:val="none"/>
          <w:u w:val="single"/>
          <w:lang w:val="en-US" w:eastAsia="zh-CN"/>
        </w:rPr>
        <w:t xml:space="preserve">    </w:t>
      </w:r>
      <w:r/>
    </w:p>
    <w:p>
      <w:pPr>
        <w:ind w:left="958"/>
        <w:spacing w:before="120" w:line="22" w:lineRule="atLeas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958"/>
        <w:spacing w:before="120" w:line="22" w:lineRule="atLeast"/>
        <w:rPr>
          <w:rFonts w:hint="default" w:ascii="宋体" w:hAnsi="宋体" w:cs="宋体"/>
          <w:color w:val="auto"/>
          <w:sz w:val="24"/>
          <w:highlight w:val="none"/>
          <w:u w:val="single"/>
          <w:lang w:val="en-US" w:eastAsia="zh-CN"/>
        </w:rPr>
      </w:pPr>
      <w:r>
        <w:rPr>
          <w:rFonts w:hint="eastAsia" w:ascii="宋体" w:hAnsi="宋体" w:cs="宋体"/>
          <w:bCs/>
          <w:color w:val="auto"/>
          <w:highlight w:val="none"/>
        </w:rPr>
        <w:t xml:space="preserve">项目编号：</w:t>
      </w:r>
      <w:r>
        <w:rPr>
          <w:rFonts w:hint="eastAsia" w:ascii="宋体" w:hAnsi="宋体" w:cs="宋体"/>
          <w:bCs/>
          <w:color w:val="auto"/>
          <w:highlight w:val="none"/>
          <w:u w:val="single"/>
        </w:rPr>
        <w:t xml:space="preserve">     </w:t>
      </w:r>
      <w:r>
        <w:rPr>
          <w:rFonts w:hint="eastAsia" w:ascii="宋体" w:hAnsi="宋体" w:cs="宋体"/>
          <w:color w:val="auto"/>
          <w:sz w:val="24"/>
          <w:highlight w:val="none"/>
          <w:u w:val="single"/>
          <w:lang w:eastAsia="zh-CN"/>
        </w:rPr>
        <w:t xml:space="preserve">JSZC-320282-JGGC-C2026-0005</w:t>
      </w:r>
      <w:r>
        <w:rPr>
          <w:rFonts w:hint="eastAsia" w:ascii="宋体" w:hAnsi="宋体" w:cs="宋体"/>
          <w:color w:val="auto"/>
          <w:sz w:val="24"/>
          <w:highlight w:val="none"/>
          <w:u w:val="single"/>
          <w:lang w:val="en-US" w:eastAsia="zh-CN"/>
        </w:rPr>
        <w:t xml:space="preserve">   </w:t>
      </w:r>
      <w:r/>
    </w:p>
    <w:p>
      <w:pPr>
        <w:pStyle w:val="812"/>
        <w:rPr>
          <w:color w:val="auto"/>
          <w:highlight w:val="none"/>
        </w:rPr>
      </w:pPr>
      <w:r>
        <w:rPr>
          <w:color w:val="auto"/>
          <w:highlight w:val="none"/>
        </w:rPr>
      </w:r>
      <w:r/>
    </w:p>
    <w:p>
      <w:pPr>
        <w:ind w:left="958"/>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640"/>
        <w:jc w:val="center"/>
        <w:spacing w:line="600" w:lineRule="exact"/>
        <w:rPr>
          <w:rFonts w:ascii="宋体" w:hAnsi="宋体" w:cs="宋体"/>
          <w:color w:val="auto"/>
          <w:sz w:val="24"/>
          <w:highlight w:val="none"/>
        </w:rPr>
        <w:sectPr>
          <w:headerReference w:type="default" r:id="rId9"/>
          <w:footerReference w:type="default" r:id="rId11"/>
          <w:footnotePr/>
          <w:endnotePr/>
          <w:type w:val="nextPage"/>
          <w:pgSz w:w="11907" w:h="16840" w:orient="portrait"/>
          <w:pgMar w:top="1134" w:right="1134" w:bottom="1134" w:left="1134" w:header="851" w:footer="850" w:gutter="0"/>
          <w:cols w:num="1" w:sep="0" w:space="1701" w:equalWidth="1"/>
          <w:docGrid w:linePitch="360"/>
        </w:sect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中国共产党宜兴市委员会组织部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竞争性磋商的采购方式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宜兴市优秀公务员健康休养服务采购项目</w:t>
      </w:r>
      <w:r>
        <w:rPr>
          <w:rFonts w:hint="eastAsia" w:ascii="宋体" w:hAnsi="宋体" w:cs="宋体"/>
          <w:color w:val="auto"/>
          <w:sz w:val="24"/>
          <w:highlight w:val="none"/>
        </w:rPr>
        <w:t xml:space="preserve">进行了采购。经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u w:val="single"/>
          <w:lang w:eastAsia="zh-CN"/>
        </w:rPr>
        <w:t xml:space="preserve">中国共产党宜兴市委员会组织部</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中国共产党宜兴市委员会组织部</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b/>
          <w:color w:val="auto"/>
          <w:sz w:val="24"/>
          <w:highlight w:val="none"/>
        </w:rPr>
      </w:pPr>
      <w:r/>
      <w:bookmarkStart w:id="69" w:name="_Toc24059"/>
      <w:r/>
      <w:bookmarkStart w:id="70" w:name="_Toc3029"/>
      <w:r/>
      <w:bookmarkStart w:id="71" w:name="_Toc2232"/>
      <w:r>
        <w:rPr>
          <w:rFonts w:hint="eastAsia" w:ascii="宋体" w:hAnsi="宋体" w:cs="宋体"/>
          <w:b/>
          <w:color w:val="auto"/>
          <w:sz w:val="24"/>
          <w:highlight w:val="none"/>
        </w:rPr>
        <w:t xml:space="preserve">1.1 合同组成部分</w:t>
      </w:r>
      <w:bookmarkEnd w:id="69"/>
      <w:r/>
      <w:bookmarkEnd w:id="70"/>
      <w:r/>
      <w:bookmarkEnd w:id="7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1.1.1 本合同及其补充合同、变更协议；</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1.1.2 中标通知书；</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1.1.3 投标文件（含澄清或者说明文件）；</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1.1.4 招标文件（含澄清或者修改文件）；</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spacing w:line="560" w:lineRule="exact"/>
        <w:rPr>
          <w:rFonts w:ascii="宋体" w:hAnsi="宋体" w:cs="宋体"/>
          <w:b/>
          <w:color w:val="auto"/>
          <w:sz w:val="24"/>
          <w:highlight w:val="none"/>
        </w:rPr>
      </w:pPr>
      <w:r/>
      <w:bookmarkStart w:id="72" w:name="_Toc27126"/>
      <w:r/>
      <w:bookmarkStart w:id="73" w:name="_Toc24300"/>
      <w:r/>
      <w:bookmarkStart w:id="74" w:name="_Toc21295"/>
      <w:r>
        <w:rPr>
          <w:rFonts w:hint="eastAsia" w:ascii="宋体" w:hAnsi="宋体" w:cs="宋体"/>
          <w:b/>
          <w:color w:val="auto"/>
          <w:sz w:val="24"/>
          <w:highlight w:val="none"/>
        </w:rPr>
        <w:t xml:space="preserve">1.2 </w:t>
      </w:r>
      <w:bookmarkEnd w:id="72"/>
      <w:r/>
      <w:bookmarkEnd w:id="73"/>
      <w:r/>
      <w:bookmarkEnd w:id="74"/>
      <w:r>
        <w:rPr>
          <w:rFonts w:hint="eastAsia" w:ascii="宋体" w:hAnsi="宋体" w:cs="宋体"/>
          <w:b/>
          <w:color w:val="auto"/>
          <w:sz w:val="24"/>
          <w:highlight w:val="none"/>
        </w:rPr>
        <w:t xml:space="preserve">标的</w:t>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1.2.1项目名称：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1.2.2 项目数量：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1.2.3 项目质量：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560" w:lineRule="exact"/>
        <w:rPr>
          <w:rFonts w:ascii="宋体" w:hAnsi="宋体" w:cs="宋体"/>
          <w:b/>
          <w:color w:val="auto"/>
          <w:sz w:val="24"/>
          <w:highlight w:val="none"/>
        </w:rPr>
      </w:pPr>
      <w:r/>
      <w:bookmarkStart w:id="75" w:name="_Toc21631"/>
      <w:r/>
      <w:bookmarkStart w:id="76" w:name="_Toc21551"/>
      <w:r/>
      <w:bookmarkStart w:id="77" w:name="_Toc23292"/>
      <w:r>
        <w:rPr>
          <w:rFonts w:hint="eastAsia" w:ascii="宋体" w:hAnsi="宋体" w:cs="宋体"/>
          <w:b/>
          <w:color w:val="auto"/>
          <w:sz w:val="24"/>
          <w:highlight w:val="none"/>
        </w:rPr>
        <w:t xml:space="preserve">1.3 价款</w:t>
      </w:r>
      <w:bookmarkEnd w:id="75"/>
      <w:r/>
      <w:bookmarkEnd w:id="76"/>
      <w:r/>
      <w:bookmarkEnd w:id="77"/>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分项价格：</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1005"/>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822" w:type="dxa"/>
            <w:vAlign w:val="center"/>
            <w:textDirection w:val="lrTb"/>
            <w:noWrap w:val="false"/>
          </w:tcPr>
          <w:p>
            <w:pPr>
              <w:pStyle w:val="1005"/>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868" w:type="dxa"/>
            <w:vAlign w:val="center"/>
            <w:textDirection w:val="lrTb"/>
            <w:noWrap w:val="false"/>
          </w:tcPr>
          <w:p>
            <w:pPr>
              <w:pStyle w:val="1005"/>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521"/>
        </w:trPr>
        <w:tc>
          <w:tcPr>
            <w:tcW w:w="1350" w:type="dxa"/>
            <w:vAlign w:val="center"/>
            <w:textDirection w:val="lrTb"/>
            <w:noWrap w:val="false"/>
          </w:tcPr>
          <w:p>
            <w:pPr>
              <w:pStyle w:val="100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2" w:type="dxa"/>
            <w:vAlign w:val="center"/>
            <w:textDirection w:val="lrTb"/>
            <w:noWrap w:val="false"/>
          </w:tcPr>
          <w:p>
            <w:pPr>
              <w:pStyle w:val="100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8" w:type="dxa"/>
            <w:vAlign w:val="center"/>
            <w:textDirection w:val="lrTb"/>
            <w:noWrap w:val="false"/>
          </w:tcPr>
          <w:p>
            <w:pPr>
              <w:pStyle w:val="100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521"/>
        </w:trPr>
        <w:tc>
          <w:tcPr>
            <w:tcW w:w="1350" w:type="dxa"/>
            <w:vAlign w:val="center"/>
            <w:textDirection w:val="lrTb"/>
            <w:noWrap w:val="false"/>
          </w:tcPr>
          <w:p>
            <w:pPr>
              <w:pStyle w:val="100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2" w:type="dxa"/>
            <w:vAlign w:val="center"/>
            <w:textDirection w:val="lrTb"/>
            <w:noWrap w:val="false"/>
          </w:tcPr>
          <w:p>
            <w:pPr>
              <w:pStyle w:val="100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8" w:type="dxa"/>
            <w:vAlign w:val="center"/>
            <w:textDirection w:val="lrTb"/>
            <w:noWrap w:val="false"/>
          </w:tcPr>
          <w:p>
            <w:pPr>
              <w:pStyle w:val="100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521"/>
        </w:trPr>
        <w:tc>
          <w:tcPr>
            <w:tcW w:w="1350" w:type="dxa"/>
            <w:vAlign w:val="center"/>
            <w:textDirection w:val="lrTb"/>
            <w:noWrap w:val="false"/>
          </w:tcPr>
          <w:p>
            <w:pPr>
              <w:pStyle w:val="100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2" w:type="dxa"/>
            <w:vAlign w:val="center"/>
            <w:textDirection w:val="lrTb"/>
            <w:noWrap w:val="false"/>
          </w:tcPr>
          <w:p>
            <w:pPr>
              <w:pStyle w:val="100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8" w:type="dxa"/>
            <w:vAlign w:val="center"/>
            <w:textDirection w:val="lrTb"/>
            <w:noWrap w:val="false"/>
          </w:tcPr>
          <w:p>
            <w:pPr>
              <w:pStyle w:val="100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521"/>
        </w:trPr>
        <w:tc>
          <w:tcPr>
            <w:tcW w:w="1350" w:type="dxa"/>
            <w:vAlign w:val="center"/>
            <w:textDirection w:val="lrTb"/>
            <w:noWrap w:val="false"/>
          </w:tcPr>
          <w:p>
            <w:pPr>
              <w:pStyle w:val="100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2" w:type="dxa"/>
            <w:vAlign w:val="center"/>
            <w:textDirection w:val="lrTb"/>
            <w:noWrap w:val="false"/>
          </w:tcPr>
          <w:p>
            <w:pPr>
              <w:pStyle w:val="100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8" w:type="dxa"/>
            <w:vAlign w:val="center"/>
            <w:textDirection w:val="lrTb"/>
            <w:noWrap w:val="false"/>
          </w:tcPr>
          <w:p>
            <w:pPr>
              <w:pStyle w:val="100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530"/>
        </w:trPr>
        <w:tc>
          <w:tcPr>
            <w:gridSpan w:val="2"/>
            <w:tcW w:w="5172" w:type="dxa"/>
            <w:vAlign w:val="center"/>
            <w:textDirection w:val="lrTb"/>
            <w:noWrap w:val="false"/>
          </w:tcPr>
          <w:p>
            <w:pPr>
              <w:pStyle w:val="1005"/>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868" w:type="dxa"/>
            <w:vAlign w:val="center"/>
            <w:textDirection w:val="lrTb"/>
            <w:noWrap w:val="false"/>
          </w:tcPr>
          <w:p>
            <w:pPr>
              <w:pStyle w:val="100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highlight w:val="none"/>
        </w:rPr>
      </w:pPr>
      <w:r/>
      <w:bookmarkStart w:id="78" w:name="_Toc10340"/>
      <w:r/>
      <w:bookmarkStart w:id="79" w:name="_Toc22618"/>
      <w:r/>
      <w:bookmarkStart w:id="80" w:name="_Toc1814"/>
      <w:r>
        <w:rPr>
          <w:rFonts w:hint="eastAsia" w:ascii="宋体" w:hAnsi="宋体" w:cs="宋体"/>
          <w:b/>
          <w:color w:val="auto"/>
          <w:sz w:val="24"/>
          <w:highlight w:val="none"/>
        </w:rPr>
        <w:t xml:space="preserve">1.4 付款方式和发票开具方式</w:t>
      </w:r>
      <w:bookmarkEnd w:id="78"/>
      <w:r/>
      <w:bookmarkEnd w:id="79"/>
      <w:r/>
      <w:bookmarkEnd w:id="8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1.4.1 付款方式：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1.4.2 发票开具方式：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560" w:lineRule="exact"/>
        <w:rPr>
          <w:rFonts w:ascii="宋体" w:hAnsi="宋体" w:cs="宋体"/>
          <w:b/>
          <w:color w:val="auto"/>
          <w:sz w:val="24"/>
          <w:highlight w:val="none"/>
        </w:rPr>
      </w:pPr>
      <w:r/>
      <w:bookmarkStart w:id="81" w:name="_Toc2846"/>
      <w:r/>
      <w:bookmarkStart w:id="82" w:name="_Toc19304"/>
      <w:r/>
      <w:bookmarkStart w:id="83" w:name="_Toc32071"/>
      <w:r>
        <w:rPr>
          <w:rFonts w:hint="eastAsia" w:ascii="宋体" w:hAnsi="宋体" w:cs="宋体"/>
          <w:b/>
          <w:color w:val="auto"/>
          <w:sz w:val="24"/>
          <w:highlight w:val="none"/>
        </w:rPr>
        <w:t xml:space="preserve">1.5 货物交付期限、地点和方式</w:t>
      </w:r>
      <w:bookmarkEnd w:id="81"/>
      <w:r/>
      <w:bookmarkEnd w:id="82"/>
      <w:r/>
      <w:bookmarkEnd w:id="83"/>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1.5.1 交付期限：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1.5.2 交付地点：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1.5.3 交付方式：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560" w:lineRule="exact"/>
        <w:rPr>
          <w:rFonts w:ascii="宋体" w:hAnsi="宋体" w:cs="宋体"/>
          <w:b/>
          <w:color w:val="auto"/>
          <w:sz w:val="24"/>
          <w:highlight w:val="none"/>
        </w:rPr>
      </w:pPr>
      <w:r/>
      <w:bookmarkStart w:id="84" w:name="_Toc27250"/>
      <w:r/>
      <w:bookmarkStart w:id="85" w:name="_Toc19554"/>
      <w:r/>
      <w:bookmarkStart w:id="86" w:name="_Toc21423"/>
      <w:r>
        <w:rPr>
          <w:rFonts w:hint="eastAsia" w:ascii="宋体" w:hAnsi="宋体" w:cs="宋体"/>
          <w:b/>
          <w:color w:val="auto"/>
          <w:sz w:val="24"/>
          <w:highlight w:val="none"/>
        </w:rPr>
        <w:t xml:space="preserve">1.6 违约责任</w:t>
      </w:r>
      <w:bookmarkEnd w:id="84"/>
      <w:r/>
      <w:bookmarkEnd w:id="85"/>
      <w:r/>
      <w:bookmarkEnd w:id="86"/>
      <w:r/>
      <w:r/>
    </w:p>
    <w:p>
      <w:pPr>
        <w:ind w:firstLine="480"/>
        <w:spacing w:line="560" w:lineRule="exact"/>
        <w:rPr>
          <w:rFonts w:ascii="宋体" w:hAnsi="宋体" w:cs="宋体"/>
          <w:color w:val="auto"/>
          <w:sz w:val="24"/>
          <w:szCs w:val="24"/>
          <w:highlight w:val="none"/>
        </w:rPr>
      </w:pPr>
      <w:r/>
      <w:bookmarkStart w:id="87" w:name="_Toc28375"/>
      <w:r/>
      <w:bookmarkStart w:id="88" w:name="_Toc16021"/>
      <w:r/>
      <w:bookmarkStart w:id="89" w:name="_Toc15583"/>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甲方按照前述约定要求乙方支付违约金的同时，仍有权要求乙方继续履行合同、采取补救措施，并有权按照己方实际损失情况要求乙方赔偿损失；甲方按照前述约定要求解除本合同的同时，仍有权要求乙方支付违约金和按照己方实际损失情况要求违约方赔偿损失；且甲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 如果出现政府采购监督管理部门在处理投诉事项期间，书面通知甲方暂停采购活动的情形，或者询问或质疑事项可能影响成交结果的，导致甲方中止履行合同的情形，均不视为甲方违约。</w:t>
      </w:r>
      <w:r/>
    </w:p>
    <w:p>
      <w:pPr>
        <w:ind w:firstLine="482"/>
        <w:spacing w:line="560" w:lineRule="exact"/>
        <w:rPr>
          <w:rFonts w:ascii="宋体" w:hAnsi="宋体" w:cs="宋体"/>
          <w:b/>
          <w:color w:val="auto"/>
          <w:sz w:val="24"/>
          <w:highlight w:val="none"/>
        </w:rPr>
      </w:pPr>
      <w:r>
        <w:rPr>
          <w:rFonts w:hint="eastAsia" w:ascii="宋体" w:hAnsi="宋体" w:cs="宋体"/>
          <w:b/>
          <w:color w:val="auto"/>
          <w:sz w:val="24"/>
          <w:highlight w:val="none"/>
        </w:rPr>
        <w:t xml:space="preserve">1.7 合同争议的解决</w:t>
      </w:r>
      <w:bookmarkEnd w:id="87"/>
      <w:r/>
      <w:bookmarkEnd w:id="88"/>
      <w:r/>
      <w:bookmarkEnd w:id="89"/>
      <w:r/>
      <w:r/>
    </w:p>
    <w:p>
      <w:pPr>
        <w:ind w:firstLine="480"/>
        <w:spacing w:line="560" w:lineRule="exact"/>
        <w:rPr>
          <w:rFonts w:ascii="宋体" w:hAnsi="宋体" w:cs="宋体"/>
          <w:color w:val="auto"/>
          <w:sz w:val="24"/>
          <w:highlight w:val="none"/>
        </w:rPr>
      </w:pPr>
      <w:r/>
      <w:bookmarkStart w:id="90" w:name="_Toc15322"/>
      <w:r/>
      <w:bookmarkStart w:id="91" w:name="_Toc7245"/>
      <w:r/>
      <w:bookmarkStart w:id="92" w:name="_Toc11173"/>
      <w:r>
        <w:rPr>
          <w:rFonts w:hint="eastAsia" w:ascii="宋体" w:hAnsi="宋体" w:cs="宋体"/>
          <w:color w:val="auto"/>
          <w:sz w:val="24"/>
          <w:highlight w:val="none"/>
        </w:rPr>
        <w:t xml:space="preserve">1.7.1 </w:t>
      </w:r>
      <w:r>
        <w:rPr>
          <w:rFonts w:hint="eastAsia" w:ascii="宋体" w:hAnsi="宋体" w:cs="宋体"/>
          <w:color w:val="auto"/>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1.7.2 </w:t>
      </w:r>
      <w:r>
        <w:rPr>
          <w:rFonts w:hint="eastAsia" w:ascii="宋体" w:hAnsi="宋体" w:cs="宋体"/>
          <w:color w:val="auto"/>
          <w:sz w:val="24"/>
          <w:highlight w:val="none"/>
          <w:lang w:val="zh-CN"/>
        </w:rPr>
        <w:t xml:space="preserve">凡因本合同引起的或与本合同有关的任何争议，均提交无锡仲裁委员会，按照申请仲裁时该会的仲裁规则进行仲裁。</w:t>
      </w:r>
      <w:r/>
    </w:p>
    <w:p>
      <w:pPr>
        <w:ind w:firstLine="482"/>
        <w:spacing w:line="560" w:lineRule="exact"/>
        <w:rPr>
          <w:rFonts w:ascii="宋体" w:hAnsi="宋体" w:cs="宋体"/>
          <w:b/>
          <w:color w:val="auto"/>
          <w:sz w:val="24"/>
          <w:highlight w:val="none"/>
        </w:rPr>
      </w:pPr>
      <w:r>
        <w:rPr>
          <w:rFonts w:hint="eastAsia" w:ascii="宋体" w:hAnsi="宋体" w:cs="宋体"/>
          <w:b/>
          <w:color w:val="auto"/>
          <w:sz w:val="24"/>
          <w:highlight w:val="none"/>
        </w:rPr>
        <w:t xml:space="preserve">1.8 合同生效</w:t>
      </w:r>
      <w:bookmarkEnd w:id="90"/>
      <w:r/>
      <w:bookmarkEnd w:id="91"/>
      <w:r/>
      <w:bookmarkEnd w:id="92"/>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份，供需双方各持</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份，报送财政监管部门备案一份。</w:t>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1063"/>
        <w:spacing w:line="560" w:lineRule="exact"/>
        <w:rPr>
          <w:rFonts w:ascii="宋体" w:hAnsi="宋体" w:cs="宋体"/>
          <w:color w:val="auto"/>
          <w:sz w:val="24"/>
          <w:szCs w:val="24"/>
          <w:highlight w:val="none"/>
          <w:lang w:val="zh-CN"/>
        </w:rPr>
      </w:pPr>
      <w:r/>
      <w:bookmarkStart w:id="93" w:name="_Toc331685783"/>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058"/>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058"/>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058"/>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058"/>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058"/>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pStyle w:val="1003"/>
        <w:ind w:left="1058" w:hanging="2"/>
        <w:jc w:val="center"/>
        <w:spacing w:line="560" w:lineRule="exact"/>
        <w:rPr>
          <w:rFonts w:hAnsi="宋体" w:cs="宋体"/>
          <w:b/>
          <w:color w:val="auto"/>
          <w:szCs w:val="24"/>
          <w:highlight w:val="none"/>
        </w:rPr>
      </w:pPr>
      <w:r>
        <w:rPr>
          <w:rFonts w:hAnsi="宋体" w:cs="宋体"/>
          <w:b/>
          <w:color w:val="auto"/>
          <w:szCs w:val="24"/>
          <w:highlight w:val="none"/>
        </w:rPr>
      </w:r>
      <w:r/>
    </w:p>
    <w:p>
      <w:pPr>
        <w:pStyle w:val="1003"/>
        <w:ind w:firstLine="200"/>
        <w:jc w:val="center"/>
        <w:spacing w:line="560" w:lineRule="exact"/>
        <w:rPr>
          <w:rFonts w:hAnsi="宋体" w:cs="宋体"/>
          <w:b/>
          <w:color w:val="auto"/>
          <w:szCs w:val="24"/>
          <w:highlight w:val="none"/>
        </w:rPr>
      </w:pPr>
      <w:r>
        <w:rPr>
          <w:rFonts w:hAnsi="宋体" w:cs="宋体"/>
          <w:b/>
          <w:color w:val="auto"/>
          <w:szCs w:val="24"/>
          <w:highlight w:val="none"/>
        </w:rPr>
      </w:r>
      <w:r/>
    </w:p>
    <w:p>
      <w:pPr>
        <w:pStyle w:val="1003"/>
        <w:ind w:firstLine="200"/>
        <w:jc w:val="center"/>
        <w:spacing w:line="560" w:lineRule="exact"/>
        <w:rPr>
          <w:rFonts w:hAnsi="宋体" w:cs="宋体"/>
          <w:b/>
          <w:color w:val="auto"/>
          <w:szCs w:val="24"/>
          <w:highlight w:val="none"/>
        </w:rPr>
      </w:pPr>
      <w:r>
        <w:rPr>
          <w:rFonts w:hAnsi="宋体" w:cs="宋体"/>
          <w:b/>
          <w:color w:val="auto"/>
          <w:szCs w:val="24"/>
          <w:highlight w:val="none"/>
        </w:rPr>
      </w:r>
      <w:r/>
    </w:p>
    <w:p>
      <w:pPr>
        <w:pStyle w:val="1003"/>
        <w:ind w:firstLine="200"/>
        <w:jc w:val="center"/>
        <w:spacing w:line="560" w:lineRule="exact"/>
        <w:rPr>
          <w:rFonts w:hAnsi="宋体" w:cs="宋体"/>
          <w:b/>
          <w:color w:val="auto"/>
          <w:szCs w:val="24"/>
          <w:highlight w:val="none"/>
        </w:rPr>
      </w:pPr>
      <w:r>
        <w:rPr>
          <w:rFonts w:hAnsi="宋体" w:cs="宋体"/>
          <w:b/>
          <w:color w:val="auto"/>
          <w:szCs w:val="24"/>
          <w:highlight w:val="none"/>
        </w:rPr>
      </w:r>
      <w:r/>
    </w:p>
    <w:p>
      <w:pPr>
        <w:pStyle w:val="1003"/>
        <w:ind w:firstLine="200"/>
        <w:jc w:val="center"/>
        <w:spacing w:line="560" w:lineRule="exact"/>
        <w:rPr>
          <w:rFonts w:hAnsi="宋体" w:cs="宋体"/>
          <w:b/>
          <w:color w:val="auto"/>
          <w:szCs w:val="24"/>
          <w:highlight w:val="none"/>
        </w:rPr>
      </w:pPr>
      <w:r>
        <w:rPr>
          <w:rFonts w:hAnsi="宋体" w:cs="宋体"/>
          <w:b/>
          <w:color w:val="auto"/>
          <w:szCs w:val="24"/>
          <w:highlight w:val="none"/>
        </w:rPr>
      </w:r>
      <w:r/>
    </w:p>
    <w:p>
      <w:pPr>
        <w:pStyle w:val="1003"/>
        <w:ind w:firstLine="200"/>
        <w:jc w:val="center"/>
        <w:spacing w:line="560" w:lineRule="exact"/>
        <w:rPr>
          <w:rFonts w:hAnsi="宋体" w:cs="宋体"/>
          <w:b/>
          <w:color w:val="auto"/>
          <w:szCs w:val="24"/>
          <w:highlight w:val="none"/>
        </w:rPr>
      </w:pPr>
      <w:r>
        <w:rPr>
          <w:rFonts w:hAnsi="宋体" w:cs="宋体"/>
          <w:b/>
          <w:color w:val="auto"/>
          <w:szCs w:val="24"/>
          <w:highlight w:val="none"/>
        </w:rPr>
      </w:r>
      <w:r/>
    </w:p>
    <w:p>
      <w:pPr>
        <w:pStyle w:val="1003"/>
        <w:ind w:firstLine="200"/>
        <w:jc w:val="center"/>
        <w:spacing w:line="560" w:lineRule="exact"/>
        <w:rPr>
          <w:rFonts w:hAnsi="宋体" w:cs="宋体"/>
          <w:b/>
          <w:color w:val="auto"/>
          <w:szCs w:val="24"/>
          <w:highlight w:val="none"/>
        </w:rPr>
      </w:pPr>
      <w:r>
        <w:rPr>
          <w:rFonts w:hAnsi="宋体" w:cs="宋体"/>
          <w:b/>
          <w:color w:val="auto"/>
          <w:szCs w:val="24"/>
          <w:highlight w:val="none"/>
        </w:rPr>
      </w:r>
      <w:r/>
    </w:p>
    <w:p>
      <w:pPr>
        <w:pStyle w:val="1003"/>
        <w:ind w:firstLine="200"/>
        <w:jc w:val="center"/>
        <w:spacing w:line="560" w:lineRule="exact"/>
        <w:rPr>
          <w:rFonts w:hAnsi="宋体" w:cs="宋体"/>
          <w:b/>
          <w:color w:val="auto"/>
          <w:szCs w:val="24"/>
          <w:highlight w:val="none"/>
        </w:rPr>
      </w:pPr>
      <w:r>
        <w:rPr>
          <w:rFonts w:hAnsi="宋体" w:cs="宋体"/>
          <w:b/>
          <w:color w:val="auto"/>
          <w:szCs w:val="24"/>
          <w:highlight w:val="none"/>
        </w:rPr>
      </w:r>
      <w:r/>
    </w:p>
    <w:p>
      <w:pPr>
        <w:pStyle w:val="1003"/>
        <w:ind w:firstLine="0"/>
        <w:jc w:val="both"/>
        <w:spacing w:line="560" w:lineRule="exact"/>
        <w:rPr>
          <w:rFonts w:hAnsi="宋体" w:cs="宋体"/>
          <w:b/>
          <w:color w:val="auto"/>
          <w:szCs w:val="24"/>
          <w:highlight w:val="none"/>
        </w:rPr>
      </w:pPr>
      <w:r>
        <w:rPr>
          <w:rFonts w:hAnsi="宋体" w:cs="宋体"/>
          <w:b/>
          <w:color w:val="auto"/>
          <w:szCs w:val="24"/>
          <w:highlight w:val="none"/>
        </w:rPr>
      </w:r>
      <w:r/>
    </w:p>
    <w:p>
      <w:pPr>
        <w:pStyle w:val="1003"/>
        <w:ind w:firstLine="0"/>
        <w:jc w:val="both"/>
        <w:spacing w:line="560" w:lineRule="exact"/>
        <w:rPr>
          <w:rFonts w:hAnsi="宋体" w:cs="宋体"/>
          <w:b/>
          <w:color w:val="auto"/>
          <w:szCs w:val="24"/>
          <w:highlight w:val="none"/>
        </w:rPr>
      </w:pPr>
      <w:r>
        <w:rPr>
          <w:rFonts w:hAnsi="宋体" w:cs="宋体"/>
          <w:b/>
          <w:color w:val="auto"/>
          <w:szCs w:val="24"/>
          <w:highlight w:val="none"/>
        </w:rPr>
      </w:r>
      <w:bookmarkEnd w:id="93"/>
      <w:r/>
    </w:p>
    <w:p>
      <w:pPr>
        <w:pStyle w:val="1003"/>
        <w:ind w:firstLine="200"/>
        <w:jc w:val="center"/>
        <w:spacing w:line="560" w:lineRule="exact"/>
        <w:rPr>
          <w:rFonts w:hAnsi="宋体" w:cs="宋体"/>
          <w:b/>
          <w:color w:val="auto"/>
          <w:szCs w:val="24"/>
          <w:highlight w:val="none"/>
        </w:rPr>
      </w:pPr>
      <w:r/>
      <w:bookmarkStart w:id="94" w:name="_Toc12004"/>
      <w:r/>
      <w:bookmarkStart w:id="95" w:name="_Toc3148"/>
      <w:r/>
      <w:bookmarkStart w:id="96" w:name="_Toc16673"/>
      <w:r/>
      <w:bookmarkStart w:id="97" w:name="_Toc259093693"/>
      <w:r/>
      <w:bookmarkStart w:id="98" w:name="_Toc279701264"/>
      <w:r>
        <w:rPr>
          <w:rFonts w:hint="eastAsia" w:hAnsi="宋体" w:cs="宋体"/>
          <w:b/>
          <w:color w:val="auto"/>
          <w:szCs w:val="24"/>
          <w:highlight w:val="none"/>
        </w:rPr>
        <w:t xml:space="preserve">第二部分 合同一般条款</w:t>
      </w:r>
      <w:r/>
    </w:p>
    <w:p>
      <w:pPr>
        <w:ind w:firstLine="482"/>
        <w:jc w:val="left"/>
        <w:spacing w:line="560" w:lineRule="exact"/>
        <w:rPr>
          <w:rFonts w:ascii="宋体" w:hAnsi="宋体" w:cs="宋体"/>
          <w:b/>
          <w:color w:val="auto"/>
          <w:sz w:val="24"/>
          <w:highlight w:val="none"/>
        </w:rPr>
      </w:pPr>
      <w:r/>
      <w:bookmarkStart w:id="99" w:name="_Ref467379225"/>
      <w:r/>
      <w:bookmarkStart w:id="100" w:name="_Toc487900349"/>
      <w:r/>
      <w:bookmarkStart w:id="101" w:name="_Ref467378404"/>
      <w:r/>
      <w:bookmarkStart w:id="102" w:name="_Toc279701240"/>
      <w:r/>
      <w:bookmarkStart w:id="103" w:name="_Ref467379205"/>
      <w:r/>
      <w:bookmarkStart w:id="104" w:name="_Toc259093669"/>
      <w:r/>
      <w:bookmarkStart w:id="105" w:name="_Ref467378463"/>
      <w:r/>
      <w:bookmarkStart w:id="106" w:name="_Ref467379101"/>
      <w:r/>
      <w:bookmarkStart w:id="107" w:name="_Toc16917"/>
      <w:r/>
      <w:bookmarkStart w:id="108" w:name="_Ref467379109"/>
      <w:r/>
      <w:bookmarkStart w:id="109" w:name="_Toc19614"/>
      <w:r/>
      <w:bookmarkStart w:id="110" w:name="_Toc28763"/>
      <w:r/>
      <w:bookmarkStart w:id="111" w:name="_Ref467379214"/>
      <w:r/>
      <w:bookmarkStart w:id="112" w:name="_Ref467379094"/>
      <w:r/>
      <w:bookmarkStart w:id="113" w:name="_Ref467378499"/>
      <w:r/>
      <w:bookmarkStart w:id="114" w:name="_Ref467379195"/>
      <w:r>
        <w:rPr>
          <w:rFonts w:hint="eastAsia" w:ascii="宋体" w:hAnsi="宋体" w:cs="宋体"/>
          <w:b/>
          <w:color w:val="auto"/>
          <w:sz w:val="24"/>
          <w:highlight w:val="none"/>
        </w:rPr>
        <w:t xml:space="preserve">2.1 定义</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 “合同”系指采购人和中标供应商签订的载明双方当事人所达成的协议，并包括所有的附件、附录和构成合同的其他文件。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cs="宋体"/>
          <w:color w:val="auto"/>
          <w:sz w:val="24"/>
          <w:szCs w:val="24"/>
          <w:highlight w:val="none"/>
        </w:rPr>
      </w:pPr>
      <w:r/>
      <w:bookmarkStart w:id="115" w:name="_Ref467378840"/>
      <w:r>
        <w:rPr>
          <w:rFonts w:hint="eastAsia" w:ascii="宋体" w:hAnsi="宋体" w:cs="宋体"/>
          <w:color w:val="auto"/>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2.1.4 “甲方”系指与中标供应商签署合同的采购人</w:t>
      </w:r>
      <w:bookmarkEnd w:id="115"/>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jc w:val="left"/>
        <w:spacing w:line="560" w:lineRule="exact"/>
        <w:rPr>
          <w:rFonts w:ascii="宋体" w:hAnsi="宋体" w:cs="宋体"/>
          <w:color w:val="auto"/>
          <w:sz w:val="24"/>
          <w:highlight w:val="none"/>
        </w:rPr>
      </w:pPr>
      <w:r/>
      <w:bookmarkStart w:id="116" w:name="_Ref467379400"/>
      <w:r>
        <w:rPr>
          <w:rFonts w:hint="eastAsia" w:ascii="宋体" w:hAnsi="宋体" w:cs="宋体"/>
          <w:color w:val="auto"/>
          <w:sz w:val="24"/>
          <w:highlight w:val="none"/>
        </w:rPr>
        <w:t xml:space="preserve">2.1.5 “乙方”系指根据合同约定提供服务的中标</w:t>
      </w:r>
      <w:bookmarkEnd w:id="116"/>
      <w:r>
        <w:rPr>
          <w:rFonts w:hint="eastAsia" w:ascii="宋体" w:hAnsi="宋体" w:cs="宋体"/>
          <w:color w:val="auto"/>
          <w:sz w:val="24"/>
          <w:highlight w:val="none"/>
        </w:rPr>
        <w:t xml:space="preserve">供应商；两个以上的自然人、法人或者其他组织组成一个联合体，以一个投标人的身份共同参加政府采购的，联合体各方均应为乙方或者与乙方相同地位的合同当事人，并就合同约定的事项对甲方承担连带责任。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jc w:val="left"/>
        <w:spacing w:line="560" w:lineRule="exact"/>
        <w:rPr>
          <w:rFonts w:ascii="宋体" w:hAnsi="宋体" w:cs="宋体"/>
          <w:color w:val="auto"/>
          <w:sz w:val="24"/>
          <w:highlight w:val="none"/>
        </w:rPr>
      </w:pPr>
      <w:r/>
      <w:bookmarkStart w:id="117" w:name="_Ref467379436"/>
      <w:r>
        <w:rPr>
          <w:rFonts w:hint="eastAsia" w:ascii="宋体" w:hAnsi="宋体" w:cs="宋体"/>
          <w:color w:val="auto"/>
          <w:sz w:val="24"/>
          <w:highlight w:val="none"/>
        </w:rPr>
        <w:t xml:space="preserve">2.1.6 “现场”系指合同约定提供服务地点。</w:t>
      </w:r>
      <w:bookmarkEnd w:id="117"/>
      <w:r/>
      <w:bookmarkEnd w:id="94"/>
      <w:bookmarkEnd w:id="95"/>
      <w:bookmarkEnd w:id="96"/>
      <w:bookmarkEnd w:id="97"/>
      <w:bookmarkEnd w:id="98"/>
      <w:r/>
    </w:p>
    <w:p>
      <w:pPr>
        <w:ind w:firstLine="482"/>
        <w:spacing w:line="560" w:lineRule="exact"/>
        <w:rPr>
          <w:rFonts w:ascii="宋体" w:hAnsi="宋体" w:cs="宋体"/>
          <w:b/>
          <w:color w:val="auto"/>
          <w:sz w:val="24"/>
          <w:szCs w:val="24"/>
          <w:highlight w:val="none"/>
        </w:rPr>
      </w:pPr>
      <w:r/>
      <w:bookmarkStart w:id="118" w:name="_Toc23289"/>
      <w:r/>
      <w:bookmarkStart w:id="119" w:name="_Toc16752"/>
      <w:r/>
      <w:bookmarkStart w:id="120" w:name="_Toc279701241"/>
      <w:r/>
      <w:bookmarkStart w:id="121" w:name="_Toc487900350"/>
      <w:r/>
      <w:bookmarkStart w:id="122" w:name="_Toc31402"/>
      <w:r/>
      <w:bookmarkStart w:id="123" w:name="_Toc259093670"/>
      <w:r/>
      <w:bookmarkStart w:id="124" w:name="_Toc3769"/>
      <w:r/>
      <w:bookmarkStart w:id="125" w:name="_Toc19539"/>
      <w:r>
        <w:rPr>
          <w:rFonts w:hint="eastAsia" w:ascii="宋体" w:hAnsi="宋体" w:cs="宋体"/>
          <w:b/>
          <w:color w:val="auto"/>
          <w:sz w:val="24"/>
          <w:szCs w:val="24"/>
          <w:highlight w:val="none"/>
        </w:rPr>
        <w:t xml:space="preserve">2.2 技术规范</w:t>
      </w:r>
      <w:bookmarkEnd w:id="118"/>
      <w:r/>
      <w:bookmarkEnd w:id="119"/>
      <w:r/>
      <w:bookmarkEnd w:id="120"/>
      <w:r/>
      <w:bookmarkEnd w:id="121"/>
      <w:r/>
      <w:bookmarkEnd w:id="122"/>
      <w:r/>
      <w:bookmarkEnd w:id="123"/>
      <w:r/>
      <w:bookmarkEnd w:id="124"/>
      <w:r/>
      <w:bookmarkEnd w:id="12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szCs w:val="24"/>
          <w:highlight w:val="none"/>
        </w:rPr>
      </w:pPr>
      <w:r/>
      <w:bookmarkStart w:id="126" w:name="_Toc279701242"/>
      <w:r/>
      <w:bookmarkStart w:id="127" w:name="_Toc487900351"/>
      <w:r/>
      <w:bookmarkStart w:id="128" w:name="_Toc27945"/>
      <w:r/>
      <w:bookmarkStart w:id="129" w:name="_Toc259093671"/>
      <w:r/>
      <w:bookmarkStart w:id="130" w:name="_Toc9161"/>
      <w:r/>
      <w:bookmarkStart w:id="131" w:name="_Toc12412"/>
      <w:r/>
      <w:bookmarkStart w:id="132" w:name="_Toc13673"/>
      <w:r/>
      <w:bookmarkStart w:id="133" w:name="_Toc4133"/>
      <w:r>
        <w:rPr>
          <w:rFonts w:hint="eastAsia" w:ascii="宋体" w:hAnsi="宋体" w:cs="宋体"/>
          <w:b/>
          <w:color w:val="auto"/>
          <w:sz w:val="24"/>
          <w:szCs w:val="24"/>
          <w:highlight w:val="none"/>
        </w:rPr>
        <w:t xml:space="preserve">2.3 知识产权</w:t>
      </w:r>
      <w:bookmarkEnd w:id="126"/>
      <w:r/>
      <w:bookmarkEnd w:id="127"/>
      <w:r/>
      <w:bookmarkEnd w:id="128"/>
      <w:r/>
      <w:bookmarkEnd w:id="129"/>
      <w:r/>
      <w:bookmarkEnd w:id="130"/>
      <w:r/>
      <w:bookmarkEnd w:id="131"/>
      <w:r/>
      <w:bookmarkEnd w:id="132"/>
      <w:r/>
      <w:bookmarkEnd w:id="13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134" w:name="_Ref467379657"/>
      <w:r>
        <w:rPr>
          <w:rFonts w:hint="eastAsia" w:ascii="宋体" w:hAnsi="宋体" w:cs="宋体"/>
          <w:color w:val="auto"/>
          <w:sz w:val="24"/>
          <w:szCs w:val="24"/>
          <w:highlight w:val="none"/>
        </w:rPr>
        <w:t xml:space="preserve">2.4.1</w:t>
      </w:r>
      <w:bookmarkEnd w:id="134"/>
      <w:r/>
      <w:bookmarkStart w:id="135" w:name="_Toc186431854"/>
      <w:r/>
      <w:bookmarkStart w:id="136" w:name="_Ref467379807"/>
      <w:r/>
      <w:bookmarkStart w:id="137" w:name="_Ref467379793"/>
      <w:r/>
      <w:bookmarkStart w:id="138" w:name="_Toc279701247"/>
      <w:r/>
      <w:bookmarkStart w:id="139" w:name="_Toc259093676"/>
      <w:r/>
      <w:bookmarkStart w:id="140" w:name="_Toc48790035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35"/>
      <w:r/>
      <w:bookmarkStart w:id="141" w:name="_Toc186431855"/>
      <w:r>
        <w:rPr>
          <w:rFonts w:hint="eastAsia" w:ascii="宋体" w:hAnsi="宋体" w:cs="宋体"/>
          <w:color w:val="auto"/>
          <w:sz w:val="24"/>
          <w:szCs w:val="24"/>
          <w:highlight w:val="none"/>
        </w:rPr>
        <w:t xml:space="preserve">。</w:t>
      </w:r>
      <w:bookmarkEnd w:id="136"/>
      <w:bookmarkEnd w:id="137"/>
      <w:bookmarkEnd w:id="138"/>
      <w:bookmarkEnd w:id="139"/>
      <w:bookmarkEnd w:id="140"/>
      <w:bookmarkEnd w:id="141"/>
      <w:r/>
    </w:p>
    <w:p>
      <w:pPr>
        <w:ind w:firstLine="482"/>
        <w:spacing w:line="560" w:lineRule="exact"/>
        <w:rPr>
          <w:rFonts w:ascii="宋体" w:hAnsi="宋体" w:cs="宋体"/>
          <w:b/>
          <w:color w:val="auto"/>
          <w:sz w:val="24"/>
          <w:szCs w:val="24"/>
          <w:highlight w:val="none"/>
        </w:rPr>
      </w:pPr>
      <w:r/>
      <w:bookmarkStart w:id="142" w:name="_Toc279701248"/>
      <w:r/>
      <w:bookmarkStart w:id="143" w:name="_Ref467379852"/>
      <w:r/>
      <w:bookmarkStart w:id="144" w:name="_Toc487900358"/>
      <w:r/>
      <w:bookmarkStart w:id="145" w:name="_Ref467379863"/>
      <w:r/>
      <w:bookmarkStart w:id="146" w:name="_Ref467379923"/>
      <w:r/>
      <w:bookmarkStart w:id="147" w:name="_Toc259093677"/>
      <w:r/>
      <w:bookmarkStart w:id="148" w:name="_Toc13154"/>
      <w:r/>
      <w:bookmarkStart w:id="149" w:name="_Toc30507"/>
      <w:r/>
      <w:bookmarkStart w:id="150" w:name="_Toc18990"/>
      <w:r/>
      <w:bookmarkStart w:id="151" w:name="_Toc16163"/>
      <w:r/>
      <w:bookmarkStart w:id="152" w:name="_Toc13467"/>
      <w:r>
        <w:rPr>
          <w:rFonts w:hint="eastAsia" w:ascii="宋体" w:hAnsi="宋体" w:cs="宋体"/>
          <w:b/>
          <w:color w:val="auto"/>
          <w:sz w:val="24"/>
          <w:szCs w:val="24"/>
          <w:highlight w:val="none"/>
        </w:rPr>
        <w:t xml:space="preserve">2.5 技术资料</w:t>
      </w:r>
      <w:bookmarkEnd w:id="142"/>
      <w:r/>
      <w:bookmarkEnd w:id="143"/>
      <w:r/>
      <w:bookmarkEnd w:id="144"/>
      <w:r/>
      <w:bookmarkEnd w:id="145"/>
      <w:r/>
      <w:bookmarkEnd w:id="146"/>
      <w:r/>
      <w:bookmarkEnd w:id="147"/>
      <w:r>
        <w:rPr>
          <w:rFonts w:hint="eastAsia" w:ascii="宋体" w:hAnsi="宋体" w:cs="宋体"/>
          <w:b/>
          <w:color w:val="auto"/>
          <w:sz w:val="24"/>
          <w:szCs w:val="24"/>
          <w:highlight w:val="none"/>
        </w:rPr>
        <w:t xml:space="preserve">和保密义务</w:t>
      </w:r>
      <w:bookmarkEnd w:id="148"/>
      <w:r/>
      <w:bookmarkEnd w:id="149"/>
      <w:r/>
      <w:bookmarkEnd w:id="150"/>
      <w:r/>
      <w:bookmarkEnd w:id="151"/>
      <w:r/>
      <w:bookmarkEnd w:id="15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bookmarkStart w:id="153" w:name="_Toc19069"/>
      <w:r/>
      <w:bookmarkStart w:id="154" w:name="_Toc487900362"/>
      <w:r/>
      <w:bookmarkStart w:id="155" w:name="_Toc279701252"/>
      <w:r/>
      <w:bookmarkStart w:id="156" w:name="_Toc259093681"/>
      <w:r>
        <w:rPr>
          <w:rFonts w:hint="eastAsia" w:ascii="宋体" w:hAnsi="宋体" w:cs="宋体"/>
          <w:b/>
          <w:color w:val="auto"/>
          <w:sz w:val="24"/>
          <w:szCs w:val="24"/>
          <w:highlight w:val="none"/>
        </w:rPr>
        <w:t xml:space="preserve">2.6 质量保证</w:t>
      </w:r>
      <w:bookmarkEnd w:id="15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157" w:name="_Toc22267"/>
      <w:r>
        <w:rPr>
          <w:rFonts w:hint="eastAsia" w:ascii="宋体" w:hAnsi="宋体" w:cs="宋体"/>
          <w:b/>
          <w:color w:val="auto"/>
          <w:sz w:val="24"/>
          <w:szCs w:val="24"/>
          <w:highlight w:val="none"/>
        </w:rPr>
        <w:t xml:space="preserve">2.7 延迟</w:t>
      </w:r>
      <w:bookmarkEnd w:id="154"/>
      <w:r/>
      <w:bookmarkEnd w:id="155"/>
      <w:r/>
      <w:bookmarkEnd w:id="156"/>
      <w:r>
        <w:rPr>
          <w:rFonts w:hint="eastAsia" w:ascii="宋体" w:hAnsi="宋体" w:cs="宋体"/>
          <w:b/>
          <w:color w:val="auto"/>
          <w:sz w:val="24"/>
          <w:szCs w:val="24"/>
          <w:highlight w:val="none"/>
        </w:rPr>
        <w:t xml:space="preserve">履行</w:t>
      </w:r>
      <w:bookmarkEnd w:id="157"/>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158" w:name="_Toc10611"/>
      <w:r/>
      <w:bookmarkStart w:id="159" w:name="_Ref467378121"/>
      <w:r/>
      <w:bookmarkStart w:id="160" w:name="_Toc259093683"/>
      <w:r/>
      <w:bookmarkStart w:id="161" w:name="_Toc279701254"/>
      <w:r/>
      <w:bookmarkStart w:id="162" w:name="_Toc487900364"/>
      <w:r>
        <w:rPr>
          <w:rFonts w:hint="eastAsia" w:ascii="宋体" w:hAnsi="宋体" w:cs="宋体"/>
          <w:b/>
          <w:color w:val="auto"/>
          <w:sz w:val="24"/>
          <w:szCs w:val="24"/>
          <w:highlight w:val="none"/>
        </w:rPr>
        <w:t xml:space="preserve">2.8 合同变更</w:t>
      </w:r>
      <w:bookmarkEnd w:id="15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163" w:name="_Toc487900369"/>
      <w:r/>
      <w:bookmarkStart w:id="164" w:name="_Toc259093688"/>
      <w:r/>
      <w:bookmarkStart w:id="165" w:name="_Toc279701259"/>
      <w:r/>
      <w:r/>
    </w:p>
    <w:p>
      <w:pPr>
        <w:ind w:firstLine="482"/>
        <w:spacing w:line="560" w:lineRule="exact"/>
        <w:rPr>
          <w:rFonts w:ascii="宋体" w:hAnsi="宋体" w:cs="宋体"/>
          <w:b/>
          <w:color w:val="auto"/>
          <w:sz w:val="24"/>
          <w:szCs w:val="24"/>
          <w:highlight w:val="none"/>
        </w:rPr>
      </w:pPr>
      <w:r/>
      <w:bookmarkStart w:id="166" w:name="_Toc23368"/>
      <w:r/>
      <w:bookmarkStart w:id="167" w:name="_Toc21830"/>
      <w:r/>
      <w:bookmarkStart w:id="168" w:name="_Toc26689"/>
      <w:r/>
      <w:bookmarkStart w:id="169" w:name="_Toc10663"/>
      <w:r/>
      <w:bookmarkStart w:id="170" w:name="_Toc42"/>
      <w:r>
        <w:rPr>
          <w:rFonts w:hint="eastAsia" w:ascii="宋体" w:hAnsi="宋体" w:cs="宋体"/>
          <w:b/>
          <w:color w:val="auto"/>
          <w:sz w:val="24"/>
          <w:szCs w:val="24"/>
          <w:highlight w:val="none"/>
        </w:rPr>
        <w:t xml:space="preserve">2.9 合同转让</w:t>
      </w:r>
      <w:bookmarkEnd w:id="163"/>
      <w:r/>
      <w:bookmarkEnd w:id="164"/>
      <w:r/>
      <w:bookmarkEnd w:id="165"/>
      <w:r>
        <w:rPr>
          <w:rFonts w:hint="eastAsia" w:ascii="宋体" w:hAnsi="宋体" w:cs="宋体"/>
          <w:b/>
          <w:color w:val="auto"/>
          <w:sz w:val="24"/>
          <w:szCs w:val="24"/>
          <w:highlight w:val="none"/>
        </w:rPr>
        <w:t xml:space="preserve">和分包</w:t>
      </w:r>
      <w:bookmarkEnd w:id="166"/>
      <w:r/>
      <w:bookmarkEnd w:id="167"/>
      <w:r/>
      <w:bookmarkEnd w:id="168"/>
      <w:r/>
      <w:bookmarkEnd w:id="169"/>
      <w:r/>
      <w:bookmarkEnd w:id="17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合同的权利义务依法不得转让，如磋商文件“第一章 报价邀请函”中甲方接受中标后分包，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ind w:firstLine="482"/>
        <w:spacing w:line="560" w:lineRule="exact"/>
        <w:rPr>
          <w:rFonts w:ascii="宋体" w:hAnsi="宋体" w:cs="宋体"/>
          <w:b/>
          <w:color w:val="auto"/>
          <w:sz w:val="24"/>
          <w:szCs w:val="24"/>
          <w:highlight w:val="none"/>
        </w:rPr>
      </w:pPr>
      <w:r/>
      <w:bookmarkStart w:id="171" w:name="_Toc26633"/>
      <w:r/>
      <w:bookmarkStart w:id="172" w:name="_Toc25571"/>
      <w:r/>
      <w:bookmarkStart w:id="173" w:name="_Toc14371"/>
      <w:r/>
      <w:bookmarkStart w:id="174" w:name="_Toc4720"/>
      <w:r/>
      <w:bookmarkStart w:id="175" w:name="_Toc32494"/>
      <w:r>
        <w:rPr>
          <w:rFonts w:hint="eastAsia" w:ascii="宋体" w:hAnsi="宋体" w:cs="宋体"/>
          <w:b/>
          <w:color w:val="auto"/>
          <w:sz w:val="24"/>
          <w:szCs w:val="24"/>
          <w:highlight w:val="none"/>
        </w:rPr>
        <w:t xml:space="preserve">2.10 不可抗力</w:t>
      </w:r>
      <w:bookmarkEnd w:id="171"/>
      <w:r/>
      <w:bookmarkEnd w:id="172"/>
      <w:r/>
      <w:bookmarkEnd w:id="173"/>
      <w:r/>
      <w:bookmarkEnd w:id="174"/>
      <w:r/>
      <w:bookmarkEnd w:id="17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color w:val="auto"/>
          <w:sz w:val="24"/>
          <w:szCs w:val="24"/>
          <w:highlight w:val="none"/>
        </w:rPr>
      </w:pPr>
      <w:r/>
      <w:bookmarkStart w:id="176" w:name="_Toc24465"/>
      <w:r/>
      <w:bookmarkStart w:id="177" w:name="_Toc23854"/>
      <w:r/>
      <w:bookmarkStart w:id="178" w:name="_Toc259093684"/>
      <w:r/>
      <w:bookmarkStart w:id="179" w:name="_Toc14115"/>
      <w:r/>
      <w:bookmarkStart w:id="180" w:name="_Toc279701255"/>
      <w:r/>
      <w:bookmarkStart w:id="181" w:name="_Toc25783"/>
      <w:r/>
      <w:bookmarkStart w:id="182" w:name="_Toc487900365"/>
      <w:r/>
      <w:bookmarkStart w:id="183" w:name="_Toc3638"/>
      <w:r>
        <w:rPr>
          <w:rFonts w:hint="eastAsia" w:ascii="宋体" w:hAnsi="宋体" w:cs="宋体"/>
          <w:b/>
          <w:color w:val="auto"/>
          <w:sz w:val="24"/>
          <w:szCs w:val="24"/>
          <w:highlight w:val="none"/>
        </w:rPr>
        <w:t xml:space="preserve">2.11 税费</w:t>
      </w:r>
      <w:bookmarkEnd w:id="176"/>
      <w:r/>
      <w:bookmarkEnd w:id="177"/>
      <w:r/>
      <w:bookmarkEnd w:id="178"/>
      <w:r/>
      <w:bookmarkEnd w:id="179"/>
      <w:r/>
      <w:bookmarkEnd w:id="180"/>
      <w:r/>
      <w:bookmarkEnd w:id="181"/>
      <w:r/>
      <w:bookmarkEnd w:id="182"/>
      <w:r/>
      <w:bookmarkEnd w:id="18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184" w:name="_Toc487900368"/>
      <w:r/>
      <w:bookmarkStart w:id="185" w:name="_Toc259093687"/>
      <w:r/>
      <w:bookmarkStart w:id="186" w:name="_Toc279701258"/>
      <w:r/>
      <w:bookmarkStart w:id="187" w:name="_Toc25525"/>
      <w:r/>
      <w:bookmarkStart w:id="188" w:name="_Toc14814"/>
      <w:r/>
      <w:bookmarkStart w:id="189" w:name="_Toc26883"/>
      <w:r/>
      <w:bookmarkStart w:id="190" w:name="_Toc30105"/>
      <w:r/>
      <w:bookmarkStart w:id="191" w:name="_Toc7315"/>
      <w:r>
        <w:rPr>
          <w:rFonts w:hint="eastAsia" w:ascii="宋体" w:hAnsi="宋体" w:cs="宋体"/>
          <w:b/>
          <w:color w:val="auto"/>
          <w:sz w:val="24"/>
          <w:szCs w:val="24"/>
          <w:highlight w:val="none"/>
        </w:rPr>
        <w:t xml:space="preserve">2.12 乙方破产</w:t>
      </w:r>
      <w:bookmarkEnd w:id="184"/>
      <w:r/>
      <w:bookmarkEnd w:id="185"/>
      <w:r/>
      <w:bookmarkEnd w:id="186"/>
      <w:r/>
      <w:bookmarkEnd w:id="187"/>
      <w:r/>
      <w:bookmarkEnd w:id="188"/>
      <w:r/>
      <w:bookmarkEnd w:id="189"/>
      <w:r/>
      <w:bookmarkEnd w:id="190"/>
      <w:r/>
      <w:bookmarkEnd w:id="19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auto"/>
          <w:sz w:val="24"/>
          <w:szCs w:val="24"/>
          <w:highlight w:val="none"/>
        </w:rPr>
      </w:pPr>
      <w:r/>
      <w:bookmarkStart w:id="192" w:name="_Toc2016"/>
      <w:r/>
      <w:bookmarkStart w:id="193" w:name="_Toc23323"/>
      <w:r/>
      <w:bookmarkStart w:id="194" w:name="_Toc1123"/>
      <w:r>
        <w:rPr>
          <w:rFonts w:hint="eastAsia" w:ascii="宋体" w:hAnsi="宋体" w:cs="宋体"/>
          <w:b/>
          <w:color w:val="auto"/>
          <w:sz w:val="24"/>
          <w:szCs w:val="24"/>
          <w:highlight w:val="none"/>
        </w:rPr>
        <w:t xml:space="preserve">2.13 合同中止、终止</w:t>
      </w:r>
      <w:bookmarkEnd w:id="192"/>
      <w:r/>
      <w:bookmarkEnd w:id="193"/>
      <w:r/>
      <w:bookmarkEnd w:id="19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auto"/>
          <w:sz w:val="24"/>
          <w:szCs w:val="24"/>
          <w:highlight w:val="none"/>
        </w:rPr>
      </w:pPr>
      <w:r/>
      <w:bookmarkStart w:id="195" w:name="_Toc1969"/>
      <w:r/>
      <w:bookmarkStart w:id="196" w:name="_Toc17363"/>
      <w:r/>
      <w:bookmarkStart w:id="197" w:name="_Toc14525"/>
      <w:r>
        <w:rPr>
          <w:rFonts w:hint="eastAsia" w:ascii="宋体" w:hAnsi="宋体" w:cs="宋体"/>
          <w:b/>
          <w:color w:val="auto"/>
          <w:sz w:val="24"/>
          <w:szCs w:val="24"/>
          <w:highlight w:val="none"/>
        </w:rPr>
        <w:t xml:space="preserve">2.14 检验和验收</w:t>
      </w:r>
      <w:bookmarkEnd w:id="195"/>
      <w:r/>
      <w:bookmarkEnd w:id="196"/>
      <w:r/>
      <w:bookmarkEnd w:id="197"/>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159"/>
      <w:bookmarkEnd w:id="160"/>
      <w:bookmarkEnd w:id="161"/>
      <w:bookmarkEnd w:id="162"/>
      <w:r/>
    </w:p>
    <w:p>
      <w:pPr>
        <w:ind w:firstLine="482"/>
        <w:spacing w:line="560" w:lineRule="exact"/>
        <w:rPr>
          <w:rFonts w:ascii="宋体" w:hAnsi="宋体" w:cs="宋体"/>
          <w:b/>
          <w:color w:val="auto"/>
          <w:sz w:val="24"/>
          <w:szCs w:val="24"/>
          <w:highlight w:val="none"/>
        </w:rPr>
      </w:pPr>
      <w:r/>
      <w:bookmarkStart w:id="198" w:name="_Toc279701261"/>
      <w:r/>
      <w:bookmarkStart w:id="199" w:name="_Toc259093690"/>
      <w:r/>
      <w:bookmarkStart w:id="200" w:name="_Toc487900371"/>
      <w:r/>
      <w:bookmarkStart w:id="201" w:name="_Toc31892"/>
      <w:r/>
      <w:bookmarkStart w:id="202" w:name="_Toc12666"/>
      <w:r/>
      <w:bookmarkStart w:id="203" w:name="_Toc25198"/>
      <w:r/>
      <w:bookmarkStart w:id="204" w:name="_Toc9808"/>
      <w:r/>
      <w:bookmarkStart w:id="205" w:name="_Toc2308"/>
      <w:r>
        <w:rPr>
          <w:rFonts w:hint="eastAsia" w:ascii="宋体" w:hAnsi="宋体" w:cs="宋体"/>
          <w:b/>
          <w:color w:val="auto"/>
          <w:sz w:val="24"/>
          <w:szCs w:val="24"/>
          <w:highlight w:val="none"/>
        </w:rPr>
        <w:t xml:space="preserve">2.15 通知</w:t>
      </w:r>
      <w:bookmarkEnd w:id="198"/>
      <w:r/>
      <w:bookmarkEnd w:id="199"/>
      <w:r/>
      <w:bookmarkEnd w:id="200"/>
      <w:r>
        <w:rPr>
          <w:rFonts w:hint="eastAsia" w:ascii="宋体" w:hAnsi="宋体" w:cs="宋体"/>
          <w:b/>
          <w:color w:val="auto"/>
          <w:sz w:val="24"/>
          <w:szCs w:val="24"/>
          <w:highlight w:val="none"/>
        </w:rPr>
        <w:t xml:space="preserve">和送达</w:t>
      </w:r>
      <w:bookmarkEnd w:id="201"/>
      <w:r/>
      <w:bookmarkEnd w:id="202"/>
      <w:r/>
      <w:bookmarkEnd w:id="203"/>
      <w:r/>
      <w:bookmarkEnd w:id="204"/>
      <w:r/>
      <w:bookmarkEnd w:id="205"/>
      <w:r/>
      <w:r/>
    </w:p>
    <w:p>
      <w:pPr>
        <w:ind w:firstLine="480"/>
        <w:spacing w:line="560" w:lineRule="exact"/>
        <w:rPr>
          <w:rFonts w:ascii="宋体" w:hAnsi="宋体" w:cs="宋体"/>
          <w:color w:val="auto"/>
          <w:sz w:val="24"/>
          <w:szCs w:val="24"/>
          <w:highlight w:val="none"/>
        </w:rPr>
      </w:pPr>
      <w:r/>
      <w:bookmarkStart w:id="206" w:name="_Toc7073"/>
      <w:r/>
      <w:bookmarkStart w:id="207" w:name="_Toc29220"/>
      <w:r/>
      <w:bookmarkStart w:id="208" w:name="_Toc487900372"/>
      <w:r/>
      <w:bookmarkStart w:id="209" w:name="_Toc259093691"/>
      <w:r/>
      <w:bookmarkStart w:id="210" w:name="_Toc279701262"/>
      <w:r>
        <w:rPr>
          <w:rFonts w:hint="eastAsia" w:ascii="宋体" w:hAnsi="宋体" w:cs="宋体"/>
          <w:color w:val="auto"/>
          <w:sz w:val="24"/>
          <w:szCs w:val="24"/>
          <w:highlight w:val="none"/>
        </w:rPr>
        <w:t xml:space="preserve">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个工作日内书面通知对方当事人，在对方当事人收到有关变更通知之前，变更前的约定送达方式或者地址仍视为有效。</w:t>
      </w:r>
      <w:bookmarkEnd w:id="206"/>
      <w:r/>
      <w:bookmarkEnd w:id="207"/>
      <w:r/>
      <w:r/>
    </w:p>
    <w:p>
      <w:pPr>
        <w:ind w:firstLine="480"/>
        <w:spacing w:line="560" w:lineRule="exact"/>
        <w:rPr>
          <w:rFonts w:ascii="宋体" w:hAnsi="宋体" w:cs="宋体"/>
          <w:color w:val="auto"/>
          <w:sz w:val="24"/>
          <w:szCs w:val="24"/>
          <w:highlight w:val="none"/>
        </w:rPr>
      </w:pPr>
      <w:r/>
      <w:bookmarkStart w:id="211" w:name="_Toc18401"/>
      <w:r/>
      <w:bookmarkStart w:id="212"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11"/>
      <w:r/>
      <w:bookmarkEnd w:id="212"/>
      <w:r/>
      <w:bookmarkEnd w:id="208"/>
      <w:bookmarkEnd w:id="209"/>
      <w:bookmarkEnd w:id="210"/>
      <w:r/>
    </w:p>
    <w:p>
      <w:pPr>
        <w:ind w:firstLine="482"/>
        <w:spacing w:line="560" w:lineRule="exact"/>
        <w:rPr>
          <w:rFonts w:ascii="宋体" w:hAnsi="宋体" w:cs="宋体"/>
          <w:b/>
          <w:color w:val="auto"/>
          <w:sz w:val="24"/>
          <w:szCs w:val="24"/>
          <w:highlight w:val="none"/>
        </w:rPr>
      </w:pPr>
      <w:r/>
      <w:bookmarkStart w:id="213" w:name="_Toc487900373"/>
      <w:r/>
      <w:bookmarkStart w:id="214" w:name="_Toc279701263"/>
      <w:r/>
      <w:bookmarkStart w:id="215" w:name="_Toc20808"/>
      <w:r/>
      <w:bookmarkStart w:id="216" w:name="_Toc5063"/>
      <w:r/>
      <w:bookmarkStart w:id="217" w:name="_Toc28906"/>
      <w:r/>
      <w:bookmarkStart w:id="218" w:name="_Toc27644"/>
      <w:r/>
      <w:bookmarkStart w:id="219" w:name="_Toc12254"/>
      <w:r/>
      <w:bookmarkStart w:id="220" w:name="_Toc259093692"/>
      <w:r>
        <w:rPr>
          <w:rFonts w:hint="eastAsia" w:ascii="宋体" w:hAnsi="宋体" w:cs="宋体"/>
          <w:b/>
          <w:color w:val="auto"/>
          <w:sz w:val="24"/>
          <w:szCs w:val="24"/>
          <w:highlight w:val="none"/>
        </w:rPr>
        <w:t xml:space="preserve">2.16 合同使用的文字和适用的法律</w:t>
      </w:r>
      <w:bookmarkEnd w:id="213"/>
      <w:r/>
      <w:bookmarkEnd w:id="214"/>
      <w:r/>
      <w:bookmarkEnd w:id="215"/>
      <w:r/>
      <w:bookmarkEnd w:id="216"/>
      <w:r/>
      <w:bookmarkEnd w:id="217"/>
      <w:r/>
      <w:bookmarkEnd w:id="218"/>
      <w:r/>
      <w:bookmarkEnd w:id="219"/>
      <w:r/>
      <w:bookmarkEnd w:id="22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ind w:firstLine="482"/>
        <w:spacing w:line="560" w:lineRule="exact"/>
        <w:rPr>
          <w:rFonts w:ascii="宋体" w:hAnsi="宋体" w:cs="宋体"/>
          <w:b/>
          <w:color w:val="auto"/>
          <w:sz w:val="24"/>
          <w:szCs w:val="24"/>
          <w:highlight w:val="none"/>
        </w:rPr>
      </w:pPr>
      <w:r/>
      <w:bookmarkStart w:id="221" w:name="_Toc1492"/>
      <w:r/>
      <w:bookmarkStart w:id="222" w:name="_Toc30096"/>
      <w:r/>
      <w:bookmarkStart w:id="223" w:name="_Toc22266"/>
      <w:r/>
      <w:bookmarkStart w:id="224" w:name="_Toc27403"/>
      <w:r/>
      <w:bookmarkStart w:id="225" w:name="_Toc27127"/>
      <w:r>
        <w:rPr>
          <w:rFonts w:hint="eastAsia" w:ascii="宋体" w:hAnsi="宋体" w:cs="宋体"/>
          <w:b/>
          <w:color w:val="auto"/>
          <w:sz w:val="24"/>
          <w:szCs w:val="24"/>
          <w:highlight w:val="none"/>
        </w:rPr>
        <w:t xml:space="preserve">2.17 履约保证金</w:t>
      </w:r>
      <w:bookmarkEnd w:id="221"/>
      <w:r/>
      <w:bookmarkEnd w:id="222"/>
      <w:r/>
      <w:bookmarkEnd w:id="223"/>
      <w:r/>
      <w:bookmarkEnd w:id="224"/>
      <w:r/>
      <w:bookmarkEnd w:id="225"/>
      <w:r/>
      <w:r/>
    </w:p>
    <w:p>
      <w:pPr>
        <w:ind w:firstLine="480"/>
        <w:spacing w:line="560" w:lineRule="exact"/>
        <w:rPr>
          <w:rFonts w:ascii="宋体" w:hAnsi="宋体"/>
          <w:bCs/>
          <w:color w:val="auto"/>
          <w:sz w:val="24"/>
          <w:szCs w:val="24"/>
          <w:highlight w:val="none"/>
          <w:lang w:val="zh-CN"/>
        </w:rPr>
      </w:pPr>
      <w:r>
        <w:rPr>
          <w:rFonts w:hint="eastAsia" w:ascii="宋体" w:hAnsi="宋体"/>
          <w:bCs/>
          <w:color w:val="auto"/>
          <w:sz w:val="24"/>
          <w:szCs w:val="24"/>
          <w:highlight w:val="none"/>
        </w:rPr>
        <w:t xml:space="preserve">2.17.1</w:t>
      </w:r>
      <w:r>
        <w:rPr>
          <w:rFonts w:hint="eastAsia" w:ascii="宋体" w:hAnsi="宋体"/>
          <w:bCs/>
          <w:color w:val="auto"/>
          <w:sz w:val="24"/>
          <w:szCs w:val="24"/>
          <w:highlight w:val="none"/>
          <w:lang w:val="zh-CN"/>
        </w:rPr>
        <w:t xml:space="preserve">签订合同前，中标供应商须按下表要求交纳合同总金额</w:t>
      </w:r>
      <w:r>
        <w:rPr>
          <w:rFonts w:hint="eastAsia" w:ascii="宋体" w:hAnsi="宋体"/>
          <w:bCs/>
          <w:color w:val="auto"/>
          <w:sz w:val="24"/>
          <w:szCs w:val="24"/>
          <w:highlight w:val="none"/>
          <w:u w:val="single"/>
        </w:rPr>
        <w:t xml:space="preserve">  8 </w:t>
      </w:r>
      <w:r>
        <w:rPr>
          <w:rFonts w:hint="eastAsia" w:ascii="宋体" w:hAnsi="宋体"/>
          <w:bCs/>
          <w:color w:val="auto"/>
          <w:sz w:val="24"/>
          <w:szCs w:val="24"/>
          <w:highlight w:val="none"/>
          <w:lang w:val="zh-CN"/>
        </w:rPr>
        <w:t xml:space="preserve">%的履约保证金。</w:t>
      </w:r>
      <w:r/>
    </w:p>
    <w:p>
      <w:pPr>
        <w:ind w:firstLine="480"/>
        <w:spacing w:line="560" w:lineRule="exact"/>
        <w:rPr>
          <w:rFonts w:ascii="宋体" w:hAnsi="宋体"/>
          <w:bCs/>
          <w:color w:val="auto"/>
          <w:sz w:val="24"/>
          <w:szCs w:val="24"/>
          <w:highlight w:val="none"/>
          <w:lang w:val="zh-CN"/>
        </w:rPr>
      </w:pPr>
      <w:r>
        <w:rPr>
          <w:rFonts w:hint="eastAsia" w:ascii="宋体" w:hAnsi="宋体"/>
          <w:bCs/>
          <w:color w:val="auto"/>
          <w:sz w:val="24"/>
          <w:szCs w:val="24"/>
          <w:highlight w:val="none"/>
        </w:rPr>
        <w:t xml:space="preserve">2.17.</w:t>
      </w: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履约保证金于服务期满之日起十个工作日内无息退还。</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3589"/>
        <w:gridCol w:w="806"/>
        <w:gridCol w:w="3555"/>
      </w:tblGrid>
      <w:tr>
        <w:trPr>
          <w:jc w:val="center"/>
          <w:trHeight w:val="522"/>
        </w:trPr>
        <w:tc>
          <w:tcPr>
            <w:tcW w:w="1250" w:type="dxa"/>
            <w:vAlign w:val="center"/>
            <w:textDirection w:val="lrTb"/>
            <w:noWrap w:val="false"/>
          </w:tcPr>
          <w:p>
            <w:pPr>
              <w:jc w:val="center"/>
              <w:rPr>
                <w:rFonts w:ascii="宋体" w:hAnsi="宋体"/>
                <w:bCs/>
                <w:color w:val="auto"/>
                <w:sz w:val="24"/>
                <w:szCs w:val="24"/>
                <w:highlight w:val="none"/>
                <w:lang w:val="zh-CN"/>
              </w:rPr>
            </w:pPr>
            <w:r>
              <w:rPr>
                <w:rFonts w:hint="eastAsia"/>
                <w:color w:val="auto"/>
                <w:sz w:val="24"/>
                <w:szCs w:val="24"/>
                <w:highlight w:val="none"/>
              </w:rPr>
              <w:t xml:space="preserve">交纳履约保证金账户名称</w:t>
            </w:r>
            <w:r/>
          </w:p>
        </w:tc>
        <w:tc>
          <w:tcPr>
            <w:tcW w:w="3589" w:type="dxa"/>
            <w:vAlign w:val="center"/>
            <w:textDirection w:val="lrTb"/>
            <w:noWrap w:val="false"/>
          </w:tcPr>
          <w:p>
            <w:pPr>
              <w:jc w:val="center"/>
              <w:rPr>
                <w:rFonts w:hint="eastAsia" w:ascii="宋体" w:hAnsi="宋体" w:eastAsia="宋体"/>
                <w:bCs/>
                <w:color w:val="auto"/>
                <w:sz w:val="24"/>
                <w:szCs w:val="24"/>
                <w:highlight w:val="none"/>
                <w:lang w:val="zh-CN" w:eastAsia="zh-CN"/>
              </w:rPr>
            </w:pPr>
            <w:r>
              <w:rPr>
                <w:rFonts w:hint="eastAsia"/>
                <w:color w:val="auto"/>
                <w:spacing w:val="4"/>
                <w:sz w:val="24"/>
                <w:szCs w:val="24"/>
                <w:highlight w:val="none"/>
                <w:lang w:eastAsia="zh-CN"/>
              </w:rPr>
              <w:t xml:space="preserve">宜兴市财政局</w:t>
            </w:r>
            <w:r/>
          </w:p>
        </w:tc>
        <w:tc>
          <w:tcPr>
            <w:tcW w:w="806" w:type="dxa"/>
            <w:vAlign w:val="center"/>
            <w:vMerge w:val="restart"/>
            <w:textDirection w:val="lrTb"/>
            <w:noWrap w:val="false"/>
          </w:tcPr>
          <w:p>
            <w:pPr>
              <w:jc w:val="center"/>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交纳</w:t>
            </w:r>
            <w:r/>
          </w:p>
          <w:p>
            <w:pPr>
              <w:jc w:val="center"/>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形式</w:t>
            </w:r>
            <w:r/>
          </w:p>
        </w:tc>
        <w:tc>
          <w:tcPr>
            <w:tcW w:w="3555" w:type="dxa"/>
            <w:vAlign w:val="center"/>
            <w:vMerge w:val="restart"/>
            <w:textDirection w:val="lrTb"/>
            <w:noWrap w:val="false"/>
          </w:tcPr>
          <w:p>
            <w:pPr>
              <w:jc w:val="center"/>
              <w:rPr>
                <w:rFonts w:ascii="宋体" w:hAnsi="宋体"/>
                <w:bCs/>
                <w:color w:val="auto"/>
                <w:sz w:val="24"/>
                <w:szCs w:val="24"/>
                <w:highlight w:val="none"/>
                <w:lang w:val="zh-CN"/>
              </w:rPr>
            </w:pPr>
            <w:r>
              <w:rPr>
                <w:rFonts w:hint="eastAsia"/>
                <w:bCs/>
                <w:color w:val="auto"/>
                <w:sz w:val="24"/>
                <w:szCs w:val="24"/>
                <w:highlight w:val="none"/>
              </w:rPr>
              <w:t xml:space="preserve">履约保证金必须用电汇、转账形式提供履约保证（不接受以上方式以外的履约保证）</w:t>
            </w:r>
            <w:r/>
          </w:p>
        </w:tc>
      </w:tr>
      <w:tr>
        <w:trPr>
          <w:jc w:val="center"/>
          <w:trHeight w:val="1196"/>
        </w:trPr>
        <w:tc>
          <w:tcPr>
            <w:tcW w:w="1250" w:type="dxa"/>
            <w:vAlign w:val="center"/>
            <w:textDirection w:val="lrTb"/>
            <w:noWrap w:val="false"/>
          </w:tcPr>
          <w:p>
            <w:pPr>
              <w:jc w:val="center"/>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开户银行及行号</w:t>
            </w:r>
            <w:r/>
          </w:p>
        </w:tc>
        <w:tc>
          <w:tcPr>
            <w:tcW w:w="3589" w:type="dxa"/>
            <w:vAlign w:val="center"/>
            <w:textDirection w:val="lrTb"/>
            <w:noWrap w:val="false"/>
          </w:tcPr>
          <w:p>
            <w:pPr>
              <w:jc w:val="center"/>
              <w:rPr>
                <w:rFonts w:hint="default"/>
                <w:color w:val="auto"/>
                <w:spacing w:val="5"/>
                <w:sz w:val="24"/>
                <w:szCs w:val="24"/>
                <w:highlight w:val="none"/>
                <w:lang w:val="en-US"/>
              </w:rPr>
            </w:pPr>
            <w:r>
              <w:rPr>
                <w:rFonts w:hint="eastAsia"/>
                <w:color w:val="auto"/>
                <w:spacing w:val="5"/>
                <w:sz w:val="24"/>
                <w:szCs w:val="24"/>
                <w:highlight w:val="none"/>
                <w:lang w:val="en-US" w:eastAsia="zh-CN"/>
              </w:rPr>
              <w:t xml:space="preserve">3202230011010081110012               江苏宜兴农村商业银行营业部</w:t>
            </w:r>
            <w:r/>
          </w:p>
        </w:tc>
        <w:tc>
          <w:tcPr>
            <w:tcW w:w="806" w:type="dxa"/>
            <w:vAlign w:val="center"/>
            <w:vMerge w:val="continue"/>
            <w:textDirection w:val="lrTb"/>
            <w:noWrap w:val="false"/>
          </w:tcPr>
          <w:p>
            <w:pPr>
              <w:jc w:val="center"/>
              <w:spacing w:line="360" w:lineRule="auto"/>
              <w:rPr>
                <w:rFonts w:ascii="宋体" w:hAnsi="宋体"/>
                <w:bCs/>
                <w:color w:val="auto"/>
                <w:szCs w:val="21"/>
                <w:highlight w:val="none"/>
                <w:lang w:val="zh-CN"/>
              </w:rPr>
            </w:pPr>
            <w:r>
              <w:rPr>
                <w:rFonts w:ascii="宋体" w:hAnsi="宋体"/>
                <w:bCs/>
                <w:color w:val="auto"/>
                <w:szCs w:val="21"/>
                <w:highlight w:val="none"/>
                <w:lang w:val="zh-CN"/>
              </w:rPr>
            </w:r>
            <w:r/>
          </w:p>
        </w:tc>
        <w:tc>
          <w:tcPr>
            <w:tcW w:w="3555" w:type="dxa"/>
            <w:vAlign w:val="center"/>
            <w:vMerge w:val="continue"/>
            <w:textDirection w:val="lrTb"/>
            <w:noWrap w:val="false"/>
          </w:tcPr>
          <w:p>
            <w:pPr>
              <w:jc w:val="center"/>
              <w:spacing w:line="360" w:lineRule="auto"/>
              <w:rPr>
                <w:rFonts w:ascii="宋体" w:hAnsi="宋体"/>
                <w:bCs/>
                <w:color w:val="auto"/>
                <w:szCs w:val="21"/>
                <w:highlight w:val="none"/>
                <w:lang w:val="zh-CN"/>
              </w:rPr>
            </w:pPr>
            <w:r>
              <w:rPr>
                <w:rFonts w:ascii="宋体" w:hAnsi="宋体"/>
                <w:bCs/>
                <w:color w:val="auto"/>
                <w:szCs w:val="21"/>
                <w:highlight w:val="none"/>
                <w:lang w:val="zh-CN"/>
              </w:rPr>
            </w:r>
            <w:r/>
          </w:p>
        </w:tc>
      </w:tr>
    </w:tbl>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r/>
    </w:p>
    <w:p>
      <w:pPr>
        <w:ind w:firstLine="480"/>
        <w:spacing w:line="560" w:lineRule="exact"/>
        <w:rPr>
          <w:rFonts w:ascii="宋体" w:hAnsi="宋体" w:cs="宋体"/>
          <w:color w:val="auto"/>
          <w:sz w:val="24"/>
          <w:szCs w:val="24"/>
          <w:highlight w:val="none"/>
        </w:rPr>
        <w:sectPr>
          <w:footerReference w:type="default" r:id="rId12"/>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color w:val="auto"/>
          <w:sz w:val="24"/>
          <w:szCs w:val="24"/>
          <w:highlight w:val="none"/>
        </w:rPr>
      </w:r>
      <w:bookmarkEnd w:id="66"/>
      <w:bookmarkEnd w:id="67"/>
      <w:bookmarkEnd w:id="68"/>
      <w:r/>
    </w:p>
    <w:p>
      <w:pPr>
        <w:pStyle w:val="1017"/>
        <w:rPr>
          <w:color w:val="auto"/>
          <w:highlight w:val="none"/>
        </w:rPr>
      </w:pPr>
      <w:r>
        <w:rPr>
          <w:rFonts w:hint="eastAsia"/>
          <w:color w:val="auto"/>
          <w:highlight w:val="none"/>
        </w:rPr>
        <w:t xml:space="preserve">第六章 附件（响应文件格式）</w:t>
      </w:r>
      <w:r/>
    </w:p>
    <w:p>
      <w:pPr>
        <w:pStyle w:val="812"/>
        <w:rPr>
          <w:color w:val="auto"/>
          <w:highlight w:val="none"/>
        </w:rPr>
      </w:pPr>
      <w:r>
        <w:rPr>
          <w:color w:val="auto"/>
          <w:highlight w:val="none"/>
        </w:rPr>
      </w:r>
      <w:r/>
    </w:p>
    <w:p>
      <w:pPr>
        <w:pStyle w:val="812"/>
        <w:rPr>
          <w:color w:val="auto"/>
          <w:highlight w:val="none"/>
        </w:rPr>
      </w:pPr>
      <w:r>
        <w:rPr>
          <w:color w:val="auto"/>
          <w:highlight w:val="none"/>
        </w:rPr>
      </w:r>
      <w:r/>
    </w:p>
    <w:p>
      <w:pPr>
        <w:pStyle w:val="812"/>
        <w:rPr>
          <w:color w:val="auto"/>
          <w:highlight w:val="none"/>
        </w:rPr>
      </w:pPr>
      <w:r>
        <w:rPr>
          <w:color w:val="auto"/>
          <w:highlight w:val="none"/>
        </w:rPr>
      </w:r>
      <w:r/>
    </w:p>
    <w:p>
      <w:pPr>
        <w:pStyle w:val="812"/>
        <w:rPr>
          <w:color w:val="auto"/>
          <w:highlight w:val="none"/>
        </w:rPr>
      </w:pPr>
      <w:r>
        <w:rPr>
          <w:color w:val="auto"/>
          <w:highlight w:val="none"/>
        </w:rPr>
      </w:r>
      <w:r/>
    </w:p>
    <w:p>
      <w:pPr>
        <w:pStyle w:val="812"/>
        <w:rPr>
          <w:color w:val="auto"/>
          <w:highlight w:val="none"/>
        </w:rPr>
      </w:pPr>
      <w:r>
        <w:rPr>
          <w:color w:val="auto"/>
          <w:highlight w:val="none"/>
        </w:rPr>
      </w:r>
      <w:r/>
    </w:p>
    <w:p>
      <w:pPr>
        <w:pStyle w:val="812"/>
        <w:rPr>
          <w:color w:val="auto"/>
          <w:highlight w:val="none"/>
        </w:rPr>
      </w:pPr>
      <w:r>
        <w:rPr>
          <w:color w:val="auto"/>
          <w:highlight w:val="none"/>
        </w:rPr>
      </w:r>
      <w:r/>
    </w:p>
    <w:p>
      <w:pPr>
        <w:jc w:val="center"/>
        <w:rPr>
          <w:rFonts w:ascii="宋体" w:hAnsi="宋体" w:cs="宋体"/>
          <w:b/>
          <w:color w:val="auto"/>
          <w:sz w:val="120"/>
          <w:szCs w:val="120"/>
          <w:highlight w:val="none"/>
        </w:rPr>
      </w:pPr>
      <w:r>
        <w:rPr>
          <w:rFonts w:hint="eastAsia" w:ascii="宋体" w:hAnsi="宋体" w:cs="宋体"/>
          <w:b/>
          <w:color w:val="auto"/>
          <w:sz w:val="120"/>
          <w:szCs w:val="120"/>
          <w:highlight w:val="none"/>
        </w:rPr>
        <w:t xml:space="preserve">响应文件</w:t>
      </w:r>
      <w:r/>
    </w:p>
    <w:p>
      <w:pPr>
        <w:jc w:val="center"/>
        <w:rPr>
          <w:rFonts w:hint="eastAsia" w:ascii="宋体" w:hAnsi="宋体" w:eastAsia="宋体" w:cs="宋体"/>
          <w:b/>
          <w:color w:val="auto"/>
          <w:sz w:val="32"/>
          <w:szCs w:val="32"/>
          <w:highlight w:val="none"/>
          <w:lang w:eastAsia="zh-CN"/>
        </w:rPr>
      </w:pPr>
      <w:r/>
      <w:bookmarkStart w:id="226" w:name="_Toc2400"/>
      <w:r>
        <w:rPr>
          <w:rFonts w:hint="eastAsia" w:ascii="宋体" w:hAnsi="宋体" w:cs="宋体"/>
          <w:b/>
          <w:color w:val="auto"/>
          <w:sz w:val="32"/>
          <w:szCs w:val="32"/>
          <w:highlight w:val="none"/>
        </w:rPr>
        <w:t xml:space="preserve">项目编号：</w:t>
      </w:r>
      <w:bookmarkEnd w:id="226"/>
      <w:r>
        <w:rPr>
          <w:rFonts w:hint="eastAsia" w:ascii="宋体" w:hAnsi="宋体" w:cs="宋体"/>
          <w:b/>
          <w:color w:val="auto"/>
          <w:sz w:val="32"/>
          <w:szCs w:val="32"/>
          <w:highlight w:val="none"/>
          <w:lang w:eastAsia="zh-CN"/>
        </w:rPr>
        <w:t xml:space="preserve">JSZC-320282-JGGC-C2026-0005</w:t>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spacing w:before="156" w:after="156"/>
        <w:rPr>
          <w:rFonts w:ascii="宋体" w:hAnsi="宋体" w:cs="宋体"/>
          <w:b/>
          <w:color w:val="auto"/>
          <w:sz w:val="32"/>
          <w:szCs w:val="32"/>
          <w:highlight w:val="none"/>
          <w:u w:val="single"/>
        </w:rPr>
      </w:pPr>
      <w:r/>
      <w:bookmarkStart w:id="227" w:name="_Toc10010"/>
      <w:r>
        <w:rPr>
          <w:rFonts w:hint="eastAsia" w:ascii="宋体" w:hAnsi="宋体" w:cs="宋体"/>
          <w:b/>
          <w:color w:val="auto"/>
          <w:sz w:val="32"/>
          <w:szCs w:val="32"/>
          <w:highlight w:val="none"/>
        </w:rPr>
        <w:t xml:space="preserve">项目名称：</w:t>
      </w:r>
      <w:bookmarkEnd w:id="227"/>
      <w:r>
        <w:rPr>
          <w:rFonts w:hint="eastAsia" w:ascii="宋体" w:hAnsi="宋体" w:cs="宋体"/>
          <w:b/>
          <w:color w:val="auto"/>
          <w:sz w:val="32"/>
          <w:szCs w:val="32"/>
          <w:highlight w:val="none"/>
          <w:u w:val="single"/>
          <w:lang w:eastAsia="zh-CN"/>
        </w:rPr>
        <w:t xml:space="preserve">宜兴市优秀公务员健康休养服务采购项目</w:t>
      </w:r>
      <w:r>
        <w:rPr>
          <w:rFonts w:hint="eastAsia" w:ascii="宋体" w:hAnsi="宋体" w:cs="宋体"/>
          <w:b/>
          <w:color w:val="auto"/>
          <w:sz w:val="32"/>
          <w:szCs w:val="32"/>
          <w:highlight w:val="none"/>
          <w:u w:val="single"/>
        </w:rPr>
        <w:t xml:space="preserve">      </w:t>
      </w:r>
      <w:r/>
    </w:p>
    <w:p>
      <w:pPr>
        <w:pStyle w:val="1015"/>
        <w:rPr>
          <w:color w:val="auto"/>
          <w:highlight w:val="none"/>
        </w:rPr>
      </w:pPr>
      <w:r>
        <w:rPr>
          <w:color w:val="auto"/>
          <w:highlight w:val="none"/>
        </w:rPr>
      </w:r>
      <w:r/>
    </w:p>
    <w:p>
      <w:pPr>
        <w:rPr>
          <w:rFonts w:ascii="宋体" w:hAnsi="宋体" w:cs="宋体"/>
          <w:b/>
          <w:color w:val="auto"/>
          <w:sz w:val="32"/>
          <w:szCs w:val="32"/>
          <w:highlight w:val="none"/>
          <w:u w:val="single"/>
        </w:rPr>
      </w:pPr>
      <w:r/>
      <w:bookmarkStart w:id="228" w:name="_Toc8670"/>
      <w:r>
        <w:rPr>
          <w:rFonts w:hint="eastAsia" w:ascii="宋体" w:hAnsi="宋体" w:cs="宋体"/>
          <w:b/>
          <w:color w:val="auto"/>
          <w:sz w:val="32"/>
          <w:szCs w:val="32"/>
          <w:highlight w:val="none"/>
        </w:rPr>
        <w:t xml:space="preserve">供应商名称：</w:t>
      </w:r>
      <w:r>
        <w:rPr>
          <w:rFonts w:hint="eastAsia" w:ascii="宋体" w:hAnsi="宋体" w:cs="宋体"/>
          <w:b/>
          <w:color w:val="auto"/>
          <w:sz w:val="32"/>
          <w:szCs w:val="32"/>
          <w:highlight w:val="none"/>
          <w:u w:val="single"/>
        </w:rPr>
        <w:t xml:space="preserve">                                （盖公章）</w:t>
      </w:r>
      <w:bookmarkEnd w:id="228"/>
      <w:r/>
      <w:r/>
    </w:p>
    <w:p>
      <w:pPr>
        <w:pStyle w:val="1015"/>
        <w:rPr>
          <w:color w:val="auto"/>
          <w:highlight w:val="none"/>
        </w:rPr>
      </w:pPr>
      <w:r>
        <w:rPr>
          <w:color w:val="auto"/>
          <w:highlight w:val="none"/>
        </w:rPr>
      </w:r>
      <w:r/>
    </w:p>
    <w:p>
      <w:pPr>
        <w:rPr>
          <w:rFonts w:ascii="宋体" w:hAnsi="宋体" w:cs="宋体"/>
          <w:color w:val="auto"/>
          <w:highlight w:val="none"/>
        </w:rPr>
      </w:pPr>
      <w:r/>
      <w:bookmarkStart w:id="229" w:name="_Toc24371"/>
      <w:r>
        <w:rPr>
          <w:rFonts w:hint="eastAsia" w:ascii="宋体" w:hAnsi="宋体" w:cs="宋体"/>
          <w:b/>
          <w:color w:val="auto"/>
          <w:sz w:val="32"/>
          <w:szCs w:val="32"/>
          <w:highlight w:val="none"/>
        </w:rPr>
        <w:t xml:space="preserve">法定代表人或其被授权代表人：</w:t>
      </w:r>
      <w:r>
        <w:rPr>
          <w:rFonts w:hint="eastAsia" w:ascii="宋体" w:hAnsi="宋体" w:cs="宋体"/>
          <w:b/>
          <w:color w:val="auto"/>
          <w:sz w:val="32"/>
          <w:szCs w:val="32"/>
          <w:highlight w:val="none"/>
          <w:u w:val="single"/>
        </w:rPr>
        <w:t xml:space="preserve">                 （签名）</w:t>
      </w:r>
      <w:bookmarkEnd w:id="229"/>
      <w:r/>
      <w:r/>
    </w:p>
    <w:p>
      <w:pP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bookmarkStart w:id="230" w:name="_Toc1179"/>
      <w:r>
        <w:rPr>
          <w:rFonts w:hint="eastAsia" w:ascii="宋体" w:hAnsi="宋体" w:cs="宋体"/>
          <w:b/>
          <w:color w:val="auto"/>
          <w:sz w:val="32"/>
          <w:szCs w:val="32"/>
          <w:highlight w:val="none"/>
        </w:rPr>
        <w:t xml:space="preserve">日期：</w:t>
      </w:r>
      <w:r>
        <w:rPr>
          <w:rFonts w:hint="eastAsia" w:ascii="宋体" w:hAnsi="宋体" w:cs="宋体"/>
          <w:b/>
          <w:color w:val="auto"/>
          <w:sz w:val="32"/>
          <w:szCs w:val="32"/>
          <w:highlight w:val="none"/>
          <w:u w:val="single"/>
        </w:rPr>
        <w:t xml:space="preserve">      年    月    日</w:t>
      </w:r>
      <w:bookmarkEnd w:id="230"/>
      <w:r/>
      <w:r/>
    </w:p>
    <w:p>
      <w:pPr>
        <w:pStyle w:val="812"/>
        <w:rPr>
          <w:color w:val="auto"/>
          <w:highlight w:val="none"/>
        </w:rPr>
      </w:pPr>
      <w:r>
        <w:rPr>
          <w:color w:val="auto"/>
          <w:highlight w:val="none"/>
        </w:rPr>
      </w:r>
      <w:r/>
    </w:p>
    <w:p>
      <w:pPr>
        <w:pStyle w:val="812"/>
        <w:rPr>
          <w:color w:val="auto"/>
          <w:highlight w:val="none"/>
        </w:rPr>
      </w:pPr>
      <w:r>
        <w:rPr>
          <w:color w:val="auto"/>
          <w:highlight w:val="none"/>
        </w:rPr>
      </w:r>
      <w:r/>
    </w:p>
    <w:p>
      <w:pPr>
        <w:pStyle w:val="812"/>
        <w:rPr>
          <w:color w:val="auto"/>
          <w:highlight w:val="none"/>
        </w:rPr>
      </w:pPr>
      <w:r>
        <w:rPr>
          <w:color w:val="auto"/>
          <w:highlight w:val="none"/>
        </w:rPr>
      </w:r>
      <w:r/>
    </w:p>
    <w:p>
      <w:pPr>
        <w:pStyle w:val="812"/>
        <w:rPr>
          <w:color w:val="auto"/>
          <w:highlight w:val="none"/>
        </w:rPr>
      </w:pPr>
      <w:r>
        <w:rPr>
          <w:color w:val="auto"/>
          <w:highlight w:val="none"/>
        </w:rPr>
      </w:r>
      <w:r/>
    </w:p>
    <w:p>
      <w:pPr>
        <w:pStyle w:val="812"/>
        <w:rPr>
          <w:color w:val="auto"/>
          <w:highlight w:val="none"/>
        </w:rPr>
        <w:sectPr>
          <w:footnotePr/>
          <w:endnotePr/>
          <w:type w:val="nextPage"/>
          <w:pgSz w:w="11906" w:h="16838" w:orient="portrait"/>
          <w:pgMar w:top="1440" w:right="1588" w:bottom="1440" w:left="1588" w:header="851" w:footer="992" w:gutter="0"/>
          <w:cols w:num="1" w:sep="0" w:space="1701" w:equalWidth="1"/>
          <w:docGrid w:linePitch="360"/>
        </w:sectPr>
      </w:pPr>
      <w:r>
        <w:rPr>
          <w:color w:val="auto"/>
          <w:highlight w:val="none"/>
        </w:rPr>
      </w:r>
      <w:r/>
    </w:p>
    <w:p>
      <w:pPr>
        <w:spacing w:line="360" w:lineRule="auto"/>
        <w:rPr>
          <w:rFonts w:ascii="宋体" w:hAnsi="宋体" w:cs="宋体"/>
          <w:bCs/>
          <w:color w:val="auto"/>
          <w:sz w:val="28"/>
          <w:szCs w:val="28"/>
          <w:highlight w:val="none"/>
        </w:rPr>
      </w:pPr>
      <w:r/>
      <w:bookmarkStart w:id="231" w:name="_Toc29168"/>
      <w:r>
        <w:rPr>
          <w:rFonts w:hint="eastAsia" w:ascii="宋体" w:hAnsi="宋体" w:cs="宋体"/>
          <w:bCs/>
          <w:color w:val="auto"/>
          <w:sz w:val="24"/>
          <w:szCs w:val="24"/>
          <w:highlight w:val="none"/>
        </w:rPr>
        <w:t xml:space="preserve">（一）报价文件：</w:t>
      </w:r>
      <w:bookmarkEnd w:id="231"/>
      <w:r/>
      <w:r/>
    </w:p>
    <w:p>
      <w:pPr>
        <w:ind w:firstLine="480"/>
        <w:rPr>
          <w:rFonts w:ascii="宋体" w:hAnsi="宋体" w:cs="宋体"/>
          <w:color w:val="auto"/>
          <w:sz w:val="28"/>
          <w:szCs w:val="28"/>
          <w:highlight w:val="none"/>
        </w:rPr>
      </w:pPr>
      <w:r>
        <w:rPr>
          <w:rFonts w:hint="eastAsia" w:ascii="宋体" w:hAnsi="宋体" w:cs="宋体"/>
          <w:bCs/>
          <w:color w:val="auto"/>
          <w:sz w:val="24"/>
          <w:szCs w:val="24"/>
          <w:highlight w:val="none"/>
        </w:rPr>
        <w:t xml:space="preserve">1、磋商报价表（格式）：</w:t>
      </w:r>
      <w:r/>
    </w:p>
    <w:p>
      <w:pPr>
        <w:jc w:val="center"/>
        <w:spacing w:before="156" w:after="156"/>
        <w:rPr>
          <w:rFonts w:ascii="宋体" w:hAnsi="宋体" w:cs="宋体"/>
          <w:color w:val="auto"/>
          <w:sz w:val="28"/>
          <w:szCs w:val="28"/>
          <w:highlight w:val="none"/>
        </w:rPr>
      </w:pPr>
      <w:r>
        <w:rPr>
          <w:rFonts w:hint="eastAsia" w:ascii="宋体" w:hAnsi="宋体" w:cs="宋体"/>
          <w:color w:val="auto"/>
          <w:sz w:val="28"/>
          <w:szCs w:val="28"/>
          <w:highlight w:val="none"/>
        </w:rPr>
        <w:t xml:space="preserve">磋商报价表</w:t>
      </w:r>
      <w:r/>
    </w:p>
    <w:p>
      <w:pPr>
        <w:pStyle w:val="801"/>
        <w:rPr>
          <w:rFonts w:cs="宋体"/>
          <w:color w:val="auto"/>
          <w:sz w:val="27"/>
          <w:szCs w:val="27"/>
          <w:highlight w:val="none"/>
        </w:rPr>
      </w:pPr>
      <w:r>
        <w:rPr>
          <w:rFonts w:hint="eastAsia" w:cs="宋体"/>
          <w:color w:val="auto"/>
          <w:sz w:val="27"/>
          <w:szCs w:val="27"/>
          <w:highlight w:val="none"/>
        </w:rPr>
        <w:t xml:space="preserve">本次为首次报价</w:t>
      </w:r>
      <w:r>
        <w:rPr>
          <w:rFonts w:hint="eastAsia" w:ascii="方正仿宋_GBK" w:hAnsi="方正仿宋_GBK" w:eastAsia="方正仿宋_GBK" w:cs="方正仿宋_GBK"/>
          <w:color w:val="auto"/>
          <w:sz w:val="27"/>
          <w:szCs w:val="27"/>
          <w:highlight w:val="none"/>
        </w:rPr>
        <w:t xml:space="preserve">                                      </w:t>
      </w:r>
      <w:r>
        <w:rPr>
          <w:rFonts w:hint="eastAsia" w:cs="宋体"/>
          <w:color w:val="auto"/>
          <w:sz w:val="27"/>
          <w:szCs w:val="27"/>
          <w:highlight w:val="none"/>
        </w:rPr>
        <w:t xml:space="preserve">货币单位：人民币元</w:t>
      </w:r>
      <w:r/>
    </w:p>
    <w:p>
      <w:pPr>
        <w:pStyle w:val="801"/>
        <w:rPr>
          <w:rFonts w:cs="宋体"/>
          <w:color w:val="auto"/>
          <w:sz w:val="27"/>
          <w:szCs w:val="27"/>
          <w:highlight w:val="none"/>
        </w:rPr>
      </w:pPr>
      <w:r>
        <w:rPr>
          <w:rFonts w:hint="eastAsia" w:cs="宋体"/>
          <w:color w:val="auto"/>
          <w:sz w:val="27"/>
          <w:szCs w:val="27"/>
          <w:highlight w:val="none"/>
        </w:rPr>
        <w:t xml:space="preserve">项目编号：</w:t>
      </w:r>
      <w:r/>
    </w:p>
    <w:p>
      <w:pPr>
        <w:ind w:left="1"/>
        <w:jc w:val="right"/>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highlight w:val="none"/>
        </w:rPr>
      </w:pPr>
      <w:r>
        <w:rPr>
          <w:rFonts w:ascii="宋体" w:hAnsi="宋体" w:cs="宋体"/>
          <w:color w:val="auto"/>
          <w:highlight w:val="none"/>
        </w:rPr>
      </w:r>
      <w:r/>
    </w:p>
    <w:tbl>
      <w:tblPr>
        <w:tblStyle w:val="781"/>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3022"/>
        <w:gridCol w:w="4638"/>
      </w:tblGrid>
      <w:tr>
        <w:trPr>
          <w:cantSplit/>
          <w:trHeight w:val="567"/>
        </w:trPr>
        <w:tc>
          <w:tcPr>
            <w:tcW w:w="1940"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标题</w:t>
            </w:r>
            <w:r/>
          </w:p>
        </w:tc>
        <w:tc>
          <w:tcPr>
            <w:tcW w:w="3022"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内容  (小写)</w:t>
            </w:r>
            <w:r/>
          </w:p>
        </w:tc>
        <w:tc>
          <w:tcPr>
            <w:tcW w:w="4638"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内容（大写）</w:t>
            </w:r>
            <w:r/>
          </w:p>
        </w:tc>
      </w:tr>
      <w:tr>
        <w:trPr>
          <w:cantSplit/>
          <w:trHeight w:val="1630"/>
        </w:trPr>
        <w:tc>
          <w:tcPr>
            <w:tcW w:w="1940" w:type="dxa"/>
            <w:vAlign w:val="center"/>
            <w:textDirection w:val="lrTb"/>
            <w:noWrap w:val="false"/>
          </w:tcPr>
          <w:p>
            <w:pPr>
              <w:pStyle w:val="999"/>
              <w:jc w:val="center"/>
              <w:spacing w:line="400" w:lineRule="exact"/>
              <w:rPr>
                <w:rFonts w:hint="eastAsia" w:hAnsi="宋体" w:eastAsia="宋体" w:cs="宋体"/>
                <w:bCs/>
                <w:color w:val="auto"/>
                <w:szCs w:val="24"/>
                <w:highlight w:val="none"/>
                <w:lang w:eastAsia="zh-CN"/>
              </w:rPr>
            </w:pPr>
            <w:r>
              <w:rPr>
                <w:rFonts w:hint="eastAsia" w:hAnsi="宋体" w:cs="宋体"/>
                <w:bCs/>
                <w:color w:val="auto"/>
                <w:szCs w:val="24"/>
                <w:highlight w:val="none"/>
              </w:rPr>
              <w:t xml:space="preserve">报价</w:t>
            </w:r>
            <w:r>
              <w:rPr>
                <w:rFonts w:hint="eastAsia" w:hAnsi="宋体" w:cs="宋体"/>
                <w:bCs/>
                <w:color w:val="auto"/>
                <w:szCs w:val="24"/>
                <w:highlight w:val="none"/>
                <w:lang w:eastAsia="zh-CN"/>
              </w:rPr>
              <w:t xml:space="preserve">（</w:t>
            </w:r>
            <w:r>
              <w:rPr>
                <w:rFonts w:hint="eastAsia" w:hAnsi="宋体" w:cs="宋体"/>
                <w:bCs/>
                <w:color w:val="auto"/>
                <w:szCs w:val="24"/>
                <w:highlight w:val="none"/>
                <w:lang w:val="en-US" w:eastAsia="zh-CN"/>
              </w:rPr>
              <w:t xml:space="preserve">单价</w:t>
            </w:r>
            <w:r>
              <w:rPr>
                <w:rFonts w:hint="eastAsia" w:hAnsi="宋体" w:cs="宋体"/>
                <w:bCs/>
                <w:color w:val="auto"/>
                <w:szCs w:val="24"/>
                <w:highlight w:val="none"/>
                <w:lang w:eastAsia="zh-CN"/>
              </w:rPr>
              <w:t xml:space="preserve">）</w:t>
            </w:r>
            <w:r/>
          </w:p>
        </w:tc>
        <w:tc>
          <w:tcPr>
            <w:tcW w:w="3022" w:type="dxa"/>
            <w:vAlign w:val="center"/>
            <w:textDirection w:val="lrTb"/>
            <w:noWrap w:val="false"/>
          </w:tcPr>
          <w:p>
            <w:pPr>
              <w:pStyle w:val="999"/>
              <w:ind w:firstLine="560"/>
              <w:rPr>
                <w:rFonts w:hAnsi="宋体" w:cs="宋体"/>
                <w:b/>
                <w:color w:val="auto"/>
                <w:szCs w:val="24"/>
                <w:highlight w:val="none"/>
              </w:rPr>
            </w:pP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元</w:t>
            </w:r>
            <w:r/>
          </w:p>
        </w:tc>
        <w:tc>
          <w:tcPr>
            <w:tcW w:w="4638" w:type="dxa"/>
            <w:vAlign w:val="center"/>
            <w:textDirection w:val="lrTb"/>
            <w:noWrap w:val="false"/>
          </w:tcPr>
          <w:p>
            <w:pPr>
              <w:pStyle w:val="999"/>
              <w:ind w:firstLine="1120"/>
              <w:rPr>
                <w:rFonts w:hAnsi="宋体" w:cs="宋体"/>
                <w:b/>
                <w:color w:val="auto"/>
                <w:szCs w:val="24"/>
                <w:highlight w:val="none"/>
              </w:rPr>
            </w:pP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元</w:t>
            </w:r>
            <w:r/>
          </w:p>
        </w:tc>
      </w:tr>
    </w:tbl>
    <w:p>
      <w:pPr>
        <w:ind w:left="1"/>
        <w:jc w:val="left"/>
        <w:rPr>
          <w:rFonts w:ascii="宋体" w:hAnsi="宋体" w:cs="宋体"/>
          <w:color w:val="auto"/>
          <w:sz w:val="24"/>
          <w:szCs w:val="24"/>
          <w:highlight w:val="none"/>
        </w:rPr>
      </w:pPr>
      <w:r>
        <w:rPr>
          <w:rFonts w:ascii="宋体" w:hAnsi="宋体" w:cs="宋体"/>
          <w:color w:val="auto"/>
          <w:sz w:val="24"/>
          <w:szCs w:val="24"/>
          <w:highlight w:val="none"/>
        </w:rPr>
      </w:r>
      <w:r/>
    </w:p>
    <w:p>
      <w:pPr>
        <w:ind w:left="1"/>
        <w:jc w:val="right"/>
        <w:rPr>
          <w:rFonts w:ascii="宋体" w:hAnsi="宋体" w:cs="宋体"/>
          <w:color w:val="auto"/>
          <w:sz w:val="24"/>
          <w:szCs w:val="24"/>
          <w:highlight w:val="none"/>
        </w:rPr>
      </w:pPr>
      <w:r>
        <w:rPr>
          <w:rFonts w:ascii="宋体" w:hAnsi="宋体" w:cs="宋体"/>
          <w:color w:val="auto"/>
          <w:sz w:val="24"/>
          <w:szCs w:val="24"/>
          <w:highlight w:val="none"/>
        </w:rPr>
      </w:r>
      <w:r/>
    </w:p>
    <w:p>
      <w:pPr>
        <w:ind w:left="1"/>
        <w:jc w:val="right"/>
        <w:rPr>
          <w:rFonts w:ascii="宋体" w:hAnsi="宋体" w:cs="宋体"/>
          <w:color w:val="auto"/>
          <w:sz w:val="24"/>
          <w:szCs w:val="24"/>
          <w:highlight w:val="none"/>
        </w:rPr>
      </w:pPr>
      <w:r>
        <w:rPr>
          <w:rFonts w:ascii="宋体" w:hAnsi="宋体" w:cs="宋体"/>
          <w:color w:val="auto"/>
          <w:sz w:val="24"/>
          <w:szCs w:val="24"/>
          <w:highlight w:val="none"/>
        </w:rPr>
      </w:r>
      <w:r/>
    </w:p>
    <w:p>
      <w:pPr>
        <w:ind w:left="5460" w:hanging="5460"/>
        <w:jc w:val="left"/>
        <w:spacing w:line="360" w:lineRule="auto"/>
        <w:rPr>
          <w:rFonts w:cs="宋体"/>
          <w:color w:val="auto"/>
          <w:highlight w:val="none"/>
        </w:rPr>
      </w:pPr>
      <w:r>
        <w:rPr>
          <w:rFonts w:hint="eastAsia" w:ascii="宋体" w:hAnsi="宋体" w:cs="宋体"/>
          <w:bCs/>
          <w:color w:val="auto"/>
          <w:sz w:val="24"/>
          <w:highlight w:val="none"/>
        </w:rPr>
        <w:t xml:space="preserve">注：</w:t>
      </w:r>
      <w:r/>
    </w:p>
    <w:p>
      <w:pPr>
        <w:pStyle w:val="801"/>
        <w:spacing w:before="0" w:beforeAutospacing="0" w:after="0" w:afterAutospacing="0"/>
        <w:rPr>
          <w:rFonts w:cs="宋体"/>
          <w:color w:val="auto"/>
          <w:highlight w:val="none"/>
        </w:rPr>
      </w:pPr>
      <w:r>
        <w:rPr>
          <w:rFonts w:hint="eastAsia" w:cs="宋体"/>
          <w:color w:val="auto"/>
          <w:highlight w:val="none"/>
          <w:lang w:val="en-US" w:eastAsia="zh-CN"/>
        </w:rPr>
        <w:t xml:space="preserve">1</w:t>
      </w:r>
      <w:r>
        <w:rPr>
          <w:rFonts w:hint="eastAsia" w:cs="宋体"/>
          <w:color w:val="auto"/>
          <w:highlight w:val="none"/>
        </w:rPr>
        <w:t xml:space="preserve">、</w:t>
      </w:r>
      <w:r>
        <w:rPr>
          <w:rFonts w:ascii="宋体" w:hAnsi="宋体" w:eastAsia="宋体" w:cs="宋体"/>
          <w:color w:val="auto"/>
          <w:sz w:val="24"/>
          <w:szCs w:val="24"/>
          <w:highlight w:val="none"/>
        </w:rPr>
        <w:t xml:space="preserve">本次报价为单价，大小写不一致以大写为准</w:t>
      </w:r>
      <w:r>
        <w:rPr>
          <w:rFonts w:hint="eastAsia" w:cs="宋体"/>
          <w:color w:val="auto"/>
          <w:highlight w:val="none"/>
        </w:rPr>
        <w:t xml:space="preserve">。</w:t>
      </w:r>
      <w:r/>
    </w:p>
    <w:p>
      <w:pPr>
        <w:pStyle w:val="801"/>
        <w:spacing w:before="0" w:beforeAutospacing="0" w:after="0" w:afterAutospacing="0"/>
        <w:rPr>
          <w:rFonts w:cs="宋体"/>
          <w:color w:val="auto"/>
          <w:highlight w:val="none"/>
        </w:rPr>
      </w:pPr>
      <w:r>
        <w:rPr>
          <w:rFonts w:hint="eastAsia" w:cs="宋体"/>
          <w:color w:val="auto"/>
          <w:highlight w:val="none"/>
          <w:lang w:val="en-US" w:eastAsia="zh-CN"/>
        </w:rPr>
        <w:t xml:space="preserve">2</w:t>
      </w:r>
      <w:r>
        <w:rPr>
          <w:rFonts w:hint="eastAsia" w:cs="宋体"/>
          <w:color w:val="auto"/>
          <w:highlight w:val="none"/>
        </w:rPr>
        <w:t xml:space="preserve">、偏离说明：详见《项目技术要求偏离表》。</w:t>
      </w:r>
      <w:r/>
    </w:p>
    <w:p>
      <w:pPr>
        <w:pStyle w:val="801"/>
        <w:jc w:val="right"/>
        <w:rPr>
          <w:rFonts w:cs="宋体"/>
          <w:color w:val="auto"/>
          <w:highlight w:val="none"/>
        </w:rPr>
      </w:pPr>
      <w:r>
        <w:rPr>
          <w:rFonts w:cs="宋体"/>
          <w:color w:val="auto"/>
          <w:highlight w:val="none"/>
        </w:rPr>
      </w:r>
      <w:r/>
    </w:p>
    <w:p>
      <w:pPr>
        <w:pStyle w:val="801"/>
        <w:jc w:val="right"/>
        <w:rPr>
          <w:rFonts w:cs="宋体"/>
          <w:color w:val="auto"/>
          <w:highlight w:val="none"/>
        </w:rPr>
      </w:pPr>
      <w:r>
        <w:rPr>
          <w:rFonts w:cs="宋体"/>
          <w:color w:val="auto"/>
          <w:highlight w:val="none"/>
        </w:rPr>
      </w:r>
      <w:r/>
    </w:p>
    <w:p>
      <w:pPr>
        <w:pStyle w:val="801"/>
        <w:jc w:val="right"/>
        <w:rPr>
          <w:rFonts w:ascii="方正仿宋_GBK" w:hAnsi="方正仿宋_GBK" w:eastAsia="方正仿宋_GBK" w:cs="方正仿宋_GBK"/>
          <w:color w:val="auto"/>
          <w:highlight w:val="none"/>
        </w:rPr>
      </w:pPr>
      <w:r>
        <w:rPr>
          <w:rFonts w:hint="eastAsia" w:cs="宋体"/>
          <w:color w:val="auto"/>
          <w:highlight w:val="none"/>
        </w:rPr>
        <w:t xml:space="preserve">供应商（电子签章）：</w:t>
      </w:r>
      <w:r/>
    </w:p>
    <w:p>
      <w:pPr>
        <w:pStyle w:val="1018"/>
        <w:rPr>
          <w:color w:val="auto"/>
          <w:highlight w:val="none"/>
        </w:rPr>
      </w:pPr>
      <w:r>
        <w:rPr>
          <w:color w:val="auto"/>
          <w:highlight w:val="none"/>
        </w:rPr>
      </w:r>
      <w:r/>
    </w:p>
    <w:p>
      <w:pPr>
        <w:jc w:val="left"/>
        <w:spacing w:line="360" w:lineRule="auto"/>
        <w:rPr>
          <w:rFonts w:ascii="宋体" w:hAnsi="宋体" w:cs="宋体"/>
          <w:bCs/>
          <w:color w:val="auto"/>
          <w:sz w:val="28"/>
          <w:szCs w:val="28"/>
          <w:highlight w:val="none"/>
        </w:rPr>
      </w:pPr>
      <w:r>
        <w:rPr>
          <w:rFonts w:hint="eastAsia" w:ascii="宋体" w:hAnsi="宋体"/>
          <w:color w:val="auto"/>
          <w:sz w:val="28"/>
          <w:szCs w:val="28"/>
          <w:highlight w:val="none"/>
        </w:rPr>
        <w:br w:type="page" w:clear="all"/>
      </w:r>
      <w:r>
        <w:rPr>
          <w:rFonts w:hint="eastAsia" w:ascii="宋体" w:hAnsi="宋体" w:cs="宋体"/>
          <w:bCs/>
          <w:color w:val="auto"/>
          <w:sz w:val="28"/>
          <w:szCs w:val="28"/>
          <w:highlight w:val="none"/>
        </w:rPr>
        <w:t xml:space="preserve">（二）资格证明文件</w:t>
      </w:r>
      <w:r/>
    </w:p>
    <w:p>
      <w:pPr>
        <w:ind w:firstLine="480"/>
        <w:rPr>
          <w:rFonts w:ascii="宋体" w:hAnsi="宋体" w:cs="宋体"/>
          <w:bCs/>
          <w:color w:val="auto"/>
          <w:sz w:val="36"/>
          <w:highlight w:val="none"/>
        </w:rPr>
      </w:pPr>
      <w:r>
        <w:rPr>
          <w:rFonts w:hint="eastAsia" w:ascii="宋体" w:hAnsi="宋体" w:cs="宋体"/>
          <w:bCs/>
          <w:color w:val="auto"/>
          <w:sz w:val="24"/>
          <w:szCs w:val="24"/>
          <w:highlight w:val="none"/>
        </w:rPr>
        <w:t xml:space="preserve">1、关于资格的声明函（格式）：</w:t>
      </w:r>
      <w:r/>
    </w:p>
    <w:p>
      <w:pPr>
        <w:jc w:val="center"/>
        <w:spacing w:before="156" w:after="156"/>
        <w:rPr>
          <w:rFonts w:ascii="宋体" w:hAnsi="宋体" w:cs="宋体"/>
          <w:bCs/>
          <w:color w:val="auto"/>
          <w:sz w:val="28"/>
          <w:szCs w:val="28"/>
          <w:highlight w:val="none"/>
        </w:rPr>
      </w:pPr>
      <w:r/>
      <w:bookmarkStart w:id="232" w:name="报价方关于资格的声明函（格式）"/>
      <w:r/>
      <w:bookmarkEnd w:id="232"/>
      <w:r/>
      <w:bookmarkStart w:id="233" w:name="_Toc24943"/>
      <w:r>
        <w:rPr>
          <w:rFonts w:hint="eastAsia" w:ascii="宋体" w:hAnsi="宋体" w:cs="宋体"/>
          <w:bCs/>
          <w:color w:val="auto"/>
          <w:sz w:val="28"/>
          <w:szCs w:val="28"/>
          <w:highlight w:val="none"/>
        </w:rPr>
        <w:t xml:space="preserve">关于资格的声明函</w:t>
      </w:r>
      <w:bookmarkEnd w:id="233"/>
      <w:r/>
      <w:r/>
    </w:p>
    <w:p>
      <w:pPr>
        <w:pStyle w:val="811"/>
        <w:rPr>
          <w:color w:val="auto"/>
          <w:highlight w:val="none"/>
        </w:rPr>
      </w:pPr>
      <w:r>
        <w:rPr>
          <w:color w:val="auto"/>
          <w:highlight w:val="none"/>
        </w:rPr>
      </w:r>
      <w:r/>
    </w:p>
    <w:p>
      <w:pPr>
        <w:spacing w:line="48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30"/>
          <w:highlight w:val="none"/>
        </w:rPr>
        <w:t xml:space="preserve">                          </w:t>
      </w:r>
      <w:r>
        <w:rPr>
          <w:rFonts w:hint="eastAsia" w:ascii="宋体" w:hAnsi="宋体" w:cs="宋体"/>
          <w:bCs/>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JSZC-320282-JGGC-C2026-0005</w:t>
      </w:r>
      <w:r/>
    </w:p>
    <w:p>
      <w:pPr>
        <w:ind w:left="3919"/>
        <w:spacing w:line="48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日期：</w:t>
      </w:r>
      <w:r>
        <w:rPr>
          <w:rFonts w:hint="eastAsia" w:ascii="宋体" w:hAnsi="宋体" w:cs="宋体"/>
          <w:bCs/>
          <w:color w:val="auto"/>
          <w:sz w:val="30"/>
          <w:highlight w:val="none"/>
        </w:rPr>
        <w:t xml:space="preserve">                     </w:t>
      </w:r>
      <w:bookmarkStart w:id="234" w:name="OLE_LINK80"/>
      <w:r/>
      <w:bookmarkEnd w:id="234"/>
      <w:r/>
    </w:p>
    <w:p>
      <w:pPr>
        <w:spacing w:line="480"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中国共产党宜兴市委员会组织部</w:t>
      </w:r>
      <w:r>
        <w:rPr>
          <w:rFonts w:hint="eastAsia" w:ascii="宋体" w:hAnsi="宋体" w:cs="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    我公司（单位）参加本次项目（项目编号：</w:t>
      </w:r>
      <w:r>
        <w:rPr>
          <w:rFonts w:hint="eastAsia" w:ascii="宋体" w:hAnsi="宋体" w:cs="宋体"/>
          <w:bCs/>
          <w:color w:val="auto"/>
          <w:sz w:val="24"/>
          <w:szCs w:val="24"/>
          <w:highlight w:val="none"/>
          <w:lang w:eastAsia="zh-CN"/>
        </w:rPr>
        <w:t xml:space="preserve">JSZC-320282-JGGC-C2026-0005</w:t>
      </w:r>
      <w:r>
        <w:rPr>
          <w:rFonts w:hint="eastAsia" w:ascii="宋体" w:hAnsi="宋体" w:cs="宋体"/>
          <w:bCs/>
          <w:color w:val="auto"/>
          <w:sz w:val="24"/>
          <w:szCs w:val="24"/>
          <w:highlight w:val="none"/>
        </w:rPr>
        <w:t xml:space="preserve">）</w:t>
      </w:r>
      <w:bookmarkStart w:id="235" w:name="OLE_LINK243"/>
      <w:r>
        <w:rPr>
          <w:rFonts w:hint="eastAsia" w:ascii="宋体" w:hAnsi="宋体" w:cs="宋体"/>
          <w:bCs/>
          <w:color w:val="auto"/>
          <w:sz w:val="24"/>
          <w:szCs w:val="24"/>
          <w:highlight w:val="none"/>
        </w:rPr>
        <w:t xml:space="preserve">政府采购活动前三年内在经营活动中没有重大违法记录；</w:t>
      </w:r>
      <w:r>
        <w:rPr>
          <w:rFonts w:hint="eastAsia" w:ascii="宋体" w:hAnsi="宋体" w:cs="宋体"/>
          <w:color w:val="auto"/>
          <w:sz w:val="24"/>
          <w:szCs w:val="24"/>
          <w:highlight w:val="none"/>
          <w:lang w:bidi="ar"/>
        </w:rPr>
        <w:t xml:space="preserve">同时，报价时不存在</w:t>
      </w:r>
      <w:bookmarkStart w:id="236" w:name="OLE_LINK242"/>
      <w:r>
        <w:rPr>
          <w:rFonts w:hint="eastAsia" w:ascii="宋体" w:hAnsi="宋体" w:cs="宋体"/>
          <w:color w:val="auto"/>
          <w:sz w:val="24"/>
          <w:szCs w:val="24"/>
          <w:highlight w:val="none"/>
          <w:lang w:bidi="ar"/>
        </w:rPr>
        <w:t xml:space="preserve">有效期限</w:t>
      </w:r>
      <w:bookmarkEnd w:id="236"/>
      <w:r>
        <w:rPr>
          <w:rFonts w:hint="eastAsia" w:ascii="宋体" w:hAnsi="宋体" w:cs="宋体"/>
          <w:color w:val="auto"/>
          <w:sz w:val="24"/>
          <w:szCs w:val="24"/>
          <w:highlight w:val="none"/>
          <w:lang w:bidi="ar"/>
        </w:rPr>
        <w:t xml:space="preserve">内的政府采购严重违法失信行为的处罚记录，未被列入失信名单或重大税收违法案件当事人名单；</w:t>
      </w:r>
      <w:r>
        <w:rPr>
          <w:rFonts w:hint="eastAsia" w:ascii="宋体" w:hAnsi="宋体" w:cs="宋体"/>
          <w:bCs/>
          <w:color w:val="auto"/>
          <w:sz w:val="24"/>
          <w:szCs w:val="24"/>
          <w:highlight w:val="none"/>
        </w:rPr>
        <w:t xml:space="preserve">且具备履行合同所必需的设备和专业技术能力。</w:t>
      </w:r>
      <w:bookmarkEnd w:id="235"/>
      <w:r>
        <w:rPr>
          <w:rFonts w:hint="eastAsia" w:ascii="宋体" w:hAnsi="宋体" w:cs="宋体"/>
          <w:bCs/>
          <w:color w:val="auto"/>
          <w:sz w:val="24"/>
          <w:szCs w:val="24"/>
          <w:highlight w:val="none"/>
        </w:rPr>
        <w:t xml:space="preserve">我公司（单位）愿针对本次项目进行报价，所提供的货物均为原厂全新合格品，</w:t>
      </w:r>
      <w:r>
        <w:rPr>
          <w:rFonts w:hint="eastAsia" w:ascii="宋体" w:hAnsi="宋体"/>
          <w:bCs/>
          <w:color w:val="auto"/>
          <w:sz w:val="24"/>
          <w:szCs w:val="24"/>
          <w:highlight w:val="none"/>
        </w:rPr>
        <w:t xml:space="preserve">响应文件中所有关于报价资格的文件、证明、陈述均是真实的、准确的。若有违背，我公司（单位）</w:t>
      </w:r>
      <w:r>
        <w:rPr>
          <w:rFonts w:ascii="宋体" w:hAnsi="宋体"/>
          <w:bCs/>
          <w:color w:val="auto"/>
          <w:sz w:val="24"/>
          <w:szCs w:val="24"/>
          <w:highlight w:val="none"/>
        </w:rPr>
        <w:t xml:space="preserve">同意监管部门做出的相关决定并承担由此而产生的一切后果</w:t>
      </w:r>
      <w:r>
        <w:rPr>
          <w:rFonts w:hint="eastAsia" w:ascii="宋体" w:hAnsi="宋体"/>
          <w:bCs/>
          <w:color w:val="auto"/>
          <w:sz w:val="24"/>
          <w:szCs w:val="24"/>
          <w:highlight w:val="none"/>
        </w:rPr>
        <w:t xml:space="preserve">。</w:t>
      </w:r>
      <w:r/>
    </w:p>
    <w:p>
      <w:pPr>
        <w:spacing w:line="48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rPr>
          <w:rFonts w:ascii="宋体" w:hAnsi="宋体" w:cs="宋体"/>
          <w:color w:val="auto"/>
          <w:sz w:val="24"/>
          <w:szCs w:val="28"/>
          <w:highlight w:val="none"/>
        </w:rPr>
      </w:pPr>
      <w:r>
        <w:rPr>
          <w:rFonts w:hint="eastAsia" w:ascii="宋体" w:hAnsi="宋体" w:cs="宋体"/>
          <w:bCs/>
          <w:color w:val="auto"/>
          <w:sz w:val="24"/>
          <w:szCs w:val="24"/>
          <w:highlight w:val="none"/>
        </w:rPr>
        <w:t xml:space="preserve">                                    </w:t>
      </w:r>
      <w:bookmarkStart w:id="237" w:name="OLE_LINK81"/>
      <w:r/>
      <w:r/>
    </w:p>
    <w:p>
      <w:pPr>
        <w:jc w:val="center"/>
        <w:spacing w:line="360" w:lineRule="auto"/>
        <w:rPr>
          <w:rFonts w:ascii="宋体" w:hAnsi="宋体"/>
          <w:bCs/>
          <w:color w:val="auto"/>
          <w:sz w:val="24"/>
          <w:highlight w:val="none"/>
        </w:rPr>
      </w:pPr>
      <w:r>
        <w:rPr>
          <w:rFonts w:hint="eastAsia" w:ascii="宋体" w:hAnsi="宋体" w:cs="宋体"/>
          <w:bCs/>
          <w:color w:val="auto"/>
          <w:sz w:val="24"/>
          <w:highlight w:val="none"/>
        </w:rPr>
        <w:t xml:space="preserve">       </w:t>
      </w:r>
      <w:r>
        <w:rPr>
          <w:rFonts w:hint="eastAsia" w:ascii="宋体" w:hAnsi="宋体"/>
          <w:bCs/>
          <w:color w:val="auto"/>
          <w:sz w:val="24"/>
          <w:highlight w:val="none"/>
        </w:rPr>
        <w:t xml:space="preserve"> 供应商（电子签章）：</w:t>
      </w:r>
      <w:bookmarkEnd w:id="237"/>
      <w:r/>
    </w:p>
    <w:p>
      <w:pPr>
        <w:spacing w:line="360" w:lineRule="auto"/>
        <w:rPr>
          <w:rFonts w:ascii="宋体" w:hAnsi="宋体" w:cs="宋体"/>
          <w:bCs/>
          <w:color w:val="auto"/>
          <w:sz w:val="28"/>
          <w:szCs w:val="28"/>
          <w:highlight w:val="none"/>
        </w:rPr>
      </w:pPr>
      <w:r/>
      <w:bookmarkStart w:id="238" w:name="OLE_LINK36"/>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-38735</wp:posOffset>
                </wp:positionH>
                <wp:positionV relativeFrom="paragraph">
                  <wp:posOffset>29210</wp:posOffset>
                </wp:positionV>
                <wp:extent cx="2999105" cy="2070735"/>
                <wp:effectExtent l="4445" t="4445" r="6350" b="2032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roun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3.0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r/>
                      <w:r/>
                    </w:p>
                  </w:txbxContent>
                </v:textbox>
              </v:shape>
            </w:pict>
          </mc:Fallback>
        </mc:AlternateContent>
      </w:r>
      <w:r/>
    </w:p>
    <w:p>
      <w:pP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bookmarkEnd w:id="238"/>
      <w:r/>
    </w:p>
    <w:p>
      <w:pPr>
        <w:pStyle w:val="812"/>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olor w:val="auto"/>
          <w:sz w:val="24"/>
          <w:szCs w:val="28"/>
          <w:highlight w:val="none"/>
        </w:rPr>
      </w:pPr>
      <w:r>
        <w:rPr>
          <w:rFonts w:hint="eastAsia" w:ascii="宋体" w:hAnsi="宋体" w:cs="宋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ind w:firstLine="420"/>
        <w:rPr>
          <w:color w:val="auto"/>
          <w:highlight w:val="none"/>
        </w:rPr>
        <w:outlineLvl w:val="0"/>
      </w:pPr>
      <w:r/>
      <w:bookmarkStart w:id="239" w:name="_Hlk131928408"/>
      <w:r/>
      <w:r/>
    </w:p>
    <w:p>
      <w:pPr>
        <w:ind w:firstLine="420"/>
        <w:rPr>
          <w:color w:val="auto"/>
          <w:highlight w:val="none"/>
        </w:rPr>
        <w:outlineLvl w:val="0"/>
      </w:pPr>
      <w:r>
        <w:rPr>
          <w:color w:val="auto"/>
          <w:highlight w:val="none"/>
        </w:rPr>
      </w:r>
      <w:r/>
    </w:p>
    <w:p>
      <w:pPr>
        <w:ind w:firstLine="420"/>
        <w:rPr>
          <w:rFonts w:ascii="黑体" w:hAnsi="宋体" w:eastAsia="黑体"/>
          <w:bCs/>
          <w:color w:val="auto"/>
          <w:sz w:val="24"/>
          <w:szCs w:val="24"/>
          <w:highlight w:val="none"/>
        </w:rPr>
        <w:outlineLvl w:val="0"/>
      </w:pPr>
      <w:r>
        <w:rPr>
          <w:rFonts w:hint="eastAsia"/>
          <w:color w:val="auto"/>
          <w:highlight w:val="none"/>
        </w:rPr>
        <w:t xml:space="preserve">注：上述所称“重大违法记录”,是指供应商因违法经营受到刑事处罚或者责令停产停业、吊销许可证或者执照、较大数额罚款等行政处罚。</w:t>
      </w:r>
      <w:bookmarkEnd w:id="239"/>
      <w:r/>
    </w:p>
    <w:p>
      <w:pPr>
        <w:pStyle w:val="812"/>
        <w:rPr>
          <w:color w:val="auto"/>
          <w:highlight w:val="none"/>
        </w:rPr>
        <w:sectPr>
          <w:footerReference w:type="default" r:id="rId13"/>
          <w:footnotePr/>
          <w:endnotePr/>
          <w:type w:val="nextPage"/>
          <w:pgSz w:w="11906" w:h="16838" w:orient="portrait"/>
          <w:pgMar w:top="1440" w:right="1078" w:bottom="1440" w:left="1168" w:header="851" w:footer="992" w:gutter="0"/>
          <w:cols w:num="1" w:sep="0" w:space="1701" w:equalWidth="1"/>
          <w:docGrid w:linePitch="360"/>
        </w:sectPr>
      </w:pPr>
      <w:r>
        <w:rPr>
          <w:color w:val="auto"/>
          <w:highlight w:val="none"/>
        </w:rPr>
      </w:r>
      <w:r/>
    </w:p>
    <w:p>
      <w:pPr>
        <w:spacing w:before="156" w:after="156"/>
        <w:rPr>
          <w:rFonts w:ascii="黑体" w:hAnsi="黑体" w:eastAsia="黑体"/>
          <w:color w:val="auto"/>
          <w:sz w:val="28"/>
          <w:szCs w:val="28"/>
          <w:highlight w:val="none"/>
        </w:rPr>
      </w:pP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jc w:val="center"/>
        <w:spacing w:before="156" w:after="156"/>
        <w:rPr>
          <w:rFonts w:ascii="宋体" w:hAnsi="宋体" w:cs="宋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0"/>
        <w:spacing w:line="360" w:lineRule="auto"/>
        <w:tabs>
          <w:tab w:val="left" w:pos="255"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项目名称：</w:t>
      </w:r>
      <w:r>
        <w:rPr>
          <w:rFonts w:hint="eastAsia" w:ascii="宋体" w:hAnsi="宋体" w:cs="宋体"/>
          <w:color w:val="auto"/>
          <w:sz w:val="24"/>
          <w:szCs w:val="21"/>
          <w:highlight w:val="none"/>
          <w:lang w:val="zh-CN"/>
        </w:rPr>
        <w:t xml:space="preserve">宜兴市优秀公务员健康休养服务采购项目</w:t>
      </w:r>
      <w:r>
        <w:rPr>
          <w:rFonts w:hint="eastAsia" w:ascii="宋体" w:hAnsi="宋体" w:cs="宋体"/>
          <w:color w:val="auto"/>
          <w:sz w:val="24"/>
          <w:szCs w:val="28"/>
          <w:highlight w:val="none"/>
        </w:rPr>
        <w:t xml:space="preserve">                             </w:t>
      </w:r>
      <w:r/>
    </w:p>
    <w:p>
      <w:pPr>
        <w:ind w:left="420" w:firstLine="3840"/>
        <w:spacing w:line="360" w:lineRule="auto"/>
        <w:tabs>
          <w:tab w:val="left" w:pos="255" w:leader="none"/>
        </w:tabs>
        <w:rPr>
          <w:rFonts w:ascii="宋体" w:hAnsi="宋体" w:cs="宋体"/>
          <w:color w:val="auto"/>
          <w:sz w:val="24"/>
          <w:szCs w:val="21"/>
          <w:highlight w:val="none"/>
        </w:rPr>
      </w:pPr>
      <w:r>
        <w:rPr>
          <w:rFonts w:hint="eastAsia" w:ascii="宋体" w:hAnsi="宋体" w:cs="宋体"/>
          <w:color w:val="auto"/>
          <w:sz w:val="24"/>
          <w:szCs w:val="21"/>
          <w:highlight w:val="none"/>
          <w:lang w:val="zh-CN"/>
        </w:rPr>
        <w:t xml:space="preserve">项目编号：JSZC-320282-JGGC-C2026-0005</w:t>
      </w:r>
      <w:r/>
    </w:p>
    <w:p>
      <w:pPr>
        <w:ind w:left="420"/>
        <w:spacing w:line="360" w:lineRule="auto"/>
        <w:tabs>
          <w:tab w:val="left" w:pos="255" w:leader="none"/>
        </w:tabs>
        <w:rPr>
          <w:rFonts w:ascii="宋体" w:hAnsi="宋体" w:cs="宋体"/>
          <w:color w:val="auto"/>
          <w:sz w:val="24"/>
          <w:szCs w:val="21"/>
          <w:highlight w:val="none"/>
        </w:rPr>
      </w:pPr>
      <w:r>
        <w:rPr>
          <w:rFonts w:hint="eastAsia" w:ascii="宋体" w:hAnsi="宋体" w:cs="宋体"/>
          <w:color w:val="auto"/>
          <w:sz w:val="24"/>
          <w:szCs w:val="21"/>
          <w:highlight w:val="none"/>
          <w:lang w:val="zh-CN"/>
        </w:rPr>
        <w:t xml:space="preserve">                                </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lang w:val="zh-CN"/>
        </w:rPr>
        <w:t xml:space="preserve">  </w:t>
      </w:r>
      <w:r/>
    </w:p>
    <w:p>
      <w:pPr>
        <w:ind w:left="420"/>
        <w:spacing w:line="360" w:lineRule="auto"/>
        <w:tabs>
          <w:tab w:val="left" w:pos="255" w:leader="none"/>
        </w:tabs>
        <w:rPr>
          <w:rFonts w:ascii="宋体" w:hAnsi="宋体" w:cs="宋体"/>
          <w:color w:val="auto"/>
          <w:sz w:val="24"/>
          <w:szCs w:val="21"/>
          <w:highlight w:val="none"/>
        </w:rPr>
      </w:pPr>
      <w:r>
        <w:rPr>
          <w:rFonts w:hint="eastAsia" w:ascii="宋体" w:hAnsi="宋体" w:cs="宋体"/>
          <w:bCs/>
          <w:color w:val="auto"/>
          <w:sz w:val="24"/>
          <w:szCs w:val="24"/>
          <w:highlight w:val="none"/>
          <w:lang w:eastAsia="zh-CN"/>
        </w:rPr>
        <w:t xml:space="preserve">中国共产党宜兴市委员会组织部</w:t>
      </w:r>
      <w:r>
        <w:rPr>
          <w:rFonts w:hint="eastAsia" w:ascii="宋体" w:hAnsi="宋体" w:cs="宋体"/>
          <w:bCs/>
          <w:color w:val="auto"/>
          <w:sz w:val="24"/>
          <w:szCs w:val="24"/>
          <w:highlight w:val="none"/>
        </w:rPr>
        <w:t xml:space="preserve">、</w:t>
      </w:r>
      <w:r>
        <w:rPr>
          <w:rFonts w:hint="eastAsia" w:ascii="宋体" w:hAnsi="宋体" w:cs="宋体"/>
          <w:color w:val="auto"/>
          <w:sz w:val="24"/>
          <w:szCs w:val="21"/>
          <w:highlight w:val="none"/>
          <w:lang w:val="zh-CN"/>
        </w:rPr>
        <w:t xml:space="preserve">江苏久格工程项目管理有限公司：</w:t>
      </w:r>
      <w:r/>
    </w:p>
    <w:p>
      <w:pPr>
        <w:ind w:left="420" w:firstLine="480"/>
        <w:spacing w:line="360" w:lineRule="auto"/>
        <w:tabs>
          <w:tab w:val="left" w:pos="255" w:leader="none"/>
        </w:tabs>
        <w:rPr>
          <w:rFonts w:ascii="宋体" w:hAnsi="宋体"/>
          <w:color w:val="auto"/>
          <w:sz w:val="24"/>
          <w:szCs w:val="21"/>
          <w:highlight w:val="none"/>
        </w:rPr>
      </w:pPr>
      <w:r/>
      <w:bookmarkStart w:id="240" w:name="_Hlk151458994"/>
      <w:r/>
      <w:bookmarkStart w:id="241" w:name="_Hlk151563619"/>
      <w:r>
        <w:rPr>
          <w:rFonts w:hint="eastAsia" w:ascii="宋体" w:hAnsi="宋体" w:cs="宋体"/>
          <w:color w:val="auto"/>
          <w:sz w:val="24"/>
          <w:szCs w:val="21"/>
          <w:highlight w:val="none"/>
          <w:lang w:val="zh-CN"/>
        </w:rPr>
        <w:t xml:space="preserve">    </w:t>
      </w:r>
      <w:r>
        <w:rPr>
          <w:rFonts w:hint="eastAsia" w:ascii="宋体" w:hAnsi="宋体" w:cs="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w:t>
      </w:r>
      <w:r>
        <w:rPr>
          <w:rFonts w:hint="eastAsia" w:ascii="宋体" w:hAnsi="宋体"/>
          <w:color w:val="auto"/>
          <w:sz w:val="24"/>
          <w:szCs w:val="21"/>
          <w:highlight w:val="none"/>
        </w:rPr>
        <w:t xml:space="preserve">的</w:t>
      </w:r>
      <w:r>
        <w:rPr>
          <w:rFonts w:hint="eastAsia" w:ascii="宋体" w:hAnsi="宋体"/>
          <w:color w:val="auto"/>
          <w:sz w:val="24"/>
          <w:szCs w:val="21"/>
          <w:highlight w:val="none"/>
          <w:lang w:val="zh-CN"/>
        </w:rPr>
        <w:t xml:space="preserve">合法企业</w:t>
      </w:r>
      <w:bookmarkStart w:id="242" w:name="_Hlk144476360"/>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w:t>
      </w:r>
      <w:bookmarkEnd w:id="242"/>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代表我公司（单位）全权办理针对本项目（项目编号：JSZC-320282-JGGC-C2026-0005）的投标，以我方名义签署、确认、澄清、提交、撤回、修改相关文件和处理投标活动有关事宜，其法律后果由我方承担。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s="宋体"/>
          <w:color w:val="auto"/>
          <w:sz w:val="24"/>
          <w:szCs w:val="21"/>
          <w:highlight w:val="none"/>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s="宋体"/>
          <w:color w:val="auto"/>
          <w:sz w:val="24"/>
          <w:szCs w:val="21"/>
          <w:highlight w:val="none"/>
        </w:rPr>
      </w:pPr>
      <w:r>
        <w:rPr>
          <w:rFonts w:hint="eastAsia" w:ascii="宋体" w:hAnsi="宋体" w:cs="宋体"/>
          <w:color w:val="auto"/>
          <w:sz w:val="24"/>
          <w:szCs w:val="21"/>
          <w:highlight w:val="none"/>
          <w:lang w:val="zh-CN"/>
        </w:rPr>
        <w:t xml:space="preserve">被授权代表人情况：</w:t>
      </w:r>
      <w:r/>
    </w:p>
    <w:p>
      <w:pPr>
        <w:pStyle w:val="801"/>
        <w:ind w:left="420" w:firstLine="480"/>
        <w:jc w:val="both"/>
        <w:spacing w:before="0" w:beforeAutospacing="0" w:after="0" w:afterAutospacing="0" w:line="360" w:lineRule="auto"/>
        <w:widowControl w:val="off"/>
        <w:tabs>
          <w:tab w:val="left" w:pos="255" w:leader="none"/>
        </w:tabs>
        <w:rPr>
          <w:color w:val="auto"/>
          <w:highlight w:val="none"/>
        </w:rPr>
      </w:pPr>
      <w:r>
        <w:rPr>
          <w:rFonts w:hint="eastAsia" w:cs="宋体"/>
          <w:color w:val="auto"/>
          <w:szCs w:val="24"/>
          <w:highlight w:val="none"/>
        </w:rPr>
        <w:t xml:space="preserve">姓名：         性别：        年龄：         职务：</w:t>
      </w:r>
      <w:r/>
    </w:p>
    <w:p>
      <w:pPr>
        <w:pStyle w:val="801"/>
        <w:ind w:left="420" w:firstLine="480"/>
        <w:jc w:val="both"/>
        <w:spacing w:before="0" w:beforeAutospacing="0" w:after="0" w:afterAutospacing="0" w:line="360" w:lineRule="auto"/>
        <w:widowControl w:val="off"/>
        <w:tabs>
          <w:tab w:val="left" w:pos="255" w:leader="none"/>
        </w:tabs>
        <w:rPr>
          <w:color w:val="auto"/>
          <w:highlight w:val="none"/>
        </w:rPr>
      </w:pPr>
      <w:r>
        <w:rPr>
          <w:rFonts w:hint="eastAsia" w:cs="宋体"/>
          <w:color w:val="auto"/>
          <w:szCs w:val="24"/>
          <w:highlight w:val="none"/>
        </w:rPr>
        <w:t xml:space="preserve">身份证号码：                   手机号码：</w:t>
      </w:r>
      <w:r/>
    </w:p>
    <w:p>
      <w:pPr>
        <w:pStyle w:val="801"/>
        <w:ind w:left="420" w:firstLine="480"/>
        <w:jc w:val="both"/>
        <w:spacing w:before="0" w:beforeAutospacing="0" w:after="0" w:afterAutospacing="0" w:line="360" w:lineRule="auto"/>
        <w:widowControl w:val="off"/>
        <w:tabs>
          <w:tab w:val="left" w:pos="255" w:leader="none"/>
        </w:tabs>
        <w:rPr>
          <w:color w:val="auto"/>
          <w:highlight w:val="none"/>
        </w:rPr>
      </w:pPr>
      <w:r>
        <w:rPr>
          <w:rFonts w:hint="eastAsia" w:cs="宋体"/>
          <w:color w:val="auto"/>
          <w:szCs w:val="24"/>
          <w:highlight w:val="none"/>
        </w:rPr>
        <w:t xml:space="preserve">办公电话：                     传真：</w:t>
      </w:r>
      <w:r/>
    </w:p>
    <w:p>
      <w:pPr>
        <w:pStyle w:val="801"/>
        <w:ind w:left="420" w:firstLine="480"/>
        <w:jc w:val="both"/>
        <w:spacing w:before="0" w:beforeAutospacing="0" w:after="0" w:afterAutospacing="0" w:line="360" w:lineRule="auto"/>
        <w:widowControl w:val="off"/>
        <w:tabs>
          <w:tab w:val="left" w:pos="255" w:leader="none"/>
        </w:tabs>
        <w:rPr>
          <w:color w:val="auto"/>
          <w:highlight w:val="none"/>
        </w:rPr>
      </w:pPr>
      <w:r>
        <w:rPr>
          <w:rFonts w:hint="eastAsia" w:cs="宋体"/>
          <w:color w:val="auto"/>
          <w:szCs w:val="24"/>
          <w:highlight w:val="none"/>
        </w:rPr>
        <w:t xml:space="preserve">通讯地址：</w:t>
      </w:r>
      <w:r/>
    </w:p>
    <w:p>
      <w:pPr>
        <w:pStyle w:val="801"/>
        <w:ind w:left="420" w:firstLine="480"/>
        <w:jc w:val="both"/>
        <w:spacing w:before="0" w:beforeAutospacing="0" w:after="0" w:afterAutospacing="0" w:line="360" w:lineRule="auto"/>
        <w:widowControl w:val="off"/>
        <w:tabs>
          <w:tab w:val="left" w:pos="255" w:leader="none"/>
        </w:tabs>
        <w:rPr>
          <w:color w:val="auto"/>
          <w:highlight w:val="none"/>
        </w:rPr>
      </w:pPr>
      <w:r>
        <w:rPr>
          <w:rFonts w:hint="eastAsia" w:cs="宋体"/>
          <w:color w:val="auto"/>
          <w:szCs w:val="24"/>
          <w:highlight w:val="none"/>
        </w:rPr>
        <w:t xml:space="preserve">被授权代表人签名：                 </w:t>
      </w:r>
      <w:r/>
    </w:p>
    <w:p>
      <w:pPr>
        <w:pStyle w:val="801"/>
        <w:jc w:val="right"/>
        <w:spacing w:before="0" w:beforeAutospacing="0" w:after="0" w:afterAutospacing="0" w:line="360" w:lineRule="auto"/>
        <w:widowControl w:val="off"/>
        <w:rPr>
          <w:color w:val="auto"/>
          <w:highlight w:val="none"/>
        </w:rPr>
      </w:pPr>
      <w:r>
        <w:rPr>
          <w:rFonts w:hint="eastAsia" w:cs="宋体"/>
          <w:color w:val="auto"/>
          <w:szCs w:val="24"/>
          <w:highlight w:val="none"/>
        </w:rPr>
        <w:t xml:space="preserve">                              供应商（电子签章）：</w:t>
      </w:r>
      <w:r/>
    </w:p>
    <w:p>
      <w:pPr>
        <w:pStyle w:val="801"/>
        <w:jc w:val="right"/>
        <w:spacing w:before="0" w:beforeAutospacing="0" w:after="0" w:afterAutospacing="0" w:line="360" w:lineRule="auto"/>
        <w:widowControl w:val="off"/>
        <w:rPr>
          <w:color w:val="auto"/>
          <w:highlight w:val="none"/>
        </w:rPr>
      </w:pPr>
      <w:r>
        <w:rPr>
          <w:rFonts w:hint="eastAsia" w:cs="宋体"/>
          <w:color w:val="auto"/>
          <w:szCs w:val="24"/>
          <w:highlight w:val="none"/>
        </w:rPr>
        <w:t xml:space="preserve">日期：___年__月__日</w:t>
      </w:r>
      <w:r/>
    </w:p>
    <w:p>
      <w:pPr>
        <w:jc w:val="left"/>
        <w:spacing w:line="360" w:lineRule="auto"/>
        <w:tabs>
          <w:tab w:val="left" w:pos="255" w:leader="none"/>
        </w:tabs>
        <w:rPr>
          <w:rFonts w:ascii="宋体" w:hAnsi="宋体" w:cs="宋体"/>
          <w:color w:val="auto"/>
          <w:sz w:val="24"/>
          <w:szCs w:val="21"/>
          <w:highlight w:val="none"/>
          <w:lang w:val="zh-CN"/>
        </w:rPr>
      </w:pPr>
      <w:r>
        <w:rPr>
          <w:rFonts w:ascii="宋体" w:hAnsi="宋体" w:cs="宋体"/>
          <w:color w:val="auto"/>
          <w:sz w:val="24"/>
          <w:szCs w:val="21"/>
          <w:highlight w:val="none"/>
          <w:lang w:val="zh-CN"/>
        </w:rPr>
      </w:r>
      <w:r/>
    </w:p>
    <w:p>
      <w:pPr>
        <w:jc w:val="left"/>
        <w:spacing w:line="360" w:lineRule="auto"/>
        <w:tabs>
          <w:tab w:val="left" w:pos="255" w:leader="none"/>
        </w:tabs>
        <w:rPr>
          <w:rFonts w:ascii="宋体" w:hAnsi="宋体" w:cs="宋体"/>
          <w:color w:val="auto"/>
          <w:sz w:val="24"/>
          <w:szCs w:val="21"/>
          <w:highlight w:val="none"/>
          <w:lang w:val="zh-CN"/>
        </w:rPr>
      </w:pPr>
      <w:r>
        <w:rPr>
          <w:rFonts w:ascii="宋体" w:hAnsi="宋体" w:cs="宋体"/>
          <w:color w:val="auto"/>
          <w:sz w:val="24"/>
          <w:szCs w:val="21"/>
          <w:highlight w:val="none"/>
          <w:lang w:val="zh-CN"/>
        </w:rPr>
      </w:r>
      <w:r/>
    </w:p>
    <w:p>
      <w:pPr>
        <w:spacing w:line="360" w:lineRule="auto"/>
        <w:rPr>
          <w:rFonts w:ascii="宋体" w:hAnsi="宋体" w:cs="宋体"/>
          <w:bCs/>
          <w:color w:val="auto"/>
          <w:sz w:val="28"/>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-38735</wp:posOffset>
                </wp:positionH>
                <wp:positionV relativeFrom="paragraph">
                  <wp:posOffset>-229870</wp:posOffset>
                </wp:positionV>
                <wp:extent cx="2999105" cy="1332865"/>
                <wp:effectExtent l="4445" t="4445" r="6350" b="1524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2999105" cy="1332865"/>
                        </a:xfrm>
                        <a:prstGeom prst="rect">
                          <a:avLst/>
                        </a:prstGeom>
                        <a:solidFill>
                          <a:srgbClr val="FFFFFF"/>
                        </a:solidFill>
                        <a:ln>
                          <a:solidFill>
                            <a:srgbClr val="000000"/>
                          </a:solidFill>
                          <a:roun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p>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3.0pt;mso-position-horizontal:absolute;mso-position-vertical-relative:text;margin-top:-18.1pt;mso-position-vertical:absolute;width:236.1pt;height:104.9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p>
                      <w:r/>
                      <w:r/>
                    </w:p>
                  </w:txbxContent>
                </v:textbox>
              </v:shape>
            </w:pict>
          </mc:Fallback>
        </mc:AlternateContent>
      </w:r>
      <w:r/>
    </w:p>
    <w:p>
      <w:pPr>
        <w:jc w:val="center"/>
        <w:spacing w:line="360" w:lineRule="auto"/>
        <w:rPr>
          <w:rFonts w:ascii="宋体" w:hAnsi="宋体" w:cs="宋体"/>
          <w:bCs/>
          <w:color w:val="auto"/>
          <w:sz w:val="28"/>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3122930</wp:posOffset>
                </wp:positionH>
                <wp:positionV relativeFrom="paragraph">
                  <wp:posOffset>-579120</wp:posOffset>
                </wp:positionV>
                <wp:extent cx="3065145" cy="1285240"/>
                <wp:effectExtent l="4445" t="4445" r="16510" b="5715"/>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3065145" cy="1285240"/>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p>
                            <w:r/>
                            <w:r/>
                          </w:p>
                        </w:txbxContent>
                      </wps:txbx>
                      <wps:bodyPr wrap="square" upright="1"/>
                    </wps:wsp>
                  </a:graphicData>
                </a:graphic>
              </wp:anchor>
            </w:drawing>
          </mc:Choice>
          <mc:Fallback>
            <w:pict>
              <v:shape id="shape 6" o:spid="_x0000_s6" o:spt="202" type="#_x0000_t202" style="position:absolute;z-index:251662336;o:allowoverlap:true;o:allowincell:true;mso-position-horizontal-relative:text;margin-left:245.9pt;mso-position-horizontal:absolute;mso-position-vertical-relative:text;margin-top:-45.6pt;mso-position-vertical:absolute;width:241.3pt;height:101.2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p>
                      <w:r/>
                      <w:r/>
                    </w:p>
                  </w:txbxContent>
                </v:textbox>
              </v:shape>
            </w:pict>
          </mc:Fallback>
        </mc:AlternateContent>
      </w:r>
      <w:r/>
    </w:p>
    <w:p>
      <w:pPr>
        <w:jc w:val="cente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jc w:val="left"/>
        <w:spacing w:line="360" w:lineRule="auto"/>
        <w:tabs>
          <w:tab w:val="left" w:pos="255" w:leader="none"/>
        </w:tabs>
        <w:rPr>
          <w:rFonts w:ascii="宋体" w:hAnsi="宋体" w:cs="宋体"/>
          <w:color w:val="auto"/>
          <w:sz w:val="24"/>
          <w:szCs w:val="21"/>
          <w:highlight w:val="none"/>
          <w:lang w:val="zh-CN"/>
        </w:rPr>
      </w:pPr>
      <w:r>
        <w:rPr>
          <w:rFonts w:ascii="宋体" w:hAnsi="宋体" w:cs="宋体"/>
          <w:color w:val="auto"/>
          <w:sz w:val="24"/>
          <w:szCs w:val="21"/>
          <w:highlight w:val="none"/>
          <w:lang w:val="zh-CN"/>
        </w:rPr>
      </w:r>
      <w:r/>
    </w:p>
    <w:p>
      <w:pPr>
        <w:jc w:val="left"/>
        <w:spacing w:line="360" w:lineRule="auto"/>
        <w:tabs>
          <w:tab w:val="left" w:pos="255" w:leader="none"/>
        </w:tabs>
        <w:rPr>
          <w:rFonts w:ascii="宋体" w:hAnsi="宋体" w:cs="宋体"/>
          <w:color w:val="auto"/>
          <w:sz w:val="24"/>
          <w:szCs w:val="21"/>
          <w:highlight w:val="none"/>
          <w:lang w:val="zh-CN"/>
        </w:rPr>
      </w:pPr>
      <w:r>
        <w:rPr>
          <w:rFonts w:ascii="宋体" w:hAnsi="宋体" w:cs="宋体"/>
          <w:color w:val="auto"/>
          <w:sz w:val="24"/>
          <w:szCs w:val="21"/>
          <w:highlight w:val="none"/>
          <w:lang w:val="zh-CN"/>
        </w:rPr>
      </w:r>
      <w:r/>
    </w:p>
    <w:p>
      <w:pPr>
        <w:jc w:val="left"/>
        <w:spacing w:line="360" w:lineRule="auto"/>
        <w:tabs>
          <w:tab w:val="left" w:pos="255" w:leader="none"/>
        </w:tabs>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3、被授权代表身份证明2（社保）：详见第二章供应商须知相关要求</w:t>
      </w:r>
      <w:r/>
    </w:p>
    <w:p>
      <w:pPr>
        <w:jc w:val="left"/>
        <w:spacing w:line="360" w:lineRule="auto"/>
        <w:tabs>
          <w:tab w:val="left" w:pos="255" w:leader="none"/>
        </w:tabs>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4、具有独立承担民事责任的能力：按第二章供应商须知要求提供相关证明材料</w:t>
      </w:r>
      <w:r/>
    </w:p>
    <w:p>
      <w:pPr>
        <w:jc w:val="left"/>
        <w:spacing w:line="360" w:lineRule="auto"/>
        <w:tabs>
          <w:tab w:val="left" w:pos="255" w:leader="none"/>
        </w:tabs>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5、具有良好的商业信誉和健全的财务会计制度：按第二章供应商须知要求提供相关证明材料</w:t>
      </w:r>
      <w:r/>
    </w:p>
    <w:p>
      <w:pPr>
        <w:jc w:val="left"/>
        <w:spacing w:line="360" w:lineRule="auto"/>
        <w:tabs>
          <w:tab w:val="left" w:pos="255" w:leader="none"/>
        </w:tabs>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6、有依法缴纳税收的良好记录：按第二章供应商须知要求提供相关证明材料</w:t>
      </w:r>
      <w:r/>
    </w:p>
    <w:p>
      <w:pPr>
        <w:jc w:val="left"/>
        <w:spacing w:line="360" w:lineRule="auto"/>
        <w:tabs>
          <w:tab w:val="left" w:pos="255" w:leader="none"/>
        </w:tabs>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7、有依法缴纳社会保障资金的良好记录：按第二章供应商须知要求提供相关证明材料</w:t>
      </w:r>
      <w:r/>
    </w:p>
    <w:p>
      <w:pPr>
        <w:jc w:val="left"/>
        <w:spacing w:line="360" w:lineRule="auto"/>
        <w:tabs>
          <w:tab w:val="left" w:pos="255" w:leader="none"/>
        </w:tabs>
        <w:rPr>
          <w:rFonts w:ascii="宋体" w:hAnsi="宋体"/>
          <w:color w:val="auto"/>
          <w:sz w:val="24"/>
          <w:szCs w:val="21"/>
          <w:highlight w:val="none"/>
        </w:rPr>
      </w:pPr>
      <w:r>
        <w:rPr>
          <w:rFonts w:hint="eastAsia" w:ascii="宋体" w:hAnsi="宋体" w:cs="宋体"/>
          <w:color w:val="auto"/>
          <w:sz w:val="24"/>
          <w:szCs w:val="21"/>
          <w:highlight w:val="none"/>
          <w:lang w:val="zh-CN"/>
        </w:rPr>
        <w:t xml:space="preserve">8、无不良信用记录：详见第二章供应商须知相关要求</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9、联合体协议书（格式）：</w:t>
      </w:r>
      <w:r/>
    </w:p>
    <w:p>
      <w:pPr>
        <w:jc w:val="center"/>
        <w:spacing w:before="156" w:after="156" w:line="360" w:lineRule="auto"/>
        <w:tabs>
          <w:tab w:val="left" w:pos="255" w:leader="none"/>
        </w:tabs>
        <w:rPr>
          <w:rFonts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spacing w:line="360" w:lineRule="auto"/>
        <w:tabs>
          <w:tab w:val="left" w:pos="255" w:leader="none"/>
        </w:tabs>
        <w:rPr>
          <w:rFonts w:ascii="宋体" w:hAnsi="宋体"/>
          <w:color w:val="auto"/>
          <w:sz w:val="24"/>
          <w:szCs w:val="21"/>
          <w:highlight w:val="none"/>
          <w:lang w:val="zh-CN"/>
        </w:rPr>
      </w:pPr>
      <w:r/>
      <w:bookmarkStart w:id="243" w:name="OLE_LINK83"/>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自愿组成联合体，共同参加本项目（项目编号：</w:t>
      </w:r>
      <w:r>
        <w:rPr>
          <w:rFonts w:hint="eastAsia" w:ascii="宋体" w:hAnsi="宋体"/>
          <w:color w:val="auto"/>
          <w:sz w:val="24"/>
          <w:szCs w:val="21"/>
          <w:highlight w:val="none"/>
          <w:lang w:val="zh-CN"/>
        </w:rPr>
        <w:t xml:space="preserve">JSZC-320282-JGGC-C2026-0005</w:t>
      </w:r>
      <w:r>
        <w:rPr>
          <w:rFonts w:hint="eastAsia" w:ascii="宋体" w:hAnsi="宋体"/>
          <w:color w:val="auto"/>
          <w:sz w:val="24"/>
          <w:szCs w:val="21"/>
          <w:highlight w:val="none"/>
          <w:lang w:val="zh-CN"/>
        </w:rPr>
        <w:t xml:space="preserve"> ）的投标。现就联合体投标事宜订立如下协议：</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7"/>
        </w:num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lef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ascii="宋体" w:hAnsi="宋体"/>
          <w:bCs/>
          <w:color w:val="auto"/>
          <w:sz w:val="24"/>
          <w:highlight w:val="none"/>
        </w:rPr>
      </w:pPr>
      <w:r>
        <w:rPr>
          <w:rFonts w:hint="eastAsia" w:ascii="宋体" w:hAnsi="宋体"/>
          <w:color w:val="auto"/>
          <w:sz w:val="24"/>
          <w:szCs w:val="24"/>
          <w:highlight w:val="none"/>
        </w:rPr>
        <w:t xml:space="preserve">日期：___年___月__日</w:t>
      </w:r>
      <w:r/>
    </w:p>
    <w:p>
      <w:pPr>
        <w:ind w:firstLine="480"/>
        <w:spacing w:line="360" w:lineRule="auto"/>
        <w:tabs>
          <w:tab w:val="left" w:pos="0" w:leader="none"/>
          <w:tab w:val="left" w:pos="255" w:leader="none"/>
        </w:tabs>
        <w:rPr>
          <w:rFonts w:ascii="宋体" w:hAnsi="宋体"/>
          <w:bCs/>
          <w:color w:val="auto"/>
          <w:sz w:val="24"/>
          <w:szCs w:val="24"/>
          <w:highlight w:val="none"/>
          <w:lang w:val="zh-CN"/>
        </w:rPr>
      </w:pPr>
      <w:r/>
      <w:bookmarkStart w:id="244" w:name="_Hlk151451066"/>
      <w:r>
        <w:rPr>
          <w:rFonts w:hint="eastAsia" w:ascii="宋体" w:hAnsi="宋体"/>
          <w:bCs/>
          <w:color w:val="auto"/>
          <w:sz w:val="24"/>
          <w:szCs w:val="24"/>
          <w:highlight w:val="none"/>
        </w:rPr>
        <w:t xml:space="preserve">注：如采购人要求组成联合体或采购人允许组成联合体且供应商组成联合体的，应提供有效的联合体协议书，否则无需提供。</w:t>
      </w:r>
      <w:bookmarkEnd w:id="244"/>
      <w:r/>
    </w:p>
    <w:p>
      <w:pPr>
        <w:rPr>
          <w:rFonts w:ascii="黑体" w:hAnsi="宋体" w:eastAsia="黑体"/>
          <w:bCs/>
          <w:color w:val="auto"/>
          <w:sz w:val="24"/>
          <w:szCs w:val="24"/>
          <w:highlight w:val="none"/>
        </w:rPr>
      </w:pPr>
      <w:r>
        <w:rPr>
          <w:rFonts w:ascii="宋体" w:hAnsi="宋体"/>
          <w:color w:val="auto"/>
          <w:sz w:val="24"/>
          <w:szCs w:val="21"/>
          <w:highlight w:val="none"/>
        </w:rPr>
        <w:br w:type="page" w:clear="all"/>
      </w:r>
      <w:r>
        <w:rPr>
          <w:rFonts w:hint="eastAsia" w:ascii="黑体" w:hAnsi="宋体" w:eastAsia="黑体"/>
          <w:bCs/>
          <w:color w:val="auto"/>
          <w:sz w:val="24"/>
          <w:szCs w:val="24"/>
          <w:highlight w:val="none"/>
        </w:rPr>
        <w:t xml:space="preserve">10、</w:t>
      </w:r>
      <w:bookmarkStart w:id="245" w:name="OLE_LINK82"/>
      <w:r>
        <w:rPr>
          <w:rFonts w:hint="eastAsia" w:ascii="黑体" w:hAnsi="宋体" w:eastAsia="黑体"/>
          <w:bCs/>
          <w:color w:val="auto"/>
          <w:sz w:val="24"/>
          <w:szCs w:val="24"/>
          <w:highlight w:val="none"/>
        </w:rPr>
        <w:t xml:space="preserve">分包情况说明</w:t>
      </w:r>
      <w:bookmarkEnd w:id="245"/>
      <w:r>
        <w:rPr>
          <w:rFonts w:hint="eastAsia" w:ascii="黑体" w:hAnsi="宋体" w:eastAsia="黑体"/>
          <w:bCs/>
          <w:color w:val="auto"/>
          <w:sz w:val="24"/>
          <w:szCs w:val="24"/>
          <w:highlight w:val="none"/>
        </w:rPr>
        <w:t xml:space="preserve">（格式）：</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360" w:lineRule="auto"/>
        <w:tabs>
          <w:tab w:val="left" w:pos="255" w:leader="none"/>
        </w:tabs>
        <w:rPr>
          <w:rFonts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bookmarkEnd w:id="243"/>
      <w:r/>
    </w:p>
    <w:p>
      <w:pPr>
        <w:jc w:val="left"/>
        <w:spacing w:line="480" w:lineRule="auto"/>
        <w:rPr>
          <w:rFonts w:ascii="宋体"/>
          <w:bCs/>
          <w:color w:val="auto"/>
          <w:sz w:val="24"/>
          <w:szCs w:val="24"/>
          <w:highlight w:val="none"/>
        </w:rPr>
      </w:pPr>
      <w:r>
        <w:rPr>
          <w:rFonts w:hint="eastAsia" w:ascii="宋体" w:hAnsi="宋体" w:cs="宋体"/>
          <w:bCs/>
          <w:color w:val="auto"/>
          <w:sz w:val="24"/>
          <w:szCs w:val="24"/>
          <w:highlight w:val="none"/>
          <w:lang w:eastAsia="zh-CN"/>
        </w:rPr>
        <w:t xml:space="preserve">中国共产党宜兴市委员会组织部</w:t>
      </w:r>
      <w:r>
        <w:rPr>
          <w:rFonts w:hint="eastAsia" w:ascii="宋体" w:hAnsi="宋体"/>
          <w:bCs/>
          <w:color w:val="auto"/>
          <w:sz w:val="24"/>
          <w:szCs w:val="24"/>
          <w:highlight w:val="none"/>
        </w:rPr>
        <w:t xml:space="preserve">：</w:t>
      </w:r>
      <w:r/>
    </w:p>
    <w:p>
      <w:pPr>
        <w:ind w:left="420" w:firstLine="480"/>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left"/>
        <w:spacing w:line="360" w:lineRule="auto"/>
        <w:tabs>
          <w:tab w:val="left" w:pos="255" w:leader="none"/>
        </w:tabs>
        <w:rPr>
          <w:rFonts w:ascii="宋体" w:hAnsi="宋体"/>
          <w:color w:val="auto"/>
          <w:sz w:val="24"/>
          <w:szCs w:val="21"/>
          <w:highlight w:val="none"/>
        </w:rPr>
      </w:pPr>
      <w:r>
        <w:rPr>
          <w:rFonts w:hint="eastAsia" w:ascii="宋体" w:hAnsi="宋体" w:cs="宋体"/>
          <w:color w:val="auto"/>
          <w:sz w:val="24"/>
          <w:szCs w:val="24"/>
          <w:highlight w:val="none"/>
        </w:rPr>
        <w:t xml:space="preserve">我公司根据本项目招标文件的规定和采购项目的实际情况，拟在成交后将成交项目的非主体、非关键性工作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rPr>
          <w:rFonts w:ascii="宋体" w:hAnsi="宋体"/>
          <w:color w:val="auto"/>
          <w:sz w:val="24"/>
          <w:szCs w:val="28"/>
          <w:highlight w:val="none"/>
        </w:rPr>
      </w:pPr>
      <w:r>
        <w:rPr>
          <w:rFonts w:ascii="宋体" w:hAnsi="宋体"/>
          <w:color w:val="auto"/>
          <w:sz w:val="24"/>
          <w:szCs w:val="28"/>
          <w:highlight w:val="none"/>
        </w:rPr>
      </w:r>
      <w:r/>
    </w:p>
    <w:p>
      <w:pPr>
        <w:ind w:left="5460" w:hanging="5460"/>
        <w:jc w:val="center"/>
        <w:spacing w:line="360" w:lineRule="auto"/>
        <w:rPr>
          <w:rFonts w:ascii="宋体" w:hAnsi="宋体"/>
          <w:color w:val="auto"/>
          <w:sz w:val="24"/>
          <w:szCs w:val="24"/>
          <w:highlight w:val="none"/>
        </w:rPr>
      </w:pPr>
      <w:r>
        <w:rPr>
          <w:rFonts w:hint="eastAsia" w:ascii="宋体" w:hAnsi="宋体"/>
          <w:bCs/>
          <w:color w:val="auto"/>
          <w:sz w:val="24"/>
          <w:highlight w:val="none"/>
        </w:rPr>
        <w:t xml:space="preserve">                          </w:t>
      </w:r>
      <w:bookmarkStart w:id="246" w:name="_Hlk152583725"/>
      <w:r>
        <w:rPr>
          <w:rFonts w:hint="eastAsia" w:ascii="宋体" w:hAnsi="宋体"/>
          <w:bCs/>
          <w:color w:val="auto"/>
          <w:sz w:val="24"/>
          <w:highlight w:val="none"/>
        </w:rPr>
        <w:t xml:space="preserve">    </w:t>
      </w:r>
      <w:r>
        <w:rPr>
          <w:rFonts w:hint="eastAsia"/>
          <w:color w:val="auto"/>
          <w:sz w:val="24"/>
          <w:szCs w:val="24"/>
          <w:highlight w:val="none"/>
        </w:rPr>
        <w:t xml:space="preserve">供应商</w:t>
      </w:r>
      <w:r>
        <w:rPr>
          <w:color w:val="auto"/>
          <w:sz w:val="24"/>
          <w:szCs w:val="24"/>
          <w:highlight w:val="none"/>
        </w:rPr>
        <w:t xml:space="preserve">（电子签章）：</w:t>
      </w:r>
      <w:bookmarkEnd w:id="246"/>
      <w:r/>
      <w:r/>
    </w:p>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ind w:left="420" w:firstLine="480"/>
        <w:spacing w:line="360" w:lineRule="auto"/>
        <w:tabs>
          <w:tab w:val="left" w:pos="255" w:leader="none"/>
        </w:tabs>
        <w:rPr>
          <w:rFonts w:ascii="宋体" w:hAnsi="宋体"/>
          <w:color w:val="auto"/>
          <w:sz w:val="24"/>
          <w:szCs w:val="21"/>
          <w:highlight w:val="none"/>
        </w:rPr>
      </w:pPr>
      <w:r/>
      <w:bookmarkStart w:id="247" w:name="OLE_LINK203"/>
      <w:r/>
      <w:bookmarkEnd w:id="247"/>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48" w:name="_Hlk151451099"/>
      <w:r>
        <w:rPr>
          <w:rFonts w:hint="eastAsia" w:ascii="宋体" w:hAnsi="宋体"/>
          <w:bCs/>
          <w:color w:val="auto"/>
          <w:sz w:val="24"/>
          <w:szCs w:val="24"/>
          <w:highlight w:val="none"/>
        </w:rPr>
        <w:t xml:space="preserve">注：如采购人要求分包或采购人允许分包且供应商有分包意向的，应提供有效的分包情况说明，否则无需提供。</w:t>
      </w:r>
      <w:r/>
    </w:p>
    <w:p>
      <w:pPr>
        <w:pStyle w:val="813"/>
        <w:rPr>
          <w:rFonts w:ascii="宋体" w:hAnsi="宋体"/>
          <w:bCs/>
          <w:color w:val="auto"/>
          <w:sz w:val="24"/>
          <w:szCs w:val="24"/>
          <w:highlight w:val="none"/>
        </w:rPr>
      </w:pPr>
      <w:r>
        <w:rPr>
          <w:rFonts w:ascii="宋体" w:hAnsi="宋体"/>
          <w:bCs/>
          <w:color w:val="auto"/>
          <w:sz w:val="24"/>
          <w:szCs w:val="24"/>
          <w:highlight w:val="none"/>
        </w:rPr>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bookmarkEnd w:id="248"/>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firstLine="480"/>
        <w:jc w:val="left"/>
        <w:spacing w:line="360" w:lineRule="auto"/>
        <w:tabs>
          <w:tab w:val="left" w:pos="255" w:leader="none"/>
        </w:tabs>
        <w:rPr>
          <w:rFonts w:ascii="黑体" w:eastAsia="黑体"/>
          <w:bCs/>
          <w:color w:val="auto"/>
          <w:sz w:val="24"/>
          <w:szCs w:val="24"/>
          <w:highlight w:val="none"/>
        </w:rPr>
      </w:pPr>
      <w:r>
        <w:rPr>
          <w:rFonts w:hint="eastAsia" w:ascii="黑体" w:hAnsi="宋体" w:eastAsia="黑体"/>
          <w:bCs/>
          <w:color w:val="auto"/>
          <w:sz w:val="24"/>
          <w:szCs w:val="24"/>
          <w:highlight w:val="none"/>
        </w:rPr>
        <w:t xml:space="preserve">11、中小企业声明</w:t>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49" w:name="_Hlk151458964"/>
      <w:r/>
      <w:bookmarkStart w:id="250" w:name="_Hlk151451145"/>
      <w:r>
        <w:rPr>
          <w:rFonts w:hint="eastAsia" w:ascii="宋体" w:hAnsi="宋体"/>
          <w:bCs/>
          <w:color w:val="auto"/>
          <w:sz w:val="24"/>
          <w:szCs w:val="24"/>
          <w:highlight w:val="none"/>
        </w:rPr>
        <w:t xml:space="preserve">注：如专门面向中小企业采购的，供应商应提供有效的《中小企业声明函》（格式见本章“价格折扣文件”附件1），或《残疾人福利性单位声明函》（格式见本章“价格折扣文件”附件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bookmarkEnd w:id="249"/>
      <w:r/>
    </w:p>
    <w:p>
      <w:pPr>
        <w:jc w:val="left"/>
        <w:rPr>
          <w:rFonts w:ascii="黑体" w:hAnsi="宋体" w:eastAsia="黑体"/>
          <w:bCs/>
          <w:color w:val="auto"/>
          <w:sz w:val="24"/>
          <w:szCs w:val="24"/>
          <w:highlight w:val="none"/>
        </w:rPr>
      </w:pPr>
      <w:r>
        <w:rPr>
          <w:rFonts w:ascii="黑体" w:hAnsi="宋体" w:eastAsia="黑体"/>
          <w:bCs/>
          <w:color w:val="auto"/>
          <w:sz w:val="24"/>
          <w:szCs w:val="24"/>
          <w:highlight w:val="none"/>
        </w:rPr>
      </w:r>
      <w:bookmarkEnd w:id="250"/>
      <w:r/>
    </w:p>
    <w:p>
      <w:pPr>
        <w:ind w:firstLine="480"/>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12、特定资格要求：无</w:t>
      </w:r>
      <w:r/>
    </w:p>
    <w:p>
      <w:pPr>
        <w:ind w:firstLine="480"/>
        <w:spacing w:line="360" w:lineRule="auto"/>
        <w:tabs>
          <w:tab w:val="left" w:pos="0" w:leader="none"/>
          <w:tab w:val="left" w:pos="255" w:leader="none"/>
        </w:tabs>
        <w:rPr>
          <w:rFonts w:ascii="宋体" w:hAnsi="宋体"/>
          <w:bCs/>
          <w:color w:val="auto"/>
          <w:sz w:val="24"/>
          <w:szCs w:val="24"/>
          <w:highlight w:val="none"/>
        </w:rPr>
      </w:pPr>
      <w:r>
        <w:rPr>
          <w:rFonts w:ascii="宋体" w:hAnsi="宋体"/>
          <w:color w:val="auto"/>
          <w:sz w:val="24"/>
          <w:szCs w:val="21"/>
          <w:highlight w:val="none"/>
          <w:lang w:val="zh-CN"/>
        </w:rPr>
        <w:br w:type="page" w:clear="all"/>
      </w:r>
      <w:bookmarkEnd w:id="240"/>
      <w:bookmarkEnd w:id="241"/>
      <w:r/>
    </w:p>
    <w:p>
      <w:pPr>
        <w:ind w:left="6370" w:hanging="6370"/>
        <w:jc w:val="left"/>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560"/>
        <w:rPr>
          <w:rFonts w:ascii="宋体" w:hAnsi="宋体" w:cs="宋体"/>
          <w:b/>
          <w:bCs/>
          <w:color w:val="auto"/>
          <w:sz w:val="24"/>
          <w:szCs w:val="24"/>
          <w:highlight w:val="none"/>
        </w:rPr>
      </w:pPr>
      <w:r>
        <w:rPr>
          <w:rFonts w:hint="eastAsia" w:ascii="宋体" w:hAnsi="宋体" w:cs="宋体"/>
          <w:bCs/>
          <w:color w:val="auto"/>
          <w:sz w:val="24"/>
          <w:szCs w:val="24"/>
          <w:highlight w:val="none"/>
        </w:rPr>
        <w:t xml:space="preserve">1、响应函（格式）：</w:t>
      </w:r>
      <w:r/>
    </w:p>
    <w:p>
      <w:pPr>
        <w:jc w:val="center"/>
        <w:spacing w:before="156" w:after="156"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响应函</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致中国共产党宜兴市委员会组织部、</w:t>
      </w:r>
      <w:r>
        <w:rPr>
          <w:rFonts w:hint="eastAsia" w:ascii="宋体" w:hAnsi="宋体"/>
          <w:bCs/>
          <w:color w:val="auto"/>
          <w:sz w:val="24"/>
          <w:highlight w:val="none"/>
        </w:rPr>
        <w:t xml:space="preserve">江苏久格工程项目管理有限公司</w:t>
      </w:r>
      <w:r>
        <w:rPr>
          <w:rFonts w:hint="eastAsia" w:ascii="宋体" w:hAnsi="宋体"/>
          <w:bCs/>
          <w:color w:val="auto"/>
          <w:sz w:val="24"/>
          <w:highlight w:val="none"/>
          <w:lang w:val="zh-CN"/>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我方收到你们</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（项目编号：</w:t>
      </w:r>
      <w:r>
        <w:rPr>
          <w:rFonts w:hint="eastAsia" w:ascii="宋体" w:hAnsi="宋体"/>
          <w:bCs/>
          <w:color w:val="auto"/>
          <w:sz w:val="24"/>
          <w:highlight w:val="none"/>
          <w:lang w:eastAsia="zh-CN"/>
        </w:rPr>
        <w:t xml:space="preserve">JSZC-320282-JGGC-C2026-0005</w:t>
      </w:r>
      <w:r>
        <w:rPr>
          <w:rFonts w:hint="eastAsia" w:ascii="宋体" w:hAnsi="宋体"/>
          <w:bCs/>
          <w:color w:val="auto"/>
          <w:sz w:val="24"/>
          <w:highlight w:val="none"/>
        </w:rPr>
        <w:t xml:space="preserve">）</w:t>
      </w:r>
      <w:r>
        <w:rPr>
          <w:rFonts w:hint="eastAsia" w:ascii="宋体" w:hAnsi="宋体"/>
          <w:bCs/>
          <w:color w:val="auto"/>
          <w:sz w:val="24"/>
          <w:highlight w:val="none"/>
          <w:lang w:val="zh-CN"/>
        </w:rPr>
        <w:t xml:space="preserve">磋商文件，经仔细阅读和研究，我方决定参加报价。</w:t>
      </w:r>
      <w:r/>
    </w:p>
    <w:p>
      <w:pPr>
        <w:numPr>
          <w:ilvl w:val="0"/>
          <w:numId w:val="8"/>
        </w:numPr>
        <w:ind w:firstLine="480"/>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我方愿意按照磋商文件的一切要求，提供服务，报价总价详见《开标一览表》。</w:t>
      </w:r>
      <w:r/>
    </w:p>
    <w:p>
      <w:pPr>
        <w:numPr>
          <w:ilvl w:val="0"/>
          <w:numId w:val="8"/>
        </w:numPr>
        <w:ind w:firstLine="480"/>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我方已对照磋商文件要求，填写了服务的偏离情况，详见</w:t>
      </w:r>
      <w:bookmarkStart w:id="251" w:name="_Hlk131935611"/>
      <w:r>
        <w:rPr>
          <w:rFonts w:hint="eastAsia" w:ascii="宋体" w:hAnsi="宋体"/>
          <w:bCs/>
          <w:color w:val="auto"/>
          <w:sz w:val="24"/>
          <w:highlight w:val="none"/>
          <w:lang w:val="zh-CN"/>
        </w:rPr>
        <w:t xml:space="preserve">《项目技术要求偏离表》</w:t>
      </w:r>
      <w:bookmarkEnd w:id="251"/>
      <w:r>
        <w:rPr>
          <w:rFonts w:hint="eastAsia" w:ascii="宋体" w:hAnsi="宋体"/>
          <w:bCs/>
          <w:color w:val="auto"/>
          <w:sz w:val="24"/>
          <w:highlight w:val="none"/>
          <w:lang w:val="zh-CN"/>
        </w:rPr>
        <w:t xml:space="preserve">。</w:t>
      </w:r>
      <w:r/>
    </w:p>
    <w:p>
      <w:pPr>
        <w:numPr>
          <w:ilvl w:val="0"/>
          <w:numId w:val="8"/>
        </w:numPr>
        <w:ind w:firstLine="480"/>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我方同意按磋商文件中的规定，本响应文件的有效期为报价截止之日起的60天（含提交当日）。在特殊情况下，可与贵方协商延长响应文件的有效期。</w:t>
      </w:r>
      <w:r/>
    </w:p>
    <w:p>
      <w:pPr>
        <w:numPr>
          <w:ilvl w:val="0"/>
          <w:numId w:val="8"/>
        </w:num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如果我方的响应文件被接受，我方将履行响应文件中规定的每一项要求，按期、按质、按量、按地点，完成服务任务。</w:t>
      </w:r>
      <w:r/>
    </w:p>
    <w:p>
      <w:pPr>
        <w:numPr>
          <w:ilvl w:val="0"/>
          <w:numId w:val="8"/>
        </w:numPr>
        <w:ind w:firstLine="480"/>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我方愿意根据贵方及评标委员会的要求，提供响应文件中所有材料的原件及相关证明性资料。</w:t>
      </w:r>
      <w:r/>
    </w:p>
    <w:p>
      <w:pPr>
        <w:numPr>
          <w:ilvl w:val="0"/>
          <w:numId w:val="8"/>
        </w:numPr>
        <w:ind w:firstLine="480"/>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我方认为采购人有权确定成交供应商。</w:t>
      </w:r>
      <w:r>
        <w:rPr>
          <w:rFonts w:hint="eastAsia" w:ascii="宋体" w:hAnsi="宋体"/>
          <w:bCs/>
          <w:color w:val="auto"/>
          <w:sz w:val="24"/>
          <w:szCs w:val="24"/>
          <w:highlight w:val="none"/>
          <w:lang w:val="zh-CN"/>
        </w:rPr>
        <w:t xml:space="preserve">除因不可抗力或磋商文件认可的情形以外，我方绝不放弃成交资格</w:t>
      </w:r>
      <w:r>
        <w:rPr>
          <w:rFonts w:hint="eastAsia" w:ascii="宋体" w:hAnsi="宋体"/>
          <w:bCs/>
          <w:color w:val="auto"/>
          <w:sz w:val="24"/>
          <w:highlight w:val="none"/>
          <w:lang w:val="zh-CN"/>
        </w:rPr>
        <w:t xml:space="preserve">。</w:t>
      </w:r>
      <w:r/>
    </w:p>
    <w:p>
      <w:pPr>
        <w:numPr>
          <w:ilvl w:val="0"/>
          <w:numId w:val="8"/>
        </w:numPr>
        <w:ind w:firstLine="480"/>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8"/>
        </w:numPr>
        <w:ind w:firstLine="480"/>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如果我方成交，我方愿意遵守磋商文件和成交通知书的规定，在指定时间和地点与采购人签订合同，并在签订合同前按磋商文件的规定交纳履约保证金。</w:t>
      </w:r>
      <w:r/>
    </w:p>
    <w:p>
      <w:pPr>
        <w:numPr>
          <w:ilvl w:val="0"/>
          <w:numId w:val="8"/>
        </w:num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我方决不提供虚假材料谋取成交，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8"/>
        </w:num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8"/>
        </w:num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关联单位情况说明：</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bl>
    <w:p>
      <w:pPr>
        <w:ind w:left="480"/>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注：没有请填无。</w:t>
      </w:r>
      <w:r/>
    </w:p>
    <w:p>
      <w:pPr>
        <w:numPr>
          <w:ilvl w:val="0"/>
          <w:numId w:val="8"/>
        </w:numPr>
        <w:ind w:firstLine="480"/>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与本报价有关的一切正式往来函电，请联系：</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W w:w="1252"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W w:w="1252"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W w:w="1252"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W w:w="1252"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W w:w="1252"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供应商（电子签章）：</w:t>
      </w:r>
      <w:r/>
    </w:p>
    <w:p>
      <w:pPr>
        <w:pStyle w:val="997"/>
        <w:ind w:left="0" w:firstLine="0"/>
        <w:rPr>
          <w:color w:val="auto"/>
          <w:highlight w:val="none"/>
        </w:rPr>
      </w:pPr>
      <w:r>
        <w:rPr>
          <w:rFonts w:ascii="黑体" w:hAnsi="宋体" w:eastAsia="黑体"/>
          <w:bCs/>
          <w:color w:val="auto"/>
          <w:highlight w:val="none"/>
        </w:rPr>
        <w:br w:type="page" w:clear="all"/>
      </w:r>
      <w:r/>
    </w:p>
    <w:p>
      <w:pPr>
        <w:ind w:firstLine="480"/>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2、明细报价表（格式）：</w:t>
      </w:r>
      <w:r/>
    </w:p>
    <w:p>
      <w:pPr>
        <w:jc w:val="center"/>
        <w:spacing w:line="360" w:lineRule="auto"/>
        <w:widowControl/>
        <w:rPr>
          <w:rStyle w:val="1019"/>
          <w:rFonts w:ascii="宋体" w:hAnsi="宋体" w:cs="宋体"/>
          <w:b/>
          <w:bCs/>
          <w:color w:val="auto"/>
          <w:sz w:val="24"/>
          <w:szCs w:val="24"/>
          <w:highlight w:val="none"/>
        </w:rPr>
      </w:pPr>
      <w:r/>
      <w:bookmarkStart w:id="252" w:name="OLE_LINK3"/>
      <w:r>
        <w:rPr>
          <w:rStyle w:val="1019"/>
          <w:rFonts w:hint="eastAsia" w:ascii="宋体" w:hAnsi="宋体" w:cs="宋体"/>
          <w:b/>
          <w:bCs/>
          <w:color w:val="auto"/>
          <w:sz w:val="24"/>
          <w:szCs w:val="24"/>
          <w:highlight w:val="none"/>
          <w:lang w:bidi="ar"/>
        </w:rPr>
        <w:t xml:space="preserve">明细报价表</w:t>
      </w:r>
      <w:bookmarkEnd w:id="252"/>
      <w:r/>
      <w:r/>
    </w:p>
    <w:p>
      <w:pPr>
        <w:pStyle w:val="1020"/>
        <w:rPr>
          <w:rFonts w:ascii="宋体" w:hAnsi="宋体"/>
          <w:color w:val="auto"/>
          <w:sz w:val="24"/>
          <w:szCs w:val="21"/>
          <w:highlight w:val="none"/>
        </w:rPr>
      </w:pPr>
      <w:r>
        <w:rPr>
          <w:rFonts w:hint="eastAsia" w:ascii="宋体" w:hAnsi="宋体"/>
          <w:color w:val="auto"/>
          <w:sz w:val="24"/>
          <w:szCs w:val="21"/>
          <w:highlight w:val="none"/>
          <w:lang w:val="zh-CN"/>
        </w:rPr>
        <w:t xml:space="preserve">项目名称：宜兴市优秀公务员健康休养服务采购项目                       </w:t>
      </w:r>
      <w:r/>
    </w:p>
    <w:p>
      <w:pPr>
        <w:pStyle w:val="1020"/>
        <w:rPr>
          <w:rFonts w:ascii="宋体" w:hAnsi="宋体"/>
          <w:color w:val="auto"/>
          <w:sz w:val="24"/>
          <w:szCs w:val="24"/>
          <w:highlight w:val="none"/>
        </w:rPr>
      </w:pPr>
      <w:r>
        <w:rPr>
          <w:rFonts w:hint="eastAsia" w:ascii="宋体" w:hAnsi="宋体"/>
          <w:color w:val="auto"/>
          <w:sz w:val="24"/>
          <w:szCs w:val="21"/>
          <w:highlight w:val="none"/>
          <w:lang w:val="zh-CN"/>
        </w:rPr>
        <w:t xml:space="preserve">项目编号：JSZC-320282-JGGC-C2026-0005 </w:t>
      </w:r>
      <w:r>
        <w:rPr>
          <w:rFonts w:hint="eastAsia" w:ascii="宋体" w:hAnsi="宋体"/>
          <w:color w:val="auto"/>
          <w:sz w:val="24"/>
          <w:szCs w:val="24"/>
          <w:highlight w:val="none"/>
        </w:rPr>
        <w:t xml:space="preserve">              </w:t>
      </w:r>
      <w:r/>
    </w:p>
    <w:tbl>
      <w:tblPr>
        <w:tblStyle w:val="78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1875"/>
        <w:gridCol w:w="2300"/>
        <w:gridCol w:w="1908"/>
        <w:gridCol w:w="1989"/>
      </w:tblGrid>
      <w:tr>
        <w:trPr>
          <w:jc w:val="center"/>
          <w:trHeight w:val="771"/>
        </w:trPr>
        <w:tc>
          <w:tcPr>
            <w:tcW w:w="12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87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服务名称</w:t>
            </w:r>
            <w:r/>
          </w:p>
        </w:tc>
        <w:tc>
          <w:tcPr>
            <w:tcW w:w="23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190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单价</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(元)</w:t>
            </w:r>
            <w:r/>
          </w:p>
        </w:tc>
        <w:tc>
          <w:tcPr>
            <w:tcW w:w="198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合计报价</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(元)</w:t>
            </w:r>
            <w:r/>
          </w:p>
        </w:tc>
      </w:tr>
      <w:tr>
        <w:trPr>
          <w:jc w:val="center"/>
          <w:trHeight w:val="762"/>
        </w:trPr>
        <w:tc>
          <w:tcPr>
            <w:tcW w:w="1200" w:type="dxa"/>
            <w:vAlign w:val="center"/>
            <w:textDirection w:val="lrTb"/>
            <w:noWrap w:val="false"/>
          </w:tcPr>
          <w:p>
            <w:pPr>
              <w:ind w:left="-111" w:firstLine="54"/>
              <w:jc w:val="center"/>
              <w:rPr>
                <w:rFonts w:ascii="宋体" w:hAnsi="宋体" w:cs="宋体"/>
                <w:color w:val="auto"/>
                <w:szCs w:val="21"/>
                <w:highlight w:val="none"/>
              </w:rPr>
            </w:pPr>
            <w:r>
              <w:rPr>
                <w:rFonts w:ascii="宋体" w:hAnsi="宋体" w:cs="宋体"/>
                <w:color w:val="auto"/>
                <w:szCs w:val="21"/>
                <w:highlight w:val="none"/>
              </w:rPr>
            </w:r>
            <w:r/>
          </w:p>
        </w:tc>
        <w:tc>
          <w:tcPr>
            <w:tcW w:w="18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3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0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755"/>
        </w:trPr>
        <w:tc>
          <w:tcPr>
            <w:tcW w:w="1200" w:type="dxa"/>
            <w:vAlign w:val="center"/>
            <w:textDirection w:val="lrTb"/>
            <w:noWrap w:val="false"/>
          </w:tcPr>
          <w:p>
            <w:pPr>
              <w:ind w:left="-111" w:firstLine="54"/>
              <w:jc w:val="center"/>
              <w:rPr>
                <w:rFonts w:ascii="宋体" w:hAnsi="宋体" w:cs="宋体"/>
                <w:color w:val="auto"/>
                <w:szCs w:val="21"/>
                <w:highlight w:val="none"/>
              </w:rPr>
            </w:pPr>
            <w:r>
              <w:rPr>
                <w:rFonts w:ascii="宋体" w:hAnsi="宋体" w:cs="宋体"/>
                <w:color w:val="auto"/>
                <w:szCs w:val="21"/>
                <w:highlight w:val="none"/>
              </w:rPr>
            </w:r>
            <w:r/>
          </w:p>
        </w:tc>
        <w:tc>
          <w:tcPr>
            <w:tcW w:w="18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3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0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755"/>
        </w:trPr>
        <w:tc>
          <w:tcPr>
            <w:tcW w:w="1200" w:type="dxa"/>
            <w:vAlign w:val="center"/>
            <w:textDirection w:val="lrTb"/>
            <w:noWrap w:val="false"/>
          </w:tcPr>
          <w:p>
            <w:pPr>
              <w:ind w:left="-111" w:firstLine="54"/>
              <w:jc w:val="center"/>
              <w:rPr>
                <w:rFonts w:ascii="宋体" w:hAnsi="宋体" w:cs="宋体"/>
                <w:color w:val="auto"/>
                <w:szCs w:val="21"/>
                <w:highlight w:val="none"/>
              </w:rPr>
            </w:pPr>
            <w:r>
              <w:rPr>
                <w:rFonts w:ascii="宋体" w:hAnsi="宋体" w:cs="宋体"/>
                <w:color w:val="auto"/>
                <w:szCs w:val="21"/>
                <w:highlight w:val="none"/>
              </w:rPr>
            </w:r>
            <w:r/>
          </w:p>
        </w:tc>
        <w:tc>
          <w:tcPr>
            <w:tcW w:w="18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3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0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755"/>
        </w:trPr>
        <w:tc>
          <w:tcPr>
            <w:tcW w:w="1200" w:type="dxa"/>
            <w:vAlign w:val="center"/>
            <w:textDirection w:val="lrTb"/>
            <w:noWrap w:val="false"/>
          </w:tcPr>
          <w:p>
            <w:pPr>
              <w:ind w:left="-111" w:firstLine="54"/>
              <w:jc w:val="center"/>
              <w:rPr>
                <w:rFonts w:ascii="宋体" w:hAnsi="宋体" w:cs="宋体"/>
                <w:color w:val="auto"/>
                <w:szCs w:val="21"/>
                <w:highlight w:val="none"/>
              </w:rPr>
            </w:pPr>
            <w:r>
              <w:rPr>
                <w:rFonts w:ascii="宋体" w:hAnsi="宋体" w:cs="宋体"/>
                <w:color w:val="auto"/>
                <w:szCs w:val="21"/>
                <w:highlight w:val="none"/>
              </w:rPr>
            </w:r>
            <w:r/>
          </w:p>
        </w:tc>
        <w:tc>
          <w:tcPr>
            <w:tcW w:w="18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3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0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755"/>
        </w:trPr>
        <w:tc>
          <w:tcPr>
            <w:tcW w:w="1200" w:type="dxa"/>
            <w:vAlign w:val="center"/>
            <w:textDirection w:val="lrTb"/>
            <w:noWrap w:val="false"/>
          </w:tcPr>
          <w:p>
            <w:pPr>
              <w:ind w:left="-111" w:firstLine="54"/>
              <w:jc w:val="center"/>
              <w:rPr>
                <w:rFonts w:ascii="宋体" w:hAnsi="宋体" w:cs="宋体"/>
                <w:color w:val="auto"/>
                <w:szCs w:val="21"/>
                <w:highlight w:val="none"/>
              </w:rPr>
            </w:pPr>
            <w:r>
              <w:rPr>
                <w:rFonts w:ascii="宋体" w:hAnsi="宋体" w:cs="宋体"/>
                <w:color w:val="auto"/>
                <w:szCs w:val="21"/>
                <w:highlight w:val="none"/>
              </w:rPr>
            </w:r>
            <w:r/>
          </w:p>
        </w:tc>
        <w:tc>
          <w:tcPr>
            <w:tcW w:w="18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3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0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8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755"/>
        </w:trPr>
        <w:tc>
          <w:tcPr>
            <w:gridSpan w:val="2"/>
            <w:tcW w:w="3075"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合计总价</w:t>
            </w:r>
            <w:r>
              <w:rPr>
                <w:rFonts w:hint="eastAsia" w:ascii="宋体" w:hAnsi="宋体" w:cs="宋体"/>
                <w:color w:val="auto"/>
                <w:szCs w:val="21"/>
                <w:highlight w:val="none"/>
              </w:rPr>
              <w:t xml:space="preserve">(元)</w:t>
            </w:r>
            <w:r/>
          </w:p>
        </w:tc>
        <w:tc>
          <w:tcPr>
            <w:gridSpan w:val="3"/>
            <w:tcW w:w="6197"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bl>
    <w:p>
      <w:pPr>
        <w:pStyle w:val="997"/>
        <w:rPr>
          <w:color w:val="auto"/>
          <w:highlight w:val="none"/>
        </w:rPr>
      </w:pPr>
      <w:r>
        <w:rPr>
          <w:color w:val="auto"/>
          <w:highlight w:val="none"/>
        </w:rPr>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w:t>
      </w:r>
      <w:bookmarkStart w:id="253" w:name="OLE_LINK149"/>
      <w:r>
        <w:rPr>
          <w:rFonts w:hint="eastAsia" w:ascii="宋体" w:hAnsi="宋体"/>
          <w:bCs/>
          <w:color w:val="auto"/>
          <w:sz w:val="24"/>
          <w:highlight w:val="none"/>
        </w:rPr>
        <w:t xml:space="preserve">                      供应商（电子签章）：</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w:t>
      </w:r>
      <w:r/>
    </w:p>
    <w:p>
      <w:pPr>
        <w:jc w:val="left"/>
        <w:spacing w:line="360" w:lineRule="auto"/>
        <w:rPr>
          <w:rFonts w:ascii="宋体" w:hAnsi="宋体"/>
          <w:bCs/>
          <w:color w:val="auto"/>
          <w:szCs w:val="21"/>
          <w:highlight w:val="none"/>
        </w:rPr>
      </w:pPr>
      <w:r/>
      <w:bookmarkStart w:id="254" w:name="_Hlk151710206"/>
      <w:r/>
      <w:bookmarkEnd w:id="254"/>
      <w:r/>
    </w:p>
    <w:p>
      <w:pPr>
        <w:pStyle w:val="812"/>
        <w:rPr>
          <w:color w:val="auto"/>
          <w:highlight w:val="none"/>
        </w:rPr>
      </w:pPr>
      <w:r>
        <w:rPr>
          <w:color w:val="auto"/>
          <w:highlight w:val="none"/>
        </w:rPr>
      </w:r>
      <w:bookmarkEnd w:id="253"/>
      <w:r/>
    </w:p>
    <w:p>
      <w:pPr>
        <w:ind w:firstLine="560"/>
        <w:rPr>
          <w:rFonts w:ascii="黑体" w:hAnsi="宋体" w:eastAsia="黑体"/>
          <w:bCs/>
          <w:color w:val="auto"/>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ascii="黑体" w:hAnsi="宋体" w:eastAsia="黑体"/>
          <w:bCs/>
          <w:color w:val="auto"/>
          <w:sz w:val="24"/>
          <w:szCs w:val="24"/>
          <w:highlight w:val="none"/>
        </w:rPr>
      </w:r>
      <w:r/>
    </w:p>
    <w:p>
      <w:pPr>
        <w:pStyle w:val="994"/>
        <w:ind w:firstLine="480"/>
        <w:rPr>
          <w:rFonts w:ascii="黑体" w:hAnsi="宋体" w:eastAsia="黑体"/>
          <w:bCs/>
          <w:color w:val="auto"/>
          <w:sz w:val="24"/>
          <w:szCs w:val="24"/>
          <w:highlight w:val="none"/>
        </w:rPr>
      </w:pPr>
      <w:r>
        <w:rPr>
          <w:rFonts w:ascii="黑体" w:hAnsi="宋体" w:eastAsia="黑体"/>
          <w:bCs/>
          <w:color w:val="auto"/>
          <w:sz w:val="24"/>
          <w:szCs w:val="24"/>
          <w:highlight w:val="none"/>
        </w:rPr>
        <w:t xml:space="preserve">3</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ascii="黑体" w:hAnsi="黑体" w:eastAsia="黑体"/>
          <w:color w:val="auto"/>
          <w:sz w:val="28"/>
          <w:szCs w:val="21"/>
          <w:highlight w:val="none"/>
        </w:rPr>
      </w:pPr>
      <w:r>
        <w:rPr>
          <w:rFonts w:hint="eastAsia" w:ascii="黑体" w:hAnsi="黑体" w:eastAsia="黑体"/>
          <w:color w:val="auto"/>
          <w:sz w:val="28"/>
          <w:szCs w:val="21"/>
          <w:highlight w:val="none"/>
          <w:lang w:val="zh-CN"/>
        </w:rPr>
        <w:t xml:space="preserve"> 项目技术要求偏离表</w:t>
      </w:r>
      <w:r/>
    </w:p>
    <w:p>
      <w:pPr>
        <w:pStyle w:val="1020"/>
        <w:rPr>
          <w:rFonts w:ascii="宋体" w:hAnsi="宋体"/>
          <w:color w:val="auto"/>
          <w:sz w:val="24"/>
          <w:szCs w:val="21"/>
          <w:highlight w:val="none"/>
        </w:rPr>
      </w:pPr>
      <w:r>
        <w:rPr>
          <w:rFonts w:hint="eastAsia" w:ascii="宋体" w:hAnsi="宋体"/>
          <w:color w:val="auto"/>
          <w:sz w:val="24"/>
          <w:szCs w:val="21"/>
          <w:highlight w:val="none"/>
          <w:lang w:val="zh-CN"/>
        </w:rPr>
        <w:t xml:space="preserve">项目名称：宜兴市优秀公务员健康休养服务采购项目                      </w:t>
      </w:r>
      <w:r/>
    </w:p>
    <w:p>
      <w:pPr>
        <w:pStyle w:val="1020"/>
        <w:rPr>
          <w:rFonts w:ascii="宋体" w:hAnsi="宋体"/>
          <w:color w:val="auto"/>
          <w:sz w:val="24"/>
          <w:szCs w:val="21"/>
          <w:highlight w:val="none"/>
        </w:rPr>
      </w:pPr>
      <w:r>
        <w:rPr>
          <w:rFonts w:hint="eastAsia" w:ascii="宋体" w:hAnsi="宋体"/>
          <w:color w:val="auto"/>
          <w:sz w:val="24"/>
          <w:szCs w:val="21"/>
          <w:highlight w:val="none"/>
          <w:lang w:val="zh-CN"/>
        </w:rPr>
        <w:t xml:space="preserve">项目编号：JSZC-320282-JGGC-C2026-0005</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报价内容</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tc>
      </w:tr>
    </w:tbl>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宋体" w:hAnsi="宋体"/>
          <w:bCs/>
          <w:color w:val="auto"/>
          <w:sz w:val="24"/>
          <w:highlight w:val="none"/>
        </w:rPr>
      </w:pPr>
      <w:r>
        <w:rPr>
          <w:rFonts w:hint="eastAsia" w:ascii="宋体" w:hAnsi="宋体"/>
          <w:bCs/>
          <w:color w:val="auto"/>
          <w:sz w:val="24"/>
          <w:highlight w:val="none"/>
        </w:rPr>
        <w:t xml:space="preserve">                                          供应商（电子签章）：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ind w:left="420"/>
        <w:spacing w:line="360" w:lineRule="auto"/>
        <w:rPr>
          <w:rFonts w:ascii="宋体" w:hAnsi="宋体"/>
          <w:bCs/>
          <w:color w:val="auto"/>
          <w:szCs w:val="21"/>
          <w:highlight w:val="none"/>
        </w:rPr>
      </w:pPr>
      <w:r>
        <w:rPr>
          <w:rFonts w:hint="eastAsia" w:ascii="宋体" w:hAnsi="宋体"/>
          <w:bCs/>
          <w:color w:val="auto"/>
          <w:szCs w:val="21"/>
          <w:highlight w:val="none"/>
          <w:lang w:val="zh-CN"/>
        </w:rPr>
        <w:t xml:space="preserve">注：（</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）供应商应对照磋商文件“第三章 项目技术要求和有关说明”的相关要求，将自身响应的偏离情况（与磋商文件要求不一致的地方）详细填入上表，并注明“正偏离/负偏离”；若未填写上表，视为完全响应；</w:t>
      </w:r>
      <w:r/>
    </w:p>
    <w:p>
      <w:pPr>
        <w:ind w:left="420"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（2）磋商文件第三章“项目技术要求和有关说明”中若有要求提供相关证明材料的，</w:t>
      </w:r>
      <w:r>
        <w:rPr>
          <w:rFonts w:hint="eastAsia" w:ascii="宋体" w:hAnsi="宋体"/>
          <w:bCs/>
          <w:color w:val="auto"/>
          <w:szCs w:val="21"/>
          <w:highlight w:val="none"/>
          <w:lang w:val="zh-CN"/>
        </w:rPr>
        <w:t xml:space="preserve">请在本表后自行添加</w:t>
      </w:r>
      <w:r>
        <w:rPr>
          <w:rFonts w:hint="eastAsia" w:ascii="宋体" w:hAnsi="宋体"/>
          <w:bCs/>
          <w:color w:val="auto"/>
          <w:szCs w:val="21"/>
          <w:highlight w:val="none"/>
        </w:rPr>
        <w:t xml:space="preserve">。</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pStyle w:val="994"/>
        <w:rPr>
          <w:rFonts w:ascii="宋体" w:hAnsi="宋体"/>
          <w:color w:val="auto"/>
          <w:sz w:val="24"/>
          <w:szCs w:val="24"/>
          <w:highlight w:val="none"/>
        </w:rPr>
      </w:pPr>
      <w:r>
        <w:rPr>
          <w:rFonts w:ascii="宋体" w:hAnsi="宋体"/>
          <w:color w:val="auto"/>
          <w:sz w:val="24"/>
          <w:szCs w:val="24"/>
          <w:highlight w:val="none"/>
        </w:rPr>
      </w:r>
      <w:r/>
    </w:p>
    <w:p>
      <w:pPr>
        <w:pStyle w:val="994"/>
        <w:rPr>
          <w:rFonts w:ascii="宋体" w:hAnsi="宋体"/>
          <w:color w:val="auto"/>
          <w:sz w:val="24"/>
          <w:szCs w:val="24"/>
          <w:highlight w:val="none"/>
        </w:rPr>
      </w:pPr>
      <w:r>
        <w:rPr>
          <w:rFonts w:ascii="宋体" w:hAnsi="宋体"/>
          <w:color w:val="auto"/>
          <w:sz w:val="24"/>
          <w:szCs w:val="24"/>
          <w:highlight w:val="none"/>
        </w:rPr>
      </w:r>
      <w:r/>
    </w:p>
    <w:p>
      <w:pPr>
        <w:pStyle w:val="994"/>
        <w:rPr>
          <w:rFonts w:ascii="宋体" w:hAnsi="宋体"/>
          <w:color w:val="auto"/>
          <w:sz w:val="24"/>
          <w:szCs w:val="24"/>
          <w:highlight w:val="none"/>
        </w:rPr>
      </w:pPr>
      <w:r>
        <w:rPr>
          <w:rFonts w:ascii="宋体" w:hAnsi="宋体"/>
          <w:color w:val="auto"/>
          <w:sz w:val="24"/>
          <w:szCs w:val="24"/>
          <w:highlight w:val="none"/>
        </w:rPr>
      </w:r>
      <w:r/>
    </w:p>
    <w:p>
      <w:pPr>
        <w:pStyle w:val="994"/>
        <w:rPr>
          <w:rFonts w:ascii="宋体" w:hAnsi="宋体"/>
          <w:color w:val="auto"/>
          <w:sz w:val="24"/>
          <w:szCs w:val="24"/>
          <w:highlight w:val="none"/>
        </w:rPr>
      </w:pPr>
      <w:r>
        <w:rPr>
          <w:rFonts w:ascii="宋体" w:hAnsi="宋体"/>
          <w:color w:val="auto"/>
          <w:sz w:val="24"/>
          <w:szCs w:val="24"/>
          <w:highlight w:val="none"/>
        </w:rPr>
      </w:r>
      <w:r/>
    </w:p>
    <w:p>
      <w:pPr>
        <w:pStyle w:val="994"/>
        <w:rPr>
          <w:rFonts w:ascii="宋体" w:hAnsi="宋体"/>
          <w:color w:val="auto"/>
          <w:sz w:val="24"/>
          <w:szCs w:val="24"/>
          <w:highlight w:val="none"/>
        </w:rPr>
      </w:pPr>
      <w:r>
        <w:rPr>
          <w:rFonts w:ascii="宋体" w:hAnsi="宋体"/>
          <w:color w:val="auto"/>
          <w:sz w:val="24"/>
          <w:szCs w:val="24"/>
          <w:highlight w:val="none"/>
        </w:rPr>
      </w:r>
      <w:r/>
    </w:p>
    <w:p>
      <w:pPr>
        <w:pStyle w:val="994"/>
        <w:rPr>
          <w:rFonts w:ascii="宋体" w:hAnsi="宋体"/>
          <w:color w:val="auto"/>
          <w:sz w:val="24"/>
          <w:szCs w:val="24"/>
          <w:highlight w:val="none"/>
        </w:rPr>
      </w:pPr>
      <w:r>
        <w:rPr>
          <w:rFonts w:ascii="宋体" w:hAnsi="宋体"/>
          <w:color w:val="auto"/>
          <w:sz w:val="24"/>
          <w:szCs w:val="24"/>
          <w:highlight w:val="none"/>
        </w:rPr>
      </w:r>
      <w:r/>
    </w:p>
    <w:p>
      <w:pPr>
        <w:spacing w:after="156"/>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（四）企业报价折扣证明</w:t>
      </w:r>
      <w:bookmarkStart w:id="255" w:name="_Hlk131928636"/>
      <w:r/>
      <w:r/>
    </w:p>
    <w:p>
      <w:pPr>
        <w:ind w:firstLine="480"/>
        <w:jc w:val="left"/>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lang w:val="zh-CN"/>
        </w:rPr>
        <w:t xml:space="preserve">1</w:t>
      </w:r>
      <w:r>
        <w:rPr>
          <w:rFonts w:ascii="黑体" w:hAnsi="宋体" w:eastAsia="黑体"/>
          <w:bCs/>
          <w:color w:val="auto"/>
          <w:sz w:val="24"/>
          <w:szCs w:val="24"/>
          <w:highlight w:val="none"/>
          <w:lang w:val="zh-CN"/>
        </w:rPr>
        <w:t xml:space="preserve">.</w:t>
      </w:r>
      <w:r>
        <w:rPr>
          <w:rFonts w:hint="eastAsia" w:ascii="黑体" w:hAnsi="宋体" w:eastAsia="黑体"/>
          <w:bCs/>
          <w:color w:val="auto"/>
          <w:sz w:val="24"/>
          <w:szCs w:val="24"/>
          <w:highlight w:val="none"/>
          <w:lang w:val="zh-CN"/>
        </w:rPr>
        <w:t xml:space="preserve"> 企业报价折扣证明（格式）</w:t>
      </w:r>
      <w:r/>
    </w:p>
    <w:p>
      <w:pPr>
        <w:ind w:left="420" w:firstLine="560"/>
        <w:jc w:val="center"/>
        <w:spacing w:line="360" w:lineRule="auto"/>
        <w:tabs>
          <w:tab w:val="left" w:pos="255" w:leader="none"/>
        </w:tabs>
        <w:rPr>
          <w:rFonts w:ascii="黑体" w:hAnsi="黑体" w:eastAsia="黑体"/>
          <w:color w:val="auto"/>
          <w:sz w:val="28"/>
          <w:szCs w:val="21"/>
          <w:highlight w:val="none"/>
        </w:rPr>
      </w:pPr>
      <w:r>
        <w:rPr>
          <w:rFonts w:hint="eastAsia" w:ascii="黑体" w:hAnsi="黑体" w:eastAsia="黑体"/>
          <w:color w:val="auto"/>
          <w:sz w:val="28"/>
          <w:szCs w:val="21"/>
          <w:highlight w:val="none"/>
          <w:lang w:val="zh-CN"/>
        </w:rPr>
        <w:t xml:space="preserve">企业报价折扣证明</w:t>
      </w:r>
      <w:r/>
    </w:p>
    <w:p>
      <w:pPr>
        <w:pStyle w:val="1020"/>
        <w:rPr>
          <w:rFonts w:ascii="宋体" w:hAnsi="宋体"/>
          <w:color w:val="auto"/>
          <w:sz w:val="24"/>
          <w:szCs w:val="21"/>
          <w:highlight w:val="none"/>
        </w:rPr>
      </w:pPr>
      <w:r>
        <w:rPr>
          <w:rFonts w:hint="eastAsia" w:ascii="宋体" w:hAnsi="宋体"/>
          <w:color w:val="auto"/>
          <w:sz w:val="24"/>
          <w:szCs w:val="21"/>
          <w:highlight w:val="none"/>
          <w:lang w:val="zh-CN"/>
        </w:rPr>
        <w:t xml:space="preserve">项目名称：宜兴市优秀公务员健康休养服务采购项目                       </w:t>
      </w:r>
      <w:r/>
    </w:p>
    <w:p>
      <w:pPr>
        <w:pStyle w:val="1020"/>
        <w:rPr>
          <w:rFonts w:ascii="宋体" w:hAnsi="宋体"/>
          <w:color w:val="auto"/>
          <w:sz w:val="24"/>
          <w:szCs w:val="21"/>
          <w:highlight w:val="none"/>
        </w:rPr>
      </w:pPr>
      <w:r>
        <w:rPr>
          <w:rFonts w:hint="eastAsia" w:ascii="宋体" w:hAnsi="宋体"/>
          <w:color w:val="auto"/>
          <w:sz w:val="24"/>
          <w:szCs w:val="21"/>
          <w:highlight w:val="none"/>
          <w:lang w:val="zh-CN"/>
        </w:rPr>
        <w:t xml:space="preserve">项目编号：JSZC-320282-JGGC-C2026-0005</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jc w:val="center"/>
          <w:trHeight w:val="687"/>
        </w:trPr>
        <w:tc>
          <w:tcPr>
            <w:tcW w:w="75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olor w:val="auto"/>
                <w:szCs w:val="21"/>
                <w:highlight w:val="none"/>
                <w:lang w:val="zh-CN"/>
              </w:rPr>
              <w:t xml:space="preserve">序号</w:t>
            </w:r>
            <w:r/>
          </w:p>
        </w:tc>
        <w:tc>
          <w:tcPr>
            <w:tcW w:w="11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企业</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性质</w:t>
            </w:r>
            <w:r/>
          </w:p>
        </w:tc>
        <w:tc>
          <w:tcPr>
            <w:tcW w:w="278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服务承接商</w:t>
            </w:r>
            <w:r>
              <w:rPr>
                <w:rFonts w:hint="eastAsia" w:ascii="宋体" w:hAnsi="宋体" w:cs="宋体"/>
                <w:color w:val="auto"/>
                <w:szCs w:val="21"/>
                <w:highlight w:val="none"/>
                <w:lang w:val="zh-CN"/>
              </w:rPr>
              <w:t xml:space="preserve">类别</w:t>
            </w:r>
            <w:r/>
          </w:p>
        </w:tc>
        <w:tc>
          <w:tcPr>
            <w:tcW w:w="347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响应文件中须提供的</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相关证明材料</w:t>
            </w:r>
            <w:r/>
          </w:p>
        </w:tc>
        <w:tc>
          <w:tcPr>
            <w:tcW w:w="15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供应商（产品）类型声明</w:t>
            </w:r>
            <w:r/>
          </w:p>
        </w:tc>
      </w:tr>
      <w:tr>
        <w:trPr>
          <w:cantSplit/>
          <w:jc w:val="center"/>
          <w:trHeight w:val="1354"/>
        </w:trPr>
        <w:tc>
          <w:tcPr>
            <w:tcW w:w="750"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145"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小微型</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企业</w:t>
            </w:r>
            <w:r/>
          </w:p>
        </w:tc>
        <w:tc>
          <w:tcPr>
            <w:tcW w:w="2782"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小微企业</w:t>
            </w:r>
            <w:r/>
          </w:p>
        </w:tc>
        <w:tc>
          <w:tcPr>
            <w:tcW w:w="3478" w:type="dxa"/>
            <w:vAlign w:val="center"/>
            <w:vMerge w:val="restart"/>
            <w:textDirection w:val="lrTb"/>
            <w:noWrap w:val="false"/>
          </w:tcPr>
          <w:p>
            <w:pPr>
              <w:jc w:val="left"/>
              <w:spacing w:line="360" w:lineRule="auto"/>
              <w:rPr>
                <w:rFonts w:ascii="宋体" w:hAnsi="宋体" w:cs="宋体"/>
                <w:color w:val="auto"/>
                <w:szCs w:val="21"/>
                <w:highlight w:val="none"/>
              </w:rPr>
            </w:pPr>
            <w:r/>
            <w:bookmarkStart w:id="256" w:name="OLE_LINK72"/>
            <w:r>
              <w:rPr>
                <w:rFonts w:hint="eastAsia" w:ascii="宋体" w:hAnsi="宋体" w:cs="宋体"/>
                <w:color w:val="auto"/>
                <w:szCs w:val="21"/>
                <w:highlight w:val="none"/>
                <w:lang w:val="zh-CN"/>
              </w:rPr>
              <w:t xml:space="preserve">供应商《中小企业声明函》</w:t>
            </w:r>
            <w:bookmarkEnd w:id="256"/>
            <w:r/>
            <w:bookmarkStart w:id="257" w:name="OLE_LINK65"/>
            <w:r>
              <w:rPr>
                <w:rFonts w:hint="eastAsia" w:ascii="宋体" w:hAnsi="宋体" w:cs="宋体"/>
                <w:color w:val="auto"/>
                <w:szCs w:val="21"/>
                <w:highlight w:val="none"/>
                <w:lang w:val="zh-CN"/>
              </w:rPr>
              <w:t xml:space="preserve">（附件</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bookmarkEnd w:id="257"/>
            <w:r/>
            <w:r/>
          </w:p>
        </w:tc>
        <w:tc>
          <w:tcPr>
            <w:tcW w:w="15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384"/>
        </w:trPr>
        <w:tc>
          <w:tcPr>
            <w:tcW w:w="75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1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残疾人福利性单位</w:t>
            </w:r>
            <w:r/>
          </w:p>
        </w:tc>
        <w:tc>
          <w:tcPr>
            <w:tcW w:w="278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残疾人福利性单位</w:t>
            </w:r>
            <w:r/>
          </w:p>
        </w:tc>
        <w:tc>
          <w:tcPr>
            <w:tcW w:w="3478" w:type="dxa"/>
            <w:vAlign w:val="center"/>
            <w:textDirection w:val="lrTb"/>
            <w:noWrap w:val="false"/>
          </w:tcPr>
          <w:p>
            <w:pPr>
              <w:jc w:val="left"/>
              <w:spacing w:line="360" w:lineRule="auto"/>
              <w:rPr>
                <w:rFonts w:ascii="宋体" w:hAnsi="宋体" w:cs="宋体"/>
                <w:color w:val="auto"/>
                <w:szCs w:val="21"/>
                <w:highlight w:val="none"/>
              </w:rPr>
            </w:pPr>
            <w:r/>
            <w:bookmarkStart w:id="258" w:name="OLE_LINK73"/>
            <w:r>
              <w:rPr>
                <w:rFonts w:hint="eastAsia" w:ascii="宋体" w:hAnsi="宋体" w:cs="宋体"/>
                <w:color w:val="auto"/>
                <w:szCs w:val="21"/>
                <w:highlight w:val="none"/>
                <w:lang w:val="zh-CN"/>
              </w:rPr>
              <w:t xml:space="preserve">供应商《残疾人福利性单位声明函》</w:t>
            </w:r>
            <w:bookmarkEnd w:id="258"/>
            <w:r>
              <w:rPr>
                <w:rFonts w:hint="eastAsia" w:ascii="宋体" w:hAnsi="宋体" w:cs="宋体"/>
                <w:color w:val="auto"/>
                <w:szCs w:val="21"/>
                <w:highlight w:val="none"/>
                <w:lang w:val="zh-CN"/>
              </w:rPr>
              <w:t xml:space="preserve">（附件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027"/>
        </w:trPr>
        <w:tc>
          <w:tcPr>
            <w:tcW w:w="750"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14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78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监狱企业</w:t>
            </w:r>
            <w:r/>
          </w:p>
        </w:tc>
        <w:tc>
          <w:tcPr>
            <w:tcW w:w="3478"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省级以上监狱管理局、戒毒管理局（含新疆生产建设兵团）出具的属于监狱企业的证明文件</w:t>
            </w:r>
            <w:r/>
          </w:p>
        </w:tc>
        <w:tc>
          <w:tcPr>
            <w:tcW w:w="15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bl>
    <w:p>
      <w:pPr>
        <w:pStyle w:val="1020"/>
        <w:rPr>
          <w:rFonts w:ascii="宋体" w:hAnsi="宋体"/>
          <w:color w:val="auto"/>
          <w:sz w:val="24"/>
          <w:szCs w:val="21"/>
          <w:highlight w:val="none"/>
        </w:rPr>
      </w:pPr>
      <w:r>
        <w:rPr>
          <w:rFonts w:ascii="宋体" w:hAnsi="宋体"/>
          <w:color w:val="auto"/>
          <w:sz w:val="24"/>
          <w:szCs w:val="21"/>
          <w:highlight w:val="none"/>
        </w:rPr>
      </w:r>
      <w:r/>
    </w:p>
    <w:p>
      <w:pPr>
        <w:jc w:val="right"/>
        <w:spacing w:before="156" w:line="360" w:lineRule="auto"/>
        <w:rPr>
          <w:color w:val="auto"/>
          <w:sz w:val="24"/>
          <w:szCs w:val="24"/>
          <w:highlight w:val="none"/>
        </w:rPr>
      </w:pPr>
      <w:r>
        <w:rPr>
          <w:rFonts w:hint="eastAsia"/>
          <w:color w:val="auto"/>
          <w:sz w:val="24"/>
          <w:szCs w:val="24"/>
          <w:highlight w:val="none"/>
        </w:rPr>
        <w:t xml:space="preserve">供应商</w:t>
      </w:r>
      <w:r>
        <w:rPr>
          <w:color w:val="auto"/>
          <w:sz w:val="24"/>
          <w:szCs w:val="24"/>
          <w:highlight w:val="none"/>
        </w:rPr>
        <w:t xml:space="preserve">（电子签章）：</w:t>
      </w:r>
      <w:r/>
    </w:p>
    <w:p>
      <w:pPr>
        <w:jc w:val="left"/>
        <w:spacing w:line="240" w:lineRule="atLeast"/>
        <w:rPr>
          <w:rFonts w:ascii="宋体" w:hAnsi="宋体" w:cs="宋体"/>
          <w:b/>
          <w:bCs/>
          <w:color w:val="auto"/>
          <w:szCs w:val="21"/>
          <w:highlight w:val="none"/>
        </w:rPr>
      </w:pPr>
      <w:r>
        <w:rPr>
          <w:rFonts w:ascii="宋体" w:hAnsi="宋体" w:cs="宋体"/>
          <w:b/>
          <w:bCs/>
          <w:color w:val="auto"/>
          <w:szCs w:val="21"/>
          <w:highlight w:val="none"/>
        </w:rPr>
      </w:r>
      <w:r/>
    </w:p>
    <w:p>
      <w:pPr>
        <w:jc w:val="left"/>
        <w:spacing w:line="240" w:lineRule="atLeas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注：（</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）相关证明材料请附在本表之后，若不享受政府采购政策优惠，附件</w:t>
      </w:r>
      <w:r>
        <w:rPr>
          <w:rFonts w:hint="eastAsia" w:ascii="宋体" w:hAnsi="宋体" w:cs="宋体"/>
          <w:b/>
          <w:bCs/>
          <w:color w:val="auto"/>
          <w:szCs w:val="21"/>
          <w:highlight w:val="none"/>
        </w:rPr>
        <w:t xml:space="preserve">1-附件</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可自行删除</w:t>
      </w:r>
      <w:r>
        <w:rPr>
          <w:rFonts w:hint="eastAsia" w:ascii="宋体" w:hAnsi="宋体" w:cs="宋体"/>
          <w:b/>
          <w:bCs/>
          <w:color w:val="auto"/>
          <w:szCs w:val="21"/>
          <w:highlight w:val="none"/>
          <w:lang w:val="zh-CN"/>
        </w:rPr>
        <w:t xml:space="preserve">；</w:t>
      </w:r>
      <w:r/>
    </w:p>
    <w:p>
      <w:pPr>
        <w:ind w:firstLine="422"/>
        <w:jc w:val="left"/>
        <w:spacing w:before="156" w:after="156" w:line="240" w:lineRule="atLeast"/>
        <w:rPr>
          <w:rFonts w:ascii="黑体" w:hAnsi="黑体" w:eastAsia="黑体"/>
          <w:color w:val="auto"/>
          <w:sz w:val="28"/>
          <w:szCs w:val="28"/>
          <w:highlight w:val="none"/>
        </w:rPr>
      </w:pPr>
      <w:r>
        <w:rPr>
          <w:rFonts w:hint="eastAsia" w:ascii="宋体" w:hAnsi="宋体" w:cs="宋体"/>
          <w:b/>
          <w:bCs/>
          <w:color w:val="auto"/>
          <w:szCs w:val="21"/>
          <w:highlight w:val="none"/>
        </w:rPr>
        <w:t xml:space="preserve">（2）成交</w:t>
      </w:r>
      <w:r>
        <w:rPr>
          <w:rFonts w:hint="eastAsia" w:ascii="宋体" w:hAnsi="宋体" w:cs="宋体"/>
          <w:b/>
          <w:bCs/>
          <w:color w:val="auto"/>
          <w:szCs w:val="21"/>
          <w:highlight w:val="none"/>
          <w:lang w:val="zh-CN"/>
        </w:rPr>
        <w:t xml:space="preserve">供应商《中小企业声明函》、《残疾人福利性单位声明函》，采购人将随成交结果公告一并公示。</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94"/>
        <w:rPr>
          <w:color w:val="auto"/>
          <w:highlight w:val="none"/>
        </w:rPr>
      </w:pPr>
      <w:r>
        <w:rPr>
          <w:color w:val="auto"/>
          <w:highlight w:val="none"/>
        </w:rPr>
      </w:r>
      <w:r/>
    </w:p>
    <w:p>
      <w:pPr>
        <w:pStyle w:val="1020"/>
        <w:rPr>
          <w:color w:val="auto"/>
          <w:highlight w:val="none"/>
        </w:rPr>
      </w:pPr>
      <w:r>
        <w:rPr>
          <w:color w:val="auto"/>
          <w:highlight w:val="none"/>
        </w:rPr>
      </w:r>
      <w:r/>
    </w:p>
    <w:p>
      <w:pPr>
        <w:pStyle w:val="1020"/>
        <w:rPr>
          <w:color w:val="auto"/>
          <w:highlight w:val="none"/>
        </w:rPr>
      </w:pPr>
      <w:r>
        <w:rPr>
          <w:color w:val="auto"/>
          <w:highlight w:val="none"/>
        </w:rPr>
      </w:r>
      <w:r/>
    </w:p>
    <w:p>
      <w:pPr>
        <w:pStyle w:val="1020"/>
        <w:rPr>
          <w:color w:val="auto"/>
          <w:highlight w:val="none"/>
        </w:rPr>
      </w:pPr>
      <w:r>
        <w:rPr>
          <w:color w:val="auto"/>
          <w:highlight w:val="none"/>
        </w:rPr>
      </w:r>
      <w:r/>
    </w:p>
    <w:p>
      <w:pPr>
        <w:pStyle w:val="1020"/>
        <w:rPr>
          <w:color w:val="auto"/>
          <w:highlight w:val="none"/>
        </w:rPr>
      </w:pPr>
      <w:r>
        <w:rPr>
          <w:color w:val="auto"/>
          <w:highlight w:val="none"/>
        </w:rPr>
      </w:r>
      <w:r/>
    </w:p>
    <w:p>
      <w:pPr>
        <w:pStyle w:val="1020"/>
        <w:rPr>
          <w:color w:val="auto"/>
          <w:highlight w:val="none"/>
        </w:rPr>
      </w:pPr>
      <w:r>
        <w:rPr>
          <w:color w:val="auto"/>
          <w:highlight w:val="none"/>
        </w:rPr>
      </w:r>
      <w:r/>
    </w:p>
    <w:p>
      <w:pPr>
        <w:pStyle w:val="1020"/>
        <w:rPr>
          <w:color w:val="auto"/>
          <w:highlight w:val="none"/>
        </w:rPr>
      </w:pPr>
      <w:r>
        <w:rPr>
          <w:color w:val="auto"/>
          <w:highlight w:val="none"/>
        </w:rPr>
      </w:r>
      <w:r/>
    </w:p>
    <w:p>
      <w:pPr>
        <w:pStyle w:val="1020"/>
        <w:rPr>
          <w:color w:val="auto"/>
          <w:highlight w:val="none"/>
        </w:rPr>
      </w:pPr>
      <w:r>
        <w:rPr>
          <w:color w:val="auto"/>
          <w:highlight w:val="none"/>
        </w:rPr>
      </w:r>
      <w:r/>
    </w:p>
    <w:p>
      <w:pPr>
        <w:pStyle w:val="1020"/>
        <w:rPr>
          <w:color w:val="auto"/>
          <w:highlight w:val="none"/>
        </w:rPr>
      </w:pPr>
      <w:r>
        <w:rPr>
          <w:color w:val="auto"/>
          <w:highlight w:val="none"/>
        </w:rPr>
      </w:r>
      <w:r/>
    </w:p>
    <w:p>
      <w:pPr>
        <w:pStyle w:val="1020"/>
        <w:rPr>
          <w:color w:val="auto"/>
          <w:highlight w:val="none"/>
        </w:rPr>
      </w:pPr>
      <w:r>
        <w:rPr>
          <w:color w:val="auto"/>
          <w:highlight w:val="none"/>
        </w:rPr>
      </w:r>
      <w:r/>
    </w:p>
    <w:p>
      <w:pPr>
        <w:pStyle w:val="1020"/>
        <w:rPr>
          <w:color w:val="auto"/>
          <w:highlight w:val="none"/>
        </w:rPr>
      </w:pPr>
      <w:r>
        <w:rPr>
          <w:color w:val="auto"/>
          <w:highlight w:val="none"/>
        </w:rPr>
      </w:r>
      <w:r/>
    </w:p>
    <w:p>
      <w:pPr>
        <w:ind w:firstLine="480"/>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附件1：中小企业声明函（格式）：</w:t>
      </w:r>
      <w:bookmarkEnd w:id="255"/>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中小企业声明函</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auto"/>
          <w:sz w:val="24"/>
          <w:szCs w:val="24"/>
          <w:highlight w:val="none"/>
          <w:u w:val="single"/>
        </w:rPr>
        <w:t xml:space="preserve">（单位名称）</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（项目名称）</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pStyle w:val="1011"/>
        <w:ind w:right="420" w:firstLine="645"/>
        <w:spacing w:line="302" w:lineRule="auto"/>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r/>
    </w:p>
    <w:p>
      <w:pPr>
        <w:spacing w:line="360" w:lineRule="auto"/>
        <w:rPr>
          <w:rFonts w:ascii="宋体"/>
          <w:bCs/>
          <w:color w:val="auto"/>
          <w:sz w:val="24"/>
          <w:szCs w:val="24"/>
          <w:highlight w:val="none"/>
        </w:rPr>
      </w:pPr>
      <w:r>
        <w:rPr>
          <w:rFonts w:ascii="宋体"/>
          <w:bCs/>
          <w:color w:val="auto"/>
          <w:sz w:val="24"/>
          <w:szCs w:val="24"/>
          <w:highlight w:val="none"/>
        </w:rPr>
      </w:r>
      <w:r/>
    </w:p>
    <w:p>
      <w:pPr>
        <w:ind w:left="6420" w:right="960" w:hanging="6000"/>
        <w:jc w:val="right"/>
        <w:spacing w:line="580" w:lineRule="exact"/>
        <w:rPr>
          <w:rFonts w:ascii="宋体" w:hAnsi="宋体"/>
          <w:color w:val="auto"/>
          <w:sz w:val="24"/>
          <w:szCs w:val="24"/>
          <w:highlight w:val="none"/>
        </w:rPr>
      </w:pPr>
      <w:r>
        <w:rPr>
          <w:rFonts w:hint="eastAsia" w:ascii="宋体" w:hAnsi="宋体"/>
          <w:bCs/>
          <w:color w:val="auto"/>
          <w:sz w:val="24"/>
          <w:highlight w:val="none"/>
        </w:rPr>
        <w:t xml:space="preserve">                                  </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（电子签章）：</w:t>
      </w:r>
      <w:r/>
    </w:p>
    <w:p>
      <w:pPr>
        <w:ind w:firstLine="480"/>
        <w:jc w:val="left"/>
        <w:rPr>
          <w:rFonts w:ascii="宋体" w:hAnsi="宋体"/>
          <w:bCs/>
          <w:color w:val="auto"/>
          <w:sz w:val="24"/>
          <w:highlight w:val="none"/>
          <w:lang w:val="zh-CN"/>
        </w:rPr>
      </w:pPr>
      <w:r>
        <w:rPr>
          <w:rFonts w:ascii="宋体" w:hAnsi="宋体"/>
          <w:bCs/>
          <w:color w:val="auto"/>
          <w:sz w:val="24"/>
          <w:highlight w:val="none"/>
          <w:lang w:val="zh-CN"/>
        </w:rPr>
      </w:r>
      <w:r/>
    </w:p>
    <w:p>
      <w:pPr>
        <w:ind w:left="5460" w:hanging="5460"/>
        <w:jc w:val="left"/>
        <w:spacing w:before="156" w:line="360" w:lineRule="auto"/>
        <w:rPr>
          <w:rFonts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spacing w:line="360" w:lineRule="auto"/>
        <w:rPr>
          <w:rFonts w:ascii="宋体" w:hAnsi="宋体"/>
          <w:bCs/>
          <w:color w:val="auto"/>
          <w:szCs w:val="21"/>
          <w:highlight w:val="none"/>
        </w:rPr>
      </w:pPr>
      <w:r>
        <w:rPr>
          <w:rFonts w:hint="eastAsia" w:ascii="宋体" w:hAnsi="宋体"/>
          <w:bCs/>
          <w:color w:val="auto"/>
          <w:szCs w:val="21"/>
          <w:highlight w:val="none"/>
        </w:rPr>
        <w:t xml:space="preserve">（1）从业人员、营业收入、资产总额填报上一年度数据，无上一年度数据的新成立企业可不填报。</w:t>
      </w:r>
      <w:r/>
    </w:p>
    <w:p>
      <w:pPr>
        <w:ind w:firstLine="421"/>
        <w:spacing w:line="360" w:lineRule="auto"/>
        <w:rPr>
          <w:rFonts w:ascii="宋体" w:hAnsi="宋体"/>
          <w:bCs/>
          <w:color w:val="auto"/>
          <w:szCs w:val="21"/>
          <w:highlight w:val="none"/>
        </w:rPr>
      </w:pPr>
      <w:r>
        <w:rPr>
          <w:rFonts w:hint="eastAsia" w:ascii="宋体" w:hAnsi="宋体"/>
          <w:bCs/>
          <w:color w:val="auto"/>
          <w:szCs w:val="21"/>
          <w:highlight w:val="none"/>
        </w:rPr>
        <w:t xml:space="preserve">（2）供应商按照本办法规定提供声明函内容不实的，属于提供虚假材料谋取成交，依照《中华人民共和国政府采购法》等国家有关规定追究相应责任。</w:t>
      </w:r>
      <w:r/>
    </w:p>
    <w:p>
      <w:pPr>
        <w:ind w:firstLine="421"/>
        <w:spacing w:line="360" w:lineRule="auto"/>
        <w:rPr>
          <w:rFonts w:ascii="黑体" w:hAnsi="宋体" w:eastAsia="黑体"/>
          <w:bCs/>
          <w:color w:val="auto"/>
          <w:sz w:val="24"/>
          <w:szCs w:val="24"/>
          <w:highlight w:val="none"/>
        </w:rPr>
      </w:pPr>
      <w:r/>
      <w:bookmarkStart w:id="259" w:name="_Hlk131935698"/>
      <w:r>
        <w:rPr>
          <w:rFonts w:hint="eastAsia" w:ascii="宋体" w:hAnsi="宋体"/>
          <w:color w:val="auto"/>
          <w:szCs w:val="21"/>
          <w:highlight w:val="none"/>
          <w:lang w:val="zh-CN"/>
        </w:rPr>
        <w:t xml:space="preserve">（3）在服务采购项目中，服务由中小企业承接，即提供服务的人员为中小企业依照《中华人民共和国劳动合同法》订立劳动合同的从业人员。成交供应商《中小企业声明函》、《残疾人福利性单位声明函》，采购人将随成交结果公告一并公示。</w:t>
      </w:r>
      <w:bookmarkEnd w:id="259"/>
      <w:r/>
      <w:r/>
    </w:p>
    <w:p>
      <w:pPr>
        <w:pStyle w:val="1020"/>
        <w:rPr>
          <w:color w:val="auto"/>
          <w:highlight w:val="none"/>
        </w:rPr>
      </w:pPr>
      <w:r>
        <w:rPr>
          <w:rFonts w:hint="eastAsia" w:ascii="黑体" w:hAnsi="宋体" w:eastAsia="黑体"/>
          <w:bCs/>
          <w:color w:val="auto"/>
          <w:sz w:val="24"/>
          <w:szCs w:val="24"/>
          <w:highlight w:val="none"/>
        </w:rPr>
        <w:t xml:space="preserve">附件2：残疾人福利性单位声明函（格式）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141号）的规定，本单位为符合条件的残疾人福利性单位，且本单位参加______单位的（项目名称）（标段编号）项目采购活动（项目编号：</w:t>
      </w:r>
      <w:r>
        <w:rPr>
          <w:rFonts w:hint="eastAsia" w:ascii="宋体" w:hAnsi="宋体"/>
          <w:bCs/>
          <w:color w:val="auto"/>
          <w:sz w:val="24"/>
          <w:szCs w:val="24"/>
          <w:highlight w:val="none"/>
          <w:lang w:eastAsia="zh-CN"/>
        </w:rPr>
        <w:t xml:space="preserve">JSZC-320282-JGGC-C2025-002</w:t>
      </w:r>
      <w:r>
        <w:rPr>
          <w:rFonts w:hint="eastAsia" w:ascii="宋体" w:hAnsi="宋体"/>
          <w:bCs/>
          <w:color w:val="auto"/>
          <w:sz w:val="24"/>
          <w:szCs w:val="24"/>
          <w:highlight w:val="none"/>
        </w:rPr>
        <w:t xml:space="preserve">）提供本单位制造的货物，或者提供其他残疾人福利性单位制造的货物（不包括使用非残疾人福利性单位注册商标的货物）。</w:t>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pStyle w:val="994"/>
        <w:rPr>
          <w:color w:val="auto"/>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rPr>
        <w:t xml:space="preserve">供应商</w:t>
      </w:r>
      <w:r>
        <w:rPr>
          <w:color w:val="auto"/>
          <w:sz w:val="24"/>
          <w:szCs w:val="24"/>
          <w:highlight w:val="none"/>
        </w:rPr>
        <w:t xml:space="preserve">（电子签章）：</w:t>
      </w:r>
      <w:r/>
    </w:p>
    <w:p>
      <w:pPr>
        <w:spacing w:line="360" w:lineRule="auto"/>
        <w:rPr>
          <w:rFonts w:ascii="宋体"/>
          <w:bCs/>
          <w:color w:val="auto"/>
          <w:sz w:val="24"/>
          <w:szCs w:val="24"/>
          <w:highlight w:val="none"/>
        </w:rPr>
      </w:pPr>
      <w:r>
        <w:rPr>
          <w:rFonts w:ascii="宋体"/>
          <w:bCs/>
          <w:color w:val="auto"/>
          <w:sz w:val="24"/>
          <w:szCs w:val="24"/>
          <w:highlight w:val="none"/>
        </w:rPr>
      </w:r>
      <w:r/>
    </w:p>
    <w:p>
      <w:pPr>
        <w:pStyle w:val="1020"/>
        <w:ind w:firstLine="0"/>
        <w:rPr>
          <w:rFonts w:ascii="宋体" w:hAnsi="宋体"/>
          <w:color w:val="auto"/>
          <w:sz w:val="24"/>
          <w:szCs w:val="21"/>
          <w:highlight w:val="none"/>
        </w:rPr>
      </w:pPr>
      <w:r>
        <w:rPr>
          <w:rFonts w:ascii="宋体" w:hAnsi="宋体"/>
          <w:color w:val="auto"/>
          <w:sz w:val="24"/>
          <w:szCs w:val="21"/>
          <w:highlight w:val="none"/>
        </w:rPr>
      </w:r>
      <w:r/>
    </w:p>
    <w:p>
      <w:pPr>
        <w:pStyle w:val="1020"/>
        <w:ind w:firstLine="0"/>
        <w:rPr>
          <w:rFonts w:ascii="宋体" w:hAnsi="宋体"/>
          <w:color w:val="auto"/>
          <w:sz w:val="24"/>
          <w:szCs w:val="21"/>
          <w:highlight w:val="none"/>
        </w:rPr>
      </w:pPr>
      <w:r>
        <w:rPr>
          <w:rFonts w:ascii="宋体" w:hAnsi="宋体"/>
          <w:color w:val="auto"/>
          <w:sz w:val="24"/>
          <w:szCs w:val="21"/>
          <w:highlight w:val="none"/>
        </w:rPr>
      </w:r>
      <w:r/>
    </w:p>
    <w:p>
      <w:pPr>
        <w:pStyle w:val="1020"/>
        <w:ind w:firstLine="0"/>
        <w:rPr>
          <w:rFonts w:ascii="宋体" w:hAnsi="宋体"/>
          <w:color w:val="auto"/>
          <w:sz w:val="24"/>
          <w:szCs w:val="21"/>
          <w:highlight w:val="none"/>
        </w:rPr>
      </w:pPr>
      <w:r>
        <w:rPr>
          <w:rFonts w:ascii="宋体" w:hAnsi="宋体"/>
          <w:color w:val="auto"/>
          <w:sz w:val="24"/>
          <w:szCs w:val="21"/>
          <w:highlight w:val="none"/>
        </w:rPr>
      </w:r>
      <w:r/>
    </w:p>
    <w:p>
      <w:pPr>
        <w:pStyle w:val="1020"/>
        <w:ind w:firstLine="0"/>
        <w:rPr>
          <w:rFonts w:ascii="宋体" w:hAnsi="宋体"/>
          <w:color w:val="auto"/>
          <w:sz w:val="24"/>
          <w:szCs w:val="21"/>
          <w:highlight w:val="none"/>
        </w:rPr>
      </w:pPr>
      <w:r>
        <w:rPr>
          <w:rFonts w:ascii="宋体" w:hAnsi="宋体"/>
          <w:color w:val="auto"/>
          <w:sz w:val="24"/>
          <w:szCs w:val="21"/>
          <w:highlight w:val="none"/>
        </w:rPr>
      </w:r>
      <w:r/>
    </w:p>
    <w:p>
      <w:pPr>
        <w:pStyle w:val="1020"/>
        <w:ind w:firstLine="0"/>
        <w:rPr>
          <w:rFonts w:ascii="宋体" w:hAnsi="宋体"/>
          <w:color w:val="auto"/>
          <w:sz w:val="24"/>
          <w:szCs w:val="21"/>
          <w:highlight w:val="none"/>
        </w:rPr>
      </w:pPr>
      <w:r>
        <w:rPr>
          <w:rFonts w:ascii="宋体" w:hAnsi="宋体"/>
          <w:color w:val="auto"/>
          <w:sz w:val="24"/>
          <w:szCs w:val="21"/>
          <w:highlight w:val="none"/>
        </w:rPr>
      </w:r>
      <w:r/>
    </w:p>
    <w:p>
      <w:pPr>
        <w:pStyle w:val="1020"/>
        <w:ind w:firstLine="0"/>
        <w:rPr>
          <w:rFonts w:ascii="宋体" w:hAnsi="宋体"/>
          <w:color w:val="auto"/>
          <w:sz w:val="24"/>
          <w:szCs w:val="21"/>
          <w:highlight w:val="none"/>
        </w:rPr>
      </w:pPr>
      <w:r>
        <w:rPr>
          <w:rFonts w:ascii="宋体" w:hAnsi="宋体"/>
          <w:color w:val="auto"/>
          <w:sz w:val="24"/>
          <w:szCs w:val="21"/>
          <w:highlight w:val="none"/>
        </w:rPr>
      </w:r>
      <w:r/>
    </w:p>
    <w:p>
      <w:pPr>
        <w:pStyle w:val="1020"/>
        <w:ind w:firstLine="0"/>
        <w:rPr>
          <w:rFonts w:ascii="宋体" w:hAnsi="宋体"/>
          <w:color w:val="auto"/>
          <w:sz w:val="24"/>
          <w:szCs w:val="21"/>
          <w:highlight w:val="none"/>
        </w:rPr>
      </w:pPr>
      <w:r>
        <w:rPr>
          <w:rFonts w:ascii="宋体" w:hAnsi="宋体"/>
          <w:color w:val="auto"/>
          <w:sz w:val="24"/>
          <w:szCs w:val="21"/>
          <w:highlight w:val="none"/>
        </w:rPr>
      </w:r>
      <w:r/>
    </w:p>
    <w:p>
      <w:pPr>
        <w:pStyle w:val="1020"/>
        <w:ind w:firstLine="0"/>
        <w:rPr>
          <w:rFonts w:ascii="宋体" w:hAnsi="宋体"/>
          <w:color w:val="auto"/>
          <w:sz w:val="24"/>
          <w:szCs w:val="21"/>
          <w:highlight w:val="none"/>
        </w:rPr>
      </w:pPr>
      <w:r>
        <w:rPr>
          <w:rFonts w:ascii="宋体" w:hAnsi="宋体"/>
          <w:color w:val="auto"/>
          <w:sz w:val="24"/>
          <w:szCs w:val="21"/>
          <w:highlight w:val="none"/>
        </w:rPr>
      </w:r>
      <w:r/>
    </w:p>
    <w:p>
      <w:pPr>
        <w:pStyle w:val="1020"/>
        <w:ind w:firstLine="0"/>
        <w:rPr>
          <w:rFonts w:ascii="宋体" w:hAnsi="宋体"/>
          <w:color w:val="auto"/>
          <w:sz w:val="24"/>
          <w:szCs w:val="21"/>
          <w:highlight w:val="none"/>
        </w:rPr>
      </w:pPr>
      <w:r>
        <w:rPr>
          <w:rFonts w:ascii="宋体" w:hAnsi="宋体"/>
          <w:color w:val="auto"/>
          <w:sz w:val="24"/>
          <w:szCs w:val="21"/>
          <w:highlight w:val="none"/>
        </w:rPr>
      </w:r>
      <w:r/>
    </w:p>
    <w:p>
      <w:pPr>
        <w:pStyle w:val="1020"/>
        <w:ind w:firstLine="0"/>
        <w:rPr>
          <w:rFonts w:ascii="宋体" w:hAnsi="宋体"/>
          <w:color w:val="auto"/>
          <w:sz w:val="24"/>
          <w:szCs w:val="21"/>
          <w:highlight w:val="none"/>
        </w:rPr>
      </w:pPr>
      <w:r>
        <w:rPr>
          <w:rFonts w:ascii="宋体" w:hAnsi="宋体"/>
          <w:color w:val="auto"/>
          <w:sz w:val="24"/>
          <w:szCs w:val="21"/>
          <w:highlight w:val="none"/>
        </w:rPr>
      </w:r>
      <w:r/>
    </w:p>
    <w:p>
      <w:pPr>
        <w:pStyle w:val="1020"/>
        <w:ind w:firstLine="0"/>
        <w:rPr>
          <w:rFonts w:ascii="宋体" w:hAnsi="宋体"/>
          <w:color w:val="auto"/>
          <w:sz w:val="24"/>
          <w:szCs w:val="21"/>
          <w:highlight w:val="none"/>
        </w:rPr>
      </w:pPr>
      <w:r>
        <w:rPr>
          <w:rFonts w:ascii="宋体" w:hAnsi="宋体"/>
          <w:color w:val="auto"/>
          <w:sz w:val="24"/>
          <w:szCs w:val="21"/>
          <w:highlight w:val="none"/>
        </w:rPr>
      </w:r>
      <w:r/>
    </w:p>
    <w:p>
      <w:pPr>
        <w:pStyle w:val="1020"/>
        <w:ind w:firstLine="0"/>
        <w:rPr>
          <w:rFonts w:ascii="宋体" w:hAnsi="宋体"/>
          <w:color w:val="auto"/>
          <w:sz w:val="24"/>
          <w:szCs w:val="21"/>
          <w:highlight w:val="none"/>
        </w:rPr>
      </w:pPr>
      <w:r>
        <w:rPr>
          <w:rFonts w:ascii="宋体" w:hAnsi="宋体"/>
          <w:color w:val="auto"/>
          <w:sz w:val="24"/>
          <w:szCs w:val="21"/>
          <w:highlight w:val="none"/>
        </w:rPr>
      </w:r>
      <w:r/>
    </w:p>
    <w:p>
      <w:pPr>
        <w:pStyle w:val="1020"/>
        <w:ind w:firstLine="0"/>
        <w:rPr>
          <w:rFonts w:ascii="宋体" w:hAnsi="宋体"/>
          <w:color w:val="auto"/>
          <w:sz w:val="24"/>
          <w:szCs w:val="21"/>
          <w:highlight w:val="none"/>
        </w:rPr>
      </w:pPr>
      <w:r>
        <w:rPr>
          <w:rFonts w:ascii="宋体" w:hAnsi="宋体"/>
          <w:color w:val="auto"/>
          <w:sz w:val="24"/>
          <w:szCs w:val="21"/>
          <w:highlight w:val="none"/>
        </w:rPr>
      </w:r>
      <w:r/>
    </w:p>
    <w:p>
      <w:pPr>
        <w:pStyle w:val="1020"/>
        <w:ind w:firstLine="0"/>
        <w:rPr>
          <w:rFonts w:ascii="宋体" w:hAnsi="宋体"/>
          <w:color w:val="auto"/>
          <w:sz w:val="24"/>
          <w:szCs w:val="21"/>
          <w:highlight w:val="none"/>
        </w:rPr>
      </w:pPr>
      <w:r>
        <w:rPr>
          <w:rFonts w:ascii="宋体" w:hAnsi="宋体"/>
          <w:color w:val="auto"/>
          <w:sz w:val="24"/>
          <w:szCs w:val="21"/>
          <w:highlight w:val="none"/>
        </w:rPr>
      </w:r>
      <w:r/>
    </w:p>
    <w:p>
      <w:pPr>
        <w:pStyle w:val="1020"/>
        <w:ind w:firstLine="0"/>
        <w:rPr>
          <w:rFonts w:ascii="宋体" w:hAnsi="宋体"/>
          <w:color w:val="auto"/>
          <w:sz w:val="24"/>
          <w:szCs w:val="21"/>
          <w:highlight w:val="none"/>
        </w:rPr>
      </w:pPr>
      <w:r>
        <w:rPr>
          <w:rFonts w:ascii="宋体" w:hAnsi="宋体"/>
          <w:color w:val="auto"/>
          <w:sz w:val="24"/>
          <w:szCs w:val="21"/>
          <w:highlight w:val="none"/>
        </w:rPr>
      </w:r>
      <w:r/>
    </w:p>
    <w:p>
      <w:pPr>
        <w:pStyle w:val="1020"/>
        <w:ind w:firstLine="0"/>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bookmarkStart w:id="260" w:name="_Hlk151456734"/>
      <w:r>
        <w:rPr>
          <w:rFonts w:hint="eastAsia" w:ascii="黑体" w:hAnsi="宋体" w:eastAsia="黑体"/>
          <w:bCs/>
          <w:color w:val="auto"/>
          <w:sz w:val="28"/>
          <w:szCs w:val="28"/>
          <w:highlight w:val="none"/>
        </w:rPr>
        <w:t xml:space="preserve">（五）</w:t>
      </w:r>
      <w:r>
        <w:rPr>
          <w:rFonts w:hint="eastAsia" w:ascii="黑体" w:hAnsi="宋体" w:eastAsia="黑体"/>
          <w:bCs/>
          <w:color w:val="auto"/>
          <w:sz w:val="24"/>
          <w:szCs w:val="24"/>
          <w:highlight w:val="none"/>
        </w:rPr>
        <w:t xml:space="preserve">技术商务部分评分导读表（格式）：</w:t>
      </w:r>
      <w:r/>
    </w:p>
    <w:p>
      <w:pPr>
        <w:jc w:val="center"/>
        <w:spacing w:before="156" w:after="156" w:line="360" w:lineRule="auto"/>
        <w:tabs>
          <w:tab w:val="left" w:pos="255" w:leader="none"/>
        </w:tabs>
        <w:rPr>
          <w:rFonts w:ascii="黑体" w:hAnsi="黑体" w:eastAsia="黑体"/>
          <w:color w:val="auto"/>
          <w:sz w:val="28"/>
          <w:szCs w:val="21"/>
          <w:highlight w:val="none"/>
        </w:rPr>
      </w:pPr>
      <w:r>
        <w:rPr>
          <w:rFonts w:hint="eastAsia" w:ascii="黑体" w:hAnsi="黑体" w:eastAsia="黑体"/>
          <w:color w:val="auto"/>
          <w:sz w:val="28"/>
          <w:szCs w:val="21"/>
          <w:highlight w:val="none"/>
          <w:lang w:val="zh-CN"/>
        </w:rPr>
        <w:t xml:space="preserve"> 技术商务部分评分导读表</w:t>
      </w:r>
      <w:r/>
    </w:p>
    <w:p>
      <w:pPr>
        <w:ind w:firstLine="480"/>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                                    </w:t>
      </w:r>
      <w:r/>
    </w:p>
    <w:p>
      <w:pPr>
        <w:ind w:firstLine="480"/>
        <w:spacing w:after="156"/>
        <w:rPr>
          <w:rFonts w:ascii="宋体" w:hAnsi="宋体"/>
          <w:color w:val="auto"/>
          <w:sz w:val="24"/>
          <w:szCs w:val="21"/>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JSZC-320282-JGGC-C2026-0005</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tblGrid>
      <w:tr>
        <w:trPr>
          <w:cantSplit/>
          <w:jc w:val="center"/>
          <w:trHeight w:val="1015"/>
        </w:trPr>
        <w:tc>
          <w:tcPr>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26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W w:w="50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140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响应文件对应页码</w:t>
            </w:r>
            <w:r/>
          </w:p>
        </w:tc>
      </w:tr>
      <w:tr>
        <w:trPr>
          <w:cantSplit/>
          <w:jc w:val="center"/>
          <w:trHeight w:val="1015"/>
        </w:trPr>
        <w:tc>
          <w:tcPr>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040" w:type="dxa"/>
            <w:vAlign w:val="center"/>
            <w:textDirection w:val="lrTb"/>
            <w:noWrap w:val="false"/>
          </w:tcPr>
          <w:p>
            <w:pPr>
              <w:jc w:val="left"/>
              <w:rPr>
                <w:rFonts w:ascii="宋体" w:hAnsi="宋体"/>
                <w:color w:val="auto"/>
                <w:sz w:val="24"/>
                <w:szCs w:val="24"/>
                <w:highlight w:val="none"/>
              </w:rPr>
            </w:pPr>
            <w:r>
              <w:rPr>
                <w:rFonts w:ascii="宋体" w:hAnsi="宋体"/>
                <w:color w:val="auto"/>
                <w:sz w:val="24"/>
                <w:szCs w:val="24"/>
                <w:highlight w:val="none"/>
              </w:rPr>
            </w:r>
            <w:r/>
          </w:p>
        </w:tc>
        <w:tc>
          <w:tcPr>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left="5460" w:hanging="5460"/>
        <w:jc w:val="center"/>
        <w:spacing w:line="360" w:lineRule="auto"/>
        <w:rPr>
          <w:rFonts w:ascii="宋体" w:hAnsi="宋体"/>
          <w:bCs/>
          <w:color w:val="auto"/>
          <w:sz w:val="24"/>
          <w:highlight w:val="none"/>
        </w:rPr>
      </w:pPr>
      <w:r>
        <w:rPr>
          <w:rFonts w:ascii="宋体" w:hAnsi="宋体"/>
          <w:bCs/>
          <w:color w:val="auto"/>
          <w:sz w:val="24"/>
          <w:highlight w:val="none"/>
        </w:rPr>
      </w:r>
      <w:r/>
    </w:p>
    <w:p>
      <w:pPr>
        <w:pStyle w:val="994"/>
        <w:rPr>
          <w:color w:val="auto"/>
          <w:highlight w:val="none"/>
        </w:rPr>
      </w:pPr>
      <w:r>
        <w:rPr>
          <w:rFonts w:hint="eastAsia" w:ascii="宋体" w:hAnsi="宋体"/>
          <w:bCs/>
          <w:color w:val="auto"/>
          <w:sz w:val="24"/>
          <w:highlight w:val="none"/>
          <w:lang w:val="zh-CN"/>
        </w:rPr>
        <w:t xml:space="preserve">                              </w:t>
      </w:r>
      <w:r>
        <w:rPr>
          <w:rFonts w:hint="eastAsia" w:ascii="宋体" w:hAnsi="宋体"/>
          <w:bCs/>
          <w:color w:val="auto"/>
          <w:sz w:val="24"/>
          <w:highlight w:val="none"/>
        </w:rPr>
        <w:t xml:space="preserve">                    </w:t>
      </w:r>
      <w:r>
        <w:rPr>
          <w:rFonts w:hint="eastAsia"/>
          <w:color w:val="auto"/>
          <w:sz w:val="24"/>
          <w:szCs w:val="24"/>
          <w:highlight w:val="none"/>
        </w:rPr>
        <w:t xml:space="preserve">供应商</w:t>
      </w:r>
      <w:r>
        <w:rPr>
          <w:color w:val="auto"/>
          <w:sz w:val="24"/>
          <w:szCs w:val="24"/>
          <w:highlight w:val="none"/>
        </w:rPr>
        <w:t xml:space="preserve">（电子签章）：</w:t>
      </w:r>
      <w:r/>
    </w:p>
    <w:p>
      <w:pPr>
        <w:ind w:left="5460" w:hanging="5460"/>
        <w:jc w:val="center"/>
        <w:spacing w:line="360" w:lineRule="auto"/>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lang w:val="zh-CN"/>
        </w:rPr>
        <w:t xml:space="preserve">注：供应商应对照磋商文件“第</w:t>
      </w:r>
      <w:r>
        <w:rPr>
          <w:rFonts w:hint="eastAsia" w:ascii="宋体" w:hAnsi="宋体"/>
          <w:bCs/>
          <w:color w:val="auto"/>
          <w:sz w:val="24"/>
          <w:szCs w:val="24"/>
          <w:highlight w:val="none"/>
        </w:rPr>
        <w:t xml:space="preserve">四</w:t>
      </w:r>
      <w:r>
        <w:rPr>
          <w:rFonts w:hint="eastAsia" w:ascii="宋体" w:hAnsi="宋体"/>
          <w:bCs/>
          <w:color w:val="auto"/>
          <w:sz w:val="24"/>
          <w:szCs w:val="24"/>
          <w:highlight w:val="none"/>
          <w:lang w:val="zh-CN"/>
        </w:rPr>
        <w:t xml:space="preserve">章</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评标方法和标准”的相关要求，根据自身响应情况填写上表；并在“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w:t>
      </w:r>
      <w:r/>
    </w:p>
    <w:p>
      <w:pPr>
        <w:pStyle w:val="811"/>
        <w:numPr>
          <w:ilvl w:val="0"/>
          <w:numId w:val="0"/>
        </w:numPr>
        <w:rPr>
          <w:color w:val="auto"/>
          <w:highlight w:val="none"/>
        </w:rPr>
      </w:pPr>
      <w:r>
        <w:rPr>
          <w:color w:val="auto"/>
          <w:highlight w:val="none"/>
        </w:rPr>
      </w:r>
      <w:r/>
    </w:p>
    <w:p>
      <w:pPr>
        <w:pStyle w:val="811"/>
        <w:numPr>
          <w:ilvl w:val="0"/>
          <w:numId w:val="0"/>
        </w:numPr>
        <w:rPr>
          <w:color w:val="auto"/>
          <w:highlight w:val="none"/>
        </w:rPr>
      </w:pPr>
      <w:r>
        <w:rPr>
          <w:color w:val="auto"/>
          <w:highlight w:val="none"/>
        </w:rPr>
      </w:r>
      <w:r/>
    </w:p>
    <w:p>
      <w:pPr>
        <w:pStyle w:val="811"/>
        <w:numPr>
          <w:ilvl w:val="0"/>
          <w:numId w:val="0"/>
        </w:numPr>
        <w:rPr>
          <w:color w:val="auto"/>
          <w:highlight w:val="none"/>
        </w:rPr>
      </w:pPr>
      <w:r>
        <w:rPr>
          <w:color w:val="auto"/>
          <w:highlight w:val="none"/>
        </w:rPr>
      </w:r>
      <w:r/>
    </w:p>
    <w:p>
      <w:pPr>
        <w:pStyle w:val="811"/>
        <w:numPr>
          <w:ilvl w:val="0"/>
          <w:numId w:val="0"/>
        </w:numPr>
        <w:rPr>
          <w:color w:val="auto"/>
          <w:highlight w:val="none"/>
        </w:rPr>
      </w:pPr>
      <w:r>
        <w:rPr>
          <w:color w:val="auto"/>
          <w:highlight w:val="none"/>
        </w:rPr>
      </w:r>
      <w:r/>
    </w:p>
    <w:p>
      <w:pPr>
        <w:pStyle w:val="811"/>
        <w:numPr>
          <w:ilvl w:val="0"/>
          <w:numId w:val="0"/>
        </w:numPr>
        <w:rPr>
          <w:color w:val="auto"/>
          <w:highlight w:val="none"/>
        </w:rPr>
      </w:pPr>
      <w:r>
        <w:rPr>
          <w:color w:val="auto"/>
          <w:highlight w:val="none"/>
        </w:rPr>
      </w:r>
      <w:r/>
    </w:p>
    <w:p>
      <w:pPr>
        <w:pStyle w:val="811"/>
        <w:numPr>
          <w:ilvl w:val="0"/>
          <w:numId w:val="0"/>
        </w:numPr>
        <w:rPr>
          <w:color w:val="auto"/>
          <w:highlight w:val="none"/>
        </w:rPr>
      </w:pPr>
      <w:r>
        <w:rPr>
          <w:color w:val="auto"/>
          <w:highlight w:val="none"/>
        </w:rPr>
      </w:r>
      <w:r/>
    </w:p>
    <w:p>
      <w:pPr>
        <w:pStyle w:val="811"/>
        <w:numPr>
          <w:ilvl w:val="0"/>
          <w:numId w:val="0"/>
        </w:numPr>
        <w:rPr>
          <w:color w:val="auto"/>
          <w:highlight w:val="none"/>
        </w:rPr>
      </w:pPr>
      <w:r>
        <w:rPr>
          <w:color w:val="auto"/>
          <w:highlight w:val="none"/>
        </w:rPr>
      </w:r>
      <w:r/>
    </w:p>
    <w:p>
      <w:pPr>
        <w:pStyle w:val="811"/>
        <w:numPr>
          <w:ilvl w:val="0"/>
          <w:numId w:val="0"/>
        </w:numPr>
        <w:rPr>
          <w:color w:val="auto"/>
          <w:highlight w:val="none"/>
        </w:rPr>
      </w:pPr>
      <w:r>
        <w:rPr>
          <w:color w:val="auto"/>
          <w:highlight w:val="none"/>
        </w:rPr>
      </w:r>
      <w:r/>
    </w:p>
    <w:p>
      <w:pPr>
        <w:pStyle w:val="811"/>
        <w:numPr>
          <w:ilvl w:val="0"/>
          <w:numId w:val="0"/>
        </w:numPr>
        <w:rPr>
          <w:color w:val="auto"/>
          <w:highlight w:val="none"/>
        </w:rPr>
      </w:pPr>
      <w:r>
        <w:rPr>
          <w:color w:val="auto"/>
          <w:highlight w:val="none"/>
        </w:rPr>
      </w:r>
      <w:r/>
    </w:p>
    <w:p>
      <w:pPr>
        <w:pStyle w:val="811"/>
        <w:numPr>
          <w:ilvl w:val="0"/>
          <w:numId w:val="0"/>
        </w:numPr>
        <w:rPr>
          <w:color w:val="auto"/>
          <w:highlight w:val="none"/>
        </w:rPr>
      </w:pPr>
      <w:r>
        <w:rPr>
          <w:color w:val="auto"/>
          <w:highlight w:val="none"/>
        </w:rPr>
      </w:r>
      <w:r/>
    </w:p>
    <w:p>
      <w:pPr>
        <w:pStyle w:val="811"/>
        <w:numPr>
          <w:ilvl w:val="0"/>
          <w:numId w:val="0"/>
        </w:numPr>
        <w:rPr>
          <w:color w:val="auto"/>
          <w:highlight w:val="none"/>
        </w:rPr>
      </w:pPr>
      <w:r>
        <w:rPr>
          <w:color w:val="auto"/>
          <w:highlight w:val="none"/>
        </w:rPr>
      </w:r>
      <w:r/>
    </w:p>
    <w:p>
      <w:pPr>
        <w:pStyle w:val="811"/>
        <w:numPr>
          <w:ilvl w:val="0"/>
          <w:numId w:val="0"/>
        </w:numPr>
        <w:rPr>
          <w:color w:val="auto"/>
          <w:highlight w:val="none"/>
        </w:rPr>
      </w:pPr>
      <w:r>
        <w:rPr>
          <w:color w:val="auto"/>
          <w:highlight w:val="none"/>
        </w:rPr>
      </w:r>
      <w:r/>
    </w:p>
    <w:p>
      <w:pPr>
        <w:pStyle w:val="811"/>
        <w:numPr>
          <w:ilvl w:val="0"/>
          <w:numId w:val="0"/>
        </w:numPr>
        <w:rPr>
          <w:color w:val="auto"/>
          <w:highlight w:val="none"/>
        </w:rPr>
      </w:pPr>
      <w:r>
        <w:rPr>
          <w:color w:val="auto"/>
          <w:highlight w:val="none"/>
        </w:rPr>
      </w:r>
      <w:r/>
    </w:p>
    <w:p>
      <w:pPr>
        <w:pStyle w:val="811"/>
        <w:numPr>
          <w:ilvl w:val="0"/>
          <w:numId w:val="0"/>
        </w:numPr>
        <w:rPr>
          <w:color w:val="auto"/>
          <w:highlight w:val="none"/>
        </w:rPr>
      </w:pPr>
      <w:r>
        <w:rPr>
          <w:color w:val="auto"/>
          <w:highlight w:val="none"/>
        </w:rPr>
      </w:r>
      <w:r/>
    </w:p>
    <w:p>
      <w:pPr>
        <w:pStyle w:val="811"/>
        <w:numPr>
          <w:ilvl w:val="0"/>
          <w:numId w:val="0"/>
        </w:numPr>
        <w:rPr>
          <w:color w:val="auto"/>
          <w:highlight w:val="none"/>
        </w:rPr>
      </w:pPr>
      <w:r>
        <w:rPr>
          <w:color w:val="auto"/>
          <w:highlight w:val="none"/>
        </w:rPr>
      </w:r>
      <w:r/>
    </w:p>
    <w:p>
      <w:pPr>
        <w:pStyle w:val="811"/>
        <w:numPr>
          <w:ilvl w:val="0"/>
          <w:numId w:val="0"/>
        </w:numPr>
        <w:rPr>
          <w:color w:val="auto"/>
          <w:highlight w:val="none"/>
        </w:rPr>
      </w:pPr>
      <w:r>
        <w:rPr>
          <w:color w:val="auto"/>
          <w:highlight w:val="none"/>
        </w:rPr>
      </w:r>
      <w:r/>
    </w:p>
    <w:p>
      <w:pPr>
        <w:numPr>
          <w:ilvl w:val="0"/>
          <w:numId w:val="9"/>
        </w:numPr>
        <w:spacing w:line="580" w:lineRule="exact"/>
        <w:rPr>
          <w:rFonts w:ascii="黑体" w:hAnsi="宋体" w:eastAsia="黑体"/>
          <w:bCs/>
          <w:color w:val="auto"/>
          <w:sz w:val="24"/>
          <w:szCs w:val="24"/>
          <w:highlight w:val="none"/>
        </w:rPr>
      </w:pPr>
      <w:r>
        <w:rPr>
          <w:rFonts w:hint="eastAsia" w:ascii="黑体" w:hAnsi="宋体" w:eastAsia="黑体"/>
          <w:bCs/>
          <w:color w:val="auto"/>
          <w:sz w:val="24"/>
          <w:szCs w:val="24"/>
          <w:highlight w:val="none"/>
          <w:lang w:val="zh-CN"/>
        </w:rPr>
        <w:t xml:space="preserve">服务内容的详细说明及服务方案（格式自拟）：</w:t>
      </w:r>
      <w:r/>
    </w:p>
    <w:p>
      <w:pPr>
        <w:pStyle w:val="811"/>
        <w:numPr>
          <w:ilvl w:val="0"/>
          <w:numId w:val="0"/>
        </w:numPr>
        <w:rPr>
          <w:color w:val="auto"/>
          <w:highlight w:val="none"/>
        </w:rPr>
      </w:pPr>
      <w:r>
        <w:rPr>
          <w:color w:val="auto"/>
          <w:highlight w:val="none"/>
        </w:rPr>
      </w:r>
      <w:r/>
    </w:p>
    <w:p>
      <w:pPr>
        <w:pStyle w:val="811"/>
        <w:numPr>
          <w:ilvl w:val="0"/>
          <w:numId w:val="0"/>
        </w:numPr>
        <w:rPr>
          <w:color w:val="auto"/>
          <w:highlight w:val="none"/>
        </w:rPr>
      </w:pPr>
      <w:r>
        <w:rPr>
          <w:color w:val="auto"/>
          <w:highlight w:val="none"/>
        </w:rPr>
      </w:r>
      <w:r/>
    </w:p>
    <w:p>
      <w:pPr>
        <w:jc w:val="left"/>
        <w:spacing w:line="360" w:lineRule="auto"/>
        <w:tabs>
          <w:tab w:val="left" w:pos="25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lang w:val="zh-CN"/>
        </w:rPr>
        <w:t xml:space="preserve">（</w:t>
      </w:r>
      <w:r>
        <w:rPr>
          <w:rFonts w:hint="eastAsia" w:ascii="黑体" w:hAnsi="宋体" w:eastAsia="黑体"/>
          <w:bCs/>
          <w:color w:val="auto"/>
          <w:sz w:val="24"/>
          <w:szCs w:val="24"/>
          <w:highlight w:val="none"/>
        </w:rPr>
        <w:t xml:space="preserve">七</w:t>
      </w:r>
      <w:r>
        <w:rPr>
          <w:rFonts w:hint="eastAsia" w:ascii="黑体" w:hAnsi="宋体" w:eastAsia="黑体"/>
          <w:bCs/>
          <w:color w:val="auto"/>
          <w:sz w:val="24"/>
          <w:szCs w:val="24"/>
          <w:highlight w:val="none"/>
          <w:lang w:val="zh-CN"/>
        </w:rPr>
        <w:t xml:space="preserve">）项目人员配置清单（格式）</w:t>
      </w:r>
      <w:r>
        <w:rPr>
          <w:rFonts w:hint="eastAsia" w:ascii="黑体" w:hAnsi="宋体" w:eastAsia="黑体"/>
          <w:bCs/>
          <w:color w:val="auto"/>
          <w:sz w:val="24"/>
          <w:szCs w:val="24"/>
          <w:highlight w:val="none"/>
        </w:rPr>
        <w:t xml:space="preserve">:</w:t>
      </w:r>
      <w:r/>
    </w:p>
    <w:p>
      <w:pPr>
        <w:spacing w:line="360" w:lineRule="auto"/>
        <w:tabs>
          <w:tab w:val="left" w:pos="255" w:leader="none"/>
        </w:tabs>
        <w:rPr>
          <w:rFonts w:ascii="宋体" w:hAnsi="宋体"/>
          <w:bCs/>
          <w:color w:val="auto"/>
          <w:sz w:val="24"/>
          <w:szCs w:val="24"/>
          <w:highlight w:val="none"/>
        </w:rPr>
      </w:pPr>
      <w:r>
        <w:rPr>
          <w:rFonts w:ascii="宋体" w:hAnsi="宋体"/>
          <w:bCs/>
          <w:color w:val="auto"/>
          <w:sz w:val="24"/>
          <w:szCs w:val="24"/>
          <w:highlight w:val="none"/>
        </w:rPr>
      </w:r>
      <w:r/>
    </w:p>
    <w:p>
      <w:pPr>
        <w:jc w:val="center"/>
        <w:spacing w:before="156" w:after="156" w:line="360" w:lineRule="auto"/>
        <w:tabs>
          <w:tab w:val="left" w:pos="255" w:leader="none"/>
        </w:tabs>
        <w:rPr>
          <w:rFonts w:ascii="黑体" w:hAnsi="黑体" w:eastAsia="黑体"/>
          <w:color w:val="auto"/>
          <w:sz w:val="28"/>
          <w:szCs w:val="21"/>
          <w:highlight w:val="none"/>
        </w:rPr>
      </w:pPr>
      <w:r>
        <w:rPr>
          <w:rFonts w:hint="eastAsia" w:ascii="黑体" w:hAnsi="黑体" w:eastAsia="黑体"/>
          <w:color w:val="auto"/>
          <w:sz w:val="28"/>
          <w:szCs w:val="21"/>
          <w:highlight w:val="none"/>
          <w:lang w:val="zh-CN"/>
        </w:rPr>
        <w:t xml:space="preserve">项目人员配置清单</w:t>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宜兴市优秀公务员健康休养服务采购项目</w:t>
      </w:r>
      <w:r>
        <w:rPr>
          <w:rFonts w:hint="eastAsia" w:ascii="宋体" w:hAnsi="宋体"/>
          <w:color w:val="auto"/>
          <w:sz w:val="24"/>
          <w:szCs w:val="24"/>
          <w:highlight w:val="none"/>
        </w:rPr>
        <w:t xml:space="preserve">                                 </w:t>
      </w:r>
      <w:r/>
    </w:p>
    <w:p>
      <w:pPr>
        <w:spacing w:line="360" w:lineRule="auto"/>
        <w:tabs>
          <w:tab w:val="left" w:pos="255" w:leader="none"/>
        </w:tabs>
        <w:rPr>
          <w:rFonts w:ascii="宋体" w:hAnsi="宋体"/>
          <w:bCs/>
          <w:color w:val="auto"/>
          <w:sz w:val="24"/>
          <w:szCs w:val="24"/>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JSZC-320282-JGGC-C2026-0005</w:t>
      </w:r>
      <w:r>
        <w:rPr>
          <w:rFonts w:hint="eastAsia" w:ascii="宋体" w:hAnsi="宋体"/>
          <w:color w:val="auto"/>
          <w:sz w:val="24"/>
          <w:szCs w:val="21"/>
          <w:highlight w:val="none"/>
          <w:lang w:val="zh-CN"/>
        </w:rPr>
        <w:t xml:space="preserve">                            </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W w:w="113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W w:w="1185"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性别</w:t>
            </w:r>
            <w:r/>
          </w:p>
        </w:tc>
        <w:tc>
          <w:tcPr>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W w:w="992"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资格证书编号</w:t>
            </w:r>
            <w:r/>
          </w:p>
        </w:tc>
        <w:tc>
          <w:tcPr>
            <w:tcW w:w="1004"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W w:w="535" w:type="dxa"/>
            <w:vAlign w:val="center"/>
            <w:textDirection w:val="lrTb"/>
            <w:noWrap w:val="false"/>
          </w:tcPr>
          <w:p>
            <w:pPr>
              <w:jc w:val="center"/>
              <w:rPr>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W w:w="1130" w:type="dxa"/>
            <w:vAlign w:val="center"/>
            <w:textDirection w:val="lrTb"/>
            <w:noWrap w:val="false"/>
          </w:tcPr>
          <w:p>
            <w:pPr>
              <w:jc w:val="center"/>
              <w:rPr>
                <w:color w:val="auto"/>
                <w:sz w:val="24"/>
                <w:highlight w:val="none"/>
              </w:rPr>
            </w:pPr>
            <w:r>
              <w:rPr>
                <w:color w:val="auto"/>
                <w:sz w:val="24"/>
                <w:highlight w:val="none"/>
              </w:rPr>
            </w:r>
            <w:r/>
          </w:p>
        </w:tc>
        <w:tc>
          <w:tcPr>
            <w:tcW w:w="1185" w:type="dxa"/>
            <w:vAlign w:val="center"/>
            <w:textDirection w:val="lrTb"/>
            <w:noWrap w:val="false"/>
          </w:tcPr>
          <w:p>
            <w:pPr>
              <w:jc w:val="center"/>
              <w:rPr>
                <w:color w:val="auto"/>
                <w:sz w:val="24"/>
                <w:highlight w:val="none"/>
              </w:rPr>
            </w:pPr>
            <w:r>
              <w:rPr>
                <w:color w:val="auto"/>
                <w:sz w:val="24"/>
                <w:highlight w:val="none"/>
              </w:rPr>
            </w:r>
            <w:r/>
          </w:p>
        </w:tc>
        <w:tc>
          <w:tcPr>
            <w:tcW w:w="1134" w:type="dxa"/>
            <w:vAlign w:val="center"/>
            <w:textDirection w:val="lrTb"/>
            <w:noWrap w:val="false"/>
          </w:tcPr>
          <w:p>
            <w:pPr>
              <w:jc w:val="center"/>
              <w:rPr>
                <w:color w:val="auto"/>
                <w:sz w:val="24"/>
                <w:highlight w:val="none"/>
              </w:rPr>
            </w:pPr>
            <w:r>
              <w:rPr>
                <w:color w:val="auto"/>
                <w:sz w:val="24"/>
                <w:highlight w:val="none"/>
              </w:rPr>
            </w:r>
            <w:r/>
          </w:p>
        </w:tc>
        <w:tc>
          <w:tcPr>
            <w:tcW w:w="1276" w:type="dxa"/>
            <w:vAlign w:val="center"/>
            <w:textDirection w:val="lrTb"/>
            <w:noWrap w:val="false"/>
          </w:tcPr>
          <w:p>
            <w:pPr>
              <w:jc w:val="center"/>
              <w:rPr>
                <w:color w:val="auto"/>
                <w:sz w:val="24"/>
                <w:highlight w:val="none"/>
              </w:rPr>
            </w:pPr>
            <w:r>
              <w:rPr>
                <w:color w:val="auto"/>
                <w:sz w:val="24"/>
                <w:highlight w:val="none"/>
              </w:rPr>
            </w:r>
            <w:r/>
          </w:p>
        </w:tc>
        <w:tc>
          <w:tcPr>
            <w:tcW w:w="1134" w:type="dxa"/>
            <w:vAlign w:val="center"/>
            <w:textDirection w:val="lrTb"/>
            <w:noWrap w:val="false"/>
          </w:tcPr>
          <w:p>
            <w:pPr>
              <w:jc w:val="center"/>
              <w:rPr>
                <w:color w:val="auto"/>
                <w:sz w:val="24"/>
                <w:highlight w:val="none"/>
              </w:rPr>
            </w:pPr>
            <w:r>
              <w:rPr>
                <w:color w:val="auto"/>
                <w:sz w:val="24"/>
                <w:highlight w:val="none"/>
              </w:rPr>
            </w:r>
            <w:r/>
          </w:p>
        </w:tc>
        <w:tc>
          <w:tcPr>
            <w:tcW w:w="992" w:type="dxa"/>
            <w:vAlign w:val="center"/>
            <w:textDirection w:val="lrTb"/>
            <w:noWrap w:val="false"/>
          </w:tcPr>
          <w:p>
            <w:pPr>
              <w:jc w:val="center"/>
              <w:rPr>
                <w:color w:val="auto"/>
                <w:sz w:val="24"/>
                <w:highlight w:val="none"/>
              </w:rPr>
            </w:pPr>
            <w:r>
              <w:rPr>
                <w:color w:val="auto"/>
                <w:sz w:val="24"/>
                <w:highlight w:val="none"/>
              </w:rPr>
            </w:r>
            <w:r/>
          </w:p>
        </w:tc>
        <w:tc>
          <w:tcPr>
            <w:tcW w:w="1276" w:type="dxa"/>
            <w:vAlign w:val="center"/>
            <w:textDirection w:val="lrTb"/>
            <w:noWrap w:val="false"/>
          </w:tcPr>
          <w:p>
            <w:pPr>
              <w:jc w:val="center"/>
              <w:rPr>
                <w:color w:val="auto"/>
                <w:sz w:val="24"/>
                <w:highlight w:val="none"/>
              </w:rPr>
            </w:pPr>
            <w:r>
              <w:rPr>
                <w:color w:val="auto"/>
                <w:sz w:val="24"/>
                <w:highlight w:val="none"/>
              </w:rPr>
            </w:r>
            <w:r/>
          </w:p>
        </w:tc>
        <w:tc>
          <w:tcPr>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pPr>
      <w:r>
        <w:rPr>
          <w:rFonts w:hint="eastAsia" w:ascii="宋体" w:hAnsi="宋体"/>
          <w:color w:val="auto"/>
          <w:highlight w:val="none"/>
        </w:rPr>
        <w:t xml:space="preserve">注：1. 表格不够可自行延长。</w:t>
      </w:r>
      <w:r/>
    </w:p>
    <w:p>
      <w:pPr>
        <w:ind w:firstLine="420"/>
        <w:rPr>
          <w:color w:val="auto"/>
          <w:highlight w:val="none"/>
        </w:rPr>
      </w:pPr>
      <w:r>
        <w:rPr>
          <w:rFonts w:hint="eastAsia" w:ascii="宋体" w:hAnsi="宋体"/>
          <w:color w:val="auto"/>
          <w:highlight w:val="none"/>
        </w:rPr>
        <w:t xml:space="preserve">2.上表内容须按磋商文件要求提供材料，证明材料请附在本表之后。</w:t>
      </w:r>
      <w:r/>
    </w:p>
    <w:p>
      <w:pPr>
        <w:ind w:firstLine="420"/>
        <w:rPr>
          <w:rFonts w:ascii="黑体" w:hAnsi="宋体" w:eastAsia="黑体"/>
          <w:color w:val="auto"/>
          <w:sz w:val="24"/>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bookmarkStart w:id="261" w:name="_GoBack"/>
      <w:r/>
      <w:bookmarkEnd w:id="261"/>
      <w:r/>
      <w:r/>
    </w:p>
    <w:p>
      <w:pPr>
        <w:ind w:left="840"/>
        <w:spacing w:line="360" w:lineRule="auto"/>
        <w:tabs>
          <w:tab w:val="left" w:pos="255" w:leader="none"/>
        </w:tabs>
        <w:rPr>
          <w:rFonts w:ascii="宋体" w:hAnsi="宋体"/>
          <w:bCs/>
          <w:color w:val="auto"/>
          <w:sz w:val="24"/>
          <w:szCs w:val="24"/>
          <w:highlight w:val="none"/>
        </w:rPr>
      </w:pPr>
      <w:r>
        <w:rPr>
          <w:rFonts w:ascii="宋体" w:hAnsi="宋体"/>
          <w:bCs/>
          <w:color w:val="auto"/>
          <w:sz w:val="24"/>
          <w:szCs w:val="24"/>
          <w:highlight w:val="none"/>
        </w:rPr>
      </w:r>
      <w:r/>
    </w:p>
    <w:p>
      <w:pPr>
        <w:ind w:left="840"/>
        <w:spacing w:line="360" w:lineRule="auto"/>
        <w:tabs>
          <w:tab w:val="left" w:pos="255" w:leader="none"/>
        </w:tabs>
        <w:rPr>
          <w:rFonts w:ascii="宋体" w:hAnsi="宋体"/>
          <w:bCs/>
          <w:color w:val="auto"/>
          <w:sz w:val="24"/>
          <w:szCs w:val="24"/>
          <w:highlight w:val="none"/>
        </w:rPr>
      </w:pPr>
      <w:r>
        <w:rPr>
          <w:rFonts w:ascii="宋体" w:hAnsi="宋体"/>
          <w:bCs/>
          <w:color w:val="auto"/>
          <w:sz w:val="24"/>
          <w:szCs w:val="24"/>
          <w:highlight w:val="none"/>
        </w:rPr>
      </w:r>
      <w:r/>
    </w:p>
    <w:p>
      <w:pPr>
        <w:pStyle w:val="994"/>
        <w:rPr>
          <w:color w:val="auto"/>
          <w:highlight w:val="none"/>
        </w:rPr>
      </w:pPr>
      <w:r>
        <w:rPr>
          <w:rFonts w:hint="eastAsia" w:ascii="宋体" w:hAnsi="宋体"/>
          <w:bCs/>
          <w:color w:val="auto"/>
          <w:sz w:val="24"/>
          <w:highlight w:val="none"/>
          <w:lang w:val="zh-CN"/>
        </w:rPr>
        <w:t xml:space="preserve">                              </w:t>
      </w:r>
      <w:r>
        <w:rPr>
          <w:rFonts w:hint="eastAsia" w:ascii="宋体" w:hAnsi="宋体"/>
          <w:bCs/>
          <w:color w:val="auto"/>
          <w:sz w:val="24"/>
          <w:highlight w:val="none"/>
        </w:rPr>
        <w:t xml:space="preserve">                  </w:t>
      </w:r>
      <w:r>
        <w:rPr>
          <w:rFonts w:hint="eastAsia"/>
          <w:color w:val="auto"/>
          <w:sz w:val="24"/>
          <w:szCs w:val="24"/>
          <w:highlight w:val="none"/>
        </w:rPr>
        <w:t xml:space="preserve">供应商</w:t>
      </w:r>
      <w:r>
        <w:rPr>
          <w:color w:val="auto"/>
          <w:sz w:val="24"/>
          <w:szCs w:val="24"/>
          <w:highlight w:val="none"/>
        </w:rPr>
        <w:t xml:space="preserve">（电子签章）：</w:t>
      </w:r>
      <w:r/>
    </w:p>
    <w:p>
      <w:pPr>
        <w:ind w:left="5460" w:hanging="5460"/>
        <w:jc w:val="center"/>
        <w:spacing w:line="360" w:lineRule="auto"/>
        <w:rPr>
          <w:rFonts w:ascii="宋体" w:hAnsi="宋体"/>
          <w:bCs/>
          <w:color w:val="auto"/>
          <w:sz w:val="24"/>
          <w:highlight w:val="none"/>
        </w:rPr>
      </w:pPr>
      <w:r>
        <w:rPr>
          <w:rFonts w:ascii="宋体" w:hAnsi="宋体"/>
          <w:bCs/>
          <w:color w:val="auto"/>
          <w:sz w:val="24"/>
          <w:highlight w:val="none"/>
        </w:rPr>
      </w:r>
      <w:r/>
    </w:p>
    <w:p>
      <w:pPr>
        <w:pStyle w:val="811"/>
        <w:numPr>
          <w:ilvl w:val="0"/>
          <w:numId w:val="0"/>
        </w:numPr>
        <w:rPr>
          <w:rFonts w:ascii="宋体" w:hAnsi="宋体"/>
          <w:bCs/>
          <w:color w:val="auto"/>
          <w:sz w:val="24"/>
          <w:highlight w:val="none"/>
        </w:rPr>
      </w:pPr>
      <w:r>
        <w:rPr>
          <w:rFonts w:ascii="宋体" w:hAnsi="宋体"/>
          <w:bCs/>
          <w:color w:val="auto"/>
          <w:sz w:val="24"/>
          <w:highlight w:val="none"/>
        </w:rPr>
      </w:r>
      <w:r/>
    </w:p>
    <w:p>
      <w:pPr>
        <w:pStyle w:val="811"/>
        <w:numPr>
          <w:ilvl w:val="0"/>
          <w:numId w:val="0"/>
        </w:numPr>
        <w:rPr>
          <w:rFonts w:ascii="宋体" w:hAnsi="宋体"/>
          <w:bCs/>
          <w:color w:val="auto"/>
          <w:sz w:val="24"/>
          <w:highlight w:val="none"/>
        </w:rPr>
      </w:pPr>
      <w:r>
        <w:rPr>
          <w:rFonts w:ascii="宋体" w:hAnsi="宋体"/>
          <w:bCs/>
          <w:color w:val="auto"/>
          <w:sz w:val="24"/>
          <w:highlight w:val="none"/>
        </w:rPr>
      </w:r>
      <w:r/>
    </w:p>
    <w:p>
      <w:pPr>
        <w:spacing w:after="156"/>
        <w:rPr>
          <w:rFonts w:ascii="黑体" w:hAnsi="宋体" w:eastAsia="黑体"/>
          <w:bCs/>
          <w:color w:val="auto"/>
          <w:sz w:val="28"/>
          <w:szCs w:val="28"/>
          <w:highlight w:val="none"/>
        </w:rPr>
      </w:pPr>
      <w:r>
        <w:rPr>
          <w:rFonts w:ascii="黑体" w:hAnsi="宋体" w:eastAsia="黑体"/>
          <w:bCs/>
          <w:color w:val="auto"/>
          <w:sz w:val="28"/>
          <w:szCs w:val="28"/>
          <w:highlight w:val="none"/>
        </w:rPr>
      </w:r>
      <w:r/>
    </w:p>
    <w:p>
      <w:pPr>
        <w:spacing w:after="156"/>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（八）其他相关材料</w:t>
      </w:r>
      <w:r/>
    </w:p>
    <w:p>
      <w:pPr>
        <w:ind w:firstLine="420"/>
        <w:jc w:val="left"/>
        <w:rPr>
          <w:rFonts w:ascii="宋体" w:hAnsi="宋体" w:cs="宋体"/>
          <w:color w:val="auto"/>
          <w:szCs w:val="21"/>
          <w:highlight w:val="none"/>
        </w:rPr>
      </w:pPr>
      <w:r>
        <w:rPr>
          <w:rFonts w:ascii="宋体" w:hAnsi="宋体" w:cs="宋体"/>
          <w:color w:val="auto"/>
          <w:szCs w:val="21"/>
          <w:highlight w:val="none"/>
        </w:rPr>
      </w:r>
      <w:r/>
    </w:p>
    <w:p>
      <w:pPr>
        <w:ind w:firstLine="480"/>
        <w:jc w:val="lef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供应商根据评标方法和标准等要求，提交认为需要提供的相关证明材料，如未提供证明材料的，相关评分项不得分。</w:t>
      </w:r>
      <w:bookmarkEnd w:id="260"/>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sz w:val="24"/>
          <w:szCs w:val="24"/>
        </w:rPr>
      </w:pPr>
      <w:r>
        <w:rPr>
          <w:rFonts w:ascii="黑体" w:hAnsi="宋体" w:eastAsia="黑体"/>
          <w:sz w:val="24"/>
          <w:szCs w:val="24"/>
        </w:rPr>
      </w:r>
      <w:r>
        <w:rPr>
          <w:rFonts w:ascii="黑体" w:hAnsi="宋体" w:eastAsia="黑体"/>
          <w:sz w:val="24"/>
          <w:szCs w:val="24"/>
        </w:rPr>
      </w:r>
    </w:p>
    <w:p>
      <w:pPr>
        <w:rPr>
          <w:rFonts w:ascii="黑体" w:hAnsi="宋体" w:eastAsia="黑体"/>
          <w:sz w:val="24"/>
          <w:szCs w:val="24"/>
        </w:rPr>
      </w:pPr>
      <w:r>
        <w:rPr>
          <w:rFonts w:ascii="黑体" w:hAnsi="宋体" w:eastAsia="黑体"/>
          <w:sz w:val="24"/>
          <w:szCs w:val="24"/>
        </w:rPr>
      </w:r>
      <w:r>
        <w:rPr>
          <w:rFonts w:ascii="黑体" w:hAnsi="宋体" w:eastAsia="黑体"/>
          <w:sz w:val="24"/>
          <w:szCs w:val="24"/>
        </w:rPr>
      </w:r>
    </w:p>
    <w:p>
      <w:pPr>
        <w:rPr>
          <w:rFonts w:ascii="黑体" w:hAnsi="宋体" w:eastAsia="黑体"/>
          <w:sz w:val="24"/>
          <w:szCs w:val="24"/>
        </w:rPr>
      </w:pPr>
      <w:r>
        <w:rPr>
          <w:rFonts w:ascii="黑体" w:hAnsi="宋体" w:eastAsia="黑体"/>
          <w:sz w:val="24"/>
          <w:szCs w:val="24"/>
        </w:rPr>
      </w:r>
      <w:r>
        <w:rPr>
          <w:rFonts w:ascii="黑体" w:hAnsi="宋体" w:eastAsia="黑体"/>
          <w:sz w:val="24"/>
          <w:szCs w:val="24"/>
        </w:rPr>
      </w:r>
    </w:p>
    <w:p>
      <w:pPr>
        <w:rPr>
          <w:rFonts w:ascii="黑体" w:hAnsi="宋体" w:eastAsia="黑体"/>
          <w:sz w:val="24"/>
          <w:szCs w:val="24"/>
        </w:rPr>
      </w:pPr>
      <w:r>
        <w:rPr>
          <w:rFonts w:ascii="黑体" w:hAnsi="宋体" w:eastAsia="黑体"/>
          <w:sz w:val="24"/>
          <w:szCs w:val="24"/>
        </w:rPr>
      </w:r>
      <w:r>
        <w:rPr>
          <w:rFonts w:ascii="黑体" w:hAnsi="宋体" w:eastAsia="黑体"/>
          <w:sz w:val="24"/>
          <w:szCs w:val="24"/>
        </w:rPr>
      </w:r>
    </w:p>
    <w:p>
      <w:pPr>
        <w:rPr>
          <w:rFonts w:ascii="黑体" w:hAnsi="宋体" w:eastAsia="黑体"/>
          <w:sz w:val="24"/>
          <w:szCs w:val="24"/>
        </w:rPr>
      </w:pPr>
      <w:r>
        <w:rPr>
          <w:rFonts w:ascii="黑体" w:hAnsi="宋体" w:eastAsia="黑体"/>
          <w:sz w:val="24"/>
          <w:szCs w:val="24"/>
        </w:rPr>
      </w:r>
      <w:r>
        <w:rPr>
          <w:rFonts w:ascii="黑体" w:hAnsi="宋体" w:eastAsia="黑体"/>
          <w:sz w:val="24"/>
          <w:szCs w:val="24"/>
        </w:rPr>
      </w:r>
    </w:p>
    <w:p>
      <w:pPr>
        <w:rPr>
          <w:rFonts w:ascii="黑体" w:hAnsi="宋体" w:eastAsia="黑体"/>
          <w:sz w:val="24"/>
          <w:szCs w:val="24"/>
        </w:rPr>
      </w:pPr>
      <w:r>
        <w:rPr>
          <w:rFonts w:ascii="黑体" w:hAnsi="宋体" w:eastAsia="黑体"/>
          <w:sz w:val="24"/>
          <w:szCs w:val="24"/>
        </w:rPr>
      </w:r>
      <w:r>
        <w:rPr>
          <w:rFonts w:ascii="黑体" w:hAnsi="宋体" w:eastAsia="黑体"/>
          <w:sz w:val="24"/>
          <w:szCs w:val="24"/>
        </w:rPr>
      </w:r>
    </w:p>
    <w:p>
      <w:pPr>
        <w:rPr>
          <w:rFonts w:ascii="黑体" w:hAnsi="宋体" w:eastAsia="黑体"/>
          <w:sz w:val="24"/>
          <w:szCs w:val="24"/>
        </w:rPr>
      </w:pPr>
      <w:r>
        <w:rPr>
          <w:rFonts w:ascii="黑体" w:hAnsi="宋体" w:eastAsia="黑体"/>
          <w:sz w:val="24"/>
          <w:szCs w:val="24"/>
        </w:rPr>
      </w:r>
      <w:r>
        <w:rPr>
          <w:rFonts w:ascii="黑体" w:hAnsi="宋体" w:eastAsia="黑体"/>
          <w:sz w:val="24"/>
          <w:szCs w:val="24"/>
        </w:rPr>
      </w:r>
    </w:p>
    <w:p>
      <w:pPr>
        <w:rPr>
          <w:rFonts w:ascii="黑体" w:hAnsi="宋体" w:eastAsia="黑体"/>
          <w:sz w:val="24"/>
          <w:szCs w:val="24"/>
        </w:rPr>
      </w:pPr>
      <w:r>
        <w:rPr>
          <w:rFonts w:ascii="黑体" w:hAnsi="宋体" w:eastAsia="黑体"/>
          <w:sz w:val="24"/>
          <w:szCs w:val="24"/>
        </w:rPr>
      </w:r>
      <w:r>
        <w:rPr>
          <w:rFonts w:ascii="黑体" w:hAnsi="宋体" w:eastAsia="黑体"/>
          <w:sz w:val="24"/>
          <w:szCs w:val="24"/>
        </w:rPr>
      </w:r>
    </w:p>
    <w:p>
      <w:pPr>
        <w:rPr>
          <w:rFonts w:ascii="黑体" w:hAnsi="宋体" w:eastAsia="黑体"/>
          <w:sz w:val="24"/>
          <w:szCs w:val="24"/>
        </w:rPr>
      </w:pPr>
      <w:r>
        <w:rPr>
          <w:rFonts w:ascii="黑体" w:hAnsi="宋体" w:eastAsia="黑体"/>
          <w:sz w:val="24"/>
          <w:szCs w:val="24"/>
        </w:rPr>
      </w:r>
      <w:r>
        <w:rPr>
          <w:rFonts w:ascii="黑体" w:hAnsi="宋体" w:eastAsia="黑体"/>
          <w:sz w:val="24"/>
          <w:szCs w:val="24"/>
        </w:rPr>
      </w:r>
    </w:p>
    <w:p>
      <w:pPr>
        <w:rPr>
          <w:rFonts w:ascii="黑体" w:hAnsi="宋体" w:eastAsia="黑体"/>
          <w:sz w:val="24"/>
          <w:szCs w:val="24"/>
        </w:rPr>
      </w:pPr>
      <w:r>
        <w:rPr>
          <w:rFonts w:ascii="黑体" w:hAnsi="宋体" w:eastAsia="黑体"/>
          <w:sz w:val="24"/>
          <w:szCs w:val="24"/>
        </w:rPr>
      </w:r>
      <w:r>
        <w:rPr>
          <w:rFonts w:ascii="黑体" w:hAnsi="宋体" w:eastAsia="黑体"/>
          <w:sz w:val="24"/>
          <w:szCs w:val="24"/>
        </w:rPr>
      </w:r>
    </w:p>
    <w:p>
      <w:pPr>
        <w:rPr>
          <w:rFonts w:ascii="黑体" w:hAnsi="宋体" w:eastAsia="黑体"/>
          <w:sz w:val="24"/>
          <w:szCs w:val="24"/>
        </w:rPr>
      </w:pPr>
      <w:r>
        <w:rPr>
          <w:rFonts w:ascii="黑体" w:hAnsi="宋体" w:eastAsia="黑体"/>
          <w:sz w:val="24"/>
          <w:szCs w:val="24"/>
        </w:rPr>
      </w:r>
      <w:r>
        <w:rPr>
          <w:rFonts w:ascii="黑体" w:hAnsi="宋体" w:eastAsia="黑体"/>
          <w:sz w:val="24"/>
          <w:szCs w:val="24"/>
        </w:rPr>
      </w:r>
    </w:p>
    <w:p>
      <w:pPr>
        <w:rPr>
          <w:rFonts w:ascii="黑体" w:hAnsi="宋体" w:eastAsia="黑体"/>
          <w:sz w:val="24"/>
          <w:szCs w:val="24"/>
        </w:rPr>
      </w:pPr>
      <w:r>
        <w:rPr>
          <w:rFonts w:ascii="黑体" w:hAnsi="宋体" w:eastAsia="黑体"/>
          <w:sz w:val="24"/>
          <w:szCs w:val="24"/>
        </w:rPr>
      </w:r>
      <w:r>
        <w:rPr>
          <w:rFonts w:ascii="黑体" w:hAnsi="宋体" w:eastAsia="黑体"/>
          <w:sz w:val="24"/>
          <w:szCs w:val="24"/>
        </w:rPr>
      </w:r>
    </w:p>
    <w:p>
      <w:pPr>
        <w:rPr>
          <w:rFonts w:ascii="黑体" w:hAnsi="宋体" w:eastAsia="黑体"/>
          <w:sz w:val="24"/>
          <w:szCs w:val="24"/>
        </w:rPr>
      </w:pPr>
      <w:r>
        <w:rPr>
          <w:rFonts w:ascii="黑体" w:hAnsi="宋体" w:eastAsia="黑体"/>
          <w:sz w:val="24"/>
          <w:szCs w:val="24"/>
        </w:rPr>
      </w:r>
      <w:r>
        <w:rPr>
          <w:rFonts w:ascii="黑体" w:hAnsi="宋体" w:eastAsia="黑体"/>
          <w:sz w:val="24"/>
          <w:szCs w:val="24"/>
        </w:rPr>
      </w:r>
    </w:p>
    <w:p>
      <w:pPr>
        <w:rPr>
          <w:rFonts w:ascii="黑体" w:hAnsi="宋体" w:eastAsia="黑体"/>
          <w:sz w:val="24"/>
          <w:szCs w:val="24"/>
        </w:rPr>
      </w:pPr>
      <w:r>
        <w:rPr>
          <w:rFonts w:ascii="黑体" w:hAnsi="宋体" w:eastAsia="黑体"/>
          <w:sz w:val="24"/>
          <w:szCs w:val="24"/>
        </w:rPr>
      </w:r>
      <w:r>
        <w:rPr>
          <w:rFonts w:ascii="黑体" w:hAnsi="宋体" w:eastAsia="黑体"/>
          <w:sz w:val="24"/>
          <w:szCs w:val="24"/>
        </w:rPr>
      </w:r>
    </w:p>
    <w:p>
      <w:pPr>
        <w:rPr>
          <w:rFonts w:ascii="黑体" w:hAnsi="宋体" w:eastAsia="黑体"/>
          <w:sz w:val="24"/>
          <w:szCs w:val="24"/>
        </w:rPr>
      </w:pPr>
      <w:r>
        <w:rPr>
          <w:rFonts w:ascii="黑体" w:hAnsi="宋体" w:eastAsia="黑体"/>
          <w:sz w:val="24"/>
          <w:szCs w:val="24"/>
        </w:rPr>
      </w:r>
      <w:r>
        <w:rPr>
          <w:rFonts w:ascii="黑体" w:hAnsi="宋体" w:eastAsia="黑体"/>
          <w:sz w:val="24"/>
          <w:szCs w:val="24"/>
        </w:rPr>
      </w:r>
    </w:p>
    <w:p>
      <w:pPr>
        <w:rPr>
          <w:rFonts w:ascii="黑体" w:hAnsi="宋体" w:eastAsia="黑体"/>
          <w:sz w:val="24"/>
          <w:szCs w:val="24"/>
        </w:rPr>
      </w:pPr>
      <w:r>
        <w:rPr>
          <w:rFonts w:ascii="黑体" w:hAnsi="宋体" w:eastAsia="黑体"/>
          <w:sz w:val="24"/>
          <w:szCs w:val="24"/>
        </w:rPr>
      </w:r>
      <w:r>
        <w:rPr>
          <w:rFonts w:ascii="黑体" w:hAnsi="宋体" w:eastAsia="黑体"/>
          <w:sz w:val="24"/>
          <w:szCs w:val="24"/>
        </w:rPr>
      </w:r>
    </w:p>
    <w:p>
      <w:pPr>
        <w:rPr>
          <w:rFonts w:ascii="黑体" w:hAnsi="宋体" w:eastAsia="黑体"/>
          <w:sz w:val="24"/>
          <w:szCs w:val="24"/>
        </w:rPr>
      </w:pPr>
      <w:r>
        <w:rPr>
          <w:rFonts w:ascii="黑体" w:hAnsi="宋体" w:eastAsia="黑体"/>
          <w:sz w:val="24"/>
          <w:szCs w:val="24"/>
        </w:rPr>
      </w:r>
      <w:r>
        <w:rPr>
          <w:rFonts w:ascii="黑体" w:hAnsi="宋体" w:eastAsia="黑体"/>
          <w:sz w:val="24"/>
          <w:szCs w:val="24"/>
        </w:rP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K">
    <w:panose1 w:val="020B0503020202020204"/>
  </w:font>
  <w:font w:name="等线">
    <w:panose1 w:val="02010600030101010101"/>
  </w:font>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黑体">
    <w:panose1 w:val="02010609060101010101"/>
  </w:font>
  <w:font w:name="华文中宋">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819"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3060382</wp:posOffset>
              </wp:positionH>
              <wp:positionV relativeFrom="paragraph">
                <wp:posOffset>33421</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4384;o:allowoverlap:true;o:allowincell:true;mso-position-horizontal-relative:margin;margin-left:241.0pt;mso-position-horizontal:absolute;mso-position-vertical-relative:text;margin-top:2.6pt;mso-position-vertical:absolute;width:144.0pt;height:144.0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sz w:val="18"/>
                            </w:rPr>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sz w:val="18"/>
                      </w:r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spacing w:line="14" w:lineRule="auto"/>
      <w:rPr>
        <w:sz w:val="20"/>
      </w:rPr>
    </w:pPr>
    <w:r>
      <w:rPr>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fldSimple w:instr="PAGE \* MERGEFORMAT">
      <w:r>
        <w:t xml:space="preserve">1</w:t>
      </w:r>
    </w:fldSimple>
    <w:r/>
    <w:r/>
  </w:p>
  <w:p>
    <w:pPr>
      <w:pStyle w:val="791"/>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spacing w:line="14" w:lineRule="auto"/>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88"/>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1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5"/>
  </w:num>
  <w:num w:numId="6">
    <w:abstractNumId w:val="0"/>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71">
    <w:name w:val="Heading 1"/>
    <w:basedOn w:val="770"/>
    <w:next w:val="770"/>
    <w:link w:val="836"/>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37"/>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link w:val="838"/>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link w:val="839"/>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40"/>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41"/>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43"/>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44"/>
    <w:uiPriority w:val="9"/>
    <w:unhideWhenUsed/>
    <w:qFormat/>
    <w:pPr>
      <w:keepLines/>
      <w:keepNext/>
      <w:spacing w:before="320" w:after="200"/>
      <w:outlineLvl w:val="8"/>
    </w:pPr>
    <w:rPr>
      <w:rFonts w:ascii="Arial" w:hAnsi="Arial" w:eastAsia="Arial" w:cs="Arial"/>
      <w:i/>
      <w:iCs/>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toc 7"/>
    <w:basedOn w:val="770"/>
    <w:next w:val="770"/>
    <w:uiPriority w:val="39"/>
    <w:unhideWhenUsed/>
    <w:qFormat/>
    <w:pPr>
      <w:ind w:left="1701"/>
      <w:spacing w:after="57"/>
    </w:pPr>
  </w:style>
  <w:style w:type="paragraph" w:styleId="783">
    <w:name w:val="Caption"/>
    <w:basedOn w:val="770"/>
    <w:next w:val="7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annotation text"/>
    <w:basedOn w:val="770"/>
    <w:uiPriority w:val="0"/>
    <w:qFormat/>
    <w:pPr>
      <w:jc w:val="left"/>
    </w:pPr>
  </w:style>
  <w:style w:type="paragraph" w:styleId="785">
    <w:name w:val="Body Text"/>
    <w:basedOn w:val="770"/>
    <w:uiPriority w:val="0"/>
    <w:qFormat/>
    <w:rPr>
      <w:sz w:val="20"/>
    </w:rPr>
  </w:style>
  <w:style w:type="paragraph" w:styleId="786">
    <w:name w:val="Body Text Indent"/>
    <w:basedOn w:val="770"/>
    <w:uiPriority w:val="0"/>
    <w:qFormat/>
    <w:pPr>
      <w:ind w:left="420"/>
      <w:spacing w:after="120"/>
    </w:pPr>
  </w:style>
  <w:style w:type="paragraph" w:styleId="787">
    <w:name w:val="toc 5"/>
    <w:basedOn w:val="770"/>
    <w:next w:val="770"/>
    <w:uiPriority w:val="39"/>
    <w:unhideWhenUsed/>
    <w:qFormat/>
    <w:pPr>
      <w:ind w:left="1134"/>
      <w:spacing w:after="57"/>
    </w:pPr>
  </w:style>
  <w:style w:type="paragraph" w:styleId="788">
    <w:name w:val="toc 3"/>
    <w:basedOn w:val="770"/>
    <w:next w:val="770"/>
    <w:uiPriority w:val="39"/>
    <w:unhideWhenUsed/>
    <w:qFormat/>
    <w:pPr>
      <w:ind w:left="567"/>
      <w:spacing w:after="57"/>
    </w:pPr>
  </w:style>
  <w:style w:type="paragraph" w:styleId="789">
    <w:name w:val="toc 8"/>
    <w:basedOn w:val="770"/>
    <w:next w:val="770"/>
    <w:uiPriority w:val="39"/>
    <w:unhideWhenUsed/>
    <w:qFormat/>
    <w:pPr>
      <w:ind w:left="1984"/>
      <w:spacing w:after="57"/>
    </w:pPr>
  </w:style>
  <w:style w:type="paragraph" w:styleId="790">
    <w:name w:val="endnote text"/>
    <w:basedOn w:val="770"/>
    <w:link w:val="982"/>
    <w:uiPriority w:val="99"/>
    <w:semiHidden/>
    <w:unhideWhenUsed/>
    <w:qFormat/>
    <w:rPr>
      <w:sz w:val="20"/>
    </w:rPr>
  </w:style>
  <w:style w:type="paragraph" w:styleId="791">
    <w:name w:val="Footer"/>
    <w:basedOn w:val="770"/>
    <w:next w:val="770"/>
    <w:link w:val="855"/>
    <w:uiPriority w:val="0"/>
    <w:unhideWhenUsed/>
    <w:qFormat/>
    <w:pPr>
      <w:tabs>
        <w:tab w:val="center" w:pos="7143" w:leader="none"/>
        <w:tab w:val="right" w:pos="14287" w:leader="none"/>
      </w:tabs>
    </w:pPr>
  </w:style>
  <w:style w:type="paragraph" w:styleId="792">
    <w:name w:val="Header"/>
    <w:basedOn w:val="770"/>
    <w:link w:val="853"/>
    <w:uiPriority w:val="99"/>
    <w:unhideWhenUsed/>
    <w:qFormat/>
    <w:pPr>
      <w:tabs>
        <w:tab w:val="center" w:pos="7143" w:leader="none"/>
        <w:tab w:val="right" w:pos="14287" w:leader="none"/>
      </w:tabs>
    </w:pPr>
  </w:style>
  <w:style w:type="paragraph" w:styleId="793">
    <w:name w:val="toc 1"/>
    <w:basedOn w:val="770"/>
    <w:next w:val="770"/>
    <w:uiPriority w:val="39"/>
    <w:unhideWhenUsed/>
    <w:qFormat/>
    <w:pPr>
      <w:spacing w:after="57"/>
    </w:pPr>
  </w:style>
  <w:style w:type="paragraph" w:styleId="794">
    <w:name w:val="toc 4"/>
    <w:basedOn w:val="770"/>
    <w:next w:val="770"/>
    <w:uiPriority w:val="39"/>
    <w:unhideWhenUsed/>
    <w:qFormat/>
    <w:pPr>
      <w:ind w:left="850"/>
      <w:spacing w:after="57"/>
    </w:pPr>
  </w:style>
  <w:style w:type="paragraph" w:styleId="795">
    <w:name w:val="Subtitle"/>
    <w:basedOn w:val="770"/>
    <w:next w:val="770"/>
    <w:link w:val="848"/>
    <w:uiPriority w:val="11"/>
    <w:qFormat/>
    <w:pPr>
      <w:spacing w:before="200" w:after="200"/>
    </w:pPr>
    <w:rPr>
      <w:sz w:val="24"/>
      <w:szCs w:val="24"/>
    </w:rPr>
  </w:style>
  <w:style w:type="paragraph" w:styleId="796">
    <w:name w:val="footnote text"/>
    <w:basedOn w:val="770"/>
    <w:link w:val="981"/>
    <w:uiPriority w:val="99"/>
    <w:semiHidden/>
    <w:unhideWhenUsed/>
    <w:qFormat/>
    <w:pPr>
      <w:spacing w:after="40"/>
    </w:pPr>
    <w:rPr>
      <w:sz w:val="18"/>
    </w:rPr>
  </w:style>
  <w:style w:type="paragraph" w:styleId="797">
    <w:name w:val="toc 6"/>
    <w:basedOn w:val="770"/>
    <w:next w:val="770"/>
    <w:uiPriority w:val="39"/>
    <w:unhideWhenUsed/>
    <w:qFormat/>
    <w:pPr>
      <w:ind w:left="1417"/>
      <w:spacing w:after="57"/>
    </w:pPr>
  </w:style>
  <w:style w:type="paragraph" w:styleId="798">
    <w:name w:val="table of figures"/>
    <w:basedOn w:val="770"/>
    <w:next w:val="770"/>
    <w:uiPriority w:val="99"/>
    <w:unhideWhenUsed/>
    <w:qFormat/>
  </w:style>
  <w:style w:type="paragraph" w:styleId="799">
    <w:name w:val="toc 2"/>
    <w:basedOn w:val="770"/>
    <w:next w:val="770"/>
    <w:uiPriority w:val="39"/>
    <w:unhideWhenUsed/>
    <w:qFormat/>
    <w:pPr>
      <w:ind w:left="283"/>
      <w:spacing w:after="57"/>
    </w:pPr>
  </w:style>
  <w:style w:type="paragraph" w:styleId="800">
    <w:name w:val="toc 9"/>
    <w:basedOn w:val="770"/>
    <w:next w:val="770"/>
    <w:uiPriority w:val="39"/>
    <w:unhideWhenUsed/>
    <w:qFormat/>
    <w:pPr>
      <w:ind w:left="2268"/>
      <w:spacing w:after="57"/>
    </w:pPr>
  </w:style>
  <w:style w:type="paragraph" w:styleId="801">
    <w:name w:val="Normal (Web)"/>
    <w:basedOn w:val="770"/>
    <w:uiPriority w:val="0"/>
    <w:qFormat/>
    <w:pPr>
      <w:jc w:val="left"/>
      <w:spacing w:before="100" w:beforeAutospacing="1" w:after="100" w:afterAutospacing="1"/>
      <w:widowControl/>
    </w:pPr>
    <w:rPr>
      <w:rFonts w:ascii="宋体" w:hAnsi="宋体"/>
      <w:sz w:val="24"/>
    </w:rPr>
  </w:style>
  <w:style w:type="paragraph" w:styleId="802">
    <w:name w:val="Title"/>
    <w:basedOn w:val="770"/>
    <w:next w:val="770"/>
    <w:link w:val="847"/>
    <w:uiPriority w:val="10"/>
    <w:qFormat/>
    <w:pPr>
      <w:contextualSpacing/>
      <w:spacing w:before="300" w:after="200"/>
    </w:pPr>
    <w:rPr>
      <w:sz w:val="48"/>
      <w:szCs w:val="48"/>
    </w:rPr>
  </w:style>
  <w:style w:type="paragraph" w:styleId="803">
    <w:name w:val="Body Text First Indent"/>
    <w:basedOn w:val="785"/>
    <w:uiPriority w:val="0"/>
    <w:qFormat/>
    <w:pPr>
      <w:ind w:firstLine="420"/>
    </w:pPr>
  </w:style>
  <w:style w:type="paragraph" w:styleId="804">
    <w:name w:val="Body Text First Indent 2"/>
    <w:basedOn w:val="786"/>
    <w:uiPriority w:val="0"/>
    <w:qFormat/>
    <w:pPr>
      <w:ind w:firstLine="420"/>
    </w:pPr>
  </w:style>
  <w:style w:type="table" w:styleId="8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Strong"/>
    <w:basedOn w:val="780"/>
    <w:uiPriority w:val="22"/>
    <w:qFormat/>
    <w:rPr>
      <w:b/>
    </w:rPr>
  </w:style>
  <w:style w:type="character" w:styleId="807">
    <w:name w:val="endnote reference"/>
    <w:uiPriority w:val="99"/>
    <w:semiHidden/>
    <w:unhideWhenUsed/>
    <w:qFormat/>
    <w:rPr>
      <w:vertAlign w:val="superscript"/>
    </w:rPr>
  </w:style>
  <w:style w:type="character" w:styleId="808">
    <w:name w:val="page number"/>
    <w:uiPriority w:val="0"/>
    <w:qFormat/>
  </w:style>
  <w:style w:type="character" w:styleId="809">
    <w:name w:val="Hyperlink"/>
    <w:uiPriority w:val="99"/>
    <w:unhideWhenUsed/>
    <w:qFormat/>
    <w:rPr>
      <w:color w:val="0000ff" w:themeColor="hyperlink"/>
      <w:u w:val="single"/>
      <w14:textFill>
        <w14:solidFill>
          <w14:schemeClr w14:val="hlink"/>
        </w14:solidFill>
      </w14:textFill>
    </w:rPr>
  </w:style>
  <w:style w:type="character" w:styleId="810">
    <w:name w:val="footnote reference"/>
    <w:uiPriority w:val="99"/>
    <w:unhideWhenUsed/>
    <w:qFormat/>
    <w:rPr>
      <w:vertAlign w:val="superscript"/>
    </w:rPr>
  </w:style>
  <w:style w:type="paragraph" w:styleId="811" w:customStyle="1">
    <w:name w:val="列表项目符号 21"/>
    <w:basedOn w:val="770"/>
    <w:uiPriority w:val="0"/>
    <w:qFormat/>
    <w:pPr>
      <w:numPr>
        <w:ilvl w:val="0"/>
        <w:numId w:val="1"/>
      </w:numPr>
    </w:pPr>
  </w:style>
  <w:style w:type="paragraph" w:styleId="812" w:customStyle="1">
    <w:name w:val="正文文本11"/>
    <w:basedOn w:val="770"/>
    <w:next w:val="770"/>
    <w:uiPriority w:val="0"/>
    <w:qFormat/>
    <w:rPr>
      <w:rFonts w:ascii="华文中宋" w:eastAsia="华文中宋"/>
      <w:bCs/>
      <w:sz w:val="28"/>
    </w:rPr>
  </w:style>
  <w:style w:type="paragraph" w:styleId="813" w:customStyle="1">
    <w:name w:val="BodyText"/>
    <w:basedOn w:val="770"/>
    <w:next w:val="814"/>
    <w:uiPriority w:val="0"/>
    <w:qFormat/>
    <w:rPr>
      <w:rFonts w:cs="Calibri"/>
      <w:sz w:val="20"/>
    </w:rPr>
  </w:style>
  <w:style w:type="paragraph" w:styleId="814" w:customStyle="1">
    <w:name w:val="UserStyle_0"/>
    <w:basedOn w:val="770"/>
    <w:next w:val="815"/>
    <w:uiPriority w:val="0"/>
    <w:qFormat/>
    <w:pPr>
      <w:spacing w:line="300" w:lineRule="auto"/>
    </w:pPr>
    <w:rPr>
      <w:rFonts w:cs="Calibri"/>
      <w:szCs w:val="21"/>
    </w:rPr>
  </w:style>
  <w:style w:type="paragraph" w:styleId="815" w:customStyle="1">
    <w:name w:val="UserStyle_1"/>
    <w:basedOn w:val="816"/>
    <w:next w:val="770"/>
    <w:uiPriority w:val="0"/>
    <w:qFormat/>
    <w:pPr>
      <w:ind w:left="420" w:firstLine="527"/>
      <w:spacing w:before="120" w:line="360" w:lineRule="auto"/>
    </w:pPr>
    <w:rPr>
      <w:rFonts w:hAnsi="宋体"/>
      <w:sz w:val="24"/>
    </w:rPr>
  </w:style>
  <w:style w:type="paragraph" w:styleId="816" w:customStyle="1">
    <w:name w:val="NavPane"/>
    <w:basedOn w:val="770"/>
    <w:uiPriority w:val="0"/>
    <w:qFormat/>
    <w:pPr>
      <w:shd w:val="clear" w:color="auto" w:fill="000080"/>
    </w:pPr>
  </w:style>
  <w:style w:type="character" w:styleId="817" w:customStyle="1">
    <w:name w:val="Heading 1 Char"/>
    <w:basedOn w:val="780"/>
    <w:uiPriority w:val="9"/>
    <w:qFormat/>
    <w:rPr>
      <w:rFonts w:ascii="Arial" w:hAnsi="Arial" w:eastAsia="Arial" w:cs="Arial"/>
      <w:sz w:val="40"/>
      <w:szCs w:val="40"/>
    </w:rPr>
  </w:style>
  <w:style w:type="character" w:styleId="818" w:customStyle="1">
    <w:name w:val="Heading 2 Char"/>
    <w:basedOn w:val="780"/>
    <w:uiPriority w:val="9"/>
    <w:qFormat/>
    <w:rPr>
      <w:rFonts w:ascii="Arial" w:hAnsi="Arial" w:eastAsia="Arial" w:cs="Arial"/>
      <w:sz w:val="34"/>
    </w:rPr>
  </w:style>
  <w:style w:type="character" w:styleId="819" w:customStyle="1">
    <w:name w:val="Heading 3 Char"/>
    <w:basedOn w:val="780"/>
    <w:uiPriority w:val="9"/>
    <w:qFormat/>
    <w:rPr>
      <w:rFonts w:ascii="Arial" w:hAnsi="Arial" w:eastAsia="Arial" w:cs="Arial"/>
      <w:sz w:val="30"/>
      <w:szCs w:val="30"/>
    </w:rPr>
  </w:style>
  <w:style w:type="character" w:styleId="820" w:customStyle="1">
    <w:name w:val="Heading 4 Char"/>
    <w:basedOn w:val="780"/>
    <w:uiPriority w:val="9"/>
    <w:qFormat/>
    <w:rPr>
      <w:rFonts w:ascii="Arial" w:hAnsi="Arial" w:eastAsia="Arial" w:cs="Arial"/>
      <w:b/>
      <w:bCs/>
      <w:sz w:val="26"/>
      <w:szCs w:val="26"/>
    </w:rPr>
  </w:style>
  <w:style w:type="character" w:styleId="821" w:customStyle="1">
    <w:name w:val="Heading 5 Char"/>
    <w:basedOn w:val="780"/>
    <w:uiPriority w:val="9"/>
    <w:qFormat/>
    <w:rPr>
      <w:rFonts w:ascii="Arial" w:hAnsi="Arial" w:eastAsia="Arial" w:cs="Arial"/>
      <w:b/>
      <w:bCs/>
      <w:sz w:val="24"/>
      <w:szCs w:val="24"/>
    </w:rPr>
  </w:style>
  <w:style w:type="character" w:styleId="822" w:customStyle="1">
    <w:name w:val="Heading 6 Char"/>
    <w:basedOn w:val="780"/>
    <w:uiPriority w:val="9"/>
    <w:qFormat/>
    <w:rPr>
      <w:rFonts w:ascii="Arial" w:hAnsi="Arial" w:eastAsia="Arial" w:cs="Arial"/>
      <w:b/>
      <w:bCs/>
      <w:sz w:val="22"/>
      <w:szCs w:val="22"/>
    </w:rPr>
  </w:style>
  <w:style w:type="character" w:styleId="823" w:customStyle="1">
    <w:name w:val="Heading 7 Char"/>
    <w:basedOn w:val="780"/>
    <w:uiPriority w:val="9"/>
    <w:qFormat/>
    <w:rPr>
      <w:rFonts w:ascii="Arial" w:hAnsi="Arial" w:eastAsia="Arial" w:cs="Arial"/>
      <w:b/>
      <w:bCs/>
      <w:i/>
      <w:iCs/>
      <w:sz w:val="22"/>
      <w:szCs w:val="22"/>
    </w:rPr>
  </w:style>
  <w:style w:type="character" w:styleId="824" w:customStyle="1">
    <w:name w:val="Heading 8 Char"/>
    <w:basedOn w:val="780"/>
    <w:uiPriority w:val="9"/>
    <w:qFormat/>
    <w:rPr>
      <w:rFonts w:ascii="Arial" w:hAnsi="Arial" w:eastAsia="Arial" w:cs="Arial"/>
      <w:i/>
      <w:iCs/>
      <w:sz w:val="22"/>
      <w:szCs w:val="22"/>
    </w:rPr>
  </w:style>
  <w:style w:type="character" w:styleId="825" w:customStyle="1">
    <w:name w:val="Heading 9 Char"/>
    <w:basedOn w:val="780"/>
    <w:uiPriority w:val="9"/>
    <w:qFormat/>
    <w:rPr>
      <w:rFonts w:ascii="Arial" w:hAnsi="Arial" w:eastAsia="Arial" w:cs="Arial"/>
      <w:i/>
      <w:iCs/>
      <w:sz w:val="21"/>
      <w:szCs w:val="21"/>
    </w:rPr>
  </w:style>
  <w:style w:type="character" w:styleId="826" w:customStyle="1">
    <w:name w:val="Title Char"/>
    <w:basedOn w:val="780"/>
    <w:uiPriority w:val="10"/>
    <w:qFormat/>
    <w:rPr>
      <w:sz w:val="48"/>
      <w:szCs w:val="48"/>
    </w:rPr>
  </w:style>
  <w:style w:type="character" w:styleId="827" w:customStyle="1">
    <w:name w:val="Subtitle Char"/>
    <w:basedOn w:val="780"/>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character" w:styleId="830" w:customStyle="1">
    <w:name w:val="Header Char"/>
    <w:basedOn w:val="780"/>
    <w:uiPriority w:val="99"/>
    <w:qFormat/>
  </w:style>
  <w:style w:type="character" w:styleId="831" w:customStyle="1">
    <w:name w:val="Caption Char"/>
    <w:uiPriority w:val="99"/>
    <w:qFormat/>
  </w:style>
  <w:style w:type="character" w:styleId="832" w:customStyle="1">
    <w:name w:val="Footnote Text Char"/>
    <w:uiPriority w:val="99"/>
    <w:qFormat/>
    <w:rPr>
      <w:sz w:val="18"/>
    </w:rPr>
  </w:style>
  <w:style w:type="character" w:styleId="833" w:customStyle="1">
    <w:name w:val="Endnote Text Char"/>
    <w:uiPriority w:val="99"/>
    <w:qFormat/>
    <w:rPr>
      <w:sz w:val="20"/>
    </w:rPr>
  </w:style>
  <w:style w:type="paragraph" w:styleId="834" w:customStyle="1">
    <w:name w:val="TOC 标题1"/>
    <w:uiPriority w:val="39"/>
    <w:unhideWhenUsed/>
    <w:qFormat/>
    <w:rPr>
      <w:rFonts w:ascii="Times New Roman" w:hAnsi="Times New Roman" w:eastAsia="宋体" w:cs="Times New Roman"/>
      <w:lang w:val="en-US" w:eastAsia="zh-CN" w:bidi="ar-SA"/>
    </w:rPr>
  </w:style>
  <w:style w:type="paragraph" w:styleId="835" w:customStyle="1">
    <w:name w:val="首行缩进"/>
    <w:basedOn w:val="770"/>
    <w:uiPriority w:val="0"/>
    <w:qFormat/>
    <w:pPr>
      <w:ind w:firstLine="480"/>
      <w:jc w:val="left"/>
      <w:spacing w:line="360" w:lineRule="auto"/>
    </w:pPr>
    <w:rPr>
      <w:rFonts w:ascii="宋体" w:hAnsi="宋体"/>
      <w:sz w:val="24"/>
    </w:rPr>
  </w:style>
  <w:style w:type="character" w:styleId="836" w:customStyle="1">
    <w:name w:val="标题 1 字符"/>
    <w:link w:val="771"/>
    <w:uiPriority w:val="9"/>
    <w:qFormat/>
    <w:rPr>
      <w:rFonts w:ascii="Arial" w:hAnsi="Arial" w:eastAsia="Arial" w:cs="Arial"/>
      <w:sz w:val="40"/>
      <w:szCs w:val="40"/>
    </w:rPr>
  </w:style>
  <w:style w:type="character" w:styleId="837" w:customStyle="1">
    <w:name w:val="标题 2 字符"/>
    <w:link w:val="772"/>
    <w:uiPriority w:val="9"/>
    <w:qFormat/>
    <w:rPr>
      <w:rFonts w:ascii="Arial" w:hAnsi="Arial" w:eastAsia="Arial" w:cs="Arial"/>
      <w:sz w:val="34"/>
    </w:rPr>
  </w:style>
  <w:style w:type="character" w:styleId="838" w:customStyle="1">
    <w:name w:val="标题 3 字符"/>
    <w:link w:val="773"/>
    <w:uiPriority w:val="9"/>
    <w:qFormat/>
    <w:rPr>
      <w:rFonts w:ascii="Arial" w:hAnsi="Arial" w:eastAsia="Arial" w:cs="Arial"/>
      <w:sz w:val="30"/>
      <w:szCs w:val="30"/>
    </w:rPr>
  </w:style>
  <w:style w:type="character" w:styleId="839" w:customStyle="1">
    <w:name w:val="标题 4 字符"/>
    <w:link w:val="774"/>
    <w:uiPriority w:val="9"/>
    <w:qFormat/>
    <w:rPr>
      <w:rFonts w:ascii="Arial" w:hAnsi="Arial" w:eastAsia="Arial" w:cs="Arial"/>
      <w:b/>
      <w:bCs/>
      <w:sz w:val="26"/>
      <w:szCs w:val="26"/>
    </w:rPr>
  </w:style>
  <w:style w:type="character" w:styleId="840" w:customStyle="1">
    <w:name w:val="标题 5 字符"/>
    <w:link w:val="775"/>
    <w:uiPriority w:val="9"/>
    <w:qFormat/>
    <w:rPr>
      <w:rFonts w:ascii="Arial" w:hAnsi="Arial" w:eastAsia="Arial" w:cs="Arial"/>
      <w:b/>
      <w:bCs/>
      <w:sz w:val="24"/>
      <w:szCs w:val="24"/>
    </w:rPr>
  </w:style>
  <w:style w:type="character" w:styleId="841" w:customStyle="1">
    <w:name w:val="标题 6 字符"/>
    <w:link w:val="776"/>
    <w:uiPriority w:val="9"/>
    <w:qFormat/>
    <w:rPr>
      <w:rFonts w:ascii="Arial" w:hAnsi="Arial" w:eastAsia="Arial" w:cs="Arial"/>
      <w:b/>
      <w:bCs/>
      <w:sz w:val="22"/>
      <w:szCs w:val="22"/>
    </w:rPr>
  </w:style>
  <w:style w:type="character" w:styleId="842" w:customStyle="1">
    <w:name w:val="标题 7 字符"/>
    <w:link w:val="777"/>
    <w:uiPriority w:val="9"/>
    <w:qFormat/>
    <w:rPr>
      <w:rFonts w:ascii="Arial" w:hAnsi="Arial" w:eastAsia="Arial" w:cs="Arial"/>
      <w:b/>
      <w:bCs/>
      <w:i/>
      <w:iCs/>
      <w:sz w:val="22"/>
      <w:szCs w:val="22"/>
    </w:rPr>
  </w:style>
  <w:style w:type="character" w:styleId="843" w:customStyle="1">
    <w:name w:val="标题 8 字符"/>
    <w:link w:val="778"/>
    <w:uiPriority w:val="9"/>
    <w:qFormat/>
    <w:rPr>
      <w:rFonts w:ascii="Arial" w:hAnsi="Arial" w:eastAsia="Arial" w:cs="Arial"/>
      <w:i/>
      <w:iCs/>
      <w:sz w:val="22"/>
      <w:szCs w:val="22"/>
    </w:rPr>
  </w:style>
  <w:style w:type="character" w:styleId="844" w:customStyle="1">
    <w:name w:val="标题 9 字符"/>
    <w:link w:val="779"/>
    <w:uiPriority w:val="9"/>
    <w:qFormat/>
    <w:rPr>
      <w:rFonts w:ascii="Arial" w:hAnsi="Arial" w:eastAsia="Arial" w:cs="Arial"/>
      <w:i/>
      <w:iCs/>
      <w:sz w:val="21"/>
      <w:szCs w:val="21"/>
    </w:rPr>
  </w:style>
  <w:style w:type="paragraph" w:styleId="845">
    <w:name w:val="List Paragraph"/>
    <w:basedOn w:val="770"/>
    <w:uiPriority w:val="34"/>
    <w:qFormat/>
    <w:pPr>
      <w:contextualSpacing/>
      <w:ind w:left="720"/>
    </w:pPr>
  </w:style>
  <w:style w:type="paragraph" w:styleId="846">
    <w:name w:val="No Spacing"/>
    <w:uiPriority w:val="1"/>
    <w:qFormat/>
    <w:rPr>
      <w:rFonts w:ascii="Times New Roman" w:hAnsi="Times New Roman" w:eastAsia="宋体" w:cs="Times New Roman"/>
      <w:lang w:val="en-US" w:eastAsia="zh-CN" w:bidi="ar-SA"/>
    </w:rPr>
  </w:style>
  <w:style w:type="character" w:styleId="847" w:customStyle="1">
    <w:name w:val="标题 字符"/>
    <w:link w:val="802"/>
    <w:uiPriority w:val="10"/>
    <w:qFormat/>
    <w:rPr>
      <w:sz w:val="48"/>
      <w:szCs w:val="48"/>
    </w:rPr>
  </w:style>
  <w:style w:type="character" w:styleId="848" w:customStyle="1">
    <w:name w:val="副标题 字符"/>
    <w:link w:val="795"/>
    <w:uiPriority w:val="11"/>
    <w:qFormat/>
    <w:rPr>
      <w:sz w:val="24"/>
      <w:szCs w:val="24"/>
    </w:rPr>
  </w:style>
  <w:style w:type="paragraph" w:styleId="849">
    <w:name w:val="Quote"/>
    <w:basedOn w:val="770"/>
    <w:next w:val="770"/>
    <w:link w:val="850"/>
    <w:uiPriority w:val="29"/>
    <w:qFormat/>
    <w:pPr>
      <w:ind w:left="720" w:right="720"/>
    </w:pPr>
    <w:rPr>
      <w:i/>
    </w:rPr>
  </w:style>
  <w:style w:type="character" w:styleId="850" w:customStyle="1">
    <w:name w:val="引用 字符"/>
    <w:link w:val="849"/>
    <w:uiPriority w:val="29"/>
    <w:qFormat/>
    <w:rPr>
      <w:i/>
    </w:rPr>
  </w:style>
  <w:style w:type="paragraph" w:styleId="851">
    <w:name w:val="Intense Quote"/>
    <w:basedOn w:val="770"/>
    <w:next w:val="770"/>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qFormat/>
    <w:rPr>
      <w:i/>
    </w:rPr>
  </w:style>
  <w:style w:type="character" w:styleId="853" w:customStyle="1">
    <w:name w:val="页眉 字符"/>
    <w:link w:val="792"/>
    <w:uiPriority w:val="99"/>
    <w:qFormat/>
  </w:style>
  <w:style w:type="character" w:styleId="854" w:customStyle="1">
    <w:name w:val="Footer Char"/>
    <w:uiPriority w:val="99"/>
    <w:qFormat/>
  </w:style>
  <w:style w:type="character" w:styleId="855" w:customStyle="1">
    <w:name w:val="页脚 字符"/>
    <w:link w:val="791"/>
    <w:uiPriority w:val="99"/>
    <w:qFormat/>
  </w:style>
  <w:style w:type="table" w:styleId="85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1" w:customStyle="1">
    <w:name w:val="脚注文本 字符"/>
    <w:link w:val="796"/>
    <w:uiPriority w:val="99"/>
    <w:qFormat/>
    <w:rPr>
      <w:sz w:val="18"/>
    </w:rPr>
  </w:style>
  <w:style w:type="character" w:styleId="982" w:customStyle="1">
    <w:name w:val="尾注文本 字符"/>
    <w:link w:val="790"/>
    <w:uiPriority w:val="99"/>
    <w:qFormat/>
    <w:rPr>
      <w:sz w:val="20"/>
    </w:rPr>
  </w:style>
  <w:style w:type="paragraph" w:styleId="983" w:customStyle="1">
    <w:name w:val="TOC 标题11"/>
    <w:uiPriority w:val="39"/>
    <w:unhideWhenUsed/>
    <w:qFormat/>
    <w:rPr>
      <w:rFonts w:ascii="Times New Roman" w:hAnsi="Times New Roman" w:eastAsia="宋体" w:cs="Times New Roman"/>
      <w:lang w:val="en-US" w:eastAsia="zh-CN" w:bidi="ar-SA"/>
    </w:rPr>
  </w:style>
  <w:style w:type="paragraph" w:styleId="984" w:customStyle="1">
    <w:name w:val="标题 21"/>
    <w:basedOn w:val="770"/>
    <w:next w:val="770"/>
    <w:uiPriority w:val="9"/>
    <w:qFormat/>
    <w:pPr>
      <w:keepLines/>
      <w:keepNext/>
      <w:spacing w:before="260" w:after="260" w:line="413" w:lineRule="auto"/>
      <w:outlineLvl w:val="1"/>
    </w:pPr>
    <w:rPr>
      <w:rFonts w:ascii="Arial" w:hAnsi="Arial" w:eastAsia="黑体"/>
      <w:sz w:val="32"/>
    </w:rPr>
  </w:style>
  <w:style w:type="character" w:styleId="985" w:customStyle="1">
    <w:name w:val="默认段落字体1"/>
    <w:uiPriority w:val="0"/>
    <w:semiHidden/>
    <w:qFormat/>
  </w:style>
  <w:style w:type="table" w:styleId="986" w:customStyle="1">
    <w:name w:val="普通表格1"/>
    <w:uiPriority w:val="0"/>
    <w:semiHidden/>
    <w:qFormat/>
    <w:tblPr>
      <w:tblCellMar>
        <w:left w:w="0" w:type="dxa"/>
        <w:top w:w="0" w:type="dxa"/>
        <w:right w:w="0" w:type="dxa"/>
        <w:bottom w:w="0" w:type="dxa"/>
      </w:tblCellMar>
    </w:tblPr>
  </w:style>
  <w:style w:type="paragraph" w:styleId="987" w:customStyle="1">
    <w:name w:val="批注文字1"/>
    <w:basedOn w:val="770"/>
    <w:uiPriority w:val="0"/>
    <w:qFormat/>
    <w:pPr>
      <w:jc w:val="left"/>
    </w:pPr>
  </w:style>
  <w:style w:type="paragraph" w:styleId="988" w:customStyle="1">
    <w:name w:val="列表项目符号 51"/>
    <w:basedOn w:val="770"/>
    <w:uiPriority w:val="0"/>
    <w:qFormat/>
    <w:pPr>
      <w:numPr>
        <w:ilvl w:val="0"/>
        <w:numId w:val="2"/>
      </w:numPr>
    </w:pPr>
  </w:style>
  <w:style w:type="paragraph" w:styleId="989" w:customStyle="1">
    <w:name w:val="正文文本缩进11"/>
    <w:basedOn w:val="770"/>
    <w:uiPriority w:val="0"/>
    <w:qFormat/>
    <w:pPr>
      <w:ind w:left="420" w:firstLine="1124"/>
      <w:spacing w:after="120" w:line="360" w:lineRule="auto"/>
    </w:pPr>
    <w:rPr>
      <w:rFonts w:ascii="Calibri" w:hAnsi="Calibri"/>
      <w:sz w:val="24"/>
      <w:szCs w:val="24"/>
    </w:rPr>
  </w:style>
  <w:style w:type="paragraph" w:styleId="990" w:customStyle="1">
    <w:name w:val="页脚111"/>
    <w:basedOn w:val="770"/>
    <w:uiPriority w:val="99"/>
    <w:unhideWhenUsed/>
    <w:qFormat/>
    <w:pPr>
      <w:tabs>
        <w:tab w:val="center" w:pos="7143" w:leader="none"/>
        <w:tab w:val="right" w:pos="14287" w:leader="none"/>
      </w:tabs>
    </w:pPr>
  </w:style>
  <w:style w:type="paragraph" w:styleId="991" w:customStyle="1">
    <w:name w:val="页眉1"/>
    <w:basedOn w:val="77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92" w:customStyle="1">
    <w:name w:val="普通(网站)1"/>
    <w:basedOn w:val="770"/>
    <w:uiPriority w:val="0"/>
    <w:qFormat/>
    <w:pPr>
      <w:jc w:val="left"/>
      <w:spacing w:before="100" w:beforeAutospacing="1" w:after="100" w:afterAutospacing="1"/>
    </w:pPr>
    <w:rPr>
      <w:sz w:val="24"/>
    </w:rPr>
  </w:style>
  <w:style w:type="paragraph" w:styleId="993" w:customStyle="1">
    <w:name w:val="正文首行缩进 211"/>
    <w:basedOn w:val="989"/>
    <w:uiPriority w:val="0"/>
    <w:qFormat/>
    <w:pPr>
      <w:ind w:firstLine="420"/>
      <w:spacing w:line="240" w:lineRule="auto"/>
    </w:pPr>
  </w:style>
  <w:style w:type="paragraph" w:styleId="994" w:customStyle="1">
    <w:name w:val="正文文本1"/>
    <w:basedOn w:val="770"/>
    <w:uiPriority w:val="0"/>
    <w:qFormat/>
    <w:rPr>
      <w:sz w:val="20"/>
    </w:rPr>
  </w:style>
  <w:style w:type="character" w:styleId="995" w:customStyle="1">
    <w:name w:val="已访问的超链接1"/>
    <w:uiPriority w:val="0"/>
    <w:qFormat/>
    <w:rPr>
      <w:rFonts w:ascii="Times New Roman" w:hAnsi="Times New Roman" w:eastAsia="宋体" w:cs="Times New Roman"/>
      <w:sz w:val="21"/>
      <w:lang w:val="en-US" w:eastAsia="zh-CN" w:bidi="ar-SA"/>
    </w:rPr>
  </w:style>
  <w:style w:type="paragraph" w:styleId="996" w:customStyle="1">
    <w:name w:val="目录 11"/>
    <w:basedOn w:val="770"/>
    <w:next w:val="770"/>
    <w:uiPriority w:val="0"/>
    <w:qFormat/>
  </w:style>
  <w:style w:type="paragraph" w:styleId="997" w:customStyle="1">
    <w:name w:val="正文首行缩进 21"/>
    <w:basedOn w:val="998"/>
    <w:uiPriority w:val="0"/>
    <w:qFormat/>
    <w:pPr>
      <w:ind w:firstLine="420"/>
      <w:spacing w:line="240" w:lineRule="auto"/>
    </w:pPr>
  </w:style>
  <w:style w:type="paragraph" w:styleId="998" w:customStyle="1">
    <w:name w:val="正文文本缩进1"/>
    <w:basedOn w:val="770"/>
    <w:uiPriority w:val="0"/>
    <w:qFormat/>
    <w:pPr>
      <w:ind w:left="420" w:firstLine="1124"/>
      <w:spacing w:after="120" w:line="360" w:lineRule="auto"/>
    </w:pPr>
    <w:rPr>
      <w:rFonts w:ascii="Calibri" w:hAnsi="Calibri"/>
      <w:sz w:val="24"/>
      <w:szCs w:val="24"/>
    </w:rPr>
  </w:style>
  <w:style w:type="paragraph" w:styleId="999" w:customStyle="1">
    <w:name w:val="普通文字"/>
    <w:basedOn w:val="770"/>
    <w:next w:val="770"/>
    <w:uiPriority w:val="0"/>
    <w:qFormat/>
    <w:rPr>
      <w:rFonts w:ascii="宋体"/>
      <w:sz w:val="24"/>
    </w:rPr>
  </w:style>
  <w:style w:type="paragraph" w:styleId="1000" w:customStyle="1">
    <w:name w:val="表格"/>
    <w:basedOn w:val="770"/>
    <w:uiPriority w:val="0"/>
    <w:qFormat/>
  </w:style>
  <w:style w:type="paragraph" w:styleId="1001" w:customStyle="1">
    <w:name w:val="Table Text"/>
    <w:basedOn w:val="770"/>
    <w:uiPriority w:val="0"/>
    <w:semiHidden/>
    <w:qFormat/>
    <w:rPr>
      <w:rFonts w:ascii="宋体" w:hAnsi="宋体" w:cs="宋体"/>
      <w:sz w:val="22"/>
      <w:szCs w:val="22"/>
      <w:lang w:eastAsia="en-US"/>
    </w:rPr>
  </w:style>
  <w:style w:type="paragraph" w:styleId="1002" w:customStyle="1">
    <w:name w:val="UserStyle_10"/>
    <w:basedOn w:val="770"/>
    <w:uiPriority w:val="99"/>
    <w:qFormat/>
    <w:pPr>
      <w:ind w:firstLine="480"/>
      <w:jc w:val="left"/>
      <w:spacing w:before="120" w:after="120" w:line="360" w:lineRule="auto"/>
      <w:widowControl/>
    </w:pPr>
    <w:rPr>
      <w:rFonts w:ascii="Arial" w:hAnsi="Arial"/>
      <w:sz w:val="24"/>
    </w:rPr>
  </w:style>
  <w:style w:type="paragraph" w:styleId="1003" w:customStyle="1">
    <w:name w:val="正文缩进1"/>
    <w:basedOn w:val="770"/>
    <w:uiPriority w:val="0"/>
    <w:qFormat/>
    <w:pPr>
      <w:ind w:firstLine="420"/>
      <w:jc w:val="left"/>
    </w:pPr>
    <w:rPr>
      <w:rFonts w:ascii="宋体" w:hAnsi="Calibri"/>
      <w:sz w:val="24"/>
      <w:szCs w:val="22"/>
    </w:rPr>
  </w:style>
  <w:style w:type="paragraph" w:styleId="1004" w:customStyle="1">
    <w:name w:val="索引 11"/>
    <w:basedOn w:val="770"/>
    <w:next w:val="770"/>
    <w:uiPriority w:val="0"/>
    <w:qFormat/>
    <w:pPr>
      <w:spacing w:line="360" w:lineRule="auto"/>
    </w:pPr>
    <w:rPr>
      <w:rFonts w:ascii="仿宋_GB2312" w:eastAsia="仿宋_GB2312"/>
      <w:sz w:val="24"/>
    </w:rPr>
  </w:style>
  <w:style w:type="paragraph" w:styleId="1005" w:customStyle="1">
    <w:name w:val="纯文本1"/>
    <w:basedOn w:val="770"/>
    <w:uiPriority w:val="0"/>
    <w:qFormat/>
    <w:rPr>
      <w:rFonts w:ascii="宋体" w:hAnsi="Courier New"/>
      <w:szCs w:val="22"/>
    </w:rPr>
  </w:style>
  <w:style w:type="paragraph" w:styleId="1006" w:customStyle="1">
    <w:name w:val="页眉11"/>
    <w:basedOn w:val="770"/>
    <w:uiPriority w:val="99"/>
    <w:unhideWhenUsed/>
    <w:qFormat/>
    <w:pPr>
      <w:tabs>
        <w:tab w:val="center" w:pos="7143" w:leader="none"/>
        <w:tab w:val="right" w:pos="14287" w:leader="none"/>
      </w:tabs>
    </w:pPr>
  </w:style>
  <w:style w:type="paragraph" w:styleId="1007" w:customStyle="1">
    <w:name w:val="页脚1"/>
    <w:basedOn w:val="770"/>
    <w:uiPriority w:val="0"/>
    <w:qFormat/>
    <w:pPr>
      <w:jc w:val="left"/>
      <w:tabs>
        <w:tab w:val="center" w:pos="4153" w:leader="none"/>
        <w:tab w:val="right" w:pos="8306" w:leader="none"/>
      </w:tabs>
    </w:pPr>
    <w:rPr>
      <w:sz w:val="18"/>
    </w:rPr>
  </w:style>
  <w:style w:type="paragraph" w:styleId="1008" w:customStyle="1">
    <w:name w:val="页脚11"/>
    <w:basedOn w:val="770"/>
    <w:uiPriority w:val="99"/>
    <w:unhideWhenUsed/>
    <w:qFormat/>
    <w:pPr>
      <w:tabs>
        <w:tab w:val="center" w:pos="7143" w:leader="none"/>
        <w:tab w:val="right" w:pos="14287" w:leader="none"/>
      </w:tabs>
    </w:pPr>
  </w:style>
  <w:style w:type="character" w:styleId="1009" w:customStyle="1">
    <w:name w:val="页码1"/>
    <w:basedOn w:val="985"/>
    <w:uiPriority w:val="0"/>
    <w:qFormat/>
    <w:rPr>
      <w:rFonts w:ascii="Times New Roman" w:hAnsi="Times New Roman" w:eastAsia="宋体" w:cs="Times New Roman"/>
      <w:sz w:val="21"/>
      <w:lang w:val="en-US" w:eastAsia="zh-CN" w:bidi="ar-SA"/>
    </w:rPr>
  </w:style>
  <w:style w:type="paragraph" w:styleId="1010" w:customStyle="1">
    <w:name w:val="Fließtext"/>
    <w:basedOn w:val="770"/>
    <w:uiPriority w:val="0"/>
    <w:qFormat/>
  </w:style>
  <w:style w:type="paragraph" w:styleId="1011" w:customStyle="1">
    <w:name w:val="正文文本12"/>
    <w:basedOn w:val="770"/>
    <w:next w:val="1012"/>
    <w:uiPriority w:val="0"/>
    <w:qFormat/>
    <w:rPr>
      <w:sz w:val="20"/>
    </w:rPr>
  </w:style>
  <w:style w:type="paragraph" w:styleId="1012" w:customStyle="1">
    <w:name w:val="正文首行缩进1"/>
    <w:basedOn w:val="812"/>
    <w:uiPriority w:val="0"/>
    <w:qFormat/>
    <w:pPr>
      <w:ind w:firstLine="200"/>
      <w:spacing w:line="360" w:lineRule="auto"/>
    </w:pPr>
    <w:rPr>
      <w:rFonts w:ascii="仿宋_GB2312" w:eastAsia="仿宋_GB2312"/>
      <w:sz w:val="30"/>
      <w:szCs w:val="30"/>
    </w:rPr>
  </w:style>
  <w:style w:type="character" w:styleId="1013" w:customStyle="1">
    <w:name w:val="NormalCharacter"/>
    <w:uiPriority w:val="0"/>
    <w:qFormat/>
  </w:style>
  <w:style w:type="paragraph" w:styleId="1014" w:customStyle="1">
    <w:name w:val="无间隔1"/>
    <w:basedOn w:val="770"/>
    <w:uiPriority w:val="99"/>
    <w:qFormat/>
    <w:pPr>
      <w:jc w:val="center"/>
    </w:pPr>
    <w:rPr>
      <w:rFonts w:ascii="宋体" w:hAnsi="宋体" w:cs="宋体"/>
      <w:szCs w:val="24"/>
    </w:rPr>
  </w:style>
  <w:style w:type="paragraph" w:styleId="1015" w:customStyle="1">
    <w:name w:val="BodyText1I1"/>
    <w:basedOn w:val="1016"/>
    <w:uiPriority w:val="0"/>
    <w:qFormat/>
    <w:pPr>
      <w:ind w:firstLine="420"/>
    </w:pPr>
  </w:style>
  <w:style w:type="paragraph" w:styleId="1016" w:customStyle="1">
    <w:name w:val="BodyText1"/>
    <w:basedOn w:val="770"/>
    <w:uiPriority w:val="0"/>
    <w:qFormat/>
    <w:pPr>
      <w:spacing w:after="120"/>
    </w:pPr>
  </w:style>
  <w:style w:type="paragraph" w:styleId="1017" w:customStyle="1">
    <w:name w:val="标题 11"/>
    <w:basedOn w:val="770"/>
    <w:next w:val="770"/>
    <w:uiPriority w:val="9"/>
    <w:qFormat/>
    <w:pPr>
      <w:jc w:val="center"/>
      <w:keepLines/>
      <w:keepNext/>
      <w:outlineLvl w:val="0"/>
    </w:pPr>
    <w:rPr>
      <w:b/>
      <w:bCs/>
      <w:sz w:val="28"/>
      <w:szCs w:val="44"/>
    </w:rPr>
  </w:style>
  <w:style w:type="paragraph" w:styleId="1018"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19" w:customStyle="1">
    <w:name w:val="font61"/>
    <w:basedOn w:val="985"/>
    <w:uiPriority w:val="0"/>
    <w:qFormat/>
    <w:rPr>
      <w:rFonts w:hint="default" w:ascii="Times New Roman" w:hAnsi="Times New Roman" w:eastAsia="宋体" w:cs="Times New Roman"/>
      <w:sz w:val="21"/>
    </w:rPr>
  </w:style>
  <w:style w:type="paragraph" w:styleId="1020" w:customStyle="1">
    <w:name w:val="正文文本首行缩进1"/>
    <w:basedOn w:val="994"/>
    <w:uiPriority w:val="0"/>
    <w:qFormat/>
    <w:pPr>
      <w:ind w:firstLine="420"/>
      <w:spacing w:after="120"/>
      <w:tabs>
        <w:tab w:val="left" w:pos="2020" w:leader="none"/>
        <w:tab w:val="center" w:pos="4535" w:leader="none"/>
      </w:tabs>
    </w:pPr>
    <w:rPr>
      <w:sz w:val="21"/>
    </w:rPr>
  </w:style>
  <w:style w:type="paragraph" w:styleId="1021" w:customStyle="1">
    <w:name w:val="Table Paragraph"/>
    <w:basedOn w:val="770"/>
    <w:uiPriority w:val="1"/>
    <w:qFormat/>
  </w:style>
  <w:style w:type="table" w:styleId="1022" w:customStyle="1">
    <w:name w:val="Table Normal"/>
    <w:uiPriority w:val="2"/>
    <w:semiHidden/>
    <w:unhideWhenUsed/>
    <w:qFormat/>
    <w:tblPr>
      <w:tblCellMar>
        <w:left w:w="0" w:type="dxa"/>
        <w:top w:w="0" w:type="dxa"/>
        <w:right w:w="0" w:type="dxa"/>
        <w:bottom w:w="0" w:type="dxa"/>
      </w:tblCellMar>
    </w:tblPr>
  </w:style>
  <w:style w:type="numbering" w:styleId="10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Swisslog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吕元放</cp:lastModifiedBy>
  <cp:revision>74</cp:revision>
  <dcterms:created xsi:type="dcterms:W3CDTF">2024-07-25T02:27:00Z</dcterms:created>
  <dcterms:modified xsi:type="dcterms:W3CDTF">2026-09-21T02:12:26Z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D79F7AB77D4944D39C829422AE59C5FD_13</vt:lpwstr>
  </property>
  <property fmtid="{D5CDD505-2E9C-101B-9397-08002B2CF9AE}" pid="4" name="KSOTemplateDocerSaveRecord">
    <vt:lpwstr>eyJoZGlkIjoiZTEzOGM1NDFkY2JlZmYwOWY3ZjE2MDM1YzQ1ZmJkYTgiLCJ1c2VySWQiOiIyNzYzNjU0NzgifQ==</vt:lpwstr>
  </property>
  <property fmtid="{D5CDD505-2E9C-101B-9397-08002B2CF9AE}" pid="5" name="MSIP_Label_82dec22d-229d-40db-9a4b-c4145b7a32c0_Enabled">
    <vt:lpwstr>true</vt:lpwstr>
  </property>
  <property fmtid="{D5CDD505-2E9C-101B-9397-08002B2CF9AE}" pid="6" name="MSIP_Label_82dec22d-229d-40db-9a4b-c4145b7a32c0_SetDate">
    <vt:lpwstr>2025-05-23T01:07:28Z</vt:lpwstr>
  </property>
  <property fmtid="{D5CDD505-2E9C-101B-9397-08002B2CF9AE}" pid="7" name="MSIP_Label_82dec22d-229d-40db-9a4b-c4145b7a32c0_Method">
    <vt:lpwstr>Privileged</vt:lpwstr>
  </property>
  <property fmtid="{D5CDD505-2E9C-101B-9397-08002B2CF9AE}" pid="8" name="MSIP_Label_82dec22d-229d-40db-9a4b-c4145b7a32c0_Name">
    <vt:lpwstr>Public</vt:lpwstr>
  </property>
  <property fmtid="{D5CDD505-2E9C-101B-9397-08002B2CF9AE}" pid="9" name="MSIP_Label_82dec22d-229d-40db-9a4b-c4145b7a32c0_SiteId">
    <vt:lpwstr>cb7220b2-13d6-4f28-a895-fe9733df80d1</vt:lpwstr>
  </property>
  <property fmtid="{D5CDD505-2E9C-101B-9397-08002B2CF9AE}" pid="10" name="MSIP_Label_82dec22d-229d-40db-9a4b-c4145b7a32c0_ActionId">
    <vt:lpwstr>cb05f4d6-cf3f-4143-8a44-bc853b4be2c8</vt:lpwstr>
  </property>
  <property fmtid="{D5CDD505-2E9C-101B-9397-08002B2CF9AE}" pid="11" name="MSIP_Label_82dec22d-229d-40db-9a4b-c4145b7a32c0_ContentBits">
    <vt:lpwstr>0</vt:lpwstr>
  </property>
  <property fmtid="{D5CDD505-2E9C-101B-9397-08002B2CF9AE}" pid="12" name="MSIP_Label_82dec22d-229d-40db-9a4b-c4145b7a32c0_Tag">
    <vt:lpwstr>10, 0, 1, 1</vt:lpwstr>
  </property>
</Properties>
</file>