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contextualSpacing w:val="0"/>
        <w:ind w:left="0" w:right="0" w:firstLine="472"/>
        <w:jc w:val="center"/>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NSimSun" w:hAnsi="NSimSun" w:eastAsia="NSimSun" w:cs="NSimSun"/>
          <w:b/>
          <w:color w:val="000000"/>
          <w:sz w:val="84"/>
        </w:rPr>
        <w:t xml:space="preserve">竞争性磋商文件</w:t>
      </w:r>
      <w:r/>
    </w:p>
    <w:p>
      <w:pPr>
        <w:contextualSpacing w:val="0"/>
        <w:ind w:left="0" w:right="0" w:firstLine="0"/>
        <w:jc w:val="center"/>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NSimSun" w:hAnsi="NSimSun" w:eastAsia="NSimSun" w:cs="NSimSun"/>
          <w:b/>
          <w:color w:val="000000"/>
          <w:sz w:val="32"/>
        </w:rPr>
        <w:t xml:space="preserve">（全流程电子化）</w:t>
      </w:r>
      <w:r/>
    </w:p>
    <w:p>
      <w:pPr>
        <w:contextualSpacing w:val="0"/>
        <w:ind w:left="0" w:right="0" w:firstLine="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NSimSun" w:hAnsi="NSimSun" w:eastAsia="NSimSun" w:cs="NSimSun"/>
          <w:b/>
          <w:color w:val="000000"/>
          <w:sz w:val="24"/>
        </w:rPr>
        <w:t xml:space="preserve"> </w:t>
      </w:r>
      <w:r/>
    </w:p>
    <w:p>
      <w:pPr>
        <w:contextualSpacing w:val="0"/>
        <w:ind w:left="0" w:right="0" w:firstLine="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NSimSun" w:hAnsi="NSimSun" w:eastAsia="NSimSun" w:cs="NSimSun"/>
          <w:b/>
          <w:color w:val="000000"/>
          <w:sz w:val="24"/>
        </w:rPr>
        <w:t xml:space="preserve"> </w:t>
      </w:r>
      <w:r/>
    </w:p>
    <w:p>
      <w:pPr>
        <w:contextualSpacing w:val="0"/>
        <w:ind w:left="0" w:right="0" w:firstLine="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NSimSun" w:hAnsi="NSimSun" w:eastAsia="NSimSun" w:cs="NSimSun"/>
          <w:b/>
          <w:color w:val="000000"/>
          <w:sz w:val="24"/>
        </w:rPr>
        <w:t xml:space="preserve"> </w:t>
      </w:r>
      <w:r/>
    </w:p>
    <w:p>
      <w:pPr>
        <w:contextualSpacing w:val="0"/>
        <w:ind w:left="0" w:right="0" w:firstLine="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NSimSun" w:hAnsi="NSimSun" w:eastAsia="NSimSun" w:cs="NSimSun"/>
          <w:b/>
          <w:color w:val="000000"/>
          <w:sz w:val="24"/>
        </w:rPr>
        <w:t xml:space="preserve"> </w:t>
      </w:r>
      <w:r/>
    </w:p>
    <w:p>
      <w:pPr>
        <w:contextualSpacing w:val="0"/>
        <w:ind w:left="0" w:right="0" w:firstLine="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NSimSun" w:hAnsi="NSimSun" w:eastAsia="NSimSun" w:cs="NSimSun"/>
          <w:b/>
          <w:color w:val="000000"/>
          <w:sz w:val="24"/>
        </w:rPr>
        <w:t xml:space="preserve"> </w:t>
      </w:r>
      <w:r/>
    </w:p>
    <w:p>
      <w:pPr>
        <w:contextualSpacing w:val="0"/>
        <w:ind w:left="0" w:right="0" w:firstLine="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NSimSun" w:hAnsi="NSimSun" w:eastAsia="NSimSun" w:cs="NSimSun"/>
          <w:b/>
          <w:color w:val="000000"/>
          <w:sz w:val="24"/>
        </w:rPr>
        <w:t xml:space="preserve"> </w:t>
      </w:r>
      <w:r/>
    </w:p>
    <w:p>
      <w:pPr>
        <w:contextualSpacing w:val="0"/>
        <w:ind w:left="0" w:right="0" w:firstLine="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NSimSun" w:hAnsi="NSimSun" w:eastAsia="NSimSun" w:cs="NSimSun"/>
          <w:b/>
          <w:color w:val="000000"/>
          <w:sz w:val="32"/>
        </w:rPr>
        <w:t xml:space="preserve">项目名称：2027年度“天地图泰州”数据融合及节点维护更新项目</w:t>
      </w:r>
      <w:r/>
    </w:p>
    <w:p>
      <w:pPr>
        <w:contextualSpacing w:val="0"/>
        <w:ind w:left="0" w:right="0" w:firstLine="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NSimSun" w:hAnsi="NSimSun" w:eastAsia="NSimSun" w:cs="NSimSun"/>
          <w:b/>
          <w:color w:val="000000"/>
          <w:sz w:val="32"/>
        </w:rPr>
        <w:t xml:space="preserve">项目编号：JSZC-321200-HQGC-C2026-0042</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NSimSun" w:hAnsi="NSimSun" w:eastAsia="NSimSun" w:cs="NSimSun"/>
          <w:b/>
          <w:color w:val="000000"/>
          <w:sz w:val="32"/>
        </w:rPr>
        <w:t xml:space="preserve">采 购 人：泰州市自然资源和规划局</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NSimSun" w:hAnsi="NSimSun" w:eastAsia="NSimSun" w:cs="NSimSun"/>
          <w:b/>
          <w:color w:val="000000"/>
          <w:sz w:val="32"/>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NSimSun" w:hAnsi="NSimSun" w:eastAsia="NSimSun" w:cs="NSimSun"/>
          <w:b/>
          <w:color w:val="000000"/>
          <w:sz w:val="32"/>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NSimSun" w:hAnsi="NSimSun" w:eastAsia="NSimSun" w:cs="NSimSun"/>
          <w:b/>
          <w:color w:val="000000"/>
          <w:sz w:val="32"/>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NSimSun" w:hAnsi="NSimSun" w:eastAsia="NSimSun" w:cs="NSimSun"/>
          <w:b/>
          <w:color w:val="000000"/>
          <w:sz w:val="32"/>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NSimSun" w:hAnsi="NSimSun" w:eastAsia="NSimSun" w:cs="NSimSun"/>
          <w:b/>
          <w:color w:val="000000"/>
          <w:sz w:val="32"/>
        </w:rPr>
        <w:t xml:space="preserve"> </w:t>
      </w:r>
      <w:r/>
    </w:p>
    <w:p>
      <w:pPr>
        <w:contextualSpacing w:val="0"/>
        <w:ind w:left="0" w:right="0" w:firstLine="0"/>
        <w:jc w:val="center"/>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NSimSun" w:hAnsi="NSimSun" w:eastAsia="NSimSun" w:cs="NSimSun"/>
          <w:b/>
          <w:color w:val="000000"/>
          <w:sz w:val="32"/>
        </w:rPr>
        <w:t xml:space="preserve">采购代理机构：江苏华强工程投资管理咨询有限公司</w:t>
      </w:r>
      <w:r/>
    </w:p>
    <w:p>
      <w:pPr>
        <w:contextualSpacing w:val="0"/>
        <w:ind w:left="0" w:right="0" w:firstLine="643"/>
        <w:jc w:val="center"/>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NSimSun" w:hAnsi="NSimSun" w:eastAsia="NSimSun" w:cs="NSimSun"/>
          <w:b/>
          <w:color w:val="000000"/>
          <w:sz w:val="32"/>
        </w:rPr>
        <w:t xml:space="preserve">2026年10月</w:t>
      </w:r>
      <w:r/>
    </w:p>
    <w:p>
      <w:pPr>
        <w:contextualSpacing w:val="0"/>
        <w:ind w:left="0" w:right="0" w:firstLine="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NSimSun" w:hAnsi="NSimSun" w:eastAsia="NSimSun" w:cs="NSimSun"/>
          <w:b/>
          <w:color w:val="000000"/>
          <w:sz w:val="24"/>
        </w:rPr>
      </w:r>
      <w:r/>
    </w:p>
    <w:p>
      <w:pPr>
        <w:contextualSpacing w:val="0"/>
        <w:ind w:left="0" w:right="0" w:firstLine="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NSimSun" w:hAnsi="NSimSun" w:eastAsia="NSimSun" w:cs="NSimSun"/>
          <w:b/>
          <w:color w:val="000000"/>
          <w:sz w:val="24"/>
        </w:rPr>
        <w:t xml:space="preserve"> </w:t>
      </w:r>
      <w:r/>
    </w:p>
    <w:p>
      <w:pPr>
        <w:contextualSpacing w:val="0"/>
        <w:ind w:left="0" w:right="0" w:firstLine="0"/>
        <w:jc w:val="center"/>
        <w:spacing w:before="0" w:after="24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40"/>
        </w:rPr>
        <w:t xml:space="preserve">目  录</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p>
      <w:pPr>
        <w:contextualSpacing w:val="0"/>
        <w:ind w:left="0" w:right="0" w:firstLine="0"/>
        <w:jc w:val="left"/>
        <w:spacing w:before="120" w:after="120" w:line="360" w:lineRule="auto"/>
        <w:tabs>
          <w:tab w:val="left" w:pos="9440" w:leader="none"/>
        </w:tabs>
        <w:pBdr>
          <w:top w:val="none" w:color="000000" w:sz="4" w:space="0"/>
          <w:left w:val="none" w:color="000000" w:sz="4" w:space="0"/>
          <w:bottom w:val="none" w:color="000000" w:sz="4" w:space="0"/>
          <w:right w:val="none" w:color="000000" w:sz="4" w:space="0"/>
        </w:pBdr>
        <w:suppressLineNumbers w:val="0"/>
      </w:pPr>
      <w:r/>
      <w:hyperlink r:id="rId10" w:tooltip="https://jszfcg.jsczt.cn/jszc/onlyoffice/7.2.1-34/web-apps/apps/documenteditor/main/index_loader.html?_dc=7.2.1-34&amp;lang=zh&amp;customer=%20&amp;logo=%20&amp;headerlogo=%2Ffavicon.ico&amp;frameEditorId=iframePage&amp;compact=true&amp;parentOrigin=https://jszfcg.jsczt.cn#_Toc86268900" w:history="1">
        <w:r>
          <w:rPr>
            <w:rStyle w:val="838"/>
            <w:rFonts w:ascii="SimSun" w:hAnsi="SimSun" w:eastAsia="SimSun" w:cs="SimSun"/>
            <w:b/>
            <w:color w:val="0000ee"/>
            <w:sz w:val="21"/>
            <w:u w:val="single"/>
          </w:rPr>
          <w:t xml:space="preserve">第一章 竞争性磋商采购公告</w:t>
          <w:tab/>
          <w:t xml:space="preserve">3</w:t>
        </w:r>
      </w:hyperlink>
      <w:r/>
      <w:r/>
    </w:p>
    <w:p>
      <w:pPr>
        <w:contextualSpacing w:val="0"/>
        <w:ind w:left="0" w:right="0" w:firstLine="0"/>
        <w:jc w:val="left"/>
        <w:spacing w:before="120" w:after="120" w:line="360" w:lineRule="auto"/>
        <w:tabs>
          <w:tab w:val="left" w:pos="9440" w:leader="none"/>
        </w:tabs>
        <w:pBdr>
          <w:top w:val="none" w:color="000000" w:sz="4" w:space="0"/>
          <w:left w:val="none" w:color="000000" w:sz="4" w:space="0"/>
          <w:bottom w:val="none" w:color="000000" w:sz="4" w:space="0"/>
          <w:right w:val="none" w:color="000000" w:sz="4" w:space="0"/>
        </w:pBdr>
        <w:suppressLineNumbers w:val="0"/>
      </w:pPr>
      <w:r/>
      <w:hyperlink r:id="rId11" w:tooltip="https://jszfcg.jsczt.cn/jszc/onlyoffice/7.2.1-34/web-apps/apps/documenteditor/main/index_loader.html?_dc=7.2.1-34&amp;lang=zh&amp;customer=%20&amp;logo=%20&amp;headerlogo=%2Ffavicon.ico&amp;frameEditorId=iframePage&amp;compact=true&amp;parentOrigin=https://jszfcg.jsczt.cn#_Toc86268900" w:history="1">
        <w:r>
          <w:rPr>
            <w:rStyle w:val="838"/>
            <w:rFonts w:ascii="SimSun" w:hAnsi="SimSun" w:eastAsia="SimSun" w:cs="SimSun"/>
            <w:b/>
            <w:color w:val="0000ee"/>
            <w:sz w:val="21"/>
            <w:u w:val="single"/>
          </w:rPr>
          <w:t xml:space="preserve">第二章 参加磋商供应商须知</w:t>
          <w:tab/>
          <w:t xml:space="preserve">7</w:t>
        </w:r>
      </w:hyperlink>
      <w:r/>
      <w:r/>
    </w:p>
    <w:p>
      <w:pPr>
        <w:contextualSpacing w:val="0"/>
        <w:ind w:left="0" w:right="0" w:firstLine="0"/>
        <w:jc w:val="left"/>
        <w:spacing w:before="120" w:after="120" w:line="360" w:lineRule="auto"/>
        <w:tabs>
          <w:tab w:val="left" w:pos="9440" w:leader="none"/>
        </w:tabs>
        <w:pBdr>
          <w:top w:val="none" w:color="000000" w:sz="4" w:space="0"/>
          <w:left w:val="none" w:color="000000" w:sz="4" w:space="0"/>
          <w:bottom w:val="none" w:color="000000" w:sz="4" w:space="0"/>
          <w:right w:val="none" w:color="000000" w:sz="4" w:space="0"/>
        </w:pBdr>
        <w:suppressLineNumbers w:val="0"/>
      </w:pPr>
      <w:r/>
      <w:hyperlink r:id="rId12" w:tooltip="https://jszfcg.jsczt.cn/jszc/onlyoffice/7.2.1-34/web-apps/apps/documenteditor/main/index_loader.html?_dc=7.2.1-34&amp;lang=zh&amp;customer=%20&amp;logo=%20&amp;headerlogo=%2Ffavicon.ico&amp;frameEditorId=iframePage&amp;compact=true&amp;parentOrigin=https://jszfcg.jsczt.cn#_Toc86268901" w:history="1">
        <w:r>
          <w:rPr>
            <w:rStyle w:val="838"/>
            <w:rFonts w:ascii="SimSun" w:hAnsi="SimSun" w:eastAsia="SimSun" w:cs="SimSun"/>
            <w:b/>
            <w:color w:val="0000ee"/>
            <w:sz w:val="21"/>
            <w:u w:val="single"/>
          </w:rPr>
          <w:t xml:space="preserve">第三章 合同条款及格式</w:t>
          <w:tab/>
          <w:t xml:space="preserve">22</w:t>
        </w:r>
      </w:hyperlink>
      <w:r>
        <w:rPr>
          <w:rFonts w:ascii="SimSun" w:hAnsi="SimSun" w:eastAsia="SimSun" w:cs="SimSun"/>
          <w:b/>
          <w:color w:val="000000"/>
          <w:sz w:val="21"/>
        </w:rPr>
      </w:r>
      <w:r/>
    </w:p>
    <w:p>
      <w:pPr>
        <w:contextualSpacing w:val="0"/>
        <w:ind w:left="0" w:right="0" w:firstLine="0"/>
        <w:jc w:val="left"/>
        <w:spacing w:before="120" w:after="120" w:line="360" w:lineRule="auto"/>
        <w:tabs>
          <w:tab w:val="left" w:pos="9440" w:leader="none"/>
        </w:tabs>
        <w:pBdr>
          <w:top w:val="none" w:color="000000" w:sz="4" w:space="0"/>
          <w:left w:val="none" w:color="000000" w:sz="4" w:space="0"/>
          <w:bottom w:val="none" w:color="000000" w:sz="4" w:space="0"/>
          <w:right w:val="none" w:color="000000" w:sz="4" w:space="0"/>
        </w:pBdr>
        <w:suppressLineNumbers w:val="0"/>
      </w:pPr>
      <w:r/>
      <w:hyperlink r:id="rId13" w:tooltip="https://jszfcg.jsczt.cn/jszc/onlyoffice/7.2.1-34/web-apps/apps/documenteditor/main/index_loader.html?_dc=7.2.1-34&amp;lang=zh&amp;customer=%20&amp;logo=%20&amp;headerlogo=%2Ffavicon.ico&amp;frameEditorId=iframePage&amp;compact=true&amp;parentOrigin=https://jszfcg.jsczt.cn#_Toc86268902" w:history="1">
        <w:r>
          <w:rPr>
            <w:rStyle w:val="838"/>
            <w:rFonts w:ascii="SimSun" w:hAnsi="SimSun" w:eastAsia="SimSun" w:cs="SimSun"/>
            <w:b/>
            <w:color w:val="0000ee"/>
            <w:sz w:val="21"/>
            <w:u w:val="single"/>
          </w:rPr>
          <w:t xml:space="preserve">第四章 项目需求</w:t>
          <w:tab/>
          <w:t xml:space="preserve">26</w:t>
        </w:r>
      </w:hyperlink>
      <w:r>
        <w:rPr>
          <w:rFonts w:ascii="SimSun" w:hAnsi="SimSun" w:eastAsia="SimSun" w:cs="SimSun"/>
          <w:b/>
          <w:color w:val="000000"/>
          <w:sz w:val="21"/>
        </w:rPr>
      </w:r>
      <w:r/>
    </w:p>
    <w:p>
      <w:pPr>
        <w:contextualSpacing w:val="0"/>
        <w:ind w:left="0" w:right="0" w:firstLine="0"/>
        <w:jc w:val="left"/>
        <w:spacing w:before="120" w:after="120" w:line="360" w:lineRule="auto"/>
        <w:tabs>
          <w:tab w:val="left" w:pos="9440" w:leader="none"/>
        </w:tabs>
        <w:pBdr>
          <w:top w:val="none" w:color="000000" w:sz="4" w:space="0"/>
          <w:left w:val="none" w:color="000000" w:sz="4" w:space="0"/>
          <w:bottom w:val="none" w:color="000000" w:sz="4" w:space="0"/>
          <w:right w:val="none" w:color="000000" w:sz="4" w:space="0"/>
        </w:pBdr>
        <w:suppressLineNumbers w:val="0"/>
      </w:pPr>
      <w:r/>
      <w:hyperlink r:id="rId14" w:tooltip="https://jszfcg.jsczt.cn/jszc/onlyoffice/7.2.1-34/web-apps/apps/documenteditor/main/index_loader.html?_dc=7.2.1-34&amp;lang=zh&amp;customer=%20&amp;logo=%20&amp;headerlogo=%2Ffavicon.ico&amp;frameEditorId=iframePage&amp;compact=true&amp;parentOrigin=https://jszfcg.jsczt.cn#_Toc86268903" w:history="1">
        <w:r>
          <w:rPr>
            <w:rStyle w:val="838"/>
            <w:rFonts w:ascii="SimSun" w:hAnsi="SimSun" w:eastAsia="SimSun" w:cs="SimSun"/>
            <w:b/>
            <w:color w:val="0000ee"/>
            <w:sz w:val="21"/>
            <w:u w:val="single"/>
          </w:rPr>
          <w:t xml:space="preserve">第五章 评审方法和评审标准</w:t>
          <w:tab/>
          <w:t xml:space="preserve">30</w:t>
        </w:r>
      </w:hyperlink>
      <w:r>
        <w:rPr>
          <w:rFonts w:ascii="SimSun" w:hAnsi="SimSun" w:eastAsia="SimSun" w:cs="SimSun"/>
          <w:b/>
          <w:color w:val="000000"/>
          <w:sz w:val="21"/>
        </w:rPr>
      </w:r>
      <w:r/>
    </w:p>
    <w:p>
      <w:pPr>
        <w:contextualSpacing w:val="0"/>
        <w:ind w:left="0" w:right="0" w:firstLine="0"/>
        <w:jc w:val="left"/>
        <w:spacing w:before="120" w:after="120" w:line="360" w:lineRule="auto"/>
        <w:tabs>
          <w:tab w:val="left" w:pos="9440" w:leader="none"/>
        </w:tabs>
        <w:pBdr>
          <w:top w:val="none" w:color="000000" w:sz="4" w:space="0"/>
          <w:left w:val="none" w:color="000000" w:sz="4" w:space="0"/>
          <w:bottom w:val="none" w:color="000000" w:sz="4" w:space="0"/>
          <w:right w:val="none" w:color="000000" w:sz="4" w:space="0"/>
        </w:pBdr>
        <w:suppressLineNumbers w:val="0"/>
      </w:pPr>
      <w:r/>
      <w:hyperlink r:id="rId15" w:tooltip="https://jszfcg.jsczt.cn/jszc/onlyoffice/7.2.1-34/web-apps/apps/documenteditor/main/index_loader.html?_dc=7.2.1-34&amp;lang=zh&amp;customer=%20&amp;logo=%20&amp;headerlogo=%2Ffavicon.ico&amp;frameEditorId=iframePage&amp;compact=true&amp;parentOrigin=https://jszfcg.jsczt.cn#_Toc86268903" w:history="1">
        <w:r>
          <w:rPr>
            <w:rStyle w:val="838"/>
            <w:rFonts w:ascii="SimSun" w:hAnsi="SimSun" w:eastAsia="SimSun" w:cs="SimSun"/>
            <w:b/>
            <w:color w:val="0000ee"/>
            <w:sz w:val="21"/>
            <w:u w:val="single"/>
          </w:rPr>
          <w:t xml:space="preserve">第六章 响应文件的组成和格式</w:t>
          <w:tab/>
          <w:t xml:space="preserve">37</w:t>
        </w:r>
      </w:hyperlink>
      <w:r>
        <w:rPr>
          <w:rFonts w:ascii="SimSun" w:hAnsi="SimSun" w:eastAsia="SimSun" w:cs="SimSun"/>
          <w:b/>
          <w:color w:val="000000"/>
          <w:sz w:val="21"/>
        </w:rPr>
      </w:r>
      <w:r/>
    </w:p>
    <w:p>
      <w:pPr>
        <w:contextualSpacing w:val="0"/>
        <w:ind w:left="0" w:right="0" w:firstLine="0"/>
        <w:jc w:val="left"/>
        <w:spacing w:before="120" w:after="120" w:line="360" w:lineRule="auto"/>
        <w:tabs>
          <w:tab w:val="left" w:pos="944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18"/>
          <w:u w:val="single"/>
        </w:rPr>
        <w:t xml:space="preserve"> </w:t>
      </w:r>
      <w:r/>
    </w:p>
    <w:p>
      <w:pPr>
        <w:contextualSpacing w:val="0"/>
        <w:ind w:left="0" w:right="0" w:firstLine="0"/>
        <w:jc w:val="left"/>
        <w:spacing w:before="120" w:after="120" w:line="360" w:lineRule="auto"/>
        <w:tabs>
          <w:tab w:val="left" w:pos="944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18"/>
          <w:u w:val="single"/>
        </w:rPr>
        <w:t xml:space="preserve"> </w:t>
      </w:r>
      <w:r/>
    </w:p>
    <w:p>
      <w:pPr>
        <w:contextualSpacing w:val="0"/>
        <w:ind w:left="0" w:right="0" w:firstLine="0"/>
        <w:jc w:val="left"/>
        <w:spacing w:before="120" w:after="120" w:line="360" w:lineRule="auto"/>
        <w:tabs>
          <w:tab w:val="left" w:pos="944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18"/>
          <w:u w:val="single"/>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br w:type="page" w:clear="all"/>
      </w:r>
      <w:r/>
    </w:p>
    <w:p>
      <w:pPr>
        <w:pStyle w:val="678"/>
        <w:contextualSpacing w:val="0"/>
        <w:ind w:left="0" w:right="0" w:firstLine="422"/>
        <w:jc w:val="center"/>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第一章 竞争性磋商采购公告</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u w:val="none"/>
        </w:rPr>
        <w:t xml:space="preserve">项目概况</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u w:val="single"/>
        </w:rPr>
        <w:t xml:space="preserve">2027年度“天地图泰州”数据融合及节点维护更新项目</w:t>
      </w:r>
      <w:r>
        <w:rPr>
          <w:rFonts w:ascii="SimSun" w:hAnsi="SimSun" w:eastAsia="SimSun" w:cs="SimSun"/>
          <w:color w:val="000000"/>
          <w:sz w:val="21"/>
        </w:rPr>
        <w:t xml:space="preserve">的潜在供应商应在</w:t>
      </w:r>
      <w:r>
        <w:rPr>
          <w:rFonts w:ascii="SimSun" w:hAnsi="SimSun" w:eastAsia="SimSun" w:cs="SimSun"/>
          <w:b/>
          <w:color w:val="000000"/>
          <w:sz w:val="21"/>
          <w:u w:val="single"/>
        </w:rPr>
        <w:t xml:space="preserve">江苏政府采购网</w:t>
      </w:r>
      <w:r>
        <w:rPr>
          <w:rFonts w:ascii="SimSun" w:hAnsi="SimSun" w:eastAsia="SimSun" w:cs="SimSun"/>
          <w:color w:val="000000"/>
          <w:sz w:val="21"/>
        </w:rPr>
        <w:t xml:space="preserve">获取采购文件，并于2026年11月10日9点00分（北京时间）前提交响应文件。</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一、项目基本情况</w:t>
      </w:r>
      <w:r/>
    </w:p>
    <w:p>
      <w:pPr>
        <w:contextualSpacing w:val="0"/>
        <w:ind w:left="0" w:right="0" w:firstLine="42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u w:val="none"/>
        </w:rPr>
        <w:t xml:space="preserve">项目编号：</w:t>
      </w:r>
      <w:r>
        <w:rPr>
          <w:rFonts w:ascii="SimSun" w:hAnsi="SimSun" w:eastAsia="SimSun" w:cs="SimSun"/>
          <w:color w:val="000000"/>
          <w:sz w:val="21"/>
        </w:rPr>
        <w:t xml:space="preserve">JSZC-321200-HQGC-C2026-0042</w:t>
      </w:r>
      <w:r/>
    </w:p>
    <w:p>
      <w:pPr>
        <w:contextualSpacing w:val="0"/>
        <w:ind w:left="0" w:right="0" w:firstLine="42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项目名称：</w:t>
      </w:r>
      <w:r>
        <w:rPr>
          <w:rFonts w:ascii="SimSun" w:hAnsi="SimSun" w:eastAsia="SimSun" w:cs="SimSun"/>
          <w:color w:val="000000"/>
          <w:sz w:val="21"/>
        </w:rPr>
        <w:t xml:space="preserve">2027年度“天地图泰州”数据融合及节点维护更新项目</w:t>
      </w:r>
      <w:r/>
    </w:p>
    <w:p>
      <w:pPr>
        <w:contextualSpacing w:val="0"/>
        <w:ind w:left="0" w:right="0" w:firstLine="42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采购方式：</w:t>
      </w:r>
      <w:r>
        <w:rPr>
          <w:rFonts w:ascii="SimSun" w:hAnsi="SimSun" w:eastAsia="SimSun" w:cs="SimSun"/>
          <w:color w:val="000000"/>
          <w:sz w:val="21"/>
        </w:rPr>
        <w:t xml:space="preserve">竞争性磋商 </w:t>
      </w:r>
      <w:r/>
    </w:p>
    <w:p>
      <w:pPr>
        <w:contextualSpacing w:val="0"/>
        <w:ind w:left="0" w:right="0" w:firstLine="42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预算金额：</w:t>
      </w:r>
      <w:r>
        <w:rPr>
          <w:rFonts w:ascii="SimSun" w:hAnsi="SimSun" w:eastAsia="SimSun" w:cs="SimSun"/>
          <w:color w:val="000000"/>
          <w:sz w:val="21"/>
        </w:rPr>
        <w:t xml:space="preserve">130万元人民币</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最高限价：</w:t>
      </w:r>
      <w:r>
        <w:rPr>
          <w:rFonts w:ascii="SimSun" w:hAnsi="SimSun" w:eastAsia="SimSun" w:cs="SimSun"/>
          <w:color w:val="000000"/>
          <w:sz w:val="21"/>
        </w:rPr>
        <w:t xml:space="preserve">总价130万元人民币，超过最高限价按无效响应处理。 </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采购需求：</w:t>
      </w:r>
      <w:r>
        <w:rPr>
          <w:rFonts w:ascii="SimSun" w:hAnsi="SimSun" w:eastAsia="SimSun" w:cs="SimSun"/>
          <w:color w:val="000000"/>
          <w:sz w:val="21"/>
        </w:rPr>
        <w:t xml:space="preserve">根据自然资源部及江苏省自然资源厅关于新一代地理信息公共服务平台（天地图）建设、数据联动更新和应用服务的部署要求，开展2027年度“天地图·泰州”数据融合及节点维护更新工作。以2026年“天地图·泰州”本底库为基础，持续推进全要素月度更新、重大变化即时更新和重点专题，形成覆盖泰州全域、现势准确、衔接一致的基础地理信息资源；巩固新一代平台“五统一”建设成果，提升二三维一体化、智能服务、遥感影像与实景三维发布能力，做好安全运行、成果审核、资源目录维护和应用推广，为党政机关、社会公众及各行业提供统一、权威、规范、便</w:t>
      </w:r>
      <w:r>
        <w:rPr>
          <w:rFonts w:ascii="SimSun" w:hAnsi="SimSun" w:eastAsia="SimSun" w:cs="SimSun"/>
          <w:color w:val="000000"/>
          <w:sz w:val="21"/>
        </w:rPr>
        <w:t xml:space="preserve">捷的地理信息公共服务。具体内容见磋商文件第四章 项目需求。</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合同履行期限：</w:t>
      </w:r>
      <w:r>
        <w:rPr>
          <w:rFonts w:ascii="SimSun" w:hAnsi="SimSun" w:eastAsia="SimSun" w:cs="SimSun"/>
          <w:color w:val="000000"/>
          <w:sz w:val="21"/>
        </w:rPr>
        <w:t xml:space="preserve">2027年1月1日起至2027年12月31日止。</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本项目是否接受联合体投标：是。</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二、申请人的资格要求：</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u w:val="none"/>
        </w:rPr>
        <w:t xml:space="preserve">1.满足《中华人民共和国政府采购法》第二十二条的规定：</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1.1具有独立承担民事责任的能力；</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1.2具有良好的商业信誉和健全的财务会计制度；</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1.3具有依法缴纳税收和社会保障资金的良好记录；</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1.4具备履行合同所必需的设备和专业技术能力；</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1.5参加政府采购活动前三年内，在经营活动中没有重大违法记录；</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1.6法律、行政法规规定的其他条件。</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2.落实政府采购政策需满足的资格要求：</w:t>
      </w:r>
      <w:r>
        <w:rPr>
          <w:rFonts w:ascii="SimSun" w:hAnsi="SimSun" w:eastAsia="SimSun" w:cs="SimSun"/>
          <w:b/>
          <w:color w:val="000000"/>
          <w:sz w:val="21"/>
        </w:rPr>
        <w:t xml:space="preserve">本项目不专门面向中小企业，所属行业</w:t>
      </w:r>
      <w:r>
        <w:rPr>
          <w:rFonts w:ascii="SimSun" w:hAnsi="SimSun" w:eastAsia="SimSun" w:cs="SimSun"/>
          <w:b/>
          <w:color w:val="000000"/>
          <w:sz w:val="21"/>
          <w:u w:val="single"/>
        </w:rPr>
        <w:t xml:space="preserve">其他未列明行业</w:t>
      </w:r>
      <w:r>
        <w:rPr>
          <w:rFonts w:ascii="SimSun" w:hAnsi="SimSun" w:eastAsia="SimSun" w:cs="SimSun"/>
          <w:b/>
          <w:color w:val="000000"/>
          <w:sz w:val="21"/>
        </w:rPr>
        <w:t xml:space="preserve">。</w:t>
      </w:r>
      <w:r>
        <w:rPr>
          <w:rFonts w:ascii="SimSun" w:hAnsi="SimSun" w:eastAsia="SimSun" w:cs="SimSun"/>
          <w:color w:val="000000"/>
          <w:sz w:val="21"/>
        </w:rPr>
        <w:t xml:space="preserve">根据《江苏省财政厅关于进一步加大政府采购支持中小企业力度的通知》（苏财购〔2022〕45号）规定，对小型和微型企业产品的价格给予10%的扣除。参加报价的中小企业，应当按照《政府采购促进中小企业发展管理办法》（财库〔2020〕46号）的规定提供《中小企业声明函》（中小企业划型标准详见《关于印发中小企业划型标准规定的通知》工信部联企业〔2011〕300号）。</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3.本项目的特定资格要求：</w:t>
      </w:r>
      <w:r>
        <w:rPr>
          <w:rFonts w:ascii="SimSun" w:hAnsi="SimSun" w:eastAsia="SimSun" w:cs="SimSun"/>
          <w:b/>
          <w:color w:val="000000"/>
          <w:sz w:val="21"/>
        </w:rPr>
        <w:t xml:space="preserve">供应商须具有测绘行政主管部门颁发的乙级及以上测绘资质证书（提供证书扫描件并加盖单位电子章）。</w:t>
      </w:r>
      <w:r/>
    </w:p>
    <w:p>
      <w:pPr>
        <w:contextualSpacing w:val="0"/>
        <w:ind w:left="420" w:right="0" w:firstLine="0"/>
        <w:jc w:val="left"/>
        <w:spacing w:before="0" w:after="0" w:line="360" w:lineRule="auto"/>
        <w:tabs>
          <w:tab w:val="left" w:pos="90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4.拒绝下述供应商参加本次采购活动：</w:t>
      </w:r>
      <w:r/>
    </w:p>
    <w:p>
      <w:pPr>
        <w:contextualSpacing w:val="0"/>
        <w:ind w:left="0" w:right="0" w:firstLine="420"/>
        <w:jc w:val="left"/>
        <w:spacing w:before="0" w:after="0" w:line="360" w:lineRule="auto"/>
        <w:tabs>
          <w:tab w:val="left" w:pos="90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4.1供应商单位负责人为同一人或者存在直接控股、管理关系的不同供应商，不得参加同一合同项下的政府采购活动。</w:t>
      </w:r>
      <w:r/>
    </w:p>
    <w:p>
      <w:pPr>
        <w:contextualSpacing w:val="0"/>
        <w:ind w:left="0" w:right="0" w:firstLine="420"/>
        <w:jc w:val="left"/>
        <w:spacing w:before="0" w:after="0" w:line="360" w:lineRule="auto"/>
        <w:tabs>
          <w:tab w:val="left" w:pos="90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4.2凡为本采购项目提供整体设计、规范编制或者项目管理、监理、检测等服务的供应商，不得再参加本采购项目的其他采购活动；</w:t>
      </w:r>
      <w:r/>
    </w:p>
    <w:p>
      <w:pPr>
        <w:contextualSpacing w:val="0"/>
        <w:ind w:left="0" w:right="0" w:firstLine="420"/>
        <w:jc w:val="left"/>
        <w:spacing w:before="0" w:after="0" w:line="360" w:lineRule="auto"/>
        <w:tabs>
          <w:tab w:val="left" w:pos="90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4.3供应商被“信用中国”网站（www.creditchina.gov.cn）、“中国政府采购网”（www.ccgp.gov.cn）列入严重失信主体名单、政府采购严重违法失信行为记录名单。</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三、获取采购文件</w:t>
      </w:r>
      <w:r/>
    </w:p>
    <w:p>
      <w:pPr>
        <w:contextualSpacing w:val="0"/>
        <w:ind w:left="0" w:right="0" w:firstLine="420"/>
        <w:jc w:val="left"/>
        <w:spacing w:before="0" w:after="0" w:line="360" w:lineRule="auto"/>
        <w:tabs>
          <w:tab w:val="left" w:pos="90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u w:val="none"/>
        </w:rPr>
        <w:t xml:space="preserve">1.获取时间：自公告发布之日起5个工作日。</w:t>
      </w:r>
      <w:r/>
    </w:p>
    <w:p>
      <w:pPr>
        <w:contextualSpacing w:val="0"/>
        <w:ind w:left="0" w:right="0" w:firstLine="420"/>
        <w:jc w:val="left"/>
        <w:spacing w:before="0" w:after="0" w:line="360" w:lineRule="auto"/>
        <w:tabs>
          <w:tab w:val="left" w:pos="90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2.地点：网上注册登记成功后可在系统内免费下载。</w:t>
      </w:r>
      <w:r/>
    </w:p>
    <w:p>
      <w:pPr>
        <w:contextualSpacing w:val="0"/>
        <w:ind w:left="0" w:right="0" w:firstLine="420"/>
        <w:jc w:val="left"/>
        <w:spacing w:before="0" w:after="0" w:line="360" w:lineRule="auto"/>
        <w:tabs>
          <w:tab w:val="left" w:pos="90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3.获取方式：本项目采用网上注册登记方式。</w:t>
      </w:r>
      <w:r/>
    </w:p>
    <w:p>
      <w:pPr>
        <w:contextualSpacing w:val="0"/>
        <w:ind w:left="0" w:right="0" w:firstLine="420"/>
        <w:jc w:val="left"/>
        <w:spacing w:before="0" w:after="0" w:line="360" w:lineRule="auto"/>
        <w:tabs>
          <w:tab w:val="left" w:pos="90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3.1供应商如确定参加竞争性磋商活动，可自行下载采购文件及有关资料，按照采购文件规定进行注册、领取CA和办理电子签章，请至泰州市高港区泰州大道388号（中国医药城会展政务服务中心W3馆西南角）公共资源交易大厅6号窗口办理，电话：0523-81568158，17327800634。根据《“苏采云”系统供应商操作手册http://www.ccgp-jiangsu.gov.cn/jiangsu/zlxz/ee/ee3a4bc5a3454aa2b0d9312230633ce9.html》规定，在“苏采云”（ htt</w:t>
      </w:r>
      <w:r>
        <w:rPr>
          <w:rFonts w:ascii="SimSun" w:hAnsi="SimSun" w:eastAsia="SimSun" w:cs="SimSun"/>
          <w:color w:val="000000"/>
          <w:sz w:val="21"/>
        </w:rPr>
        <w:t xml:space="preserve">p://jszfcg.jsczt.cn/jszc/login）中按要求制作、上传电子响应文件（技术支持电话：0523-87633965、0523-86897512；客服QQ：709339244、1195486789）。有关本次采购的事项若存在变动或修改，敬请及时关注“江苏政府采购网”发布的更正公告。</w:t>
      </w:r>
      <w:r/>
    </w:p>
    <w:p>
      <w:pPr>
        <w:contextualSpacing w:val="0"/>
        <w:ind w:left="0" w:right="0" w:firstLine="420"/>
        <w:jc w:val="left"/>
        <w:spacing w:before="0" w:after="0" w:line="360" w:lineRule="auto"/>
        <w:tabs>
          <w:tab w:val="left" w:pos="90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3.2供应商插入CA证书登录“苏采云”系统后选择具体项目，点击“我要参与”并签章提交《投标供应商确认函》，提交《投标供应商确认函》日期视同为依法获取招标文件日期。</w:t>
      </w:r>
      <w:r/>
    </w:p>
    <w:p>
      <w:pPr>
        <w:contextualSpacing w:val="0"/>
        <w:ind w:left="0" w:right="0" w:firstLine="420"/>
        <w:jc w:val="left"/>
        <w:spacing w:before="0" w:after="0" w:line="360" w:lineRule="auto"/>
        <w:tabs>
          <w:tab w:val="left" w:pos="90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3.3请潜在供应商提前安装相应的控件（详见《江苏省政府采购管理交易系统（苏采云）供应商操作手册》）并使用谷歌浏览器登录“苏采云”系统参与不见面开评标。</w:t>
      </w:r>
      <w:r/>
    </w:p>
    <w:p>
      <w:pPr>
        <w:contextualSpacing w:val="0"/>
        <w:ind w:left="0" w:right="0" w:firstLine="420"/>
        <w:jc w:val="left"/>
        <w:spacing w:before="0" w:after="0" w:line="360" w:lineRule="auto"/>
        <w:tabs>
          <w:tab w:val="left" w:pos="90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3.4开评标全过程中，磋商供应商一端参与交互的人员均被视为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w:t>
      </w:r>
      <w:r>
        <w:rPr>
          <w:rFonts w:ascii="SimSun" w:hAnsi="SimSun" w:eastAsia="SimSun" w:cs="SimSun"/>
          <w:color w:val="000000"/>
          <w:sz w:val="21"/>
        </w:rPr>
        <w:t xml:space="preserve">切后果。</w:t>
      </w:r>
      <w:r/>
    </w:p>
    <w:p>
      <w:pPr>
        <w:contextualSpacing w:val="0"/>
        <w:ind w:left="0" w:right="0" w:firstLine="422"/>
        <w:jc w:val="left"/>
        <w:spacing w:before="0" w:after="0" w:line="360" w:lineRule="auto"/>
        <w:tabs>
          <w:tab w:val="left" w:pos="90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注：如潜在供应商未按上述要求操作，将自行承担所产生的风险。</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四、响应文件提交</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u w:val="none"/>
        </w:rPr>
        <w:t xml:space="preserve">1.响应文件提交截止时间：</w:t>
      </w:r>
      <w:r>
        <w:rPr>
          <w:rFonts w:ascii="SimSun" w:hAnsi="SimSun" w:eastAsia="SimSun" w:cs="SimSun"/>
          <w:color w:val="000000"/>
          <w:sz w:val="21"/>
        </w:rPr>
        <w:t xml:space="preserve">2026年11月10日09时00分（北京时间）。逾期，“苏采云”系统将拒绝接收上传响应文件电子文档。</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2.地点：“苏采云”系统（网址：http://jszfcg.jsczt.cn/）</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五、开启（</w:t>
      </w:r>
      <w:r>
        <w:rPr>
          <w:rFonts w:ascii="SimSun" w:hAnsi="SimSun" w:eastAsia="SimSun" w:cs="SimSun"/>
          <w:b/>
          <w:i/>
          <w:color w:val="000000"/>
          <w:sz w:val="21"/>
        </w:rPr>
        <w:t xml:space="preserve">竞争性磋商方式必须填写</w:t>
      </w:r>
      <w:r>
        <w:rPr>
          <w:rFonts w:ascii="SimSun" w:hAnsi="SimSun" w:eastAsia="SimSun" w:cs="SimSun"/>
          <w:b/>
          <w:color w:val="000000"/>
          <w:sz w:val="21"/>
        </w:rPr>
        <w:t xml:space="preserve">）</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u w:val="none"/>
        </w:rPr>
        <w:t xml:space="preserve">1.时间：</w:t>
      </w:r>
      <w:r>
        <w:rPr>
          <w:rFonts w:ascii="SimSun" w:hAnsi="SimSun" w:eastAsia="SimSun" w:cs="SimSun"/>
          <w:color w:val="000000"/>
          <w:sz w:val="21"/>
        </w:rPr>
        <w:t xml:space="preserve">2026年11月10日09时00分（北京时间）。</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2.地点：“苏采云”系统（网址：http://jszfcg.jsczt.cn/）“开标大厅”</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进行远程解密，</w:t>
      </w:r>
      <w:r>
        <w:rPr>
          <w:rFonts w:ascii="SimSun" w:hAnsi="SimSun" w:eastAsia="SimSun" w:cs="SimSun"/>
          <w:b/>
          <w:color w:val="000000"/>
          <w:sz w:val="21"/>
        </w:rPr>
        <w:t xml:space="preserve">投标供应商应在开标后30分钟内完成解密。</w:t>
      </w:r>
      <w:r>
        <w:rPr>
          <w:rFonts w:ascii="SimSun" w:hAnsi="SimSun" w:eastAsia="SimSun" w:cs="SimSun"/>
          <w:color w:val="000000"/>
          <w:sz w:val="21"/>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contextualSpacing w:val="0"/>
        <w:ind w:left="0" w:right="0" w:firstLine="42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注：</w:t>
      </w:r>
      <w:r>
        <w:rPr>
          <w:rFonts w:ascii="SimSun" w:hAnsi="SimSun" w:eastAsia="SimSun" w:cs="SimSun"/>
          <w:color w:val="000000"/>
          <w:sz w:val="21"/>
        </w:rPr>
        <w:t xml:space="preserve">各供应商请关注开标大厅交流区，在开标结束后，请勿离开开标大厅。采购人或采购代理机构通知最后报价填报后，所有响应供应商须在15分钟内填写并提交最后报价，未在规定时间内提交最后报价的，视作无效响应处理。</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六、公告期限</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自本公告发布之日起3个工作日。</w:t>
      </w:r>
      <w:r/>
    </w:p>
    <w:p>
      <w:pPr>
        <w:numPr>
          <w:ilvl w:val="0"/>
          <w:numId w:val="8"/>
        </w:numPr>
        <w:contextualSpacing w:val="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其他补充事宜</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1.项目磋商活动模式：不见面远程磋商模式，供应商在各自地点通过不见面交易系统参加开标会。 </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p>
    <w:p>
      <w:pPr>
        <w:contextualSpacing w:val="0"/>
        <w:ind w:left="0" w:right="0" w:firstLine="42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3.本项目按照政府采购法律制度规定，在磋商中任何一方不得透露与磋商有关的其他供应商的技术资料、价格和其他信息，因此不公开唱标。最终成交供应商名称和成交金额可通过江苏省政府采购网站发布成交结果公告获得。</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4.相关法律法规规定：</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rPr>
          <w:rFonts w:ascii="SimSun" w:hAnsi="SimSun" w:eastAsia="SimSun" w:cs="SimSun"/>
          <w:b/>
          <w:color w:val="000000"/>
          <w:sz w:val="21"/>
        </w:rPr>
        <w:t xml:space="preserve">符合《政府采购竞争性磋商采购方式管理办法》第三条第四项及《财政部关于竞争性磋商采购方式管理暂行办法有关问题的补充通知》（财库〔2015〕124号）规定情形的，提交最后报价的供应商可以为2家。</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contextualSpacing w:val="0"/>
        <w:ind w:left="0" w:right="0" w:firstLine="42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5.本项目为固定总价合同</w:t>
      </w:r>
      <w:r>
        <w:rPr>
          <w:rFonts w:ascii="SimSun" w:hAnsi="SimSun" w:eastAsia="SimSun" w:cs="SimSun"/>
          <w:color w:val="000000"/>
          <w:sz w:val="21"/>
        </w:rPr>
        <w:t xml:space="preserve">，包含但不限于本项目服务过程中的检测服务人员费用（人员工资福利保险费、技术实施服务费、技术咨询服务费）、差旅费、食宿费、平台运营管理费、成果审核费、税金，以及一切不可预见的车辆费用、风险费用、利润等。供应商应充分考虑本项目合同实施期间可能发生的费用，并承担由此而带来的风险。</w:t>
      </w:r>
      <w:r/>
    </w:p>
    <w:p>
      <w:pPr>
        <w:contextualSpacing w:val="0"/>
        <w:ind w:left="0" w:right="0" w:firstLine="42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6.本项目联合体单位不超过两家，响应文件中须提供联合体协议书（格式详见附件）。</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八、凡对本次采购提出询问，请按以下方式联系。</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1.采购单位：泰州市自然资源和规划局</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地址：泰州市凤凰东路51号</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联系人：杨先生联系电话：0523-86910695 </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2.代理机构：江苏华强工程投资管理咨询有限公司</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联 系 人：杨女士 联系电话：0523-86933690</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邮箱地址：196673901@qq.com</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办公地址：泰州市海陵南路179号华诚大厦B座9楼西侧 </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邮政编码：225300</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u w:val="none"/>
        </w:rPr>
        <w:t xml:space="preserve">3.项目联系方式</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项目联系人：杨女士联系电话：0523-86933690</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br w:type="page" w:clear="all"/>
      </w:r>
      <w:r/>
    </w:p>
    <w:p>
      <w:pPr>
        <w:contextualSpacing w:val="0"/>
        <w:ind w:left="0" w:right="0" w:firstLine="422"/>
        <w:jc w:val="center"/>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第二章 参加磋商供应商须知</w:t>
      </w:r>
      <w:r>
        <w:rPr>
          <w:rFonts w:ascii="宋体" w:hAnsi="宋体" w:cs="宋体"/>
          <w:sz w:val="22"/>
          <w:szCs w:val="22"/>
        </w:rPr>
      </w:r>
      <w:r/>
    </w:p>
    <w:p>
      <w:pPr>
        <w:contextualSpacing w:val="0"/>
        <w:ind w:left="0" w:right="0" w:firstLine="420"/>
        <w:jc w:val="center"/>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（参加竞争性磋商的供应商以下简称“磋商供应商”）</w:t>
      </w:r>
      <w:r>
        <w:rPr>
          <w:rFonts w:ascii="宋体" w:hAnsi="宋体" w:cs="宋体"/>
          <w:sz w:val="22"/>
          <w:szCs w:val="22"/>
        </w:rPr>
      </w:r>
      <w:r/>
    </w:p>
    <w:p>
      <w:pPr>
        <w:contextualSpacing w:val="0"/>
        <w:ind w:left="0" w:right="0" w:firstLine="422"/>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一、总则</w:t>
      </w:r>
      <w:r>
        <w:rPr>
          <w:rFonts w:ascii="宋体" w:hAnsi="宋体" w:cs="宋体"/>
          <w:sz w:val="22"/>
          <w:szCs w:val="22"/>
        </w:rPr>
      </w:r>
      <w:r/>
    </w:p>
    <w:p>
      <w:pPr>
        <w:contextualSpacing w:val="0"/>
        <w:ind w:left="0" w:right="0" w:firstLine="420"/>
        <w:jc w:val="left"/>
        <w:spacing w:before="0" w:after="0" w:line="360" w:lineRule="auto"/>
        <w:tabs>
          <w:tab w:val="left" w:pos="900" w:leader="none"/>
          <w:tab w:val="left" w:pos="4873"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1.适用范围</w:t>
        <w:tab/>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本磋商文件仅适用于2027年度“天地图泰州”数据融合及节点维护更新项目。</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2.项目采购方式</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本次采购采取竞争性磋商的方式。</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3.合格的磋商供应商</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3.1满足本磋商文件“竞争性磋商采购公告”中合格磋商供应商资格要求的规定。</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3.2 满足本磋商文件实质性要求和条件的规定。</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4.参加磋商费用</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4.1参加磋商供应商应自行承担所有与参加磋商有关的费用。不论最终的成交结果如何，江苏华强工程投资管理咨询有限公司（以下简称代理机构）在任何情况下均无义务和责任承担这些费用。</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4.2 招标代理服务费参照《关于印发〈江苏省政府采购代理服务收费指导意见〉的通知》（苏政采</w:t>
      </w:r>
      <w:r>
        <w:rPr>
          <w:rFonts w:ascii="宋体" w:hAnsi="宋体" w:eastAsia="宋体" w:cs="宋体"/>
          <w:color w:val="000000"/>
          <w:sz w:val="22"/>
          <w:szCs w:val="22"/>
        </w:rPr>
        <w:t xml:space="preserve">〔</w:t>
      </w:r>
      <w:r>
        <w:rPr>
          <w:rFonts w:ascii="宋体" w:hAnsi="宋体" w:eastAsia="SimSun" w:cs="宋体"/>
          <w:color w:val="000000"/>
          <w:sz w:val="22"/>
          <w:szCs w:val="22"/>
        </w:rPr>
        <w:t xml:space="preserve">2024</w:t>
      </w:r>
      <w:r>
        <w:rPr>
          <w:rFonts w:ascii="宋体" w:hAnsi="宋体" w:eastAsia="宋体" w:cs="宋体"/>
          <w:color w:val="000000"/>
          <w:sz w:val="22"/>
          <w:szCs w:val="22"/>
        </w:rPr>
        <w:t xml:space="preserve">〕</w:t>
      </w:r>
      <w:r>
        <w:rPr>
          <w:rFonts w:ascii="宋体" w:hAnsi="宋体" w:eastAsia="宋体" w:cs="宋体"/>
          <w:color w:val="000000"/>
          <w:sz w:val="22"/>
          <w:szCs w:val="22"/>
        </w:rPr>
        <w:t xml:space="preserve">20号）文件收费标准收取，费用由采购人承担。</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5.磋商文件的约束力</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供应商一旦领取了本磋商文件并决定参加磋商，即被视为接受了本磋商文件的规定和约束，并且视为自竞争性磋商公告期限届满之日起已经知道或应当知道自身权益是否受到了损害。</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u w:val="none"/>
        </w:rPr>
        <w:t xml:space="preserve">6.磋商文件的解释</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磋商文件需求部分（供应商资格要求、项目需求、商务技术评分标准）由采购人解释，其他部分由采购代理机构解释。</w:t>
      </w:r>
      <w:r>
        <w:rPr>
          <w:rFonts w:ascii="宋体" w:hAnsi="宋体" w:cs="宋体"/>
          <w:sz w:val="22"/>
          <w:szCs w:val="22"/>
        </w:rPr>
      </w:r>
      <w:r/>
    </w:p>
    <w:p>
      <w:pPr>
        <w:contextualSpacing w:val="0"/>
        <w:ind w:left="0" w:right="0" w:firstLine="482"/>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二、磋商文件</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u w:val="none"/>
        </w:rPr>
        <w:t xml:space="preserve">1.磋商文件构成</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1.1 磋商文件由以下部分组成：</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（1）竞争性磋商公告</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（2）供应商须知</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（3）合同条款及格式</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（4）项目需求</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（5）评审方法和评审标准</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（6）响应文件组成和格式</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请仔细检查磋商文件是否齐全，如有缺漏请立即与采购人或采购代理机构联系解决。</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u w:val="none"/>
        </w:rPr>
        <w:t xml:space="preserve">2.磋商文件的澄清</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2.2采购人可以视采购项目的具体情况，组织供应商进行现场考察或召开磋商前答疑会，但不单独或分别组织只有一个供应商参加的现场考察和答疑会。</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u w:val="none"/>
        </w:rPr>
        <w:t xml:space="preserve">3.磋商文件的修改</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br/>
        <w:t xml:space="preserve">    3.2磋商文件的修改将在江苏政府采购网公布，补充文件将作为磋商文件的组成部分，并对供应商具有约束力。</w:t>
      </w:r>
      <w:r>
        <w:rPr>
          <w:rFonts w:ascii="宋体" w:hAnsi="宋体" w:cs="宋体"/>
          <w:sz w:val="22"/>
          <w:szCs w:val="22"/>
        </w:rPr>
      </w:r>
      <w:r/>
    </w:p>
    <w:p>
      <w:pPr>
        <w:contextualSpacing w:val="0"/>
        <w:ind w:left="0" w:right="0" w:firstLine="482"/>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4.在投标响应截止日期前，采购单位对采购文件进行澄清或者修改的，应通过“苏采云”系统发布澄清公告或者修改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kedt”），离线编制响应文件，否则，将自行承担相应的风险。</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5.供应商对采购人提供的采购文件所做出的推论、解释和结论，采购人概不负责。供应商由于对采购文件的任何推论和误解以及采购人对有关问题的口头解释所造成的后果，均由各潜在供应商自负。</w:t>
      </w:r>
      <w:r>
        <w:rPr>
          <w:rFonts w:ascii="宋体" w:hAnsi="宋体" w:cs="宋体"/>
          <w:sz w:val="22"/>
          <w:szCs w:val="22"/>
        </w:rPr>
      </w:r>
      <w:r/>
    </w:p>
    <w:p>
      <w:pPr>
        <w:contextualSpacing w:val="0"/>
        <w:ind w:left="0" w:right="0" w:firstLine="422"/>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三、磋商响应文件的编制</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1.响应文件的语言及度量衡单位</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1.1供应商提交的响应文件以及供应商与采购人或采购代理机构就有关磋商的所有来往通知、函件和文件均应使用简体中文。</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1.2除技术性能另有规定外，响应文件所使用的度量衡单位，均须采用国家法定计量单位。</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2.响应文件构成</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2.1供应商应认真阅读和理解磋商文件，并按磋商文件的要求编制响应文件；响应文件应对磋商文件做实质性响应，并保证所提供资料的真实性。磋商供应商编写的响应文件应包括下列部分：</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加★项目若有缺失或无效，将导致该响应文件作无效响应文件评定，且不允许在磋商截止时间后补正。</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2.1.1 资格证明文件（复印件须加盖磋商供应商公章，否则视同未提供。本采购文件所表述（指定）的公章是指刻有供应商法定名称的印章，不包括合同、财务、税务、发票等形式的业务专用章）。</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（1）★法人或者其他组织的营业执照等证明文件，自然人的身份证明复印件</w:t>
      </w:r>
      <w:r>
        <w:rPr>
          <w:rFonts w:ascii="宋体" w:hAnsi="宋体" w:eastAsia="宋体" w:cs="宋体"/>
          <w:b/>
          <w:color w:val="000000"/>
          <w:sz w:val="22"/>
          <w:szCs w:val="22"/>
        </w:rPr>
        <w:t xml:space="preserve">（如为联合体投标，联合体各方均须提交）</w:t>
      </w:r>
      <w:r>
        <w:rPr>
          <w:rFonts w:ascii="宋体" w:hAnsi="宋体" w:eastAsia="宋体" w:cs="宋体"/>
          <w:color w:val="000000"/>
          <w:sz w:val="22"/>
          <w:szCs w:val="22"/>
        </w:rPr>
        <w:t xml:space="preserve">；</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（2）★财务状况：2024 年度或 2025 年度经会计师事务所审计的财务报告（须提供加盖会计师事务所公章及注册会计师签章的复印件）；没有经审计的财务报告的，也可以提供2025年或2026年任意一个月的财务报表，或提供距离响应截止时间6个月内基本开户银行出具的资信证明复印件</w:t>
      </w:r>
      <w:r>
        <w:rPr>
          <w:rFonts w:ascii="宋体" w:hAnsi="宋体" w:eastAsia="宋体" w:cs="宋体"/>
          <w:b/>
          <w:color w:val="000000"/>
          <w:sz w:val="22"/>
          <w:szCs w:val="22"/>
        </w:rPr>
        <w:t xml:space="preserve">（如为联合体投标，联合体各方均须提交）</w:t>
      </w:r>
      <w:r>
        <w:rPr>
          <w:rFonts w:ascii="宋体" w:hAnsi="宋体" w:eastAsia="宋体" w:cs="宋体"/>
          <w:color w:val="000000"/>
          <w:sz w:val="22"/>
          <w:szCs w:val="22"/>
        </w:rPr>
        <w:t xml:space="preserve">；</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依法缴纳税收：2026年1月（含）至开标当日任一月份依法缴纳税收（依法缴纳税收材料是指：税务部门出具的税收证明或完税凭证或银行出具的税收缴款证明）的相关材料复印件，如依法免税或不需要纳税的，则应提供相应证明材料复印件</w:t>
      </w:r>
      <w:r>
        <w:rPr>
          <w:rFonts w:ascii="宋体" w:hAnsi="宋体" w:eastAsia="宋体" w:cs="宋体"/>
          <w:b/>
          <w:color w:val="000000"/>
          <w:sz w:val="22"/>
          <w:szCs w:val="22"/>
        </w:rPr>
        <w:t xml:space="preserve">（如为联合体投标，联合体各方均须提交）</w:t>
      </w:r>
      <w:r>
        <w:rPr>
          <w:rFonts w:ascii="宋体" w:hAnsi="宋体" w:eastAsia="宋体" w:cs="宋体"/>
          <w:color w:val="000000"/>
          <w:sz w:val="22"/>
          <w:szCs w:val="22"/>
        </w:rPr>
        <w:t xml:space="preserve">；</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社会保障资金：2026年1月（含）至开标当日任一月份的依法缴纳社会保障资金的相关材料复印件（社会保障资金材料是指：人社部门或税务机关或银行出具的缴纳社保的凭证），如依法不需要缴纳社会保障资金的，则应提供相应证明材料复印件</w:t>
      </w:r>
      <w:r>
        <w:rPr>
          <w:rFonts w:ascii="宋体" w:hAnsi="宋体" w:eastAsia="宋体" w:cs="宋体"/>
          <w:b/>
          <w:color w:val="000000"/>
          <w:sz w:val="22"/>
          <w:szCs w:val="22"/>
        </w:rPr>
        <w:t xml:space="preserve">（如为联合体投标，联合体各方均须提交）</w:t>
      </w:r>
      <w:r>
        <w:rPr>
          <w:rFonts w:ascii="宋体" w:hAnsi="宋体" w:eastAsia="宋体" w:cs="宋体"/>
          <w:color w:val="000000"/>
          <w:sz w:val="22"/>
          <w:szCs w:val="22"/>
        </w:rPr>
        <w:t xml:space="preserve">；</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（5）★具备履行合同所必需的设备和专业技术能力的声明或证明材料复印件</w:t>
      </w:r>
      <w:r>
        <w:rPr>
          <w:rFonts w:ascii="宋体" w:hAnsi="宋体" w:eastAsia="宋体" w:cs="宋体"/>
          <w:b/>
          <w:color w:val="000000"/>
          <w:sz w:val="22"/>
          <w:szCs w:val="22"/>
        </w:rPr>
        <w:t xml:space="preserve">（供应商资格声明书，如为联合体投标，联合体各方均须提交）；</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（6）★参加政府采购活动前 3年内在经营活动中没有重大违法记录的书面声明（供应商资格声明书，</w:t>
      </w:r>
      <w:r>
        <w:rPr>
          <w:rFonts w:ascii="宋体" w:hAnsi="宋体" w:eastAsia="宋体" w:cs="宋体"/>
          <w:b/>
          <w:color w:val="000000"/>
          <w:sz w:val="22"/>
          <w:szCs w:val="22"/>
        </w:rPr>
        <w:t xml:space="preserve">如为联合体投标</w:t>
      </w:r>
      <w:r>
        <w:rPr>
          <w:rFonts w:ascii="宋体" w:hAnsi="宋体" w:eastAsia="宋体" w:cs="宋体"/>
          <w:color w:val="000000"/>
          <w:sz w:val="22"/>
          <w:szCs w:val="22"/>
        </w:rPr>
        <w:t xml:space="preserve">）；</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（7）具备法律、行政法规规定的其他条件的证明材料，如“信用中国”“中国政府采购网”网站信用记录截图</w:t>
      </w:r>
      <w:r>
        <w:rPr>
          <w:rFonts w:ascii="宋体" w:hAnsi="宋体" w:eastAsia="宋体" w:cs="宋体"/>
          <w:b/>
          <w:color w:val="000000"/>
          <w:sz w:val="22"/>
          <w:szCs w:val="22"/>
        </w:rPr>
        <w:t xml:space="preserve">（如为联合体投标，联合体各方均须提交）</w:t>
      </w:r>
      <w:r>
        <w:rPr>
          <w:rFonts w:ascii="宋体" w:hAnsi="宋体" w:eastAsia="宋体" w:cs="宋体"/>
          <w:color w:val="000000"/>
          <w:sz w:val="22"/>
          <w:szCs w:val="22"/>
        </w:rPr>
        <w:t xml:space="preserve">；</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（8）联合体协议书（格式详见附件，提供联合体双方盖章原件扫描件，并加盖牵头方电子签章）；</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（9）小微企业声明函、残疾人福利性单位声明函（如有）；</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2.1.2商务技术文件（按照本文件第六章统一提供的规范表式填写）</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（1）授权委托书（</w:t>
      </w:r>
      <w:r>
        <w:rPr>
          <w:rFonts w:ascii="宋体" w:hAnsi="宋体" w:eastAsia="宋体" w:cs="宋体"/>
          <w:b/>
          <w:color w:val="000000"/>
          <w:sz w:val="22"/>
          <w:szCs w:val="22"/>
        </w:rPr>
        <w:t xml:space="preserve">如为联合体投标，由联合体牵头单位出具法定代表人授权委托书即可，联合体其他成员无需另行出具本项授权委托书及法定代表人身份证明）</w:t>
      </w:r>
      <w:r>
        <w:rPr>
          <w:rFonts w:ascii="宋体" w:hAnsi="宋体" w:eastAsia="宋体" w:cs="宋体"/>
          <w:color w:val="000000"/>
          <w:sz w:val="22"/>
          <w:szCs w:val="22"/>
        </w:rPr>
        <w:t xml:space="preserve">；</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（2）磋商响应函；</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（3）首次响应报价表；</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（4）商务及技术响应偏离表；</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（5）供应商基本情况表；</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（6）技术方案（</w:t>
      </w:r>
      <w:r>
        <w:rPr>
          <w:rFonts w:ascii="宋体" w:hAnsi="宋体" w:eastAsia="宋体" w:cs="宋体"/>
          <w:b/>
          <w:color w:val="000000"/>
          <w:sz w:val="22"/>
          <w:szCs w:val="22"/>
        </w:rPr>
        <w:t xml:space="preserve">供应商根据项目情况自行编制）；</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（7）拟投入本项目的主要人员表；</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（8）服务承诺；</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（9）根据项目需求和评审方法以及评审标准，供应商为使自身处于有利评审地位，应当提交的其他文件和证明资料；</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（10）采购文件需要的其他资料及供应商认为需要提供的其他内容。</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3.磋商响应报价</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3.1除采购文件另有规定外，应以人民币报价，线上采购项目还需按照投标工具的流程和提示编制并上传磋商报价表。</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3.2本项目不接受任何形式的赠送、“零”报价和折扣报价。</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3.3本项目以磋商总报价为依据计算价格分。磋商总报价应包括采购文件中要求供应商承担的所有工作内容的全部费用。</w:t>
      </w:r>
      <w:r>
        <w:rPr>
          <w:rFonts w:ascii="宋体" w:hAnsi="宋体" w:cs="宋体"/>
          <w:sz w:val="22"/>
          <w:szCs w:val="22"/>
        </w:rPr>
      </w:r>
      <w:r/>
    </w:p>
    <w:p>
      <w:pPr>
        <w:contextualSpacing w:val="0"/>
        <w:ind w:left="0" w:right="0" w:firstLine="422"/>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3.4异常低价审查：</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3.4.1评审中出现下列情形之一的，评审委员会应当启动异常低价投标（响应）审查程序：</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①投标（响应）报价低于全部通过符合性审查供应商投标（响应）报价平均值50%的，即投标（响应）报价&lt;全部通过符合性审查供应商投标（响应）报价平均值×50%；</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②投标（响应）报价低于通过符合性审查的次低报价供应商投标（响应）报价50%的，即投标（响应）报价 &lt; 通过符合性审查的次低报价供应商投标（响应）报价 × 50%；</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③投标（响应）报价低于采购项目最高限价45%的，即投标（响应）报价 &lt; 采购项目最高限价 × 45%；</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④评审委员会基于专业判断，认为供应商报价过低，有可能影响产品质量或者不能诚信履约的其他情形。</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3.4.2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w:t>
      </w:r>
      <w:r>
        <w:rPr>
          <w:rFonts w:ascii="宋体" w:hAnsi="宋体" w:eastAsia="宋体" w:cs="宋体"/>
          <w:b/>
          <w:color w:val="000000"/>
          <w:sz w:val="22"/>
          <w:szCs w:val="22"/>
        </w:rPr>
        <w:t xml:space="preserve">不限于人工成本（银行工资发放流水记录）、施工器具使用费（采购原始发票或租赁费支付发票）、企业管理费测算等</w:t>
      </w:r>
      <w:r>
        <w:rPr>
          <w:rFonts w:ascii="宋体" w:hAnsi="宋体" w:eastAsia="宋体" w:cs="宋体"/>
          <w:color w:val="000000"/>
          <w:sz w:val="22"/>
          <w:szCs w:val="22"/>
        </w:rPr>
        <w:t xml:space="preserve">，给予相关供应商的合理时间一般不少于30分钟。其中，属于第③项情形，供应商已随投标（响应）文件一并提交相关书面说明及必要的证明材料的，在评审现场可不再重复提交。</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异常低价响应审查的启动原因，审查意见和审查结果应当在评审报告中记录，并随供应商提供的相关书面说明及证明材料以及评审委员会有关互联网浏览查询历史一并归档。</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3.5最低报价不能作为成交的保证。</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3.6供应商的报价不得超过采购项目最高限价。</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4.磋商响应有效期</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4.1磋商响应有效期为采购文件规定的响应文件提交截止时间后</w:t>
      </w:r>
      <w:r>
        <w:rPr>
          <w:rFonts w:ascii="宋体" w:hAnsi="宋体" w:eastAsia="宋体" w:cs="宋体"/>
          <w:b/>
          <w:color w:val="000000"/>
          <w:sz w:val="22"/>
          <w:szCs w:val="22"/>
        </w:rPr>
        <w:t xml:space="preserve">九十（90）天</w:t>
      </w:r>
      <w:r>
        <w:rPr>
          <w:rFonts w:ascii="宋体" w:hAnsi="宋体" w:eastAsia="宋体" w:cs="宋体"/>
          <w:color w:val="000000"/>
          <w:sz w:val="22"/>
          <w:szCs w:val="22"/>
        </w:rPr>
        <w:t xml:space="preserve">。磋商响应有效期比规定短的将被视为非实质性响应而予以拒绝。</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4.2磋商响应有效期的延长</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5.电子响应文件其他要求</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5.1电子招标投标交易平台（即“苏采云”系统）相关要求是本采购文件的组成部分。</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5.2供应商应对CA证书妥善保管，如因他人盗用投标带来的后果，均由供应商自行承担。</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5.3供应商应当对采购文件提出的实质性要求和条件作出实质性响应，并在电子投标系统逐条应答。</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5.4供应商应对要求提供的资格证明文件（如资质证书、资格证书）、技术资料（如白皮书、彩页、手册、检测报告等）进行扫描，并上传至投标系统。 </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6.供应商应当在采购文件要求提交响应文件的截止时间前，将响应文件提交至“苏采云”系统，逾期提交的响应文件，“苏采云”系统将自动拒收。各供应商应在规定时间内凭CA证书进行网上解密。</w:t>
      </w:r>
      <w:r>
        <w:rPr>
          <w:rFonts w:ascii="宋体" w:hAnsi="宋体" w:cs="宋体"/>
          <w:sz w:val="22"/>
          <w:szCs w:val="22"/>
        </w:rPr>
      </w:r>
      <w:r/>
    </w:p>
    <w:p>
      <w:pPr>
        <w:contextualSpacing w:val="0"/>
        <w:ind w:left="0" w:right="0" w:firstLine="422"/>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四、响应文件的递交</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u w:val="none"/>
        </w:rPr>
        <w:t xml:space="preserve">1.响应文件</w:t>
      </w:r>
      <w:r>
        <w:rPr>
          <w:rFonts w:ascii="宋体" w:hAnsi="宋体" w:eastAsia="宋体" w:cs="宋体"/>
          <w:color w:val="000000"/>
          <w:sz w:val="22"/>
          <w:szCs w:val="22"/>
        </w:rPr>
        <w:t xml:space="preserve">的提交</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1.1线上提交与接收地点：供应商应当通过“苏采云”系统提交数据电文形式的响应文件（即电子投标），“苏采云”系统自动接收。</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1.2 通过“苏采云”系统提交由政府采购客户端工具导出加密的响应文件（后缀名为zip），</w:t>
      </w:r>
      <w:r>
        <w:rPr>
          <w:rFonts w:ascii="宋体" w:hAnsi="宋体" w:eastAsia="宋体" w:cs="宋体"/>
          <w:b/>
          <w:color w:val="000000"/>
          <w:sz w:val="22"/>
          <w:szCs w:val="22"/>
        </w:rPr>
        <w:t xml:space="preserve">响应文件大小不得超过150M。</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2.提交响应文件截止日期</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2.1供应商上传电子响应文件的时间不得迟于竞争性磋商公告中规定的响应文件提交截止时间。</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供应商应充分考虑网络环境、网络带宽等风险因素，如因供应商自身原因造成电子响应文件上传不成功，由供应商自行承担全部责任。</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2.2采购人或采购代理机构可以按照规定，通过修改磋商文件延长响应文件提交截止时间。在此情况下，采购人和供应商受该截止时间约束的全部权利与义务，均以延长后的截止时间为准。</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3.响应文件的密封（加密）要求：</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3.1供应商应当按照采购文件和“苏采云”系统的要求编制并加密响应文件。本项目供应商须通</w:t>
      </w:r>
      <w:r>
        <w:rPr>
          <w:rFonts w:ascii="宋体" w:hAnsi="宋体" w:eastAsia="宋体" w:cs="宋体"/>
          <w:color w:val="000000"/>
          <w:sz w:val="22"/>
          <w:szCs w:val="22"/>
        </w:rPr>
        <w:t xml:space="preserve">过“苏采云”系统提供的政府采购客户端工具（使用“CA数字证书”）对其数据电文形式的响</w:t>
      </w:r>
      <w:r>
        <w:rPr>
          <w:rFonts w:ascii="宋体" w:hAnsi="宋体" w:eastAsia="宋体" w:cs="宋体"/>
          <w:color w:val="000000"/>
          <w:sz w:val="22"/>
          <w:szCs w:val="22"/>
        </w:rPr>
        <w:t xml:space="preserve">应文件加密。</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3.2供应商须通过“苏采云”系统提供的政府采购客户端工具（使用“CA数字证书”）加盖电子签章。</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说明：供应商应使用CA数字证书以及自备的能够登录“苏采云”系统的电脑，在开标时间到达后，使用CA数字证书解密各自响应文件。</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3.3供应商未按规定加密的响应文件，“苏采云”系统将拒收并提示。</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4.响应文件的拒收</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“苏采云”系统拒绝接收在规定的响应文件提交截止时间后上传的任何响应文件。</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5.响应文件的撤回和修改</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5.1响应文件的撤回</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5.1.1电子响应文件的撤回</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供应商可在响应文件提交截止时间前，撤回其电子响应文件，具体操作方法见“苏采云”系统供应商操作手册。</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5.1.2供应商撤回电子响应文件，则认为其不再参与本项目竞争性磋商活动。</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5.2响应文件的修改</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供应商可在响应文件提交截止时间前，对其电子响应文件进行修改。具体操作方法见“苏采云”系统供应商操作手册。</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5.3在响应文件提交截止时间之后，供应商不得对其电子响应文件作任何修改。</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5.4在响应文件提交截止时间至磋商文件中规定的磋商响应有效期满之间的这段时间内，供应商不得撤回其响应文件。</w:t>
      </w:r>
      <w:r>
        <w:rPr>
          <w:rFonts w:ascii="宋体" w:hAnsi="宋体" w:cs="宋体"/>
          <w:sz w:val="22"/>
          <w:szCs w:val="22"/>
        </w:rPr>
      </w:r>
      <w:r/>
    </w:p>
    <w:p>
      <w:pPr>
        <w:contextualSpacing w:val="0"/>
        <w:ind w:left="0" w:right="0" w:firstLine="482"/>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注：开标当天，各供应商应及时登录不见面开标大厅。响应文件提交截止时间后，采购代理机构将在系统内公布供应商名单，然后通过开标会议区发出响应文件解密的指令，供应商按规定时间自行实施远程解密，解密限定在开标后30分钟内完成。因供应商网络与电源不稳定、未按操作手册要求配置软硬件、解密锁发生故障或用错、故意不在要求的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w:t>
      </w:r>
      <w:r>
        <w:rPr>
          <w:rFonts w:ascii="宋体" w:hAnsi="宋体" w:eastAsia="宋体" w:cs="宋体"/>
          <w:b/>
          <w:color w:val="000000"/>
          <w:sz w:val="22"/>
          <w:szCs w:val="22"/>
        </w:rPr>
        <w:t xml:space="preserve">应文件解密或开、评标工作无法进行的，可根据实际情况相应延迟解密时间或调整开、评标时间。</w:t>
      </w:r>
      <w:r>
        <w:rPr>
          <w:rFonts w:ascii="宋体" w:hAnsi="宋体" w:cs="宋体"/>
          <w:sz w:val="22"/>
          <w:szCs w:val="22"/>
        </w:rPr>
      </w:r>
      <w:r/>
    </w:p>
    <w:p>
      <w:pPr>
        <w:contextualSpacing w:val="0"/>
        <w:ind w:left="0" w:right="0" w:firstLine="422"/>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五、磋商与评审</w:t>
      </w:r>
      <w:r>
        <w:rPr>
          <w:rFonts w:ascii="宋体" w:hAnsi="宋体" w:cs="宋体"/>
          <w:sz w:val="22"/>
          <w:szCs w:val="22"/>
        </w:rPr>
      </w:r>
      <w:r/>
    </w:p>
    <w:p>
      <w:pPr>
        <w:contextualSpacing w:val="0"/>
        <w:ind w:left="0" w:right="0" w:firstLine="422"/>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1.磋商会议</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采购人或采购代理机构将在磋商公告中规定的时间和地点组织磋商开始仪式。</w:t>
      </w:r>
      <w:r>
        <w:rPr>
          <w:rFonts w:ascii="宋体" w:hAnsi="宋体" w:cs="宋体"/>
          <w:sz w:val="22"/>
          <w:szCs w:val="22"/>
        </w:rPr>
      </w:r>
      <w:r/>
    </w:p>
    <w:p>
      <w:pPr>
        <w:contextualSpacing w:val="0"/>
        <w:ind w:left="0" w:right="0" w:firstLine="422"/>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2.磋商小组</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2.1 磋商会议结束后，代理机构将组织磋商小组进行评审。</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2.2代理机构及采购人将根据本采购项目的特点组建磋商小组，由三人以上（含三人）单数组成。磋商小组将对实质性响应报价文件要求的报价文件进行评价和比较，并采用相同的程序和标准。</w:t>
      </w:r>
      <w:r>
        <w:rPr>
          <w:rFonts w:ascii="宋体" w:hAnsi="宋体" w:cs="宋体"/>
          <w:sz w:val="22"/>
          <w:szCs w:val="22"/>
        </w:rPr>
      </w:r>
      <w:r/>
    </w:p>
    <w:p>
      <w:pPr>
        <w:contextualSpacing w:val="0"/>
        <w:ind w:left="0" w:right="0" w:firstLine="422"/>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3.磋商评审过程的保密与公正</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3.1磋商小组、采购人和代理机构工作人员、相关监督人员等与评审工作有关的人员，对评审情况以及在评审过程中获悉的国家秘密、商业秘密负有保密责任。</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3.2在磋商评审过程中，磋商供应商不得以任何行为影响磋商评审过程，否则其响应文件将被视为无效响应文件。</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3.3磋商小组成员应当按照客观、公正、审慎的原则，根据采购文件规定的评审程序、评审方法和评审标准进行独立评审。未实质性响应采购文件的响应文件，按无效响应处理，磋商小组应当告知提交响应文件的供应商。</w:t>
      </w:r>
      <w:r>
        <w:rPr>
          <w:rFonts w:ascii="宋体" w:hAnsi="宋体" w:cs="宋体"/>
          <w:sz w:val="22"/>
          <w:szCs w:val="22"/>
        </w:rPr>
      </w:r>
      <w:r/>
    </w:p>
    <w:p>
      <w:pPr>
        <w:contextualSpacing w:val="0"/>
        <w:ind w:left="0" w:right="0" w:firstLine="422"/>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4.评审过程的澄清、说明和更正</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4.2接到磋商小组要求的供应商，应派人按磋商小组通知的时间和地点作出书面澄清、说明或更正。供应商的澄清、说明或者更正应当由法定代表人或授权代表签字或者加盖公章。由授权代表签字的，应当附法定代表人授权书原件。供应商为自然人的，应当由本人签字并附身份证明，原件评审现场出示。</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4.3 接到磋商小组澄清要求的供应商如未按规定作出澄清，其风险由供应商自行承担。</w:t>
      </w:r>
      <w:r>
        <w:rPr>
          <w:rFonts w:ascii="宋体" w:hAnsi="宋体" w:cs="宋体"/>
          <w:sz w:val="22"/>
          <w:szCs w:val="22"/>
        </w:rPr>
      </w:r>
      <w:r/>
    </w:p>
    <w:p>
      <w:pPr>
        <w:contextualSpacing w:val="0"/>
        <w:ind w:left="0" w:right="0" w:firstLine="422"/>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5.初步审查</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5.1磋商小组应当对供应商提交的首次响应文件进行初步审查，包括响应文件的有效性、完整性、符合性。除可变动的技术、服务要求以及合同草案条款外，首次提交的响应文件有下列情况之一，其响应文件无效，磋商小组应当告知有关供应商。</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（1）供应商未按照磋商文件规定要求密封、签署、盖章的。</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（2）响应有效期不足的。</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（3）供应商不满足磋商文件供应商资格条件或未按照磋商文件规定提供资格证明材料的。</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（4）响应文件不满足磋商文件实质性条款的。响应文件是否实质性响应磋商文件，由磋商小组依据磋商文件规定、供应商响应文件及磋商情况认定。</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（5）供应商存在失信记录的</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失信记录是指，通过“信用中国”网站、中国政府采购网查询相关主体信用记录，列入失信被执行人、重大税收违法失信主体名单、政府采购严重违法失信行为记录名单及其他不符合《中华人民共和国政府采购法》第二十二条规定条件的情况。失信情况查询详见供应商须知前附表。</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（6）其他不符合法律、规章、规范性文件和磋商文件规定的。</w:t>
      </w:r>
      <w:r>
        <w:rPr>
          <w:rFonts w:ascii="宋体" w:hAnsi="宋体" w:cs="宋体"/>
          <w:sz w:val="22"/>
          <w:szCs w:val="22"/>
        </w:rPr>
      </w:r>
      <w:r/>
    </w:p>
    <w:p>
      <w:pPr>
        <w:contextualSpacing w:val="0"/>
        <w:ind w:left="0" w:right="0" w:firstLine="422"/>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6.澄清</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6.1磋商小组在对响应文件（包括首次响应文件、重新提交的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6.2供应商的澄清、说明或者更正应当采用书面形式，由其法定代表人或其授权代表签字，供应商的澄清、说明或者更正不得超出磋商文件的范围或者改变响应文件的实质性内容。</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6.3关于响应描述（即响应文件中描述的内容）</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（1）响应描述前后不一致且不涉及证明材料的：按照本节第6.1条、6.2条规定执行。</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（2）响应描述与证明材料不一致或多份证明材料之间不一致的：</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Calibri" w:cs="宋体"/>
          <w:color w:val="000000"/>
          <w:sz w:val="22"/>
          <w:szCs w:val="22"/>
        </w:rPr>
        <w:t xml:space="preserve">①</w:t>
      </w:r>
      <w:r>
        <w:rPr>
          <w:rFonts w:ascii="宋体" w:hAnsi="宋体" w:eastAsia="宋体" w:cs="宋体"/>
          <w:color w:val="000000"/>
          <w:sz w:val="22"/>
          <w:szCs w:val="22"/>
        </w:rPr>
        <w:t xml:space="preserve">磋商小组将要求供应商进行书面澄清，无法澄清的，将按照不利于供应商的评审标准进行评审。</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Calibri" w:cs="宋体"/>
          <w:color w:val="000000"/>
          <w:sz w:val="22"/>
          <w:szCs w:val="22"/>
        </w:rPr>
        <w:t xml:space="preserve">②</w:t>
      </w:r>
      <w:r>
        <w:rPr>
          <w:rFonts w:ascii="宋体" w:hAnsi="宋体" w:eastAsia="宋体" w:cs="宋体"/>
          <w:color w:val="000000"/>
          <w:sz w:val="22"/>
          <w:szCs w:val="22"/>
        </w:rPr>
        <w:t xml:space="preserve">供应商按照要求进行澄清的，采购人以澄清内容为准进行验收；供应商未按照要求进行澄清的，采购人以响应描述或证明材料中有利于采购人的内容进行验收。供应商应对证明材料的真实性、有效性承担责任。</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若成交供应商的响应描述存在前后不一致、与证明材料不一致或多份证明材料之间不一致情形之一但在磋商中未能发现，则采购人将以响应描述或证明材料中有利于采购人的内容进行验收，成交供应商应自行承担由此产生的风险及费用。</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6.4除磋商小组要求供应商做出的澄清、说明或者补正以外，磋商小组不接受供应商的任何询问、说明、更改及文件。</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供应商的澄清必须在规定的时间内提交。</w:t>
      </w:r>
      <w:r>
        <w:rPr>
          <w:rFonts w:ascii="宋体" w:hAnsi="宋体" w:cs="宋体"/>
          <w:sz w:val="22"/>
          <w:szCs w:val="22"/>
        </w:rPr>
      </w:r>
      <w:r/>
    </w:p>
    <w:p>
      <w:pPr>
        <w:contextualSpacing w:val="0"/>
        <w:ind w:left="0" w:right="0" w:firstLine="422"/>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7.磋商</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7.1初审结束后，磋商小组所有成员集中与单一供应商分别进行磋商，并给予所有参加磋商的供应商平等的磋商机会。供应商应派其法定代表人或授权代表参加磋商。</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7.2磋商过程中，磋商小组可以根据磋商文件和磋商情况实质性变动采购需求中的技术、服务要求以及合同草案条款，但不得变动磋商文件中的其他内容。实质性变动的内容，须经采购人代表确认。</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7.3对磋商文件作出的实质性变动是磋商文件的有效组成部分，磋商小组应当及时以书面形式同时通知所有参加磋商的供应商。</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7.4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7.5磋商文件不能详细列明采购标的技术、服务要求，需经磋商由供应商提供最终设计方案或解决方案的，磋商结束后，磋商小组应当按照少数服从多数的原则投票推荐3家以上供应商的设计方案或者解决方案。</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7.6磋商小组应当根据实际情况与供应商进行磋商，并确定磋商的轮次。</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7.7已提交响应文件的供应商，在提交最后报价之前，可以根据磋商情况退出磋商。</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7.8磋商结束后，供应商按照磋商小组要求重新提交响应文件，不满足磋商文件及变动后的技术、服务要求以及合同草案条款的实质性要求的，将视为无效响应文件。</w:t>
      </w:r>
      <w:r>
        <w:rPr>
          <w:rFonts w:ascii="宋体" w:hAnsi="宋体" w:cs="宋体"/>
          <w:sz w:val="22"/>
          <w:szCs w:val="22"/>
        </w:rPr>
      </w:r>
      <w:r/>
    </w:p>
    <w:p>
      <w:pPr>
        <w:contextualSpacing w:val="0"/>
        <w:ind w:left="0" w:right="0" w:firstLine="422"/>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8.最后报价</w:t>
      </w:r>
      <w:r>
        <w:rPr>
          <w:rFonts w:ascii="宋体" w:hAnsi="宋体" w:cs="宋体"/>
          <w:sz w:val="22"/>
          <w:szCs w:val="22"/>
        </w:rPr>
      </w:r>
      <w:r/>
    </w:p>
    <w:p>
      <w:pPr>
        <w:contextualSpacing w:val="0"/>
        <w:ind w:left="0" w:right="0" w:firstLine="482"/>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SimSun" w:cs="宋体"/>
          <w:color w:val="000000"/>
          <w:sz w:val="22"/>
          <w:szCs w:val="22"/>
        </w:rPr>
        <w:t xml:space="preserve">8.1</w:t>
      </w:r>
      <w:r>
        <w:rPr>
          <w:rFonts w:ascii="宋体" w:hAnsi="宋体" w:eastAsia="宋体" w:cs="宋体"/>
          <w:b/>
          <w:color w:val="000000"/>
          <w:sz w:val="22"/>
          <w:szCs w:val="22"/>
        </w:rPr>
        <w:t xml:space="preserve">各供应商请关注开标大厅交流区，在开标结束后，请勿离开开标大厅，采购人或采购代理机构通知最后报价填报后，所有的响应供应商须在15分钟内填写并提交最后报价，提交最后报价的供应商不得少于3家。未在规定时间内提交最后报价的，视作无效响应处理。</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8.2磋商文件不能详细列明采购标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8.3最后报价是供应商响应文件的有效组成部分。如磋商小组没有对磋商文件作实质性变动或增加新的需求，最后报价不得高于首轮报价。</w:t>
      </w:r>
      <w:r>
        <w:rPr>
          <w:rFonts w:ascii="宋体" w:hAnsi="宋体" w:cs="宋体"/>
          <w:sz w:val="22"/>
          <w:szCs w:val="22"/>
        </w:rPr>
      </w:r>
      <w:r/>
    </w:p>
    <w:p>
      <w:pPr>
        <w:contextualSpacing w:val="0"/>
        <w:ind w:left="0" w:right="0" w:firstLine="422"/>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9.最后报价评审</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9.1最后报价计算错误修正的原则</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（1）最后报价的大写金额和小写金额不一致的，以大写金额为准。</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（2）总价金额与按分项报价汇总金额不一致的，以分项报价金额计算结果为准。</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（3）分项报价金额小数点有明显错位的，应以总价为准，并修改分项报价。</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（4）同时出现两种以上不一致的，按照前款规定的顺序修正。</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（5）如果供应商不接受对其错误的更正，其最后报价将被视为无效报价或确定为无效响应。</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9.2最后报价的价格扣除原则</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落实政府采购政策进行价格调整的规则详见第五章评标办法的规定。</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9.3磋商报价得分： 以供应商的最后报价作为价格评分依据。供应商的评审价为按上述条款修正并给予价格扣除优惠后的价格。</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价格评分统一采用低价优先法计算，即满足磋商文件要求且价格最低的评审价为评审基准价，其价格分为满分。其他供应商的价格分统一按照下列公式计算：磋商报价得分=（磋商基准价/最后磋商报价）×价格满分值。</w:t>
      </w:r>
      <w:r>
        <w:rPr>
          <w:rFonts w:ascii="宋体" w:hAnsi="宋体" w:cs="宋体"/>
          <w:sz w:val="22"/>
          <w:szCs w:val="22"/>
        </w:rPr>
      </w:r>
      <w:r/>
    </w:p>
    <w:p>
      <w:pPr>
        <w:contextualSpacing w:val="0"/>
        <w:ind w:left="0" w:right="0" w:firstLine="422"/>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10.综合评审</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10.1经磋商确定最终采购需求和提交最后报价的供应商后，由磋商小组采用综合评分法对提交最后报价的供应商的响应文件和最后报价进行综合评分。</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10.2评审办法及标准见第五章。</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10.3评审时，磋商小组成员应当独立对每个有效响应的文件进行评价、打分，然后汇总每个供应商每项评分因素的得分。</w:t>
      </w:r>
      <w:r>
        <w:rPr>
          <w:rFonts w:ascii="宋体" w:hAnsi="宋体" w:cs="宋体"/>
          <w:sz w:val="22"/>
          <w:szCs w:val="22"/>
        </w:rPr>
      </w:r>
      <w:r/>
    </w:p>
    <w:p>
      <w:pPr>
        <w:contextualSpacing w:val="0"/>
        <w:ind w:left="0" w:right="0" w:firstLine="422"/>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11.提出成交供应商</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11.1 磋商小组应当按照综合评分由高到低的顺序提出3名成交候选供应商，并编写评审报告。</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11.2评审得分相同的，按照最后报价由低到高的顺序推荐。评审得分相同且最后报价相同的，按照技术指标优劣顺序推荐。</w:t>
      </w:r>
      <w:r>
        <w:rPr>
          <w:rFonts w:ascii="宋体" w:hAnsi="宋体" w:cs="宋体"/>
          <w:sz w:val="22"/>
          <w:szCs w:val="22"/>
        </w:rPr>
      </w:r>
      <w:r/>
    </w:p>
    <w:p>
      <w:pPr>
        <w:contextualSpacing w:val="0"/>
        <w:ind w:left="0" w:right="0" w:firstLine="422"/>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12.磋商终止</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12.1出现下列情形之一的，采购人或者采购代理机构应当终止竞争性磋商采购活动，在财政部指定的媒体上发布项目终止公告并说明原因，重新开展采购活动：</w:t>
      </w:r>
      <w:r>
        <w:rPr>
          <w:rFonts w:ascii="宋体" w:hAnsi="宋体" w:cs="宋体"/>
          <w:sz w:val="22"/>
          <w:szCs w:val="22"/>
        </w:rPr>
      </w:r>
      <w:r/>
    </w:p>
    <w:p>
      <w:pPr>
        <w:numPr>
          <w:ilvl w:val="0"/>
          <w:numId w:val="9"/>
        </w:numPr>
        <w:contextualSpacing w:val="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因情况变化，不再符合规定的竞争性磋商采购方式适用情形的；</w:t>
      </w:r>
      <w:r>
        <w:rPr>
          <w:rFonts w:ascii="宋体" w:hAnsi="宋体" w:cs="宋体"/>
          <w:sz w:val="22"/>
          <w:szCs w:val="22"/>
        </w:rPr>
      </w:r>
      <w:r/>
    </w:p>
    <w:p>
      <w:pPr>
        <w:numPr>
          <w:ilvl w:val="0"/>
          <w:numId w:val="9"/>
        </w:numPr>
        <w:contextualSpacing w:val="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因系统故障原因造成磋商无法继续进行的（适用于不见面磋商模式）；</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（3）出现影响采购公正的违法、违规行为的；</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在采购过程中符合竞争要求的供应商或者报价未超过采购预算的供应商不足3家，或者提交最后报价的供应商少于3家（符合供应商须知前附表规定的允许符合要求的供应商只有2家时可以继续进行采购活动的情形；符合竞争要求的供应商、报价未超过采购预算的供应商或者提交最后报价的供应商不足2家的，不在此列）。</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（5）因重大变故，采购任务取消的。</w:t>
      </w:r>
      <w:r>
        <w:rPr>
          <w:rFonts w:ascii="宋体" w:hAnsi="宋体" w:cs="宋体"/>
          <w:sz w:val="22"/>
          <w:szCs w:val="22"/>
        </w:rPr>
      </w:r>
      <w:r/>
    </w:p>
    <w:p>
      <w:pPr>
        <w:contextualSpacing w:val="0"/>
        <w:ind w:left="0" w:right="0" w:firstLine="422"/>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六、成交</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1.采购代理机构应当在评审结束后2个工作日内将评审报告送采购人确认。</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3.采购人或者采购代理机构应当在成交供应商确定后2个工作日内，在指定媒体上公告成交结果，并将磋商文件随成交结果同时公告。</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4.在公告成交结果的同时，采购人或者采购代理机构应当向成交供应商发出成交通知书。</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5.成交通知书对采购人和成交供应商具有同等法律效力。</w:t>
      </w:r>
      <w:r>
        <w:rPr>
          <w:rFonts w:ascii="宋体" w:hAnsi="宋体" w:cs="宋体"/>
          <w:sz w:val="22"/>
          <w:szCs w:val="22"/>
        </w:rPr>
      </w:r>
      <w:r/>
    </w:p>
    <w:p>
      <w:pPr>
        <w:contextualSpacing w:val="0"/>
        <w:ind w:left="0" w:right="0" w:firstLine="422"/>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七、合同签订相关事项</w:t>
      </w:r>
      <w:r>
        <w:rPr>
          <w:rFonts w:ascii="宋体" w:hAnsi="宋体" w:cs="宋体"/>
          <w:sz w:val="22"/>
          <w:szCs w:val="22"/>
        </w:rPr>
      </w:r>
      <w:r/>
    </w:p>
    <w:p>
      <w:pPr>
        <w:contextualSpacing w:val="0"/>
        <w:ind w:left="0" w:right="0" w:firstLine="42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1.履约保证金</w:t>
      </w:r>
      <w:r>
        <w:rPr>
          <w:rFonts w:ascii="宋体" w:hAnsi="宋体" w:cs="宋体"/>
          <w:sz w:val="22"/>
          <w:szCs w:val="22"/>
        </w:rPr>
      </w:r>
      <w:r/>
    </w:p>
    <w:p>
      <w:pPr>
        <w:contextualSpacing w:val="0"/>
        <w:ind w:left="0" w:right="0" w:firstLine="42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本项目不收取履约保证金。</w:t>
      </w:r>
      <w:r>
        <w:rPr>
          <w:rFonts w:ascii="宋体" w:hAnsi="宋体" w:cs="宋体"/>
          <w:sz w:val="22"/>
          <w:szCs w:val="22"/>
        </w:rPr>
      </w:r>
      <w:r/>
    </w:p>
    <w:p>
      <w:pPr>
        <w:contextualSpacing w:val="0"/>
        <w:ind w:left="0" w:right="0" w:firstLine="42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2.签订合同</w:t>
      </w:r>
      <w:r>
        <w:rPr>
          <w:rFonts w:ascii="宋体" w:hAnsi="宋体" w:cs="宋体"/>
          <w:sz w:val="22"/>
          <w:szCs w:val="22"/>
        </w:rPr>
      </w:r>
      <w:r/>
    </w:p>
    <w:p>
      <w:pPr>
        <w:contextualSpacing w:val="0"/>
        <w:ind w:left="0" w:right="0" w:firstLine="42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2.1 成交供应商应按成交通知书规定的时间、地点，按照采购文件确定的事项与采购人签订政府采购合同，且不得迟于成交通知书发出之日起三十日，由此给采购人造成损失的，成交供应商还应承担赔偿责任。</w:t>
      </w:r>
      <w:r>
        <w:rPr>
          <w:rFonts w:ascii="宋体" w:hAnsi="宋体" w:cs="宋体"/>
          <w:sz w:val="22"/>
          <w:szCs w:val="22"/>
        </w:rPr>
      </w:r>
      <w:r/>
    </w:p>
    <w:p>
      <w:pPr>
        <w:contextualSpacing w:val="0"/>
        <w:ind w:left="0" w:right="0" w:firstLine="42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2.2 采购文件、成交供应商的响应文件及磋商采购过程中有关澄清、承诺文件均应作为合同附件。</w:t>
      </w:r>
      <w:r>
        <w:rPr>
          <w:rFonts w:ascii="宋体" w:hAnsi="宋体" w:cs="宋体"/>
          <w:sz w:val="22"/>
          <w:szCs w:val="22"/>
        </w:rPr>
      </w:r>
      <w:r/>
    </w:p>
    <w:p>
      <w:pPr>
        <w:contextualSpacing w:val="0"/>
        <w:ind w:left="0" w:right="0" w:firstLine="42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2.3 签订合同后，成交供应商不得转包成交产品或服务。未经采购人同意，成交供应商也不得采用分包的形式履行合同，否则采购人有权终止合同。转包或分包造成采购人损失的，成交供应商应承担相应赔偿责任。</w:t>
      </w:r>
      <w:r>
        <w:rPr>
          <w:rFonts w:ascii="宋体" w:hAnsi="宋体" w:cs="宋体"/>
          <w:sz w:val="22"/>
          <w:szCs w:val="22"/>
        </w:rPr>
      </w:r>
      <w:r/>
    </w:p>
    <w:p>
      <w:pPr>
        <w:contextualSpacing w:val="0"/>
        <w:ind w:left="0" w:right="0" w:firstLine="422"/>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八、质疑提出和处理</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格式请在江苏政府采购网“下载中心——有关质疑资料”下载。</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（一）质疑的提出</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磋商供应商认为磋商文件、采购过程和采购结果使自己的权益受到损害的，可以在知道或应知其权益受到损害之日起七个工作日内，以书面形式向代理机构或采购人提出质疑。上述应知其权益受到损害之日，是指：</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（1）对可以质疑的磋商文件提出质疑的，为收到磋商文件之日或者磋商文件公告期限届满之日；</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（2）对采购过程提出质疑的，为各采购程序环节结束之日；</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（3）对成交结果提出质疑的，为成交结果公告期限届满之日。</w:t>
      </w:r>
      <w:r>
        <w:rPr>
          <w:rFonts w:ascii="宋体" w:hAnsi="宋体" w:cs="宋体"/>
          <w:sz w:val="22"/>
          <w:szCs w:val="22"/>
        </w:rPr>
      </w:r>
      <w:r/>
    </w:p>
    <w:p>
      <w:pPr>
        <w:contextualSpacing w:val="0"/>
        <w:ind w:left="0" w:right="0" w:firstLine="482"/>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其中：对评审过程中涉及的身份核对、澄清等程序性事项，供应商如有异议的，必须当场提出。否则，均视为供应商无异议。无论是否成交，供应商事后不得再就前述事项提出任何异议或质疑投诉。</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2.质疑必须由磋商供应商法定代表人或授权代表（响应文件中所确定的）以原件送达的方式提交，未按上述要求提交的质疑函（含传真、电子邮件等）代理机构有权不予受理。</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未参加磋商采购活动的供应商或在磋商采购活动中自身权益未受到损害的供应商所提出的质疑不予受理。响应文件接收截止后，供应商未进行磋商登记的，不能就响应文件接收截止后的磋商过程、成交结果质疑；在磋商过程中，凡主持人或评审小组明确提出须由供应商确认的事项，供应商当场无异议的，事后不得质疑。</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4.质疑函应当包括下列内容：</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（1）质疑供应商的名称、地址、邮编、联系人、联系电话；</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（2）具体的质疑事项及明确的请求；</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（3）认为自己合法权益受到损害或可能受到损害的相关证据材料；</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（4）提起质疑的日期；</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6.对本次招标有质疑的，实行实名制，不得进行虚假、恶意质疑。质疑人应在质疑有效期内以书面形式提出《质疑函》（格式请下载），《质疑函》内容应包括质疑事项、主要内容、事实依据、适用法规条款、佐证材料等。同时，质疑人应保证其提出的质疑内容及相关佐证材料的真实性及来源的合法性，并承担相应的法律责任。</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对不能提供相关佐证材料、涉及商业秘密、非书面形式、非送达、匿名的《质疑函》，将不予受理。</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相关佐证材料要具备客观性、关联性、合法性，无法查实的（如宣传册、媒体报道、猜测、推理等）不能作为佐证材料。</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采购单位或采购代理机构不负责搜集相关佐证材料等工作。</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（二）《质疑函》的受理和回复</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质疑函》须由质疑人的法定代表人或参加本次磋商的被授权人送达采购单位和采购代理机构。质疑答复依据《政府采购质疑和投诉办法》（财政部令第94号）。采购人或采购代理机构的质疑接收人及联系方式，见磋商文件第一部分。</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3.对不符合质疑要求的，出具《质疑退回通知书》并提出相关补充材料要求，质疑人未在规定的时间内提供补充佐证材料的，视同放弃质疑。</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4.采购单位、采购代理机构负责将质疑人提出的质疑相关材料提供给相关专家或评审小组审核，并将审核意见回复质疑人。</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5.因质疑情况复杂，组织论证或审查时间较长，采购单位、采购代理机构以书面形式通知质疑人，可适当延长质疑回复处理时间。</w:t>
      </w:r>
      <w:r>
        <w:rPr>
          <w:rFonts w:ascii="宋体" w:hAnsi="宋体" w:cs="宋体"/>
          <w:sz w:val="22"/>
          <w:szCs w:val="22"/>
        </w:rPr>
      </w:r>
      <w:r/>
    </w:p>
    <w:p>
      <w:pPr>
        <w:contextualSpacing w:val="0"/>
        <w:ind w:left="0" w:right="0" w:firstLine="48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（三）质疑处理</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1.代理机构收到质疑函后，将对质疑函的形式和内容进行审查，如质疑函内容、格式不符合规定，代理机构将告知质疑人进行补正。</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2.质疑人应当在法定质疑期限内进行补正并重新提交质疑函，拒不补正或者在法定期限内未重新提交质疑函的，为无效质疑，代理机构有权不予受理。</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3.对于内容、格式符合规定的质疑函，代理机构将在收到参加磋商供应商的书面质疑后七个工作日内作出答复，并以书面形式通知质疑供应商和其他相关供应商，答复的内容不涉及商业秘密。</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4.供应商提出书面质疑必须有理、有据，不得恶意质疑或提交虚假质疑。否则，一经查实，代理机构有权依据政府采购的有关规定，报请政府采购监管部门对该供应商进行相应的行政处罚。</w:t>
      </w:r>
      <w:r>
        <w:rPr>
          <w:rFonts w:ascii="宋体" w:hAnsi="宋体" w:cs="宋体"/>
          <w:sz w:val="22"/>
          <w:szCs w:val="22"/>
        </w:rPr>
      </w:r>
      <w:r/>
    </w:p>
    <w:p>
      <w:pPr>
        <w:contextualSpacing w:val="0"/>
        <w:ind w:left="0" w:right="0" w:firstLine="422"/>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九、其他事项说明：</w:t>
      </w:r>
      <w:r>
        <w:rPr>
          <w:rFonts w:ascii="宋体" w:hAnsi="宋体" w:cs="宋体"/>
          <w:sz w:val="22"/>
          <w:szCs w:val="22"/>
        </w:rPr>
      </w:r>
      <w:r/>
    </w:p>
    <w:p>
      <w:pPr>
        <w:contextualSpacing w:val="0"/>
        <w:ind w:left="0" w:right="0" w:firstLine="42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采购项目需要落实的政府采购相关法律法规及政策：</w:t>
      </w:r>
      <w:r>
        <w:rPr>
          <w:rFonts w:ascii="宋体" w:hAnsi="宋体" w:cs="宋体"/>
          <w:sz w:val="22"/>
          <w:szCs w:val="22"/>
        </w:rPr>
      </w:r>
      <w:r/>
    </w:p>
    <w:p>
      <w:pPr>
        <w:contextualSpacing w:val="0"/>
        <w:ind w:left="0" w:right="0" w:firstLine="420"/>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1.《中华人民共和国政府采购法》</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2.《中华人民共和国政府采购法实施条例》</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3.《政府采购竞争性磋商采购方式管理暂行办法》</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4.《政府采购促进中小企业发展管理办法》（财库〔2020〕46号） </w:t>
      </w:r>
      <w:r>
        <w:rPr>
          <w:rFonts w:ascii="宋体" w:hAnsi="宋体" w:cs="宋体"/>
          <w:sz w:val="22"/>
          <w:szCs w:val="22"/>
        </w:rPr>
      </w:r>
      <w:r/>
    </w:p>
    <w:p>
      <w:pPr>
        <w:contextualSpacing w:val="0"/>
        <w:ind w:left="0" w:right="0" w:firstLine="422"/>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4.1小微型企业价格扣除</w:t>
      </w:r>
      <w:r>
        <w:rPr>
          <w:rFonts w:ascii="宋体" w:hAnsi="宋体" w:cs="宋体"/>
          <w:sz w:val="22"/>
          <w:szCs w:val="22"/>
        </w:rPr>
      </w:r>
      <w:r/>
    </w:p>
    <w:p>
      <w:pPr>
        <w:contextualSpacing w:val="0"/>
        <w:ind w:left="0" w:right="0" w:firstLine="422"/>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（1）本项目对小型和微型企业提供的服务（产品）给予10%的扣除价格，用扣除后的价格参与评审。</w:t>
      </w:r>
      <w:r>
        <w:rPr>
          <w:rFonts w:ascii="宋体" w:hAnsi="宋体" w:cs="宋体"/>
          <w:sz w:val="22"/>
          <w:szCs w:val="22"/>
        </w:rPr>
      </w:r>
      <w:r/>
    </w:p>
    <w:p>
      <w:pPr>
        <w:contextualSpacing w:val="0"/>
        <w:ind w:left="0" w:right="0" w:firstLine="422"/>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（2）供应商需按照采购文件的要求提供相应的《小微企业声明函》。</w:t>
      </w:r>
      <w:r>
        <w:rPr>
          <w:rFonts w:ascii="宋体" w:hAnsi="宋体" w:cs="宋体"/>
          <w:sz w:val="22"/>
          <w:szCs w:val="22"/>
        </w:rPr>
      </w:r>
      <w:r/>
    </w:p>
    <w:p>
      <w:pPr>
        <w:contextualSpacing w:val="0"/>
        <w:ind w:left="0" w:right="0" w:firstLine="422"/>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2"/>
          <w:szCs w:val="22"/>
        </w:rPr>
        <w:t xml:space="preserve">（3）企业标准请参照《关于印发中小企业划型标准规定的通知》（工信部联企业〔2011〕300号）文件规定自行填写。</w:t>
      </w:r>
      <w:r>
        <w:rPr>
          <w:rFonts w:ascii="宋体" w:hAnsi="宋体" w:cs="宋体"/>
          <w:sz w:val="22"/>
          <w:szCs w:val="22"/>
        </w:rPr>
      </w:r>
      <w:r/>
    </w:p>
    <w:p>
      <w:pPr>
        <w:contextualSpacing w:val="0"/>
        <w:ind w:left="0" w:right="0" w:firstLine="56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4.2监狱和戒毒企业价格扣除</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（1）本项目对监狱和戒毒企业（简称监狱企业）视同小型、微型企业，给予</w:t>
      </w:r>
      <w:r>
        <w:rPr>
          <w:rFonts w:ascii="宋体" w:hAnsi="宋体" w:eastAsia="SimSun" w:cs="宋体"/>
          <w:b/>
          <w:color w:val="000000"/>
          <w:sz w:val="22"/>
          <w:szCs w:val="22"/>
        </w:rPr>
        <w:t xml:space="preserve">10%</w:t>
      </w:r>
      <w:r>
        <w:rPr>
          <w:rFonts w:ascii="宋体" w:hAnsi="宋体" w:eastAsia="宋体" w:cs="宋体"/>
          <w:color w:val="000000"/>
          <w:sz w:val="22"/>
          <w:szCs w:val="22"/>
        </w:rPr>
        <w:t xml:space="preserve">的价格扣除，用扣除后的价格参与评审。</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（3）监狱企业标准请参照《关于政府采购支持监狱企业发展有关问题的通知》（财库〔2014〕68号）。</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4.3残疾人福利单位价格扣除</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（1）本项目对残疾人福利性单位视同小型、微型企业，给予10%的价格扣除，用扣除后的价格参与评审。的价格扣除，用扣除后的价格参与评审。</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（2）残疾人福利单位需按照采购文件的要求提供《残疾人福利性单位声明函》。</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（3）残疾人福利单位标准请参照《关于促进残疾人就业政府采购政策的通知》（财库〔2017〕141号）。</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4.4残疾人福利单位、监狱企业属于小型、微型企业的，不重复享受政策。</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4.5本项目同意联合体投标，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宋体" w:hAnsi="宋体" w:eastAsia="SimSun" w:cs="宋体"/>
          <w:b/>
          <w:color w:val="000000"/>
          <w:sz w:val="22"/>
          <w:szCs w:val="22"/>
        </w:rPr>
        <w:t xml:space="preserve">30%</w:t>
      </w:r>
      <w:r>
        <w:rPr>
          <w:rFonts w:ascii="宋体" w:hAnsi="宋体" w:eastAsia="宋体" w:cs="宋体"/>
          <w:color w:val="000000"/>
          <w:sz w:val="22"/>
          <w:szCs w:val="22"/>
        </w:rPr>
        <w:t xml:space="preserve">以上的，给予联合体或者大中型企业</w:t>
      </w:r>
      <w:r>
        <w:rPr>
          <w:rFonts w:ascii="宋体" w:hAnsi="宋体" w:eastAsia="SimSun" w:cs="宋体"/>
          <w:b/>
          <w:color w:val="000000"/>
          <w:sz w:val="22"/>
          <w:szCs w:val="22"/>
        </w:rPr>
        <w:t xml:space="preserve">4%</w:t>
      </w:r>
      <w:r>
        <w:rPr>
          <w:rFonts w:ascii="宋体" w:hAnsi="宋体" w:eastAsia="宋体" w:cs="宋体"/>
          <w:color w:val="000000"/>
          <w:sz w:val="22"/>
          <w:szCs w:val="22"/>
        </w:rPr>
        <w:t xml:space="preserve">的价格扣除，用扣除后的价格参与评审。</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联合体各方均为小型、微型企业（残疾人福利单位、监狱企业）的，联合体享受</w:t>
      </w:r>
      <w:r>
        <w:rPr>
          <w:rFonts w:ascii="宋体" w:hAnsi="宋体" w:eastAsia="SimSun" w:cs="宋体"/>
          <w:b/>
          <w:color w:val="000000"/>
          <w:sz w:val="22"/>
          <w:szCs w:val="22"/>
        </w:rPr>
        <w:t xml:space="preserve">10%</w:t>
      </w:r>
      <w:r>
        <w:rPr>
          <w:rFonts w:ascii="宋体" w:hAnsi="宋体" w:eastAsia="宋体" w:cs="宋体"/>
          <w:color w:val="000000"/>
          <w:sz w:val="22"/>
          <w:szCs w:val="22"/>
        </w:rPr>
        <w:t xml:space="preserve">价格扣除，用扣除后的价格参与评审。</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5.《江苏省财政厅关于进一步加大政府采购支持中小企业力度的通知》苏财购〔2022〕45号</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6.根据《江苏省财政厅关于加强政府绿色采购有关事项的通知》（苏财购〔2023〕65号）文件精神，严格落实政府绿色采购的各项要求。</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7.节能环保</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本项目中如有涉及节能环保产品要求的，应当按照《财政部、发展改革委、生态环境部、市场监管总局关于调整优化节能产品、环境标志产品政府采购执行机制的通知》（财库〔2019〕9号）文件执行。</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8.需求标准</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本项目中如有涉及商品包装、快递包装的，应当按照《关于印发〈商品包装政府采购需求标准（试行）〉、〈快递包装政府采购需求标准（试行）〉的通知》（财办库〔2020〕123号）执行。</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本项目中如有涉及采购数据中心相关设备、运维服务的，应当按照《关于印发〈绿色数据中心政府采购需求标准（试行）〉的通知》（财办库〔2023〕7号）执行。</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本项目中如有涉及数据库、操作系统、通用服务器、工作站、一体式计算机、便携式计算机、台式计算机等七种软硬件的，应当按照财政部、工信部共同发布的数据库、操作系统、通用服务器、工作站、一体式计算机、便携式计算机、台式计算机等七种软硬件需求标准执行。</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9.《江苏省财政厅转发财政部关于推动解决政府采购异常低价问题的通知》（苏财购〔2026〕36号）。</w:t>
      </w:r>
      <w:r>
        <w:rPr>
          <w:rFonts w:ascii="宋体" w:hAnsi="宋体" w:cs="宋体"/>
          <w:sz w:val="22"/>
          <w:szCs w:val="22"/>
        </w:rPr>
      </w:r>
      <w:r/>
    </w:p>
    <w:p>
      <w:pPr>
        <w:contextualSpacing w:val="0"/>
        <w:ind w:left="0" w:right="0" w:firstLine="420"/>
        <w:jc w:val="left"/>
        <w:spacing w:before="0" w:after="0" w:line="360" w:lineRule="auto"/>
        <w:tabs>
          <w:tab w:val="left" w:pos="900" w:leader="none"/>
        </w:tabs>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2"/>
          <w:szCs w:val="22"/>
        </w:rPr>
        <w:t xml:space="preserve">10.《国务院办公厅关于在政府采购中实施本国产品标准及相关政策的通知》（国办发〔2025〕34号）</w:t>
      </w:r>
      <w:r>
        <w:rPr>
          <w:rFonts w:ascii="宋体" w:hAnsi="宋体" w:cs="宋体"/>
          <w:sz w:val="22"/>
          <w:szCs w:val="22"/>
        </w:rPr>
      </w:r>
      <w:r/>
    </w:p>
    <w:p>
      <w:pPr>
        <w:contextualSpacing w:val="0"/>
        <w:ind w:left="0" w:right="0" w:firstLine="482"/>
        <w:jc w:val="left"/>
        <w:spacing w:before="0" w:after="0" w:line="360" w:lineRule="auto"/>
        <w:rPr>
          <w:rFonts w:ascii="宋体" w:hAnsi="宋体" w:cs="宋体"/>
          <w:sz w:val="22"/>
          <w:szCs w:val="22"/>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ff0000"/>
          <w:sz w:val="22"/>
          <w:szCs w:val="22"/>
        </w:rPr>
        <w:t xml:space="preserve">特别说明：成交供应商在下载成交通知书后7个工作日内，提供</w:t>
      </w:r>
      <w:r>
        <w:rPr>
          <w:rFonts w:ascii="宋体" w:hAnsi="宋体" w:eastAsia="宋体" w:cs="宋体"/>
          <w:b/>
          <w:color w:val="ff0000"/>
          <w:sz w:val="22"/>
          <w:szCs w:val="22"/>
          <w:u w:val="single"/>
        </w:rPr>
        <w:t xml:space="preserve">3套</w:t>
      </w:r>
      <w:r>
        <w:rPr>
          <w:rFonts w:ascii="宋体" w:hAnsi="宋体" w:eastAsia="宋体" w:cs="宋体"/>
          <w:b/>
          <w:color w:val="ff0000"/>
          <w:sz w:val="22"/>
          <w:szCs w:val="22"/>
        </w:rPr>
        <w:t xml:space="preserve">加盖红章的系统内打印的纸质响应文件给采购代理机构。</w:t>
      </w:r>
      <w:r>
        <w:rPr>
          <w:rFonts w:ascii="宋体" w:hAnsi="宋体" w:cs="宋体"/>
          <w:sz w:val="22"/>
          <w:szCs w:val="22"/>
        </w:rPr>
      </w:r>
      <w:r/>
    </w:p>
    <w:p>
      <w:pPr>
        <w:contextualSpacing w:val="0"/>
        <w:ind w:left="0" w:right="0" w:firstLine="422"/>
        <w:jc w:val="left"/>
        <w:spacing w:before="0" w:after="0" w:line="360" w:lineRule="auto"/>
        <w:rPr>
          <w:rFonts w:ascii="宋体" w:hAnsi="宋体" w:cs="宋体"/>
          <w:sz w:val="21"/>
          <w:szCs w:val="21"/>
        </w:rPr>
        <w:pBdr>
          <w:top w:val="none" w:color="000000" w:sz="4" w:space="0"/>
          <w:left w:val="none" w:color="000000" w:sz="4" w:space="0"/>
          <w:bottom w:val="none" w:color="000000" w:sz="4" w:space="0"/>
          <w:right w:val="none" w:color="000000" w:sz="4" w:space="0"/>
        </w:pBdr>
        <w:suppressLineNumbers w:val="0"/>
      </w:pPr>
      <w:r>
        <w:rPr>
          <w:rFonts w:ascii="宋体" w:hAnsi="宋体" w:eastAsia="SimSun" w:cs="宋体"/>
          <w:b/>
          <w:color w:val="000000"/>
          <w:sz w:val="21"/>
          <w:szCs w:val="21"/>
        </w:rPr>
        <w:t xml:space="preserve"> </w:t>
      </w:r>
      <w:r>
        <w:rPr>
          <w:rFonts w:ascii="宋体" w:hAnsi="宋体" w:cs="宋体"/>
          <w:sz w:val="21"/>
          <w:szCs w:val="21"/>
        </w:rPr>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宋体" w:hAnsi="宋体" w:cs="宋体"/>
          <w:sz w:val="22"/>
          <w:szCs w:val="22"/>
        </w:rPr>
        <w:br w:type="page" w:clear="all"/>
      </w:r>
      <w:r/>
    </w:p>
    <w:p>
      <w:pPr>
        <w:pStyle w:val="678"/>
        <w:contextualSpacing w:val="0"/>
        <w:ind w:left="0" w:firstLine="0"/>
        <w:jc w:val="center"/>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第三章</w:t>
      </w:r>
      <w:r>
        <w:rPr>
          <w:rFonts w:ascii="SimSun" w:hAnsi="SimSun" w:eastAsia="SimSun" w:cs="SimSun"/>
          <w:b/>
          <w:color w:val="000000"/>
          <w:sz w:val="21"/>
        </w:rPr>
        <w:t xml:space="preserve"> 合同条款及格式</w:t>
      </w:r>
      <w:r/>
    </w:p>
    <w:p>
      <w:pPr>
        <w:contextualSpacing w:val="0"/>
        <w:ind w:left="0" w:right="0" w:firstLine="0"/>
        <w:jc w:val="center"/>
        <w:spacing w:before="240" w:after="240" w:line="360" w:lineRule="auto"/>
        <w:tabs>
          <w:tab w:val="left" w:pos="1050" w:leader="none"/>
          <w:tab w:val="left" w:pos="9402"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 合同授予</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一、成交供应商在《成交通知书》发出后30日内须按照磋商文件确定的事项签订采购合同。合同一式四份，采购单位两份，供应商两份。所签合同不得对磋商文件作实质性修改。采购单位不得向成交供应商提出不合理的要求作为签订合同的条件，不得与成交供应商私下订立背离磋商文件实质性内容的协议。 </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三、采购单位故意推迟项目验收时间，与成交供应商串通或要求成交供应商通过减少货物数量或降低服务标准，在履行合同中采取更改配置、调换物品等手段，要求成交供应商出具虚假发票或任意更改销售发票，谋取不正当利益的，谋取不正当利益的，承担相应的法律责任。</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四、成交供应商出现违约情形，应当及时纠正或补偿；造成损失的，按照合同约定追究违约责任；发现有假冒、伪劣、走私产品、商业贿赂等违法情形的，应由采购单位移交工商、质监、公安等行政执法部门依法查处。</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五、按政府采购合同约定支付的合同款，实行财政国库直接支付。</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六、不响应付款方式的，视同响应文件无效，按无效响应文件处理。</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七、付款方式详见磋商文件第四章。</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八、项目款的支付不计息。</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br w:type="page" w:clear="all"/>
      </w:r>
      <w:r/>
    </w:p>
    <w:p>
      <w:pPr>
        <w:contextualSpacing w:val="0"/>
        <w:ind w:left="0" w:right="0" w:firstLine="210"/>
        <w:jc w:val="center"/>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SimHei" w:hAnsi="SimHei" w:eastAsia="SimHei" w:cs="SimHei"/>
          <w:b/>
          <w:color w:val="000000"/>
          <w:sz w:val="32"/>
        </w:rPr>
        <w:t xml:space="preserve">2027年度“天地图泰州”数据融合及节点维护更新项目合同</w:t>
      </w:r>
      <w:r/>
    </w:p>
    <w:p>
      <w:pPr>
        <w:contextualSpacing w:val="0"/>
        <w:ind w:left="0" w:right="0" w:firstLine="0"/>
        <w:jc w:val="center"/>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SimHei" w:hAnsi="SimHei" w:eastAsia="SimHei" w:cs="SimHei"/>
          <w:b/>
          <w:color w:val="000000"/>
          <w:sz w:val="32"/>
        </w:rPr>
        <w:t xml:space="preserve">（项目编号：）</w:t>
      </w:r>
      <w:r/>
    </w:p>
    <w:p>
      <w:pPr>
        <w:contextualSpacing w:val="0"/>
        <w:ind w:left="0" w:right="0" w:firstLine="471"/>
        <w:jc w:val="left"/>
        <w:spacing w:before="0" w:after="0" w:line="360" w:lineRule="auto"/>
        <w:tabs>
          <w:tab w:val="left" w:pos="9360" w:leader="none"/>
        </w:tabs>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甲方（采购人）：</w:t>
      </w:r>
      <w:r>
        <w:rPr>
          <w:rFonts w:ascii="宋体" w:hAnsi="宋体" w:eastAsia="宋体" w:cs="宋体"/>
          <w:color w:val="000000"/>
          <w:sz w:val="20"/>
          <w:szCs w:val="20"/>
          <w:u w:val="single"/>
        </w:rPr>
        <w:t xml:space="preserve"> 泰州市自然资源和规划局  </w:t>
      </w:r>
      <w:r>
        <w:rPr>
          <w:rFonts w:ascii="宋体" w:hAnsi="宋体" w:eastAsia="SimSun" w:cs="宋体"/>
          <w:color w:val="000000"/>
          <w:sz w:val="20"/>
          <w:szCs w:val="20"/>
        </w:rPr>
        <w:t xml:space="preserve"> </w:t>
      </w:r>
      <w:r>
        <w:rPr>
          <w:rFonts w:ascii="宋体" w:hAnsi="宋体" w:cs="宋体"/>
          <w:sz w:val="20"/>
          <w:szCs w:val="20"/>
        </w:rPr>
      </w:r>
      <w:r/>
    </w:p>
    <w:p>
      <w:pPr>
        <w:contextualSpacing w:val="0"/>
        <w:ind w:left="0" w:right="0" w:firstLine="471"/>
        <w:jc w:val="left"/>
        <w:spacing w:before="0" w:after="0" w:line="360" w:lineRule="auto"/>
        <w:tabs>
          <w:tab w:val="left" w:pos="9360" w:leader="none"/>
        </w:tabs>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乙方（成交人）：</w:t>
      </w:r>
      <w:r>
        <w:rPr>
          <w:rFonts w:ascii="宋体" w:hAnsi="宋体" w:eastAsia="SimSun" w:cs="宋体"/>
          <w:color w:val="000000"/>
          <w:sz w:val="20"/>
          <w:szCs w:val="20"/>
          <w:u w:val="single"/>
        </w:rPr>
        <w:t xml:space="preserve">                        </w:t>
      </w:r>
      <w:r>
        <w:rPr>
          <w:rFonts w:ascii="宋体" w:hAnsi="宋体" w:eastAsia="SimSun" w:cs="宋体"/>
          <w:color w:val="000000"/>
          <w:sz w:val="20"/>
          <w:szCs w:val="20"/>
        </w:rPr>
        <w:t xml:space="preserve">    </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签订地点：</w:t>
      </w:r>
      <w:r>
        <w:rPr>
          <w:rFonts w:ascii="宋体" w:hAnsi="宋体" w:eastAsia="宋体" w:cs="宋体"/>
          <w:color w:val="000000"/>
          <w:sz w:val="20"/>
          <w:szCs w:val="20"/>
          <w:u w:val="single"/>
        </w:rPr>
        <w:t xml:space="preserve"> 泰州市</w:t>
      </w:r>
      <w:r>
        <w:rPr>
          <w:rFonts w:ascii="宋体" w:hAnsi="宋体" w:eastAsia="SimSun" w:cs="宋体"/>
          <w:color w:val="000000"/>
          <w:sz w:val="20"/>
          <w:szCs w:val="20"/>
        </w:rPr>
        <w:t xml:space="preserve">  </w:t>
      </w:r>
      <w:r>
        <w:rPr>
          <w:rFonts w:ascii="宋体" w:hAnsi="宋体" w:cs="宋体"/>
          <w:sz w:val="20"/>
          <w:szCs w:val="20"/>
        </w:rPr>
      </w:r>
      <w:r/>
    </w:p>
    <w:p>
      <w:pPr>
        <w:contextualSpacing w:val="0"/>
        <w:ind w:left="0" w:right="0" w:firstLine="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SimSun" w:cs="宋体"/>
          <w:b/>
          <w:color w:val="000000"/>
          <w:sz w:val="20"/>
          <w:szCs w:val="20"/>
        </w:rPr>
        <w:t xml:space="preserve">                                          </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甲乙双方根据政府采购项目编号</w:t>
      </w:r>
      <w:r>
        <w:rPr>
          <w:rFonts w:ascii="宋体" w:hAnsi="宋体" w:eastAsia="SimSun" w:cs="宋体"/>
          <w:color w:val="000000"/>
          <w:sz w:val="20"/>
          <w:szCs w:val="20"/>
          <w:u w:val="single"/>
        </w:rPr>
        <w:t xml:space="preserve">                 </w:t>
      </w:r>
      <w:r>
        <w:rPr>
          <w:rFonts w:ascii="宋体" w:hAnsi="宋体" w:eastAsia="宋体" w:cs="宋体"/>
          <w:color w:val="000000"/>
          <w:sz w:val="20"/>
          <w:szCs w:val="20"/>
        </w:rPr>
        <w:t xml:space="preserve">号的 </w:t>
      </w:r>
      <w:r>
        <w:rPr>
          <w:rFonts w:ascii="宋体" w:hAnsi="宋体" w:eastAsia="SimSun" w:cs="宋体"/>
          <w:color w:val="000000"/>
          <w:sz w:val="20"/>
          <w:szCs w:val="20"/>
          <w:u w:val="single"/>
        </w:rPr>
        <w:t xml:space="preserve">            </w:t>
      </w:r>
      <w:r>
        <w:rPr>
          <w:rFonts w:ascii="宋体" w:hAnsi="宋体" w:eastAsia="宋体" w:cs="宋体"/>
          <w:color w:val="000000"/>
          <w:sz w:val="20"/>
          <w:szCs w:val="20"/>
        </w:rPr>
        <w:t xml:space="preserve">项目竞争性磋商采购结果及采购文件的要求,经协商一致,达成如下采购服务合同:</w:t>
      </w:r>
      <w:r>
        <w:rPr>
          <w:rFonts w:ascii="宋体" w:hAnsi="宋体" w:cs="宋体"/>
          <w:sz w:val="20"/>
          <w:szCs w:val="20"/>
        </w:rPr>
      </w:r>
      <w:r/>
    </w:p>
    <w:p>
      <w:pPr>
        <w:contextualSpacing w:val="0"/>
        <w:ind w:left="0" w:right="0" w:firstLine="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0"/>
          <w:szCs w:val="20"/>
        </w:rPr>
        <w:t xml:space="preserve">一、采购标的</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（一）服务名称：</w:t>
      </w:r>
      <w:r>
        <w:rPr>
          <w:rFonts w:ascii="宋体" w:hAnsi="宋体" w:eastAsia="宋体" w:cs="宋体"/>
          <w:color w:val="000000"/>
          <w:sz w:val="20"/>
          <w:szCs w:val="20"/>
          <w:u w:val="single"/>
        </w:rPr>
        <w:t xml:space="preserve">2027年度“天地图泰州”数据融合及节点维护更新项目</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（二）规划范围：</w:t>
      </w:r>
      <w:r>
        <w:rPr>
          <w:rFonts w:ascii="宋体" w:hAnsi="宋体" w:eastAsia="宋体" w:cs="宋体"/>
          <w:color w:val="000000"/>
          <w:sz w:val="20"/>
          <w:szCs w:val="20"/>
          <w:u w:val="single"/>
        </w:rPr>
        <w:t xml:space="preserve">   详见项目需求               </w:t>
      </w:r>
      <w:r>
        <w:rPr>
          <w:rFonts w:ascii="宋体" w:hAnsi="宋体" w:eastAsia="宋体" w:cs="宋体"/>
          <w:color w:val="000000"/>
          <w:sz w:val="20"/>
          <w:szCs w:val="20"/>
        </w:rPr>
        <w:t xml:space="preserve"> 。 </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（三）服务内容：</w:t>
      </w:r>
      <w:r>
        <w:rPr>
          <w:rFonts w:ascii="宋体" w:hAnsi="宋体" w:eastAsia="宋体" w:cs="宋体"/>
          <w:color w:val="000000"/>
          <w:sz w:val="20"/>
          <w:szCs w:val="20"/>
          <w:u w:val="single"/>
        </w:rPr>
        <w:t xml:space="preserve">   详见项目需求               </w:t>
      </w:r>
      <w:r>
        <w:rPr>
          <w:rFonts w:ascii="宋体" w:hAnsi="宋体" w:eastAsia="宋体" w:cs="宋体"/>
          <w:color w:val="000000"/>
          <w:sz w:val="20"/>
          <w:szCs w:val="20"/>
        </w:rPr>
        <w:t xml:space="preserve"> 。</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（四）补充条款：</w:t>
      </w:r>
      <w:r>
        <w:rPr>
          <w:rFonts w:ascii="宋体" w:hAnsi="宋体" w:eastAsia="SimSun" w:cs="宋体"/>
          <w:color w:val="000000"/>
          <w:sz w:val="20"/>
          <w:szCs w:val="20"/>
          <w:u w:val="single"/>
        </w:rPr>
        <w:t xml:space="preserve">                        </w:t>
      </w:r>
      <w:r>
        <w:rPr>
          <w:rFonts w:ascii="宋体" w:hAnsi="宋体" w:eastAsia="宋体" w:cs="宋体"/>
          <w:color w:val="000000"/>
          <w:sz w:val="20"/>
          <w:szCs w:val="20"/>
        </w:rPr>
        <w:t xml:space="preserve">。</w:t>
      </w:r>
      <w:r>
        <w:rPr>
          <w:rFonts w:ascii="宋体" w:hAnsi="宋体" w:cs="宋体"/>
          <w:sz w:val="20"/>
          <w:szCs w:val="20"/>
        </w:rPr>
      </w:r>
      <w:r/>
    </w:p>
    <w:p>
      <w:pPr>
        <w:contextualSpacing w:val="0"/>
        <w:ind w:left="0" w:right="0" w:firstLine="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0"/>
          <w:szCs w:val="20"/>
        </w:rPr>
        <w:t xml:space="preserve">二、合同价款</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（一）本合同总价款为人民币</w:t>
      </w:r>
      <w:r>
        <w:rPr>
          <w:rFonts w:ascii="宋体" w:hAnsi="宋体" w:eastAsia="宋体" w:cs="宋体"/>
          <w:color w:val="000000"/>
          <w:sz w:val="20"/>
          <w:szCs w:val="20"/>
          <w:u w:val="single"/>
        </w:rPr>
        <w:t xml:space="preserve">（大写）</w:t>
      </w:r>
      <w:r>
        <w:rPr>
          <w:rFonts w:ascii="宋体" w:hAnsi="宋体" w:eastAsia="宋体" w:cs="宋体"/>
          <w:color w:val="000000"/>
          <w:sz w:val="20"/>
          <w:szCs w:val="20"/>
        </w:rPr>
        <w:t xml:space="preserve"> 元整（¥ </w:t>
      </w:r>
      <w:r>
        <w:rPr>
          <w:rFonts w:ascii="宋体" w:hAnsi="宋体" w:eastAsia="SimSun" w:cs="宋体"/>
          <w:color w:val="000000"/>
          <w:sz w:val="20"/>
          <w:szCs w:val="20"/>
          <w:u w:val="single"/>
        </w:rPr>
        <w:t xml:space="preserve">         </w:t>
      </w:r>
      <w:r>
        <w:rPr>
          <w:rFonts w:ascii="宋体" w:hAnsi="宋体" w:eastAsia="宋体" w:cs="宋体"/>
          <w:color w:val="000000"/>
          <w:sz w:val="20"/>
          <w:szCs w:val="20"/>
        </w:rPr>
        <w:t xml:space="preserve"> ，含税）。</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（二）本合同价款包含所有乙方提供合同约定的服务内容的报酬及乙方提供该项服务所支出的必要费用，甲方在上述合同价款之外不再向乙方支付其他任何费用。</w:t>
      </w:r>
      <w:r>
        <w:rPr>
          <w:rFonts w:ascii="宋体" w:hAnsi="宋体" w:cs="宋体"/>
          <w:sz w:val="20"/>
          <w:szCs w:val="20"/>
        </w:rPr>
      </w:r>
      <w:r/>
    </w:p>
    <w:p>
      <w:pPr>
        <w:contextualSpacing w:val="0"/>
        <w:ind w:left="0" w:right="0" w:firstLine="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0"/>
          <w:szCs w:val="20"/>
        </w:rPr>
        <w:t xml:space="preserve">三、合同履行</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本合同项下服务的提供参照采购文件的具体要求履行，甲乙双方通过补充条款进行特殊约定的从其约定。</w:t>
      </w:r>
      <w:r>
        <w:rPr>
          <w:rFonts w:ascii="宋体" w:hAnsi="宋体" w:cs="宋体"/>
          <w:sz w:val="20"/>
          <w:szCs w:val="20"/>
        </w:rPr>
      </w:r>
      <w:r/>
    </w:p>
    <w:p>
      <w:pPr>
        <w:contextualSpacing w:val="0"/>
        <w:ind w:left="0" w:firstLine="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1.履行期限：2027年1月1日起至2027年12月31日止。</w:t>
      </w:r>
      <w:r>
        <w:rPr>
          <w:rFonts w:ascii="宋体" w:hAnsi="宋体" w:cs="宋体"/>
          <w:sz w:val="20"/>
          <w:szCs w:val="20"/>
        </w:rPr>
      </w:r>
      <w:r/>
    </w:p>
    <w:p>
      <w:pPr>
        <w:contextualSpacing w:val="0"/>
        <w:ind w:left="0" w:firstLine="0"/>
        <w:jc w:val="left"/>
        <w:spacing w:before="0" w:after="0" w:line="360" w:lineRule="auto"/>
        <w:tabs>
          <w:tab w:val="left" w:pos="6978" w:leader="none"/>
        </w:tabs>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2.工作进度：</w:t>
      </w:r>
      <w:r>
        <w:rPr>
          <w:rFonts w:ascii="宋体" w:hAnsi="宋体" w:cs="宋体"/>
          <w:sz w:val="20"/>
          <w:szCs w:val="20"/>
        </w:rPr>
      </w:r>
      <w:r/>
    </w:p>
    <w:p>
      <w:pPr>
        <w:contextualSpacing w:val="0"/>
        <w:ind w:left="0" w:firstLine="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3.成果要求：</w:t>
      </w:r>
      <w:r>
        <w:rPr>
          <w:rFonts w:ascii="宋体" w:hAnsi="宋体" w:cs="宋体"/>
          <w:sz w:val="20"/>
          <w:szCs w:val="20"/>
        </w:rPr>
      </w:r>
      <w:r/>
    </w:p>
    <w:p>
      <w:pPr>
        <w:contextualSpacing w:val="0"/>
        <w:ind w:left="0" w:firstLine="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4.补充条款： 。</w:t>
      </w:r>
      <w:r>
        <w:rPr>
          <w:rFonts w:ascii="宋体" w:hAnsi="宋体" w:cs="宋体"/>
          <w:sz w:val="20"/>
          <w:szCs w:val="20"/>
        </w:rPr>
      </w:r>
      <w:r/>
    </w:p>
    <w:p>
      <w:pPr>
        <w:contextualSpacing w:val="0"/>
        <w:ind w:left="0" w:right="0" w:firstLine="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0"/>
          <w:szCs w:val="20"/>
        </w:rPr>
        <w:t xml:space="preserve">四、验收</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甲方在合同履行期间，有权依照采购文件相关要求对乙方提供的相关服务或交付的工作成果进行阶段性验收或总体验收。相关验收工作须在甲方工作日时间内进行。</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大写）</w:t>
      </w:r>
      <w:r>
        <w:rPr>
          <w:rFonts w:ascii="宋体" w:hAnsi="宋体" w:eastAsia="SimSun" w:cs="宋体"/>
          <w:color w:val="000000"/>
          <w:sz w:val="20"/>
          <w:szCs w:val="20"/>
          <w:u w:val="single"/>
        </w:rPr>
        <w:t xml:space="preserve">    </w:t>
      </w:r>
      <w:r>
        <w:rPr>
          <w:rFonts w:ascii="宋体" w:hAnsi="宋体" w:eastAsia="宋体" w:cs="宋体"/>
          <w:color w:val="000000"/>
          <w:sz w:val="20"/>
          <w:szCs w:val="20"/>
        </w:rPr>
        <w:t xml:space="preserve"> 元整（¥ </w:t>
      </w:r>
      <w:r>
        <w:rPr>
          <w:rFonts w:ascii="宋体" w:hAnsi="宋体" w:eastAsia="SimSun" w:cs="宋体"/>
          <w:color w:val="000000"/>
          <w:sz w:val="20"/>
          <w:szCs w:val="20"/>
          <w:u w:val="single"/>
        </w:rPr>
        <w:t xml:space="preserve">       </w:t>
      </w:r>
      <w:r>
        <w:rPr>
          <w:rFonts w:ascii="宋体" w:hAnsi="宋体" w:eastAsia="宋体" w:cs="宋体"/>
          <w:color w:val="000000"/>
          <w:sz w:val="20"/>
          <w:szCs w:val="20"/>
        </w:rPr>
        <w:t xml:space="preserve"> ）。</w:t>
      </w:r>
      <w:r>
        <w:rPr>
          <w:rFonts w:ascii="宋体" w:hAnsi="宋体" w:cs="宋体"/>
          <w:sz w:val="20"/>
          <w:szCs w:val="20"/>
        </w:rPr>
      </w:r>
      <w:r/>
    </w:p>
    <w:p>
      <w:pPr>
        <w:contextualSpacing w:val="0"/>
        <w:ind w:left="0" w:right="0" w:firstLine="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0"/>
          <w:szCs w:val="20"/>
        </w:rPr>
        <w:t xml:space="preserve">五、合同责任</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（一）甲方应当为乙方履行合同提供必要的支持。</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（三）乙方需加强安全操作，如发生安全责任事故，由乙方全权负责。</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（四）乙方在履行合同中产生的一切非因甲方过错导致的损失，均由乙方自行承担责任。</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（五）甲乙双方均应指定专人作为本合同履行期间双方之间的联络人，所有一方向相对方正式知会事项的通知到达相对方指定联络人即视为到达对方。</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甲方指定联络人：                      乙方指定联络人：</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姓名：                                姓名： </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联系方式：                            联系方式：</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六）本合同履行过程中，由于乙方违反本合同，包括但不限于出现重大质量问题等，或者履行本合同不符合要求、在本合同期限届满后的双方约定的宽限期内仍未能达到合同要求的，甲方有权解除合同并要求乙方支付合同金额20%的违约金。</w:t>
      </w:r>
      <w:r>
        <w:rPr>
          <w:rFonts w:ascii="宋体" w:hAnsi="宋体" w:cs="宋体"/>
          <w:sz w:val="20"/>
          <w:szCs w:val="20"/>
        </w:rPr>
      </w:r>
      <w:r/>
    </w:p>
    <w:p>
      <w:pPr>
        <w:contextualSpacing w:val="0"/>
        <w:ind w:left="0" w:right="0" w:firstLine="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0"/>
          <w:szCs w:val="20"/>
        </w:rPr>
        <w:t xml:space="preserve">六、履约保证金</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本项目不收取履约保证金。</w:t>
      </w:r>
      <w:r>
        <w:rPr>
          <w:rFonts w:ascii="宋体" w:hAnsi="宋体" w:cs="宋体"/>
          <w:sz w:val="20"/>
          <w:szCs w:val="20"/>
        </w:rPr>
      </w:r>
      <w:r/>
    </w:p>
    <w:p>
      <w:pPr>
        <w:contextualSpacing w:val="0"/>
        <w:ind w:left="0" w:right="0" w:firstLine="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0"/>
          <w:szCs w:val="20"/>
        </w:rPr>
        <w:t xml:space="preserve">七、合同付款</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1.供应商结账时需开具正式发票并附合同复印件；发票上标注的名称、账号、开户行应与收款人一致。</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2.市本级合同款项支付方式：</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第一期支付：合同签订后，乙方提交正式有效发票后30日内，甲方向乙方支付合同价的45%，即人民币</w:t>
      </w:r>
      <w:r>
        <w:rPr>
          <w:rFonts w:ascii="宋体" w:hAnsi="宋体" w:eastAsia="SimSun" w:cs="宋体"/>
          <w:color w:val="000000"/>
          <w:sz w:val="20"/>
          <w:szCs w:val="20"/>
          <w:u w:val="single"/>
        </w:rPr>
        <w:t xml:space="preserve">             </w:t>
      </w:r>
      <w:r>
        <w:rPr>
          <w:rFonts w:ascii="宋体" w:hAnsi="宋体" w:eastAsia="宋体" w:cs="宋体"/>
          <w:color w:val="000000"/>
          <w:sz w:val="20"/>
          <w:szCs w:val="20"/>
        </w:rPr>
        <w:t xml:space="preserve">元整（¥        ，含税）；</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第二期支付：项目成果经甲方验收合格后，乙方提交正式有效发票后30日内，甲方向乙方支付合同价的剩余款项，即人民币</w:t>
      </w:r>
      <w:r>
        <w:rPr>
          <w:rFonts w:ascii="宋体" w:hAnsi="宋体" w:eastAsia="SimSun" w:cs="宋体"/>
          <w:color w:val="000000"/>
          <w:sz w:val="20"/>
          <w:szCs w:val="20"/>
          <w:u w:val="single"/>
        </w:rPr>
        <w:t xml:space="preserve">           </w:t>
      </w:r>
      <w:r>
        <w:rPr>
          <w:rFonts w:ascii="宋体" w:hAnsi="宋体" w:eastAsia="宋体" w:cs="宋体"/>
          <w:color w:val="000000"/>
          <w:sz w:val="20"/>
          <w:szCs w:val="20"/>
        </w:rPr>
        <w:t xml:space="preserve">元整（¥        ，含税）。</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以上均不计息。</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3.付款方式为：银行划拨支付。</w:t>
      </w:r>
      <w:r>
        <w:rPr>
          <w:rFonts w:ascii="宋体" w:hAnsi="宋体" w:cs="宋体"/>
          <w:sz w:val="20"/>
          <w:szCs w:val="20"/>
        </w:rPr>
      </w:r>
      <w:r/>
    </w:p>
    <w:p>
      <w:pPr>
        <w:contextualSpacing w:val="0"/>
        <w:ind w:left="0" w:right="0" w:firstLine="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0"/>
          <w:szCs w:val="20"/>
        </w:rPr>
        <w:t xml:space="preserve">八、保密条款</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对甲方提交的业务信息、资料和在合同履行期间知悉甲方的工作秘密，乙方不得透露或以其他方式提供给合同以外的其他方或乙方内部与本合同无关的任何人员。乙方的保密责任不因合同的终止而终止。</w:t>
      </w:r>
      <w:r>
        <w:rPr>
          <w:rFonts w:ascii="宋体" w:hAnsi="宋体" w:cs="宋体"/>
          <w:sz w:val="20"/>
          <w:szCs w:val="20"/>
        </w:rPr>
      </w:r>
      <w:r/>
    </w:p>
    <w:p>
      <w:pPr>
        <w:contextualSpacing w:val="0"/>
        <w:ind w:left="0" w:right="0" w:firstLine="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0"/>
          <w:szCs w:val="20"/>
        </w:rPr>
        <w:t xml:space="preserve">九、争议的解决</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因履行本合同引起的或与本合同有关的争议，甲、乙双方应首先通过友好协商解决，如果协商不能解决争议，则采取以下第（1）种方式解决争议：</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1.申请仲裁。选定仲裁机构为泰州仲裁委员会。</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2.提起诉讼。约定由采购人所在地法院管辖。</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3.在仲裁期间，本合同应继续履行。</w:t>
      </w:r>
      <w:r>
        <w:rPr>
          <w:rFonts w:ascii="宋体" w:hAnsi="宋体" w:cs="宋体"/>
          <w:sz w:val="20"/>
          <w:szCs w:val="20"/>
        </w:rPr>
      </w:r>
      <w:r/>
    </w:p>
    <w:p>
      <w:pPr>
        <w:contextualSpacing w:val="0"/>
        <w:ind w:left="0" w:right="0" w:firstLine="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0"/>
          <w:szCs w:val="20"/>
        </w:rPr>
        <w:t xml:space="preserve">十、合同生效</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本合同由甲乙双方签字盖章后生效。</w:t>
      </w:r>
      <w:r>
        <w:rPr>
          <w:rFonts w:ascii="宋体" w:hAnsi="宋体" w:cs="宋体"/>
          <w:sz w:val="20"/>
          <w:szCs w:val="20"/>
        </w:rPr>
      </w:r>
      <w:r/>
    </w:p>
    <w:p>
      <w:pPr>
        <w:contextualSpacing w:val="0"/>
        <w:ind w:left="0" w:right="0" w:firstLine="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0"/>
          <w:szCs w:val="20"/>
        </w:rPr>
        <w:t xml:space="preserve">十一、组成本合同的文件包括：</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1.合同通用条款和专用条款；</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2.采购文件和乙方的响应文件；</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3.成交通知书；</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4.甲乙双方商定的其他必要文件。</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上述合同文件内容互为补充。</w:t>
      </w:r>
      <w:r>
        <w:rPr>
          <w:rFonts w:ascii="宋体" w:hAnsi="宋体" w:cs="宋体"/>
          <w:sz w:val="20"/>
          <w:szCs w:val="20"/>
        </w:rPr>
      </w:r>
      <w:r/>
    </w:p>
    <w:p>
      <w:pPr>
        <w:contextualSpacing w:val="0"/>
        <w:ind w:left="0" w:right="0" w:firstLine="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0"/>
          <w:szCs w:val="20"/>
        </w:rPr>
        <w:t xml:space="preserve">十二、合同备案</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本合同一式四份，中文书写。甲方、乙方各贰份。</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SimSun" w:cs="宋体"/>
          <w:color w:val="000000"/>
          <w:sz w:val="20"/>
          <w:szCs w:val="20"/>
        </w:rPr>
        <w:t xml:space="preserve"> </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SimSun" w:cs="宋体"/>
          <w:color w:val="000000"/>
          <w:sz w:val="20"/>
          <w:szCs w:val="20"/>
        </w:rPr>
        <w:t xml:space="preserve"> </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KaiTi" w:cs="宋体"/>
          <w:color w:val="000000"/>
          <w:sz w:val="20"/>
          <w:szCs w:val="20"/>
        </w:rPr>
        <w:t xml:space="preserve"> </w:t>
      </w:r>
      <w:r>
        <w:rPr>
          <w:rFonts w:ascii="宋体" w:hAnsi="宋体" w:cs="宋体"/>
          <w:sz w:val="20"/>
          <w:szCs w:val="20"/>
        </w:rPr>
      </w:r>
      <w:r/>
    </w:p>
    <w:p>
      <w:pPr>
        <w:contextualSpacing w:val="0"/>
        <w:ind w:left="0" w:right="0" w:firstLine="422"/>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b/>
          <w:color w:val="000000"/>
          <w:sz w:val="20"/>
          <w:szCs w:val="20"/>
        </w:rPr>
        <w:t xml:space="preserve">以下无正文内容。</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KaiTi" w:cs="宋体"/>
          <w:color w:val="000000"/>
          <w:sz w:val="20"/>
          <w:szCs w:val="20"/>
        </w:rPr>
        <w:t xml:space="preserve"> </w:t>
      </w:r>
      <w:r>
        <w:rPr>
          <w:rFonts w:ascii="宋体" w:hAnsi="宋体" w:cs="宋体"/>
          <w:sz w:val="20"/>
          <w:szCs w:val="20"/>
        </w:rPr>
      </w:r>
      <w:r/>
    </w:p>
    <w:p>
      <w:pPr>
        <w:contextualSpacing w:val="0"/>
        <w:ind w:left="0" w:right="0" w:firstLine="42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KaiTi" w:cs="宋体"/>
          <w:color w:val="000000"/>
          <w:sz w:val="20"/>
          <w:szCs w:val="20"/>
        </w:rPr>
        <w:t xml:space="preserve"> </w:t>
      </w:r>
      <w:r>
        <w:rPr>
          <w:rFonts w:ascii="宋体" w:hAnsi="宋体" w:cs="宋体"/>
          <w:sz w:val="20"/>
          <w:szCs w:val="20"/>
        </w:rPr>
      </w:r>
      <w:r/>
    </w:p>
    <w:p>
      <w:pPr>
        <w:contextualSpacing w:val="0"/>
        <w:ind w:left="0" w:right="0" w:firstLine="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甲方：（盖章）                                   乙方：（盖章）</w:t>
      </w:r>
      <w:r>
        <w:rPr>
          <w:rFonts w:ascii="宋体" w:hAnsi="宋体" w:cs="宋体"/>
          <w:sz w:val="20"/>
          <w:szCs w:val="20"/>
        </w:rPr>
      </w:r>
      <w:r/>
    </w:p>
    <w:p>
      <w:pPr>
        <w:contextualSpacing w:val="0"/>
        <w:ind w:left="0" w:right="0" w:firstLine="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地址：                                          地址：</w:t>
      </w:r>
      <w:r>
        <w:rPr>
          <w:rFonts w:ascii="宋体" w:hAnsi="宋体" w:cs="宋体"/>
          <w:sz w:val="20"/>
          <w:szCs w:val="20"/>
        </w:rPr>
      </w:r>
      <w:r/>
    </w:p>
    <w:p>
      <w:pPr>
        <w:contextualSpacing w:val="0"/>
        <w:ind w:left="0" w:right="0" w:firstLine="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法定（授权）代表人：                            法定（授权）代表人：</w:t>
      </w:r>
      <w:r>
        <w:rPr>
          <w:rFonts w:ascii="宋体" w:hAnsi="宋体" w:cs="宋体"/>
          <w:sz w:val="20"/>
          <w:szCs w:val="20"/>
        </w:rPr>
      </w:r>
      <w:r/>
    </w:p>
    <w:p>
      <w:pPr>
        <w:contextualSpacing w:val="0"/>
        <w:ind w:left="0" w:right="0" w:firstLine="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SimSun" w:cs="宋体"/>
          <w:color w:val="000000"/>
          <w:sz w:val="20"/>
          <w:szCs w:val="20"/>
        </w:rPr>
        <w:t xml:space="preserve"> </w:t>
      </w:r>
      <w:r>
        <w:rPr>
          <w:rFonts w:ascii="宋体" w:hAnsi="宋体" w:cs="宋体"/>
          <w:sz w:val="20"/>
          <w:szCs w:val="20"/>
        </w:rPr>
      </w:r>
      <w:r/>
    </w:p>
    <w:p>
      <w:pPr>
        <w:contextualSpacing w:val="0"/>
        <w:ind w:left="0" w:right="0" w:firstLine="0"/>
        <w:jc w:val="left"/>
        <w:spacing w:before="0" w:after="0" w:line="360" w:lineRule="auto"/>
        <w:rPr>
          <w:rFonts w:ascii="宋体" w:hAnsi="宋体" w:cs="宋体"/>
          <w:sz w:val="20"/>
          <w:szCs w:val="20"/>
        </w:rPr>
        <w:pBdr>
          <w:top w:val="none" w:color="000000" w:sz="4" w:space="0"/>
          <w:left w:val="none" w:color="000000" w:sz="4" w:space="0"/>
          <w:bottom w:val="none" w:color="000000" w:sz="4" w:space="0"/>
          <w:right w:val="none" w:color="000000" w:sz="4" w:space="0"/>
        </w:pBdr>
        <w:suppressLineNumbers w:val="0"/>
      </w:pPr>
      <w:r>
        <w:rPr>
          <w:rFonts w:ascii="宋体" w:hAnsi="宋体" w:eastAsia="宋体" w:cs="宋体"/>
          <w:color w:val="000000"/>
          <w:sz w:val="20"/>
          <w:szCs w:val="20"/>
        </w:rPr>
        <w:t xml:space="preserve">                                                    二〇二六年月日</w:t>
      </w:r>
      <w:r>
        <w:rPr>
          <w:rFonts w:ascii="宋体" w:hAnsi="宋体" w:cs="宋体"/>
          <w:sz w:val="20"/>
          <w:szCs w:val="20"/>
        </w:rPr>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宋体" w:hAnsi="宋体" w:cs="宋体"/>
          <w:sz w:val="20"/>
          <w:szCs w:val="20"/>
        </w:rPr>
        <w:br w:type="page" w:clear="all"/>
      </w:r>
      <w:r/>
    </w:p>
    <w:p>
      <w:pPr>
        <w:contextualSpacing w:val="0"/>
        <w:ind w:left="0" w:right="0" w:firstLine="0"/>
        <w:jc w:val="left"/>
        <w:spacing w:before="240" w:after="240" w:line="360" w:lineRule="auto"/>
        <w:tabs>
          <w:tab w:val="center" w:pos="4677" w:leader="none"/>
        </w:tabs>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z w:val="28"/>
        </w:rPr>
        <w:t xml:space="preserve"> </w:t>
      </w:r>
      <w:r>
        <w:tab/>
      </w:r>
      <w:r>
        <w:rPr>
          <w:rFonts w:ascii="SimSun" w:hAnsi="SimSun" w:eastAsia="SimSun" w:cs="SimSun"/>
          <w:b/>
          <w:color w:val="000000"/>
          <w:sz w:val="21"/>
        </w:rPr>
        <w:t xml:space="preserve">第四章 </w:t>
      </w:r>
      <w:r>
        <w:rPr>
          <w:rFonts w:ascii="SimSun" w:hAnsi="SimSun" w:eastAsia="SimSun" w:cs="SimSun"/>
          <w:b/>
          <w:color w:val="000000"/>
          <w:sz w:val="21"/>
        </w:rPr>
        <w:t xml:space="preserve">项目需求</w:t>
      </w:r>
      <w:r>
        <w:rPr>
          <w:sz w:val="24"/>
        </w:rPr>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u w:val="none"/>
        </w:rPr>
        <w:t xml:space="preserve">一、</w:t>
      </w:r>
      <w:r>
        <w:rPr>
          <w:rFonts w:ascii="SimSun" w:hAnsi="SimSun" w:eastAsia="SimSun" w:cs="SimSun"/>
          <w:b/>
          <w:color w:val="000000"/>
          <w:sz w:val="21"/>
        </w:rPr>
        <w:t xml:space="preserve">项目概况</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根据自然资源部及江苏省自然资源厅关于新一代地理信息公共服务平台（天地图）建设、数据联动更新和应用服务的部署要求，开展2027年度“天地图·泰州”数据融合及节点维护更新工作。以2026年“天地图·泰州”本底库为基础，持续推进全要素月度更新、重大变化即时更新和重点专题，形成覆盖泰州全域、现势准确、衔接一致的基础地理信息资源；巩固新一代平台“五统一”建设成果，提升二三维一体化、智能服务、遥感影像与实景三维发布能力，做好安全运行、成果审核、资源目录维护和应用推广，为党政机关、社会公众及各行业提供统一、权威、规范、便</w:t>
      </w:r>
      <w:r>
        <w:rPr>
          <w:rFonts w:ascii="SimSun" w:hAnsi="SimSun" w:eastAsia="SimSun" w:cs="SimSun"/>
          <w:color w:val="000000"/>
          <w:sz w:val="21"/>
        </w:rPr>
        <w:t xml:space="preserve">捷的地理信息公共服务。</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二、服务内容</w:t>
      </w:r>
      <w:r/>
    </w:p>
    <w:p>
      <w:pPr>
        <w:contextualSpacing w:val="0"/>
        <w:ind w:left="0" w:right="0" w:firstLine="211"/>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（一）电子地图建设</w:t>
      </w:r>
      <w:r/>
    </w:p>
    <w:p>
      <w:pPr>
        <w:contextualSpacing w:val="0"/>
        <w:ind w:left="0" w:right="0" w:firstLine="210"/>
        <w:jc w:val="left"/>
        <w:spacing w:before="24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（1）编制项目实施方案</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依据《新一代地理信息公共服务平台（天地图）建设总体实施方案》《江苏省新一代地理信息公共服务平台建设实施方案》及省级市县节点建设、数据更新技术要求，编制项目技术设计书。明确实施范围、数据本底、资料来源、月度与即时更新机制、专题任务、质量检查、安全管理、责任分工及进度安排。</w:t>
      </w:r>
      <w:r/>
    </w:p>
    <w:p>
      <w:pPr>
        <w:contextualSpacing w:val="0"/>
        <w:ind w:left="0" w:right="0" w:firstLine="210"/>
        <w:jc w:val="left"/>
        <w:spacing w:before="24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（2）已有资料收集及分析利用</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在项目启动阶段系统梳理省级下发的“天地图·泰州”成果，收集2027年度的遥感影像、基础测绘和大比例尺地形图、城市国土空间监测、不动产登记、多测合一、竣工测量、地名和行政区划调整等资料；同步收集交通、水利、教育、卫健、民政、应急、文旅、自然资源等部门权威名录，以及商业地图兴趣点季度增量包，开展覆盖性、时效性和适用性分析。</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（3）电子地图生产与发布</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基于更新形成的“天地图·泰州”数据集成果，按照相关规定和要求，完成涉密信息处理。同时按照电子地图符号与注记要求，编制“天地图·泰州”18-20级电子地图，完成泰州市各级成果要素符号化、分级抽取等。</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按照互联网电子地图发布要求，对脱密处理后地图成果报送相关部门进行地图审核。待审核通过后，将审核批准的地图瓦片发布为矢量电子地图底图、矢量电子地图注记、影像电子地图底图、影像电子地图注记4项服务。每个季度需发布一版矢量电子地图。</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（4）泰州市新一代天地图门户网站建设</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按照一体化、集约化原则，复用省级平台新版基础软件框架，在统一门户框架下复用省级平台新版基础软件框架，快速完成泰州市级平台的升级，实现新版“五统一”建设，包含优化主要栏目设置、结构布局及页面风格等，统一集成用户认证、运行监控、日志采集等基础模块，设立各模块及功能的访问入口，提升新平台整体服务效能。</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（5）泰州市新一代天地图平台运行维护</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按照一体化运行支撑体系的建设要求，采用省市集中式集群部署模式，将泰州市级新平台部署到省级天地图机房，为新平台提供整体托管服务，提供运行网络、服务器、存储等软硬件支持，保障平台全年安全稳定运行。完善市级节点网络安全防护措施，完成等保三级网络安全环境建设，开展网络安全和信息系统安全等级保护第三级测评工作，全面提升新平台整体网络安全防护水平。</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做好服务器、存储、数据库、中间件、网络、地图引擎与服务接口的监测巡检、版本管理、备份恢复、容量管理和故障处置。建立服务可用性检查、运行日志分析、告警处置及工单闭环机制，网站运行故障应在24小时内完成修复，特殊情况及时启动应急预案并通报。</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（6）实景三维成果发布</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依托既有新一代平台二三维一体化框架，整理并依法发布符合公开条件的实景三维模型，重点面向旅游景区、商业中心、政务核心区、医院、学校和文体场馆等高关注区域。</w:t>
      </w:r>
      <w:r/>
    </w:p>
    <w:p>
      <w:pPr>
        <w:contextualSpacing w:val="0"/>
        <w:ind w:left="0" w:right="0" w:firstLine="211"/>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（二）数据生产</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（1）地名地址与兴趣点数据更新</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采集主要兴趣点，对重点类别POI的空间位置及属性信息开展核查。重点类别POI包含区县级以上（含）政府机构、乡镇级以上（含）地名及政府驻地、重要场所（机场、火车站、汽车客运站、小区、医院、学校、公园、商业综合体、综合体育中心、城市标志性建筑、风景名胜区、规模较大的城市广场、休闲度假区等）。</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（2）矢量数据更新</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参照《江苏省天地图市县节点数据更新技术要求》（2026年版）及省级后续适用规定，基于“天地图·江苏”最新本底库以增量形式更新泰州市全域道路、道路附属设施、铁路、水系及附属设施、居民地、居民地附属设施、绿地、境界与政区、地名地址与兴趣点、兴趣面等地理要素。重点开展变化要素更新、必要的遗漏要素增补及符合技术要求的房屋单栋化处理，严禁以微小图形调整、非核心属性变化或无实际变化的替换处理形成无效增量。</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月度更新覆盖全部地理要素，充分利用当年遥感影像、行业权威数据和竣工测量资料，核实道路新建、改扩建、在建转建成、铁路交通变化、重要水系变化、城市新增或拆除建筑、绿地、公园以及行政区划地名调整；高速公路、国道、省道、客运铁路及火车站、民航机场、地铁、大桥等重大交通运输工程和县级以上行政区划、地名变化实施即时更新。</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（3）省市县电子地图数据融合</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按照《省市县天地图数据融合更新技术要求》，将泰州市大比例尺电子地图数据成果与“天地图·江苏”省级数据进行融合处理，对矢量数据、POI数据、影像数据开展更新处理，形成一套统一、规范、现势、准确的天地图融合数据集，构建一体化的天地图省市县数据资源体系。</w:t>
      </w:r>
      <w:r/>
    </w:p>
    <w:p>
      <w:pPr>
        <w:contextualSpacing w:val="0"/>
        <w:ind w:left="0" w:right="0" w:firstLine="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三、主要技术标准</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（1）《新一代地理信息公共服务平台（天地图）建设总体实施方案》（自然资办发〔2024〕5号）；</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（2）《江苏省新一代地理信息公共服务平台建设实施方案》；</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（3）《全国基础测绘中长期规划纲要（2015—2030年）》（国函〔2015〕92 号）；</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（4）《自然资源部信息化建设总体方案》（自然资发〔2019〕170号）； </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（5）《实景三维中国建设技术大纲（2024版）》（自然资源部2024）；</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（6）《实景三维成果资料汇交、汇集与归档基本要求》（自然资源部2024）；</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（7）《实景三维数据库建库技术规范》（自然资源部2024）；</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（8）《自然资源三维立体时空数据库主数据库设计方案（2021版）》（自然资办函〔2021〕1794 号）；</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（9）《自然资源三维立体时空数据库建设总体方案》（自然资办发〔2021〕21号） ；</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（10）《公开地图内容表示规范》（自然资源部〔2023〕2号）；</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（11）《地理信息公共服务平台管理办法》（自然资源部2024）；</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（12）《地理信息公共服务平台电子地图数据规范》（CH/Z 9011-2011）；</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（13）《2026年江苏省地理信息公共服务平台（天地图）市级节点建设要求》（江苏省自然资源厅，2026年3月）；</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（14）《江苏省天地图市县节点数据更新技术要求》（江苏省自然资源厅，2026年5月）；</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（15）《江苏省天地图市县节点专题数据更新要求》（江苏省自然资源厅，2026年5月）；</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本次所列举的规范及技术条件并不涵盖全部，对于未纳入其中但与之密切相关的部分，同样应当予以采用。若存在已停用或废止的规范，应以对应的最新版本作为执行依据。</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四、项目成果要求</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（1）项目文档成果</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2026年度“天地图·泰州”数据融合及节点维护更新工作技术设计书；</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2026年度“天地图·泰州”数据融合及节点维护更新工作技术总结报告；</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天地图·泰州用户手册；</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（2）数据成果</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77"/>
        <w:gridCol w:w="3804"/>
        <w:gridCol w:w="1822"/>
        <w:gridCol w:w="2052"/>
      </w:tblGrid>
      <w:tr>
        <w:trPr>
          <w:trHeight w:val="397"/>
        </w:trPr>
        <w:tc>
          <w:tcPr>
            <w:shd w:val="clear" w:color="bfbfbf" w:fill="bfbfb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contextualSpacing w:val="0"/>
              <w:ind w:left="0" w:right="0" w:firstLine="0"/>
              <w:jc w:val="left"/>
              <w:spacing w:before="10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成果类型</w:t>
            </w:r>
            <w:r/>
          </w:p>
        </w:tc>
        <w:tc>
          <w:tcPr>
            <w:shd w:val="clear" w:color="bfbfbf" w:fill="bfbfb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04" w:type="dxa"/>
            <w:vAlign w:val="center"/>
            <w:textDirection w:val="lrTb"/>
            <w:noWrap w:val="false"/>
          </w:tcPr>
          <w:p>
            <w:pPr>
              <w:contextualSpacing w:val="0"/>
              <w:ind w:left="0" w:right="0" w:firstLine="0"/>
              <w:jc w:val="left"/>
              <w:spacing w:before="10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数据内容</w:t>
            </w:r>
            <w:r/>
          </w:p>
        </w:tc>
        <w:tc>
          <w:tcPr>
            <w:shd w:val="clear" w:color="bfbfbf" w:fill="bfbfb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contextualSpacing w:val="0"/>
              <w:ind w:left="0" w:right="0" w:firstLine="0"/>
              <w:jc w:val="left"/>
              <w:spacing w:before="10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覆盖范围</w:t>
            </w:r>
            <w:r/>
          </w:p>
        </w:tc>
        <w:tc>
          <w:tcPr>
            <w:shd w:val="clear" w:color="bfbfbf" w:fill="bfbfb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contextualSpacing w:val="0"/>
              <w:ind w:left="0" w:right="0" w:firstLine="0"/>
              <w:jc w:val="left"/>
              <w:spacing w:before="10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格式</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7" w:type="dxa"/>
            <w:vAlign w:val="center"/>
            <w:vMerge w:val="restart"/>
            <w:textDirection w:val="lrTb"/>
            <w:noWrap w:val="false"/>
          </w:tcPr>
          <w:p>
            <w:pPr>
              <w:contextualSpacing w:val="0"/>
              <w:ind w:left="0" w:right="0" w:firstLine="0"/>
              <w:jc w:val="left"/>
              <w:spacing w:before="10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电子地图</w:t>
            </w:r>
            <w:r/>
          </w:p>
          <w:p>
            <w:pPr>
              <w:contextualSpacing w:val="0"/>
              <w:ind w:left="0" w:right="0" w:firstLine="0"/>
              <w:jc w:val="left"/>
              <w:spacing w:before="10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瓦片成果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4" w:type="dxa"/>
            <w:vAlign w:val="center"/>
            <w:textDirection w:val="lrTb"/>
            <w:noWrap w:val="false"/>
          </w:tcPr>
          <w:p>
            <w:pPr>
              <w:contextualSpacing w:val="0"/>
              <w:ind w:left="0" w:right="0" w:firstLine="0"/>
              <w:jc w:val="left"/>
              <w:spacing w:before="100" w:after="0" w:line="360" w:lineRule="auto"/>
              <w:pBdr>
                <w:top w:val="none" w:color="000000" w:sz="4" w:space="0"/>
                <w:left w:val="none" w:color="000000" w:sz="4" w:space="0"/>
                <w:bottom w:val="none" w:color="000000" w:sz="4" w:space="0"/>
                <w:right w:val="none" w:color="000000" w:sz="4" w:space="0"/>
              </w:pBdr>
              <w:suppressLineNumbers w:val="0"/>
            </w:pPr>
            <w:r>
              <w:rPr>
                <w:rFonts w:ascii="Cambria" w:hAnsi="Cambria" w:eastAsia="Cambria" w:cs="Cambria"/>
                <w:color w:val="000000"/>
                <w:sz w:val="21"/>
              </w:rPr>
              <w:t xml:space="preserve">“</w:t>
            </w:r>
            <w:r>
              <w:rPr>
                <w:rFonts w:ascii="SimSun" w:hAnsi="SimSun" w:eastAsia="SimSun" w:cs="SimSun"/>
                <w:color w:val="000000"/>
                <w:sz w:val="21"/>
              </w:rPr>
              <w:t xml:space="preserve">天地图</w:t>
            </w:r>
            <w:r>
              <w:rPr>
                <w:rFonts w:ascii="Cambria" w:hAnsi="Cambria" w:eastAsia="Cambria" w:cs="Cambria"/>
                <w:color w:val="000000"/>
                <w:sz w:val="21"/>
              </w:rPr>
              <w:t xml:space="preserve">•</w:t>
            </w:r>
            <w:r>
              <w:rPr>
                <w:rFonts w:ascii="SimSun" w:hAnsi="SimSun" w:eastAsia="SimSun" w:cs="SimSun"/>
                <w:color w:val="000000"/>
                <w:sz w:val="21"/>
              </w:rPr>
              <w:t xml:space="preserve">泰州</w:t>
            </w:r>
            <w:r>
              <w:rPr>
                <w:rFonts w:ascii="Cambria" w:hAnsi="Cambria" w:eastAsia="Cambria" w:cs="Cambria"/>
                <w:color w:val="000000"/>
                <w:sz w:val="21"/>
              </w:rPr>
              <w:t xml:space="preserve">”</w:t>
            </w:r>
            <w:r>
              <w:rPr>
                <w:rFonts w:ascii="SimSun" w:hAnsi="SimSun" w:eastAsia="SimSun" w:cs="SimSun"/>
                <w:color w:val="000000"/>
                <w:sz w:val="21"/>
              </w:rPr>
              <w:t xml:space="preserve">18-20级</w:t>
            </w:r>
            <w:r/>
          </w:p>
          <w:p>
            <w:pPr>
              <w:contextualSpacing w:val="0"/>
              <w:ind w:left="0" w:right="0" w:firstLine="0"/>
              <w:jc w:val="left"/>
              <w:spacing w:before="10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标准版矢量电子地图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2" w:type="dxa"/>
            <w:vAlign w:val="center"/>
            <w:vMerge w:val="restart"/>
            <w:textDirection w:val="lrTb"/>
            <w:noWrap w:val="false"/>
          </w:tcPr>
          <w:p>
            <w:pPr>
              <w:contextualSpacing w:val="0"/>
              <w:ind w:left="0" w:right="0" w:firstLine="0"/>
              <w:jc w:val="left"/>
              <w:spacing w:before="10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泰州全域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vMerge w:val="restart"/>
            <w:textDirection w:val="lrTb"/>
            <w:noWrap w:val="false"/>
          </w:tcPr>
          <w:p>
            <w:pPr>
              <w:contextualSpacing w:val="0"/>
              <w:ind w:left="0" w:right="0" w:firstLine="0"/>
              <w:jc w:val="left"/>
              <w:spacing w:before="10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ESRI BUNDLE</w:t>
            </w:r>
            <w:r/>
          </w:p>
        </w:tc>
      </w:tr>
      <w:tr>
        <w:trPr>
          <w:trHeight w:val="69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4" w:type="dxa"/>
            <w:vAlign w:val="center"/>
            <w:textDirection w:val="lrTb"/>
            <w:noWrap w:val="false"/>
          </w:tcPr>
          <w:p>
            <w:pPr>
              <w:contextualSpacing w:val="0"/>
              <w:ind w:left="0" w:right="0" w:firstLine="0"/>
              <w:jc w:val="left"/>
              <w:spacing w:before="100" w:after="0" w:line="360" w:lineRule="auto"/>
              <w:pBdr>
                <w:top w:val="none" w:color="000000" w:sz="4" w:space="0"/>
                <w:left w:val="none" w:color="000000" w:sz="4" w:space="0"/>
                <w:bottom w:val="none" w:color="000000" w:sz="4" w:space="0"/>
                <w:right w:val="none" w:color="000000" w:sz="4" w:space="0"/>
              </w:pBdr>
              <w:suppressLineNumbers w:val="0"/>
            </w:pPr>
            <w:r>
              <w:rPr>
                <w:rFonts w:ascii="Cambria" w:hAnsi="Cambria" w:eastAsia="Cambria" w:cs="Cambria"/>
                <w:color w:val="000000"/>
                <w:sz w:val="21"/>
              </w:rPr>
              <w:t xml:space="preserve">“</w:t>
            </w:r>
            <w:r>
              <w:rPr>
                <w:rFonts w:ascii="SimSun" w:hAnsi="SimSun" w:eastAsia="SimSun" w:cs="SimSun"/>
                <w:color w:val="000000"/>
                <w:sz w:val="21"/>
              </w:rPr>
              <w:t xml:space="preserve">天地图</w:t>
            </w:r>
            <w:r>
              <w:rPr>
                <w:rFonts w:ascii="Cambria" w:hAnsi="Cambria" w:eastAsia="Cambria" w:cs="Cambria"/>
                <w:color w:val="000000"/>
                <w:sz w:val="21"/>
              </w:rPr>
              <w:t xml:space="preserve">•</w:t>
            </w:r>
            <w:r>
              <w:rPr>
                <w:rFonts w:ascii="SimSun" w:hAnsi="SimSun" w:eastAsia="SimSun" w:cs="SimSun"/>
                <w:color w:val="000000"/>
                <w:sz w:val="21"/>
              </w:rPr>
              <w:t xml:space="preserve">泰州</w:t>
            </w:r>
            <w:r>
              <w:rPr>
                <w:rFonts w:ascii="Cambria" w:hAnsi="Cambria" w:eastAsia="Cambria" w:cs="Cambria"/>
                <w:color w:val="000000"/>
                <w:sz w:val="21"/>
              </w:rPr>
              <w:t xml:space="preserve">”</w:t>
            </w:r>
            <w:r>
              <w:rPr>
                <w:rFonts w:ascii="SimSun" w:hAnsi="SimSun" w:eastAsia="SimSun" w:cs="SimSun"/>
                <w:color w:val="000000"/>
                <w:sz w:val="21"/>
              </w:rPr>
              <w:t xml:space="preserve">18-20级</w:t>
            </w:r>
            <w:r/>
          </w:p>
          <w:p>
            <w:pPr>
              <w:contextualSpacing w:val="0"/>
              <w:ind w:left="0" w:right="0" w:firstLine="0"/>
              <w:jc w:val="left"/>
              <w:spacing w:before="10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影像电子地图</w:t>
            </w:r>
            <w:r/>
          </w:p>
        </w:tc>
        <w:tc>
          <w:tcPr>
            <w:vMerge w:val="continue"/>
            <w:textDirection w:val="lrTb"/>
            <w:noWrap w:val="false"/>
          </w:tcPr>
          <w:p>
            <w:r/>
            <w:r/>
          </w:p>
        </w:tc>
        <w:tc>
          <w:tcPr>
            <w:vMerge w:val="continue"/>
            <w:textDirection w:val="lrTb"/>
            <w:noWrap w:val="false"/>
          </w:tcPr>
          <w:p>
            <w:r/>
            <w:r/>
          </w:p>
        </w:tc>
      </w:tr>
      <w:tr>
        <w:trPr>
          <w:trHeight w:val="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7" w:type="dxa"/>
            <w:vAlign w:val="center"/>
            <w:vMerge w:val="restart"/>
            <w:textDirection w:val="lrTb"/>
            <w:noWrap w:val="false"/>
          </w:tcPr>
          <w:p>
            <w:pPr>
              <w:contextualSpacing w:val="0"/>
              <w:ind w:left="0" w:right="0" w:firstLine="0"/>
              <w:jc w:val="left"/>
              <w:spacing w:before="10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电子地图</w:t>
            </w:r>
            <w:r/>
          </w:p>
          <w:p>
            <w:pPr>
              <w:contextualSpacing w:val="0"/>
              <w:ind w:left="0" w:right="0" w:firstLine="0"/>
              <w:jc w:val="left"/>
              <w:spacing w:before="10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数据成果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4" w:type="dxa"/>
            <w:vAlign w:val="center"/>
            <w:textDirection w:val="lrTb"/>
            <w:noWrap w:val="false"/>
          </w:tcPr>
          <w:p>
            <w:pPr>
              <w:contextualSpacing w:val="0"/>
              <w:ind w:left="0" w:right="0" w:firstLine="0"/>
              <w:jc w:val="left"/>
              <w:spacing w:before="100" w:after="0" w:line="360" w:lineRule="auto"/>
              <w:pBdr>
                <w:top w:val="none" w:color="000000" w:sz="4" w:space="0"/>
                <w:left w:val="none" w:color="000000" w:sz="4" w:space="0"/>
                <w:bottom w:val="none" w:color="000000" w:sz="4" w:space="0"/>
                <w:right w:val="none" w:color="000000" w:sz="4" w:space="0"/>
              </w:pBdr>
              <w:suppressLineNumbers w:val="0"/>
            </w:pPr>
            <w:r>
              <w:rPr>
                <w:rFonts w:ascii="Cambria" w:hAnsi="Cambria" w:eastAsia="Cambria" w:cs="Cambria"/>
                <w:color w:val="000000"/>
                <w:sz w:val="21"/>
              </w:rPr>
              <w:t xml:space="preserve">“</w:t>
            </w:r>
            <w:r>
              <w:rPr>
                <w:rFonts w:ascii="SimSun" w:hAnsi="SimSun" w:eastAsia="SimSun" w:cs="SimSun"/>
                <w:color w:val="000000"/>
                <w:sz w:val="21"/>
              </w:rPr>
              <w:t xml:space="preserve">天地图</w:t>
            </w:r>
            <w:r>
              <w:rPr>
                <w:rFonts w:ascii="Cambria" w:hAnsi="Cambria" w:eastAsia="Cambria" w:cs="Cambria"/>
                <w:color w:val="000000"/>
                <w:sz w:val="21"/>
              </w:rPr>
              <w:t xml:space="preserve">•</w:t>
            </w:r>
            <w:r>
              <w:rPr>
                <w:rFonts w:ascii="SimSun" w:hAnsi="SimSun" w:eastAsia="SimSun" w:cs="SimSun"/>
                <w:color w:val="000000"/>
                <w:sz w:val="21"/>
              </w:rPr>
              <w:t xml:space="preserve">泰州</w:t>
            </w:r>
            <w:r>
              <w:rPr>
                <w:rFonts w:ascii="Cambria" w:hAnsi="Cambria" w:eastAsia="Cambria" w:cs="Cambria"/>
                <w:color w:val="000000"/>
                <w:sz w:val="21"/>
              </w:rPr>
              <w:t xml:space="preserve">”</w:t>
            </w:r>
            <w:r>
              <w:rPr>
                <w:rFonts w:ascii="SimSun" w:hAnsi="SimSun" w:eastAsia="SimSun" w:cs="SimSun"/>
                <w:color w:val="000000"/>
                <w:sz w:val="21"/>
              </w:rPr>
              <w:t xml:space="preserve">矢量数据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2" w:type="dxa"/>
            <w:vAlign w:val="center"/>
            <w:vMerge w:val="restart"/>
            <w:textDirection w:val="lrTb"/>
            <w:noWrap w:val="false"/>
          </w:tcPr>
          <w:p>
            <w:pPr>
              <w:contextualSpacing w:val="0"/>
              <w:ind w:left="0" w:right="0" w:firstLine="0"/>
              <w:jc w:val="left"/>
              <w:spacing w:before="10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泰州全域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vMerge w:val="restart"/>
            <w:textDirection w:val="lrTb"/>
            <w:noWrap w:val="false"/>
          </w:tcPr>
          <w:p>
            <w:pPr>
              <w:contextualSpacing w:val="0"/>
              <w:ind w:left="0" w:right="0" w:firstLine="0"/>
              <w:jc w:val="left"/>
              <w:spacing w:before="10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ESRI File Geodatabase</w:t>
            </w:r>
            <w:r/>
          </w:p>
        </w:tc>
      </w:tr>
      <w:tr>
        <w:trPr>
          <w:trHeight w:val="69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4" w:type="dxa"/>
            <w:vAlign w:val="center"/>
            <w:textDirection w:val="lrTb"/>
            <w:noWrap w:val="false"/>
          </w:tcPr>
          <w:p>
            <w:pPr>
              <w:contextualSpacing w:val="0"/>
              <w:ind w:left="0" w:right="0" w:firstLine="0"/>
              <w:jc w:val="left"/>
              <w:spacing w:before="100" w:after="0" w:line="360" w:lineRule="auto"/>
              <w:pBdr>
                <w:top w:val="none" w:color="000000" w:sz="4" w:space="0"/>
                <w:left w:val="none" w:color="000000" w:sz="4" w:space="0"/>
                <w:bottom w:val="none" w:color="000000" w:sz="4" w:space="0"/>
                <w:right w:val="none" w:color="000000" w:sz="4" w:space="0"/>
              </w:pBdr>
              <w:suppressLineNumbers w:val="0"/>
            </w:pPr>
            <w:r>
              <w:rPr>
                <w:rFonts w:ascii="Cambria" w:hAnsi="Cambria" w:eastAsia="Cambria" w:cs="Cambria"/>
                <w:color w:val="000000"/>
                <w:sz w:val="21"/>
              </w:rPr>
              <w:t xml:space="preserve">“</w:t>
            </w:r>
            <w:r>
              <w:rPr>
                <w:rFonts w:ascii="SimSun" w:hAnsi="SimSun" w:eastAsia="SimSun" w:cs="SimSun"/>
                <w:color w:val="000000"/>
                <w:sz w:val="21"/>
              </w:rPr>
              <w:t xml:space="preserve">天地图</w:t>
            </w:r>
            <w:r>
              <w:rPr>
                <w:rFonts w:ascii="Cambria" w:hAnsi="Cambria" w:eastAsia="Cambria" w:cs="Cambria"/>
                <w:color w:val="000000"/>
                <w:sz w:val="21"/>
              </w:rPr>
              <w:t xml:space="preserve">•</w:t>
            </w:r>
            <w:r>
              <w:rPr>
                <w:rFonts w:ascii="SimSun" w:hAnsi="SimSun" w:eastAsia="SimSun" w:cs="SimSun"/>
                <w:color w:val="000000"/>
                <w:sz w:val="21"/>
              </w:rPr>
              <w:t xml:space="preserve">泰州</w:t>
            </w:r>
            <w:r>
              <w:rPr>
                <w:rFonts w:ascii="Cambria" w:hAnsi="Cambria" w:eastAsia="Cambria" w:cs="Cambria"/>
                <w:color w:val="000000"/>
                <w:sz w:val="21"/>
              </w:rPr>
              <w:t xml:space="preserve">”</w:t>
            </w:r>
            <w:r>
              <w:rPr>
                <w:rFonts w:ascii="SimSun" w:hAnsi="SimSun" w:eastAsia="SimSun" w:cs="SimSun"/>
                <w:color w:val="000000"/>
                <w:sz w:val="21"/>
              </w:rPr>
              <w:t xml:space="preserve">地名地址与兴趣点数据</w:t>
            </w:r>
            <w:r/>
          </w:p>
        </w:tc>
        <w:tc>
          <w:tcPr>
            <w:vMerge w:val="continue"/>
            <w:textDirection w:val="lrTb"/>
            <w:noWrap w:val="false"/>
          </w:tcPr>
          <w:p>
            <w:r/>
            <w:r/>
          </w:p>
        </w:tc>
        <w:tc>
          <w:tcPr>
            <w:vMerge w:val="continue"/>
            <w:textDirection w:val="lrTb"/>
            <w:noWrap w:val="false"/>
          </w:tcPr>
          <w:p>
            <w:r/>
            <w:r/>
          </w:p>
        </w:tc>
      </w:tr>
    </w:tbl>
    <w:p>
      <w:pPr>
        <w:contextualSpacing w:val="0"/>
        <w:ind w:left="150" w:right="0" w:firstLine="211"/>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 </w:t>
      </w:r>
      <w:r/>
    </w:p>
    <w:p>
      <w:pPr>
        <w:contextualSpacing w:val="0"/>
        <w:ind w:left="150" w:right="0" w:firstLine="211"/>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（3）项目成果知识产权归采购人所有。供应商应对采购人提交的资料及本委托项目成果予以保密，不得向任何第三方扩散、转让；若违反本约定，采购人有权就由此造成的损失向供应商索赔。  五、质量、进度要求</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（1）天地图数据融合成果按照省厅《2026年江苏省地理信息公共服务平台（天地图）市级节点建设要求》中的时间节点要求及时提交并通过质检。</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（2）项目验收：成交供应商提交全部项目成果后，由采购人组织整体项目验收，验收意见作为支付货款的依据。</w:t>
      </w:r>
      <w:r/>
    </w:p>
    <w:p>
      <w:pPr>
        <w:contextualSpacing w:val="0"/>
        <w:ind w:left="0" w:right="0" w:firstLine="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六、商务要求</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1.付款条件（进度和方式）</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（1）市本级合同款项支付方式：合同签订后，乙方提交正式有效发票后30日内，甲方向乙方支付合同价的45%；项目成果经甲方验收合格后，乙方提交正式有效发票后30日内，甲方向乙方支付合同价的剩余款项。</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（2）各县级市合同款支付方式，由各市局自行约定。</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2.服务标准、期限、效率等要求</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（1）服务标准：响应供应商的服务质量与服务承诺书应按不低于采购文件中的服务要求标准作出响应。</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（2）服务期限：2027年1月1日起至2027年12月31日止。</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（3）服务效率：</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①供应商需提供完善的技术支持和服务，包括系统安装、调试、培训、维护等。</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②服务期限应满足项目要求，并提供及时的故障响应和解决方案。</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③服务效率要求高，确保系统稳定运行，快速响应客户需求。</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（4）在项目服务期间，应至少配备1名驻场工作人员。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br w:type="page" w:clear="all"/>
      </w:r>
      <w:r/>
    </w:p>
    <w:p>
      <w:pPr>
        <w:pStyle w:val="678"/>
        <w:numPr>
          <w:ilvl w:val="0"/>
          <w:numId w:val="12"/>
        </w:numPr>
        <w:contextualSpacing w:val="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 评审方法和评审标准</w:t>
      </w:r>
      <w:r/>
    </w:p>
    <w:p>
      <w:pPr>
        <w:contextualSpacing w:val="0"/>
        <w:ind w:left="0" w:right="0" w:firstLine="48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一、磋商模式</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不见面远程磋商模式：开标当天各供应商在各自地点通过苏采云系统及时登录不见面开标大厅，参加磋商活动。</w:t>
      </w:r>
      <w:r/>
    </w:p>
    <w:p>
      <w:pPr>
        <w:contextualSpacing w:val="0"/>
        <w:ind w:left="0" w:right="0" w:firstLine="48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二、磋商组织及磋商小组职责</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1.本次竞争性磋商依据《中华人民共和国政府采购法》《政府采购竞争性磋商采购方式管理暂行办法》及有关法规成立磋商小组。磋商小组由采购人代表和评审专家组成，人数为3人及以上单数。</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2.磋商小组的职责：</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（2）磋商文件内容违反国家有关强制性规定的，磋商小组应当停止评审并向采购人或者采购代理机构说明情况。</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（3）磋商小组成员应当遵守评审工作纪律，不得泄露评审情况和评审中获悉的商业秘密，并对个人的评审意见承担法律责任。</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（4）磋商小组成员在评审过程中发现供应商有行贿、提供虚假材料或者串通投标等违法行为的，应当及时向财政部门报告。</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（5）磋商小组成员在评审过程中受到非法干涉的，应当及时向财政、监察等部门举报。</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（6）配合采购单位答复供应商提出的质疑；配合财政部门的投诉处理和监督检查工作。</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3.评审有关记录由磋商小组成员签名，存档备查。</w:t>
      </w:r>
      <w:r/>
    </w:p>
    <w:p>
      <w:pPr>
        <w:contextualSpacing w:val="0"/>
        <w:ind w:left="0" w:right="0" w:firstLine="48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三、评审步骤</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第一阶段：采购人代表对每个供应商的资格进行审查。供应商资格不合格的，其响应文件判定为无效响应文件。</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第二阶段：依据磋商文件的规定，由磋商小组对每个符合资格要求的供应商从响应文件的有效性、完整性和对磋商文件的响应程度进行审查，以确定是否对磋商文件的实质性要求作出响应。未通过符合性审查的响应文件，将被判定为不满足磋商文件实质性要求。 </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第三阶段：磋商小组与通过符合性审查的供应商逐一分别进行磋商。单一分别磋商结束后，系统进入商务技术响应文件评审。</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第四阶段：系统商务技术响应文件评审结束后，进入最后报价环节，供应商在系统规定的时间内完成最终报价后，磋商小组对响应报价的供应商进行价格部分评审。</w:t>
      </w:r>
      <w:r/>
    </w:p>
    <w:p>
      <w:pPr>
        <w:contextualSpacing w:val="0"/>
        <w:ind w:left="0" w:right="0" w:firstLine="48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四、磋商程序</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对于通过资格审查和符合性审查的供应商，磋商小组将集中与供应商逐一分别进行磋商。磋商小组通过苏采云系统向供应商发布“磋商函”，供应商应当按照要求在苏采云系统提交“磋商响应函”并加盖CA电子公章。</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在磋商过程中，磋商小组可能根据磋商文件和磋商情况实质性变动的内容有：</w:t>
      </w:r>
      <w:r>
        <w:rPr>
          <w:rFonts w:ascii="SimSun" w:hAnsi="SimSun" w:eastAsia="SimSun" w:cs="SimSun"/>
          <w:b/>
          <w:color w:val="000000"/>
          <w:sz w:val="21"/>
        </w:rPr>
        <w:t xml:space="preserve">采购需求中的技术、服务要求以及合同草案条款</w:t>
      </w:r>
      <w:r>
        <w:rPr>
          <w:rFonts w:ascii="SimSun" w:hAnsi="SimSun" w:eastAsia="SimSun" w:cs="SimSun"/>
          <w:color w:val="000000"/>
          <w:sz w:val="21"/>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在苏采云系统中向其发布“最后报价要求函”及最后报价格式表，要求其在</w:t>
      </w:r>
      <w:r>
        <w:rPr>
          <w:rFonts w:ascii="SimSun" w:hAnsi="SimSun" w:eastAsia="SimSun" w:cs="SimSun"/>
          <w:b/>
          <w:color w:val="000000"/>
          <w:sz w:val="21"/>
        </w:rPr>
        <w:t xml:space="preserve">15分钟内</w:t>
      </w:r>
      <w:r>
        <w:rPr>
          <w:rFonts w:ascii="SimSun" w:hAnsi="SimSun" w:eastAsia="SimSun" w:cs="SimSun"/>
          <w:color w:val="000000"/>
          <w:sz w:val="21"/>
        </w:rPr>
        <w:t xml:space="preserve">提交最后报价。</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4.除非在磋商中磋商小组对采购需求中的技术、服务要求以及合同草案条款做了实质性变更，</w:t>
      </w:r>
      <w:r>
        <w:rPr>
          <w:rFonts w:ascii="SimSun" w:hAnsi="SimSun" w:eastAsia="SimSun" w:cs="SimSun"/>
          <w:b/>
          <w:color w:val="000000"/>
          <w:sz w:val="21"/>
        </w:rPr>
        <w:t xml:space="preserve">否则采购单位不接受供应商高于自己前一轮的磋商报价</w:t>
      </w:r>
      <w:r>
        <w:rPr>
          <w:rFonts w:ascii="SimSun" w:hAnsi="SimSun" w:eastAsia="SimSun" w:cs="SimSun"/>
          <w:color w:val="000000"/>
          <w:sz w:val="21"/>
        </w:rPr>
        <w:t xml:space="preserve">。</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5.在磋商中，磋商的任何一方不得透露与磋商有关的其他供应商的技术资料、价格及其他信息。</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6.根据《江苏省财政厅转发财政部关于推动解决政府采购异常低价问题的通知》（苏财购〔2026〕36号）精神，</w:t>
      </w:r>
      <w:r>
        <w:rPr>
          <w:rFonts w:ascii="SimSun" w:hAnsi="SimSun" w:eastAsia="SimSun" w:cs="SimSun"/>
          <w:b/>
          <w:color w:val="000000"/>
          <w:sz w:val="21"/>
        </w:rPr>
        <w:t xml:space="preserve">政府采购评审中出现下列情形之一的，评审委员会应当启动异常低价投标（响应）审查程序：</w:t>
      </w:r>
      <w:r/>
    </w:p>
    <w:p>
      <w:pPr>
        <w:contextualSpacing w:val="0"/>
        <w:ind w:left="0" w:right="0" w:firstLine="420"/>
        <w:jc w:val="left"/>
        <w:spacing w:before="0" w:after="0" w:line="360" w:lineRule="auto"/>
        <w:tabs>
          <w:tab w:val="left" w:pos="90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①投标（响应）报价低于全部通过符合性审查供应商投标（响应）报价平均值50%的，即投标（响应）报价&lt;全部通过符合性审查供应商投标（响应）报价平均值×50%；</w:t>
      </w:r>
      <w:r/>
    </w:p>
    <w:p>
      <w:pPr>
        <w:contextualSpacing w:val="0"/>
        <w:ind w:left="0" w:right="0" w:firstLine="420"/>
        <w:jc w:val="left"/>
        <w:spacing w:before="0" w:after="0" w:line="360" w:lineRule="auto"/>
        <w:tabs>
          <w:tab w:val="left" w:pos="90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②投标（响应）报价低于通过符合性审查的次低报价供应商投标（响应）报价50%的，即投标（响应）报价 &lt; 通过符合性审查的次低报价供应商投标（响应）报价 × 50%；</w:t>
      </w:r>
      <w:r/>
    </w:p>
    <w:p>
      <w:pPr>
        <w:contextualSpacing w:val="0"/>
        <w:ind w:left="0" w:right="0" w:firstLine="420"/>
        <w:jc w:val="left"/>
        <w:spacing w:before="0" w:after="0" w:line="360" w:lineRule="auto"/>
        <w:tabs>
          <w:tab w:val="left" w:pos="90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③投标（响应）报价低于采购项目最高限价45%的，即投标（响应）报价 &lt; 采购项目最高限价 × 45%；</w:t>
      </w:r>
      <w:r/>
    </w:p>
    <w:p>
      <w:pPr>
        <w:contextualSpacing w:val="0"/>
        <w:ind w:left="0" w:right="0" w:firstLine="420"/>
        <w:jc w:val="left"/>
        <w:spacing w:before="0" w:after="0" w:line="360" w:lineRule="auto"/>
        <w:tabs>
          <w:tab w:val="left" w:pos="90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④评审委员会基于专业判断，认为供应商报价过低，有可能影响产品质量或者不能诚信履约的其他情形。</w:t>
      </w:r>
      <w:r/>
    </w:p>
    <w:p>
      <w:pPr>
        <w:contextualSpacing w:val="0"/>
        <w:ind w:left="0" w:right="0" w:firstLine="420"/>
        <w:jc w:val="left"/>
        <w:spacing w:before="0" w:after="0" w:line="360" w:lineRule="auto"/>
        <w:tabs>
          <w:tab w:val="left" w:pos="90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w:t>
      </w:r>
      <w:r>
        <w:rPr>
          <w:rFonts w:ascii="SimSun" w:hAnsi="SimSun" w:eastAsia="SimSun" w:cs="SimSun"/>
          <w:b/>
          <w:color w:val="000000"/>
          <w:sz w:val="21"/>
        </w:rPr>
        <w:t xml:space="preserve">不限于人工成本（银行工资发放流水记录）、施工器具使用费（采购原始发票或租赁费支付发票）、企业管理费测算等</w:t>
      </w:r>
      <w:r>
        <w:rPr>
          <w:rFonts w:ascii="SimSun" w:hAnsi="SimSun" w:eastAsia="SimSun" w:cs="SimSun"/>
          <w:color w:val="000000"/>
          <w:sz w:val="21"/>
        </w:rPr>
        <w:t xml:space="preserve">，给予相关供应商的合理时间一般不少于30分钟。其中，属于第③项情形，供应商已随投标（响应）文件一并提交相关书面说明及必要的证明材料的，在评审现场可不再重复提交。</w:t>
      </w:r>
      <w:r/>
    </w:p>
    <w:p>
      <w:pPr>
        <w:contextualSpacing w:val="0"/>
        <w:ind w:left="0" w:right="0" w:firstLine="420"/>
        <w:jc w:val="left"/>
        <w:spacing w:before="0" w:after="0" w:line="360" w:lineRule="auto"/>
        <w:tabs>
          <w:tab w:val="left" w:pos="90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contextualSpacing w:val="0"/>
        <w:ind w:left="0" w:right="0" w:firstLine="420"/>
        <w:jc w:val="left"/>
        <w:spacing w:before="0" w:after="0" w:line="360" w:lineRule="auto"/>
        <w:tabs>
          <w:tab w:val="left" w:pos="90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contextualSpacing w:val="0"/>
        <w:ind w:left="0" w:right="0" w:firstLine="420"/>
        <w:jc w:val="left"/>
        <w:spacing w:before="0" w:after="0" w:line="360" w:lineRule="auto"/>
        <w:tabs>
          <w:tab w:val="left" w:pos="90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异常低价响应审查的启动原因，审查意见和审查结果应当在评审报告中记录，并随供应商提供的相关书面说明及证明材料以及评审委员会有关互联网浏览查询历史一并归档。</w:t>
      </w:r>
      <w:r/>
    </w:p>
    <w:p>
      <w:pPr>
        <w:contextualSpacing w:val="0"/>
        <w:ind w:left="0" w:right="0" w:firstLine="48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五、磋商评定结果的方法</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w:t>
      </w:r>
      <w:r>
        <w:rPr>
          <w:rFonts w:ascii="SimSun" w:hAnsi="SimSun" w:eastAsia="SimSun" w:cs="SimSun"/>
          <w:b/>
          <w:color w:val="000000"/>
          <w:sz w:val="21"/>
          <w:u w:val="single"/>
        </w:rPr>
        <w:t xml:space="preserve">经磋商确定最终采购需求和提交最后报价的供应商后，</w:t>
      </w:r>
      <w:r>
        <w:rPr>
          <w:rFonts w:ascii="SimSun" w:hAnsi="SimSun" w:eastAsia="SimSun" w:cs="SimSun"/>
          <w:color w:val="000000"/>
          <w:sz w:val="21"/>
        </w:rPr>
        <w:t xml:space="preserve">由磋商小组采用综合评分法</w:t>
      </w:r>
      <w:r>
        <w:rPr>
          <w:rFonts w:ascii="SimSun" w:hAnsi="SimSun" w:eastAsia="SimSun" w:cs="SimSun"/>
          <w:b/>
          <w:color w:val="000000"/>
          <w:sz w:val="21"/>
          <w:u w:val="single"/>
        </w:rPr>
        <w:t xml:space="preserve">对提交最后报价的供应商的响应文件和最后报价</w:t>
      </w:r>
      <w:r>
        <w:rPr>
          <w:rFonts w:ascii="SimSun" w:hAnsi="SimSun" w:eastAsia="SimSun" w:cs="SimSun"/>
          <w:color w:val="000000"/>
          <w:sz w:val="21"/>
        </w:rPr>
        <w:t xml:space="preserve">进行综合评分。综合评分法，是指响应文件满足磋商文件全部实质性要求且按评审因素的量化指标评审得分最高的供应商为成交候选供应商的评审方法。</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2.评审时，磋商小组各成员应当独立对每个有效响应的文件进行评价、打分，然后汇总每个供应商每项评分因素的得分（计算结果均四舍五入保留两位小数）。</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3.本次项目磋商的商务技术和报价评审总分值为100分。 </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4.商务技术分按算术平均值计算，分值四舍五入保留两位小数。</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5.报价分统一采用低价优先法计算直接取得，与商务技术分相加为供应商的综合得分（四舍五入保留两位小数）。</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6.综合得分最高的供应商被推荐为成交候选人，并出具评审磋商报告。</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7.确定成交候选人的特殊情况处理： </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（1）若总分相同，则按最终报价响应得分高者优先。</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（2）若总分和最终报价响应得分相同，则采取现场抽签的方式确定（供应商的抽签顺序分别为各供应商递交响应文件签到顺序号）。</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8.磋商评审时，评委对评审的细则若有争议，由磋商小组集体讨论确定，并对未尽情况有最终解释权。</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6"/>
        <w:gridCol w:w="1226"/>
        <w:gridCol w:w="7008"/>
        <w:gridCol w:w="446"/>
      </w:tblGrid>
      <w:tr>
        <w:trPr>
          <w:trHeight w:val="634"/>
        </w:trPr>
        <w:tc>
          <w:tcPr>
            <w:tcBorders>
              <w:top w:val="single" w:color="000000" w:sz="8" w:space="0"/>
              <w:left w:val="single" w:color="000000" w:sz="8" w:space="0"/>
              <w:bottom w:val="single" w:color="000000" w:sz="8" w:space="0"/>
              <w:right w:val="single" w:color="000000" w:sz="8" w:space="0"/>
            </w:tcBorders>
            <w:tcMar>
              <w:left w:w="107" w:type="dxa"/>
              <w:top w:w="56" w:type="dxa"/>
              <w:right w:w="109" w:type="dxa"/>
              <w:bottom w:w="0" w:type="dxa"/>
            </w:tcMar>
            <w:tcW w:w="44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7" w:type="dxa"/>
              <w:top w:w="56" w:type="dxa"/>
              <w:right w:w="109" w:type="dxa"/>
              <w:bottom w:w="0" w:type="dxa"/>
            </w:tcMar>
            <w:tcW w:w="1226" w:type="dxa"/>
            <w:vAlign w:val="center"/>
            <w:textDirection w:val="lrTb"/>
            <w:noWrap w:val="false"/>
          </w:tcPr>
          <w:p>
            <w:pPr>
              <w:contextualSpacing w:val="0"/>
              <w:ind w:left="65"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7" w:type="dxa"/>
              <w:top w:w="56" w:type="dxa"/>
              <w:right w:w="109" w:type="dxa"/>
              <w:bottom w:w="0" w:type="dxa"/>
            </w:tcMar>
            <w:tcW w:w="7008" w:type="dxa"/>
            <w:vAlign w:val="center"/>
            <w:textDirection w:val="lrTb"/>
            <w:noWrap w:val="false"/>
          </w:tcPr>
          <w:p>
            <w:pPr>
              <w:contextualSpacing w:val="0"/>
              <w:ind w:left="0" w:right="2"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7" w:type="dxa"/>
              <w:top w:w="56" w:type="dxa"/>
              <w:right w:w="109" w:type="dxa"/>
              <w:bottom w:w="0" w:type="dxa"/>
            </w:tcMar>
            <w:tcW w:w="44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分值</w:t>
            </w:r>
            <w:r/>
          </w:p>
        </w:tc>
      </w:tr>
      <w:tr>
        <w:trPr>
          <w:trHeight w:val="552"/>
        </w:trPr>
        <w:tc>
          <w:tcPr>
            <w:tcBorders>
              <w:top w:val="none" w:color="000000" w:sz="4" w:space="0"/>
              <w:left w:val="single" w:color="000000" w:sz="8" w:space="0"/>
              <w:bottom w:val="single" w:color="000000" w:sz="8" w:space="0"/>
              <w:right w:val="single" w:color="000000" w:sz="8" w:space="0"/>
            </w:tcBorders>
            <w:tcMar>
              <w:left w:w="107" w:type="dxa"/>
              <w:top w:w="56" w:type="dxa"/>
              <w:right w:w="109" w:type="dxa"/>
              <w:bottom w:w="0" w:type="dxa"/>
            </w:tcMar>
            <w:tcW w:w="446" w:type="dxa"/>
            <w:vAlign w:val="center"/>
            <w:textDirection w:val="lrTb"/>
            <w:noWrap w:val="false"/>
          </w:tcPr>
          <w:p>
            <w:pPr>
              <w:contextualSpacing w:val="0"/>
              <w:ind w:left="0" w:right="1"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1226" w:type="dxa"/>
            <w:vAlign w:val="center"/>
            <w:textDirection w:val="lrTb"/>
            <w:noWrap w:val="false"/>
          </w:tcPr>
          <w:p>
            <w:pPr>
              <w:contextualSpacing w:val="0"/>
              <w:ind w:left="0" w:right="0" w:firstLine="0"/>
              <w:jc w:val="left"/>
              <w:spacing w:before="0" w:after="18"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7008" w:type="dxa"/>
            <w:vAlign w:val="center"/>
            <w:textDirection w:val="lrTb"/>
            <w:noWrap w:val="false"/>
          </w:tcPr>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价格分采用低价优先法计算，即满足磋商文件要求且响应价格最低的响应报价为评标基准价，其价格分为满分。其他响应供应商的价格分统一按照以下公式计算：响应供应商评标价得分=（评标基准价／该响应供应商评标价）×15（小数点后保留两位）。</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44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15</w:t>
            </w:r>
            <w:r/>
          </w:p>
        </w:tc>
      </w:tr>
      <w:tr>
        <w:trPr>
          <w:trHeight w:val="303"/>
        </w:trPr>
        <w:tc>
          <w:tcPr>
            <w:tcBorders>
              <w:top w:val="none" w:color="000000" w:sz="4" w:space="0"/>
              <w:left w:val="single" w:color="000000" w:sz="8" w:space="0"/>
              <w:bottom w:val="single" w:color="000000" w:sz="8" w:space="0"/>
              <w:right w:val="single" w:color="000000" w:sz="8" w:space="0"/>
            </w:tcBorders>
            <w:tcMar>
              <w:left w:w="107" w:type="dxa"/>
              <w:top w:w="56" w:type="dxa"/>
              <w:right w:w="109" w:type="dxa"/>
              <w:bottom w:w="0" w:type="dxa"/>
            </w:tcMar>
            <w:tcW w:w="446" w:type="dxa"/>
            <w:vAlign w:val="center"/>
            <w:textDirection w:val="lrTb"/>
            <w:noWrap w:val="false"/>
          </w:tcPr>
          <w:p>
            <w:pPr>
              <w:contextualSpacing w:val="0"/>
              <w:ind w:left="0" w:right="1"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122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7008" w:type="dxa"/>
            <w:vAlign w:val="center"/>
            <w:textDirection w:val="lrTb"/>
            <w:noWrap w:val="false"/>
          </w:tcPr>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响应供应商自2021年1月1日（含）以来：</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1.供应商承担过天地图更新维护工作的，每个得2分，本项最高得8分。</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2.供应商承担过天地图数据融合工作，每有1个得2分，最高得6分。</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3.供应商承担过有数据管理相应环境且承担过托管服务的，每有1个得2分，最高4分。</w:t>
            </w:r>
            <w:r/>
          </w:p>
          <w:p>
            <w:pPr>
              <w:contextualSpacing w:val="0"/>
              <w:ind w:left="0" w:right="0" w:firstLine="42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highlight w:val="white"/>
              </w:rPr>
              <w:t xml:space="preserve">注：</w:t>
            </w:r>
            <w:r>
              <w:rPr>
                <w:rFonts w:ascii="Calibri" w:hAnsi="Calibri" w:eastAsia="Calibri" w:cs="Calibri"/>
                <w:b/>
                <w:color w:val="000000"/>
                <w:sz w:val="21"/>
                <w:highlight w:val="white"/>
              </w:rPr>
              <w:t xml:space="preserve">①</w:t>
            </w:r>
            <w:r>
              <w:rPr>
                <w:rFonts w:ascii="SimSun" w:hAnsi="SimSun" w:eastAsia="SimSun" w:cs="SimSun"/>
                <w:b/>
                <w:color w:val="000000"/>
                <w:sz w:val="21"/>
                <w:highlight w:val="white"/>
              </w:rPr>
              <w:t xml:space="preserve">业绩时间以合同签订时间为准。</w:t>
            </w:r>
            <w:r/>
          </w:p>
          <w:p>
            <w:pPr>
              <w:contextualSpacing w:val="0"/>
              <w:ind w:left="0" w:right="0" w:firstLine="42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b/>
                <w:color w:val="000000"/>
                <w:sz w:val="21"/>
                <w:highlight w:val="white"/>
              </w:rPr>
              <w:t xml:space="preserve">②</w:t>
            </w:r>
            <w:r>
              <w:rPr>
                <w:rFonts w:ascii="SimSun" w:hAnsi="SimSun" w:eastAsia="SimSun" w:cs="SimSun"/>
                <w:b/>
                <w:color w:val="000000"/>
                <w:sz w:val="21"/>
                <w:highlight w:val="white"/>
              </w:rPr>
              <w:t xml:space="preserve">提供合同及检验报告（或验收意见）扫描件，并加盖供应商电子签章；合同须清晰载明项目名称、服务内容、合同签订时间。若合同无法清晰体现服务内容的，须另行提供业主证明材料。同一合同项下包含多项服务内容的，该项目仅计一次分，不重复计分。</w:t>
            </w:r>
            <w:r/>
          </w:p>
          <w:p>
            <w:pPr>
              <w:contextualSpacing w:val="0"/>
              <w:ind w:left="0" w:right="0" w:firstLine="42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b/>
                <w:color w:val="000000"/>
                <w:sz w:val="21"/>
                <w:highlight w:val="white"/>
              </w:rPr>
              <w:t xml:space="preserve">③</w:t>
            </w:r>
            <w:r>
              <w:rPr>
                <w:rFonts w:ascii="SimSun" w:hAnsi="SimSun" w:eastAsia="SimSun" w:cs="SimSun"/>
                <w:b/>
                <w:color w:val="000000"/>
                <w:sz w:val="21"/>
                <w:highlight w:val="white"/>
              </w:rPr>
              <w:t xml:space="preserve">未提供不得分。</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44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18</w:t>
            </w:r>
            <w:r/>
          </w:p>
        </w:tc>
      </w:tr>
      <w:tr>
        <w:trPr>
          <w:trHeight w:val="4323"/>
        </w:trPr>
        <w:tc>
          <w:tcPr>
            <w:tcBorders>
              <w:top w:val="none" w:color="000000" w:sz="4" w:space="0"/>
              <w:left w:val="single" w:color="000000" w:sz="8" w:space="0"/>
              <w:bottom w:val="single" w:color="000000" w:sz="8" w:space="0"/>
              <w:right w:val="single" w:color="000000" w:sz="8" w:space="0"/>
            </w:tcBorders>
            <w:tcMar>
              <w:left w:w="107" w:type="dxa"/>
              <w:top w:w="56" w:type="dxa"/>
              <w:right w:w="109" w:type="dxa"/>
              <w:bottom w:w="0" w:type="dxa"/>
            </w:tcMar>
            <w:tcW w:w="446" w:type="dxa"/>
            <w:vAlign w:val="center"/>
            <w:textDirection w:val="lrTb"/>
            <w:noWrap w:val="false"/>
          </w:tcPr>
          <w:p>
            <w:pPr>
              <w:contextualSpacing w:val="0"/>
              <w:ind w:left="0" w:right="1"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122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供应商综合实力</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7008" w:type="dxa"/>
            <w:vAlign w:val="center"/>
            <w:textDirection w:val="lrTb"/>
            <w:noWrap w:val="false"/>
          </w:tcPr>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1.供应商具有有效的质量管理体系认证证书、信息安全管理体系认证证书、信息技术服务管理体系认证证书，每个证书得2分，最高得6分。</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2.供应商完成的测绘地理信息项目获得过科学技术奖一等奖得4分，二等奖得2分，三等奖得1分，本项最高得4分；</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3.供应商获得测绘地理信息相关专业发明专利（不包括实用新型和外观设计）的每提供1个得1分，本项最高2分，没有的不得分。</w:t>
            </w:r>
            <w:r/>
          </w:p>
          <w:p>
            <w:pPr>
              <w:contextualSpacing w:val="0"/>
              <w:ind w:left="0" w:right="0" w:firstLine="42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highlight w:val="white"/>
              </w:rPr>
              <w:t xml:space="preserve">注：</w:t>
            </w:r>
            <w:r>
              <w:rPr>
                <w:rFonts w:ascii="Calibri" w:hAnsi="Calibri" w:eastAsia="Calibri" w:cs="Calibri"/>
                <w:b/>
                <w:color w:val="000000"/>
                <w:sz w:val="21"/>
                <w:highlight w:val="white"/>
              </w:rPr>
              <w:t xml:space="preserve">①</w:t>
            </w:r>
            <w:r>
              <w:rPr>
                <w:rFonts w:ascii="SimSun" w:hAnsi="SimSun" w:eastAsia="SimSun" w:cs="SimSun"/>
                <w:b/>
                <w:color w:val="000000"/>
                <w:sz w:val="21"/>
                <w:highlight w:val="white"/>
              </w:rPr>
              <w:t xml:space="preserve">响应文件中提供以上证明材料扫描件均需加盖供应商电子签章。</w:t>
            </w:r>
            <w:r/>
          </w:p>
          <w:p>
            <w:pPr>
              <w:contextualSpacing w:val="0"/>
              <w:ind w:left="0" w:right="0" w:firstLine="42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b/>
                <w:color w:val="000000"/>
                <w:sz w:val="21"/>
                <w:highlight w:val="white"/>
              </w:rPr>
              <w:t xml:space="preserve">②</w:t>
            </w:r>
            <w:r>
              <w:rPr>
                <w:rFonts w:ascii="SimSun" w:hAnsi="SimSun" w:eastAsia="SimSun" w:cs="SimSun"/>
                <w:b/>
                <w:color w:val="000000"/>
                <w:sz w:val="21"/>
                <w:highlight w:val="white"/>
              </w:rPr>
              <w:t xml:space="preserve">同一项目不同奖项的按照最高得分计，不重复得分。</w:t>
            </w:r>
            <w:r/>
          </w:p>
          <w:p>
            <w:pPr>
              <w:contextualSpacing w:val="0"/>
              <w:ind w:left="0" w:right="0" w:firstLine="42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b/>
                <w:color w:val="000000"/>
                <w:sz w:val="21"/>
                <w:highlight w:val="white"/>
              </w:rPr>
              <w:t xml:space="preserve">③</w:t>
            </w:r>
            <w:r>
              <w:rPr>
                <w:rFonts w:ascii="SimSun" w:hAnsi="SimSun" w:eastAsia="SimSun" w:cs="SimSun"/>
                <w:b/>
                <w:color w:val="000000"/>
                <w:sz w:val="21"/>
                <w:highlight w:val="white"/>
              </w:rPr>
              <w:t xml:space="preserve">未提供不得分。</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44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12</w:t>
            </w:r>
            <w:r/>
          </w:p>
        </w:tc>
      </w:tr>
      <w:tr>
        <w:trPr>
          <w:trHeight w:val="2394"/>
        </w:trPr>
        <w:tc>
          <w:tcPr>
            <w:tcBorders>
              <w:top w:val="none" w:color="000000" w:sz="4" w:space="0"/>
              <w:left w:val="single" w:color="000000" w:sz="8" w:space="0"/>
              <w:bottom w:val="single" w:color="000000" w:sz="8" w:space="0"/>
              <w:right w:val="single" w:color="000000" w:sz="8" w:space="0"/>
            </w:tcBorders>
            <w:tcMar>
              <w:left w:w="107" w:type="dxa"/>
              <w:top w:w="56" w:type="dxa"/>
              <w:right w:w="109" w:type="dxa"/>
              <w:bottom w:w="0" w:type="dxa"/>
            </w:tcMar>
            <w:tcW w:w="446" w:type="dxa"/>
            <w:vAlign w:val="center"/>
            <w:textDirection w:val="lrTb"/>
            <w:noWrap w:val="false"/>
          </w:tcPr>
          <w:p>
            <w:pPr>
              <w:contextualSpacing w:val="0"/>
              <w:ind w:left="0" w:right="1"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122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人员配备</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7008" w:type="dxa"/>
            <w:vAlign w:val="center"/>
            <w:textDirection w:val="lrTb"/>
            <w:noWrap w:val="false"/>
          </w:tcPr>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1.项目负责人同时具有正高级测绘类工程师职称证书、注册测绘师职业资格证书且注册执业在册的，得4分；具有测绘高级工程师职称且同时为注册测绘师注册执业在册的，得2分。</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2.技术负责人同时具有正高级工程师职称证书、注册测绘师职业资格证书且注册执业在册的得4分；具有测绘高级工程师职称且同时为注册测绘师注册执业在册的，得2分。</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3.主要技术人员（除项目负责人和技术负责人）具有测绘高级工程师职称及以上的，每提供1个得1分；具有测绘中级工程师职称的，每提供1个得0.5分，最高得4分。</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4.项目组成员具有互联网地图安全审校人员上岗证书且在有效期内，持证人员≥5人的，得4分；持证人员≥3人的，得2分，其他不得分。</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5.项目组成员持有省级（含省级）以上测绘行政主管部门颁发的有效期内涉密测绘成果管理人员岗位培训证书5人及以上的得4分；4人的得3分；3人的得2分；其余不得分。</w:t>
            </w:r>
            <w:r/>
          </w:p>
          <w:p>
            <w:pPr>
              <w:contextualSpacing w:val="0"/>
              <w:ind w:left="0" w:right="0" w:firstLine="422"/>
              <w:jc w:val="left"/>
              <w:spacing w:before="200" w:after="2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highlight w:val="white"/>
              </w:rPr>
              <w:t xml:space="preserve">注：1-3项人员不得重复，上述人员须为供应商单位人员，响应文件中提供上述相关人员证书扫描件及供应商为其缴纳的（2026年1月1日以来任意一个月）社保证明材料，并加盖供应商电子签章。未提供不得分。</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44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20</w:t>
            </w:r>
            <w:r/>
          </w:p>
        </w:tc>
      </w:tr>
      <w:tr>
        <w:trPr>
          <w:trHeight w:val="2359"/>
        </w:trPr>
        <w:tc>
          <w:tcPr>
            <w:tcBorders>
              <w:top w:val="none" w:color="000000" w:sz="4" w:space="0"/>
              <w:left w:val="single" w:color="000000" w:sz="8" w:space="0"/>
              <w:bottom w:val="single" w:color="000000" w:sz="8" w:space="0"/>
              <w:right w:val="single" w:color="000000" w:sz="8" w:space="0"/>
            </w:tcBorders>
            <w:tcMar>
              <w:left w:w="107" w:type="dxa"/>
              <w:top w:w="56" w:type="dxa"/>
              <w:right w:w="109" w:type="dxa"/>
              <w:bottom w:w="0" w:type="dxa"/>
            </w:tcMar>
            <w:tcW w:w="446" w:type="dxa"/>
            <w:vAlign w:val="center"/>
            <w:textDirection w:val="lrTb"/>
            <w:noWrap w:val="false"/>
          </w:tcPr>
          <w:p>
            <w:pPr>
              <w:contextualSpacing w:val="0"/>
              <w:ind w:left="0" w:right="1"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122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技术方案</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7008" w:type="dxa"/>
            <w:vAlign w:val="center"/>
            <w:textDirection w:val="lrTb"/>
            <w:noWrap w:val="false"/>
          </w:tcPr>
          <w:p>
            <w:pPr>
              <w:contextualSpacing w:val="0"/>
              <w:ind w:left="0" w:right="0" w:firstLine="420"/>
              <w:jc w:val="left"/>
              <w:spacing w:before="200" w:after="2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本模块针对项目电子地图建设、数据生产、省市县数据融合、月度更新、重大变化即时更新、门户网站升级、实景三维发布、成果输出等全部业务内容进行评审：</w:t>
            </w:r>
            <w:r/>
          </w:p>
          <w:p>
            <w:pPr>
              <w:contextualSpacing w:val="0"/>
              <w:ind w:left="0" w:right="0" w:firstLine="420"/>
              <w:jc w:val="left"/>
              <w:spacing w:before="200" w:after="2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1.完整覆盖项目全部需求，包含实施方案编制、资料收集分析、电子地图生产发布、门户升级、平台部署、实景三维发布、POI 更新、矢量月度 / 即时更新、省市县数据融合、脱密处理、地图送审、成果输出、技术标准引用；明确月度更新要素清单、重大变化即时更新触发场景、18 20 级电子地图生产、每季度矢量地图版本发布、省市集中集群部署、等保三级测评、故障24小时修复等全部量化指标；技术路线贴合本项目所列全部国家及江苏省技术规范，设计有架构图、数据处理流程图、更新作业流程、质检流程，可直接落地实施，得 12 分。</w:t>
            </w:r>
            <w:r/>
          </w:p>
          <w:p>
            <w:pPr>
              <w:contextualSpacing w:val="0"/>
              <w:ind w:left="0" w:right="0" w:firstLine="420"/>
              <w:jc w:val="left"/>
              <w:spacing w:before="200" w:after="2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2.覆盖项目绝大多数需求，缺少 1-2项关键业务模块，缺少部分流程图，核心量化指标（月度更新、即时更新、季度版本发布、24 小时故障修复）均响应，技术标准引用基本齐全，方案具备可实施性，得 9分。</w:t>
            </w:r>
            <w:r/>
          </w:p>
          <w:p>
            <w:pPr>
              <w:contextualSpacing w:val="0"/>
              <w:ind w:left="0" w:right="0" w:firstLine="420"/>
              <w:jc w:val="left"/>
              <w:spacing w:before="200" w:after="2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3.仅覆盖基础业务，缺失 3 项及以上关键业务，部分强制性量化指标未响应，技术标准引用不全，方案需较大修改方可实施，得 6 分。</w:t>
            </w:r>
            <w:r/>
          </w:p>
          <w:p>
            <w:pPr>
              <w:contextualSpacing w:val="0"/>
              <w:ind w:left="0" w:right="0" w:firstLine="420"/>
              <w:jc w:val="left"/>
              <w:spacing w:before="200" w:after="2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4.方案与项目需求偏离较大，或未提供技术方案，得 0 分。</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44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12</w:t>
            </w:r>
            <w:r/>
          </w:p>
        </w:tc>
      </w:tr>
      <w:tr>
        <w:trPr>
          <w:trHeight w:val="946"/>
        </w:trPr>
        <w:tc>
          <w:tcPr>
            <w:tcBorders>
              <w:top w:val="none" w:color="000000" w:sz="4" w:space="0"/>
              <w:left w:val="single" w:color="000000" w:sz="8" w:space="0"/>
              <w:bottom w:val="single" w:color="000000" w:sz="8" w:space="0"/>
              <w:right w:val="single" w:color="000000" w:sz="8" w:space="0"/>
            </w:tcBorders>
            <w:tcMar>
              <w:left w:w="107" w:type="dxa"/>
              <w:top w:w="56" w:type="dxa"/>
              <w:right w:w="109" w:type="dxa"/>
              <w:bottom w:w="0" w:type="dxa"/>
            </w:tcMar>
            <w:tcW w:w="446" w:type="dxa"/>
            <w:vAlign w:val="center"/>
            <w:textDirection w:val="lrTb"/>
            <w:noWrap w:val="false"/>
          </w:tcPr>
          <w:p>
            <w:pPr>
              <w:contextualSpacing w:val="0"/>
              <w:ind w:left="0" w:right="1"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122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组织管理</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7008" w:type="dxa"/>
            <w:vAlign w:val="center"/>
            <w:textDirection w:val="lrTb"/>
            <w:noWrap w:val="false"/>
          </w:tcPr>
          <w:p>
            <w:pPr>
              <w:contextualSpacing w:val="0"/>
              <w:ind w:left="0" w:right="0" w:firstLine="420"/>
              <w:jc w:val="left"/>
              <w:spacing w:before="200" w:after="2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针对项目团队配置、驻场人员、分工职责、进度计划、项目例会、内外协同（对接省自然资源厅、泰州市各行业部门、地图审核部门）、项目文档管理开展评审，项目要求至少配备 1 名驻场工作人员：</w:t>
            </w:r>
            <w:r/>
          </w:p>
          <w:p>
            <w:pPr>
              <w:contextualSpacing w:val="0"/>
              <w:ind w:left="0" w:right="0" w:firstLine="420"/>
              <w:jc w:val="left"/>
              <w:spacing w:before="200" w:after="2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1.明确项目负责人、技术负责人、数据生产、质检、运维、保密管理员岗位分工；落实不少于 1 名专职驻场人员，写明驻场工作内容、驻场工作时间；进度计划匹配月度更新、即时更新、季度版本发布、成果提交、等保测评、验收节点；建立周例会、月度成果沟通机制，明确与省级节点、市级各行业部门资料对接流程，项目文档分级归档管理，岗位职责、人员、进度、协同机制全部完整，得 9 分。</w:t>
            </w:r>
            <w:r/>
          </w:p>
          <w:p>
            <w:pPr>
              <w:contextualSpacing w:val="0"/>
              <w:ind w:left="0" w:right="0" w:firstLine="420"/>
              <w:jc w:val="left"/>
              <w:spacing w:before="200" w:after="2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2.岗位分工基本齐全，落实驻场人员配置；进度计划覆盖主要节点，部门协同、例会机制基本建立，少量细节缺失，得6 分。</w:t>
            </w:r>
            <w:r/>
          </w:p>
          <w:p>
            <w:pPr>
              <w:contextualSpacing w:val="0"/>
              <w:ind w:left="0" w:right="0" w:firstLine="420"/>
              <w:jc w:val="left"/>
              <w:spacing w:before="200" w:after="2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3.岗位设置不全，驻场人员仅做简单描述，进度计划粗略，协同机制缺失，得3 分。</w:t>
            </w:r>
            <w:r/>
          </w:p>
          <w:p>
            <w:pPr>
              <w:contextualSpacing w:val="0"/>
              <w:ind w:left="0" w:right="0" w:firstLine="420"/>
              <w:jc w:val="left"/>
              <w:spacing w:before="200" w:after="2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4.未提供组织管理方案，或不满足驻场人员最低配置要求，得 0 分。</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44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9</w:t>
            </w:r>
            <w:r/>
          </w:p>
        </w:tc>
      </w:tr>
      <w:tr>
        <w:trPr>
          <w:trHeight w:val="946"/>
        </w:trPr>
        <w:tc>
          <w:tcPr>
            <w:tcBorders>
              <w:top w:val="none" w:color="000000" w:sz="4" w:space="0"/>
              <w:left w:val="single" w:color="000000" w:sz="8" w:space="0"/>
              <w:bottom w:val="single" w:color="000000" w:sz="8" w:space="0"/>
              <w:right w:val="single" w:color="000000" w:sz="8" w:space="0"/>
            </w:tcBorders>
            <w:tcMar>
              <w:left w:w="107" w:type="dxa"/>
              <w:top w:w="56" w:type="dxa"/>
              <w:right w:w="109" w:type="dxa"/>
              <w:bottom w:w="0" w:type="dxa"/>
            </w:tcMar>
            <w:tcW w:w="446" w:type="dxa"/>
            <w:vAlign w:val="center"/>
            <w:textDirection w:val="lrTb"/>
            <w:noWrap w:val="false"/>
          </w:tcPr>
          <w:p>
            <w:pPr>
              <w:contextualSpacing w:val="0"/>
              <w:ind w:left="0" w:right="1"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122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质量保障措施</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7008" w:type="dxa"/>
            <w:vAlign w:val="center"/>
            <w:textDirection w:val="lrTb"/>
            <w:noWrap w:val="false"/>
          </w:tcPr>
          <w:p>
            <w:pPr>
              <w:contextualSpacing w:val="0"/>
              <w:ind w:left="0" w:right="0" w:firstLine="420"/>
              <w:jc w:val="left"/>
              <w:spacing w:before="200" w:after="2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围绕本项目技术设计书编制、数据采集更新、POI 核查、矢量增量更新、省市县数据融合、电子地图生产、脱密处理、地图送审、成果质检、成果交付，依据江苏省天地图技术要求开展全过程质量管控评审：</w:t>
            </w:r>
            <w:r/>
          </w:p>
          <w:p>
            <w:pPr>
              <w:contextualSpacing w:val="0"/>
              <w:ind w:left="0" w:right="0" w:firstLine="420"/>
              <w:jc w:val="left"/>
              <w:spacing w:before="200" w:after="2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1.建立全过程质量管控体系，明确资料源校验、内业采集、增量更新有效性管控（杜绝无效增量）、房屋单栋化处理、POI 核查、脱密处理、地图内容合规检查、省市县融合比对、成果两级质检（作业组自检、专职质检）；明确月度更新成果、即时更新成果、季度发布成果的质检要点；建立问题台账、问题闭环修改机制，完全匹配省厅建设要求，得 6 分。</w:t>
            </w:r>
            <w:r/>
          </w:p>
          <w:p>
            <w:pPr>
              <w:contextualSpacing w:val="0"/>
              <w:ind w:left="0" w:right="0" w:firstLine="420"/>
              <w:jc w:val="left"/>
              <w:spacing w:before="200" w:after="2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2.具备完整质量管控流程，两级质检机制，主要质检要点响应，缺少部分细节管控条款，得 4 分。</w:t>
            </w:r>
            <w:r/>
          </w:p>
          <w:p>
            <w:pPr>
              <w:contextualSpacing w:val="0"/>
              <w:ind w:left="0" w:right="0" w:firstLine="420"/>
              <w:jc w:val="left"/>
              <w:spacing w:before="200" w:after="2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3.仅有简单质量保障描述，缺少分级质检、问题闭环，关键质量控制点缺失，得 2 分。</w:t>
            </w:r>
            <w:r/>
          </w:p>
          <w:p>
            <w:pPr>
              <w:contextualSpacing w:val="0"/>
              <w:ind w:left="0" w:right="0" w:firstLine="420"/>
              <w:jc w:val="left"/>
              <w:spacing w:before="200" w:after="2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4.未提供质量保障方案，得 0 分。</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44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6</w:t>
            </w:r>
            <w:r/>
          </w:p>
        </w:tc>
      </w:tr>
      <w:tr>
        <w:trPr>
          <w:trHeight w:val="946"/>
        </w:trPr>
        <w:tc>
          <w:tcPr>
            <w:tcBorders>
              <w:top w:val="none" w:color="000000" w:sz="4" w:space="0"/>
              <w:left w:val="single" w:color="000000" w:sz="8" w:space="0"/>
              <w:bottom w:val="single" w:color="000000" w:sz="8" w:space="0"/>
              <w:right w:val="single" w:color="000000" w:sz="8" w:space="0"/>
            </w:tcBorders>
            <w:tcMar>
              <w:left w:w="107" w:type="dxa"/>
              <w:top w:w="56" w:type="dxa"/>
              <w:right w:w="109" w:type="dxa"/>
              <w:bottom w:w="0" w:type="dxa"/>
            </w:tcMar>
            <w:tcW w:w="446" w:type="dxa"/>
            <w:vAlign w:val="center"/>
            <w:textDirection w:val="lrTb"/>
            <w:noWrap w:val="false"/>
          </w:tcPr>
          <w:p>
            <w:pPr>
              <w:contextualSpacing w:val="0"/>
              <w:ind w:left="0" w:right="1"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122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售后服务</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7008" w:type="dxa"/>
            <w:vAlign w:val="center"/>
            <w:textDirection w:val="lrTb"/>
            <w:noWrap w:val="false"/>
          </w:tcPr>
          <w:p>
            <w:pPr>
              <w:contextualSpacing w:val="0"/>
              <w:ind w:left="0" w:right="0" w:firstLine="420"/>
              <w:jc w:val="left"/>
              <w:spacing w:before="200" w:after="2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针对省市集中式集群部署、平台巡检监控、备份恢复、故障处置、告警工单闭环、日志采集、网络安全、</w:t>
            </w:r>
            <w:r/>
          </w:p>
          <w:p>
            <w:pPr>
              <w:contextualSpacing w:val="0"/>
              <w:ind w:left="0" w:right="0" w:firstLine="420"/>
              <w:jc w:val="left"/>
              <w:spacing w:before="200" w:after="2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1.明确 7×24 小时平台监测巡检对象（服务器、存储、数据库、中间件、网络、地图引擎、服务接口）；制定定期备份、版本管理、容量管理机制；故障分级处置，严格落实网站故障 24 小时修复，特殊情况应急预案及通报机制；完整包含运行日志分析、告警处置、工单闭环；明确等保三级测评配合工作内容，运维指标全部响应项目需求，得 5 分。</w:t>
            </w:r>
            <w:r/>
          </w:p>
          <w:p>
            <w:pPr>
              <w:contextualSpacing w:val="0"/>
              <w:ind w:left="0" w:right="0" w:firstLine="210"/>
              <w:jc w:val="left"/>
              <w:spacing w:before="200" w:after="2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2.运维主要工作内容齐全，24 小时故障修复、工单闭环、备份机制均响应，个别细节描述简略，得 3 分。（3）运维内容简单，部分强制性运维指标未响应，得 1 分。（4）未提供运维维护方案，得 0 分。</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44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5</w:t>
            </w:r>
            <w:r/>
          </w:p>
        </w:tc>
      </w:tr>
      <w:tr>
        <w:trPr>
          <w:trHeight w:val="267"/>
        </w:trPr>
        <w:tc>
          <w:tcPr>
            <w:tcBorders>
              <w:top w:val="none" w:color="000000" w:sz="4" w:space="0"/>
              <w:left w:val="single" w:color="000000" w:sz="8" w:space="0"/>
              <w:bottom w:val="single" w:color="000000" w:sz="8" w:space="0"/>
              <w:right w:val="single" w:color="000000" w:sz="8" w:space="0"/>
            </w:tcBorders>
            <w:tcMar>
              <w:left w:w="107" w:type="dxa"/>
              <w:top w:w="56" w:type="dxa"/>
              <w:right w:w="109" w:type="dxa"/>
              <w:bottom w:w="0" w:type="dxa"/>
            </w:tcMar>
            <w:tcW w:w="446" w:type="dxa"/>
            <w:vAlign w:val="center"/>
            <w:textDirection w:val="lrTb"/>
            <w:noWrap w:val="false"/>
          </w:tcPr>
          <w:p>
            <w:pPr>
              <w:contextualSpacing w:val="0"/>
              <w:ind w:left="0" w:right="1"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122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运维维护及保密服务</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7008" w:type="dxa"/>
            <w:vAlign w:val="center"/>
            <w:textDirection w:val="lrTb"/>
            <w:noWrap w:val="false"/>
          </w:tcPr>
          <w:p>
            <w:pPr>
              <w:contextualSpacing w:val="0"/>
              <w:ind w:left="0" w:right="0" w:firstLine="420"/>
              <w:jc w:val="left"/>
              <w:spacing w:before="200" w:after="2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针对测绘地理信息成果、原始业务资料、涉密处理、人员保密管理、介质管理、成果传输归档、保密自查、脱密成果管控开展评审：</w:t>
            </w:r>
            <w:r/>
          </w:p>
          <w:p>
            <w:pPr>
              <w:contextualSpacing w:val="0"/>
              <w:ind w:left="0" w:right="0" w:firstLine="420"/>
              <w:jc w:val="left"/>
              <w:spacing w:before="200" w:after="2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具备完整的测绘地理信息保密管理制度；明确项目人员保密教育、保密责任书签订；涉密设备、存储介质使用管控；原始测绘资料、行业专题资料全流程保密管控；电子地图脱密处理环节保密管控；成果传输、归档、销毁管理；定期保密自查机制，贴合天地图地理信息数据业务场景，得 3 分。  </w:t>
            </w:r>
            <w:r/>
          </w:p>
          <w:p>
            <w:pPr>
              <w:contextualSpacing w:val="0"/>
              <w:ind w:left="0" w:right="0" w:firstLine="420"/>
              <w:jc w:val="left"/>
              <w:spacing w:before="200" w:after="2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2.保密管理制度基本齐全，人员、介质、成果保密主要措施具备，部分细节简略，得 2 分。</w:t>
            </w:r>
            <w:r/>
          </w:p>
          <w:p>
            <w:pPr>
              <w:contextualSpacing w:val="0"/>
              <w:ind w:left="0" w:right="0" w:firstLine="420"/>
              <w:jc w:val="left"/>
              <w:spacing w:before="200" w:after="2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3.仅有简单保密描述，关键管控环节缺失，得 1 分。</w:t>
            </w:r>
            <w:r/>
          </w:p>
          <w:p>
            <w:pPr>
              <w:contextualSpacing w:val="0"/>
              <w:ind w:left="0" w:right="0" w:firstLine="420"/>
              <w:jc w:val="left"/>
              <w:spacing w:before="200" w:after="2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4.未提供保密服务方案，得 0 分。</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44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3</w:t>
            </w:r>
            <w:r/>
          </w:p>
        </w:tc>
      </w:tr>
      <w:tr>
        <w:trPr>
          <w:trHeight w:val="683"/>
        </w:trPr>
        <w:tc>
          <w:tcPr>
            <w:tcBorders>
              <w:top w:val="none" w:color="000000" w:sz="4" w:space="0"/>
              <w:left w:val="single" w:color="000000" w:sz="8" w:space="0"/>
              <w:bottom w:val="single" w:color="000000" w:sz="8" w:space="0"/>
              <w:right w:val="single" w:color="000000" w:sz="8" w:space="0"/>
            </w:tcBorders>
            <w:tcMar>
              <w:left w:w="107" w:type="dxa"/>
              <w:top w:w="56" w:type="dxa"/>
              <w:right w:w="109" w:type="dxa"/>
              <w:bottom w:w="0" w:type="dxa"/>
            </w:tcMar>
            <w:tcW w:w="446" w:type="dxa"/>
            <w:vAlign w:val="center"/>
            <w:textDirection w:val="lrTb"/>
            <w:noWrap w:val="false"/>
          </w:tcPr>
          <w:p>
            <w:pPr>
              <w:contextualSpacing w:val="0"/>
              <w:ind w:left="15"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8234" w:type="dxa"/>
            <w:vAlign w:val="center"/>
            <w:textDirection w:val="lrTb"/>
            <w:noWrap w:val="false"/>
          </w:tcPr>
          <w:p>
            <w:pPr>
              <w:contextualSpacing w:val="0"/>
              <w:ind w:left="15"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合  计</w:t>
            </w:r>
            <w:r/>
          </w:p>
        </w:tc>
        <w:tc>
          <w:tcPr>
            <w:tcBorders>
              <w:top w:val="none" w:color="000000" w:sz="4" w:space="0"/>
              <w:left w:val="none" w:color="000000" w:sz="4" w:space="0"/>
              <w:bottom w:val="single" w:color="000000" w:sz="8" w:space="0"/>
              <w:right w:val="single" w:color="000000" w:sz="8" w:space="0"/>
            </w:tcBorders>
            <w:tcMar>
              <w:left w:w="107" w:type="dxa"/>
              <w:top w:w="56" w:type="dxa"/>
              <w:right w:w="109" w:type="dxa"/>
              <w:bottom w:w="0" w:type="dxa"/>
            </w:tcMar>
            <w:tcW w:w="446" w:type="dxa"/>
            <w:vAlign w:val="center"/>
            <w:textDirection w:val="lrTb"/>
            <w:noWrap w:val="false"/>
          </w:tcPr>
          <w:p>
            <w:pPr>
              <w:contextualSpacing w:val="0"/>
              <w:ind w:left="0" w:right="1"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100</w:t>
            </w:r>
            <w:r/>
          </w:p>
        </w:tc>
      </w:tr>
    </w:tbl>
    <w:p>
      <w:pPr>
        <w:contextualSpacing w:val="0"/>
        <w:ind w:left="0" w:right="0" w:firstLine="48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 </w:t>
      </w:r>
      <w:r/>
    </w:p>
    <w:p>
      <w:pPr>
        <w:contextualSpacing w:val="0"/>
        <w:ind w:left="0" w:right="0" w:firstLine="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Arial" w:hAnsi="Arial" w:eastAsia="Arial" w:cs="Arial"/>
          <w:color w:val="000000"/>
          <w:sz w:val="28"/>
        </w:rPr>
        <w:t xml:space="preserve"> </w:t>
      </w:r>
      <w:r/>
    </w:p>
    <w:p>
      <w:pPr>
        <w:contextualSpacing w:val="0"/>
        <w:ind w:left="0" w:right="0" w:firstLine="48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注：1.上述响应文件中，证书或证明或业绩必须提供复印件或扫描件（加盖供应商公章），如发现弄虚作假的，将按照本采购文件相关条款规定予以处理。 </w:t>
      </w:r>
      <w:r/>
    </w:p>
    <w:p>
      <w:pPr>
        <w:contextualSpacing w:val="0"/>
        <w:ind w:left="0" w:right="0" w:firstLine="48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2.评委依据采购文件载明的方法评分，评分四舍五入精确到小数点后两位。</w:t>
      </w:r>
      <w:r/>
    </w:p>
    <w:p>
      <w:pPr>
        <w:contextualSpacing w:val="0"/>
        <w:ind w:left="0" w:right="0" w:firstLine="48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3.政府采购政策功能的落实：本项目不专门面向中小微企业。供应商应在响应文件中提交《中小企业声明函》，对小型和微型企业产品的价格给予10%的扣除。</w:t>
      </w:r>
      <w:r/>
    </w:p>
    <w:p>
      <w:pPr>
        <w:contextualSpacing w:val="0"/>
        <w:ind w:left="0" w:right="0" w:firstLine="48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六、成交供应商的确定</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磋商小组汇总各评委评分后，按照得分从高到低的顺序推荐3名成交候选人，并编写评审报告。</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采购人委托磋商小组直接确定排名第一的成交候选人为成交供应商。</w:t>
      </w:r>
      <w:r/>
    </w:p>
    <w:p>
      <w:pPr>
        <w:contextualSpacing w:val="0"/>
        <w:ind w:left="0" w:right="0" w:firstLine="48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contextualSpacing w:val="0"/>
        <w:ind w:left="0" w:right="0" w:firstLine="48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contextualSpacing w:val="0"/>
        <w:ind w:left="0" w:right="0" w:firstLine="48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七、公告成交结果及发放成交通知书</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1.自确定成交供应商之日起2个工作日内，在江苏政府采购网公告成交结果，公告期限为1个工作日。</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2.公告成交结果的同时，采购代理机构向成交供应商发放成交通知书。成交通知书发出后，采购人不得违法改变成交结果，成交供应商无正当理由不得放弃成交。</w:t>
      </w:r>
      <w:r/>
    </w:p>
    <w:p>
      <w:pPr>
        <w:contextualSpacing w:val="0"/>
        <w:ind w:left="0" w:right="0" w:firstLine="883"/>
        <w:jc w:val="left"/>
        <w:spacing w:before="0" w:after="0" w:line="360" w:lineRule="auto"/>
        <w:tabs>
          <w:tab w:val="left" w:pos="360" w:leader="none"/>
          <w:tab w:val="left" w:pos="1080" w:leader="none"/>
        </w:tabs>
        <w:pBdr>
          <w:top w:val="none" w:color="000000" w:sz="4" w:space="0"/>
          <w:left w:val="none" w:color="000000" w:sz="4" w:space="0"/>
          <w:bottom w:val="none" w:color="000000" w:sz="4" w:space="0"/>
          <w:right w:val="none" w:color="000000" w:sz="4" w:space="0"/>
        </w:pBdr>
        <w:suppressLineNumbers w:val="0"/>
      </w:pPr>
      <w:r>
        <w:br w:type="page" w:clear="all"/>
      </w:r>
      <w:r/>
    </w:p>
    <w:p>
      <w:pPr>
        <w:contextualSpacing w:val="0"/>
        <w:ind w:left="0" w:right="0" w:firstLine="0"/>
        <w:jc w:val="center"/>
        <w:spacing w:before="240" w:after="6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第六章 响应文件格式</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Microsoft New Tai Lue" w:hAnsi="Microsoft New Tai Lue" w:eastAsia="Microsoft New Tai Lue" w:cs="Microsoft New Tai Lue"/>
          <w:b/>
          <w:color w:val="000000"/>
          <w:sz w:val="21"/>
        </w:rPr>
        <w:t xml:space="preserve"> </w:t>
      </w:r>
      <w:r/>
    </w:p>
    <w:p>
      <w:pPr>
        <w:contextualSpacing w:val="0"/>
        <w:ind w:left="0" w:right="0" w:firstLine="48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一、资格审查文件（若为联合体投标，除特别说明外，联合体各方均需提供，并加盖牵头单位电子签章）</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u w:val="single"/>
        </w:rPr>
        <w:t xml:space="preserve">1.法定代表人身份证明书及法定代表人身份证复印件；</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u w:val="single"/>
        </w:rPr>
        <w:t xml:space="preserve">2.法定代表人授权委托书及授权委托人身份证复印件（如有，请提供法定代表人授权委托书原件扫描件。</w:t>
      </w:r>
      <w:r>
        <w:rPr>
          <w:rFonts w:ascii="SimSun" w:hAnsi="SimSun" w:eastAsia="SimSun" w:cs="SimSun"/>
          <w:color w:val="000000"/>
          <w:sz w:val="21"/>
        </w:rPr>
        <w:t xml:space="preserve">若</w:t>
      </w:r>
      <w:r>
        <w:rPr>
          <w:rFonts w:ascii="SimSun" w:hAnsi="SimSun" w:eastAsia="SimSun" w:cs="SimSun"/>
          <w:color w:val="000000"/>
          <w:sz w:val="21"/>
          <w:u w:val="single"/>
        </w:rPr>
        <w:t xml:space="preserve">为联合体投标，由联合体牵头单位出具法定代表人授权委托书即可，联合体其他成员无需另行出具本项授权委托书及法定代表人身份证明）；</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u w:val="single"/>
        </w:rPr>
        <w:t xml:space="preserve">3.响应</w:t>
      </w:r>
      <w:r>
        <w:rPr>
          <w:rFonts w:ascii="SimSun" w:hAnsi="SimSun" w:eastAsia="SimSun" w:cs="SimSun"/>
          <w:color w:val="000000"/>
          <w:sz w:val="21"/>
          <w:u w:val="single"/>
        </w:rPr>
        <w:t xml:space="preserve">供应商</w:t>
      </w:r>
      <w:r>
        <w:rPr>
          <w:rFonts w:ascii="SimSun" w:hAnsi="SimSun" w:eastAsia="SimSun" w:cs="SimSun"/>
          <w:color w:val="000000"/>
          <w:sz w:val="21"/>
          <w:u w:val="single"/>
        </w:rPr>
        <w:t xml:space="preserve">营业执照复印件；</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u w:val="single"/>
        </w:rPr>
        <w:t xml:space="preserve">4.供应商2024年度或2025年度经会计师事务所审计的财务报告（须提供加盖会计师事务所公章及注册会计师签章的复印件）；没有经审计的财务报告的，也可以提供 2025 年或 2026 年任意一个月的财务报表，或提供距离响应截止时间6个月内基本开户银行出具的资信证明复印件； </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u w:val="single"/>
        </w:rPr>
        <w:t xml:space="preserve">5.供应商2026年1月（含）至开标当日任一月份依法缴纳税收（依法缴纳税收材料是指：税务部门出具的税收证明或完税凭证或银行出具的税收缴款证明）的相关材料复印件，如依法免税或不需要纳税的，则应提供相应证明材料复印件； </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u w:val="single"/>
        </w:rPr>
        <w:t xml:space="preserve">6.提供供应商2026年1月（含）至开标当日任一月份的依法缴纳社会保障资金的相关材料复印件（社会保障资金材料是指：人社部门或税务机关或银行出具的缴纳社保的凭证），如依法不需要缴纳社会保障资金的，则应提供相应证明材料复印件；</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u w:val="single"/>
        </w:rPr>
        <w:t xml:space="preserve">7.</w:t>
      </w:r>
      <w:r>
        <w:rPr>
          <w:rFonts w:ascii="SimSun" w:hAnsi="SimSun" w:eastAsia="SimSun" w:cs="SimSun"/>
          <w:color w:val="000000"/>
          <w:sz w:val="21"/>
          <w:u w:val="single"/>
        </w:rPr>
        <w:t xml:space="preserve">响应</w:t>
      </w:r>
      <w:r>
        <w:rPr>
          <w:rFonts w:ascii="SimSun" w:hAnsi="SimSun" w:eastAsia="SimSun" w:cs="SimSun"/>
          <w:color w:val="000000"/>
          <w:sz w:val="21"/>
          <w:u w:val="single"/>
        </w:rPr>
        <w:t xml:space="preserve">供应商</w:t>
      </w:r>
      <w:r>
        <w:rPr>
          <w:rFonts w:ascii="SimSun" w:hAnsi="SimSun" w:eastAsia="SimSun" w:cs="SimSun"/>
          <w:color w:val="000000"/>
          <w:sz w:val="21"/>
          <w:u w:val="single"/>
        </w:rPr>
        <w:t xml:space="preserve">符合《中华人民共和国政府采购法》第二十二条规定条件的承诺函（供应商资格声明书）；</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u w:val="single"/>
        </w:rPr>
        <w:t xml:space="preserve">8.诚信承诺书；</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u w:val="single"/>
        </w:rPr>
        <w:t xml:space="preserve">9.“信用中国”“中国政府采购网”供应商未被列入失信被执行人名单、政府采购严重违法失信行为记录名单网站查询证明材料；</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u w:val="single"/>
        </w:rPr>
        <w:t xml:space="preserve">10.《中小企业声明函》或《残疾人福利性单位声明函》或监狱和戒毒企业证明材料。</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注：上述1—10中任何一条不符合要求，则资格性审查不通过，按无效响应文件处理。</w:t>
      </w:r>
      <w:r/>
    </w:p>
    <w:p>
      <w:pPr>
        <w:contextualSpacing w:val="0"/>
        <w:ind w:left="0" w:right="0" w:firstLine="48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（磋商文件要求提供的</w:t>
      </w:r>
      <w:r>
        <w:rPr>
          <w:rFonts w:ascii="SimSun" w:hAnsi="SimSun" w:eastAsia="SimSun" w:cs="SimSun"/>
          <w:b/>
          <w:color w:val="000000"/>
          <w:sz w:val="21"/>
        </w:rPr>
        <w:t xml:space="preserve">资格审查证明材料</w:t>
      </w:r>
      <w:r>
        <w:rPr>
          <w:rFonts w:ascii="SimSun" w:hAnsi="SimSun" w:eastAsia="SimSun" w:cs="SimSun"/>
          <w:color w:val="000000"/>
          <w:sz w:val="21"/>
        </w:rPr>
        <w:t xml:space="preserve">中没有对应的接口上传的资料，可以在本部分的其他材料的接口中上传）</w:t>
      </w:r>
      <w:r/>
    </w:p>
    <w:p>
      <w:pPr>
        <w:contextualSpacing w:val="0"/>
        <w:ind w:left="0" w:right="0" w:firstLine="48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二、符合性审查文件</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1.竞争性磋商响应函（格式参见第六章）；</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2.报价分析表（格式自拟）；</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3.供应商情况表；</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4.技术商务条款响应正负偏离表（格式参见第六章）；</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5.第四章项目需求中要求提供的材料（如有）；</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6.项目组成人员表；</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7.供应商认为需要提交的其他资料。</w:t>
      </w:r>
      <w:r/>
    </w:p>
    <w:p>
      <w:pPr>
        <w:contextualSpacing w:val="0"/>
        <w:ind w:left="0" w:right="0" w:firstLine="48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三、商务技术文件</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1.评审办法中所涉及的事项需提供的所有资料；</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2.评审办法中未涉及的事项，供应商认为需要提交的其他资料。</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注：为方便评委评审，请供应商按评审办法中所涉及的事项顺序进行编制，可以补充相关材料；</w:t>
      </w:r>
      <w:r/>
    </w:p>
    <w:p>
      <w:pPr>
        <w:contextualSpacing w:val="0"/>
        <w:ind w:left="0" w:right="0" w:firstLine="48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四、报价响应文件</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1.磋商响应报价表（开标一览表）；</w:t>
      </w:r>
      <w:r/>
    </w:p>
    <w:p>
      <w:pPr>
        <w:contextualSpacing w:val="0"/>
        <w:ind w:left="0" w:right="0" w:firstLine="422"/>
        <w:jc w:val="left"/>
        <w:spacing w:before="100" w:after="1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u w:val="single"/>
        </w:rPr>
        <w:t xml:space="preserve">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br w:type="page" w:clear="all"/>
      </w:r>
      <w:r/>
    </w:p>
    <w:p>
      <w:pPr>
        <w:contextualSpacing w:val="0"/>
        <w:ind w:left="0" w:right="0" w:firstLine="0"/>
        <w:jc w:val="left"/>
        <w:spacing w:before="100" w:after="10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封面</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Microsoft New Tai Lue" w:hAnsi="Microsoft New Tai Lue" w:eastAsia="Microsoft New Tai Lue" w:cs="Microsoft New Tai Lue"/>
          <w:b/>
          <w:color w:val="000000"/>
          <w:sz w:val="72"/>
        </w:rPr>
        <w:t xml:space="preserve"> </w:t>
      </w:r>
      <w:r/>
    </w:p>
    <w:p>
      <w:pPr>
        <w:contextualSpacing w:val="0"/>
        <w:ind w:left="0" w:right="0" w:firstLine="0"/>
        <w:jc w:val="center"/>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NSimSun" w:hAnsi="NSimSun" w:eastAsia="NSimSun" w:cs="NSimSun"/>
          <w:b/>
          <w:color w:val="000000"/>
          <w:sz w:val="32"/>
        </w:rPr>
        <w:t xml:space="preserve">2027年度“天地图泰州”数据融合及节点维护更新项目</w:t>
      </w:r>
      <w:r/>
    </w:p>
    <w:p>
      <w:pPr>
        <w:contextualSpacing w:val="0"/>
        <w:ind w:left="0" w:right="0" w:firstLine="643"/>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NSimSun" w:hAnsi="NSimSun" w:eastAsia="NSimSun" w:cs="NSimSun"/>
          <w:b/>
          <w:color w:val="000000"/>
          <w:sz w:val="32"/>
        </w:rPr>
        <w:t xml:space="preserve"> </w:t>
      </w:r>
      <w:r/>
    </w:p>
    <w:p>
      <w:pPr>
        <w:contextualSpacing w:val="0"/>
        <w:ind w:left="0" w:right="0" w:firstLine="643"/>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NSimSun" w:hAnsi="NSimSun" w:eastAsia="NSimSun" w:cs="NSimSun"/>
          <w:b/>
          <w:color w:val="000000"/>
          <w:sz w:val="32"/>
        </w:rPr>
        <w:t xml:space="preserve"> </w:t>
      </w:r>
      <w:r/>
    </w:p>
    <w:p>
      <w:pPr>
        <w:contextualSpacing w:val="0"/>
        <w:ind w:left="0" w:right="0" w:firstLine="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0"/>
        <w:jc w:val="center"/>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84"/>
        </w:rPr>
        <w:t xml:space="preserve">响</w:t>
      </w:r>
      <w:r>
        <w:rPr>
          <w:rFonts w:ascii="Microsoft New Tai Lue" w:hAnsi="Microsoft New Tai Lue" w:eastAsia="Microsoft New Tai Lue" w:cs="Microsoft New Tai Lue"/>
          <w:b/>
          <w:color w:val="000000"/>
          <w:sz w:val="84"/>
        </w:rPr>
        <w:t xml:space="preserve"> </w:t>
      </w:r>
      <w:r>
        <w:rPr>
          <w:rFonts w:ascii="SimSun" w:hAnsi="SimSun" w:eastAsia="SimSun" w:cs="SimSun"/>
          <w:b/>
          <w:color w:val="000000"/>
          <w:sz w:val="84"/>
        </w:rPr>
        <w:t xml:space="preserve"> 应</w:t>
      </w:r>
      <w:r>
        <w:rPr>
          <w:rFonts w:ascii="Microsoft New Tai Lue" w:hAnsi="Microsoft New Tai Lue" w:eastAsia="Microsoft New Tai Lue" w:cs="Microsoft New Tai Lue"/>
          <w:b/>
          <w:color w:val="000000"/>
          <w:sz w:val="84"/>
        </w:rPr>
        <w:t xml:space="preserve"> </w:t>
      </w:r>
      <w:r>
        <w:rPr>
          <w:rFonts w:ascii="SimSun" w:hAnsi="SimSun" w:eastAsia="SimSun" w:cs="SimSun"/>
          <w:b/>
          <w:color w:val="000000"/>
          <w:sz w:val="84"/>
        </w:rPr>
        <w:t xml:space="preserve">文</w:t>
      </w:r>
      <w:r>
        <w:rPr>
          <w:rFonts w:ascii="Microsoft New Tai Lue" w:hAnsi="Microsoft New Tai Lue" w:eastAsia="Microsoft New Tai Lue" w:cs="Microsoft New Tai Lue"/>
          <w:b/>
          <w:color w:val="000000"/>
          <w:sz w:val="84"/>
        </w:rPr>
        <w:t xml:space="preserve"> </w:t>
      </w:r>
      <w:r>
        <w:rPr>
          <w:rFonts w:ascii="SimSun" w:hAnsi="SimSun" w:eastAsia="SimSun" w:cs="SimSun"/>
          <w:b/>
          <w:color w:val="000000"/>
          <w:sz w:val="84"/>
        </w:rPr>
        <w:t xml:space="preserve">件</w:t>
      </w:r>
      <w:r/>
    </w:p>
    <w:p>
      <w:pPr>
        <w:contextualSpacing w:val="0"/>
        <w:ind w:left="0" w:right="64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Microsoft New Tai Lue" w:hAnsi="Microsoft New Tai Lue" w:eastAsia="Microsoft New Tai Lue" w:cs="Microsoft New Tai Lue"/>
          <w:b/>
          <w:color w:val="000000"/>
          <w:sz w:val="44"/>
        </w:rPr>
        <w:t xml:space="preserve"> </w:t>
      </w:r>
      <w:r/>
    </w:p>
    <w:p>
      <w:pPr>
        <w:contextualSpacing w:val="0"/>
        <w:ind w:left="0" w:right="640" w:firstLine="2209"/>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44"/>
        </w:rPr>
        <w:t xml:space="preserve">项目编号：</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Microsoft New Tai Lue" w:hAnsi="Microsoft New Tai Lue" w:eastAsia="Microsoft New Tai Lue" w:cs="Microsoft New Tai Lue"/>
          <w:color w:val="000000"/>
          <w:sz w:val="28"/>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Microsoft New Tai Lue" w:hAnsi="Microsoft New Tai Lue" w:eastAsia="Microsoft New Tai Lue" w:cs="Microsoft New Tai Lue"/>
          <w:color w:val="000000"/>
          <w:sz w:val="28"/>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Microsoft New Tai Lue" w:hAnsi="Microsoft New Tai Lue" w:eastAsia="Microsoft New Tai Lue" w:cs="Microsoft New Tai Lue"/>
          <w:color w:val="000000"/>
          <w:sz w:val="28"/>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Microsoft New Tai Lue" w:hAnsi="Microsoft New Tai Lue" w:eastAsia="Microsoft New Tai Lue" w:cs="Microsoft New Tai Lue"/>
          <w:color w:val="000000"/>
          <w:sz w:val="28"/>
        </w:rPr>
        <w:t xml:space="preserve"> </w:t>
      </w:r>
      <w:r/>
    </w:p>
    <w:p>
      <w:pPr>
        <w:contextualSpacing w:val="0"/>
        <w:ind w:left="0" w:right="0" w:firstLine="0"/>
        <w:jc w:val="center"/>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32"/>
        </w:rPr>
        <w:t xml:space="preserve">响应</w:t>
      </w:r>
      <w:r>
        <w:rPr>
          <w:rFonts w:ascii="SimSun" w:hAnsi="SimSun" w:eastAsia="SimSun" w:cs="SimSun"/>
          <w:b/>
          <w:color w:val="000000"/>
          <w:sz w:val="32"/>
        </w:rPr>
        <w:t xml:space="preserve">供应商</w:t>
      </w:r>
      <w:r>
        <w:rPr>
          <w:rFonts w:ascii="SimSun" w:hAnsi="SimSun" w:eastAsia="SimSun" w:cs="SimSun"/>
          <w:b/>
          <w:color w:val="000000"/>
          <w:sz w:val="32"/>
        </w:rPr>
        <w:t xml:space="preserve">名称：</w:t>
      </w:r>
      <w:r>
        <w:rPr>
          <w:rFonts w:ascii="Microsoft New Tai Lue" w:hAnsi="Microsoft New Tai Lue" w:eastAsia="Microsoft New Tai Lue" w:cs="Microsoft New Tai Lue"/>
          <w:b/>
          <w:color w:val="000000"/>
          <w:sz w:val="32"/>
        </w:rPr>
        <w:t xml:space="preserve">_____________________</w:t>
      </w:r>
      <w:r/>
    </w:p>
    <w:p>
      <w:pPr>
        <w:contextualSpacing w:val="0"/>
        <w:ind w:left="0" w:right="0" w:firstLine="0"/>
        <w:jc w:val="center"/>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32"/>
        </w:rPr>
        <w:t xml:space="preserve">地址：</w:t>
      </w:r>
      <w:r>
        <w:rPr>
          <w:rFonts w:ascii="Microsoft New Tai Lue" w:hAnsi="Microsoft New Tai Lue" w:eastAsia="Microsoft New Tai Lue" w:cs="Microsoft New Tai Lue"/>
          <w:b/>
          <w:color w:val="000000"/>
          <w:sz w:val="32"/>
        </w:rPr>
        <w:t xml:space="preserve">_____________________</w:t>
      </w:r>
      <w:r/>
    </w:p>
    <w:p>
      <w:pPr>
        <w:contextualSpacing w:val="0"/>
        <w:ind w:left="0" w:right="0" w:firstLine="0"/>
        <w:jc w:val="center"/>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32"/>
        </w:rPr>
        <w:t xml:space="preserve">二〇二六年  月  日</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br w:type="page" w:clear="all"/>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附件：</w:t>
      </w:r>
      <w:r/>
    </w:p>
    <w:p>
      <w:pPr>
        <w:contextualSpacing w:val="0"/>
        <w:ind w:left="0" w:right="0" w:firstLine="0"/>
        <w:jc w:val="center"/>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1.法定代表人身份证明</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单位名称：</w:t>
      </w:r>
      <w:r>
        <w:rPr>
          <w:rFonts w:ascii="SimSun" w:hAnsi="SimSun" w:eastAsia="SimSun" w:cs="SimSun"/>
          <w:color w:val="000000"/>
          <w:sz w:val="21"/>
          <w:u w:val="single"/>
        </w:rPr>
        <w:t xml:space="preserve">                                         </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单位性质：</w:t>
      </w:r>
      <w:r>
        <w:rPr>
          <w:rFonts w:ascii="SimSun" w:hAnsi="SimSun" w:eastAsia="SimSun" w:cs="SimSun"/>
          <w:color w:val="000000"/>
          <w:sz w:val="21"/>
          <w:u w:val="single"/>
        </w:rPr>
        <w:t xml:space="preserve">                                         </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成立时间：</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经营期限：</w:t>
      </w:r>
      <w:r>
        <w:rPr>
          <w:rFonts w:ascii="SimSun" w:hAnsi="SimSun" w:eastAsia="SimSun" w:cs="SimSun"/>
          <w:color w:val="000000"/>
          <w:sz w:val="21"/>
          <w:u w:val="single"/>
        </w:rPr>
        <w:t xml:space="preserve">                                  </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性别：</w:t>
      </w:r>
      <w:r>
        <w:rPr>
          <w:rFonts w:ascii="SimSun" w:hAnsi="SimSun" w:eastAsia="SimSun" w:cs="SimSun"/>
          <w:color w:val="000000"/>
          <w:sz w:val="21"/>
          <w:u w:val="single"/>
        </w:rPr>
        <w:t xml:space="preserve">          </w:t>
      </w:r>
      <w:r>
        <w:rPr>
          <w:rFonts w:ascii="SimSun" w:hAnsi="SimSun" w:eastAsia="SimSun" w:cs="SimSun"/>
          <w:color w:val="000000"/>
          <w:sz w:val="21"/>
        </w:rPr>
        <w:t xml:space="preserve">年龄：</w:t>
      </w:r>
      <w:r>
        <w:rPr>
          <w:rFonts w:ascii="SimSun" w:hAnsi="SimSun" w:eastAsia="SimSun" w:cs="SimSun"/>
          <w:color w:val="000000"/>
          <w:sz w:val="21"/>
          <w:u w:val="single"/>
        </w:rPr>
        <w:t xml:space="preserve">            </w:t>
      </w: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手机（必填）：</w:t>
      </w:r>
      <w:r>
        <w:rPr>
          <w:rFonts w:ascii="SimSun" w:hAnsi="SimSun" w:eastAsia="SimSun" w:cs="SimSun"/>
          <w:color w:val="000000"/>
          <w:sz w:val="21"/>
          <w:u w:val="single"/>
        </w:rPr>
        <w:t xml:space="preserve">                   </w:t>
      </w:r>
      <w:r>
        <w:rPr>
          <w:rFonts w:ascii="SimSun" w:hAnsi="SimSun" w:eastAsia="SimSun" w:cs="SimSun"/>
          <w:color w:val="000000"/>
          <w:sz w:val="21"/>
        </w:rPr>
        <w:t xml:space="preserve">系：</w:t>
      </w:r>
      <w:r>
        <w:rPr>
          <w:rFonts w:ascii="SimSun" w:hAnsi="SimSun" w:eastAsia="SimSun" w:cs="SimSun"/>
          <w:color w:val="000000"/>
          <w:sz w:val="21"/>
          <w:u w:val="single"/>
        </w:rPr>
        <w:t xml:space="preserve">     （响应供应商名称）</w:t>
      </w:r>
      <w:r>
        <w:rPr>
          <w:rFonts w:ascii="SimSun" w:hAnsi="SimSun" w:eastAsia="SimSun" w:cs="SimSun"/>
          <w:color w:val="000000"/>
          <w:sz w:val="21"/>
        </w:rPr>
        <w:t xml:space="preserve">的法定代表人。</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特此证明</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磋商响应人（盖法人章）：</w:t>
      </w:r>
      <w:r>
        <w:rPr>
          <w:rFonts w:ascii="SimSun" w:hAnsi="SimSun" w:eastAsia="SimSun" w:cs="SimSun"/>
          <w:color w:val="000000"/>
          <w:sz w:val="21"/>
          <w:u w:val="single"/>
        </w:rPr>
        <w:t xml:space="preserve">                   </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法定代表人（单位负责人）有效期内的身份证复印件（正反面）</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34"/>
        <w:gridCol w:w="265"/>
        <w:gridCol w:w="4333"/>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4"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KaiTi" w:hAnsi="KaiTi" w:eastAsia="KaiTi" w:cs="KaiTi"/>
                <w:i/>
                <w:color w:val="000000"/>
                <w:sz w:val="24"/>
              </w:rPr>
              <w:t xml:space="preserve">身份证正面</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65" w:type="dxa"/>
            <w:vAlign w:val="top"/>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0"/>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3"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i/>
                <w:color w:val="000000"/>
                <w:sz w:val="24"/>
              </w:rPr>
              <w:t xml:space="preserve">身份证反面</w:t>
            </w:r>
            <w:r/>
          </w:p>
        </w:tc>
      </w:tr>
    </w:tbl>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color w:val="000000"/>
          <w:sz w:val="21"/>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br w:type="page" w:clear="all"/>
      </w:r>
      <w:r/>
    </w:p>
    <w:p>
      <w:pPr>
        <w:pStyle w:val="680"/>
        <w:contextualSpacing w:val="0"/>
        <w:ind w:left="0" w:right="0" w:firstLine="422"/>
        <w:jc w:val="center"/>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2.法定代表人授权书</w:t>
      </w:r>
      <w:r/>
    </w:p>
    <w:p>
      <w:pPr>
        <w:contextualSpacing w:val="0"/>
        <w:ind w:left="0" w:right="0" w:firstLine="422"/>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 </w:t>
      </w:r>
      <w:r/>
    </w:p>
    <w:p>
      <w:pPr>
        <w:contextualSpacing w:val="0"/>
        <w:ind w:left="420" w:right="0" w:firstLine="0"/>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本授权书声明：</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授权</w:t>
      </w:r>
      <w:r>
        <w:rPr>
          <w:rFonts w:ascii="SimSun" w:hAnsi="SimSun" w:eastAsia="SimSun" w:cs="SimSun"/>
          <w:color w:val="000000"/>
          <w:sz w:val="21"/>
          <w:u w:val="single"/>
        </w:rPr>
        <w:t xml:space="preserve">              </w:t>
      </w:r>
      <w:r>
        <w:rPr>
          <w:rFonts w:ascii="SimSun" w:hAnsi="SimSun" w:eastAsia="SimSun" w:cs="SimSun"/>
          <w:color w:val="000000"/>
          <w:sz w:val="21"/>
        </w:rPr>
        <w:t xml:space="preserve">（被授权人的姓名）为我方就</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项目采购活动的合法代理人，以本公司名义全权处理一切与该项目采购有关的事务，其后果由我单位承担。</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代理人无转委托权，特此委托。</w:t>
      </w:r>
      <w:r/>
    </w:p>
    <w:p>
      <w:pPr>
        <w:contextualSpacing w:val="0"/>
        <w:ind w:left="0" w:right="0" w:firstLine="420"/>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委托期限：自本授权委托书签署之日起至投标有效期届满之日止。</w:t>
      </w:r>
      <w:r/>
    </w:p>
    <w:p>
      <w:pPr>
        <w:contextualSpacing w:val="0"/>
        <w:ind w:left="0" w:right="0" w:firstLine="420"/>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法定代表人：（签字或盖章）_______________________</w:t>
      </w:r>
      <w:r/>
    </w:p>
    <w:p>
      <w:pPr>
        <w:contextualSpacing w:val="0"/>
        <w:ind w:left="0" w:right="0" w:firstLine="420"/>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420"/>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授权单位名称（盖章）：_________________________________</w:t>
      </w:r>
      <w:r/>
    </w:p>
    <w:p>
      <w:pPr>
        <w:contextualSpacing w:val="0"/>
        <w:ind w:left="0" w:right="0" w:firstLine="420"/>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地址：_____________________________________</w:t>
      </w:r>
      <w:r/>
    </w:p>
    <w:p>
      <w:pPr>
        <w:contextualSpacing w:val="0"/>
        <w:ind w:left="0" w:right="0" w:firstLine="420"/>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日期：     年月日</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附：授权代表有效期内的身份证复印件（正反面）</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34"/>
        <w:gridCol w:w="260"/>
        <w:gridCol w:w="4350"/>
      </w:tblGrid>
      <w:tr>
        <w:trPr>
          <w:trHeight w:val="27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4"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KaiTi" w:hAnsi="KaiTi" w:eastAsia="KaiTi" w:cs="KaiTi"/>
                <w:i/>
                <w:color w:val="000000"/>
                <w:sz w:val="24"/>
              </w:rPr>
              <w:t xml:space="preserve">身份证正面</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60" w:type="dxa"/>
            <w:vAlign w:val="top"/>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0"/>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5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i/>
                <w:color w:val="000000"/>
                <w:sz w:val="24"/>
              </w:rPr>
              <w:t xml:space="preserve">身份证反面</w:t>
            </w:r>
            <w:r/>
          </w:p>
        </w:tc>
      </w:tr>
    </w:tbl>
    <w:p>
      <w:pPr>
        <w:contextualSpacing w:val="0"/>
        <w:ind w:left="0" w:right="0" w:firstLine="0"/>
        <w:jc w:val="left"/>
        <w:spacing w:before="210" w:after="12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注：</w:t>
      </w:r>
      <w:r/>
    </w:p>
    <w:p>
      <w:pPr>
        <w:contextualSpacing w:val="0"/>
        <w:ind w:left="0" w:right="0" w:firstLine="420"/>
        <w:jc w:val="left"/>
        <w:spacing w:before="210" w:after="120" w:line="360" w:lineRule="auto"/>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若供应商为分公司、分支机构等依法无须设置法定代表人职务的单位（仅当招标文件注明允许上述单位投标时），法定代表人签字处可由单位负责人签署。</w:t>
      </w:r>
      <w:r/>
    </w:p>
    <w:p>
      <w:pPr>
        <w:contextualSpacing w:val="0"/>
        <w:ind w:left="0" w:right="0" w:firstLine="420"/>
        <w:jc w:val="left"/>
        <w:spacing w:before="210" w:after="120" w:line="360" w:lineRule="auto"/>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若响应文件中签字之处均为法定代表人（单位负责人）本人签署，则可不提供本《授权委托书》，但须提供《法定代表人（单位负责人）身份证明》。</w:t>
      </w:r>
      <w:r/>
      <w:r>
        <w:rPr>
          <w:rFonts w:ascii="Times New Roman" w:hAnsi="Times New Roman" w:eastAsia="Times New Roman" w:cs="Times New Roman"/>
          <w:color w:val="000000"/>
          <w:sz w:val="21"/>
        </w:rPr>
        <w:t xml:space="preserve"> </w:t>
      </w:r>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br w:type="page" w:clear="all"/>
      </w:r>
      <w:r/>
    </w:p>
    <w:p>
      <w:pPr>
        <w:contextualSpacing w:val="0"/>
        <w:ind w:left="0" w:right="0" w:firstLine="0"/>
        <w:jc w:val="center"/>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3.联合体协议书</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u w:val="single"/>
        </w:rPr>
        <w:t xml:space="preserve">（所有成员单位名称）</w:t>
      </w:r>
      <w:r>
        <w:rPr>
          <w:rFonts w:ascii="SimSun" w:hAnsi="SimSun" w:eastAsia="SimSun" w:cs="SimSun"/>
          <w:color w:val="000000"/>
          <w:sz w:val="21"/>
        </w:rPr>
        <w:t xml:space="preserve">自愿组成</w:t>
      </w:r>
      <w:r>
        <w:rPr>
          <w:rFonts w:ascii="SimSun" w:hAnsi="SimSun" w:eastAsia="SimSun" w:cs="SimSun"/>
          <w:color w:val="000000"/>
          <w:sz w:val="21"/>
          <w:u w:val="single"/>
        </w:rPr>
        <w:t xml:space="preserve">（联合体名称）</w:t>
      </w:r>
      <w:r>
        <w:rPr>
          <w:rFonts w:ascii="SimSun" w:hAnsi="SimSun" w:eastAsia="SimSun" w:cs="SimSun"/>
          <w:color w:val="000000"/>
          <w:sz w:val="21"/>
        </w:rPr>
        <w:t xml:space="preserve">联合体，共同参加</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（项目编号、项目名称）。现就联合体投标事宜订立如下协议。</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1.（某成员单位名称）为</w:t>
      </w:r>
      <w:r>
        <w:rPr>
          <w:rFonts w:ascii="SimSun" w:hAnsi="SimSun" w:eastAsia="SimSun" w:cs="SimSun"/>
          <w:color w:val="000000"/>
          <w:sz w:val="21"/>
          <w:u w:val="single"/>
        </w:rPr>
        <w:t xml:space="preserve">（联合体名称）</w:t>
      </w:r>
      <w:r>
        <w:rPr>
          <w:rFonts w:ascii="SimSun" w:hAnsi="SimSun" w:eastAsia="SimSun" w:cs="SimSun"/>
          <w:color w:val="000000"/>
          <w:sz w:val="21"/>
        </w:rPr>
        <w:t xml:space="preserve">牵头人。</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2.联合体牵头人合法代表联合体各成员负责本项目投标文件编制和合同谈判活动，并代表联合体提交和接收相关的资料、信息及指示，并处理与之有关的一切事务，负责项目实施阶段的主办、组织和协调工作。</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3.联合体将严格按照招标文件的各项要求，递交响应文件，履行合同，并对外承担连带责任。</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4.联合体各成员单位内部的职责分工如下：</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5.本协议书自签署之日起生效，合同履行完毕后自动失效。 </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6.本协议书一式份，联合体成员和采购人各执一份。</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注：本协议书由委托代理人签字的，应附法定代表人签字的授权委托书。</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420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牵头人名称：（盖单位章）</w:t>
      </w:r>
      <w:r/>
    </w:p>
    <w:p>
      <w:pPr>
        <w:contextualSpacing w:val="0"/>
        <w:ind w:left="0" w:right="0" w:firstLine="336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法定代表人或其委托代理人：（签字或盖章）</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420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成员单位名称：（盖单位章）</w:t>
      </w:r>
      <w:r/>
    </w:p>
    <w:p>
      <w:pPr>
        <w:contextualSpacing w:val="0"/>
        <w:ind w:left="0" w:right="0" w:firstLine="336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法定代表人或其委托代理人：（签字或盖章）</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6027"/>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年  月  日</w:t>
      </w:r>
      <w:r/>
    </w:p>
    <w:p>
      <w:pPr>
        <w:contextualSpacing w:val="0"/>
        <w:ind w:left="0" w:right="0" w:firstLine="2879"/>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2879"/>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br w:type="page" w:clear="all"/>
      </w:r>
      <w:r/>
    </w:p>
    <w:p>
      <w:pPr>
        <w:pStyle w:val="680"/>
        <w:contextualSpacing w:val="0"/>
        <w:ind w:left="0" w:right="0" w:firstLine="0"/>
        <w:jc w:val="center"/>
        <w:spacing w:before="260" w:after="26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4.供应商资格声明书 </w:t>
      </w:r>
      <w:r/>
    </w:p>
    <w:p>
      <w:pPr>
        <w:contextualSpacing w:val="0"/>
        <w:ind w:left="0" w:right="0" w:firstLine="0"/>
        <w:jc w:val="left"/>
        <w:spacing w:before="0" w:after="0" w:line="360" w:lineRule="auto"/>
        <w:tabs>
          <w:tab w:val="left" w:pos="558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致：</w:t>
      </w:r>
      <w:r>
        <w:rPr>
          <w:rFonts w:ascii="SimSun" w:hAnsi="SimSun" w:eastAsia="SimSun" w:cs="SimSun"/>
          <w:color w:val="000000"/>
          <w:sz w:val="21"/>
          <w:u w:val="single"/>
        </w:rPr>
        <w:t xml:space="preserve">采购人</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在参与本次项目响应中，我单位承诺：</w:t>
      </w:r>
      <w:r/>
    </w:p>
    <w:p>
      <w:pPr>
        <w:numPr>
          <w:ilvl w:val="0"/>
          <w:numId w:val="13"/>
        </w:numPr>
        <w:contextualSpacing w:val="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具有良好的商业信誉和健全的财务会计制度；</w:t>
      </w:r>
      <w:r/>
    </w:p>
    <w:p>
      <w:pPr>
        <w:numPr>
          <w:ilvl w:val="0"/>
          <w:numId w:val="13"/>
        </w:numPr>
        <w:contextualSpacing w:val="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具有履行合同所必需的设备和专业技术能力；</w:t>
      </w:r>
      <w:r/>
    </w:p>
    <w:p>
      <w:pPr>
        <w:numPr>
          <w:ilvl w:val="0"/>
          <w:numId w:val="13"/>
        </w:numPr>
        <w:contextualSpacing w:val="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具有依法缴纳税收和社会保障资金的良好记录；</w:t>
      </w:r>
      <w:r/>
    </w:p>
    <w:p>
      <w:pPr>
        <w:numPr>
          <w:ilvl w:val="0"/>
          <w:numId w:val="13"/>
        </w:numPr>
        <w:contextualSpacing w:val="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参加政府采购活动前三年内，在经营活动中没有重大违法记录（重大违法记录是指因违法经营受到刑事处罚或者责令停产停业、吊销许可证或者执照、较大数额罚款等行政处罚，不包括因违法经营被禁止在一定期限内参加政府采购活动，但期限已经届满的情形）；</w:t>
      </w:r>
      <w:r/>
    </w:p>
    <w:p>
      <w:pPr>
        <w:numPr>
          <w:ilvl w:val="0"/>
          <w:numId w:val="13"/>
        </w:numPr>
        <w:contextualSpacing w:val="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我单位不存在为采购项目提供整体设计、规范编制或者项目管理、监理、检测等服务后，再参加该采购项目的其他采购活动的情形（单一来源采购项目除外）；</w:t>
      </w:r>
      <w:r/>
    </w:p>
    <w:p>
      <w:pPr>
        <w:numPr>
          <w:ilvl w:val="0"/>
          <w:numId w:val="13"/>
        </w:numPr>
        <w:contextualSpacing w:val="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与我单位存在“单位负责人为同一人或者存在直接控股、管理关系”的其他法人单位信息如下（如有，不论其是否参加同一合同项下的政府采购活动均须填写）：</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0"/>
        <w:gridCol w:w="4574"/>
        <w:gridCol w:w="2976"/>
      </w:tblGrid>
      <w:tr>
        <w:trPr>
          <w:trHeight w:val="4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相互关系</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b/>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b/>
                <w:color w:val="000000"/>
                <w:sz w:val="21"/>
              </w:rPr>
              <w:t xml:space="preserve">/</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b/>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b/>
                <w:color w:val="000000"/>
                <w:sz w:val="21"/>
              </w:rPr>
              <w:t xml:space="preserve">/</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b/>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b/>
                <w:color w:val="000000"/>
                <w:sz w:val="21"/>
              </w:rPr>
              <w:t xml:space="preserve">/</w:t>
            </w:r>
            <w:r/>
          </w:p>
        </w:tc>
      </w:tr>
    </w:tbl>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上述声明真实有效，否则我方负全部责任。</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p>
      <w:pPr>
        <w:contextualSpacing w:val="0"/>
        <w:ind w:left="0" w:right="0" w:firstLine="0"/>
        <w:jc w:val="left"/>
        <w:spacing w:before="25" w:after="25"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供应商名称（加盖公章）：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contextualSpacing w:val="0"/>
        <w:ind w:left="0" w:right="36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Calibri" w:hAnsi="Calibri" w:eastAsia="Calibri" w:cs="Calibri"/>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contextualSpacing w:val="0"/>
        <w:ind w:left="0" w:right="0" w:firstLine="0"/>
        <w:jc w:val="left"/>
        <w:spacing w:before="25" w:after="25"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说明：供应商承诺不实的，依据《中华人民共和国政府采购法》第七十七条“提供虚假材料谋取中标、成交的”有关规定予以处理。</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30"/>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br w:type="page" w:clear="all"/>
      </w:r>
      <w:r/>
    </w:p>
    <w:p>
      <w:pPr>
        <w:contextualSpacing w:val="0"/>
        <w:ind w:left="0" w:right="0" w:firstLine="0"/>
        <w:jc w:val="center"/>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5.诚信承诺书</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u w:val="single"/>
        </w:rPr>
        <w:t xml:space="preserve">           （采购人名称）</w:t>
      </w:r>
      <w:r>
        <w:rPr>
          <w:rFonts w:ascii="SimSun" w:hAnsi="SimSun" w:eastAsia="SimSun" w:cs="SimSun"/>
          <w:color w:val="000000"/>
          <w:sz w:val="21"/>
        </w:rPr>
        <w:t xml:space="preserve">：</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我单位在参加贵单位组织的</w:t>
      </w:r>
      <w:r>
        <w:rPr>
          <w:rFonts w:ascii="SimSun" w:hAnsi="SimSun" w:eastAsia="SimSun" w:cs="SimSun"/>
          <w:color w:val="000000"/>
          <w:sz w:val="21"/>
          <w:u w:val="single"/>
        </w:rPr>
        <w:t xml:space="preserve">                         项目</w:t>
      </w:r>
      <w:r>
        <w:rPr>
          <w:rFonts w:ascii="SimSun" w:hAnsi="SimSun" w:eastAsia="SimSun" w:cs="SimSun"/>
          <w:color w:val="000000"/>
          <w:sz w:val="21"/>
        </w:rPr>
        <w:t xml:space="preserve">磋商活动中，郑重承诺如下：</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1.我单位参与本项目投标，提交的磋商响应文件包括资格审查材料均真实可信。证件及有关附件是真实的，绝无提供虚假材料行为。</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2.我单位参与本项目投标绝无借资质、挂靠行为。</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3.本项目授权代表为本单位正式员工。</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4.我单位遵守国家廉政相关规定，无失信、行贿等不良行为。</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5.我单位参与本项目投标绝无串标、围标等行为。</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6.我单位在参加政府采购活动前三年内，在经营活动中没有重大违法记录。</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7.如中标，我单位在成交结果公示结束后3天内领取中标通知书。</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8.中标后，我单位将按照采购文件规定并在成交通知书规定的时限内与采购单位签订合同。</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9.如中标，我单位将按照采购文件规定以及响应文件中承诺的相关事项向采购人提供完整相关证明材料或配合采购人做好相关工作。</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p>
    <w:p>
      <w:pPr>
        <w:contextualSpacing w:val="0"/>
        <w:ind w:left="0" w:right="0" w:firstLine="56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3624"/>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供应商</w:t>
      </w:r>
      <w:r>
        <w:rPr>
          <w:rFonts w:ascii="SimSun" w:hAnsi="SimSun" w:eastAsia="SimSun" w:cs="SimSun"/>
          <w:color w:val="000000"/>
          <w:sz w:val="21"/>
        </w:rPr>
        <w:t xml:space="preserve">名称</w:t>
      </w:r>
      <w:r>
        <w:rPr>
          <w:rFonts w:ascii="SimSun" w:hAnsi="SimSun" w:eastAsia="SimSun" w:cs="SimSun"/>
          <w:color w:val="000000"/>
          <w:sz w:val="21"/>
        </w:rPr>
        <w:t xml:space="preserve">（盖公章）：</w:t>
      </w:r>
      <w:r>
        <w:rPr>
          <w:rFonts w:ascii="SimSun" w:hAnsi="SimSun" w:eastAsia="SimSun" w:cs="SimSun"/>
          <w:color w:val="000000"/>
          <w:sz w:val="21"/>
          <w:u w:val="single"/>
        </w:rPr>
        <w:t xml:space="preserve">                           </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3624"/>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法定代表人（签字或盖章）：</w:t>
      </w:r>
      <w:r>
        <w:rPr>
          <w:rFonts w:ascii="SimSun" w:hAnsi="SimSun" w:eastAsia="SimSun" w:cs="SimSun"/>
          <w:color w:val="000000"/>
          <w:sz w:val="21"/>
          <w:u w:val="single"/>
        </w:rPr>
        <w:t xml:space="preserve">                      </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2833" w:right="560" w:firstLine="2777"/>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年月日</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br w:type="page" w:clear="all"/>
      </w:r>
      <w:r/>
    </w:p>
    <w:p>
      <w:pPr>
        <w:contextualSpacing w:val="0"/>
        <w:ind w:left="0" w:right="0" w:firstLine="0"/>
        <w:jc w:val="center"/>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6.中小企业声明函（工程、服务）</w:t>
      </w:r>
      <w:r/>
    </w:p>
    <w:p>
      <w:pPr>
        <w:contextualSpacing w:val="0"/>
        <w:ind w:left="0" w:right="0" w:firstLine="56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本公司郑重声明，根据《政府采购促进中小企业发展管理办法》（财库﹝2020﹞46 号）的规定，本公司参加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采购活动，工程的施工单位全部为符合政策要求的中小企业（或者：服务全部由符合政策要求的中小企业承接）。企业的具体情况如下：</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tab/>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tab/>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tab/>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本企业对上述声明内容的真实性负责。如有虚假，将依法承担相应责任。</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rPr>
          <w:rFonts w:ascii="SimSun" w:hAnsi="SimSun" w:eastAsia="SimSun" w:cs="SimSun"/>
          <w:color w:val="000000"/>
          <w:sz w:val="21"/>
        </w:rPr>
        <w:t xml:space="preserve">供应商</w:t>
      </w:r>
      <w:r>
        <w:rPr>
          <w:rFonts w:ascii="SimSun" w:hAnsi="SimSun" w:eastAsia="SimSun" w:cs="SimSun"/>
          <w:color w:val="000000"/>
          <w:sz w:val="21"/>
        </w:rPr>
        <w:t xml:space="preserve">名称（盖章）：</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日期：</w:t>
      </w:r>
      <w:r/>
    </w:p>
    <w:p>
      <w:pPr>
        <w:contextualSpacing w:val="0"/>
        <w:ind w:left="0" w:right="0" w:firstLine="577"/>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577"/>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494"/>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注：</w:t>
      </w:r>
      <w:r/>
    </w:p>
    <w:p>
      <w:pPr>
        <w:contextualSpacing w:val="0"/>
        <w:ind w:left="0" w:right="0" w:firstLine="494"/>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（1）中小企业划分标准以工信部联企业〔2011〕300号通知中的《中小企业划型标准规定》为准。</w:t>
      </w:r>
      <w:r/>
    </w:p>
    <w:p>
      <w:pPr>
        <w:contextualSpacing w:val="0"/>
        <w:ind w:left="0" w:right="0" w:firstLine="494"/>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（2）从业人员、营业收入、资产总额填报上一年度数据，无上一年度数据的新成立企业可不填报。</w:t>
      </w:r>
      <w:r/>
    </w:p>
    <w:p>
      <w:pPr>
        <w:contextualSpacing w:val="0"/>
        <w:ind w:left="0" w:right="561"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br w:type="page" w:clear="all"/>
      </w:r>
      <w:r/>
    </w:p>
    <w:p>
      <w:pPr>
        <w:contextualSpacing w:val="0"/>
        <w:ind w:left="0" w:right="0" w:firstLine="0"/>
        <w:jc w:val="center"/>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7.残疾人福利性单位声明函（如有）</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项目采购活动提供本单位制造的货物（由本单位承担工程/提供服务），或者提供其他残疾人福利性单位制造的货物（不包括使用非残疾人福利性单位注册商标的货物）。</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本单位在本次政府采购活动中提供的残疾人福利单位产品报价合计为人民币（大写）</w:t>
      </w:r>
      <w:r>
        <w:rPr>
          <w:rFonts w:ascii="SimSun" w:hAnsi="SimSun" w:eastAsia="SimSun" w:cs="SimSun"/>
          <w:color w:val="000000"/>
          <w:sz w:val="21"/>
          <w:u w:val="single"/>
        </w:rPr>
        <w:t xml:space="preserve">      元</w:t>
      </w:r>
      <w:r>
        <w:rPr>
          <w:rFonts w:ascii="SimSun" w:hAnsi="SimSun" w:eastAsia="SimSun" w:cs="SimSun"/>
          <w:color w:val="000000"/>
          <w:sz w:val="21"/>
        </w:rPr>
        <w:t xml:space="preserve">整（￥：）。</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本单位对上述声明的真实性负责。如有虚假，将依法承担相应责任。</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（备注：成交供应商为残疾人福利单位的，此声明函将随成交结果同时公告，接受社会监督）</w:t>
      </w:r>
      <w:r/>
    </w:p>
    <w:p>
      <w:pPr>
        <w:contextualSpacing w:val="0"/>
        <w:ind w:left="0" w:right="0" w:firstLine="624"/>
        <w:jc w:val="left"/>
        <w:spacing w:before="0" w:after="0" w:line="360" w:lineRule="auto"/>
        <w:tabs>
          <w:tab w:val="left" w:pos="48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pacing w:val="6"/>
          <w:sz w:val="21"/>
        </w:rPr>
        <w:t xml:space="preserve">      </w:t>
      </w:r>
      <w:r>
        <w:rPr>
          <w:rFonts w:ascii="SimSun" w:hAnsi="SimSun" w:eastAsia="SimSun" w:cs="SimSun"/>
          <w:color w:val="000000"/>
          <w:sz w:val="21"/>
        </w:rPr>
        <w:t xml:space="preserve">                     供应商</w:t>
      </w:r>
      <w:r>
        <w:rPr>
          <w:rFonts w:ascii="SimSun" w:hAnsi="SimSun" w:eastAsia="SimSun" w:cs="SimSun"/>
          <w:color w:val="000000"/>
          <w:sz w:val="21"/>
        </w:rPr>
        <w:t xml:space="preserve">名称</w:t>
      </w:r>
      <w:r>
        <w:rPr>
          <w:rFonts w:ascii="SimSun" w:hAnsi="SimSun" w:eastAsia="SimSun" w:cs="SimSun"/>
          <w:color w:val="000000"/>
          <w:sz w:val="21"/>
        </w:rPr>
        <w:t xml:space="preserve">（盖章）：</w:t>
      </w:r>
      <w:r/>
    </w:p>
    <w:p>
      <w:pPr>
        <w:contextualSpacing w:val="0"/>
        <w:ind w:left="0" w:right="0" w:firstLine="480"/>
        <w:jc w:val="left"/>
        <w:spacing w:before="0" w:after="0" w:line="360" w:lineRule="auto"/>
        <w:tabs>
          <w:tab w:val="left" w:pos="48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日期：</w:t>
      </w:r>
      <w:r/>
    </w:p>
    <w:p>
      <w:pPr>
        <w:contextualSpacing w:val="0"/>
        <w:ind w:left="0" w:right="0" w:firstLine="0"/>
        <w:jc w:val="left"/>
        <w:spacing w:before="0" w:after="0" w:line="360" w:lineRule="auto"/>
        <w:shd w:val="clear" w:color="ffffff" w:fill="ffffff"/>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享受政府采购支持政策的残疾人福利性单位应当同时满足以下条件：</w:t>
      </w:r>
      <w:r/>
    </w:p>
    <w:p>
      <w:pPr>
        <w:contextualSpacing w:val="0"/>
        <w:ind w:left="0" w:right="0" w:firstLine="0"/>
        <w:jc w:val="left"/>
        <w:spacing w:before="0" w:after="0" w:line="360" w:lineRule="auto"/>
        <w:shd w:val="clear" w:color="ffffff" w:fill="ffffff"/>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（一）安置的残疾人占本单位在职职工人数的比例不低于25%（含25%），并且安置的残疾人人数不少于10人（含10人）；</w:t>
      </w:r>
      <w:r/>
    </w:p>
    <w:p>
      <w:pPr>
        <w:contextualSpacing w:val="0"/>
        <w:ind w:left="0" w:right="0" w:firstLine="0"/>
        <w:jc w:val="left"/>
        <w:spacing w:before="0" w:after="0" w:line="360" w:lineRule="auto"/>
        <w:shd w:val="clear" w:color="ffffff" w:fill="ffffff"/>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（二）依法与安置的每位残疾人签订了一年以上（含一年）的劳动合同或服务协议；</w:t>
      </w:r>
      <w:r/>
    </w:p>
    <w:p>
      <w:pPr>
        <w:contextualSpacing w:val="0"/>
        <w:ind w:left="0" w:right="0" w:firstLine="0"/>
        <w:jc w:val="left"/>
        <w:spacing w:before="0" w:after="0" w:line="360" w:lineRule="auto"/>
        <w:shd w:val="clear" w:color="ffffff" w:fill="ffffff"/>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（三）为安置的每位残疾人按月足额缴纳了基本养老保险、基本医疗保险、失业保险、工伤保险和生育保险等社会保险费；</w:t>
      </w:r>
      <w:r/>
    </w:p>
    <w:p>
      <w:pPr>
        <w:contextualSpacing w:val="0"/>
        <w:ind w:left="0" w:right="0" w:firstLine="0"/>
        <w:jc w:val="left"/>
        <w:spacing w:before="0" w:after="0" w:line="360" w:lineRule="auto"/>
        <w:shd w:val="clear" w:color="ffffff" w:fill="ffffff"/>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（四）通过银行等金融机构向安置的每位残疾人，按月支付了不低于单位所在区县适用的经省级人民政府批准的月最低工资标准的工资；</w:t>
      </w:r>
      <w:r/>
    </w:p>
    <w:p>
      <w:pPr>
        <w:contextualSpacing w:val="0"/>
        <w:ind w:left="0" w:right="0" w:firstLine="0"/>
        <w:jc w:val="left"/>
        <w:spacing w:before="0" w:after="0" w:line="360" w:lineRule="auto"/>
        <w:shd w:val="clear" w:color="ffffff" w:fill="ffffff"/>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（五）提供本单位制造的货物、承担的工程或者服务（以下简称产品），或者提供其他残疾人福利性单位制造的货物（不包括使用非残疾人福利性单位注册商标的货物）。</w:t>
      </w:r>
      <w:r/>
    </w:p>
    <w:p>
      <w:pPr>
        <w:contextualSpacing w:val="0"/>
        <w:ind w:left="0" w:right="0" w:firstLine="480"/>
        <w:jc w:val="left"/>
        <w:spacing w:before="0" w:after="0" w:line="360" w:lineRule="auto"/>
        <w:shd w:val="clear" w:color="ffffff" w:fill="ffffff"/>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contextualSpacing w:val="0"/>
        <w:ind w:left="0" w:right="0" w:firstLine="211"/>
        <w:jc w:val="center"/>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8.监狱企业证明函（如有）</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br w:type="page" w:clear="all"/>
      </w:r>
      <w:r/>
    </w:p>
    <w:p>
      <w:pPr>
        <w:contextualSpacing w:val="0"/>
        <w:ind w:left="0" w:right="0" w:firstLine="0"/>
        <w:jc w:val="center"/>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9.磋商响应函</w:t>
      </w:r>
      <w:r/>
    </w:p>
    <w:p>
      <w:pPr>
        <w:contextualSpacing w:val="0"/>
        <w:ind w:left="0" w:right="0" w:firstLine="42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致：</w:t>
      </w:r>
      <w:r>
        <w:rPr>
          <w:rFonts w:ascii="SimSun" w:hAnsi="SimSun" w:eastAsia="SimSun" w:cs="SimSun"/>
          <w:b/>
          <w:color w:val="000000"/>
          <w:sz w:val="21"/>
          <w:u w:val="single"/>
        </w:rPr>
        <w:t xml:space="preserve">      （采购人名称）</w:t>
      </w:r>
      <w:r/>
    </w:p>
    <w:p>
      <w:pPr>
        <w:contextualSpacing w:val="0"/>
        <w:ind w:left="0" w:right="0" w:firstLine="420"/>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根据贵方的</w:t>
      </w:r>
      <w:r>
        <w:rPr>
          <w:rFonts w:ascii="SimSun" w:hAnsi="SimSun" w:eastAsia="SimSun" w:cs="SimSun"/>
          <w:color w:val="000000"/>
          <w:sz w:val="21"/>
          <w:u w:val="single"/>
        </w:rPr>
        <w:t xml:space="preserve">         </w:t>
      </w:r>
      <w:r>
        <w:rPr>
          <w:rFonts w:ascii="SimSun" w:hAnsi="SimSun" w:eastAsia="SimSun" w:cs="SimSun"/>
          <w:color w:val="000000"/>
          <w:sz w:val="21"/>
        </w:rPr>
        <w:t xml:space="preserve">号磋商文件，正式授权下述签字人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（姓名和职务）代表我方</w:t>
      </w:r>
      <w:r>
        <w:rPr>
          <w:rFonts w:ascii="SimSun" w:hAnsi="SimSun" w:eastAsia="SimSun" w:cs="SimSun"/>
          <w:color w:val="000000"/>
          <w:sz w:val="21"/>
          <w:u w:val="single"/>
        </w:rPr>
        <w:t xml:space="preserve">                   </w:t>
      </w:r>
      <w:r>
        <w:rPr>
          <w:rFonts w:ascii="SimSun" w:hAnsi="SimSun" w:eastAsia="SimSun" w:cs="SimSun"/>
          <w:color w:val="000000"/>
          <w:sz w:val="21"/>
        </w:rPr>
        <w:t xml:space="preserve">（供应商的名称），全权处理</w:t>
      </w:r>
      <w:r>
        <w:rPr>
          <w:rFonts w:ascii="SimSun" w:hAnsi="SimSun" w:eastAsia="SimSun" w:cs="SimSun"/>
          <w:color w:val="000000"/>
          <w:sz w:val="21"/>
          <w:u w:val="single"/>
        </w:rPr>
        <w:t xml:space="preserve">              </w:t>
      </w:r>
      <w:r>
        <w:rPr>
          <w:rFonts w:ascii="SimSun" w:hAnsi="SimSun" w:eastAsia="SimSun" w:cs="SimSun"/>
          <w:color w:val="000000"/>
          <w:sz w:val="21"/>
        </w:rPr>
        <w:t xml:space="preserve">磋商采购的有关事宜。</w:t>
      </w:r>
      <w:r/>
    </w:p>
    <w:p>
      <w:pPr>
        <w:contextualSpacing w:val="0"/>
        <w:ind w:left="0" w:right="0" w:firstLine="420"/>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据此函，</w:t>
      </w:r>
      <w:r>
        <w:rPr>
          <w:rFonts w:ascii="SimSun" w:hAnsi="SimSun" w:eastAsia="SimSun" w:cs="SimSun"/>
          <w:color w:val="000000"/>
          <w:sz w:val="21"/>
          <w:u w:val="single"/>
        </w:rPr>
        <w:t xml:space="preserve">         </w:t>
      </w:r>
      <w:r>
        <w:rPr>
          <w:rFonts w:ascii="SimSun" w:hAnsi="SimSun" w:eastAsia="SimSun" w:cs="SimSun"/>
          <w:color w:val="000000"/>
          <w:sz w:val="21"/>
        </w:rPr>
        <w:t xml:space="preserve">（签字人）兹宣布同意如下：</w:t>
      </w:r>
      <w:r/>
    </w:p>
    <w:p>
      <w:pPr>
        <w:contextualSpacing w:val="0"/>
        <w:ind w:left="0" w:right="0" w:firstLine="420"/>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1.按照磋商文件规定的各项要求，向采购人提供所需服务。</w:t>
      </w:r>
      <w:r/>
    </w:p>
    <w:p>
      <w:pPr>
        <w:contextualSpacing w:val="0"/>
        <w:ind w:left="0" w:right="0" w:firstLine="420"/>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2.我们已详细审核全部磋商文件及其有效补充文件，我们知道必须放弃提出含糊不清或误解问题的权利。</w:t>
      </w:r>
      <w:r/>
    </w:p>
    <w:p>
      <w:pPr>
        <w:contextualSpacing w:val="0"/>
        <w:ind w:left="0" w:right="0" w:firstLine="420"/>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3.我们同意从规定的响应文件接收截止时间起遵循本响应文件，并在规定的磋商有效期届满之前均具有约束力。</w:t>
      </w:r>
      <w:r/>
    </w:p>
    <w:p>
      <w:pPr>
        <w:contextualSpacing w:val="0"/>
        <w:ind w:left="0" w:right="0" w:firstLine="420"/>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4.如果在响应文件接收截止时间后规定的磋商有效期内撤回响应文件或成交后拒绝签订合同，我们自愿接受政府采购监管机构的处理。</w:t>
      </w:r>
      <w:r/>
    </w:p>
    <w:p>
      <w:pPr>
        <w:contextualSpacing w:val="0"/>
        <w:ind w:left="0" w:right="0" w:firstLine="420"/>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5.同意向贵方提供贵方可能另外要求的与磋商采购有关的任何证据或资料，并保证我方已提供和将要提供的文件是真实的、准确的。</w:t>
      </w:r>
      <w:r/>
    </w:p>
    <w:p>
      <w:pPr>
        <w:contextualSpacing w:val="0"/>
        <w:ind w:left="0" w:right="0" w:firstLine="420"/>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6.一旦我方成交，我方将根据磋商文件的规定，严格履行合同的责任和义务，并保证在磋商文件规定的时间内完成项目，交付采购人验收、使用。</w:t>
      </w:r>
      <w:r/>
    </w:p>
    <w:p>
      <w:pPr>
        <w:contextualSpacing w:val="0"/>
        <w:ind w:left="0" w:right="0" w:firstLine="420"/>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7.遵守磋商文件中要求的收费项目和标准。</w:t>
      </w:r>
      <w:r/>
    </w:p>
    <w:p>
      <w:pPr>
        <w:contextualSpacing w:val="0"/>
        <w:ind w:left="0" w:right="0" w:firstLine="420"/>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8.与本磋商采购有关的正式通讯地址为：</w:t>
      </w:r>
      <w:r/>
    </w:p>
    <w:p>
      <w:pPr>
        <w:contextualSpacing w:val="0"/>
        <w:ind w:left="0" w:right="0" w:firstLine="420"/>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地 址：邮 编：</w:t>
      </w:r>
      <w:r/>
    </w:p>
    <w:p>
      <w:pPr>
        <w:contextualSpacing w:val="0"/>
        <w:ind w:left="0" w:right="0" w:firstLine="420"/>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电 话：传 真：</w:t>
      </w:r>
      <w:r/>
    </w:p>
    <w:p>
      <w:pPr>
        <w:contextualSpacing w:val="0"/>
        <w:ind w:left="0" w:right="0" w:firstLine="420"/>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供应商开户行：账 户： </w:t>
      </w:r>
      <w:r/>
    </w:p>
    <w:p>
      <w:pPr>
        <w:contextualSpacing w:val="0"/>
        <w:ind w:left="0" w:right="0" w:firstLine="420"/>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法定代表人或授权代表姓名（签字）：联系电话：</w:t>
      </w:r>
      <w:r/>
    </w:p>
    <w:p>
      <w:pPr>
        <w:contextualSpacing w:val="0"/>
        <w:ind w:left="0" w:right="0" w:firstLine="420"/>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供应商名称（公章）：</w:t>
      </w:r>
      <w:r/>
    </w:p>
    <w:p>
      <w:pPr>
        <w:contextualSpacing w:val="0"/>
        <w:ind w:left="0" w:right="0" w:firstLine="420"/>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rPr>
          <w:sz w:val="24"/>
        </w:rPr>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
    </w:p>
    <w:p>
      <w:pPr>
        <w:contextualSpacing w:val="0"/>
        <w:ind w:left="0" w:right="0" w:firstLine="0"/>
        <w:jc w:val="center"/>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10.技术条款响应及偏离表</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（由响应人据实提交，表格不够自行添加）</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267"/>
        <w:gridCol w:w="2392"/>
        <w:gridCol w:w="2720"/>
        <w:gridCol w:w="1417"/>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项目</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磋商文件要求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417"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17" w:type="dxa"/>
            <w:vAlign w:val="top"/>
            <w:textDirection w:val="lrTb"/>
            <w:noWrap w:val="false"/>
          </w:tcPr>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17" w:type="dxa"/>
            <w:vAlign w:val="top"/>
            <w:textDirection w:val="lrTb"/>
            <w:noWrap w:val="false"/>
          </w:tcPr>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17" w:type="dxa"/>
            <w:vAlign w:val="top"/>
            <w:textDirection w:val="lrTb"/>
            <w:noWrap w:val="false"/>
          </w:tcPr>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59" w:type="dxa"/>
            <w:vAlign w:val="top"/>
            <w:textDirection w:val="lrTb"/>
            <w:noWrap w:val="false"/>
          </w:tcPr>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0" w:type="dxa"/>
            <w:vAlign w:val="center"/>
            <w:textDirection w:val="lrTb"/>
            <w:noWrap w:val="false"/>
          </w:tcPr>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17" w:type="dxa"/>
            <w:vAlign w:val="top"/>
            <w:textDirection w:val="lrTb"/>
            <w:noWrap w:val="false"/>
          </w:tcPr>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bl>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注：</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1.响应人提交的响应文件中与磋商文件第四章 项目需求中的技术部分的要求有不同时，应逐条填列在偏离表中，否则将视为响应人接受磋商文件的所有要求。完全响应以空白表格列示。</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2.“偏离说明”一栏选择“正偏离”“负偏离”进行填写。正偏离的确认和负偏离的是否响应磋商文件，经三分之二评委认定。</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3.响应人如有虚假响应，将承担被暂停参加采购人组织政府采购活动的风险。</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4.供应商若提供其他增值服务，可以在表中自行据实填写。</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4674"/>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供应商名称（盖章）：</w:t>
      </w:r>
      <w:r/>
    </w:p>
    <w:p>
      <w:pPr>
        <w:contextualSpacing w:val="0"/>
        <w:ind w:left="0" w:right="0" w:firstLine="4674"/>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法人或授权委托人（签字或盖章）：</w:t>
      </w:r>
      <w:r/>
    </w:p>
    <w:p>
      <w:pPr>
        <w:contextualSpacing w:val="0"/>
        <w:ind w:left="0" w:right="0" w:firstLine="483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日期：</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br w:type="page" w:clear="all"/>
      </w:r>
      <w:r/>
    </w:p>
    <w:p>
      <w:pPr>
        <w:contextualSpacing w:val="0"/>
        <w:ind w:left="0" w:right="0" w:firstLine="0"/>
        <w:jc w:val="center"/>
        <w:spacing w:before="240" w:after="240" w:line="360" w:lineRule="auto"/>
        <w:tabs>
          <w:tab w:val="left" w:pos="72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u w:val="none"/>
        </w:rPr>
        <w:t xml:space="preserve">1</w:t>
      </w:r>
      <w:r>
        <w:rPr>
          <w:rFonts w:ascii="SimSun" w:hAnsi="SimSun" w:eastAsia="SimSun" w:cs="SimSun"/>
          <w:b/>
          <w:color w:val="000000"/>
          <w:sz w:val="21"/>
        </w:rPr>
        <w:t xml:space="preserve">1.商务条款响应及偏离表</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4"/>
        <w:gridCol w:w="2008"/>
        <w:gridCol w:w="2127"/>
        <w:gridCol w:w="1659"/>
        <w:gridCol w:w="1884"/>
      </w:tblGrid>
      <w:tr>
        <w:trPr>
          <w:trHeight w:val="6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响应文件响应情况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偏离说明</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r>
      <w:tr>
        <w:trPr>
          <w:trHeight w:val="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contextualSpacing w:val="0"/>
              <w:ind w:left="0" w:right="0" w:firstLine="0"/>
              <w:jc w:val="left"/>
              <w:spacing w:before="156"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tc>
      </w:tr>
    </w:tbl>
    <w:p>
      <w:pPr>
        <w:contextualSpacing w:val="0"/>
        <w:ind w:left="0" w:right="0" w:firstLine="0"/>
        <w:jc w:val="left"/>
        <w:spacing w:before="0" w:after="0" w:line="36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rPr>
          <w:rFonts w:ascii="Times New Roman" w:hAnsi="Times New Roman" w:eastAsia="Times New Roman" w:cs="Times New Roman"/>
          <w:sz w:val="21"/>
        </w:rPr>
      </w:r>
      <w:r/>
    </w:p>
    <w:p>
      <w:pPr>
        <w:contextualSpacing w:val="0"/>
        <w:ind w:left="0" w:right="0" w:firstLine="0"/>
        <w:jc w:val="left"/>
        <w:spacing w:before="0" w:after="0" w:line="360" w:lineRule="auto"/>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rPr>
          <w:rFonts w:ascii="SimSun" w:hAnsi="SimSun" w:eastAsia="SimSun" w:cs="SimSun"/>
          <w:color w:val="000000"/>
          <w:sz w:val="21"/>
        </w:rPr>
        <w:t xml:space="preserve">供应商</w:t>
      </w:r>
      <w:r>
        <w:rPr>
          <w:rFonts w:ascii="SimSun" w:hAnsi="SimSun" w:eastAsia="SimSun" w:cs="SimSun"/>
          <w:color w:val="000000"/>
          <w:sz w:val="21"/>
        </w:rPr>
        <w:t xml:space="preserve">名称（公章）：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Times New Roman" w:hAnsi="Times New Roman" w:eastAsia="Times New Roman" w:cs="Times New Roman"/>
          <w:color w:val="000000"/>
          <w:sz w:val="21"/>
        </w:rPr>
        <w:t xml:space="preserve"> </w:t>
      </w:r>
      <w:r/>
    </w:p>
    <w:p>
      <w:pPr>
        <w:contextualSpacing w:val="0"/>
        <w:ind w:left="315" w:right="0" w:hanging="315"/>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rPr>
          <w:rFonts w:ascii="SimSun" w:hAnsi="SimSun" w:eastAsia="SimSun" w:cs="SimSun"/>
          <w:color w:val="000000"/>
          <w:sz w:val="21"/>
        </w:rPr>
        <w:t xml:space="preserve">                   日期：</w:t>
      </w:r>
      <w:r>
        <w:rPr>
          <w:rFonts w:ascii="Calibri" w:hAnsi="Calibri" w:eastAsia="Calibri" w:cs="Calibri"/>
          <w:color w:val="000000"/>
          <w:sz w:val="21"/>
        </w:rPr>
        <w:t xml:space="preserve"> </w:t>
      </w:r>
      <w:r>
        <w:rPr>
          <w:rFonts w:ascii="SimSun" w:hAnsi="SimSun" w:eastAsia="SimSun" w:cs="SimSun"/>
          <w:color w:val="000000"/>
          <w:sz w:val="21"/>
        </w:rPr>
        <w:t xml:space="preserve">   年  月   日</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br w:type="page" w:clear="all"/>
      </w:r>
      <w:r/>
    </w:p>
    <w:p>
      <w:pPr>
        <w:contextualSpacing w:val="0"/>
        <w:ind w:left="0" w:right="0" w:firstLine="0"/>
        <w:jc w:val="center"/>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12.项目组成人员表</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2"/>
        <w:gridCol w:w="943"/>
        <w:gridCol w:w="784"/>
        <w:gridCol w:w="1056"/>
        <w:gridCol w:w="1056"/>
        <w:gridCol w:w="1393"/>
        <w:gridCol w:w="1277"/>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vMerge w:val="restart"/>
            <w:textDirection w:val="lrTb"/>
            <w:noWrap w:val="false"/>
          </w:tcPr>
          <w:p>
            <w:pPr>
              <w:contextualSpacing w:val="0"/>
              <w:ind w:left="0" w:right="0" w:firstLine="0"/>
              <w:jc w:val="center"/>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资格证书</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contextualSpacing w:val="0"/>
              <w:ind w:left="0" w:right="0" w:firstLine="0"/>
              <w:jc w:val="center"/>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rPr>
                <w:rFonts w:ascii="SimSun" w:hAnsi="SimSun" w:eastAsia="SimSun" w:cs="SimSun"/>
                <w:color w:val="000000"/>
                <w:sz w:val="21"/>
              </w:rPr>
              <w:t xml:space="preserve">项目负责人</w:t>
            </w:r>
            <w:r/>
            <w:r>
              <w:rPr>
                <w:rFonts w:ascii="SimSun" w:hAnsi="SimSun" w:eastAsia="SimSun" w:cs="SimSun"/>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bl>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42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供应商（公章）：</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法定代表人或授权代表（签字或盖章）：</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日期：　年　月　日</w:t>
      </w:r>
      <w:r/>
    </w:p>
    <w:p>
      <w:pPr>
        <w:contextualSpacing w:val="0"/>
        <w:ind w:left="0" w:right="0" w:firstLine="42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br w:type="page" w:clear="all"/>
      </w:r>
      <w:r/>
    </w:p>
    <w:p>
      <w:pPr>
        <w:contextualSpacing w:val="0"/>
        <w:ind w:left="0" w:right="0" w:firstLine="0"/>
        <w:jc w:val="center"/>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13.供应商一般情况表</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00"/>
        <w:gridCol w:w="709"/>
        <w:gridCol w:w="992"/>
        <w:gridCol w:w="408"/>
        <w:gridCol w:w="442"/>
        <w:gridCol w:w="315"/>
        <w:gridCol w:w="2477"/>
        <w:gridCol w:w="840"/>
        <w:gridCol w:w="228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供应商名称</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71"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注册地址</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邮政编码</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04"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vMerge w:val="restart"/>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联系方式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联系人</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电话</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04"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传真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网址</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4"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企业统一社会信用代码</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71"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技术职称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技术负责人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技术职称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成立时间</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7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员工总人数：</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企业资质等级</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vMerge w:val="restart"/>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其中</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3" w:type="dxa"/>
            <w:vAlign w:val="center"/>
            <w:vMerge w:val="restart"/>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注册建造师</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7"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营业执照号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3" w:type="dxa"/>
            <w:vAlign w:val="center"/>
            <w:vMerge w:val="restart"/>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高级职称人员</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7"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注册资金</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3" w:type="dxa"/>
            <w:vAlign w:val="center"/>
            <w:vMerge w:val="restart"/>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中级职称人员</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7"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开户银行</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3" w:type="dxa"/>
            <w:vAlign w:val="center"/>
            <w:vMerge w:val="restart"/>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初级职称人员</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7"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账号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技工</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7"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r>
        <w:trPr>
          <w:trHeight w:val="11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经营范围</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71"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备注</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71"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bl>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供应商：（加盖公章）</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法定代表人或被授权人：（签字或盖章）</w:t>
      </w:r>
      <w:r/>
    </w:p>
    <w:p>
      <w:pPr>
        <w:contextualSpacing w:val="0"/>
        <w:ind w:left="0" w:right="0" w:firstLine="13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年  月  日</w:t>
      </w:r>
      <w:r/>
    </w:p>
    <w:p>
      <w:pPr>
        <w:contextualSpacing w:val="0"/>
        <w:ind w:left="0" w:right="0" w:firstLine="422"/>
        <w:jc w:val="left"/>
        <w:spacing w:before="0" w:after="0" w:line="360" w:lineRule="auto"/>
        <w:pBdr>
          <w:top w:val="none" w:color="000000" w:sz="4" w:space="0"/>
          <w:left w:val="none" w:color="000000" w:sz="4" w:space="0"/>
          <w:bottom w:val="none" w:color="000000" w:sz="4" w:space="0"/>
          <w:right w:val="none" w:color="000000" w:sz="4" w:space="0"/>
        </w:pBdr>
        <w:sectPr>
          <w:footerReference w:type="default" r:id="rId9"/>
          <w:footnotePr/>
          <w:endnotePr/>
          <w:type w:val="nextPage"/>
          <w:pgSz w:w="11906" w:h="16838" w:orient="portrait"/>
          <w:pgMar w:top="1440" w:right="1083" w:bottom="1440" w:left="1083" w:header="709" w:footer="709" w:gutter="0"/>
          <w:cols w:num="1" w:sep="0" w:space="1701" w:equalWidth="1"/>
          <w:docGrid w:linePitch="360"/>
        </w:sectPr>
        <w:suppressLineNumbers w:val="0"/>
      </w:pPr>
      <w:r>
        <w:rPr>
          <w:rFonts w:ascii="Calibri" w:hAnsi="Calibri" w:eastAsia="Calibri" w:cs="Calibri"/>
          <w:sz w:val="21"/>
        </w:rPr>
      </w:r>
      <w:r/>
    </w:p>
    <w:p>
      <w:pPr>
        <w:contextualSpacing w:val="0"/>
        <w:ind w:left="0" w:right="0" w:firstLine="422"/>
        <w:jc w:val="left"/>
        <w:spacing w:before="0" w:after="0" w:line="360" w:lineRule="auto"/>
        <w:rPr>
          <w:rFonts w:ascii="Calibri" w:hAnsi="Calibri" w:eastAsia="Calibri" w:cs="Calibri"/>
          <w:sz w:val="21"/>
          <w:szCs w:val="21"/>
        </w:rPr>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sz w:val="21"/>
          <w:szCs w:val="21"/>
        </w:rPr>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pStyle w:val="680"/>
        <w:contextualSpacing w:val="0"/>
        <w:ind w:left="0" w:right="0" w:firstLine="422"/>
        <w:jc w:val="center"/>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14.首次响应报价表</w:t>
      </w:r>
      <w:r/>
    </w:p>
    <w:p>
      <w:pPr>
        <w:pStyle w:val="680"/>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项目名称： </w:t>
      </w:r>
      <w:r/>
    </w:p>
    <w:tbl>
      <w:tblPr>
        <w:tblStyle w:val="7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4"/>
        <w:gridCol w:w="2624"/>
        <w:gridCol w:w="1675"/>
        <w:gridCol w:w="3211"/>
        <w:gridCol w:w="1000"/>
      </w:tblGrid>
      <w:tr>
        <w:trPr>
          <w:trHeight w:val="91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报价轮次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11"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磋商响应报价（元）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备注</w:t>
            </w:r>
            <w:r/>
          </w:p>
        </w:tc>
      </w:tr>
      <w:tr>
        <w:trPr>
          <w:trHeight w:val="10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4"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2027年度“天地图泰州”数据融合及节点维护更新项目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首次报价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1"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tc>
      </w:tr>
    </w:tbl>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462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竞争性磋商响应单位：（加盖公章）</w:t>
      </w:r>
      <w:r/>
    </w:p>
    <w:p>
      <w:pPr>
        <w:contextualSpacing w:val="0"/>
        <w:ind w:left="0" w:right="0" w:firstLine="441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法定代表人或其授权委托人：</w:t>
      </w:r>
      <w:r>
        <w:rPr>
          <w:rFonts w:ascii="SimSun" w:hAnsi="SimSun" w:eastAsia="SimSun" w:cs="SimSun"/>
          <w:color w:val="000000"/>
          <w:spacing w:val="10"/>
          <w:sz w:val="21"/>
        </w:rPr>
        <w:t xml:space="preserve">（签字或盖章）</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0"/>
        </w:rPr>
        <w:t xml:space="preserve"> </w:t>
      </w:r>
      <w:r/>
    </w:p>
    <w:p>
      <w:pPr>
        <w:contextualSpacing w:val="0"/>
        <w:ind w:left="0" w:right="0" w:firstLine="5400"/>
        <w:jc w:val="left"/>
        <w:spacing w:before="240" w:after="24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年月日</w:t>
      </w:r>
      <w:r/>
    </w:p>
    <w:p>
      <w:pPr>
        <w:contextualSpacing w:val="0"/>
        <w:ind w:left="0" w:right="0" w:firstLine="42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 </w:t>
      </w:r>
      <w:r/>
    </w:p>
    <w:p>
      <w:pPr>
        <w:contextualSpacing w:val="0"/>
        <w:ind w:left="0" w:right="0" w:firstLine="482"/>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注：1.</w:t>
      </w:r>
      <w:r>
        <w:rPr>
          <w:rFonts w:ascii="SimSun" w:hAnsi="SimSun" w:eastAsia="SimSun" w:cs="SimSun"/>
          <w:color w:val="000000"/>
          <w:sz w:val="21"/>
        </w:rPr>
        <w:t xml:space="preserve">磋商报价（以人民币计价）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的各种因素、风险及所需的全部费用。</w:t>
      </w:r>
      <w:r/>
    </w:p>
    <w:p>
      <w:pPr>
        <w:numPr>
          <w:ilvl w:val="0"/>
          <w:numId w:val="14"/>
        </w:numPr>
        <w:contextualSpacing w:val="0"/>
        <w:jc w:val="left"/>
        <w:spacing w:before="0" w:after="0" w:line="360" w:lineRule="auto"/>
        <w:tabs>
          <w:tab w:val="left" w:pos="312"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第二次报价将在磋商现场进行，响应文件提交时只需填写磋商报价表（首次）。在二次报价环节，代理机构在苏采云系统发送二次报价通知后，所有的响应供应商须在15分钟内填写完成二次报价，并按苏采云系统要求提交二次报价表。</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 </w:t>
      </w:r>
      <w:r/>
    </w:p>
    <w:p>
      <w:pPr>
        <w:contextualSpacing w:val="0"/>
        <w:ind w:left="0" w:right="0" w:firstLine="420"/>
        <w:jc w:val="left"/>
        <w:spacing w:before="0" w:after="0" w:line="360" w:lineRule="auto"/>
        <w:pBdr>
          <w:top w:val="none" w:color="000000" w:sz="4" w:space="0"/>
          <w:left w:val="none" w:color="000000" w:sz="4" w:space="0"/>
          <w:bottom w:val="none" w:color="000000" w:sz="4" w:space="0"/>
          <w:right w:val="none" w:color="000000" w:sz="4" w:space="0"/>
        </w:pBdr>
        <w:suppressLineNumbers w:val="0"/>
      </w:pPr>
      <w:r>
        <w:br w:type="page" w:clear="all"/>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15.技术说明与服务方案</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16.其他（供应商认为有必要提供的声明和文件，如有自拟并自行添加）</w:t>
      </w:r>
      <w:r/>
    </w:p>
    <w:p>
      <w:pPr>
        <w:contextualSpacing w:val="0"/>
        <w:ind w:left="0" w:right="0" w:firstLine="482"/>
        <w:jc w:val="left"/>
        <w:spacing w:before="0" w:after="0" w:line="360" w:lineRule="auto"/>
        <w:shd w:val="clear" w:color="ffffff" w:fill="ffffff"/>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 </w:t>
      </w:r>
      <w:r/>
    </w:p>
    <w:p>
      <w:pPr>
        <w:contextualSpacing w:val="0"/>
        <w:ind w:left="0" w:right="0" w:firstLine="482"/>
        <w:jc w:val="center"/>
        <w:spacing w:before="0" w:after="0" w:line="360" w:lineRule="auto"/>
        <w:shd w:val="clear" w:color="ffffff" w:fill="ffffff"/>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中小企业划型标准规定</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各行业划型标准为：</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（一）农、林、牧、渔业。营业收入20000万元以下的为中小微型企业。其中，营业收入500万元及以上的为中型企业，营业收入50万元及以上的为小型企业，营业收入50万元以下的为微型企业。</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contextualSpacing w:val="0"/>
        <w:ind w:left="0" w:right="0" w:firstLine="48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（十六）其他未列明行业。从业人员300人以下的为中小微型企业。其中，从业人员100人及以上的为中型企业；从业人员10人及以上的为小型企业；从业人员10人以下的为微型企业。</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p>
      <w:pPr>
        <w:contextualSpacing w:val="0"/>
        <w:ind w:left="0" w:right="0" w:firstLine="0"/>
        <w:jc w:val="left"/>
        <w:spacing w:before="240" w:after="240" w:line="360" w:lineRule="auto"/>
        <w:tabs>
          <w:tab w:val="left" w:pos="360" w:leader="none"/>
        </w:tabs>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0"/>
        <w:jc w:val="left"/>
        <w:spacing w:before="260" w:after="26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Calibri" w:hAnsi="Calibri" w:eastAsia="Calibri" w:cs="Calibri"/>
          <w:color w:val="000000"/>
          <w:sz w:val="21"/>
        </w:rPr>
        <w:t xml:space="preserve"> </w:t>
      </w:r>
      <w:r>
        <w:rPr>
          <w:rFonts w:ascii="Calibri" w:hAnsi="Calibri" w:eastAsia="Calibri" w:cs="Calibri"/>
          <w:sz w:val="21"/>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Cambria">
    <w:panose1 w:val="02040503050406030204"/>
  </w:font>
  <w:font w:name="SimHei">
    <w:panose1 w:val="02010609060101010101"/>
  </w:font>
  <w:font w:name="Calibri">
    <w:panose1 w:val="020F0502020204030204"/>
  </w:font>
  <w:font w:name="宋体">
    <w:panose1 w:val="02010600030101010101"/>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Microsoft New Tai Lue">
    <w:panose1 w:val="020B0502040204020203"/>
  </w:font>
  <w:font w:name="NSimSun">
    <w:panose1 w:val="0201060903010101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center"/>
    </w:pPr>
    <w:fldSimple w:instr="PAGE \* MERGEFORMAT">
      <w:r>
        <w:t xml:space="preserve">1</w:t>
      </w:r>
    </w:fldSimple>
    <w:r/>
    <w:r/>
  </w:p>
  <w:p>
    <w:pPr>
      <w:pStyle w:val="7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decimal"/>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decimal"/>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decimal"/>
      <w:isLgl w:val="false"/>
      <w:suff w:val="tab"/>
      <w:lvlText w:val="%9."/>
      <w:lvlJc w:val="right"/>
      <w:pPr>
        <w:ind w:left="4620" w:hanging="420"/>
      </w:p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decimal"/>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decimal"/>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decimal"/>
      <w:isLgl w:val="false"/>
      <w:suff w:val="tab"/>
      <w:lvlText w:val="%9."/>
      <w:lvlJc w:val="right"/>
      <w:pPr>
        <w:ind w:left="4620" w:hanging="420"/>
      </w:p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name w:val="Heading 1"/>
    <w:link w:val="679"/>
    <w:uiPriority w:val="9"/>
    <w:qFormat/>
    <w:pPr>
      <w:keepLines/>
      <w:keepNext/>
      <w:spacing w:before="480" w:after="200"/>
      <w:outlineLvl w:val="0"/>
    </w:pPr>
    <w:rPr>
      <w:rFonts w:ascii="Arial" w:hAnsi="Arial" w:eastAsia="Arial" w:cs="Arial"/>
      <w:sz w:val="40"/>
      <w:szCs w:val="40"/>
    </w:rPr>
  </w:style>
  <w:style w:type="character" w:styleId="679">
    <w:name w:val="Heading 1 Char"/>
    <w:link w:val="678"/>
    <w:uiPriority w:val="9"/>
    <w:rPr>
      <w:rFonts w:ascii="Arial" w:hAnsi="Arial" w:eastAsia="Arial" w:cs="Arial"/>
      <w:sz w:val="40"/>
      <w:szCs w:val="40"/>
    </w:rPr>
  </w:style>
  <w:style w:type="paragraph" w:styleId="680">
    <w:name w:val="Heading 2"/>
    <w:link w:val="681"/>
    <w:uiPriority w:val="9"/>
    <w:unhideWhenUsed/>
    <w:qFormat/>
    <w:pPr>
      <w:keepLines/>
      <w:keepNext/>
      <w:spacing w:before="360" w:after="200"/>
      <w:outlineLvl w:val="1"/>
    </w:pPr>
    <w:rPr>
      <w:rFonts w:ascii="Arial" w:hAnsi="Arial" w:eastAsia="Arial" w:cs="Arial"/>
      <w:sz w:val="34"/>
    </w:rPr>
  </w:style>
  <w:style w:type="character" w:styleId="681">
    <w:name w:val="Heading 2 Char"/>
    <w:link w:val="680"/>
    <w:uiPriority w:val="9"/>
    <w:rPr>
      <w:rFonts w:ascii="Arial" w:hAnsi="Arial" w:eastAsia="Arial" w:cs="Arial"/>
      <w:sz w:val="34"/>
    </w:rPr>
  </w:style>
  <w:style w:type="paragraph" w:styleId="682">
    <w:name w:val="Heading 3"/>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link w:val="682"/>
    <w:uiPriority w:val="9"/>
    <w:rPr>
      <w:rFonts w:ascii="Arial" w:hAnsi="Arial" w:eastAsia="Arial" w:cs="Arial"/>
      <w:sz w:val="30"/>
      <w:szCs w:val="30"/>
    </w:rPr>
  </w:style>
  <w:style w:type="paragraph" w:styleId="684">
    <w:name w:val="Heading 4"/>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link w:val="684"/>
    <w:uiPriority w:val="9"/>
    <w:rPr>
      <w:rFonts w:ascii="Arial" w:hAnsi="Arial" w:eastAsia="Arial" w:cs="Arial"/>
      <w:b/>
      <w:bCs/>
      <w:sz w:val="26"/>
      <w:szCs w:val="26"/>
    </w:rPr>
  </w:style>
  <w:style w:type="paragraph" w:styleId="686">
    <w:name w:val="Heading 5"/>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link w:val="686"/>
    <w:uiPriority w:val="9"/>
    <w:rPr>
      <w:rFonts w:ascii="Arial" w:hAnsi="Arial" w:eastAsia="Arial" w:cs="Arial"/>
      <w:b/>
      <w:bCs/>
      <w:sz w:val="24"/>
      <w:szCs w:val="24"/>
    </w:rPr>
  </w:style>
  <w:style w:type="paragraph" w:styleId="688">
    <w:name w:val="Heading 6"/>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link w:val="688"/>
    <w:uiPriority w:val="9"/>
    <w:rPr>
      <w:rFonts w:ascii="Arial" w:hAnsi="Arial" w:eastAsia="Arial" w:cs="Arial"/>
      <w:b/>
      <w:bCs/>
      <w:sz w:val="22"/>
      <w:szCs w:val="22"/>
    </w:rPr>
  </w:style>
  <w:style w:type="paragraph" w:styleId="690">
    <w:name w:val="Heading 7"/>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link w:val="690"/>
    <w:uiPriority w:val="9"/>
    <w:rPr>
      <w:rFonts w:ascii="Arial" w:hAnsi="Arial" w:eastAsia="Arial" w:cs="Arial"/>
      <w:b/>
      <w:bCs/>
      <w:i/>
      <w:iCs/>
      <w:sz w:val="22"/>
      <w:szCs w:val="22"/>
    </w:rPr>
  </w:style>
  <w:style w:type="paragraph" w:styleId="692">
    <w:name w:val="Heading 8"/>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link w:val="692"/>
    <w:uiPriority w:val="9"/>
    <w:rPr>
      <w:rFonts w:ascii="Arial" w:hAnsi="Arial" w:eastAsia="Arial" w:cs="Arial"/>
      <w:i/>
      <w:iCs/>
      <w:sz w:val="22"/>
      <w:szCs w:val="22"/>
    </w:rPr>
  </w:style>
  <w:style w:type="paragraph" w:styleId="694">
    <w:name w:val="Heading 9"/>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link w:val="694"/>
    <w:uiPriority w:val="9"/>
    <w:rPr>
      <w:rFonts w:ascii="Arial" w:hAnsi="Arial" w:eastAsia="Arial" w:cs="Arial"/>
      <w:i/>
      <w:iCs/>
      <w:sz w:val="21"/>
      <w:szCs w:val="21"/>
    </w:rPr>
  </w:style>
  <w:style w:type="paragraph" w:styleId="696">
    <w:name w:val="List Paragraph"/>
    <w:uiPriority w:val="34"/>
    <w:qFormat/>
    <w:pPr>
      <w:contextualSpacing/>
      <w:ind w:left="720"/>
    </w:pPr>
  </w:style>
  <w:style w:type="paragraph" w:styleId="697">
    <w:name w:val="No Spacing"/>
    <w:uiPriority w:val="1"/>
    <w:qFormat/>
    <w:pPr>
      <w:spacing w:before="0" w:after="0" w:line="240" w:lineRule="auto"/>
    </w:pPr>
  </w:style>
  <w:style w:type="paragraph" w:styleId="698">
    <w:name w:val="Title"/>
    <w:link w:val="699"/>
    <w:uiPriority w:val="10"/>
    <w:qFormat/>
    <w:pPr>
      <w:contextualSpacing/>
      <w:spacing w:before="300" w:after="200"/>
    </w:pPr>
    <w:rPr>
      <w:sz w:val="48"/>
      <w:szCs w:val="48"/>
    </w:rPr>
  </w:style>
  <w:style w:type="character" w:styleId="699">
    <w:name w:val="Title Char"/>
    <w:link w:val="698"/>
    <w:uiPriority w:val="10"/>
    <w:rPr>
      <w:sz w:val="48"/>
      <w:szCs w:val="48"/>
    </w:rPr>
  </w:style>
  <w:style w:type="paragraph" w:styleId="700">
    <w:name w:val="Subtitle"/>
    <w:link w:val="701"/>
    <w:uiPriority w:val="11"/>
    <w:qFormat/>
    <w:pPr>
      <w:spacing w:before="200" w:after="200"/>
    </w:pPr>
    <w:rPr>
      <w:sz w:val="24"/>
      <w:szCs w:val="24"/>
    </w:rPr>
  </w:style>
  <w:style w:type="character" w:styleId="701">
    <w:name w:val="Subtitle Char"/>
    <w:link w:val="700"/>
    <w:uiPriority w:val="11"/>
    <w:rPr>
      <w:sz w:val="24"/>
      <w:szCs w:val="24"/>
    </w:rPr>
  </w:style>
  <w:style w:type="paragraph" w:styleId="702">
    <w:name w:val="Quote"/>
    <w:link w:val="703"/>
    <w:uiPriority w:val="29"/>
    <w:qFormat/>
    <w:pPr>
      <w:ind w:left="720" w:right="720"/>
    </w:pPr>
    <w:rPr>
      <w:i/>
    </w:rPr>
  </w:style>
  <w:style w:type="character" w:styleId="703">
    <w:name w:val="Quote Char"/>
    <w:link w:val="702"/>
    <w:uiPriority w:val="29"/>
    <w:rPr>
      <w:i/>
    </w:rPr>
  </w:style>
  <w:style w:type="paragraph" w:styleId="704">
    <w:name w:val="Intense Quote"/>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paragraph" w:styleId="706">
    <w:name w:val="Header"/>
    <w:link w:val="707"/>
    <w:uiPriority w:val="99"/>
    <w:unhideWhenUsed/>
    <w:pPr>
      <w:spacing w:after="0" w:line="240" w:lineRule="auto"/>
      <w:tabs>
        <w:tab w:val="center" w:pos="7143" w:leader="none"/>
        <w:tab w:val="right" w:pos="14287" w:leader="none"/>
      </w:tabs>
    </w:pPr>
  </w:style>
  <w:style w:type="character" w:styleId="707">
    <w:name w:val="Header Char"/>
    <w:link w:val="706"/>
    <w:uiPriority w:val="99"/>
  </w:style>
  <w:style w:type="paragraph" w:styleId="708">
    <w:name w:val="Footer"/>
    <w:link w:val="711"/>
    <w:uiPriority w:val="99"/>
    <w:unhideWhenUsed/>
    <w:pPr>
      <w:spacing w:after="0" w:line="240" w:lineRule="auto"/>
      <w:tabs>
        <w:tab w:val="center" w:pos="7143" w:leader="none"/>
        <w:tab w:val="right" w:pos="14287" w:leader="none"/>
      </w:tabs>
    </w:pPr>
  </w:style>
  <w:style w:type="character" w:styleId="709">
    <w:name w:val="Footer Char"/>
    <w:link w:val="708"/>
    <w:uiPriority w:val="99"/>
  </w:style>
  <w:style w:type="paragraph" w:styleId="710">
    <w:name w:val="Caption"/>
    <w:uiPriority w:val="35"/>
    <w:semiHidden/>
    <w:unhideWhenUsed/>
    <w:qFormat/>
    <w:pPr>
      <w:spacing w:line="276" w:lineRule="auto"/>
    </w:pPr>
    <w:rPr>
      <w:b/>
      <w:bCs/>
      <w:color w:val="4f81bd" w:themeColor="accent1"/>
      <w:sz w:val="18"/>
      <w:szCs w:val="18"/>
    </w:rPr>
  </w:style>
  <w:style w:type="character" w:styleId="711">
    <w:name w:val="Caption Char"/>
    <w:basedOn w:val="710"/>
    <w:link w:val="708"/>
    <w:uiPriority w:val="99"/>
  </w:style>
  <w:style w:type="table" w:styleId="7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uiPriority w:val="99"/>
    <w:unhideWhenUsed/>
    <w:rPr>
      <w:vertAlign w:val="superscript"/>
    </w:rPr>
  </w:style>
  <w:style w:type="paragraph" w:styleId="842">
    <w:name w:val="endnote text"/>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uiPriority w:val="99"/>
    <w:semiHidden/>
    <w:unhideWhenUsed/>
    <w:rPr>
      <w:vertAlign w:val="superscript"/>
    </w:rPr>
  </w:style>
  <w:style w:type="paragraph" w:styleId="845">
    <w:name w:val="toc 1"/>
    <w:uiPriority w:val="39"/>
    <w:unhideWhenUsed/>
    <w:pPr>
      <w:ind w:left="0" w:right="0" w:firstLine="0"/>
      <w:spacing w:after="57"/>
    </w:pPr>
  </w:style>
  <w:style w:type="paragraph" w:styleId="846">
    <w:name w:val="toc 2"/>
    <w:uiPriority w:val="39"/>
    <w:unhideWhenUsed/>
    <w:pPr>
      <w:ind w:left="283" w:right="0" w:firstLine="0"/>
      <w:spacing w:after="57"/>
    </w:pPr>
  </w:style>
  <w:style w:type="paragraph" w:styleId="847">
    <w:name w:val="toc 3"/>
    <w:uiPriority w:val="39"/>
    <w:unhideWhenUsed/>
    <w:pPr>
      <w:ind w:left="567" w:right="0" w:firstLine="0"/>
      <w:spacing w:after="57"/>
    </w:pPr>
  </w:style>
  <w:style w:type="paragraph" w:styleId="848">
    <w:name w:val="toc 4"/>
    <w:uiPriority w:val="39"/>
    <w:unhideWhenUsed/>
    <w:pPr>
      <w:ind w:left="850" w:right="0" w:firstLine="0"/>
      <w:spacing w:after="57"/>
    </w:pPr>
  </w:style>
  <w:style w:type="paragraph" w:styleId="849">
    <w:name w:val="toc 5"/>
    <w:uiPriority w:val="39"/>
    <w:unhideWhenUsed/>
    <w:pPr>
      <w:ind w:left="1134" w:right="0" w:firstLine="0"/>
      <w:spacing w:after="57"/>
    </w:pPr>
  </w:style>
  <w:style w:type="paragraph" w:styleId="850">
    <w:name w:val="toc 6"/>
    <w:uiPriority w:val="39"/>
    <w:unhideWhenUsed/>
    <w:pPr>
      <w:ind w:left="1417" w:right="0" w:firstLine="0"/>
      <w:spacing w:after="57"/>
    </w:pPr>
  </w:style>
  <w:style w:type="paragraph" w:styleId="851">
    <w:name w:val="toc 7"/>
    <w:uiPriority w:val="39"/>
    <w:unhideWhenUsed/>
    <w:pPr>
      <w:ind w:left="1701" w:right="0" w:firstLine="0"/>
      <w:spacing w:after="57"/>
    </w:pPr>
  </w:style>
  <w:style w:type="paragraph" w:styleId="852">
    <w:name w:val="toc 8"/>
    <w:uiPriority w:val="39"/>
    <w:unhideWhenUsed/>
    <w:pPr>
      <w:ind w:left="1984" w:right="0" w:firstLine="0"/>
      <w:spacing w:after="57"/>
    </w:pPr>
  </w:style>
  <w:style w:type="paragraph" w:styleId="853">
    <w:name w:val="toc 9"/>
    <w:uiPriority w:val="39"/>
    <w:unhideWhenUsed/>
    <w:pPr>
      <w:ind w:left="2268" w:right="0" w:firstLine="0"/>
      <w:spacing w:after="57"/>
    </w:pPr>
  </w:style>
  <w:style w:type="paragraph" w:styleId="854">
    <w:name w:val="TOC Heading"/>
    <w:uiPriority w:val="39"/>
    <w:unhideWhenUsed/>
  </w:style>
  <w:style w:type="paragraph" w:styleId="855">
    <w:name w:val="table of figures"/>
    <w:uiPriority w:val="99"/>
    <w:unhideWhenUsed/>
    <w:pPr>
      <w:spacing w:after="0" w:afterAutospacing="0"/>
    </w:pPr>
  </w:style>
  <w:style w:type="character" w:styleId="856" w:default="1">
    <w:name w:val="Default Paragraph Font"/>
    <w:uiPriority w:val="1"/>
    <w:semiHidden/>
    <w:unhideWhenUsed/>
  </w:style>
  <w:style w:type="numbering" w:styleId="857" w:default="1">
    <w:name w:val="No List"/>
    <w:uiPriority w:val="99"/>
    <w:semiHidden/>
    <w:unhideWhenUsed/>
  </w:style>
  <w:style w:type="paragraph" w:styleId="858" w:default="1">
    <w:name w:val="Normal"/>
    <w:qFormat/>
  </w:style>
  <w:style w:type="table" w:styleId="8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6268900"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6268900"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6268901"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6268902"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6268903"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6268903"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杨晶</cp:lastModifiedBy>
  <cp:revision>4</cp:revision>
  <dcterms:created xsi:type="dcterms:W3CDTF">2026-10-28T08:17:24Z</dcterms:created>
  <dcterms:modified xsi:type="dcterms:W3CDTF">2026-10-28T10:51:36Z</dcterms:modified>
</cp:coreProperties>
</file>