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sz w:val="48"/>
          <w:szCs w:val="52"/>
        </w:rPr>
      </w:pPr>
      <w:r>
        <w:rPr>
          <w:rFonts w:ascii="宋体" w:hAnsi="宋体" w:eastAsia="宋体"/>
          <w:sz w:val="48"/>
          <w:szCs w:val="52"/>
        </w:rPr>
      </w:r>
      <w:r/>
    </w:p>
    <w:p>
      <w:pPr>
        <w:jc w:val="center"/>
        <w:rPr>
          <w:rFonts w:ascii="宋体" w:hAnsi="宋体" w:eastAsia="宋体"/>
          <w:b/>
          <w:bCs/>
          <w:sz w:val="96"/>
          <w:szCs w:val="96"/>
        </w:rPr>
      </w:pPr>
      <w:r>
        <w:rPr>
          <w:rFonts w:ascii="宋体" w:hAnsi="宋体" w:eastAsia="宋体"/>
          <w:b/>
          <w:bCs/>
          <w:sz w:val="96"/>
          <w:szCs w:val="96"/>
        </w:rPr>
      </w:r>
      <w:r/>
    </w:p>
    <w:p>
      <w:pPr>
        <w:jc w:val="center"/>
        <w:rPr>
          <w:rFonts w:ascii="宋体" w:hAnsi="宋体" w:eastAsia="宋体"/>
          <w:b/>
          <w:bCs/>
          <w:sz w:val="96"/>
          <w:szCs w:val="96"/>
        </w:rPr>
      </w:pPr>
      <w:r>
        <w:rPr>
          <w:rFonts w:hint="eastAsia" w:ascii="宋体" w:hAnsi="宋体" w:eastAsia="宋体"/>
          <w:b/>
          <w:bCs/>
          <w:sz w:val="96"/>
          <w:szCs w:val="96"/>
        </w:rPr>
        <w:t xml:space="preserve">招标文件</w:t>
      </w:r>
      <w:r/>
    </w:p>
    <w:p>
      <w:pPr>
        <w:jc w:val="center"/>
        <w:rPr>
          <w:rFonts w:ascii="宋体" w:hAnsi="宋体" w:eastAsia="宋体"/>
          <w:b/>
          <w:bCs/>
          <w:sz w:val="56"/>
          <w:szCs w:val="72"/>
        </w:rPr>
      </w:pPr>
      <w:r>
        <w:rPr>
          <w:rFonts w:ascii="宋体" w:hAnsi="宋体" w:eastAsia="宋体"/>
          <w:b/>
          <w:bCs/>
          <w:sz w:val="56"/>
          <w:szCs w:val="72"/>
        </w:rPr>
      </w:r>
      <w:r/>
    </w:p>
    <w:p>
      <w:pPr>
        <w:jc w:val="center"/>
        <w:rPr>
          <w:rFonts w:ascii="宋体" w:hAnsi="宋体" w:eastAsia="宋体"/>
          <w:b/>
          <w:bCs/>
          <w:sz w:val="56"/>
          <w:szCs w:val="72"/>
        </w:rPr>
      </w:pPr>
      <w:r>
        <w:rPr>
          <w:rFonts w:ascii="宋体" w:hAnsi="宋体" w:eastAsia="宋体"/>
          <w:b/>
          <w:bCs/>
          <w:sz w:val="56"/>
          <w:szCs w:val="72"/>
        </w:rPr>
      </w:r>
      <w:r/>
    </w:p>
    <w:p>
      <w:pPr>
        <w:jc w:val="center"/>
        <w:rPr>
          <w:rFonts w:ascii="宋体" w:hAnsi="宋体" w:eastAsia="宋体"/>
          <w:b/>
          <w:bCs/>
          <w:sz w:val="56"/>
          <w:szCs w:val="72"/>
        </w:rPr>
      </w:pPr>
      <w:r>
        <w:rPr>
          <w:rFonts w:ascii="宋体" w:hAnsi="宋体" w:eastAsia="宋体"/>
          <w:b/>
          <w:bCs/>
          <w:sz w:val="56"/>
          <w:szCs w:val="72"/>
        </w:rPr>
      </w:r>
      <w:r/>
    </w:p>
    <w:p>
      <w:pPr>
        <w:jc w:val="center"/>
        <w:rPr>
          <w:rFonts w:ascii="宋体" w:hAnsi="宋体" w:eastAsia="宋体"/>
          <w:b/>
          <w:bCs/>
          <w:sz w:val="56"/>
          <w:szCs w:val="72"/>
        </w:rPr>
      </w:pPr>
      <w:r>
        <w:rPr>
          <w:rFonts w:ascii="宋体" w:hAnsi="宋体" w:eastAsia="宋体"/>
          <w:b/>
          <w:bCs/>
          <w:sz w:val="56"/>
          <w:szCs w:val="72"/>
        </w:rPr>
      </w:r>
      <w:r/>
    </w:p>
    <w:p>
      <w:pPr>
        <w:jc w:val="center"/>
        <w:rPr>
          <w:rFonts w:ascii="宋体" w:hAnsi="宋体" w:eastAsia="宋体"/>
          <w:szCs w:val="36"/>
        </w:rPr>
      </w:pPr>
      <w:r>
        <w:rPr>
          <w:rFonts w:hint="eastAsia" w:ascii="宋体" w:hAnsi="宋体" w:eastAsia="宋体" w:cs="宋体"/>
          <w:b/>
          <w:bCs/>
          <w:sz w:val="36"/>
          <w:szCs w:val="40"/>
        </w:rPr>
        <w:t xml:space="preserve">项目名称：盐城市射阳生态环境局射阳县高新科技创业园大气环境监测监控能力建设项目</w:t>
      </w:r>
      <w:r/>
    </w:p>
    <w:p>
      <w:pPr>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900" w:lineRule="exact"/>
        <w:rPr>
          <w:rFonts w:ascii="宋体" w:hAnsi="宋体" w:eastAsia="宋体"/>
          <w:b/>
          <w:bCs/>
          <w:sz w:val="36"/>
          <w:szCs w:val="40"/>
        </w:rPr>
        <w:outlineLvl w:val="0"/>
      </w:pPr>
      <w:r>
        <w:rPr>
          <w:rFonts w:hint="eastAsia" w:ascii="宋体" w:hAnsi="宋体" w:eastAsia="宋体"/>
          <w:b/>
          <w:bCs/>
          <w:sz w:val="36"/>
          <w:szCs w:val="40"/>
        </w:rPr>
        <w:t xml:space="preserve">盐城市射阳生态环境局</w:t>
      </w:r>
      <w:r/>
    </w:p>
    <w:p>
      <w:pPr>
        <w:jc w:val="center"/>
        <w:spacing w:line="900" w:lineRule="exact"/>
        <w:rPr>
          <w:rFonts w:ascii="宋体" w:hAnsi="宋体" w:eastAsia="宋体"/>
          <w:b/>
          <w:bCs/>
          <w:sz w:val="36"/>
          <w:szCs w:val="40"/>
        </w:rPr>
        <w:outlineLvl w:val="0"/>
      </w:pPr>
      <w:r>
        <w:rPr>
          <w:rFonts w:hint="eastAsia" w:ascii="宋体" w:hAnsi="宋体" w:eastAsia="宋体"/>
          <w:b/>
          <w:bCs/>
          <w:sz w:val="36"/>
          <w:szCs w:val="40"/>
        </w:rPr>
        <w:t xml:space="preserve">江苏久尧工程项目管理有限公司</w:t>
      </w:r>
      <w:r/>
    </w:p>
    <w:p>
      <w:pPr>
        <w:jc w:val="center"/>
        <w:spacing w:line="900" w:lineRule="exact"/>
        <w:rPr>
          <w:rFonts w:ascii="宋体" w:hAnsi="宋体" w:eastAsia="宋体"/>
          <w:b/>
          <w:bCs/>
          <w:sz w:val="36"/>
          <w:szCs w:val="40"/>
        </w:rPr>
      </w:pPr>
      <w:r>
        <w:rPr>
          <w:rFonts w:hint="eastAsia" w:ascii="宋体" w:hAnsi="宋体" w:eastAsia="宋体"/>
          <w:b/>
          <w:bCs/>
          <w:sz w:val="36"/>
          <w:szCs w:val="40"/>
        </w:rPr>
        <w:t xml:space="preserve">2026年9月</w:t>
      </w:r>
      <w:r/>
    </w:p>
    <w:p>
      <w:pPr>
        <w:rPr>
          <w:rFonts w:ascii="宋体" w:hAnsi="宋体" w:eastAsia="宋体"/>
        </w:rPr>
      </w:pPr>
      <w:r>
        <w:rPr>
          <w:rFonts w:ascii="宋体" w:hAnsi="宋体" w:eastAsia="宋体"/>
        </w:rPr>
      </w:r>
      <w:r/>
    </w:p>
    <w:p>
      <w:pPr>
        <w:pStyle w:val="976"/>
        <w:jc w:val="center"/>
        <w:rPr>
          <w:rFonts w:ascii="宋体" w:hAnsi="宋体" w:eastAsia="宋体" w:cstheme="minorBidi"/>
          <w:color w:val="auto"/>
          <w:sz w:val="21"/>
          <w:szCs w:val="22"/>
          <w:lang w:val="zh-CN"/>
        </w:rPr>
        <w:sectPr>
          <w:footnotePr/>
          <w:endnotePr/>
          <w:type w:val="nextPage"/>
          <w:pgSz w:w="11906" w:h="16838" w:orient="portrait"/>
          <w:pgMar w:top="1417" w:right="1701" w:bottom="1417" w:left="1701" w:header="851" w:footer="680" w:gutter="0"/>
          <w:pgNumType w:start="1"/>
          <w:cols w:num="1" w:sep="0" w:space="0" w:equalWidth="1"/>
          <w:docGrid w:linePitch="360"/>
        </w:sectPr>
      </w:pPr>
      <w:r>
        <w:rPr>
          <w:rFonts w:ascii="宋体" w:hAnsi="宋体" w:eastAsia="宋体" w:cstheme="minorBidi"/>
          <w:color w:val="auto"/>
          <w:sz w:val="21"/>
          <w:szCs w:val="22"/>
          <w:lang w:val="zh-CN"/>
        </w:rPr>
      </w:r>
      <w:r/>
    </w:p>
    <w:sdt>
      <w:sdtPr>
        <w15:appearance w15:val="boundingBox"/>
        <w:id w:val="330504054"/>
        <w:docPartObj>
          <w:docPartGallery w:val="Table of Contents"/>
          <w:docPartUnique w:val="true"/>
        </w:docPartObj>
        <w:rPr>
          <w:rFonts w:ascii="宋体" w:hAnsi="宋体" w:eastAsia="宋体" w:cstheme="minorBidi"/>
          <w:color w:val="auto"/>
          <w:sz w:val="21"/>
          <w:szCs w:val="22"/>
          <w:lang w:val="zh-CN"/>
        </w:rPr>
      </w:sdtPr>
      <w:sdtContent>
        <w:p>
          <w:pPr>
            <w:pStyle w:val="976"/>
            <w:jc w:val="center"/>
            <w:rPr>
              <w:rFonts w:ascii="宋体" w:hAnsi="宋体" w:eastAsia="宋体" w:cs="宋体"/>
              <w:b/>
              <w:bCs/>
              <w:color w:val="auto"/>
              <w:sz w:val="36"/>
              <w:szCs w:val="36"/>
            </w:rPr>
          </w:pPr>
          <w:r>
            <w:rPr>
              <w:rFonts w:hint="eastAsia" w:ascii="宋体" w:hAnsi="宋体" w:eastAsia="宋体" w:cs="宋体"/>
              <w:b/>
              <w:bCs/>
              <w:color w:val="auto"/>
              <w:sz w:val="36"/>
              <w:szCs w:val="36"/>
              <w:lang w:val="zh-CN"/>
            </w:rPr>
            <w:t xml:space="preserve">目  录</w:t>
          </w:r>
          <w:r/>
        </w:p>
        <w:p>
          <w:pPr>
            <w:pStyle w:val="796"/>
            <w:tabs>
              <w:tab w:val="left" w:pos="1320" w:leader="none"/>
              <w:tab w:val="right" w:pos="8296" w:leader="dot"/>
            </w:tabs>
            <w:rPr>
              <w:rFonts w:ascii="宋体" w:hAnsi="宋体" w:eastAsia="宋体" w:cs="宋体"/>
            </w:rPr>
          </w:pPr>
          <w:r>
            <w:rPr>
              <w:rFonts w:ascii="宋体" w:hAnsi="宋体" w:eastAsia="宋体" w:cs="宋体"/>
            </w:rPr>
          </w:r>
          <w:r/>
        </w:p>
        <w:p>
          <w:pPr>
            <w:pStyle w:val="796"/>
            <w:tabs>
              <w:tab w:val="left" w:pos="1320" w:leader="none"/>
              <w:tab w:val="right" w:pos="8296" w:leader="dot"/>
            </w:tabs>
            <w:rPr>
              <w:rFonts w:ascii="宋体" w:hAnsi="宋体" w:eastAsia="宋体" w:cs="宋体"/>
            </w:rPr>
          </w:pPr>
          <w:r>
            <w:rPr>
              <w:rFonts w:ascii="宋体" w:hAnsi="宋体" w:eastAsia="宋体" w:cs="宋体"/>
            </w:rPr>
          </w:r>
          <w:r/>
        </w:p>
        <w:p>
          <w:pPr>
            <w:pStyle w:val="796"/>
            <w:tabs>
              <w:tab w:val="left" w:pos="1320" w:leader="none"/>
              <w:tab w:val="right" w:pos="8296" w:leader="dot"/>
            </w:tabs>
            <w:rPr>
              <w:rFonts w:ascii="宋体" w:hAnsi="宋体" w:eastAsia="宋体" w:cs="宋体"/>
              <w:b/>
              <w:bCs/>
              <w:sz w:val="28"/>
              <w:szCs w:val="28"/>
            </w:rPr>
          </w:pPr>
          <w:r>
            <w:rPr>
              <w:rFonts w:hint="eastAsia" w:ascii="宋体" w:hAnsi="宋体" w:eastAsia="宋体" w:cs="宋体"/>
            </w:rPr>
            <w:fldChar w:fldCharType="begin"/>
          </w:r>
          <w:r>
            <w:rPr>
              <w:rFonts w:hint="eastAsia" w:ascii="宋体" w:hAnsi="宋体" w:eastAsia="宋体" w:cs="宋体"/>
            </w:rPr>
            <w:instrText xml:space="preserve"> TOC \o "1-4" \h \z \u </w:instrText>
          </w:r>
          <w:r>
            <w:rPr>
              <w:rFonts w:hint="eastAsia" w:ascii="宋体" w:hAnsi="宋体" w:eastAsia="宋体" w:cs="宋体"/>
            </w:rPr>
            <w:fldChar w:fldCharType="separate"/>
          </w:r>
          <w:r>
            <w:fldChar w:fldCharType="begin"/>
          </w:r>
          <w:r>
            <w:instrText xml:space="preserve"> HYPERLINK \l "_Toc197644519" \o "#_Toc197644519" </w:instrText>
          </w:r>
          <w:r>
            <w:fldChar w:fldCharType="separate"/>
          </w:r>
          <w:r>
            <w:rPr>
              <w:rStyle w:val="804"/>
              <w:rFonts w:hint="eastAsia" w:ascii="宋体" w:hAnsi="宋体" w:eastAsia="宋体" w:cs="宋体"/>
              <w:b/>
              <w:bCs/>
              <w:color w:val="auto"/>
              <w:sz w:val="28"/>
              <w:szCs w:val="28"/>
            </w:rPr>
            <w:t xml:space="preserve">第一章</w:t>
          </w:r>
          <w:r>
            <w:rPr>
              <w:rFonts w:hint="eastAsia" w:ascii="宋体" w:hAnsi="宋体" w:eastAsia="宋体" w:cs="宋体"/>
              <w:b/>
              <w:bCs/>
              <w:sz w:val="28"/>
              <w:szCs w:val="28"/>
            </w:rPr>
            <w:tab/>
          </w:r>
          <w:r>
            <w:rPr>
              <w:rStyle w:val="804"/>
              <w:rFonts w:hint="eastAsia" w:ascii="宋体" w:hAnsi="宋体" w:eastAsia="宋体" w:cs="宋体"/>
              <w:b/>
              <w:bCs/>
              <w:color w:val="auto"/>
              <w:sz w:val="28"/>
              <w:szCs w:val="28"/>
            </w:rPr>
            <w:t xml:space="preserve">招标公告</w:t>
          </w:r>
          <w:r>
            <w:rPr>
              <w:rFonts w:hint="eastAsia" w:ascii="宋体" w:hAnsi="宋体" w:eastAsia="宋体" w:cs="宋体"/>
              <w:b/>
              <w:bCs/>
              <w:sz w:val="28"/>
              <w:szCs w:val="28"/>
            </w:rPr>
            <w:tab/>
          </w:r>
          <w:r>
            <w:rPr>
              <w:rFonts w:hint="eastAsia" w:ascii="宋体" w:hAnsi="宋体" w:eastAsia="宋体" w:cs="宋体"/>
              <w:b/>
              <w:bCs/>
              <w:sz w:val="28"/>
              <w:szCs w:val="28"/>
            </w:rPr>
            <w:t xml:space="preserve">2</w:t>
          </w:r>
          <w:r>
            <w:rPr>
              <w:rFonts w:hint="eastAsia" w:ascii="宋体" w:hAnsi="宋体" w:eastAsia="宋体" w:cs="宋体"/>
              <w:b/>
              <w:bCs/>
              <w:sz w:val="28"/>
              <w:szCs w:val="28"/>
            </w:rPr>
            <w:fldChar w:fldCharType="end"/>
          </w:r>
          <w:r/>
        </w:p>
        <w:p>
          <w:pPr>
            <w:pStyle w:val="783"/>
            <w:tabs>
              <w:tab w:val="left" w:pos="7711" w:leader="none"/>
            </w:tabs>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ab/>
          </w:r>
          <w:r/>
        </w:p>
        <w:p>
          <w:pPr>
            <w:pStyle w:val="796"/>
            <w:tabs>
              <w:tab w:val="left" w:pos="1320" w:leader="none"/>
              <w:tab w:val="right" w:pos="8296" w:leader="dot"/>
            </w:tabs>
            <w:rPr>
              <w:rFonts w:ascii="宋体" w:hAnsi="宋体" w:eastAsia="宋体" w:cs="宋体"/>
              <w:b/>
              <w:bCs/>
              <w:sz w:val="28"/>
              <w:szCs w:val="28"/>
            </w:rPr>
          </w:pPr>
          <w:r>
            <w:fldChar w:fldCharType="begin"/>
          </w:r>
          <w:r>
            <w:instrText xml:space="preserve"> HYPERLINK \l "_Toc197644527" \o "#_Toc197644527" </w:instrText>
          </w:r>
          <w:r>
            <w:fldChar w:fldCharType="separate"/>
          </w:r>
          <w:r>
            <w:rPr>
              <w:rStyle w:val="804"/>
              <w:rFonts w:hint="eastAsia" w:ascii="宋体" w:hAnsi="宋体" w:eastAsia="宋体" w:cs="宋体"/>
              <w:b/>
              <w:bCs/>
              <w:color w:val="auto"/>
              <w:sz w:val="28"/>
              <w:szCs w:val="28"/>
            </w:rPr>
            <w:t xml:space="preserve">第二章</w:t>
          </w:r>
          <w:r>
            <w:rPr>
              <w:rFonts w:hint="eastAsia" w:ascii="宋体" w:hAnsi="宋体" w:eastAsia="宋体" w:cs="宋体"/>
              <w:b/>
              <w:bCs/>
              <w:sz w:val="28"/>
              <w:szCs w:val="28"/>
            </w:rPr>
            <w:tab/>
          </w:r>
          <w:r>
            <w:rPr>
              <w:rStyle w:val="804"/>
              <w:rFonts w:hint="eastAsia" w:ascii="宋体" w:hAnsi="宋体" w:eastAsia="宋体" w:cs="宋体"/>
              <w:b/>
              <w:bCs/>
              <w:color w:val="auto"/>
              <w:sz w:val="28"/>
              <w:szCs w:val="28"/>
            </w:rPr>
            <w:t xml:space="preserve">投标人须知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_Toc197644527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6</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p>
        <w:p>
          <w:pPr>
            <w:pStyle w:val="791"/>
            <w:tabs>
              <w:tab w:val="right" w:pos="8296" w:leader="dot"/>
            </w:tabs>
            <w:rPr>
              <w:rFonts w:ascii="宋体" w:hAnsi="宋体" w:eastAsia="宋体" w:cs="宋体"/>
              <w:b/>
              <w:bCs/>
              <w:sz w:val="28"/>
              <w:szCs w:val="28"/>
            </w:rPr>
          </w:pPr>
          <w:r>
            <w:rPr>
              <w:rFonts w:ascii="宋体" w:hAnsi="宋体" w:eastAsia="宋体" w:cs="宋体"/>
              <w:b/>
              <w:bCs/>
              <w:sz w:val="28"/>
              <w:szCs w:val="28"/>
            </w:rPr>
          </w:r>
          <w:r/>
        </w:p>
        <w:p>
          <w:pPr>
            <w:pStyle w:val="796"/>
            <w:tabs>
              <w:tab w:val="left" w:pos="1320" w:leader="none"/>
              <w:tab w:val="right" w:pos="8296" w:leader="dot"/>
            </w:tabs>
            <w:rPr>
              <w:rFonts w:ascii="宋体" w:hAnsi="宋体" w:eastAsia="宋体" w:cs="宋体"/>
              <w:b/>
              <w:bCs/>
              <w:sz w:val="28"/>
              <w:szCs w:val="28"/>
            </w:rPr>
          </w:pPr>
          <w:r>
            <w:fldChar w:fldCharType="begin"/>
          </w:r>
          <w:r>
            <w:instrText xml:space="preserve"> HYPERLINK \l "_Toc197644568" \o "#_Toc197644568" </w:instrText>
          </w:r>
          <w:r>
            <w:fldChar w:fldCharType="separate"/>
          </w:r>
          <w:r>
            <w:rPr>
              <w:rStyle w:val="804"/>
              <w:rFonts w:hint="eastAsia" w:ascii="宋体" w:hAnsi="宋体" w:eastAsia="宋体" w:cs="宋体"/>
              <w:b/>
              <w:bCs/>
              <w:color w:val="auto"/>
              <w:sz w:val="28"/>
              <w:szCs w:val="28"/>
            </w:rPr>
            <w:t xml:space="preserve">第三章</w:t>
          </w:r>
          <w:r>
            <w:rPr>
              <w:rFonts w:hint="eastAsia" w:ascii="宋体" w:hAnsi="宋体" w:eastAsia="宋体" w:cs="宋体"/>
              <w:b/>
              <w:bCs/>
              <w:sz w:val="28"/>
              <w:szCs w:val="28"/>
            </w:rPr>
            <w:tab/>
          </w:r>
          <w:r>
            <w:rPr>
              <w:rStyle w:val="804"/>
              <w:rFonts w:hint="eastAsia" w:ascii="宋体" w:hAnsi="宋体" w:eastAsia="宋体" w:cs="宋体"/>
              <w:b/>
              <w:bCs/>
              <w:color w:val="auto"/>
              <w:sz w:val="28"/>
              <w:szCs w:val="28"/>
            </w:rPr>
            <w:t xml:space="preserve">合同文本</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_Toc197644568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22</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p>
        <w:p>
          <w:pPr>
            <w:pStyle w:val="796"/>
            <w:tabs>
              <w:tab w:val="left" w:pos="1320" w:leader="none"/>
              <w:tab w:val="right" w:pos="8296" w:leader="dot"/>
            </w:tabs>
            <w:rPr>
              <w:rFonts w:ascii="宋体" w:hAnsi="宋体" w:eastAsia="宋体" w:cs="宋体"/>
              <w:b/>
              <w:bCs/>
              <w:sz w:val="28"/>
              <w:szCs w:val="28"/>
            </w:rPr>
          </w:pPr>
          <w:r>
            <w:rPr>
              <w:rFonts w:ascii="宋体" w:hAnsi="宋体" w:eastAsia="宋体" w:cs="宋体"/>
              <w:b/>
              <w:bCs/>
              <w:sz w:val="28"/>
              <w:szCs w:val="28"/>
            </w:rPr>
          </w:r>
          <w:r/>
        </w:p>
        <w:p>
          <w:pPr>
            <w:pStyle w:val="796"/>
            <w:tabs>
              <w:tab w:val="left" w:pos="1320" w:leader="none"/>
              <w:tab w:val="right" w:pos="8296" w:leader="dot"/>
            </w:tabs>
            <w:rPr>
              <w:rFonts w:ascii="宋体" w:hAnsi="宋体" w:eastAsia="宋体" w:cs="宋体"/>
              <w:b/>
              <w:bCs/>
              <w:sz w:val="28"/>
              <w:szCs w:val="28"/>
            </w:rPr>
          </w:pPr>
          <w:r>
            <w:fldChar w:fldCharType="begin"/>
          </w:r>
          <w:r>
            <w:instrText xml:space="preserve"> HYPERLINK \l "_Toc197644569" \o "#_Toc197644569" </w:instrText>
          </w:r>
          <w:r>
            <w:fldChar w:fldCharType="separate"/>
          </w:r>
          <w:r>
            <w:rPr>
              <w:rStyle w:val="804"/>
              <w:rFonts w:hint="eastAsia" w:ascii="宋体" w:hAnsi="宋体" w:eastAsia="宋体" w:cs="宋体"/>
              <w:b/>
              <w:bCs/>
              <w:color w:val="auto"/>
              <w:sz w:val="28"/>
              <w:szCs w:val="28"/>
            </w:rPr>
            <w:t xml:space="preserve">第四章</w:t>
          </w:r>
          <w:r>
            <w:rPr>
              <w:rFonts w:hint="eastAsia" w:ascii="宋体" w:hAnsi="宋体" w:eastAsia="宋体" w:cs="宋体"/>
              <w:b/>
              <w:bCs/>
              <w:sz w:val="28"/>
              <w:szCs w:val="28"/>
            </w:rPr>
            <w:tab/>
          </w:r>
          <w:r>
            <w:rPr>
              <w:rStyle w:val="804"/>
              <w:rFonts w:hint="eastAsia" w:ascii="宋体" w:hAnsi="宋体" w:eastAsia="宋体" w:cs="宋体"/>
              <w:b/>
              <w:bCs/>
              <w:color w:val="auto"/>
              <w:sz w:val="28"/>
              <w:szCs w:val="28"/>
            </w:rPr>
            <w:t xml:space="preserve">采购需求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_Toc197644569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29</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p>
        <w:p>
          <w:pPr>
            <w:pStyle w:val="783"/>
            <w:tabs>
              <w:tab w:val="right" w:pos="8296" w:leader="dot"/>
            </w:tabs>
            <w:rPr>
              <w:rFonts w:ascii="宋体" w:hAnsi="宋体" w:eastAsia="宋体" w:cs="宋体"/>
              <w:b/>
              <w:bCs/>
              <w:sz w:val="28"/>
              <w:szCs w:val="28"/>
            </w:rPr>
          </w:pPr>
          <w:r>
            <w:rPr>
              <w:rFonts w:ascii="宋体" w:hAnsi="宋体" w:eastAsia="宋体" w:cs="宋体"/>
              <w:b/>
              <w:bCs/>
              <w:sz w:val="28"/>
              <w:szCs w:val="28"/>
            </w:rPr>
          </w:r>
          <w:r/>
        </w:p>
        <w:p>
          <w:pPr>
            <w:pStyle w:val="796"/>
            <w:tabs>
              <w:tab w:val="left" w:pos="1320" w:leader="none"/>
              <w:tab w:val="right" w:pos="8296" w:leader="dot"/>
            </w:tabs>
            <w:rPr>
              <w:rFonts w:ascii="宋体" w:hAnsi="宋体" w:eastAsia="宋体" w:cs="宋体"/>
              <w:b/>
              <w:bCs/>
              <w:sz w:val="28"/>
              <w:szCs w:val="28"/>
            </w:rPr>
          </w:pPr>
          <w:r>
            <w:fldChar w:fldCharType="begin"/>
          </w:r>
          <w:r>
            <w:instrText xml:space="preserve"> HYPERLINK \l "_Toc197644575" \o "#_Toc197644575" </w:instrText>
          </w:r>
          <w:r>
            <w:fldChar w:fldCharType="separate"/>
          </w:r>
          <w:r>
            <w:rPr>
              <w:rStyle w:val="804"/>
              <w:rFonts w:hint="eastAsia" w:ascii="宋体" w:hAnsi="宋体" w:eastAsia="宋体" w:cs="宋体"/>
              <w:b/>
              <w:bCs/>
              <w:color w:val="auto"/>
              <w:sz w:val="28"/>
              <w:szCs w:val="28"/>
            </w:rPr>
            <w:t xml:space="preserve">第五章</w:t>
          </w:r>
          <w:r>
            <w:rPr>
              <w:rFonts w:hint="eastAsia" w:ascii="宋体" w:hAnsi="宋体" w:eastAsia="宋体" w:cs="宋体"/>
              <w:b/>
              <w:bCs/>
              <w:sz w:val="28"/>
              <w:szCs w:val="28"/>
            </w:rPr>
            <w:tab/>
          </w:r>
          <w:r>
            <w:rPr>
              <w:rStyle w:val="804"/>
              <w:rFonts w:hint="eastAsia" w:ascii="宋体" w:hAnsi="宋体" w:eastAsia="宋体" w:cs="宋体"/>
              <w:b/>
              <w:bCs/>
              <w:color w:val="auto"/>
              <w:sz w:val="28"/>
              <w:szCs w:val="28"/>
            </w:rPr>
            <w:t xml:space="preserve">评标方法与评标标准</w:t>
          </w:r>
          <w:r>
            <w:rPr>
              <w:rFonts w:hint="eastAsia" w:ascii="宋体" w:hAnsi="宋体" w:eastAsia="宋体" w:cs="宋体"/>
              <w:b/>
              <w:bCs/>
              <w:sz w:val="28"/>
              <w:szCs w:val="28"/>
            </w:rPr>
            <w:tab/>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6</w:t>
          </w:r>
          <w:r/>
        </w:p>
        <w:p>
          <w:pPr>
            <w:pStyle w:val="783"/>
            <w:tabs>
              <w:tab w:val="right" w:pos="8296" w:leader="dot"/>
            </w:tabs>
            <w:rPr>
              <w:rFonts w:ascii="宋体" w:hAnsi="宋体" w:eastAsia="宋体" w:cs="宋体"/>
              <w:b/>
              <w:bCs/>
              <w:sz w:val="28"/>
              <w:szCs w:val="28"/>
            </w:rPr>
          </w:pPr>
          <w:r>
            <w:rPr>
              <w:rFonts w:ascii="宋体" w:hAnsi="宋体" w:eastAsia="宋体" w:cs="宋体"/>
              <w:b/>
              <w:bCs/>
              <w:sz w:val="28"/>
              <w:szCs w:val="28"/>
            </w:rPr>
          </w:r>
          <w:r/>
        </w:p>
        <w:p>
          <w:pPr>
            <w:pStyle w:val="796"/>
            <w:tabs>
              <w:tab w:val="left" w:pos="1320" w:leader="none"/>
              <w:tab w:val="right" w:pos="8296" w:leader="dot"/>
            </w:tabs>
            <w:rPr>
              <w:rFonts w:hint="eastAsia" w:ascii="宋体" w:hAnsi="宋体" w:eastAsia="宋体" w:cs="宋体"/>
              <w:b/>
              <w:bCs/>
              <w:sz w:val="22"/>
              <w:szCs w:val="24"/>
              <w:lang w:val="en-US" w:eastAsia="zh-CN"/>
            </w:rPr>
          </w:pPr>
          <w:r>
            <w:fldChar w:fldCharType="begin"/>
          </w:r>
          <w:r>
            <w:instrText xml:space="preserve"> HYPERLINK \l "_Toc197644579" \o "#_Toc197644579" </w:instrText>
          </w:r>
          <w:r>
            <w:fldChar w:fldCharType="separate"/>
          </w:r>
          <w:r>
            <w:rPr>
              <w:rStyle w:val="804"/>
              <w:rFonts w:hint="eastAsia" w:ascii="宋体" w:hAnsi="宋体" w:eastAsia="宋体" w:cs="宋体"/>
              <w:b/>
              <w:bCs/>
              <w:color w:val="auto"/>
              <w:sz w:val="28"/>
              <w:szCs w:val="28"/>
            </w:rPr>
            <w:t xml:space="preserve">第六章</w:t>
          </w:r>
          <w:r>
            <w:rPr>
              <w:rFonts w:hint="eastAsia" w:ascii="宋体" w:hAnsi="宋体" w:eastAsia="宋体" w:cs="宋体"/>
              <w:b/>
              <w:bCs/>
              <w:sz w:val="28"/>
              <w:szCs w:val="28"/>
            </w:rPr>
            <w:tab/>
          </w:r>
          <w:r>
            <w:rPr>
              <w:rStyle w:val="804"/>
              <w:rFonts w:hint="eastAsia" w:ascii="宋体" w:hAnsi="宋体" w:eastAsia="宋体" w:cs="宋体"/>
              <w:b/>
              <w:bCs/>
              <w:color w:val="auto"/>
              <w:sz w:val="28"/>
              <w:szCs w:val="28"/>
            </w:rPr>
            <w:t xml:space="preserve">投标文件格式</w:t>
          </w:r>
          <w:r>
            <w:rPr>
              <w:rFonts w:hint="eastAsia" w:ascii="宋体" w:hAnsi="宋体" w:eastAsia="宋体" w:cs="宋体"/>
              <w:b/>
              <w:bCs/>
              <w:sz w:val="28"/>
              <w:szCs w:val="28"/>
            </w:rPr>
            <w:tab/>
          </w:r>
          <w:r>
            <w:rPr>
              <w:rFonts w:hint="eastAsia" w:ascii="宋体" w:hAnsi="宋体" w:eastAsia="宋体" w:cs="宋体"/>
              <w:b/>
              <w:bCs/>
              <w:sz w:val="28"/>
              <w:szCs w:val="28"/>
              <w:lang w:val="en-US" w:eastAsia="zh-CN"/>
            </w:rPr>
            <w:t xml:space="preserve">7</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zh-CN"/>
            </w:rPr>
            <w:t xml:space="preserve">0</w:t>
          </w:r>
          <w:r/>
        </w:p>
        <w:p>
          <w:pPr>
            <w:pStyle w:val="796"/>
            <w:tabs>
              <w:tab w:val="right" w:pos="8296" w:leader="dot"/>
            </w:tabs>
            <w:rPr>
              <w:rFonts w:ascii="宋体" w:hAnsi="宋体" w:eastAsia="宋体" w:cs="宋体"/>
              <w:sz w:val="22"/>
              <w:szCs w:val="24"/>
            </w:rPr>
          </w:pPr>
          <w:r>
            <w:rPr>
              <w:rFonts w:ascii="宋体" w:hAnsi="宋体" w:eastAsia="宋体" w:cs="宋体"/>
              <w:sz w:val="22"/>
              <w:szCs w:val="24"/>
            </w:rPr>
          </w:r>
          <w:r/>
        </w:p>
        <w:p>
          <w:pPr>
            <w:rPr>
              <w:rFonts w:ascii="宋体" w:hAnsi="宋体" w:eastAsia="宋体"/>
            </w:rPr>
          </w:pPr>
          <w:r>
            <w:rPr>
              <w:rFonts w:hint="eastAsia" w:ascii="宋体" w:hAnsi="宋体" w:eastAsia="宋体" w:cs="宋体"/>
            </w:rPr>
            <w:fldChar w:fldCharType="end"/>
          </w:r>
          <w:r/>
        </w:p>
      </w:sdtContent>
    </w:sdt>
    <w:p>
      <w:pPr>
        <w:jc w:val="left"/>
        <w:widowControl/>
        <w:rPr>
          <w:rFonts w:ascii="宋体" w:hAnsi="宋体" w:eastAsia="宋体"/>
        </w:rPr>
      </w:pPr>
      <w:r>
        <w:rPr>
          <w:rFonts w:hint="eastAsia" w:ascii="宋体" w:hAnsi="宋体" w:eastAsia="宋体"/>
        </w:rPr>
        <w:br w:type="page" w:clear="all"/>
      </w:r>
      <w:r/>
    </w:p>
    <w:p>
      <w:pPr>
        <w:pStyle w:val="764"/>
        <w:numPr>
          <w:ilvl w:val="0"/>
          <w:numId w:val="1"/>
        </w:numPr>
        <w:ind w:left="0" w:firstLine="0"/>
        <w:jc w:val="center"/>
        <w:keepLines w:val="0"/>
        <w:keepNext w:val="0"/>
        <w:spacing w:before="100" w:beforeAutospacing="1" w:after="100" w:afterAutospacing="1" w:line="500" w:lineRule="exact"/>
        <w:rPr>
          <w:rFonts w:ascii="宋体" w:hAnsi="宋体" w:eastAsia="宋体" w:cs="Times New Roman"/>
          <w:b/>
          <w:bCs/>
          <w:color w:val="auto"/>
          <w:sz w:val="32"/>
          <w:szCs w:val="32"/>
        </w:rPr>
      </w:pPr>
      <w:r/>
      <w:bookmarkStart w:id="0" w:name="_Toc197644519"/>
      <w:r>
        <w:rPr>
          <w:rFonts w:hint="eastAsia" w:ascii="宋体" w:hAnsi="宋体" w:eastAsia="宋体" w:cs="Times New Roman"/>
          <w:b/>
          <w:bCs/>
          <w:color w:val="auto"/>
          <w:sz w:val="32"/>
          <w:szCs w:val="32"/>
        </w:rPr>
        <w:t xml:space="preserve">招标公告</w:t>
      </w:r>
      <w:bookmarkEnd w:id="0"/>
      <w:r/>
      <w:r/>
    </w:p>
    <w:p>
      <w:pPr>
        <w:ind w:firstLine="422"/>
        <w:jc w:val="left"/>
        <w:spacing w:line="500" w:lineRule="exact"/>
        <w:rPr>
          <w:rFonts w:ascii="宋体" w:hAnsi="宋体" w:eastAsia="宋体"/>
          <w:b/>
          <w:bCs/>
          <w:sz w:val="24"/>
          <w:szCs w:val="28"/>
        </w:rPr>
        <w:pBdr>
          <w:top w:val="single" w:color="auto" w:sz="4" w:space="1"/>
          <w:left w:val="single" w:color="auto" w:sz="4" w:space="4"/>
          <w:bottom w:val="single" w:color="auto" w:sz="4" w:space="1"/>
          <w:right w:val="single" w:color="auto" w:sz="4" w:space="4"/>
        </w:pBdr>
      </w:pPr>
      <w:r>
        <w:rPr>
          <w:rFonts w:hint="eastAsia" w:ascii="宋体" w:hAnsi="宋体" w:eastAsia="宋体"/>
          <w:b/>
          <w:bCs/>
          <w:sz w:val="24"/>
          <w:szCs w:val="28"/>
        </w:rPr>
        <w:t xml:space="preserve">项目概况</w:t>
      </w:r>
      <w:r/>
    </w:p>
    <w:p>
      <w:pPr>
        <w:ind w:firstLine="424"/>
        <w:spacing w:line="500" w:lineRule="exact"/>
        <w:rPr>
          <w:rFonts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rPr>
        <w:t xml:space="preserve">盐城市射阳生态环境局射阳县高新科技创业园大气环境监测监控能力建设项目</w:t>
      </w:r>
      <w:r>
        <w:rPr>
          <w:rFonts w:hint="eastAsia" w:ascii="宋体" w:hAnsi="宋体" w:eastAsia="宋体" w:cs="宋体"/>
          <w:sz w:val="24"/>
          <w:szCs w:val="24"/>
        </w:rPr>
        <w:t xml:space="preserve">的潜在投标人可在</w:t>
      </w:r>
      <w:r>
        <w:rPr>
          <w:rFonts w:hint="eastAsia" w:ascii="宋体" w:hAnsi="宋体" w:eastAsia="宋体" w:cs="宋体"/>
          <w:sz w:val="24"/>
          <w:szCs w:val="24"/>
          <w:shd w:val="clear" w:color="auto" w:fill="ffffff"/>
        </w:rPr>
        <w:t xml:space="preserve">“苏采云”系统内免费下载（投标人必须在苏采云系统中获取采购文件，方能参与政府采购项目）</w:t>
      </w:r>
      <w:r>
        <w:rPr>
          <w:rFonts w:hint="eastAsia" w:ascii="宋体" w:hAnsi="宋体" w:eastAsia="宋体" w:cs="宋体"/>
          <w:sz w:val="24"/>
          <w:szCs w:val="24"/>
        </w:rPr>
        <w:t xml:space="preserve">，并于</w:t>
      </w:r>
      <w:r>
        <w:rPr>
          <w:rFonts w:hint="eastAsia" w:ascii="宋体" w:hAnsi="宋体" w:eastAsia="宋体" w:cs="宋体"/>
          <w:sz w:val="24"/>
          <w:szCs w:val="24"/>
          <w:u w:val="single"/>
        </w:rPr>
        <w:t xml:space="preserve">2026</w:t>
      </w:r>
      <w:r>
        <w:rPr>
          <w:rFonts w:hint="eastAsia" w:ascii="宋体" w:hAnsi="宋体" w:eastAsia="宋体" w:cs="宋体"/>
          <w:sz w:val="24"/>
          <w:szCs w:val="24"/>
          <w:shd w:val="clear" w:color="auto" w:fill="ffffff"/>
        </w:rPr>
        <w:t xml:space="preserve">年</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shd w:val="clear" w:color="auto" w:fill="ffffff"/>
        </w:rPr>
        <w:t xml:space="preserve">月</w:t>
      </w:r>
      <w:r>
        <w:rPr>
          <w:rFonts w:hint="eastAsia" w:ascii="宋体" w:hAnsi="宋体" w:eastAsia="宋体" w:cs="宋体"/>
          <w:sz w:val="24"/>
          <w:szCs w:val="24"/>
          <w:u w:val="single"/>
          <w:lang w:val="en-US" w:eastAsia="zh-CN"/>
        </w:rPr>
        <w:t xml:space="preserve">16</w:t>
      </w:r>
      <w:r>
        <w:rPr>
          <w:rFonts w:hint="eastAsia" w:ascii="宋体" w:hAnsi="宋体" w:eastAsia="宋体" w:cs="宋体"/>
          <w:sz w:val="24"/>
          <w:szCs w:val="24"/>
          <w:shd w:val="clear" w:color="auto" w:fill="ffffff"/>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shd w:val="clear" w:color="auto" w:fill="ffffff"/>
        </w:rPr>
        <w:t xml:space="preserve">点</w:t>
      </w:r>
      <w:r>
        <w:rPr>
          <w:rFonts w:hint="eastAsia" w:ascii="宋体" w:hAnsi="宋体" w:eastAsia="宋体" w:cs="宋体"/>
          <w:sz w:val="24"/>
          <w:szCs w:val="24"/>
          <w:u w:val="single"/>
          <w:lang w:val="en-US" w:eastAsia="zh-CN"/>
        </w:rPr>
        <w:t xml:space="preserve">00</w:t>
      </w:r>
      <w:r>
        <w:rPr>
          <w:rFonts w:hint="eastAsia" w:ascii="宋体" w:hAnsi="宋体" w:eastAsia="宋体" w:cs="宋体"/>
          <w:sz w:val="24"/>
          <w:szCs w:val="24"/>
          <w:shd w:val="clear" w:color="auto" w:fill="ffffff"/>
        </w:rPr>
        <w:t xml:space="preserve">分</w:t>
      </w:r>
      <w:r>
        <w:rPr>
          <w:rFonts w:hint="eastAsia" w:ascii="宋体" w:hAnsi="宋体" w:eastAsia="宋体" w:cs="宋体"/>
          <w:sz w:val="24"/>
          <w:szCs w:val="24"/>
        </w:rPr>
        <w:t xml:space="preserve">（北京时间）前递交投标文件。</w:t>
      </w:r>
      <w:r/>
    </w:p>
    <w:p>
      <w:pPr>
        <w:pStyle w:val="967"/>
        <w:numPr>
          <w:ilvl w:val="0"/>
          <w:numId w:val="2"/>
        </w:numPr>
        <w:ind w:left="442" w:hanging="442"/>
        <w:spacing w:line="500" w:lineRule="exact"/>
        <w:rPr>
          <w:rFonts w:ascii="宋体" w:hAnsi="宋体" w:eastAsia="宋体" w:cs="宋体"/>
          <w:b/>
          <w:bCs/>
          <w:sz w:val="24"/>
          <w:szCs w:val="24"/>
        </w:rPr>
        <w:outlineLvl w:val="1"/>
      </w:pPr>
      <w:r/>
      <w:bookmarkStart w:id="1" w:name="_Toc197644520"/>
      <w:r>
        <w:rPr>
          <w:rFonts w:hint="eastAsia" w:ascii="宋体" w:hAnsi="宋体" w:eastAsia="宋体" w:cs="宋体"/>
          <w:b/>
          <w:bCs/>
          <w:sz w:val="24"/>
          <w:szCs w:val="24"/>
        </w:rPr>
        <w:t xml:space="preserve">项目基本情况</w:t>
      </w:r>
      <w:bookmarkEnd w:id="1"/>
      <w:r/>
      <w:r/>
    </w:p>
    <w:p>
      <w:pPr>
        <w:pStyle w:val="967"/>
        <w:numPr>
          <w:ilvl w:val="0"/>
          <w:numId w:val="3"/>
        </w:numPr>
        <w:ind w:left="0" w:firstLine="426"/>
        <w:spacing w:line="440" w:lineRule="exact"/>
      </w:pPr>
      <w:r/>
      <w:bookmarkStart w:id="2" w:name="_Hlk195780407"/>
      <w:r>
        <w:rPr>
          <w:rFonts w:hint="eastAsia" w:ascii="宋体" w:hAnsi="宋体" w:eastAsia="宋体" w:cs="宋体"/>
          <w:sz w:val="24"/>
          <w:szCs w:val="24"/>
        </w:rPr>
        <w:t xml:space="preserve">项目编号</w:t>
      </w:r>
      <w:bookmarkEnd w:id="2"/>
      <w:r>
        <w:rPr>
          <w:rFonts w:hint="eastAsia" w:ascii="宋体" w:hAnsi="宋体" w:eastAsia="宋体" w:cs="宋体"/>
          <w:sz w:val="24"/>
          <w:szCs w:val="24"/>
        </w:rPr>
        <w:t xml:space="preserve">：JSZC-320924-JYJT-G2026-0001</w:t>
      </w:r>
      <w:r/>
    </w:p>
    <w:p>
      <w:pPr>
        <w:pStyle w:val="967"/>
        <w:numPr>
          <w:ilvl w:val="0"/>
          <w:numId w:val="3"/>
        </w:numPr>
        <w:ind w:left="0" w:firstLine="426"/>
        <w:spacing w:line="440" w:lineRule="exact"/>
        <w:rPr>
          <w:rFonts w:ascii="宋体" w:hAnsi="宋体" w:eastAsia="宋体" w:cs="宋体"/>
          <w:sz w:val="24"/>
          <w:szCs w:val="24"/>
        </w:rPr>
      </w:pPr>
      <w:r>
        <w:rPr>
          <w:rFonts w:hint="eastAsia" w:ascii="宋体" w:hAnsi="宋体" w:eastAsia="宋体" w:cs="宋体"/>
          <w:sz w:val="24"/>
          <w:szCs w:val="24"/>
        </w:rPr>
        <w:t xml:space="preserve">项目名称：盐城市射阳生态环境局射阳县高新科技创业园大气环境监测监控能力建设项目</w:t>
      </w:r>
      <w:r/>
    </w:p>
    <w:p>
      <w:pPr>
        <w:pStyle w:val="967"/>
        <w:numPr>
          <w:ilvl w:val="0"/>
          <w:numId w:val="3"/>
        </w:numPr>
        <w:ind w:left="0" w:firstLine="426"/>
        <w:spacing w:line="440" w:lineRule="exact"/>
        <w:rPr>
          <w:rFonts w:ascii="宋体" w:hAnsi="宋体" w:eastAsia="宋体" w:cs="宋体"/>
          <w:sz w:val="24"/>
          <w:szCs w:val="24"/>
        </w:rPr>
      </w:pPr>
      <w:r>
        <w:rPr>
          <w:rFonts w:hint="eastAsia" w:ascii="宋体" w:hAnsi="宋体" w:eastAsia="宋体" w:cs="宋体"/>
          <w:sz w:val="24"/>
          <w:szCs w:val="24"/>
          <w:shd w:val="clear" w:color="auto" w:fill="ffffff"/>
        </w:rPr>
        <w:t xml:space="preserve">采购方式：公开招标</w:t>
      </w:r>
      <w:r/>
    </w:p>
    <w:p>
      <w:pPr>
        <w:pStyle w:val="967"/>
        <w:numPr>
          <w:ilvl w:val="0"/>
          <w:numId w:val="3"/>
        </w:numPr>
        <w:ind w:left="0" w:firstLine="426"/>
        <w:spacing w:line="440" w:lineRule="exact"/>
        <w:rPr>
          <w:rFonts w:ascii="宋体" w:hAnsi="宋体" w:eastAsia="宋体" w:cs="宋体"/>
          <w:sz w:val="24"/>
          <w:szCs w:val="24"/>
        </w:rPr>
      </w:pPr>
      <w:r>
        <w:rPr>
          <w:rFonts w:hint="eastAsia" w:ascii="宋体" w:hAnsi="宋体" w:eastAsia="宋体" w:cs="宋体"/>
          <w:sz w:val="24"/>
          <w:szCs w:val="24"/>
        </w:rPr>
        <w:t xml:space="preserve">预算金额：400万元</w:t>
      </w:r>
      <w:r/>
    </w:p>
    <w:p>
      <w:pPr>
        <w:pStyle w:val="967"/>
        <w:numPr>
          <w:ilvl w:val="0"/>
          <w:numId w:val="3"/>
        </w:numPr>
        <w:ind w:left="0" w:firstLine="426"/>
        <w:spacing w:line="440" w:lineRule="exact"/>
        <w:rPr>
          <w:rFonts w:ascii="宋体" w:hAnsi="宋体" w:eastAsia="宋体" w:cs="宋体"/>
          <w:sz w:val="24"/>
          <w:szCs w:val="24"/>
        </w:rPr>
      </w:pPr>
      <w:r>
        <w:rPr>
          <w:rFonts w:hint="eastAsia" w:ascii="宋体" w:hAnsi="宋体" w:eastAsia="宋体" w:cs="宋体"/>
          <w:sz w:val="24"/>
          <w:szCs w:val="24"/>
        </w:rPr>
        <w:t xml:space="preserve">最高限价：400万元</w:t>
      </w:r>
      <w:r/>
    </w:p>
    <w:p>
      <w:pPr>
        <w:pStyle w:val="967"/>
        <w:numPr>
          <w:ilvl w:val="0"/>
          <w:numId w:val="3"/>
        </w:numPr>
        <w:ind w:left="0" w:firstLine="426"/>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采购需求：</w:t>
      </w:r>
      <w:bookmarkStart w:id="3" w:name="OLE_LINK36"/>
      <w:r/>
      <w:bookmarkStart w:id="4" w:name="OLE_LINK35"/>
      <w:r>
        <w:rPr>
          <w:rFonts w:hint="eastAsia" w:ascii="宋体" w:hAnsi="宋体" w:eastAsia="宋体" w:cs="宋体"/>
          <w:sz w:val="24"/>
          <w:szCs w:val="24"/>
        </w:rPr>
        <w:t xml:space="preserve">为加强射阳县高新科技创业园及周边大气质量监测，根据国家相关技术规范要求，本项目在射阳县高新科技创业园（合德片区）主导风向上、下方建设2个空气质量自动监测站点，监测因子包括气象五参数（温度、湿度、风向、风速、气压）、SO₂、NO₂、O₃、CO、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、PM</w:t>
      </w:r>
      <w:r>
        <w:rPr>
          <w:rFonts w:hint="eastAsia" w:ascii="宋体" w:hAnsi="宋体" w:eastAsia="宋体" w:cs="宋体"/>
          <w:sz w:val="24"/>
          <w:szCs w:val="24"/>
          <w:vertAlign w:val="subscript"/>
        </w:rPr>
        <w:t xml:space="preserve">10</w:t>
      </w:r>
      <w:r>
        <w:rPr>
          <w:rFonts w:hint="eastAsia" w:ascii="宋体" w:hAnsi="宋体" w:eastAsia="宋体" w:cs="宋体"/>
          <w:sz w:val="24"/>
          <w:szCs w:val="24"/>
        </w:rPr>
        <w:t xml:space="preserve">、</w:t>
      </w:r>
      <w:bookmarkStart w:id="5" w:name="OLE_LINK48"/>
      <w:r>
        <w:rPr>
          <w:rFonts w:hint="eastAsia" w:ascii="宋体" w:hAnsi="宋体" w:eastAsia="宋体" w:cs="宋体"/>
          <w:sz w:val="24"/>
          <w:szCs w:val="24"/>
        </w:rPr>
        <w:t xml:space="preserve">挥发性有机物（57种PAMS物质</w:t>
      </w:r>
      <w:bookmarkEnd w:id="5"/>
      <w:r>
        <w:rPr>
          <w:rFonts w:hint="eastAsia" w:ascii="宋体" w:hAnsi="宋体" w:eastAsia="宋体" w:cs="宋体"/>
          <w:sz w:val="24"/>
          <w:szCs w:val="24"/>
        </w:rPr>
        <w:t xml:space="preserve">）。</w:t>
      </w:r>
      <w:bookmarkEnd w:id="3"/>
      <w:r/>
      <w:bookmarkEnd w:id="4"/>
      <w:r>
        <w:rPr>
          <w:rFonts w:hint="eastAsia" w:ascii="宋体" w:hAnsi="宋体" w:eastAsia="宋体" w:cs="宋体"/>
          <w:sz w:val="24"/>
          <w:szCs w:val="24"/>
        </w:rPr>
        <w:t xml:space="preserve">本项目建设内容包括2个空气站站房及配套设施建设，监测仪器的采购、系统集成安装以及提供24个月的全托管运维服务。具体详见招标文件第四章采购需求。</w:t>
      </w:r>
      <w:r/>
    </w:p>
    <w:p>
      <w:pPr>
        <w:pStyle w:val="967"/>
        <w:numPr>
          <w:ilvl w:val="0"/>
          <w:numId w:val="3"/>
        </w:numPr>
        <w:ind w:left="0" w:firstLine="426"/>
        <w:spacing w:line="440" w:lineRule="exact"/>
        <w:rPr>
          <w:rFonts w:ascii="宋体" w:hAnsi="宋体" w:eastAsia="宋体" w:cs="宋体"/>
          <w:sz w:val="24"/>
          <w:szCs w:val="24"/>
        </w:rPr>
      </w:pPr>
      <w:r>
        <w:rPr>
          <w:rFonts w:hint="eastAsia" w:ascii="宋体" w:hAnsi="宋体" w:eastAsia="宋体" w:cs="宋体"/>
          <w:sz w:val="24"/>
          <w:szCs w:val="24"/>
        </w:rPr>
        <w:t xml:space="preserve">合同履行期限：自合同签订之日起60日历天内完成供货及安装调试并实现联网试运行；自验收合格之日起，提供24个月的全托管运维服务。</w:t>
      </w:r>
      <w:r/>
    </w:p>
    <w:p>
      <w:pPr>
        <w:pStyle w:val="967"/>
        <w:numPr>
          <w:ilvl w:val="0"/>
          <w:numId w:val="3"/>
        </w:numPr>
        <w:ind w:left="0" w:firstLine="426"/>
        <w:spacing w:line="440" w:lineRule="exact"/>
        <w:rPr>
          <w:rFonts w:ascii="宋体" w:hAnsi="宋体" w:eastAsia="宋体" w:cs="宋体"/>
          <w:sz w:val="24"/>
          <w:szCs w:val="24"/>
        </w:rPr>
      </w:pPr>
      <w:r>
        <w:rPr>
          <w:rFonts w:hint="eastAsia" w:ascii="宋体" w:hAnsi="宋体" w:eastAsia="宋体" w:cs="宋体"/>
          <w:sz w:val="24"/>
          <w:szCs w:val="24"/>
        </w:rPr>
        <w:t xml:space="preserve">本项目不接受联合体参与投标</w:t>
      </w:r>
      <w:r/>
    </w:p>
    <w:p>
      <w:pPr>
        <w:pStyle w:val="967"/>
        <w:numPr>
          <w:ilvl w:val="0"/>
          <w:numId w:val="2"/>
        </w:numPr>
        <w:ind w:left="442" w:hanging="442"/>
        <w:spacing w:line="440" w:lineRule="exact"/>
        <w:rPr>
          <w:rFonts w:ascii="宋体" w:hAnsi="宋体" w:eastAsia="宋体" w:cs="宋体"/>
          <w:b/>
          <w:bCs/>
          <w:sz w:val="24"/>
          <w:szCs w:val="24"/>
        </w:rPr>
        <w:outlineLvl w:val="1"/>
      </w:pPr>
      <w:r/>
      <w:bookmarkStart w:id="6" w:name="_Toc197644521"/>
      <w:r>
        <w:rPr>
          <w:rFonts w:hint="eastAsia" w:ascii="宋体" w:hAnsi="宋体" w:eastAsia="宋体" w:cs="宋体"/>
          <w:b/>
          <w:bCs/>
          <w:sz w:val="24"/>
          <w:szCs w:val="24"/>
        </w:rPr>
        <w:t xml:space="preserve">申请人的资格要求</w:t>
      </w:r>
      <w:bookmarkEnd w:id="6"/>
      <w:r>
        <w:rPr>
          <w:rFonts w:hint="eastAsia" w:ascii="宋体" w:hAnsi="宋体" w:eastAsia="宋体" w:cs="宋体"/>
          <w:b/>
          <w:bCs/>
          <w:sz w:val="24"/>
          <w:szCs w:val="24"/>
        </w:rPr>
        <w:t xml:space="preserve">:</w:t>
      </w:r>
      <w:r/>
    </w:p>
    <w:p>
      <w:pPr>
        <w:pStyle w:val="967"/>
        <w:ind w:left="0" w:firstLine="240"/>
        <w:spacing w:line="440" w:lineRule="exact"/>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（一）满足《中华人民共和国政府采购法》第二十二条规定，并提供下列材料：</w:t>
      </w:r>
      <w:r/>
    </w:p>
    <w:p>
      <w:pPr>
        <w:pStyle w:val="967"/>
        <w:ind w:left="424"/>
        <w:spacing w:line="440" w:lineRule="exact"/>
        <w:rPr>
          <w:rFonts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pStyle w:val="967"/>
        <w:ind w:left="424"/>
        <w:spacing w:line="440" w:lineRule="exact"/>
        <w:rPr>
          <w:rFonts w:ascii="宋体" w:hAnsi="宋体" w:eastAsia="宋体" w:cs="宋体"/>
          <w:sz w:val="24"/>
          <w:szCs w:val="24"/>
        </w:rPr>
      </w:pPr>
      <w:r>
        <w:rPr>
          <w:rFonts w:hint="eastAsia" w:ascii="宋体" w:hAnsi="宋体" w:eastAsia="宋体" w:cs="宋体"/>
          <w:sz w:val="24"/>
          <w:szCs w:val="24"/>
        </w:rPr>
        <w:t xml:space="preserve">2.上一年度的财务状况报表（成立不满一年无需提供）；</w:t>
      </w:r>
      <w:r/>
    </w:p>
    <w:p>
      <w:pPr>
        <w:pStyle w:val="967"/>
        <w:ind w:left="426"/>
        <w:spacing w:line="440" w:lineRule="exact"/>
        <w:rPr>
          <w:rFonts w:ascii="宋体" w:hAnsi="宋体" w:eastAsia="宋体" w:cs="宋体"/>
          <w:sz w:val="24"/>
          <w:szCs w:val="24"/>
        </w:rPr>
      </w:pPr>
      <w:r>
        <w:rPr>
          <w:rFonts w:hint="eastAsia" w:ascii="宋体" w:hAnsi="宋体" w:eastAsia="宋体" w:cs="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67"/>
        <w:ind w:left="424"/>
        <w:spacing w:line="440" w:lineRule="exact"/>
        <w:rPr>
          <w:rFonts w:ascii="宋体" w:hAnsi="宋体" w:eastAsia="宋体" w:cs="宋体"/>
          <w:sz w:val="24"/>
          <w:szCs w:val="24"/>
        </w:rPr>
      </w:pPr>
      <w:r>
        <w:rPr>
          <w:rFonts w:hint="eastAsia" w:ascii="宋体" w:hAnsi="宋体" w:eastAsia="宋体" w:cs="宋体"/>
          <w:sz w:val="24"/>
          <w:szCs w:val="24"/>
        </w:rPr>
        <w:t xml:space="preserve">4.具备履行合同所必需的设备和专业技术能力的书面声明；</w:t>
      </w:r>
      <w:r/>
    </w:p>
    <w:p>
      <w:pPr>
        <w:pStyle w:val="967"/>
        <w:ind w:left="426"/>
        <w:spacing w:line="440" w:lineRule="exact"/>
        <w:rPr>
          <w:rFonts w:ascii="宋体" w:hAnsi="宋体" w:eastAsia="宋体" w:cs="宋体"/>
          <w:sz w:val="24"/>
          <w:szCs w:val="24"/>
        </w:rPr>
      </w:pPr>
      <w:r>
        <w:rPr>
          <w:rFonts w:hint="eastAsia" w:ascii="宋体" w:hAnsi="宋体" w:eastAsia="宋体" w:cs="宋体"/>
          <w:sz w:val="24"/>
          <w:szCs w:val="24"/>
        </w:rPr>
        <w:t xml:space="preserve">5.参加政府采购活动前3年内在经营活动中没有重大违法记录的书面声明；</w:t>
      </w:r>
      <w:r/>
    </w:p>
    <w:p>
      <w:pPr>
        <w:pStyle w:val="967"/>
        <w:ind w:left="426"/>
        <w:spacing w:line="440" w:lineRule="exact"/>
        <w:rPr>
          <w:rFonts w:ascii="宋体" w:hAnsi="宋体" w:eastAsia="宋体" w:cs="宋体"/>
          <w:sz w:val="24"/>
          <w:szCs w:val="24"/>
        </w:rPr>
        <w:outlineLvl w:val="2"/>
      </w:pPr>
      <w:r>
        <w:rPr>
          <w:rFonts w:hint="eastAsia" w:ascii="宋体" w:hAnsi="宋体" w:eastAsia="宋体" w:cs="宋体"/>
          <w:sz w:val="24"/>
          <w:szCs w:val="24"/>
        </w:rPr>
        <w:t xml:space="preserve">6.法律、行政法规规定的其他条件。</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本项目为专门面向中小微企业采购的项目，供应商必须为中小微企业、监狱企业、残疾人福利性单位，不接受非中小企业参与本项目投标。响应文件中需提供《中小企业声明函》，否则按无效标处理。具体中小企业划分标准详见《关于印发中小企业划型标准规定的通知》工信部联企业【2011】300号文件。监狱企业、残疾人福利性单位视同小微企业。</w:t>
      </w:r>
      <w:r/>
    </w:p>
    <w:p>
      <w:pPr>
        <w:pStyle w:val="967"/>
        <w:ind w:left="426"/>
        <w:spacing w:line="440" w:lineRule="exact"/>
        <w:rPr>
          <w:rFonts w:ascii="宋体" w:hAnsi="宋体" w:eastAsia="宋体" w:cs="宋体"/>
          <w:sz w:val="24"/>
          <w:szCs w:val="24"/>
        </w:rPr>
        <w:outlineLvl w:val="3"/>
      </w:pPr>
      <w:r>
        <w:rPr>
          <w:rFonts w:hint="eastAsia" w:ascii="宋体" w:hAnsi="宋体" w:eastAsia="宋体" w:cs="宋体"/>
          <w:sz w:val="24"/>
          <w:szCs w:val="24"/>
        </w:rPr>
        <w:t xml:space="preserve">（三）本项目的特定资格要求：</w:t>
      </w:r>
      <w:r/>
    </w:p>
    <w:p>
      <w:pPr>
        <w:pStyle w:val="967"/>
        <w:ind w:left="424"/>
        <w:spacing w:line="440" w:lineRule="exact"/>
        <w:rPr>
          <w:rFonts w:ascii="宋体" w:hAnsi="宋体" w:eastAsia="宋体" w:cs="宋体"/>
          <w:sz w:val="24"/>
          <w:szCs w:val="24"/>
        </w:rPr>
      </w:pPr>
      <w:r>
        <w:rPr>
          <w:rFonts w:hint="eastAsia" w:ascii="宋体" w:hAnsi="宋体" w:eastAsia="宋体" w:cs="宋体"/>
          <w:sz w:val="24"/>
          <w:szCs w:val="24"/>
        </w:rPr>
        <w:t xml:space="preserve">1.</w:t>
      </w:r>
      <w:bookmarkStart w:id="7" w:name="OLE_LINK43"/>
      <w:r>
        <w:rPr>
          <w:rFonts w:hint="eastAsia" w:ascii="宋体" w:hAnsi="宋体" w:eastAsia="宋体" w:cs="宋体"/>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7"/>
      <w:r/>
      <w:r/>
    </w:p>
    <w:p>
      <w:pPr>
        <w:pStyle w:val="967"/>
        <w:ind w:left="424"/>
        <w:spacing w:line="440" w:lineRule="exact"/>
        <w:rPr>
          <w:rFonts w:ascii="宋体" w:hAnsi="宋体" w:eastAsia="宋体" w:cs="宋体"/>
          <w:sz w:val="24"/>
          <w:szCs w:val="24"/>
        </w:rPr>
      </w:pPr>
      <w:r>
        <w:rPr>
          <w:rFonts w:hint="eastAsia" w:ascii="宋体" w:hAnsi="宋体" w:eastAsia="宋体" w:cs="宋体"/>
          <w:sz w:val="24"/>
          <w:szCs w:val="24"/>
        </w:rPr>
        <w:t xml:space="preserve">2.</w:t>
      </w:r>
      <w:bookmarkStart w:id="8" w:name="OLE_LINK44"/>
      <w:r/>
      <w:bookmarkStart w:id="9" w:name="OLE_LINK45"/>
      <w:r>
        <w:rPr>
          <w:rFonts w:hint="eastAsia" w:ascii="宋体" w:hAnsi="宋体" w:eastAsia="宋体" w:cs="宋体"/>
          <w:sz w:val="24"/>
          <w:szCs w:val="24"/>
        </w:rPr>
        <w:t xml:space="preserve">单位负责人为同一人或者存在直接控股、管理关系的不同供应商，不得参加同一合同项下的政府采购活动。</w:t>
      </w:r>
      <w:bookmarkEnd w:id="8"/>
      <w:r/>
      <w:bookmarkEnd w:id="9"/>
      <w:r/>
      <w:r/>
    </w:p>
    <w:p>
      <w:pPr>
        <w:pStyle w:val="967"/>
        <w:numPr>
          <w:ilvl w:val="0"/>
          <w:numId w:val="2"/>
        </w:numPr>
        <w:ind w:left="442" w:hanging="442"/>
        <w:spacing w:line="440" w:lineRule="exact"/>
        <w:rPr>
          <w:rFonts w:ascii="宋体" w:hAnsi="宋体" w:eastAsia="宋体" w:cs="宋体"/>
          <w:b/>
          <w:bCs/>
          <w:sz w:val="24"/>
          <w:szCs w:val="24"/>
        </w:rPr>
        <w:outlineLvl w:val="1"/>
      </w:pPr>
      <w:r/>
      <w:bookmarkStart w:id="10" w:name="_Toc197644522"/>
      <w:r>
        <w:rPr>
          <w:rFonts w:hint="eastAsia" w:ascii="宋体" w:hAnsi="宋体" w:eastAsia="宋体" w:cs="宋体"/>
          <w:b/>
          <w:bCs/>
          <w:sz w:val="24"/>
          <w:szCs w:val="24"/>
        </w:rPr>
        <w:t xml:space="preserve">获取招标文件</w:t>
      </w:r>
      <w:bookmarkEnd w:id="10"/>
      <w:r/>
      <w:r/>
    </w:p>
    <w:p>
      <w:pPr>
        <w:pStyle w:val="967"/>
        <w:numPr>
          <w:ilvl w:val="0"/>
          <w:numId w:val="4"/>
        </w:numPr>
        <w:ind w:left="0" w:firstLine="426"/>
        <w:spacing w:line="440" w:lineRule="exact"/>
        <w:rPr>
          <w:rFonts w:ascii="宋体" w:hAnsi="宋体" w:eastAsia="宋体" w:cs="宋体"/>
          <w:sz w:val="24"/>
          <w:szCs w:val="24"/>
          <w:shd w:val="clear" w:color="auto" w:fill="ffffff"/>
        </w:rPr>
        <w:outlineLvl w:val="2"/>
      </w:pPr>
      <w:r>
        <w:rPr>
          <w:rFonts w:hint="eastAsia" w:ascii="宋体" w:hAnsi="宋体" w:eastAsia="宋体" w:cs="宋体"/>
          <w:sz w:val="24"/>
          <w:szCs w:val="24"/>
          <w:shd w:val="clear" w:color="auto" w:fill="ffffff"/>
        </w:rPr>
        <w:t xml:space="preserve">时间：自招标公告发布之日起5个工作日</w:t>
      </w:r>
      <w:r/>
    </w:p>
    <w:p>
      <w:pPr>
        <w:pStyle w:val="967"/>
        <w:numPr>
          <w:ilvl w:val="0"/>
          <w:numId w:val="4"/>
        </w:numPr>
        <w:ind w:left="0" w:firstLine="426"/>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地点：“苏采云”系统内免费下载（投标人必须在“苏采云”系统中获取采购文件，方能参与政府采购项目）</w:t>
      </w:r>
      <w:r/>
    </w:p>
    <w:p>
      <w:pPr>
        <w:pStyle w:val="967"/>
        <w:numPr>
          <w:ilvl w:val="0"/>
          <w:numId w:val="4"/>
        </w:numPr>
        <w:ind w:left="0" w:firstLine="426"/>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方式：本项目采用网上注册登记方式</w:t>
      </w:r>
      <w:r/>
    </w:p>
    <w:p>
      <w:pPr>
        <w:pStyle w:val="967"/>
        <w:numPr>
          <w:ilvl w:val="0"/>
          <w:numId w:val="4"/>
        </w:numPr>
        <w:ind w:left="0" w:firstLine="426"/>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售价：0元</w:t>
      </w:r>
      <w:r/>
    </w:p>
    <w:p>
      <w:pPr>
        <w:pStyle w:val="967"/>
        <w:numPr>
          <w:ilvl w:val="0"/>
          <w:numId w:val="2"/>
        </w:numPr>
        <w:ind w:left="442" w:hanging="442"/>
        <w:spacing w:line="440" w:lineRule="exact"/>
        <w:rPr>
          <w:rFonts w:ascii="宋体" w:hAnsi="宋体" w:eastAsia="宋体" w:cs="宋体"/>
          <w:b/>
          <w:bCs/>
          <w:sz w:val="24"/>
          <w:szCs w:val="24"/>
        </w:rPr>
        <w:outlineLvl w:val="1"/>
      </w:pPr>
      <w:r/>
      <w:bookmarkStart w:id="11" w:name="_Toc197644523"/>
      <w:r>
        <w:rPr>
          <w:rFonts w:hint="eastAsia" w:ascii="宋体" w:hAnsi="宋体" w:eastAsia="宋体" w:cs="宋体"/>
          <w:b/>
          <w:bCs/>
          <w:sz w:val="24"/>
          <w:szCs w:val="24"/>
        </w:rPr>
        <w:t xml:space="preserve">提交投标文件截止时间、开标时间和地点</w:t>
      </w:r>
      <w:bookmarkEnd w:id="11"/>
      <w:r/>
      <w:r/>
    </w:p>
    <w:p>
      <w:pPr>
        <w:pStyle w:val="967"/>
        <w:numPr>
          <w:ilvl w:val="0"/>
          <w:numId w:val="4"/>
        </w:numPr>
        <w:ind w:left="0" w:firstLine="426"/>
        <w:spacing w:line="44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时间：2026年</w:t>
      </w:r>
      <w:r>
        <w:rPr>
          <w:rFonts w:hint="eastAsia" w:ascii="宋体" w:hAnsi="宋体" w:eastAsia="宋体" w:cs="宋体"/>
          <w:sz w:val="24"/>
          <w:szCs w:val="24"/>
          <w:shd w:val="clear" w:color="auto" w:fill="ffffff"/>
          <w:lang w:val="en-US" w:eastAsia="zh-CN"/>
        </w:rPr>
        <w:t xml:space="preserve">10</w:t>
      </w:r>
      <w:r>
        <w:rPr>
          <w:rFonts w:hint="eastAsia" w:ascii="宋体" w:hAnsi="宋体" w:eastAsia="宋体" w:cs="宋体"/>
          <w:sz w:val="24"/>
          <w:szCs w:val="24"/>
          <w:shd w:val="clear" w:color="auto" w:fill="ffffff"/>
        </w:rPr>
        <w:t xml:space="preserve">月</w:t>
      </w:r>
      <w:r>
        <w:rPr>
          <w:rFonts w:hint="eastAsia" w:ascii="宋体" w:hAnsi="宋体" w:eastAsia="宋体" w:cs="宋体"/>
          <w:sz w:val="24"/>
          <w:szCs w:val="24"/>
          <w:shd w:val="clear" w:color="auto" w:fill="ffffff"/>
          <w:lang w:val="en-US" w:eastAsia="zh-CN"/>
        </w:rPr>
        <w:t xml:space="preserve">16</w:t>
      </w:r>
      <w:r>
        <w:rPr>
          <w:rFonts w:hint="eastAsia" w:ascii="宋体" w:hAnsi="宋体" w:eastAsia="宋体" w:cs="宋体"/>
          <w:sz w:val="24"/>
          <w:szCs w:val="24"/>
          <w:shd w:val="clear" w:color="auto" w:fill="ffffff"/>
        </w:rPr>
        <w:t xml:space="preserve"> 日9点00分（北京时间）</w:t>
      </w:r>
      <w:r/>
    </w:p>
    <w:p>
      <w:pPr>
        <w:pStyle w:val="967"/>
        <w:numPr>
          <w:ilvl w:val="0"/>
          <w:numId w:val="4"/>
        </w:numPr>
        <w:ind w:left="0" w:firstLine="426"/>
        <w:spacing w:line="44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地点：苏采云“不见面”开标大厅 </w:t>
      </w:r>
      <w:r/>
    </w:p>
    <w:p>
      <w:pPr>
        <w:pStyle w:val="967"/>
        <w:numPr>
          <w:ilvl w:val="0"/>
          <w:numId w:val="2"/>
        </w:numPr>
        <w:ind w:left="442" w:hanging="442"/>
        <w:spacing w:line="440" w:lineRule="exact"/>
        <w:rPr>
          <w:rFonts w:ascii="宋体" w:hAnsi="宋体" w:eastAsia="宋体" w:cs="宋体"/>
          <w:b/>
          <w:bCs/>
          <w:sz w:val="24"/>
          <w:szCs w:val="24"/>
        </w:rPr>
        <w:outlineLvl w:val="1"/>
      </w:pPr>
      <w:r/>
      <w:bookmarkStart w:id="12" w:name="_Toc197644524"/>
      <w:r>
        <w:rPr>
          <w:rFonts w:hint="eastAsia" w:ascii="宋体" w:hAnsi="宋体" w:eastAsia="宋体" w:cs="宋体"/>
          <w:b/>
          <w:bCs/>
          <w:sz w:val="24"/>
          <w:szCs w:val="24"/>
        </w:rPr>
        <w:t xml:space="preserve">公告期限</w:t>
      </w:r>
      <w:bookmarkEnd w:id="12"/>
      <w:r/>
      <w:r/>
    </w:p>
    <w:p>
      <w:pPr>
        <w:ind w:firstLine="424"/>
        <w:spacing w:line="440" w:lineRule="exact"/>
        <w:rPr>
          <w:rFonts w:ascii="宋体" w:hAnsi="宋体" w:eastAsia="宋体" w:cs="宋体"/>
          <w:sz w:val="24"/>
          <w:szCs w:val="24"/>
        </w:rPr>
      </w:pPr>
      <w:r/>
      <w:bookmarkStart w:id="13" w:name="_Toc35393626"/>
      <w:r/>
      <w:bookmarkStart w:id="14" w:name="_Toc38985268"/>
      <w:r/>
      <w:bookmarkStart w:id="15" w:name="_Toc35393795"/>
      <w:r>
        <w:rPr>
          <w:rFonts w:hint="eastAsia" w:ascii="宋体" w:hAnsi="宋体" w:eastAsia="宋体" w:cs="宋体"/>
          <w:sz w:val="24"/>
          <w:szCs w:val="24"/>
          <w:shd w:val="clear" w:color="auto" w:fill="ffffff"/>
        </w:rPr>
        <w:t xml:space="preserve">自本公告发布之日起5个工作日。</w:t>
      </w:r>
      <w:bookmarkEnd w:id="13"/>
      <w:r/>
      <w:bookmarkEnd w:id="14"/>
      <w:r/>
      <w:bookmarkEnd w:id="15"/>
      <w:r/>
      <w:r/>
    </w:p>
    <w:p>
      <w:pPr>
        <w:pStyle w:val="967"/>
        <w:numPr>
          <w:ilvl w:val="0"/>
          <w:numId w:val="2"/>
        </w:numPr>
        <w:ind w:left="442" w:hanging="442"/>
        <w:spacing w:line="440" w:lineRule="exact"/>
        <w:rPr>
          <w:rFonts w:ascii="宋体" w:hAnsi="宋体" w:eastAsia="宋体" w:cs="宋体"/>
          <w:b/>
          <w:bCs/>
          <w:sz w:val="24"/>
          <w:szCs w:val="24"/>
        </w:rPr>
        <w:outlineLvl w:val="1"/>
      </w:pPr>
      <w:r/>
      <w:bookmarkStart w:id="16" w:name="_Toc197644525"/>
      <w:r>
        <w:rPr>
          <w:rFonts w:hint="eastAsia" w:ascii="宋体" w:hAnsi="宋体" w:eastAsia="宋体" w:cs="宋体"/>
          <w:b/>
          <w:bCs/>
          <w:sz w:val="24"/>
          <w:szCs w:val="24"/>
        </w:rPr>
        <w:t xml:space="preserve">其他补充事宜</w:t>
      </w:r>
      <w:bookmarkEnd w:id="16"/>
      <w:r/>
      <w:r/>
    </w:p>
    <w:p>
      <w:pPr>
        <w:pStyle w:val="798"/>
        <w:numPr>
          <w:ilvl w:val="0"/>
          <w:numId w:val="5"/>
        </w:numPr>
        <w:ind w:firstLine="560"/>
        <w:jc w:val="both"/>
        <w:spacing w:line="440"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98"/>
        <w:ind w:firstLine="560"/>
        <w:jc w:val="both"/>
        <w:spacing w:line="440"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领取CA和办理电子签章（请至盐城市盐都区府西路1号四楼盐城市公共资源交易中心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98"/>
        <w:ind w:firstLine="560"/>
        <w:jc w:val="both"/>
        <w:spacing w:line="440" w:lineRule="exact"/>
        <w:shd w:val="clear" w:color="auto" w:fill="ffffff"/>
        <w:widowControl/>
        <w:rPr>
          <w:color w:val="auto"/>
          <w:sz w:val="24"/>
          <w:szCs w:val="24"/>
          <w:shd w:val="clear" w:color="auto" w:fill="ffffff"/>
        </w:rPr>
        <w:outlineLvl w:val="2"/>
      </w:pPr>
      <w:r>
        <w:rPr>
          <w:rFonts w:hint="eastAsia"/>
          <w:color w:val="auto"/>
          <w:sz w:val="24"/>
          <w:szCs w:val="24"/>
          <w:shd w:val="clear" w:color="auto" w:fill="ffffff"/>
        </w:rPr>
        <w:t xml:space="preserve">2. 潜在供应商访问电子招标响应交易平台的网络地址和方法： </w:t>
      </w:r>
      <w:r/>
    </w:p>
    <w:p>
      <w:pPr>
        <w:pStyle w:val="798"/>
        <w:ind w:firstLine="560"/>
        <w:jc w:val="both"/>
        <w:spacing w:line="440"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spacing w:line="440" w:lineRule="exact"/>
        <w:rPr>
          <w:rFonts w:ascii="宋体" w:hAnsi="宋体"/>
          <w:sz w:val="24"/>
        </w:rPr>
      </w:pPr>
      <w:r/>
      <w:bookmarkStart w:id="17" w:name="_Toc197644526"/>
      <w:r>
        <w:rPr>
          <w:rFonts w:hint="eastAsia" w:ascii="宋体" w:hAnsi="宋体"/>
          <w:sz w:val="24"/>
        </w:rPr>
        <w:t xml:space="preserve">2.2 潜在投标人访问“苏采云”系统方法：江苏省政府采购网首页-“苏采云”链接。 </w:t>
      </w:r>
      <w:r/>
    </w:p>
    <w:p>
      <w:pPr>
        <w:ind w:firstLine="482"/>
        <w:spacing w:line="440" w:lineRule="exact"/>
        <w:rPr>
          <w:rFonts w:ascii="宋体" w:hAnsi="宋体"/>
          <w:sz w:val="24"/>
        </w:rPr>
      </w:pPr>
      <w:r>
        <w:rPr>
          <w:rFonts w:hint="eastAsia" w:ascii="宋体" w:hAnsi="宋体"/>
          <w:sz w:val="24"/>
        </w:rPr>
        <w:t xml:space="preserve">2.3 采购文件（后缀名为“.kedt”）、供应商操作手册及政府采购客户端工具可通过“苏采云”系统相应链接进行下载。 </w:t>
      </w:r>
      <w:r/>
    </w:p>
    <w:p>
      <w:pPr>
        <w:ind w:firstLine="482"/>
        <w:spacing w:line="440" w:lineRule="exact"/>
        <w:rPr>
          <w:rFonts w:ascii="宋体" w:hAnsi="宋体"/>
          <w:sz w:val="24"/>
        </w:rPr>
      </w:pPr>
      <w:r>
        <w:rPr>
          <w:rFonts w:hint="eastAsia" w:ascii="宋体" w:hAnsi="宋体"/>
          <w:sz w:val="24"/>
        </w:rPr>
        <w:t xml:space="preserve">2.4 采购代理机构将数据电文形式的采购文件加载至“苏采云”系统，供潜在供应商下载或者查阅。 </w:t>
      </w:r>
      <w:r/>
    </w:p>
    <w:p>
      <w:pPr>
        <w:ind w:firstLine="482"/>
        <w:spacing w:line="440" w:lineRule="exact"/>
        <w:rPr>
          <w:rFonts w:ascii="宋体" w:hAnsi="宋体"/>
          <w:sz w:val="24"/>
        </w:rPr>
      </w:pPr>
      <w:r>
        <w:rPr>
          <w:rFonts w:hint="eastAsia" w:ascii="宋体" w:hAnsi="宋体"/>
          <w:sz w:val="24"/>
        </w:rPr>
        <w:t xml:space="preserve">2.5 请潜在投标单位提前安装相应的控件（详见《“苏采云”系统供应商操作手册》）并使用谷歌浏览器登录“苏采云”系统参与不见面开评标。 </w:t>
      </w:r>
      <w:r/>
    </w:p>
    <w:p>
      <w:pPr>
        <w:ind w:firstLine="482"/>
        <w:spacing w:line="440" w:lineRule="exact"/>
        <w:rPr>
          <w:rFonts w:ascii="宋体" w:hAnsi="宋体"/>
          <w:sz w:val="24"/>
        </w:rPr>
      </w:pPr>
      <w:r>
        <w:rPr>
          <w:rFonts w:hint="eastAsia" w:ascii="宋体" w:hAnsi="宋体"/>
          <w:sz w:val="24"/>
        </w:rPr>
        <w:t xml:space="preserve">如潜在投标人未按上述要求操作，将自行承担所产生的风险。</w:t>
      </w:r>
      <w:r/>
    </w:p>
    <w:p>
      <w:pPr>
        <w:ind w:firstLine="482"/>
        <w:spacing w:line="440" w:lineRule="exact"/>
        <w:rPr>
          <w:rFonts w:ascii="宋体" w:hAnsi="宋体"/>
          <w:sz w:val="24"/>
        </w:rPr>
      </w:pPr>
      <w:r>
        <w:rPr>
          <w:rFonts w:hint="eastAsia" w:ascii="宋体" w:hAnsi="宋体"/>
          <w:sz w:val="24"/>
        </w:rPr>
        <w:t xml:space="preserve">3.有关本次招标的事项若存在变动或修改，敬请及时关注江苏久尧工程项目管理有限公司在“中国政府采购网”“江苏政府采购网”“盐城市政府采购网”发布的更正公告。</w:t>
      </w:r>
      <w:r/>
    </w:p>
    <w:p>
      <w:pPr>
        <w:ind w:firstLine="482"/>
        <w:spacing w:line="440" w:lineRule="exact"/>
        <w:rPr>
          <w:rFonts w:ascii="宋体" w:hAnsi="宋体"/>
          <w:sz w:val="24"/>
        </w:rPr>
      </w:pPr>
      <w:r>
        <w:rPr>
          <w:rFonts w:hint="eastAsia" w:ascii="宋体" w:hAnsi="宋体"/>
          <w:sz w:val="24"/>
        </w:rPr>
        <w:t xml:space="preserve">4.本次招标不收取投标保证金，不收取质量保证金。</w:t>
      </w:r>
      <w:r/>
    </w:p>
    <w:p>
      <w:pPr>
        <w:ind w:firstLine="482"/>
        <w:spacing w:line="440" w:lineRule="exact"/>
        <w:rPr>
          <w:rFonts w:ascii="宋体" w:hAnsi="宋体"/>
          <w:sz w:val="24"/>
        </w:rPr>
      </w:pPr>
      <w:r>
        <w:rPr>
          <w:rFonts w:hint="eastAsia" w:ascii="宋体" w:hAnsi="宋体"/>
          <w:sz w:val="24"/>
        </w:rPr>
        <w:t xml:space="preserve">5.电子投标文件一份(通过系统提交)；纸质投标文件正本一份，副本四份（评审结束后由中标候选人提供，未中标单位不需要提供）。</w:t>
      </w:r>
      <w:r/>
    </w:p>
    <w:p>
      <w:pPr>
        <w:ind w:firstLine="482"/>
        <w:spacing w:line="440" w:lineRule="exact"/>
        <w:rPr>
          <w:rFonts w:ascii="宋体" w:hAnsi="宋体"/>
          <w:sz w:val="24"/>
        </w:rPr>
      </w:pPr>
      <w:r>
        <w:rPr>
          <w:rFonts w:hint="eastAsia" w:ascii="宋体" w:hAnsi="宋体"/>
          <w:sz w:val="24"/>
        </w:rPr>
        <w:t xml:space="preserve">6.因投标人的系统环境、操作等原因导致的问题由投标人自行承担负责。</w:t>
      </w:r>
      <w:r/>
    </w:p>
    <w:p>
      <w:pPr>
        <w:ind w:firstLine="482"/>
        <w:spacing w:line="440" w:lineRule="exact"/>
        <w:rPr>
          <w:rFonts w:ascii="宋体" w:hAnsi="宋体"/>
          <w:sz w:val="24"/>
        </w:rPr>
      </w:pPr>
      <w:r>
        <w:rPr>
          <w:rFonts w:hint="eastAsia" w:ascii="宋体" w:hAnsi="宋体"/>
          <w:sz w:val="24"/>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pStyle w:val="967"/>
        <w:numPr>
          <w:ilvl w:val="0"/>
          <w:numId w:val="2"/>
        </w:numPr>
        <w:ind w:left="442" w:hanging="442"/>
        <w:spacing w:line="44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对本次招标提出询问，请按以下方式联系</w:t>
      </w:r>
      <w:bookmarkEnd w:id="17"/>
      <w:r/>
      <w:r/>
    </w:p>
    <w:p>
      <w:pPr>
        <w:pStyle w:val="798"/>
        <w:ind w:firstLine="560"/>
        <w:jc w:val="both"/>
        <w:spacing w:line="440" w:lineRule="exact"/>
        <w:shd w:val="clear" w:color="auto" w:fill="ffffff"/>
        <w:widowControl/>
        <w:rPr>
          <w:color w:val="auto"/>
          <w:sz w:val="24"/>
          <w:szCs w:val="24"/>
          <w:shd w:val="clear" w:color="auto" w:fill="ffffff"/>
        </w:rPr>
        <w:outlineLvl w:val="2"/>
      </w:pPr>
      <w:r>
        <w:rPr>
          <w:rFonts w:hint="eastAsia"/>
          <w:color w:val="auto"/>
          <w:sz w:val="24"/>
          <w:szCs w:val="24"/>
          <w:shd w:val="clear" w:color="auto" w:fill="ffffff"/>
        </w:rPr>
        <w:t xml:space="preserve">1.采购人信息</w:t>
      </w:r>
      <w:r/>
    </w:p>
    <w:p>
      <w:pPr>
        <w:pStyle w:val="798"/>
        <w:ind w:firstLine="560"/>
        <w:jc w:val="both"/>
        <w:spacing w:line="440"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名 称：盐城市射阳生态环境局</w:t>
      </w:r>
      <w:r/>
    </w:p>
    <w:p>
      <w:pPr>
        <w:pStyle w:val="798"/>
        <w:ind w:firstLine="560"/>
        <w:jc w:val="both"/>
        <w:spacing w:line="440"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地 址：江苏省射阳县沿河路80号</w:t>
      </w:r>
      <w:r/>
    </w:p>
    <w:p>
      <w:pPr>
        <w:pStyle w:val="798"/>
        <w:ind w:firstLine="560"/>
        <w:jc w:val="both"/>
        <w:spacing w:line="440"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联系人： 徐根红              </w:t>
      </w:r>
      <w:r/>
    </w:p>
    <w:p>
      <w:pPr>
        <w:pStyle w:val="798"/>
        <w:ind w:firstLine="560"/>
        <w:jc w:val="both"/>
        <w:spacing w:line="440"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联系方式：18862069570          </w:t>
      </w:r>
      <w:r/>
    </w:p>
    <w:p>
      <w:pPr>
        <w:pStyle w:val="798"/>
        <w:ind w:firstLine="560"/>
        <w:jc w:val="both"/>
        <w:spacing w:line="440" w:lineRule="exact"/>
        <w:shd w:val="clear" w:color="auto" w:fill="ffffff"/>
        <w:widowControl/>
        <w:rPr>
          <w:color w:val="auto"/>
          <w:sz w:val="24"/>
          <w:szCs w:val="24"/>
          <w:shd w:val="clear" w:color="auto" w:fill="ffffff"/>
        </w:rPr>
      </w:pPr>
      <w:r>
        <w:rPr>
          <w:color w:val="auto"/>
          <w:sz w:val="24"/>
          <w:szCs w:val="24"/>
          <w:shd w:val="clear" w:color="auto" w:fill="ffffff"/>
        </w:rPr>
      </w:r>
      <w:r/>
    </w:p>
    <w:p>
      <w:pPr>
        <w:pStyle w:val="798"/>
        <w:ind w:firstLine="560"/>
        <w:jc w:val="both"/>
        <w:spacing w:line="440"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2、采购代理机构信息（如有）</w:t>
      </w:r>
      <w:r/>
    </w:p>
    <w:p>
      <w:pPr>
        <w:pStyle w:val="798"/>
        <w:ind w:firstLine="560"/>
        <w:jc w:val="both"/>
        <w:spacing w:line="440"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单位名称：江苏久尧工程项目管理有限公司</w:t>
      </w:r>
      <w:r/>
    </w:p>
    <w:p>
      <w:pPr>
        <w:pStyle w:val="798"/>
        <w:ind w:firstLine="560"/>
        <w:jc w:val="both"/>
        <w:spacing w:line="440"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联系人：郭海林</w:t>
      </w:r>
      <w:r/>
    </w:p>
    <w:p>
      <w:pPr>
        <w:pStyle w:val="798"/>
        <w:ind w:firstLine="560"/>
        <w:jc w:val="both"/>
        <w:spacing w:line="440"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联系电话：15061627594</w:t>
      </w:r>
      <w:r/>
    </w:p>
    <w:p>
      <w:pPr>
        <w:pStyle w:val="798"/>
        <w:ind w:firstLine="560"/>
        <w:jc w:val="both"/>
        <w:spacing w:line="440" w:lineRule="exact"/>
        <w:shd w:val="clear" w:color="auto" w:fill="ffffff"/>
        <w:widowControl/>
        <w:rPr>
          <w:color w:val="auto"/>
          <w:sz w:val="24"/>
          <w:szCs w:val="24"/>
          <w:shd w:val="clear" w:color="auto" w:fill="ffffff"/>
        </w:rPr>
      </w:pPr>
      <w:r>
        <w:rPr>
          <w:color w:val="auto"/>
          <w:sz w:val="24"/>
          <w:szCs w:val="24"/>
          <w:shd w:val="clear" w:color="auto" w:fill="ffffff"/>
        </w:rPr>
      </w:r>
      <w:r/>
    </w:p>
    <w:p>
      <w:pPr>
        <w:pStyle w:val="798"/>
        <w:ind w:firstLine="560"/>
        <w:jc w:val="both"/>
        <w:spacing w:line="440"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3、项目联系方式</w:t>
      </w:r>
      <w:r/>
    </w:p>
    <w:p>
      <w:pPr>
        <w:pStyle w:val="798"/>
        <w:ind w:firstLine="560"/>
        <w:jc w:val="both"/>
        <w:spacing w:line="440"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项目联系人：郭海林</w:t>
      </w:r>
      <w:r/>
    </w:p>
    <w:p>
      <w:pPr>
        <w:pStyle w:val="798"/>
        <w:ind w:firstLine="560"/>
        <w:jc w:val="both"/>
        <w:spacing w:line="440" w:lineRule="exact"/>
        <w:shd w:val="clear" w:color="auto" w:fill="ffffff"/>
        <w:widowControl/>
        <w:rPr>
          <w:color w:val="auto"/>
          <w:sz w:val="24"/>
          <w:szCs w:val="24"/>
          <w:shd w:val="clear" w:color="auto" w:fill="ffffff"/>
        </w:rPr>
      </w:pPr>
      <w:r>
        <w:rPr>
          <w:rFonts w:hint="eastAsia"/>
          <w:color w:val="auto"/>
          <w:sz w:val="24"/>
          <w:szCs w:val="24"/>
          <w:shd w:val="clear" w:color="auto" w:fill="ffffff"/>
        </w:rPr>
        <w:t xml:space="preserve">电      话：15061627594</w:t>
      </w:r>
      <w:r/>
    </w:p>
    <w:p>
      <w:pPr>
        <w:pStyle w:val="798"/>
        <w:ind w:firstLine="560"/>
        <w:jc w:val="both"/>
        <w:spacing w:line="500" w:lineRule="exact"/>
        <w:shd w:val="clear" w:color="auto" w:fill="ffffff"/>
        <w:widowControl/>
        <w:rPr>
          <w:color w:val="auto"/>
          <w:shd w:val="clear" w:color="auto" w:fill="ffffff"/>
        </w:rPr>
      </w:pPr>
      <w:r>
        <w:rPr>
          <w:rFonts w:hint="eastAsia"/>
          <w:color w:val="auto"/>
          <w:shd w:val="clear" w:color="auto" w:fill="ffffff"/>
        </w:rPr>
        <w:br w:type="page" w:clear="all"/>
      </w:r>
      <w:r/>
    </w:p>
    <w:p>
      <w:pPr>
        <w:pStyle w:val="764"/>
        <w:numPr>
          <w:ilvl w:val="0"/>
          <w:numId w:val="1"/>
        </w:numPr>
        <w:ind w:left="0" w:firstLine="0"/>
        <w:jc w:val="center"/>
        <w:keepLines w:val="0"/>
        <w:keepNext w:val="0"/>
        <w:spacing w:before="0" w:beforeAutospacing="1" w:after="0" w:afterAutospacing="1" w:line="360" w:lineRule="auto"/>
        <w:rPr>
          <w:rFonts w:ascii="宋体" w:hAnsi="宋体" w:eastAsia="宋体" w:cs="Times New Roman"/>
          <w:b/>
          <w:bCs/>
          <w:color w:val="auto"/>
          <w:sz w:val="32"/>
          <w:szCs w:val="32"/>
        </w:rPr>
      </w:pPr>
      <w:r/>
      <w:bookmarkStart w:id="18" w:name="_Toc513029202"/>
      <w:r/>
      <w:bookmarkStart w:id="19" w:name="_Toc197644527"/>
      <w:r/>
      <w:bookmarkStart w:id="20" w:name="_Toc120614213"/>
      <w:r/>
      <w:bookmarkStart w:id="21" w:name="_Toc20823274"/>
      <w:r/>
      <w:bookmarkStart w:id="22" w:name="_Toc16938518"/>
      <w:r>
        <w:rPr>
          <w:rFonts w:hint="eastAsia" w:ascii="宋体" w:hAnsi="宋体" w:eastAsia="宋体" w:cs="Times New Roman"/>
          <w:b/>
          <w:bCs/>
          <w:color w:val="auto"/>
          <w:sz w:val="32"/>
          <w:szCs w:val="32"/>
        </w:rPr>
        <w:t xml:space="preserve">投标人须知</w:t>
      </w:r>
      <w:bookmarkEnd w:id="18"/>
      <w:r/>
      <w:bookmarkEnd w:id="19"/>
      <w:r/>
      <w:bookmarkEnd w:id="20"/>
      <w:r/>
      <w:bookmarkEnd w:id="21"/>
      <w:r/>
      <w:bookmarkEnd w:id="22"/>
      <w:r/>
      <w:r/>
    </w:p>
    <w:p>
      <w:pPr>
        <w:pStyle w:val="967"/>
        <w:numPr>
          <w:ilvl w:val="0"/>
          <w:numId w:val="6"/>
        </w:numPr>
        <w:jc w:val="left"/>
        <w:spacing w:line="480" w:lineRule="auto"/>
        <w:rPr>
          <w:rFonts w:ascii="宋体" w:hAnsi="宋体" w:eastAsia="宋体"/>
          <w:b/>
          <w:bCs/>
          <w:sz w:val="24"/>
          <w:szCs w:val="24"/>
        </w:rPr>
        <w:outlineLvl w:val="1"/>
      </w:pPr>
      <w:r/>
      <w:bookmarkStart w:id="23" w:name="_Toc197644528"/>
      <w:r/>
      <w:bookmarkStart w:id="24" w:name="OLE_LINK21"/>
      <w:r>
        <w:rPr>
          <w:rFonts w:hint="eastAsia" w:ascii="宋体" w:hAnsi="宋体" w:eastAsia="宋体"/>
          <w:b/>
          <w:bCs/>
          <w:sz w:val="24"/>
          <w:szCs w:val="24"/>
        </w:rPr>
        <w:t xml:space="preserve">总则</w:t>
      </w:r>
      <w:bookmarkEnd w:id="23"/>
      <w:r/>
      <w:r/>
    </w:p>
    <w:p>
      <w:pPr>
        <w:pStyle w:val="967"/>
        <w:numPr>
          <w:ilvl w:val="0"/>
          <w:numId w:val="7"/>
        </w:numPr>
        <w:ind w:left="0" w:firstLine="425"/>
        <w:spacing w:line="360" w:lineRule="auto"/>
        <w:rPr>
          <w:rFonts w:ascii="宋体" w:hAnsi="宋体" w:eastAsia="宋体" w:cs="宋体"/>
          <w:sz w:val="24"/>
          <w:szCs w:val="24"/>
        </w:rPr>
        <w:outlineLvl w:val="2"/>
      </w:pPr>
      <w:r/>
      <w:bookmarkStart w:id="25" w:name="_Toc197644529"/>
      <w:r>
        <w:rPr>
          <w:rFonts w:hint="eastAsia" w:ascii="宋体" w:hAnsi="宋体" w:eastAsia="宋体" w:cs="宋体"/>
          <w:sz w:val="24"/>
          <w:szCs w:val="24"/>
        </w:rPr>
        <w:t xml:space="preserve">招标方式</w:t>
      </w:r>
      <w:bookmarkEnd w:id="25"/>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本次招标采取公开招标方式，本招标文件仅适用于招标公告中所述项目。</w:t>
      </w:r>
      <w:r/>
    </w:p>
    <w:p>
      <w:pPr>
        <w:pStyle w:val="967"/>
        <w:numPr>
          <w:ilvl w:val="0"/>
          <w:numId w:val="7"/>
        </w:numPr>
        <w:ind w:left="0" w:firstLine="425"/>
        <w:spacing w:line="360" w:lineRule="auto"/>
        <w:rPr>
          <w:rFonts w:ascii="宋体" w:hAnsi="宋体" w:eastAsia="宋体" w:cs="宋体"/>
          <w:sz w:val="24"/>
          <w:szCs w:val="24"/>
        </w:rPr>
        <w:outlineLvl w:val="2"/>
      </w:pPr>
      <w:r/>
      <w:bookmarkStart w:id="26" w:name="_Toc197644530"/>
      <w:r>
        <w:rPr>
          <w:rFonts w:hint="eastAsia" w:ascii="宋体" w:hAnsi="宋体" w:eastAsia="宋体" w:cs="宋体"/>
          <w:sz w:val="24"/>
          <w:szCs w:val="24"/>
        </w:rPr>
        <w:t xml:space="preserve">合格的投标人</w:t>
      </w:r>
      <w:bookmarkEnd w:id="26"/>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满足招标公告中申请人的资格要求的规定。</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满足本文件实质性要求和条件的规定。</w:t>
      </w:r>
      <w:r/>
    </w:p>
    <w:p>
      <w:pPr>
        <w:pStyle w:val="967"/>
        <w:numPr>
          <w:ilvl w:val="0"/>
          <w:numId w:val="7"/>
        </w:numPr>
        <w:ind w:left="0" w:firstLine="425"/>
        <w:spacing w:line="360" w:lineRule="auto"/>
        <w:rPr>
          <w:rFonts w:ascii="宋体" w:hAnsi="宋体" w:eastAsia="宋体" w:cs="宋体"/>
          <w:sz w:val="24"/>
          <w:szCs w:val="24"/>
        </w:rPr>
        <w:outlineLvl w:val="2"/>
      </w:pPr>
      <w:r/>
      <w:bookmarkStart w:id="27" w:name="_Toc197644531"/>
      <w:r>
        <w:rPr>
          <w:rFonts w:hint="eastAsia" w:ascii="宋体" w:hAnsi="宋体" w:eastAsia="宋体" w:cs="宋体"/>
          <w:sz w:val="24"/>
          <w:szCs w:val="24"/>
        </w:rPr>
        <w:t xml:space="preserve">适用法律</w:t>
      </w:r>
      <w:bookmarkEnd w:id="27"/>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本次招标及由此产生的合同受中华人民共和国有关的法律法规制约和保护。</w:t>
      </w:r>
      <w:r/>
    </w:p>
    <w:p>
      <w:pPr>
        <w:pStyle w:val="967"/>
        <w:numPr>
          <w:ilvl w:val="0"/>
          <w:numId w:val="7"/>
        </w:numPr>
        <w:ind w:left="0" w:firstLine="425"/>
        <w:spacing w:line="360" w:lineRule="auto"/>
        <w:rPr>
          <w:rFonts w:ascii="宋体" w:hAnsi="宋体" w:eastAsia="宋体" w:cs="宋体"/>
          <w:sz w:val="24"/>
          <w:szCs w:val="24"/>
        </w:rPr>
        <w:outlineLvl w:val="2"/>
      </w:pPr>
      <w:r/>
      <w:bookmarkStart w:id="28" w:name="_Toc197644532"/>
      <w:r>
        <w:rPr>
          <w:rFonts w:hint="eastAsia" w:ascii="宋体" w:hAnsi="宋体" w:eastAsia="宋体" w:cs="宋体"/>
          <w:sz w:val="24"/>
          <w:szCs w:val="24"/>
        </w:rPr>
        <w:t xml:space="preserve">投标费用</w:t>
      </w:r>
      <w:bookmarkEnd w:id="28"/>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应自行承担所有与参加投标有关的费用，无论投标过程中的做法和结果如何，江苏久尧工程项目管理有限公司（以下简称采购代理机构）和盐城市射阳生态环境局（以下简称采购人）在任何情况下均无义务和责任承担这些费用。</w:t>
      </w:r>
      <w:r/>
    </w:p>
    <w:p>
      <w:pPr>
        <w:pStyle w:val="967"/>
        <w:numPr>
          <w:ilvl w:val="1"/>
          <w:numId w:val="7"/>
        </w:numPr>
        <w:ind w:left="0" w:firstLine="426"/>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本次招标采购代理机构和采购人不收取标书工本费。</w:t>
      </w:r>
      <w:r/>
    </w:p>
    <w:p>
      <w:pPr>
        <w:pStyle w:val="967"/>
        <w:numPr>
          <w:ilvl w:val="0"/>
          <w:numId w:val="7"/>
        </w:numPr>
        <w:ind w:left="0" w:firstLine="425"/>
        <w:spacing w:line="360" w:lineRule="auto"/>
        <w:rPr>
          <w:rFonts w:ascii="宋体" w:hAnsi="宋体" w:eastAsia="宋体" w:cs="宋体"/>
          <w:sz w:val="24"/>
          <w:szCs w:val="24"/>
        </w:rPr>
        <w:outlineLvl w:val="3"/>
      </w:pPr>
      <w:r/>
      <w:bookmarkStart w:id="29" w:name="_Toc197644533"/>
      <w:r>
        <w:rPr>
          <w:rFonts w:hint="eastAsia" w:ascii="宋体" w:hAnsi="宋体" w:eastAsia="宋体" w:cs="宋体"/>
          <w:sz w:val="24"/>
          <w:szCs w:val="24"/>
        </w:rPr>
        <w:t xml:space="preserve">本项目代理服务费按《江苏省政府采购代理服务收费指导意见》（苏政采协〔2024〕20号）向中标供应商收取。（本条不单独列表报价，自行综合考虑在投标报价中，中标后采购人不再另行支付）。</w:t>
      </w:r>
      <w:r/>
    </w:p>
    <w:p>
      <w:pPr>
        <w:pStyle w:val="967"/>
        <w:numPr>
          <w:ilvl w:val="0"/>
          <w:numId w:val="7"/>
        </w:numPr>
        <w:ind w:left="0" w:firstLine="425"/>
        <w:spacing w:line="360" w:lineRule="auto"/>
        <w:rPr>
          <w:rFonts w:ascii="宋体" w:hAnsi="宋体" w:eastAsia="宋体" w:cs="宋体"/>
          <w:sz w:val="24"/>
          <w:szCs w:val="24"/>
        </w:rPr>
        <w:outlineLvl w:val="3"/>
      </w:pPr>
      <w:r>
        <w:rPr>
          <w:rFonts w:ascii="宋体" w:hAnsi="宋体" w:eastAsia="宋体" w:cs="宋体"/>
          <w:sz w:val="24"/>
          <w:szCs w:val="24"/>
        </w:rPr>
        <w:t xml:space="preserve">成交单位如果未按规定缴纳成交服务费，按商业银行同期贷款利率上浮20%后的利率支付资金占用费（损害赔偿）。超过三个月的，采购代理机构有权保留诉讼的权利。</w:t>
      </w:r>
      <w:r/>
    </w:p>
    <w:p>
      <w:pPr>
        <w:pStyle w:val="967"/>
        <w:numPr>
          <w:ilvl w:val="0"/>
          <w:numId w:val="7"/>
        </w:numPr>
        <w:ind w:left="0" w:firstLine="425"/>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招标文件的约束力</w:t>
      </w:r>
      <w:bookmarkEnd w:id="29"/>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投标人一旦参加本项目采购活动，即被认为接受了本招标文件的规定和约束。</w:t>
      </w:r>
      <w:r/>
    </w:p>
    <w:p>
      <w:pPr>
        <w:pStyle w:val="967"/>
        <w:numPr>
          <w:ilvl w:val="0"/>
          <w:numId w:val="6"/>
        </w:numPr>
        <w:jc w:val="left"/>
        <w:spacing w:line="480" w:lineRule="auto"/>
        <w:rPr>
          <w:rFonts w:ascii="宋体" w:hAnsi="宋体" w:eastAsia="宋体"/>
          <w:b/>
          <w:bCs/>
          <w:sz w:val="24"/>
          <w:szCs w:val="24"/>
        </w:rPr>
        <w:outlineLvl w:val="1"/>
      </w:pPr>
      <w:r/>
      <w:bookmarkStart w:id="30" w:name="_Toc197644534"/>
      <w:r>
        <w:rPr>
          <w:rFonts w:hint="eastAsia" w:ascii="宋体" w:hAnsi="宋体" w:eastAsia="宋体"/>
          <w:b/>
          <w:bCs/>
          <w:sz w:val="24"/>
          <w:szCs w:val="24"/>
        </w:rPr>
        <w:t xml:space="preserve">招标文件</w:t>
      </w:r>
      <w:bookmarkEnd w:id="30"/>
      <w:r/>
      <w:r/>
    </w:p>
    <w:p>
      <w:pPr>
        <w:pStyle w:val="967"/>
        <w:numPr>
          <w:ilvl w:val="0"/>
          <w:numId w:val="7"/>
        </w:numPr>
        <w:ind w:left="0" w:firstLine="425"/>
        <w:spacing w:line="360" w:lineRule="auto"/>
        <w:rPr>
          <w:rFonts w:ascii="宋体" w:hAnsi="宋体" w:eastAsia="宋体" w:cs="宋体"/>
          <w:sz w:val="24"/>
          <w:szCs w:val="24"/>
        </w:rPr>
        <w:outlineLvl w:val="2"/>
      </w:pPr>
      <w:r/>
      <w:bookmarkStart w:id="31" w:name="_Toc197644535"/>
      <w:r>
        <w:rPr>
          <w:rFonts w:hint="eastAsia" w:ascii="宋体" w:hAnsi="宋体" w:eastAsia="宋体" w:cs="宋体"/>
          <w:sz w:val="24"/>
          <w:szCs w:val="24"/>
        </w:rPr>
        <w:t xml:space="preserve">招标文件构成</w:t>
      </w:r>
      <w:bookmarkEnd w:id="31"/>
      <w:r/>
      <w:r/>
    </w:p>
    <w:p>
      <w:pPr>
        <w:pStyle w:val="967"/>
        <w:numPr>
          <w:ilvl w:val="1"/>
          <w:numId w:val="7"/>
        </w:numPr>
        <w:ind w:left="0" w:firstLine="426"/>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招标文件由以下部分组成：</w:t>
      </w:r>
      <w:r/>
    </w:p>
    <w:p>
      <w:pPr>
        <w:pStyle w:val="967"/>
        <w:numPr>
          <w:ilvl w:val="0"/>
          <w:numId w:val="8"/>
        </w:numPr>
        <w:spacing w:line="360" w:lineRule="auto"/>
        <w:rPr>
          <w:rFonts w:ascii="宋体" w:hAnsi="宋体" w:eastAsia="宋体" w:cs="宋体"/>
          <w:sz w:val="24"/>
          <w:szCs w:val="24"/>
        </w:rPr>
      </w:pPr>
      <w:r>
        <w:rPr>
          <w:rFonts w:hint="eastAsia" w:ascii="宋体" w:hAnsi="宋体" w:eastAsia="宋体" w:cs="宋体"/>
          <w:sz w:val="24"/>
          <w:szCs w:val="24"/>
        </w:rPr>
        <w:t xml:space="preserve">招标公告</w:t>
      </w:r>
      <w:r/>
    </w:p>
    <w:p>
      <w:pPr>
        <w:pStyle w:val="967"/>
        <w:numPr>
          <w:ilvl w:val="0"/>
          <w:numId w:val="8"/>
        </w:numPr>
        <w:spacing w:line="360" w:lineRule="auto"/>
        <w:rPr>
          <w:rFonts w:ascii="宋体" w:hAnsi="宋体" w:eastAsia="宋体" w:cs="宋体"/>
          <w:sz w:val="24"/>
          <w:szCs w:val="24"/>
        </w:rPr>
      </w:pPr>
      <w:r>
        <w:rPr>
          <w:rFonts w:hint="eastAsia" w:ascii="宋体" w:hAnsi="宋体" w:eastAsia="宋体" w:cs="宋体"/>
          <w:sz w:val="24"/>
          <w:szCs w:val="24"/>
        </w:rPr>
        <w:t xml:space="preserve">投标人须知</w:t>
      </w:r>
      <w:r/>
    </w:p>
    <w:p>
      <w:pPr>
        <w:pStyle w:val="967"/>
        <w:numPr>
          <w:ilvl w:val="0"/>
          <w:numId w:val="8"/>
        </w:numPr>
        <w:spacing w:line="360" w:lineRule="auto"/>
        <w:rPr>
          <w:rFonts w:ascii="宋体" w:hAnsi="宋体" w:eastAsia="宋体" w:cs="宋体"/>
          <w:sz w:val="24"/>
          <w:szCs w:val="24"/>
        </w:rPr>
      </w:pPr>
      <w:r>
        <w:rPr>
          <w:rFonts w:hint="eastAsia" w:ascii="宋体" w:hAnsi="宋体" w:eastAsia="宋体" w:cs="宋体"/>
          <w:sz w:val="24"/>
          <w:szCs w:val="24"/>
        </w:rPr>
        <w:t xml:space="preserve">合同文本</w:t>
      </w:r>
      <w:r/>
    </w:p>
    <w:p>
      <w:pPr>
        <w:pStyle w:val="967"/>
        <w:numPr>
          <w:ilvl w:val="0"/>
          <w:numId w:val="8"/>
        </w:numPr>
        <w:spacing w:line="360" w:lineRule="auto"/>
        <w:rPr>
          <w:rFonts w:ascii="宋体" w:hAnsi="宋体" w:eastAsia="宋体" w:cs="宋体"/>
          <w:sz w:val="24"/>
          <w:szCs w:val="24"/>
        </w:rPr>
      </w:pPr>
      <w:r>
        <w:rPr>
          <w:rFonts w:hint="eastAsia" w:ascii="宋体" w:hAnsi="宋体" w:eastAsia="宋体" w:cs="宋体"/>
          <w:sz w:val="24"/>
          <w:szCs w:val="24"/>
        </w:rPr>
        <w:t xml:space="preserve">采购需求</w:t>
      </w:r>
      <w:r/>
    </w:p>
    <w:p>
      <w:pPr>
        <w:pStyle w:val="967"/>
        <w:numPr>
          <w:ilvl w:val="0"/>
          <w:numId w:val="8"/>
        </w:numPr>
        <w:spacing w:line="360" w:lineRule="auto"/>
        <w:rPr>
          <w:rFonts w:ascii="宋体" w:hAnsi="宋体" w:eastAsia="宋体" w:cs="宋体"/>
          <w:sz w:val="24"/>
          <w:szCs w:val="24"/>
        </w:rPr>
      </w:pPr>
      <w:r>
        <w:rPr>
          <w:rFonts w:hint="eastAsia" w:ascii="宋体" w:hAnsi="宋体" w:eastAsia="宋体" w:cs="宋体"/>
          <w:sz w:val="24"/>
          <w:szCs w:val="24"/>
        </w:rPr>
        <w:t xml:space="preserve">评标方法与评标标准</w:t>
      </w:r>
      <w:r/>
    </w:p>
    <w:p>
      <w:pPr>
        <w:pStyle w:val="967"/>
        <w:numPr>
          <w:ilvl w:val="0"/>
          <w:numId w:val="8"/>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投标文件格式</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7"/>
        <w:numPr>
          <w:ilvl w:val="0"/>
          <w:numId w:val="7"/>
        </w:numPr>
        <w:ind w:left="0" w:firstLine="425"/>
        <w:spacing w:line="360" w:lineRule="auto"/>
        <w:rPr>
          <w:rFonts w:ascii="宋体" w:hAnsi="宋体" w:eastAsia="宋体" w:cs="宋体"/>
          <w:sz w:val="24"/>
          <w:szCs w:val="24"/>
        </w:rPr>
        <w:outlineLvl w:val="2"/>
      </w:pPr>
      <w:r/>
      <w:bookmarkStart w:id="32" w:name="_Toc197644536"/>
      <w:r>
        <w:rPr>
          <w:rFonts w:hint="eastAsia" w:ascii="宋体" w:hAnsi="宋体" w:eastAsia="宋体" w:cs="宋体"/>
          <w:sz w:val="24"/>
          <w:szCs w:val="24"/>
        </w:rPr>
        <w:t xml:space="preserve">招标文件的澄清</w:t>
      </w:r>
      <w:bookmarkEnd w:id="32"/>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任何要求对招标文件进行澄清的投标人，应在投标截止期十日前按招标公告中的通讯地址，以书面形式通知采购代理机构。</w:t>
      </w:r>
      <w:r/>
    </w:p>
    <w:p>
      <w:pPr>
        <w:pStyle w:val="967"/>
        <w:numPr>
          <w:ilvl w:val="0"/>
          <w:numId w:val="7"/>
        </w:numPr>
        <w:ind w:left="0" w:firstLine="425"/>
        <w:spacing w:line="360" w:lineRule="auto"/>
        <w:rPr>
          <w:rFonts w:ascii="宋体" w:hAnsi="宋体" w:eastAsia="宋体" w:cs="宋体"/>
          <w:sz w:val="24"/>
          <w:szCs w:val="24"/>
        </w:rPr>
        <w:outlineLvl w:val="2"/>
      </w:pPr>
      <w:r/>
      <w:bookmarkStart w:id="33" w:name="_Toc197644537"/>
      <w:r>
        <w:rPr>
          <w:rFonts w:hint="eastAsia" w:ascii="宋体" w:hAnsi="宋体" w:eastAsia="宋体" w:cs="宋体"/>
          <w:sz w:val="24"/>
          <w:szCs w:val="24"/>
        </w:rPr>
        <w:t xml:space="preserve">招标文件的修改</w:t>
      </w:r>
      <w:bookmarkEnd w:id="33"/>
      <w:r/>
      <w:r/>
    </w:p>
    <w:p>
      <w:pPr>
        <w:pStyle w:val="967"/>
        <w:numPr>
          <w:ilvl w:val="1"/>
          <w:numId w:val="7"/>
        </w:numPr>
        <w:ind w:left="0" w:firstLine="426"/>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在投标截止时间前，采购代理机构可以对招标文件进行修改。</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采购代理机构有权按照法定的要求推迟投标截止日期和开标日期。</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招标文件的修改将在中国政府采购网、江苏政府采购网、盐城市政府采购网公布，补充文件将作为招标文件的组成部分，并对投标人具有约束力。</w:t>
      </w:r>
      <w:r/>
    </w:p>
    <w:p>
      <w:pPr>
        <w:pStyle w:val="967"/>
        <w:numPr>
          <w:ilvl w:val="0"/>
          <w:numId w:val="6"/>
        </w:numPr>
        <w:jc w:val="left"/>
        <w:spacing w:line="480" w:lineRule="auto"/>
        <w:rPr>
          <w:rFonts w:ascii="宋体" w:hAnsi="宋体" w:eastAsia="宋体"/>
          <w:b/>
          <w:bCs/>
          <w:sz w:val="24"/>
          <w:szCs w:val="24"/>
        </w:rPr>
        <w:outlineLvl w:val="1"/>
      </w:pPr>
      <w:r/>
      <w:bookmarkStart w:id="34" w:name="_Toc197644538"/>
      <w:r>
        <w:rPr>
          <w:rFonts w:hint="eastAsia" w:ascii="宋体" w:hAnsi="宋体" w:eastAsia="宋体" w:cs="宋体"/>
          <w:b/>
          <w:sz w:val="24"/>
          <w:szCs w:val="24"/>
        </w:rPr>
        <w:t xml:space="preserve">投标文件的编制</w:t>
      </w:r>
      <w:bookmarkEnd w:id="34"/>
      <w:r/>
      <w:r/>
    </w:p>
    <w:p>
      <w:pPr>
        <w:pStyle w:val="967"/>
        <w:numPr>
          <w:ilvl w:val="0"/>
          <w:numId w:val="7"/>
        </w:numPr>
        <w:ind w:left="0" w:firstLine="425"/>
        <w:spacing w:line="360" w:lineRule="auto"/>
        <w:rPr>
          <w:rFonts w:ascii="宋体" w:hAnsi="宋体" w:eastAsia="宋体" w:cs="宋体"/>
          <w:sz w:val="24"/>
          <w:szCs w:val="24"/>
        </w:rPr>
        <w:outlineLvl w:val="2"/>
      </w:pPr>
      <w:r/>
      <w:bookmarkStart w:id="35" w:name="_Toc197644539"/>
      <w:r>
        <w:rPr>
          <w:rFonts w:hint="eastAsia" w:ascii="宋体" w:hAnsi="宋体" w:eastAsia="宋体" w:cs="宋体"/>
          <w:sz w:val="24"/>
          <w:szCs w:val="24"/>
        </w:rPr>
        <w:t xml:space="preserve">投标文件的语言及度量衡单位</w:t>
      </w:r>
      <w:bookmarkEnd w:id="35"/>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投标人提交的投标文件以及投标人与采购代理机构就有关投标的所有来往通知、函件和文件均应使用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除技术性能另有规定外，投标文件所使用的度量衡单位，均须采用国家法定计量单位。</w:t>
      </w:r>
      <w:r/>
    </w:p>
    <w:p>
      <w:pPr>
        <w:pStyle w:val="967"/>
        <w:numPr>
          <w:ilvl w:val="0"/>
          <w:numId w:val="7"/>
        </w:numPr>
        <w:ind w:left="0" w:firstLine="425"/>
        <w:spacing w:line="360" w:lineRule="auto"/>
        <w:rPr>
          <w:rFonts w:ascii="宋体" w:hAnsi="宋体" w:eastAsia="宋体" w:cs="宋体"/>
          <w:sz w:val="24"/>
          <w:szCs w:val="24"/>
        </w:rPr>
        <w:outlineLvl w:val="2"/>
      </w:pPr>
      <w:r/>
      <w:bookmarkStart w:id="36" w:name="_Toc197644540"/>
      <w:r>
        <w:rPr>
          <w:rFonts w:hint="eastAsia" w:ascii="宋体" w:hAnsi="宋体" w:eastAsia="宋体" w:cs="宋体"/>
          <w:sz w:val="24"/>
          <w:szCs w:val="24"/>
        </w:rPr>
        <w:t xml:space="preserve">投标文件构成</w:t>
      </w:r>
      <w:bookmarkEnd w:id="36"/>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pStyle w:val="967"/>
        <w:numPr>
          <w:ilvl w:val="0"/>
          <w:numId w:val="7"/>
        </w:numPr>
        <w:ind w:left="0" w:firstLine="425"/>
        <w:spacing w:line="360" w:lineRule="auto"/>
        <w:rPr>
          <w:rFonts w:ascii="宋体" w:hAnsi="宋体" w:eastAsia="宋体" w:cs="宋体"/>
          <w:sz w:val="24"/>
          <w:szCs w:val="24"/>
        </w:rPr>
        <w:outlineLvl w:val="2"/>
      </w:pPr>
      <w:r/>
      <w:bookmarkStart w:id="37" w:name="_Toc197644541"/>
      <w:r>
        <w:rPr>
          <w:rFonts w:hint="eastAsia" w:ascii="宋体" w:hAnsi="宋体" w:eastAsia="宋体" w:cs="宋体"/>
          <w:sz w:val="24"/>
          <w:szCs w:val="24"/>
        </w:rPr>
        <w:t xml:space="preserve">证明投标人及投标标的符合招标文件规定的文件</w:t>
      </w:r>
      <w:bookmarkEnd w:id="37"/>
      <w:r/>
      <w:r/>
    </w:p>
    <w:p>
      <w:pPr>
        <w:pStyle w:val="967"/>
        <w:numPr>
          <w:ilvl w:val="1"/>
          <w:numId w:val="7"/>
        </w:numPr>
        <w:ind w:left="0" w:firstLine="426"/>
        <w:spacing w:line="360" w:lineRule="auto"/>
        <w:rPr>
          <w:rFonts w:ascii="宋体" w:hAnsi="宋体" w:eastAsia="宋体" w:cs="宋体"/>
          <w:sz w:val="24"/>
          <w:szCs w:val="24"/>
        </w:rPr>
      </w:pPr>
      <w:r/>
      <w:bookmarkStart w:id="38" w:name="_Toc49090508"/>
      <w:r/>
      <w:bookmarkStart w:id="39" w:name="_Toc14577355"/>
      <w:r>
        <w:rPr>
          <w:rFonts w:hint="eastAsia" w:ascii="宋体" w:hAnsi="宋体" w:eastAsia="宋体" w:cs="宋体"/>
          <w:sz w:val="24"/>
          <w:szCs w:val="24"/>
        </w:rPr>
        <w:t xml:space="preserve">投标人应按照法律、法规、规章和规范性文件以及招标文件要求提交证明文件，证明其及投标标的符合招标文件规定。</w:t>
      </w:r>
      <w:bookmarkEnd w:id="38"/>
      <w:r/>
      <w:bookmarkEnd w:id="39"/>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招标文件对证明文件无明确形式要求的，证明文件可以以文字资料、图纸和数据等形式提交。</w:t>
      </w:r>
      <w:r/>
    </w:p>
    <w:p>
      <w:pPr>
        <w:pStyle w:val="967"/>
        <w:numPr>
          <w:ilvl w:val="0"/>
          <w:numId w:val="7"/>
        </w:numPr>
        <w:ind w:left="0" w:firstLine="425"/>
        <w:spacing w:line="360" w:lineRule="auto"/>
        <w:rPr>
          <w:rFonts w:ascii="宋体" w:hAnsi="宋体" w:eastAsia="宋体" w:cs="宋体"/>
          <w:sz w:val="24"/>
          <w:szCs w:val="24"/>
        </w:rPr>
        <w:outlineLvl w:val="2"/>
      </w:pPr>
      <w:r>
        <w:rPr>
          <w:rFonts w:ascii="宋体" w:hAnsi="宋体" w:eastAsia="宋体" w:cs="宋体"/>
          <w:sz w:val="24"/>
          <w:szCs w:val="24"/>
        </w:rPr>
        <w:t xml:space="preserve">开标一览表</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投标人应按照招标文件规定格式填报开标一览表。</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投标货币。投标文件中的单价和总价无特殊规定的采用人民币报价，以元为单位标注。招标文件中另有规定的按规定执行。</w:t>
      </w:r>
      <w:r/>
    </w:p>
    <w:p>
      <w:pPr>
        <w:pStyle w:val="967"/>
        <w:numPr>
          <w:ilvl w:val="0"/>
          <w:numId w:val="7"/>
        </w:numPr>
        <w:ind w:left="0" w:firstLine="425"/>
        <w:spacing w:line="360" w:lineRule="auto"/>
        <w:rPr>
          <w:rFonts w:ascii="宋体" w:hAnsi="宋体" w:eastAsia="宋体" w:cs="宋体"/>
          <w:sz w:val="24"/>
          <w:szCs w:val="24"/>
        </w:rPr>
        <w:outlineLvl w:val="2"/>
      </w:pPr>
      <w:r/>
      <w:bookmarkStart w:id="40" w:name="_Toc197644543"/>
      <w:r>
        <w:rPr>
          <w:rFonts w:hint="eastAsia" w:ascii="宋体" w:hAnsi="宋体" w:eastAsia="宋体" w:cs="宋体"/>
          <w:sz w:val="24"/>
          <w:szCs w:val="24"/>
        </w:rPr>
        <w:t xml:space="preserve">技术要求响应及偏离表、商务要求响应及偏离表</w:t>
      </w:r>
      <w:bookmarkEnd w:id="40"/>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投标人需对招标文件中的技术要求与商务要求逐项作出响应或偏离，并说明原因。</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投标人可在投标文件中提供认为需要的其他技术文件或说明。</w:t>
      </w:r>
      <w:r/>
    </w:p>
    <w:p>
      <w:pPr>
        <w:pStyle w:val="967"/>
        <w:numPr>
          <w:ilvl w:val="0"/>
          <w:numId w:val="7"/>
        </w:numPr>
        <w:ind w:left="0" w:firstLine="425"/>
        <w:spacing w:line="360" w:lineRule="auto"/>
        <w:rPr>
          <w:rFonts w:ascii="宋体" w:hAnsi="宋体" w:eastAsia="宋体" w:cs="宋体"/>
          <w:sz w:val="24"/>
          <w:szCs w:val="24"/>
        </w:rPr>
        <w:outlineLvl w:val="2"/>
      </w:pPr>
      <w:r/>
      <w:bookmarkStart w:id="41" w:name="_Toc197644544"/>
      <w:r>
        <w:rPr>
          <w:rFonts w:hint="eastAsia" w:ascii="宋体" w:hAnsi="宋体" w:eastAsia="宋体" w:cs="宋体"/>
          <w:sz w:val="24"/>
          <w:szCs w:val="24"/>
        </w:rPr>
        <w:t xml:space="preserve">投标函和开标一览表</w:t>
      </w:r>
      <w:bookmarkEnd w:id="41"/>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投标人应按照招标文件中提供的格式完整、正确填写投标函、开标一览表。</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对于采用货币报价的项目，开标一览表中的投标总报价应与投标分项报价表中的投标总报价一致，如不一致，不作为无效投标处理，但评标时按开标一览表中价格为准。</w:t>
      </w:r>
      <w:r/>
    </w:p>
    <w:p>
      <w:pPr>
        <w:pStyle w:val="967"/>
        <w:numPr>
          <w:ilvl w:val="0"/>
          <w:numId w:val="7"/>
        </w:numPr>
        <w:ind w:left="0" w:firstLine="425"/>
        <w:spacing w:line="360" w:lineRule="auto"/>
        <w:rPr>
          <w:rFonts w:ascii="宋体" w:hAnsi="宋体" w:eastAsia="宋体" w:cs="宋体"/>
          <w:sz w:val="24"/>
          <w:szCs w:val="24"/>
        </w:rPr>
        <w:outlineLvl w:val="2"/>
      </w:pPr>
      <w:r/>
      <w:bookmarkStart w:id="42" w:name="_Toc197644545"/>
      <w:r>
        <w:rPr>
          <w:rFonts w:hint="eastAsia" w:ascii="宋体" w:hAnsi="宋体" w:eastAsia="宋体" w:cs="宋体"/>
          <w:sz w:val="24"/>
          <w:szCs w:val="24"/>
        </w:rPr>
        <w:t xml:space="preserve">投标有效期</w:t>
      </w:r>
      <w:bookmarkEnd w:id="42"/>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投标有效期为采购代理机构规定的开标之日后</w:t>
      </w:r>
      <w:r>
        <w:rPr>
          <w:rFonts w:hint="eastAsia" w:ascii="Times New Roman" w:hAnsi="Times New Roman" w:eastAsia="宋体" w:cs="Times New Roman"/>
          <w:b/>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pStyle w:val="967"/>
        <w:numPr>
          <w:ilvl w:val="0"/>
          <w:numId w:val="7"/>
        </w:numPr>
        <w:ind w:left="0" w:firstLine="425"/>
        <w:spacing w:line="360" w:lineRule="auto"/>
        <w:rPr>
          <w:rFonts w:ascii="宋体" w:hAnsi="宋体" w:eastAsia="宋体" w:cs="宋体"/>
          <w:sz w:val="24"/>
          <w:szCs w:val="24"/>
        </w:rPr>
        <w:outlineLvl w:val="2"/>
      </w:pPr>
      <w:r/>
      <w:bookmarkStart w:id="43" w:name="_Toc197644546"/>
      <w:r>
        <w:rPr>
          <w:rFonts w:hint="eastAsia" w:ascii="宋体" w:hAnsi="宋体" w:eastAsia="宋体" w:cs="宋体"/>
          <w:sz w:val="24"/>
          <w:szCs w:val="24"/>
        </w:rPr>
        <w:t xml:space="preserve">投标有效期的延长</w:t>
      </w:r>
      <w:bookmarkEnd w:id="43"/>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967"/>
        <w:numPr>
          <w:ilvl w:val="0"/>
          <w:numId w:val="6"/>
        </w:numPr>
        <w:jc w:val="left"/>
        <w:spacing w:line="480" w:lineRule="auto"/>
        <w:rPr>
          <w:rFonts w:ascii="宋体" w:hAnsi="宋体" w:eastAsia="宋体"/>
          <w:b/>
          <w:bCs/>
          <w:sz w:val="24"/>
          <w:szCs w:val="24"/>
        </w:rPr>
        <w:outlineLvl w:val="1"/>
      </w:pPr>
      <w:r/>
      <w:bookmarkStart w:id="44" w:name="_Toc197644547"/>
      <w:r>
        <w:rPr>
          <w:rFonts w:hint="eastAsia" w:ascii="宋体" w:hAnsi="宋体" w:eastAsia="宋体" w:cs="宋体"/>
          <w:b/>
          <w:sz w:val="24"/>
          <w:szCs w:val="24"/>
        </w:rPr>
        <w:t xml:space="preserve">投标文件的递交</w:t>
      </w:r>
      <w:bookmarkEnd w:id="44"/>
      <w:r/>
      <w:r/>
    </w:p>
    <w:p>
      <w:pPr>
        <w:pStyle w:val="967"/>
        <w:numPr>
          <w:ilvl w:val="0"/>
          <w:numId w:val="7"/>
        </w:numPr>
        <w:ind w:left="0" w:firstLine="425"/>
        <w:spacing w:line="360" w:lineRule="auto"/>
        <w:rPr>
          <w:rFonts w:ascii="宋体" w:hAnsi="宋体" w:eastAsia="宋体" w:cs="宋体"/>
          <w:sz w:val="24"/>
          <w:szCs w:val="24"/>
        </w:rPr>
        <w:outlineLvl w:val="2"/>
      </w:pPr>
      <w:r/>
      <w:bookmarkStart w:id="45" w:name="_Toc197644548"/>
      <w:r>
        <w:rPr>
          <w:rFonts w:hint="eastAsia" w:ascii="宋体" w:hAnsi="宋体" w:eastAsia="宋体" w:cs="宋体"/>
          <w:sz w:val="24"/>
          <w:szCs w:val="24"/>
        </w:rPr>
        <w:t xml:space="preserve">投标文件的递交</w:t>
      </w:r>
      <w:bookmarkEnd w:id="45"/>
      <w:r/>
      <w:r/>
    </w:p>
    <w:p>
      <w:pPr>
        <w:pStyle w:val="967"/>
        <w:numPr>
          <w:ilvl w:val="1"/>
          <w:numId w:val="7"/>
        </w:numPr>
        <w:ind w:left="0" w:firstLine="426"/>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电子投标文件的递交</w:t>
      </w:r>
      <w:r/>
    </w:p>
    <w:p>
      <w:pPr>
        <w:pStyle w:val="967"/>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r/>
    </w:p>
    <w:p>
      <w:pPr>
        <w:pStyle w:val="967"/>
        <w:numPr>
          <w:ilvl w:val="0"/>
          <w:numId w:val="7"/>
        </w:numPr>
        <w:ind w:left="0" w:firstLine="425"/>
        <w:spacing w:line="360" w:lineRule="auto"/>
        <w:rPr>
          <w:rFonts w:ascii="宋体" w:hAnsi="宋体" w:eastAsia="宋体" w:cs="宋体"/>
          <w:sz w:val="24"/>
          <w:szCs w:val="24"/>
        </w:rPr>
        <w:outlineLvl w:val="2"/>
      </w:pPr>
      <w:r/>
      <w:bookmarkStart w:id="46" w:name="_Toc197644549"/>
      <w:r>
        <w:rPr>
          <w:rFonts w:hint="eastAsia" w:ascii="宋体" w:hAnsi="宋体" w:eastAsia="宋体" w:cs="宋体"/>
          <w:sz w:val="24"/>
          <w:szCs w:val="24"/>
        </w:rPr>
        <w:t xml:space="preserve">投标截止时间</w:t>
      </w:r>
      <w:bookmarkEnd w:id="46"/>
      <w:r/>
      <w:r/>
    </w:p>
    <w:p>
      <w:pPr>
        <w:pStyle w:val="967"/>
        <w:numPr>
          <w:ilvl w:val="1"/>
          <w:numId w:val="7"/>
        </w:numPr>
        <w:ind w:left="0" w:firstLine="426"/>
        <w:spacing w:line="360" w:lineRule="auto"/>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投标人上传电子投标文件的时间不得迟于招标公告中规定的投标截止时间。</w:t>
      </w:r>
      <w:r/>
    </w:p>
    <w:p>
      <w:pPr>
        <w:pStyle w:val="967"/>
        <w:ind w:left="0" w:firstLine="424"/>
        <w:spacing w:line="360" w:lineRule="auto"/>
        <w:rPr>
          <w:rFonts w:ascii="宋体" w:hAnsi="宋体" w:eastAsia="宋体" w:cs="宋体"/>
          <w:i/>
          <w:iCs/>
          <w:sz w:val="24"/>
          <w:szCs w:val="24"/>
          <w:u w:val="single"/>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967"/>
        <w:numPr>
          <w:ilvl w:val="0"/>
          <w:numId w:val="7"/>
        </w:numPr>
        <w:ind w:left="0" w:firstLine="425"/>
        <w:spacing w:line="360" w:lineRule="auto"/>
        <w:rPr>
          <w:rFonts w:ascii="宋体" w:hAnsi="宋体" w:eastAsia="宋体" w:cs="宋体"/>
          <w:sz w:val="24"/>
          <w:szCs w:val="24"/>
        </w:rPr>
        <w:outlineLvl w:val="2"/>
      </w:pPr>
      <w:r/>
      <w:bookmarkStart w:id="47" w:name="_Toc16938543"/>
      <w:r/>
      <w:bookmarkStart w:id="48" w:name="_Toc20823299"/>
      <w:r/>
      <w:bookmarkStart w:id="49" w:name="_Toc513029227"/>
      <w:r/>
      <w:bookmarkStart w:id="50" w:name="_Toc197644550"/>
      <w:r>
        <w:rPr>
          <w:rFonts w:hint="eastAsia" w:ascii="宋体" w:hAnsi="宋体" w:eastAsia="宋体" w:cs="宋体"/>
          <w:sz w:val="24"/>
          <w:szCs w:val="24"/>
        </w:rPr>
        <w:t xml:space="preserve">投标文件</w:t>
      </w:r>
      <w:bookmarkEnd w:id="47"/>
      <w:r/>
      <w:bookmarkEnd w:id="48"/>
      <w:r/>
      <w:bookmarkEnd w:id="49"/>
      <w:r>
        <w:rPr>
          <w:rFonts w:hint="eastAsia" w:ascii="宋体" w:hAnsi="宋体" w:eastAsia="宋体" w:cs="宋体"/>
          <w:sz w:val="24"/>
          <w:szCs w:val="24"/>
        </w:rPr>
        <w:t xml:space="preserve">的拒收</w:t>
      </w:r>
      <w:bookmarkEnd w:id="50"/>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采购代理机构拒绝接收在其规定的投标截止时间后上传的任何投标文件。</w:t>
      </w:r>
      <w:r/>
    </w:p>
    <w:p>
      <w:pPr>
        <w:pStyle w:val="967"/>
        <w:numPr>
          <w:ilvl w:val="0"/>
          <w:numId w:val="7"/>
        </w:numPr>
        <w:ind w:left="0" w:firstLine="425"/>
        <w:spacing w:line="360" w:lineRule="auto"/>
        <w:rPr>
          <w:rFonts w:ascii="宋体" w:hAnsi="宋体" w:eastAsia="宋体" w:cs="宋体"/>
          <w:sz w:val="24"/>
          <w:szCs w:val="24"/>
        </w:rPr>
        <w:outlineLvl w:val="2"/>
      </w:pPr>
      <w:r/>
      <w:bookmarkStart w:id="51" w:name="_Toc513029228"/>
      <w:r/>
      <w:bookmarkStart w:id="52" w:name="_Toc197644551"/>
      <w:r/>
      <w:bookmarkStart w:id="53" w:name="_Toc20823300"/>
      <w:r/>
      <w:bookmarkStart w:id="54" w:name="_Toc16938544"/>
      <w:r>
        <w:rPr>
          <w:rFonts w:hint="eastAsia" w:ascii="宋体" w:hAnsi="宋体" w:eastAsia="宋体" w:cs="宋体"/>
          <w:sz w:val="24"/>
          <w:szCs w:val="24"/>
        </w:rPr>
        <w:t xml:space="preserve">投标文件的撤回和修改</w:t>
      </w:r>
      <w:bookmarkEnd w:id="51"/>
      <w:r/>
      <w:bookmarkEnd w:id="52"/>
      <w:r/>
      <w:bookmarkEnd w:id="53"/>
      <w:r/>
      <w:bookmarkEnd w:id="54"/>
      <w:r/>
      <w:r/>
    </w:p>
    <w:p>
      <w:pPr>
        <w:pStyle w:val="967"/>
        <w:numPr>
          <w:ilvl w:val="1"/>
          <w:numId w:val="7"/>
        </w:numPr>
        <w:ind w:left="0" w:firstLine="426"/>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投标文件的撤回</w:t>
      </w:r>
      <w:r/>
    </w:p>
    <w:p>
      <w:pPr>
        <w:pStyle w:val="967"/>
        <w:numPr>
          <w:ilvl w:val="2"/>
          <w:numId w:val="7"/>
        </w:numPr>
        <w:ind w:hanging="1142"/>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电子投标文件的撤回</w:t>
      </w:r>
      <w:r/>
    </w:p>
    <w:p>
      <w:pPr>
        <w:pStyle w:val="967"/>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pStyle w:val="967"/>
        <w:numPr>
          <w:ilvl w:val="2"/>
          <w:numId w:val="7"/>
        </w:numPr>
        <w:ind w:hanging="1142"/>
        <w:spacing w:line="360" w:lineRule="auto"/>
        <w:rPr>
          <w:rFonts w:ascii="宋体" w:hAnsi="宋体" w:eastAsia="宋体" w:cs="宋体"/>
          <w:sz w:val="24"/>
          <w:szCs w:val="24"/>
        </w:rPr>
      </w:pPr>
      <w:r>
        <w:rPr>
          <w:rFonts w:hint="eastAsia" w:ascii="宋体" w:hAnsi="宋体" w:eastAsia="宋体" w:cs="宋体"/>
          <w:sz w:val="24"/>
          <w:szCs w:val="24"/>
        </w:rPr>
        <w:t xml:space="preserve">投标人撤回电子投标文件，则认为其不再参与本项目投标活动。</w:t>
      </w:r>
      <w:r/>
    </w:p>
    <w:p>
      <w:pPr>
        <w:pStyle w:val="967"/>
        <w:numPr>
          <w:ilvl w:val="1"/>
          <w:numId w:val="7"/>
        </w:numPr>
        <w:ind w:left="0" w:firstLine="426"/>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投标文件的修改</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投标人可在投标截止时间前，对其电子投标文件进行修改，具体操作方法见《操作手册》。</w:t>
      </w:r>
      <w:r/>
    </w:p>
    <w:p>
      <w:pPr>
        <w:pStyle w:val="967"/>
        <w:numPr>
          <w:ilvl w:val="2"/>
          <w:numId w:val="7"/>
        </w:numPr>
        <w:ind w:hanging="1142"/>
        <w:spacing w:line="360" w:lineRule="auto"/>
        <w:rPr>
          <w:rFonts w:ascii="宋体" w:hAnsi="宋体" w:eastAsia="宋体" w:cs="宋体"/>
          <w:sz w:val="24"/>
          <w:szCs w:val="24"/>
        </w:rPr>
      </w:pPr>
      <w:r>
        <w:rPr>
          <w:rFonts w:hint="eastAsia" w:ascii="宋体" w:hAnsi="宋体" w:eastAsia="宋体" w:cs="宋体"/>
          <w:sz w:val="24"/>
          <w:szCs w:val="24"/>
        </w:rPr>
        <w:t xml:space="preserve">在投标截止时间之后，投标人不得对其电子投标文件作任何修改。</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在投标截止时间至招标文件中规定的投标有效期满之间的这段时间内，投标人不得撤回其投标。</w:t>
      </w:r>
      <w:r/>
    </w:p>
    <w:p>
      <w:pPr>
        <w:pStyle w:val="967"/>
        <w:numPr>
          <w:ilvl w:val="0"/>
          <w:numId w:val="6"/>
        </w:numPr>
        <w:jc w:val="left"/>
        <w:spacing w:line="480" w:lineRule="auto"/>
        <w:rPr>
          <w:rFonts w:ascii="宋体" w:hAnsi="宋体" w:eastAsia="宋体"/>
          <w:b/>
          <w:bCs/>
          <w:sz w:val="24"/>
          <w:szCs w:val="24"/>
        </w:rPr>
        <w:outlineLvl w:val="1"/>
      </w:pPr>
      <w:r/>
      <w:bookmarkStart w:id="55" w:name="_Toc197644552"/>
      <w:r>
        <w:rPr>
          <w:rFonts w:hint="eastAsia" w:ascii="宋体" w:hAnsi="宋体" w:eastAsia="宋体" w:cs="宋体"/>
          <w:b/>
          <w:sz w:val="24"/>
          <w:szCs w:val="24"/>
        </w:rPr>
        <w:t xml:space="preserve">开标与评标</w:t>
      </w:r>
      <w:bookmarkEnd w:id="55"/>
      <w:r/>
      <w:r/>
    </w:p>
    <w:p>
      <w:pPr>
        <w:pStyle w:val="967"/>
        <w:numPr>
          <w:ilvl w:val="0"/>
          <w:numId w:val="7"/>
        </w:numPr>
        <w:ind w:left="0" w:firstLine="425"/>
        <w:spacing w:line="360" w:lineRule="auto"/>
        <w:rPr>
          <w:rFonts w:ascii="宋体" w:hAnsi="宋体" w:eastAsia="宋体" w:cs="宋体"/>
          <w:sz w:val="24"/>
          <w:szCs w:val="24"/>
        </w:rPr>
        <w:outlineLvl w:val="2"/>
      </w:pPr>
      <w:r/>
      <w:bookmarkStart w:id="56" w:name="_Toc20823302"/>
      <w:r/>
      <w:bookmarkStart w:id="57" w:name="_Toc513029230"/>
      <w:r/>
      <w:bookmarkStart w:id="58" w:name="_Toc197644553"/>
      <w:r/>
      <w:bookmarkStart w:id="59" w:name="_Toc16938546"/>
      <w:r>
        <w:rPr>
          <w:rFonts w:hint="eastAsia" w:ascii="宋体" w:hAnsi="宋体" w:eastAsia="宋体" w:cs="宋体"/>
          <w:sz w:val="24"/>
          <w:szCs w:val="24"/>
        </w:rPr>
        <w:t xml:space="preserve">开标</w:t>
      </w:r>
      <w:bookmarkEnd w:id="56"/>
      <w:r/>
      <w:bookmarkEnd w:id="57"/>
      <w:r/>
      <w:bookmarkEnd w:id="58"/>
      <w:r/>
      <w:bookmarkEnd w:id="59"/>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采购代理机构将在招标公告中规定的时间和地点组织公开开标。投标人应当按照《操作手册》规定，参加开标活动和在“苏采云”系统规定的时间内对投标文件进行解密。</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开标仪式由采购代理机构组织。“苏采云”系统将自动对项目进行开标，并宣布各投标人名称和投标价格。</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投标人在开标过程中涉及到的投标文件解密、开标结果确认等工作，应按照《操作手册》规定执行。</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投标人如果对开标过程和开标记录有疑义，应当根据《操作手册》规定提出，如“苏采云”系统中《开标记录表》宣布后5分钟内未提出的，视同认可开标结果。</w:t>
      </w:r>
      <w:r/>
    </w:p>
    <w:p>
      <w:pPr>
        <w:pStyle w:val="967"/>
        <w:numPr>
          <w:ilvl w:val="0"/>
          <w:numId w:val="7"/>
        </w:numPr>
        <w:ind w:left="0" w:firstLine="425"/>
        <w:spacing w:line="360" w:lineRule="auto"/>
        <w:rPr>
          <w:rFonts w:ascii="宋体" w:hAnsi="宋体" w:eastAsia="宋体" w:cs="宋体"/>
          <w:sz w:val="24"/>
          <w:szCs w:val="24"/>
        </w:rPr>
        <w:outlineLvl w:val="2"/>
      </w:pPr>
      <w:r/>
      <w:bookmarkStart w:id="60" w:name="_Toc513029231"/>
      <w:r/>
      <w:bookmarkStart w:id="61" w:name="_Toc16938547"/>
      <w:r/>
      <w:bookmarkStart w:id="62" w:name="_Toc20823303"/>
      <w:r/>
      <w:bookmarkStart w:id="63" w:name="_Toc197644554"/>
      <w:r>
        <w:rPr>
          <w:rFonts w:hint="eastAsia" w:ascii="宋体" w:hAnsi="宋体" w:eastAsia="宋体" w:cs="宋体"/>
          <w:sz w:val="24"/>
          <w:szCs w:val="24"/>
        </w:rPr>
        <w:t xml:space="preserve">评标委员会</w:t>
      </w:r>
      <w:bookmarkEnd w:id="60"/>
      <w:r/>
      <w:bookmarkEnd w:id="61"/>
      <w:r/>
      <w:bookmarkEnd w:id="62"/>
      <w:r/>
      <w:bookmarkEnd w:id="63"/>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开标后，采购代理机构将立即组织评标委员会（以下简称评委会）进行评标。</w:t>
      </w:r>
      <w:r/>
    </w:p>
    <w:p>
      <w:pPr>
        <w:pStyle w:val="967"/>
        <w:numPr>
          <w:ilvl w:val="1"/>
          <w:numId w:val="7"/>
        </w:numPr>
        <w:ind w:left="0" w:firstLine="426"/>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评委委员会将按规定由技术、经济5人专家组成。</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评委会独立工作，负责评审所有投标文件并确定中标候选人。</w:t>
      </w:r>
      <w:r/>
    </w:p>
    <w:p>
      <w:pPr>
        <w:pStyle w:val="967"/>
        <w:numPr>
          <w:ilvl w:val="0"/>
          <w:numId w:val="7"/>
        </w:numPr>
        <w:ind w:left="0" w:firstLine="425"/>
        <w:spacing w:line="360" w:lineRule="auto"/>
        <w:rPr>
          <w:rFonts w:ascii="宋体" w:hAnsi="宋体" w:eastAsia="宋体" w:cs="宋体"/>
          <w:sz w:val="24"/>
          <w:szCs w:val="24"/>
        </w:rPr>
        <w:outlineLvl w:val="2"/>
      </w:pPr>
      <w:r/>
      <w:bookmarkStart w:id="64" w:name="_Toc197644555"/>
      <w:r>
        <w:rPr>
          <w:rFonts w:hint="eastAsia" w:ascii="宋体" w:hAnsi="宋体" w:eastAsia="宋体" w:cs="宋体"/>
          <w:sz w:val="24"/>
          <w:szCs w:val="24"/>
        </w:rPr>
        <w:t xml:space="preserve">评标过程的保密与公正</w:t>
      </w:r>
      <w:bookmarkEnd w:id="64"/>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凡是与审查、澄清、评价和比较投标的有关资料以及授标建议等，采购人、评委、采购代理机构均不得向投标人或与评标无关的其他人员透露。</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在评标过程中，投标人不得以任何行为影响评标过程，否则其投标文件将被作为无效投标文件。</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采购代理机构和评标委员会不向未中标的投标人解释未中标原因，也不公布评标过程中的相关细节。</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采用综合评分法的项目，未中标的投标人可于中标结果公告期限届满之日起通过“苏采云”系统查看自己的评审得分及排序情况。</w:t>
      </w:r>
      <w:r/>
    </w:p>
    <w:p>
      <w:pPr>
        <w:pStyle w:val="967"/>
        <w:numPr>
          <w:ilvl w:val="0"/>
          <w:numId w:val="7"/>
        </w:numPr>
        <w:ind w:left="0" w:firstLine="425"/>
        <w:spacing w:line="360" w:lineRule="auto"/>
        <w:rPr>
          <w:rFonts w:ascii="宋体" w:hAnsi="宋体" w:eastAsia="宋体" w:cs="宋体"/>
          <w:sz w:val="24"/>
          <w:szCs w:val="24"/>
        </w:rPr>
        <w:outlineLvl w:val="2"/>
      </w:pPr>
      <w:r/>
      <w:bookmarkStart w:id="65" w:name="_Toc16938548"/>
      <w:r/>
      <w:bookmarkStart w:id="66" w:name="_Toc197644556"/>
      <w:r/>
      <w:bookmarkStart w:id="67" w:name="_Toc513029232"/>
      <w:r/>
      <w:bookmarkStart w:id="68" w:name="_Toc20823304"/>
      <w:r>
        <w:rPr>
          <w:rFonts w:hint="eastAsia" w:ascii="宋体" w:hAnsi="宋体" w:eastAsia="宋体" w:cs="宋体"/>
          <w:sz w:val="24"/>
          <w:szCs w:val="24"/>
        </w:rPr>
        <w:t xml:space="preserve">投标文件的澄清</w:t>
      </w:r>
      <w:bookmarkEnd w:id="65"/>
      <w:r/>
      <w:bookmarkEnd w:id="66"/>
      <w:r/>
      <w:bookmarkEnd w:id="67"/>
      <w:r/>
      <w:bookmarkEnd w:id="68"/>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评标期间，评委会对投标文件中含义不明确、同类问题表述不一致或者有明显文字和计算错误的内容，有权要求投标人作出必要的澄清、说明或者补正。</w:t>
      </w:r>
      <w:r/>
    </w:p>
    <w:p>
      <w:pPr>
        <w:pStyle w:val="967"/>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pStyle w:val="967"/>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评委会并非对每个投标人都做澄清要求。</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接到评委会澄清、说明和补正要求的投标人如未按规定做出澄清、说明和补正，其风险由投标人自行承担。</w:t>
      </w:r>
      <w:r/>
    </w:p>
    <w:p>
      <w:pPr>
        <w:pStyle w:val="967"/>
        <w:numPr>
          <w:ilvl w:val="0"/>
          <w:numId w:val="7"/>
        </w:numPr>
        <w:ind w:left="0" w:firstLine="425"/>
        <w:spacing w:line="360" w:lineRule="auto"/>
        <w:rPr>
          <w:rFonts w:ascii="宋体" w:hAnsi="宋体" w:eastAsia="宋体" w:cs="宋体"/>
          <w:sz w:val="24"/>
          <w:szCs w:val="24"/>
        </w:rPr>
        <w:outlineLvl w:val="2"/>
      </w:pPr>
      <w:r/>
      <w:bookmarkStart w:id="69" w:name="_Toc16938549"/>
      <w:r/>
      <w:bookmarkStart w:id="70" w:name="_Toc20823305"/>
      <w:r/>
      <w:bookmarkStart w:id="71" w:name="_Toc513029233"/>
      <w:r/>
      <w:bookmarkStart w:id="72" w:name="_Toc197644557"/>
      <w:r>
        <w:rPr>
          <w:rFonts w:hint="eastAsia" w:ascii="宋体" w:hAnsi="宋体" w:eastAsia="宋体" w:cs="宋体"/>
          <w:sz w:val="24"/>
          <w:szCs w:val="24"/>
        </w:rPr>
        <w:t xml:space="preserve">对投标文件的初审</w:t>
      </w:r>
      <w:bookmarkEnd w:id="69"/>
      <w:r/>
      <w:bookmarkEnd w:id="70"/>
      <w:r/>
      <w:bookmarkEnd w:id="71"/>
      <w:r/>
      <w:bookmarkEnd w:id="72"/>
      <w:r/>
      <w:r/>
    </w:p>
    <w:p>
      <w:pPr>
        <w:pStyle w:val="967"/>
        <w:numPr>
          <w:ilvl w:val="1"/>
          <w:numId w:val="7"/>
        </w:numPr>
        <w:ind w:left="0" w:firstLine="426"/>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投标文件初审分为资格审查和符合性审查。</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资格审查：依据法律法规和招标文件的规定，由采购人对投标文件中的资格证明文件进行审查。资格审查的结论，采购人以书面形式向评委会进行反馈。</w:t>
      </w:r>
      <w:r/>
    </w:p>
    <w:p>
      <w:pPr>
        <w:pStyle w:val="967"/>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符合性审查：依据招标文件的规定，由评委会从投标文件的有效性、完整性和对招标文件的响应程度进行审查，以确定是否对招标文件的实质性要求作出响应。</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未通过资格审查或符合性审查的投标人，采购代理机构将在“苏采云”系统中告知未通过资格审查或符合性审查的原因，评标结束后，采购代理机构将不再告知未通过资格审查和符合性审查的原因。</w:t>
      </w:r>
      <w:r/>
    </w:p>
    <w:p>
      <w:pPr>
        <w:pStyle w:val="967"/>
        <w:numPr>
          <w:ilvl w:val="1"/>
          <w:numId w:val="7"/>
        </w:numPr>
        <w:ind w:left="0" w:firstLine="426"/>
        <w:spacing w:line="360" w:lineRule="auto"/>
        <w:rPr>
          <w:rFonts w:ascii="宋体" w:hAnsi="宋体" w:eastAsia="宋体" w:cs="宋体"/>
          <w:sz w:val="24"/>
          <w:szCs w:val="24"/>
        </w:rPr>
      </w:pPr>
      <w:r/>
      <w:bookmarkStart w:id="73" w:name="OLE_LINK2"/>
      <w:r>
        <w:rPr>
          <w:rFonts w:hint="eastAsia" w:ascii="宋体" w:hAnsi="宋体" w:eastAsia="宋体" w:cs="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bookmarkEnd w:id="73"/>
      <w:r/>
      <w:r/>
    </w:p>
    <w:p>
      <w:pPr>
        <w:pStyle w:val="967"/>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如果投标文件实质上没有响应招标文件的要求，评委会将予以拒绝，投标人不得通过修改或撤销不合要求的偏离或保留而使其投标成为实质性响应的投标。</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评委会将对确定为实质性响应的投标进行进一步审核，确定其是否有计算上或累加上的算术错误，修正错误的原则如下：</w:t>
      </w:r>
      <w:r/>
    </w:p>
    <w:p>
      <w:pPr>
        <w:pStyle w:val="967"/>
        <w:numPr>
          <w:ilvl w:val="0"/>
          <w:numId w:val="9"/>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投标文件中开标一览表内容与投标文件中相应内容不一致的，以开标一览表为准。</w:t>
      </w:r>
      <w:r/>
    </w:p>
    <w:p>
      <w:pPr>
        <w:pStyle w:val="967"/>
        <w:numPr>
          <w:ilvl w:val="0"/>
          <w:numId w:val="9"/>
        </w:numPr>
        <w:ind w:left="0" w:firstLine="426"/>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大写金额和小写金额不一致的，以大写金额为准。</w:t>
      </w:r>
      <w:r/>
    </w:p>
    <w:p>
      <w:pPr>
        <w:pStyle w:val="967"/>
        <w:numPr>
          <w:ilvl w:val="0"/>
          <w:numId w:val="9"/>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单价金额小数点或者百分比有明显错位的，以开标一览表的总价为准，并修改单价。</w:t>
      </w:r>
      <w:r/>
    </w:p>
    <w:p>
      <w:pPr>
        <w:pStyle w:val="967"/>
        <w:numPr>
          <w:ilvl w:val="0"/>
          <w:numId w:val="9"/>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总价金额与按单价汇总金额不一致的，以单价金额计算结果为准。</w:t>
      </w:r>
      <w:r/>
    </w:p>
    <w:p>
      <w:pPr>
        <w:pStyle w:val="967"/>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pStyle w:val="967"/>
        <w:numPr>
          <w:ilvl w:val="1"/>
          <w:numId w:val="7"/>
        </w:numPr>
        <w:ind w:left="0" w:firstLine="426"/>
        <w:spacing w:line="360" w:lineRule="auto"/>
        <w:rPr>
          <w:rFonts w:ascii="宋体" w:hAnsi="宋体" w:eastAsia="宋体" w:cs="宋体"/>
          <w:sz w:val="24"/>
          <w:szCs w:val="24"/>
        </w:rPr>
      </w:pPr>
      <w:r/>
      <w:bookmarkStart w:id="74" w:name="_Toc16938550"/>
      <w:r/>
      <w:bookmarkStart w:id="75" w:name="_Toc513029234"/>
      <w:r/>
      <w:bookmarkStart w:id="76" w:name="_Toc20823306"/>
      <w:r>
        <w:rPr>
          <w:rFonts w:hint="eastAsia" w:ascii="宋体" w:hAnsi="宋体" w:eastAsia="宋体" w:cs="宋体"/>
          <w:sz w:val="24"/>
          <w:szCs w:val="24"/>
        </w:rPr>
        <w:t xml:space="preserve">投标人在开、评标全过程中应保持通讯畅通，及时登录“苏采云”系统查阅、答复相关信息，并安排专人与采购代理机构及评委会联系。</w:t>
      </w:r>
      <w:bookmarkEnd w:id="74"/>
      <w:r/>
      <w:bookmarkEnd w:id="75"/>
      <w:r/>
      <w:bookmarkEnd w:id="76"/>
      <w:r/>
      <w:r/>
    </w:p>
    <w:p>
      <w:pPr>
        <w:pStyle w:val="967"/>
        <w:numPr>
          <w:ilvl w:val="0"/>
          <w:numId w:val="7"/>
        </w:numPr>
        <w:ind w:left="0" w:firstLine="425"/>
        <w:spacing w:line="360" w:lineRule="auto"/>
        <w:rPr>
          <w:rFonts w:ascii="宋体" w:hAnsi="宋体" w:eastAsia="宋体" w:cs="宋体"/>
          <w:sz w:val="24"/>
          <w:szCs w:val="24"/>
        </w:rPr>
        <w:outlineLvl w:val="2"/>
      </w:pPr>
      <w:r/>
      <w:bookmarkStart w:id="77" w:name="_Toc197644558"/>
      <w:r>
        <w:rPr>
          <w:rFonts w:hint="eastAsia" w:ascii="宋体" w:hAnsi="宋体" w:eastAsia="宋体" w:cs="宋体"/>
          <w:sz w:val="24"/>
          <w:szCs w:val="24"/>
        </w:rPr>
        <w:t xml:space="preserve">无效投标条款和废标条款</w:t>
      </w:r>
      <w:bookmarkEnd w:id="77"/>
      <w:r/>
      <w:r/>
    </w:p>
    <w:p>
      <w:pPr>
        <w:pStyle w:val="967"/>
        <w:numPr>
          <w:ilvl w:val="1"/>
          <w:numId w:val="7"/>
        </w:numPr>
        <w:ind w:left="0" w:firstLine="426"/>
        <w:spacing w:line="360" w:lineRule="auto"/>
        <w:rPr>
          <w:rFonts w:ascii="宋体" w:hAnsi="宋体" w:eastAsia="宋体" w:cs="宋体"/>
          <w:sz w:val="24"/>
          <w:szCs w:val="24"/>
        </w:rPr>
        <w:outlineLvl w:val="3"/>
      </w:pPr>
      <w:r/>
      <w:bookmarkStart w:id="78" w:name="_Toc20823307"/>
      <w:r/>
      <w:bookmarkStart w:id="79" w:name="_Toc16938551"/>
      <w:r/>
      <w:bookmarkStart w:id="80" w:name="_Toc513029235"/>
      <w:r>
        <w:rPr>
          <w:rFonts w:hint="eastAsia" w:ascii="宋体" w:hAnsi="宋体" w:eastAsia="宋体" w:cs="宋体"/>
          <w:sz w:val="24"/>
          <w:szCs w:val="24"/>
        </w:rPr>
        <w:t xml:space="preserve">无效投标条款</w:t>
      </w:r>
      <w:bookmarkEnd w:id="78"/>
      <w:r/>
      <w:bookmarkEnd w:id="79"/>
      <w:r/>
      <w:bookmarkEnd w:id="80"/>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投标人在“苏采云”系统规定的时间内未成功解密电子投标文件的。</w:t>
      </w:r>
      <w:r/>
    </w:p>
    <w:p>
      <w:pPr>
        <w:pStyle w:val="967"/>
        <w:numPr>
          <w:ilvl w:val="2"/>
          <w:numId w:val="7"/>
        </w:numPr>
        <w:ind w:left="0" w:firstLine="426"/>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投标人未按照招标文件要求上传电子投标文件的。</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同一投标人提交两个（含两个）以上不同的投标报价的。</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投标人不具备招标文件中规定资格要求的。</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投标人的报价超过了采购预算或最高限价的。</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未通过符合性审查的。</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不符合招标文件中规定的实质性要求和条件的（</w:t>
      </w:r>
      <w:r>
        <w:rPr>
          <w:rFonts w:hint="eastAsia" w:ascii="宋体" w:hAnsi="宋体" w:eastAsia="宋体" w:cs="宋体"/>
          <w:b/>
          <w:bCs/>
          <w:i/>
          <w:iCs/>
          <w:sz w:val="24"/>
          <w:szCs w:val="24"/>
          <w:u w:val="single"/>
        </w:rPr>
        <w:t xml:space="preserve">本招标文件中斜体且有下划线部分为实质性要求和条件</w:t>
      </w:r>
      <w:r>
        <w:rPr>
          <w:rFonts w:hint="eastAsia" w:ascii="宋体" w:hAnsi="宋体" w:eastAsia="宋体" w:cs="宋体"/>
          <w:sz w:val="24"/>
          <w:szCs w:val="24"/>
        </w:rPr>
        <w:t xml:space="preserve">）。</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67"/>
        <w:numPr>
          <w:ilvl w:val="2"/>
          <w:numId w:val="7"/>
        </w:numPr>
        <w:ind w:left="0" w:firstLine="426"/>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投标文件含有采购人不能接受的附加条件的。</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w:t>
      </w:r>
      <w:r>
        <w:rPr>
          <w:rFonts w:hint="eastAsia" w:ascii="宋体" w:hAnsi="宋体" w:eastAsia="宋体" w:cs="宋体"/>
          <w:b/>
          <w:bCs/>
          <w:i/>
          <w:iCs/>
          <w:sz w:val="24"/>
          <w:szCs w:val="24"/>
          <w:u w:val="single"/>
        </w:rPr>
        <w:t xml:space="preserve">投标人不能证明其报价合理性的，评委会应当将其作为无效投标处理</w:t>
      </w:r>
      <w:r>
        <w:rPr>
          <w:rFonts w:hint="eastAsia" w:ascii="宋体" w:hAnsi="宋体" w:eastAsia="宋体" w:cs="宋体"/>
          <w:sz w:val="24"/>
          <w:szCs w:val="24"/>
        </w:rPr>
        <w:t xml:space="preserve">。</w:t>
      </w:r>
      <w:r/>
    </w:p>
    <w:p>
      <w:pPr>
        <w:pStyle w:val="967"/>
        <w:numPr>
          <w:ilvl w:val="2"/>
          <w:numId w:val="7"/>
        </w:numPr>
        <w:ind w:left="0" w:firstLine="426"/>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投标文件未按照招标文件要求加盖CA电子公章的。</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其他法律、法规及本招标文件规定的属无效投标的情形。</w:t>
      </w:r>
      <w:r/>
    </w:p>
    <w:p>
      <w:pPr>
        <w:pStyle w:val="967"/>
        <w:numPr>
          <w:ilvl w:val="1"/>
          <w:numId w:val="7"/>
        </w:numPr>
        <w:ind w:left="0" w:firstLine="426"/>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关于供应商异常低价审查</w:t>
      </w:r>
      <w:r/>
    </w:p>
    <w:p>
      <w:pPr>
        <w:pStyle w:val="967"/>
        <w:ind w:left="426"/>
        <w:spacing w:line="360" w:lineRule="auto"/>
        <w:rPr>
          <w:rFonts w:ascii="宋体" w:hAnsi="宋体" w:eastAsia="宋体" w:cs="宋体"/>
          <w:b/>
          <w:bCs/>
          <w:sz w:val="24"/>
          <w:szCs w:val="24"/>
        </w:rPr>
        <w:outlineLvl w:val="4"/>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.2.1启动异常低价投标审查条件：</w:t>
      </w:r>
      <w:r/>
    </w:p>
    <w:p>
      <w:pPr>
        <w:ind w:firstLine="480"/>
        <w:spacing w:line="500" w:lineRule="exact"/>
        <w:rPr>
          <w:rFonts w:ascii="宋体" w:hAnsi="宋体" w:eastAsia="宋体" w:cs="宋体"/>
          <w:b/>
          <w:bCs/>
          <w:sz w:val="24"/>
          <w:szCs w:val="24"/>
        </w:rPr>
      </w:pPr>
      <w:r>
        <w:rPr>
          <w:rFonts w:ascii="宋体" w:hAnsi="宋体" w:eastAsia="宋体" w:cs="宋体"/>
          <w:b/>
          <w:bCs/>
          <w:sz w:val="24"/>
          <w:szCs w:val="24"/>
        </w:rPr>
        <w:t xml:space="preserve">评审过程中出现下列情形之一的，评标委员会应当启动异常低价投标审查程序：</w:t>
      </w:r>
      <w:r/>
    </w:p>
    <w:p>
      <w:pPr>
        <w:numPr>
          <w:ilvl w:val="0"/>
          <w:numId w:val="10"/>
        </w:num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投标报价低于全部通过符合性审查供应商投标报价平均值50%的，即投标报价&lt;全部通过符合性审查供应商投标报价平均值×50%； </w:t>
      </w:r>
      <w:r/>
    </w:p>
    <w:p>
      <w:pPr>
        <w:numPr>
          <w:ilvl w:val="0"/>
          <w:numId w:val="10"/>
        </w:num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投标报价低于通过符合性审查的次低报价供应商投标报价50%的，即投标报价&lt;通过符合性审查的次低报价供应商投标报价×50%； </w:t>
      </w:r>
      <w:r/>
    </w:p>
    <w:p>
      <w:pPr>
        <w:numPr>
          <w:ilvl w:val="0"/>
          <w:numId w:val="10"/>
        </w:num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投标报价低于采购项目最高限价45%的，即投标报价&lt;采购项目最高限价×45%； </w:t>
      </w:r>
      <w:r/>
    </w:p>
    <w:p>
      <w:pPr>
        <w:numPr>
          <w:ilvl w:val="0"/>
          <w:numId w:val="10"/>
        </w:num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评审委员会基于专业判断，认为供应商报价过低，有可能影响产品质量或者不能诚信履约的其他情形。</w:t>
      </w:r>
      <w:r/>
    </w:p>
    <w:p>
      <w:pPr>
        <w:ind w:firstLine="48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.2.2</w:t>
      </w:r>
      <w:r>
        <w:rPr>
          <w:rFonts w:ascii="宋体" w:hAnsi="宋体" w:eastAsia="宋体" w:cs="宋体"/>
          <w:b/>
          <w:bCs/>
          <w:sz w:val="24"/>
          <w:szCs w:val="24"/>
        </w:rPr>
        <w:t xml:space="preserve">启动异常低价响应审查后，评标委员会应当要求相关供应商在评审现场合理的时间内，提供项目具体成本测算等与报价合理性相关的书面说明及相关证明材料，对价格作出解释，提供项目具体成本测算等与报价合理性相关的书面说明及必要的证明材料，包括但不限于人工成本、相关费用等，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r/>
    </w:p>
    <w:p>
      <w:pPr>
        <w:pStyle w:val="967"/>
        <w:numPr>
          <w:ilvl w:val="1"/>
          <w:numId w:val="7"/>
        </w:numPr>
        <w:ind w:left="0" w:firstLine="426"/>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废标条款</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符合专业条件的供应商或者对招标文件作实质响应的供应商不足三家的。</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出现影响采购公正的违法、违规行为的。</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因重大变故，采购任务取消的。</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评委会认定招标文件存在歧义、重大缺陷导致评审工作无法进行。</w:t>
      </w:r>
      <w:r/>
    </w:p>
    <w:p>
      <w:pPr>
        <w:pStyle w:val="967"/>
        <w:numPr>
          <w:ilvl w:val="2"/>
          <w:numId w:val="7"/>
        </w:numPr>
        <w:ind w:left="0" w:firstLine="426"/>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因“苏采云”系统故障原因造成开标不成功的。</w:t>
      </w:r>
      <w:r/>
    </w:p>
    <w:p>
      <w:pPr>
        <w:pStyle w:val="967"/>
        <w:numPr>
          <w:ilvl w:val="1"/>
          <w:numId w:val="7"/>
        </w:numPr>
        <w:ind w:left="0" w:firstLine="426"/>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投标截止时间结束后参加投标的供应商不足三家的处理：</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如出现投标截止时间结束后参加投标的供应商或者在评标期间对招标文件做出实质响应的供应商不足三家情况，按政府采购相关规定执行。</w:t>
      </w:r>
      <w:r/>
    </w:p>
    <w:p>
      <w:pPr>
        <w:pStyle w:val="967"/>
        <w:numPr>
          <w:ilvl w:val="0"/>
          <w:numId w:val="6"/>
        </w:numPr>
        <w:jc w:val="left"/>
        <w:spacing w:line="480" w:lineRule="auto"/>
        <w:rPr>
          <w:rFonts w:ascii="宋体" w:hAnsi="宋体" w:eastAsia="宋体"/>
          <w:b/>
          <w:bCs/>
          <w:sz w:val="24"/>
          <w:szCs w:val="24"/>
        </w:rPr>
        <w:outlineLvl w:val="1"/>
      </w:pPr>
      <w:r/>
      <w:bookmarkStart w:id="81" w:name="_Toc197644559"/>
      <w:r>
        <w:rPr>
          <w:rFonts w:hint="eastAsia" w:ascii="宋体" w:hAnsi="宋体" w:eastAsia="宋体" w:cs="宋体"/>
          <w:b/>
          <w:sz w:val="24"/>
          <w:szCs w:val="24"/>
        </w:rPr>
        <w:t xml:space="preserve">定标</w:t>
      </w:r>
      <w:bookmarkEnd w:id="81"/>
      <w:r/>
      <w:r/>
    </w:p>
    <w:p>
      <w:pPr>
        <w:pStyle w:val="967"/>
        <w:numPr>
          <w:ilvl w:val="0"/>
          <w:numId w:val="7"/>
        </w:numPr>
        <w:ind w:left="0" w:firstLine="425"/>
        <w:spacing w:line="360" w:lineRule="auto"/>
        <w:rPr>
          <w:rFonts w:ascii="宋体" w:hAnsi="宋体" w:eastAsia="宋体" w:cs="宋体"/>
          <w:sz w:val="24"/>
          <w:szCs w:val="24"/>
        </w:rPr>
        <w:outlineLvl w:val="2"/>
      </w:pPr>
      <w:r/>
      <w:bookmarkStart w:id="82" w:name="_Toc513029238"/>
      <w:r/>
      <w:bookmarkStart w:id="83" w:name="_Toc16938554"/>
      <w:r/>
      <w:bookmarkStart w:id="84" w:name="_Toc197644560"/>
      <w:r>
        <w:rPr>
          <w:rFonts w:hint="eastAsia" w:ascii="宋体" w:hAnsi="宋体" w:eastAsia="宋体" w:cs="宋体"/>
          <w:sz w:val="24"/>
          <w:szCs w:val="24"/>
        </w:rPr>
        <w:t xml:space="preserve">确定</w:t>
      </w:r>
      <w:bookmarkEnd w:id="82"/>
      <w:r/>
      <w:bookmarkEnd w:id="83"/>
      <w:r>
        <w:rPr>
          <w:rFonts w:hint="eastAsia" w:ascii="宋体" w:hAnsi="宋体" w:eastAsia="宋体" w:cs="宋体"/>
          <w:sz w:val="24"/>
          <w:szCs w:val="24"/>
        </w:rPr>
        <w:t xml:space="preserve">中标单位</w:t>
      </w:r>
      <w:bookmarkEnd w:id="84"/>
      <w:r/>
      <w:r/>
    </w:p>
    <w:p>
      <w:pPr>
        <w:pStyle w:val="967"/>
        <w:numPr>
          <w:ilvl w:val="1"/>
          <w:numId w:val="7"/>
        </w:numPr>
        <w:ind w:left="0" w:firstLine="426"/>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中标候选人的选取原则和数量见招标文件第五章规定。</w:t>
      </w:r>
      <w:r/>
    </w:p>
    <w:p>
      <w:pPr>
        <w:pStyle w:val="967"/>
        <w:numPr>
          <w:ilvl w:val="1"/>
          <w:numId w:val="7"/>
        </w:numPr>
        <w:ind w:left="0" w:firstLine="426"/>
        <w:spacing w:line="360" w:lineRule="auto"/>
        <w:rPr>
          <w:rFonts w:ascii="宋体" w:hAnsi="宋体" w:eastAsia="宋体" w:cs="宋体"/>
          <w:sz w:val="24"/>
          <w:szCs w:val="24"/>
        </w:rPr>
      </w:pPr>
      <w:r>
        <w:rPr>
          <w:rFonts w:ascii="宋体" w:hAnsi="宋体" w:eastAsia="宋体" w:cs="宋体"/>
          <w:sz w:val="24"/>
          <w:szCs w:val="24"/>
        </w:rPr>
        <w:t xml:space="preserve">采购人应当自收到评标报告之日起</w:t>
      </w:r>
      <w:r>
        <w:rPr>
          <w:rFonts w:hint="eastAsia" w:ascii="宋体" w:hAnsi="宋体" w:eastAsia="宋体" w:cs="宋体"/>
          <w:sz w:val="24"/>
          <w:szCs w:val="24"/>
        </w:rPr>
        <w:t xml:space="preserve">5</w:t>
      </w:r>
      <w:r>
        <w:rPr>
          <w:rFonts w:ascii="宋体" w:hAnsi="宋体" w:eastAsia="宋体" w:cs="宋体"/>
          <w:sz w:val="24"/>
          <w:szCs w:val="24"/>
        </w:rPr>
        <w:t xml:space="preserve">个工作日内，在评标报告确定的中标候选人名单中按顺序确定中标人。</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采购代理机构将在“中国政府采购网”、“江苏政府采购网”、“盐城市政府采购网”发布中标公告，公告期限为1个工作日。</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若有充分证据证明，中标人出现下列情况之一的，一经查实，将被取消中标资格：</w:t>
      </w:r>
      <w:r/>
    </w:p>
    <w:p>
      <w:pPr>
        <w:pStyle w:val="967"/>
        <w:numPr>
          <w:ilvl w:val="2"/>
          <w:numId w:val="7"/>
        </w:numPr>
        <w:ind w:left="0" w:firstLine="426"/>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提供虚假材料谋取中标的。</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向采购人、采购代理机构行贿或者提供其他不正当利益的。</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属于本文件规定的无效条件，但在评标过程中又未被评委会发现的。</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与采购人或者其他供应商恶意串通的。</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采取不正当手段诋毁、排挤其他供应商的。</w:t>
      </w:r>
      <w:r/>
    </w:p>
    <w:p>
      <w:pPr>
        <w:pStyle w:val="967"/>
        <w:numPr>
          <w:ilvl w:val="1"/>
          <w:numId w:val="7"/>
        </w:numPr>
        <w:ind w:left="0" w:firstLine="426"/>
        <w:spacing w:line="360" w:lineRule="auto"/>
        <w:rPr>
          <w:rFonts w:ascii="宋体" w:hAnsi="宋体" w:eastAsia="宋体" w:cs="宋体"/>
          <w:sz w:val="24"/>
          <w:szCs w:val="24"/>
        </w:rPr>
        <w:outlineLvl w:val="3"/>
      </w:pPr>
      <w:r/>
      <w:bookmarkStart w:id="85" w:name="_Toc200451960"/>
      <w:r>
        <w:rPr>
          <w:rFonts w:hint="eastAsia" w:ascii="宋体" w:hAnsi="宋体" w:eastAsia="宋体" w:cs="宋体"/>
          <w:sz w:val="24"/>
          <w:szCs w:val="24"/>
        </w:rPr>
        <w:t xml:space="preserve">有下列情形之一的，视为投标人串通投标，投标无效：</w:t>
      </w:r>
      <w:bookmarkEnd w:id="85"/>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不同投标人的投标文件由同一单位或者个人编制。</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不同投标人委托同一单位或者个人办理投标事宜。</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不同投标人的投标文件载明的项目管理成员或者联系人员为同一人。</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不同投标人的投标文件异常一致或者投标报价呈规律性差异。</w:t>
      </w:r>
      <w:r/>
    </w:p>
    <w:p>
      <w:pPr>
        <w:pStyle w:val="967"/>
        <w:numPr>
          <w:ilvl w:val="0"/>
          <w:numId w:val="7"/>
        </w:numPr>
        <w:ind w:left="0" w:firstLine="425"/>
        <w:spacing w:line="360" w:lineRule="auto"/>
        <w:rPr>
          <w:rFonts w:ascii="宋体" w:hAnsi="宋体" w:eastAsia="宋体" w:cs="宋体"/>
          <w:sz w:val="24"/>
          <w:szCs w:val="24"/>
        </w:rPr>
        <w:outlineLvl w:val="2"/>
      </w:pPr>
      <w:r/>
      <w:bookmarkStart w:id="86" w:name="_Toc197644561"/>
      <w:r>
        <w:rPr>
          <w:rFonts w:hint="eastAsia" w:ascii="宋体" w:hAnsi="宋体" w:eastAsia="宋体" w:cs="宋体"/>
          <w:sz w:val="24"/>
          <w:szCs w:val="24"/>
        </w:rPr>
        <w:t xml:space="preserve">质疑处理</w:t>
      </w:r>
      <w:bookmarkEnd w:id="86"/>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提出质疑的供应商应当是参与所质疑项目采购活动的供应商。潜在供应商依法获取其可质疑的采购文件的，可以对采购文件提出质疑。</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对可以质疑的采购文件提出质疑的，为收到采购文件之日或者采购文件公告期限届满之日；</w:t>
      </w:r>
      <w:r/>
    </w:p>
    <w:p>
      <w:pPr>
        <w:pStyle w:val="967"/>
        <w:numPr>
          <w:ilvl w:val="2"/>
          <w:numId w:val="7"/>
        </w:numPr>
        <w:ind w:left="0" w:firstLine="426"/>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对采购过程提出质疑的，为各采购程序环节结束之日；</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对中标或者成交结果提出质疑的，为中标或者成交结果公告期限届满之日。</w:t>
      </w:r>
      <w:r/>
    </w:p>
    <w:p>
      <w:pPr>
        <w:pStyle w:val="967"/>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质疑函必须按照本招标文件中《质疑函范本》要求的格式和内容进行填写。</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供应商（含潜在供应商）对采购文件、采购过程、</w:t>
      </w:r>
      <w:r>
        <w:rPr>
          <w:rFonts w:ascii="宋体" w:hAnsi="宋体" w:eastAsia="宋体" w:cs="宋体"/>
          <w:sz w:val="24"/>
          <w:szCs w:val="24"/>
        </w:rPr>
        <w:t xml:space="preserve">中标或者成交结果</w:t>
      </w:r>
      <w:r>
        <w:rPr>
          <w:rFonts w:hint="eastAsia" w:ascii="宋体" w:hAnsi="宋体" w:eastAsia="宋体" w:cs="宋体"/>
          <w:sz w:val="24"/>
          <w:szCs w:val="24"/>
        </w:rPr>
        <w:t xml:space="preserve">的询问、质疑请向采购代理机构提出，由采购代理机构负责答复。</w:t>
      </w:r>
      <w:r/>
    </w:p>
    <w:p>
      <w:pPr>
        <w:pStyle w:val="967"/>
        <w:ind w:left="0" w:firstLine="424"/>
        <w:spacing w:line="360" w:lineRule="auto"/>
        <w:rPr>
          <w:rFonts w:ascii="宋体" w:hAnsi="宋体" w:eastAsia="宋体" w:cs="宋体"/>
          <w:sz w:val="24"/>
          <w:szCs w:val="24"/>
        </w:rPr>
      </w:pPr>
      <w:r>
        <w:rPr>
          <w:rFonts w:hint="eastAsia" w:ascii="宋体" w:hAnsi="宋体" w:eastAsia="宋体" w:cs="宋体"/>
          <w:sz w:val="24"/>
          <w:szCs w:val="24"/>
        </w:rPr>
        <w:t xml:space="preserve">采购代理机构只接收以纸质原件形式送达的质疑，采购代理机构不接受未填写快递运单的快件。</w:t>
      </w:r>
      <w:r/>
    </w:p>
    <w:p>
      <w:pPr>
        <w:pStyle w:val="967"/>
        <w:numPr>
          <w:ilvl w:val="1"/>
          <w:numId w:val="7"/>
        </w:numPr>
        <w:ind w:left="0" w:firstLine="426"/>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以下情形的质疑不予受理</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内容不符合《政府采购质疑和投诉办法》第十二条规定的质疑。</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超出政府采购法定期限的质疑。</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以传真、电子邮件等方式递交的非原件形式的质疑。</w:t>
      </w:r>
      <w:r/>
    </w:p>
    <w:p>
      <w:pPr>
        <w:pStyle w:val="967"/>
        <w:numPr>
          <w:ilvl w:val="2"/>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未参加投标活动的供应商或在投标活动中自身权益未受到损害的供应商所提出的质疑。</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67"/>
        <w:numPr>
          <w:ilvl w:val="0"/>
          <w:numId w:val="7"/>
        </w:numPr>
        <w:ind w:left="0" w:firstLine="425"/>
        <w:spacing w:line="360" w:lineRule="auto"/>
        <w:rPr>
          <w:rFonts w:ascii="宋体" w:hAnsi="宋体" w:eastAsia="宋体" w:cs="宋体"/>
          <w:sz w:val="24"/>
          <w:szCs w:val="24"/>
        </w:rPr>
        <w:outlineLvl w:val="2"/>
      </w:pPr>
      <w:r/>
      <w:bookmarkStart w:id="87" w:name="_Toc197644562"/>
      <w:r>
        <w:rPr>
          <w:rFonts w:hint="eastAsia" w:ascii="宋体" w:hAnsi="宋体" w:eastAsia="宋体" w:cs="宋体"/>
          <w:sz w:val="24"/>
          <w:szCs w:val="24"/>
        </w:rPr>
        <w:t xml:space="preserve">中标通知书</w:t>
      </w:r>
      <w:bookmarkEnd w:id="87"/>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67"/>
        <w:numPr>
          <w:ilvl w:val="1"/>
          <w:numId w:val="7"/>
        </w:numPr>
        <w:ind w:left="0" w:firstLine="426"/>
        <w:spacing w:line="360" w:lineRule="auto"/>
        <w:rPr>
          <w:rFonts w:ascii="宋体" w:hAnsi="宋体" w:eastAsia="宋体" w:cs="宋体"/>
          <w:sz w:val="24"/>
          <w:szCs w:val="24"/>
        </w:rPr>
      </w:pPr>
      <w:r>
        <w:rPr>
          <w:rFonts w:hint="eastAsia" w:ascii="宋体" w:hAnsi="宋体" w:eastAsia="宋体" w:cs="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67"/>
        <w:numPr>
          <w:ilvl w:val="0"/>
          <w:numId w:val="6"/>
        </w:numPr>
        <w:jc w:val="left"/>
        <w:spacing w:line="480" w:lineRule="auto"/>
        <w:rPr>
          <w:rFonts w:ascii="宋体" w:hAnsi="宋体" w:eastAsia="宋体"/>
          <w:b/>
          <w:bCs/>
          <w:sz w:val="24"/>
          <w:szCs w:val="24"/>
        </w:rPr>
        <w:outlineLvl w:val="1"/>
      </w:pPr>
      <w:r/>
      <w:bookmarkStart w:id="88" w:name="_Toc197644563"/>
      <w:r>
        <w:rPr>
          <w:rFonts w:hint="eastAsia" w:ascii="宋体" w:hAnsi="宋体" w:eastAsia="宋体" w:cs="宋体"/>
          <w:b/>
          <w:sz w:val="24"/>
          <w:szCs w:val="24"/>
        </w:rPr>
        <w:t xml:space="preserve">授予合同</w:t>
      </w:r>
      <w:bookmarkEnd w:id="88"/>
      <w:r/>
      <w:r/>
    </w:p>
    <w:p>
      <w:pPr>
        <w:pStyle w:val="967"/>
        <w:numPr>
          <w:ilvl w:val="0"/>
          <w:numId w:val="7"/>
        </w:numPr>
        <w:ind w:left="0" w:firstLine="425"/>
        <w:keepLines w:val="0"/>
        <w:keepNext w:val="0"/>
        <w:pageBreakBefore w:val="0"/>
        <w:spacing w:line="440" w:lineRule="exact"/>
        <w:widowControl w:val="off"/>
        <w:rPr>
          <w:rFonts w:ascii="宋体" w:hAnsi="宋体" w:eastAsia="宋体" w:cs="宋体"/>
          <w:sz w:val="24"/>
          <w:szCs w:val="24"/>
        </w:rPr>
        <w:outlineLvl w:val="2"/>
      </w:pPr>
      <w:r/>
      <w:bookmarkStart w:id="89" w:name="_Toc20823309"/>
      <w:r/>
      <w:bookmarkStart w:id="90" w:name="_Toc197644564"/>
      <w:r/>
      <w:bookmarkStart w:id="91" w:name="_Toc513029237"/>
      <w:r/>
      <w:bookmarkStart w:id="92" w:name="_Toc16938553"/>
      <w:r>
        <w:rPr>
          <w:rFonts w:hint="eastAsia" w:ascii="宋体" w:hAnsi="宋体" w:eastAsia="宋体" w:cs="宋体"/>
          <w:sz w:val="24"/>
          <w:szCs w:val="24"/>
        </w:rPr>
        <w:t xml:space="preserve">签订合同</w:t>
      </w:r>
      <w:bookmarkEnd w:id="89"/>
      <w:r/>
      <w:bookmarkEnd w:id="90"/>
      <w:r/>
      <w:bookmarkEnd w:id="91"/>
      <w:r/>
      <w:bookmarkEnd w:id="92"/>
      <w:r/>
      <w:r/>
    </w:p>
    <w:p>
      <w:pPr>
        <w:pStyle w:val="967"/>
        <w:numPr>
          <w:ilvl w:val="1"/>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中标人应当在中标通知书发出之日起三十日内（原则上应在15日内签订采购合同），按照招标文件确定的事项与采购人签订政府采购合同。</w:t>
      </w:r>
      <w:r/>
    </w:p>
    <w:p>
      <w:pPr>
        <w:pStyle w:val="967"/>
        <w:numPr>
          <w:ilvl w:val="1"/>
          <w:numId w:val="7"/>
        </w:numPr>
        <w:ind w:left="0" w:firstLine="426"/>
        <w:keepLines w:val="0"/>
        <w:keepNext w:val="0"/>
        <w:pageBreakBefore w:val="0"/>
        <w:spacing w:line="440" w:lineRule="exact"/>
        <w:widowControl w:val="off"/>
        <w:rPr>
          <w:rFonts w:ascii="宋体" w:hAnsi="宋体" w:eastAsia="宋体" w:cs="宋体"/>
          <w:sz w:val="24"/>
          <w:szCs w:val="24"/>
        </w:rPr>
      </w:pPr>
      <w:r>
        <w:rPr>
          <w:rFonts w:ascii="宋体" w:hAnsi="宋体" w:eastAsia="宋体" w:cs="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24"/>
          <w:szCs w:val="24"/>
        </w:rPr>
        <w:t xml:space="preserve">。</w:t>
      </w:r>
      <w:r/>
    </w:p>
    <w:p>
      <w:pPr>
        <w:pStyle w:val="967"/>
        <w:numPr>
          <w:ilvl w:val="1"/>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招标文件、中标人的投标文件及招标过程中有关澄清、承诺文件均应作为合同附件。</w:t>
      </w:r>
      <w:r/>
    </w:p>
    <w:p>
      <w:pPr>
        <w:pStyle w:val="967"/>
        <w:numPr>
          <w:ilvl w:val="1"/>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签订合同后，</w:t>
      </w:r>
      <w:r>
        <w:rPr>
          <w:rFonts w:hint="eastAsia" w:ascii="宋体" w:hAnsi="宋体" w:eastAsia="宋体" w:cs="宋体"/>
          <w:b/>
          <w:bCs/>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pStyle w:val="967"/>
        <w:numPr>
          <w:ilvl w:val="0"/>
          <w:numId w:val="7"/>
        </w:numPr>
        <w:ind w:left="0" w:firstLine="425"/>
        <w:keepLines w:val="0"/>
        <w:keepNext w:val="0"/>
        <w:pageBreakBefore w:val="0"/>
        <w:spacing w:line="440" w:lineRule="exact"/>
        <w:widowControl w:val="off"/>
        <w:rPr>
          <w:rFonts w:ascii="宋体" w:hAnsi="宋体" w:eastAsia="宋体" w:cs="宋体"/>
          <w:sz w:val="24"/>
          <w:szCs w:val="24"/>
        </w:rPr>
        <w:outlineLvl w:val="2"/>
      </w:pPr>
      <w:r/>
      <w:bookmarkStart w:id="93" w:name="_Toc197644565"/>
      <w:r>
        <w:rPr>
          <w:rFonts w:hint="eastAsia" w:ascii="宋体" w:hAnsi="宋体" w:eastAsia="宋体" w:cs="宋体"/>
          <w:sz w:val="24"/>
          <w:szCs w:val="24"/>
        </w:rPr>
        <w:t xml:space="preserve">货物（包含与货物相关的服务）的追加</w:t>
      </w:r>
      <w:bookmarkEnd w:id="93"/>
      <w:r/>
      <w:r/>
    </w:p>
    <w:p>
      <w:pPr>
        <w:pStyle w:val="967"/>
        <w:numPr>
          <w:ilvl w:val="1"/>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政府采购合同履行中，采购人需追加与合同标的相同的货物（包含与货物相关的服务），在不改变合同其他条款的前提下，可以与中标人协商签订补充合同，但所有补充合同的采购金额不超过原合同金额10%。</w:t>
      </w:r>
      <w:r/>
    </w:p>
    <w:p>
      <w:pPr>
        <w:pStyle w:val="967"/>
        <w:numPr>
          <w:ilvl w:val="0"/>
          <w:numId w:val="7"/>
        </w:numPr>
        <w:ind w:left="0" w:firstLine="425"/>
        <w:keepLines w:val="0"/>
        <w:keepNext w:val="0"/>
        <w:pageBreakBefore w:val="0"/>
        <w:spacing w:line="440" w:lineRule="exact"/>
        <w:widowControl w:val="off"/>
        <w:rPr>
          <w:rFonts w:ascii="宋体" w:hAnsi="宋体" w:eastAsia="宋体" w:cs="宋体"/>
          <w:sz w:val="24"/>
          <w:szCs w:val="24"/>
        </w:rPr>
        <w:outlineLvl w:val="2"/>
      </w:pPr>
      <w:r/>
      <w:bookmarkStart w:id="94" w:name="_Toc197644566"/>
      <w:r>
        <w:rPr>
          <w:rFonts w:hint="eastAsia" w:ascii="宋体" w:hAnsi="宋体" w:eastAsia="宋体" w:cs="宋体"/>
          <w:sz w:val="24"/>
          <w:szCs w:val="24"/>
        </w:rPr>
        <w:t xml:space="preserve">政府采购政策功能落实</w:t>
      </w:r>
      <w:bookmarkEnd w:id="94"/>
      <w:r/>
      <w:r/>
    </w:p>
    <w:p>
      <w:pPr>
        <w:pStyle w:val="967"/>
        <w:numPr>
          <w:ilvl w:val="1"/>
          <w:numId w:val="7"/>
        </w:numPr>
        <w:ind w:left="0" w:firstLine="426"/>
        <w:keepLines w:val="0"/>
        <w:keepNext w:val="0"/>
        <w:pageBreakBefore w:val="0"/>
        <w:spacing w:line="440" w:lineRule="exact"/>
        <w:widowControl w:val="off"/>
        <w:rPr>
          <w:rFonts w:ascii="宋体" w:hAnsi="宋体" w:eastAsia="宋体" w:cs="宋体"/>
          <w:sz w:val="24"/>
          <w:szCs w:val="24"/>
        </w:rPr>
        <w:outlineLvl w:val="3"/>
      </w:pPr>
      <w:r>
        <w:rPr>
          <w:rFonts w:hint="eastAsia" w:ascii="宋体" w:hAnsi="宋体" w:eastAsia="宋体" w:cs="宋体"/>
          <w:sz w:val="24"/>
          <w:szCs w:val="24"/>
        </w:rPr>
        <w:t xml:space="preserve">政府采购线上合同信用融资政策</w:t>
      </w:r>
      <w:r/>
    </w:p>
    <w:p>
      <w:pPr>
        <w:pStyle w:val="967"/>
        <w:ind w:left="0" w:firstLine="424"/>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pStyle w:val="967"/>
        <w:numPr>
          <w:ilvl w:val="1"/>
          <w:numId w:val="7"/>
        </w:numPr>
        <w:ind w:left="0" w:firstLine="426"/>
        <w:keepLines w:val="0"/>
        <w:keepNext w:val="0"/>
        <w:pageBreakBefore w:val="0"/>
        <w:spacing w:line="440" w:lineRule="exact"/>
        <w:widowControl w:val="off"/>
        <w:rPr>
          <w:rFonts w:ascii="宋体" w:hAnsi="宋体" w:eastAsia="宋体" w:cs="宋体"/>
          <w:sz w:val="24"/>
          <w:szCs w:val="24"/>
        </w:rPr>
        <w:outlineLvl w:val="3"/>
      </w:pPr>
      <w:r>
        <w:rPr>
          <w:rFonts w:hint="eastAsia" w:ascii="宋体" w:hAnsi="宋体" w:eastAsia="宋体" w:cs="宋体"/>
          <w:sz w:val="24"/>
          <w:szCs w:val="24"/>
        </w:rPr>
        <w:t xml:space="preserve">进口产品</w:t>
      </w:r>
      <w:r/>
    </w:p>
    <w:p>
      <w:pPr>
        <w:pStyle w:val="967"/>
        <w:ind w:left="0" w:firstLine="424"/>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67"/>
        <w:numPr>
          <w:ilvl w:val="1"/>
          <w:numId w:val="7"/>
        </w:numPr>
        <w:ind w:left="0" w:firstLine="426"/>
        <w:keepLines w:val="0"/>
        <w:keepNext w:val="0"/>
        <w:pageBreakBefore w:val="0"/>
        <w:spacing w:line="440" w:lineRule="exact"/>
        <w:widowControl w:val="off"/>
        <w:rPr>
          <w:rFonts w:ascii="宋体" w:hAnsi="宋体" w:eastAsia="宋体" w:cs="宋体"/>
          <w:sz w:val="24"/>
          <w:szCs w:val="24"/>
        </w:rPr>
        <w:outlineLvl w:val="3"/>
      </w:pPr>
      <w:r>
        <w:rPr>
          <w:rFonts w:hint="eastAsia" w:ascii="宋体" w:hAnsi="宋体" w:eastAsia="宋体" w:cs="宋体"/>
          <w:sz w:val="24"/>
          <w:szCs w:val="24"/>
        </w:rPr>
        <w:t xml:space="preserve">中小企业、监狱企业及残疾人福利性单位</w:t>
      </w:r>
      <w:r/>
    </w:p>
    <w:p>
      <w:pPr>
        <w:pStyle w:val="967"/>
        <w:numPr>
          <w:ilvl w:val="2"/>
          <w:numId w:val="7"/>
        </w:numPr>
        <w:ind w:left="0" w:firstLine="426"/>
        <w:keepLines w:val="0"/>
        <w:keepNext w:val="0"/>
        <w:pageBreakBefore w:val="0"/>
        <w:spacing w:line="440" w:lineRule="exact"/>
        <w:widowControl w:val="off"/>
        <w:rPr>
          <w:rFonts w:ascii="宋体" w:hAnsi="宋体" w:eastAsia="宋体" w:cs="宋体"/>
          <w:sz w:val="24"/>
          <w:szCs w:val="24"/>
        </w:rPr>
        <w:outlineLvl w:val="4"/>
      </w:pPr>
      <w:r>
        <w:rPr>
          <w:rFonts w:hint="eastAsia" w:ascii="宋体" w:hAnsi="宋体" w:eastAsia="宋体" w:cs="宋体"/>
          <w:sz w:val="24"/>
          <w:szCs w:val="24"/>
        </w:rPr>
        <w:t xml:space="preserve">中小企业定义：</w:t>
      </w:r>
      <w:r/>
    </w:p>
    <w:p>
      <w:pPr>
        <w:pStyle w:val="967"/>
        <w:ind w:left="0" w:firstLine="424"/>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中小企业是</w:t>
      </w:r>
      <w:r>
        <w:rPr>
          <w:rFonts w:hint="eastAsia" w:ascii="宋体" w:hAnsi="宋体" w:eastAsia="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67"/>
        <w:numPr>
          <w:ilvl w:val="2"/>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供应商提供的货物、工程或者服务符合下列情形的，享受中小企业扶持政策：</w:t>
      </w:r>
      <w:r/>
    </w:p>
    <w:p>
      <w:pPr>
        <w:pStyle w:val="967"/>
        <w:numPr>
          <w:ilvl w:val="3"/>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在货物采购项目中，货物由中小企业制造，即货物由中小企业生产且使用该中小企业商号或者注册商标；</w:t>
      </w:r>
      <w:r/>
    </w:p>
    <w:p>
      <w:pPr>
        <w:pStyle w:val="967"/>
        <w:numPr>
          <w:ilvl w:val="3"/>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在工程采购项目中，工程由中小企业承建，即工程施工单位为中小企业；</w:t>
      </w:r>
      <w:r/>
    </w:p>
    <w:p>
      <w:pPr>
        <w:pStyle w:val="967"/>
        <w:numPr>
          <w:ilvl w:val="3"/>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在服务采购项目中，服务由中小企业承接，即提供服务的人员为中小企业依照《中华人民共和国劳动合同法》订立劳动合同的从业人员。</w:t>
      </w:r>
      <w:r/>
    </w:p>
    <w:p>
      <w:pPr>
        <w:pStyle w:val="967"/>
        <w:numPr>
          <w:ilvl w:val="2"/>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在货物采购项目中，供应商提供的货物既有中小企业制造货物，也有大型企业制造货物的，不享受中小企业扶持政策。</w:t>
      </w:r>
      <w:r/>
    </w:p>
    <w:p>
      <w:pPr>
        <w:pStyle w:val="967"/>
        <w:numPr>
          <w:ilvl w:val="2"/>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67"/>
        <w:numPr>
          <w:ilvl w:val="2"/>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残疾人福利单位定义：享受政府采购支持政策的残疾人福利性单位应当同时满足以下条件：</w:t>
      </w:r>
      <w:r/>
    </w:p>
    <w:p>
      <w:pPr>
        <w:pStyle w:val="967"/>
        <w:numPr>
          <w:ilvl w:val="3"/>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安置的残疾人占本单位在职职工人数的比例不低于25%（含25%），并且安置的残疾人人数不少于10 人（含10 人）；</w:t>
      </w:r>
      <w:r/>
    </w:p>
    <w:p>
      <w:pPr>
        <w:pStyle w:val="967"/>
        <w:numPr>
          <w:ilvl w:val="3"/>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依法与安置的每位残疾人签订了一年以上（含一年）的劳动合同或服务协议；</w:t>
      </w:r>
      <w:r/>
    </w:p>
    <w:p>
      <w:pPr>
        <w:pStyle w:val="967"/>
        <w:numPr>
          <w:ilvl w:val="3"/>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为安置的每位残疾人按月足额缴纳了基本养老保险、基本医疗保险、失业保险、工伤保险和生育保险等社会保险费；</w:t>
      </w:r>
      <w:r/>
    </w:p>
    <w:p>
      <w:pPr>
        <w:pStyle w:val="967"/>
        <w:numPr>
          <w:ilvl w:val="3"/>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通过银行等金融机构向安置的每位残疾人，按月支付了不低于单位所在区县适用的经省级人民政府批准的月最低工资标准的工资；</w:t>
      </w:r>
      <w:r/>
    </w:p>
    <w:p>
      <w:pPr>
        <w:pStyle w:val="967"/>
        <w:numPr>
          <w:ilvl w:val="3"/>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67"/>
        <w:numPr>
          <w:ilvl w:val="3"/>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67"/>
        <w:numPr>
          <w:ilvl w:val="2"/>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本项目是否专门面向中小企业预留采购份额见第一章《招标公告》。</w:t>
      </w:r>
      <w:r/>
    </w:p>
    <w:p>
      <w:pPr>
        <w:pStyle w:val="967"/>
        <w:numPr>
          <w:ilvl w:val="2"/>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采购标的对应的中小企业划分标准所属行业见第四章《采购需求》。</w:t>
      </w:r>
      <w:r/>
    </w:p>
    <w:p>
      <w:pPr>
        <w:pStyle w:val="967"/>
        <w:numPr>
          <w:ilvl w:val="2"/>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小微企业价格评审优惠的政策：见第五章《评标方法和评标标准》。</w:t>
      </w:r>
      <w:r/>
    </w:p>
    <w:p>
      <w:pPr>
        <w:pStyle w:val="967"/>
        <w:numPr>
          <w:ilvl w:val="1"/>
          <w:numId w:val="7"/>
        </w:numPr>
        <w:ind w:left="0" w:firstLine="426"/>
        <w:keepLines w:val="0"/>
        <w:keepNext w:val="0"/>
        <w:pageBreakBefore w:val="0"/>
        <w:spacing w:line="440" w:lineRule="exact"/>
        <w:widowControl w:val="off"/>
        <w:rPr>
          <w:rFonts w:ascii="宋体" w:hAnsi="宋体" w:eastAsia="宋体" w:cs="宋体"/>
          <w:sz w:val="24"/>
          <w:szCs w:val="24"/>
        </w:rPr>
        <w:outlineLvl w:val="3"/>
      </w:pPr>
      <w:r>
        <w:rPr>
          <w:rFonts w:hint="eastAsia" w:ascii="宋体" w:hAnsi="宋体" w:eastAsia="宋体" w:cs="宋体"/>
          <w:sz w:val="24"/>
          <w:szCs w:val="24"/>
        </w:rPr>
        <w:t xml:space="preserve">政府采购节能产品、环境标志产品</w:t>
      </w:r>
      <w:r/>
    </w:p>
    <w:p>
      <w:pPr>
        <w:pStyle w:val="967"/>
        <w:numPr>
          <w:ilvl w:val="2"/>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严格执行政府采购关于支持</w:t>
      </w:r>
      <w:r>
        <w:rPr>
          <w:rFonts w:hint="eastAsia" w:ascii="宋体" w:hAnsi="宋体" w:eastAsia="宋体" w:cs="宋体"/>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提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67"/>
        <w:numPr>
          <w:ilvl w:val="2"/>
          <w:numId w:val="7"/>
        </w:numPr>
        <w:ind w:left="0" w:firstLine="426"/>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67"/>
        <w:numPr>
          <w:ilvl w:val="1"/>
          <w:numId w:val="7"/>
        </w:numPr>
        <w:ind w:left="0" w:firstLine="426"/>
        <w:keepLines w:val="0"/>
        <w:keepNext w:val="0"/>
        <w:pageBreakBefore w:val="0"/>
        <w:spacing w:line="440" w:lineRule="exact"/>
        <w:widowControl w:val="off"/>
        <w:rPr>
          <w:rFonts w:ascii="宋体" w:hAnsi="宋体" w:eastAsia="宋体" w:cs="宋体"/>
          <w:sz w:val="24"/>
          <w:szCs w:val="24"/>
        </w:rPr>
        <w:outlineLvl w:val="3"/>
      </w:pPr>
      <w:r>
        <w:rPr>
          <w:rFonts w:hint="eastAsia" w:ascii="宋体" w:hAnsi="宋体" w:eastAsia="宋体" w:cs="宋体"/>
          <w:sz w:val="24"/>
          <w:szCs w:val="24"/>
        </w:rPr>
        <w:t xml:space="preserve">绿色包装</w:t>
      </w:r>
      <w:r/>
    </w:p>
    <w:p>
      <w:pPr>
        <w:pStyle w:val="967"/>
        <w:ind w:left="0" w:firstLine="424"/>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67"/>
        <w:numPr>
          <w:ilvl w:val="1"/>
          <w:numId w:val="7"/>
        </w:numPr>
        <w:ind w:left="0" w:firstLine="426"/>
        <w:keepLines w:val="0"/>
        <w:keepNext w:val="0"/>
        <w:pageBreakBefore w:val="0"/>
        <w:spacing w:line="440" w:lineRule="exact"/>
        <w:widowControl w:val="off"/>
        <w:rPr>
          <w:rFonts w:ascii="宋体" w:hAnsi="宋体" w:eastAsia="宋体" w:cs="宋体"/>
          <w:sz w:val="24"/>
          <w:szCs w:val="24"/>
        </w:rPr>
        <w:outlineLvl w:val="3"/>
      </w:pPr>
      <w:r>
        <w:rPr>
          <w:rFonts w:hint="eastAsia" w:ascii="宋体" w:hAnsi="宋体" w:eastAsia="宋体" w:cs="宋体"/>
          <w:sz w:val="24"/>
          <w:szCs w:val="24"/>
        </w:rPr>
        <w:t xml:space="preserve">政府采购创新产品</w:t>
      </w:r>
      <w:r/>
    </w:p>
    <w:p>
      <w:pPr>
        <w:pStyle w:val="967"/>
        <w:ind w:left="0" w:firstLine="424"/>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采购人优先采购各级政府部门公开发布的有效期内的创新产品、创新服务、首台套、首购首用等《目录》的创新产品。</w:t>
      </w:r>
      <w:r/>
    </w:p>
    <w:p>
      <w:pPr>
        <w:pStyle w:val="967"/>
        <w:numPr>
          <w:ilvl w:val="1"/>
          <w:numId w:val="7"/>
        </w:numPr>
        <w:ind w:left="0" w:firstLine="426"/>
        <w:keepLines w:val="0"/>
        <w:keepNext w:val="0"/>
        <w:pageBreakBefore w:val="0"/>
        <w:spacing w:line="440" w:lineRule="exact"/>
        <w:widowControl w:val="off"/>
        <w:rPr>
          <w:rFonts w:ascii="宋体" w:hAnsi="宋体" w:eastAsia="宋体" w:cs="宋体"/>
          <w:sz w:val="24"/>
          <w:szCs w:val="24"/>
        </w:rPr>
        <w:outlineLvl w:val="3"/>
      </w:pPr>
      <w:r>
        <w:rPr>
          <w:rFonts w:hint="eastAsia" w:ascii="宋体" w:hAnsi="宋体" w:eastAsia="宋体" w:cs="宋体"/>
          <w:sz w:val="24"/>
          <w:szCs w:val="24"/>
        </w:rPr>
        <w:t xml:space="preserve">绿色数据中心政策 </w:t>
      </w:r>
      <w:r/>
    </w:p>
    <w:p>
      <w:pPr>
        <w:pStyle w:val="967"/>
        <w:ind w:left="0" w:firstLine="424"/>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本文件中若涉及到数据中心采购，采购人应依据《绿色数据中心政府采购需求标准（试行）》（财办库〔2023〕7号）文件精神</w:t>
      </w:r>
      <w:r>
        <w:rPr>
          <w:rFonts w:hint="eastAsia" w:ascii="宋体" w:hAnsi="宋体" w:eastAsia="宋体" w:cs="宋体"/>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67"/>
        <w:numPr>
          <w:ilvl w:val="1"/>
          <w:numId w:val="7"/>
        </w:numPr>
        <w:ind w:left="0" w:firstLine="426"/>
        <w:keepLines w:val="0"/>
        <w:keepNext w:val="0"/>
        <w:pageBreakBefore w:val="0"/>
        <w:spacing w:line="440" w:lineRule="exact"/>
        <w:widowControl w:val="off"/>
        <w:rPr>
          <w:rFonts w:ascii="Times New Roman" w:hAnsi="Times New Roman" w:cs="Times New Roman"/>
          <w:sz w:val="24"/>
        </w:rPr>
        <w:outlineLvl w:val="3"/>
      </w:pPr>
      <w:r/>
      <w:bookmarkStart w:id="95" w:name="OLE_LINK20"/>
      <w:r>
        <w:rPr>
          <w:rFonts w:ascii="Times New Roman" w:hAnsi="Times New Roman" w:cs="Times New Roman"/>
          <w:sz w:val="24"/>
        </w:rPr>
        <w:t xml:space="preserve">实施本国产品标准及相关政策</w:t>
      </w:r>
      <w:bookmarkEnd w:id="95"/>
      <w:r/>
      <w:r/>
    </w:p>
    <w:p>
      <w:pPr>
        <w:ind w:firstLine="482"/>
        <w:keepLines w:val="0"/>
        <w:keepNext w:val="0"/>
        <w:pageBreakBefore w:val="0"/>
        <w:spacing w:line="440" w:lineRule="exact"/>
        <w:widowControl w:val="off"/>
        <w:tabs>
          <w:tab w:val="left" w:pos="1381" w:leader="none"/>
        </w:tabs>
        <w:rPr>
          <w:rFonts w:ascii="Times New Roman" w:hAnsi="Times New Roman" w:cs="Times New Roman"/>
          <w:sz w:val="24"/>
        </w:rPr>
      </w:pPr>
      <w:r>
        <w:rPr>
          <w:rFonts w:ascii="Times New Roman" w:hAnsi="Times New Roman" w:cs="Times New Roman"/>
          <w:sz w:val="24"/>
        </w:rPr>
        <w:t xml:space="preserve">1.本项目对采购本国产品给予政策支持，具体内容见招标文件“第五章 评标方法与评标标准”。</w:t>
      </w:r>
      <w:r/>
    </w:p>
    <w:p>
      <w:pPr>
        <w:ind w:firstLine="482"/>
        <w:keepLines w:val="0"/>
        <w:keepNext w:val="0"/>
        <w:pageBreakBefore w:val="0"/>
        <w:spacing w:line="440" w:lineRule="exact"/>
        <w:widowControl w:val="off"/>
        <w:tabs>
          <w:tab w:val="left" w:pos="1381" w:leader="none"/>
        </w:tabs>
        <w:rPr>
          <w:rFonts w:ascii="Times New Roman" w:hAnsi="Times New Roman" w:cs="Times New Roman"/>
          <w:sz w:val="24"/>
        </w:rPr>
      </w:pPr>
      <w:r>
        <w:rPr>
          <w:rFonts w:ascii="Times New Roman" w:hAnsi="Times New Roman" w:cs="Times New Roman"/>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keepLines w:val="0"/>
        <w:keepNext w:val="0"/>
        <w:pageBreakBefore w:val="0"/>
        <w:spacing w:line="440" w:lineRule="exact"/>
        <w:widowControl w:val="off"/>
        <w:tabs>
          <w:tab w:val="left" w:pos="1381" w:leader="none"/>
        </w:tabs>
        <w:rPr>
          <w:rFonts w:ascii="宋体" w:hAnsi="宋体" w:eastAsia="宋体" w:cs="宋体"/>
          <w:sz w:val="24"/>
          <w:szCs w:val="24"/>
        </w:rPr>
      </w:pPr>
      <w:r>
        <w:rPr>
          <w:rFonts w:ascii="Times New Roman" w:hAnsi="Times New Roman" w:cs="Times New Roman"/>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67"/>
        <w:numPr>
          <w:ilvl w:val="0"/>
          <w:numId w:val="7"/>
        </w:numPr>
        <w:ind w:left="0" w:firstLine="425"/>
        <w:keepLines w:val="0"/>
        <w:keepNext w:val="0"/>
        <w:pageBreakBefore w:val="0"/>
        <w:spacing w:line="440" w:lineRule="exact"/>
        <w:widowControl w:val="off"/>
        <w:rPr>
          <w:rFonts w:ascii="宋体" w:hAnsi="宋体" w:eastAsia="宋体" w:cs="宋体"/>
          <w:sz w:val="24"/>
          <w:szCs w:val="24"/>
        </w:rPr>
        <w:outlineLvl w:val="2"/>
      </w:pPr>
      <w:r/>
      <w:bookmarkStart w:id="96" w:name="_Toc197644567"/>
      <w:r>
        <w:rPr>
          <w:rFonts w:hint="eastAsia" w:ascii="宋体" w:hAnsi="宋体" w:eastAsia="宋体" w:cs="宋体"/>
          <w:sz w:val="24"/>
          <w:szCs w:val="24"/>
        </w:rPr>
        <w:t xml:space="preserve">预付款制度</w:t>
      </w:r>
      <w:bookmarkEnd w:id="96"/>
      <w:r/>
      <w:r/>
    </w:p>
    <w:p>
      <w:pPr>
        <w:pStyle w:val="967"/>
        <w:ind w:left="0" w:firstLine="424"/>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本项目落实预付款制度，预付款比例为 30 %。在签订合同时，中标人明确书面表示无需预付款或者主动要求降低预付款比例的，采购人可就预付款比例作相应调整。</w:t>
      </w:r>
      <w:bookmarkEnd w:id="24"/>
      <w:r/>
      <w:r/>
    </w:p>
    <w:p>
      <w:pPr>
        <w:pStyle w:val="967"/>
        <w:ind w:left="0" w:firstLine="424"/>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36</w:t>
      </w:r>
      <w:bookmarkStart w:id="97" w:name="OLE_LINK27"/>
      <w:r/>
      <w:bookmarkStart w:id="98" w:name="OLE_LINK26"/>
      <w:r>
        <w:rPr>
          <w:rFonts w:hint="eastAsia" w:ascii="宋体" w:hAnsi="宋体" w:eastAsia="宋体" w:cs="宋体"/>
          <w:sz w:val="24"/>
          <w:szCs w:val="24"/>
        </w:rPr>
        <w:t xml:space="preserve">、其他政策</w:t>
      </w:r>
      <w:bookmarkEnd w:id="97"/>
      <w:r/>
      <w:bookmarkEnd w:id="98"/>
      <w:r/>
      <w:r/>
    </w:p>
    <w:p>
      <w:pPr>
        <w:pStyle w:val="967"/>
        <w:ind w:left="0" w:firstLine="424"/>
        <w:keepLines w:val="0"/>
        <w:keepNext w:val="0"/>
        <w:pageBreakBefore w:val="0"/>
        <w:spacing w:line="440" w:lineRule="exact"/>
        <w:widowControl w:val="off"/>
        <w:rPr>
          <w:rFonts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1政府采购落实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967"/>
        <w:ind w:left="0" w:firstLine="424"/>
        <w:keepLines w:val="0"/>
        <w:keepNext w:val="0"/>
        <w:pageBreakBefore w:val="0"/>
        <w:spacing w:line="440" w:lineRule="exact"/>
        <w:widowControl w:val="off"/>
        <w:rPr>
          <w:rFonts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.2政府采购落实“政采贷”政策，依据《关于深入推进政府采购线上合同信用融资工作的通知》（苏财购﹝2021﹞82号）。</w:t>
      </w:r>
      <w:r/>
    </w:p>
    <w:p>
      <w:pPr>
        <w:pStyle w:val="967"/>
        <w:ind w:left="0" w:firstLine="424"/>
        <w:keepLines w:val="0"/>
        <w:keepNext w:val="0"/>
        <w:pageBreakBefore w:val="0"/>
        <w:spacing w:line="440" w:lineRule="exact"/>
        <w:widowControl w:val="off"/>
        <w:rPr>
          <w:rFonts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pStyle w:val="967"/>
        <w:ind w:left="0" w:firstLine="424"/>
        <w:keepLines w:val="0"/>
        <w:keepNext w:val="0"/>
        <w:pageBreakBefore w:val="0"/>
        <w:spacing w:line="440" w:lineRule="exact"/>
        <w:widowControl w:val="off"/>
        <w:rPr>
          <w:rFonts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.4政府采购落实（苏财购﹝2022﹞51号）。</w:t>
      </w:r>
      <w:r/>
    </w:p>
    <w:p>
      <w:pPr>
        <w:pStyle w:val="967"/>
        <w:ind w:left="0" w:firstLine="424"/>
        <w:keepLines w:val="0"/>
        <w:keepNext w:val="0"/>
        <w:pageBreakBefore w:val="0"/>
        <w:spacing w:line="440" w:lineRule="exact"/>
        <w:widowControl w:val="off"/>
        <w:rPr>
          <w:rFonts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.5政府采购落实《关于进一步优化政府采购营商环境的通知》（射财库﹝2023﹞23号）。</w:t>
      </w:r>
      <w:r/>
    </w:p>
    <w:p>
      <w:pPr>
        <w:pStyle w:val="798"/>
        <w:keepLines/>
        <w:keepNext/>
        <w:spacing w:before="145" w:after="145" w:line="460" w:lineRule="exact"/>
        <w:rPr>
          <w:b/>
          <w:color w:val="auto"/>
          <w:sz w:val="24"/>
        </w:rPr>
        <w:outlineLvl w:val="1"/>
      </w:pPr>
      <w:r>
        <w:rPr>
          <w:rFonts w:hint="eastAsia"/>
          <w:b/>
          <w:color w:val="auto"/>
          <w:sz w:val="24"/>
        </w:rPr>
        <w:t xml:space="preserve">八、踏勘</w:t>
      </w:r>
      <w:r/>
    </w:p>
    <w:p>
      <w:pPr>
        <w:pStyle w:val="967"/>
        <w:ind w:left="0" w:firstLine="42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r/>
    </w:p>
    <w:p>
      <w:pPr>
        <w:pStyle w:val="967"/>
        <w:ind w:left="0" w:firstLine="42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采购人在踏勘现场介绍的项目情况，仅供供应商编制投标文件参考，采购人不对供应商据此作出的判断与决策承担责任。</w:t>
      </w:r>
      <w:r/>
    </w:p>
    <w:p>
      <w:pPr>
        <w:pStyle w:val="967"/>
        <w:ind w:left="0" w:firstLine="42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供应商承担踏勘现场所发生的自身费用。</w:t>
      </w:r>
      <w:r/>
    </w:p>
    <w:p>
      <w:pPr>
        <w:pStyle w:val="967"/>
        <w:ind w:left="0" w:firstLine="424"/>
        <w:spacing w:line="360" w:lineRule="auto"/>
        <w:rPr>
          <w:rFonts w:ascii="宋体" w:hAnsi="宋体" w:eastAsia="宋体" w:cs="宋体"/>
          <w:sz w:val="24"/>
          <w:szCs w:val="24"/>
        </w:rPr>
      </w:pPr>
      <w:r>
        <w:rPr>
          <w:rFonts w:ascii="宋体" w:hAnsi="宋体" w:eastAsia="宋体" w:cs="宋体"/>
          <w:sz w:val="24"/>
          <w:szCs w:val="24"/>
        </w:rPr>
      </w:r>
      <w:r/>
    </w:p>
    <w:p>
      <w:pPr>
        <w:pStyle w:val="967"/>
        <w:ind w:left="0" w:firstLine="424"/>
        <w:spacing w:line="360" w:lineRule="auto"/>
        <w:rPr>
          <w:rFonts w:ascii="宋体" w:hAnsi="宋体" w:eastAsia="宋体" w:cs="宋体"/>
          <w:sz w:val="24"/>
          <w:szCs w:val="24"/>
        </w:rPr>
      </w:pPr>
      <w:r>
        <w:rPr>
          <w:rFonts w:ascii="宋体" w:hAnsi="宋体" w:eastAsia="宋体" w:cs="宋体"/>
          <w:sz w:val="24"/>
          <w:szCs w:val="24"/>
        </w:rPr>
      </w:r>
      <w:r/>
    </w:p>
    <w:p>
      <w:pPr>
        <w:pStyle w:val="764"/>
        <w:numPr>
          <w:ilvl w:val="0"/>
          <w:numId w:val="1"/>
        </w:numPr>
        <w:ind w:left="0" w:firstLine="0"/>
        <w:jc w:val="center"/>
        <w:keepLines w:val="0"/>
        <w:keepNext w:val="0"/>
        <w:spacing w:before="0" w:after="0" w:line="520" w:lineRule="exact"/>
        <w:rPr>
          <w:rFonts w:ascii="宋体" w:hAnsi="宋体" w:eastAsia="宋体" w:cs="Times New Roman"/>
          <w:b/>
          <w:bCs/>
          <w:color w:val="auto"/>
          <w:sz w:val="32"/>
          <w:szCs w:val="32"/>
        </w:rPr>
      </w:pPr>
      <w:r/>
      <w:bookmarkStart w:id="99" w:name="_Toc197644568"/>
      <w:r>
        <w:rPr>
          <w:rFonts w:hint="eastAsia" w:ascii="宋体" w:hAnsi="宋体" w:eastAsia="宋体" w:cs="Times New Roman"/>
          <w:b/>
          <w:bCs/>
          <w:color w:val="auto"/>
          <w:sz w:val="32"/>
          <w:szCs w:val="32"/>
        </w:rPr>
        <w:t xml:space="preserve">合同文本</w:t>
      </w:r>
      <w:bookmarkEnd w:id="99"/>
      <w:r/>
      <w:r/>
    </w:p>
    <w:p>
      <w:r/>
      <w:r/>
    </w:p>
    <w:p>
      <w:pPr>
        <w:pStyle w:val="798"/>
        <w:ind w:firstLine="482"/>
        <w:jc w:val="both"/>
        <w:spacing w:before="312" w:line="500" w:lineRule="exact"/>
        <w:rPr>
          <w:rFonts w:eastAsiaTheme="minorEastAsia" w:cstheme="minorBidi"/>
          <w:color w:val="auto"/>
          <w:sz w:val="24"/>
          <w:szCs w:val="22"/>
        </w:rPr>
      </w:pPr>
      <w:r/>
      <w:bookmarkStart w:id="100" w:name="_Toc513029243"/>
      <w:r/>
      <w:bookmarkStart w:id="101" w:name="_Toc16938559"/>
      <w:r/>
      <w:bookmarkStart w:id="102" w:name="_Toc20823315"/>
      <w:r>
        <w:rPr>
          <w:rFonts w:hint="eastAsia" w:eastAsiaTheme="minorEastAsia" w:cstheme="minorBidi"/>
          <w:color w:val="auto"/>
          <w:sz w:val="24"/>
          <w:szCs w:val="22"/>
        </w:rPr>
        <w:t xml:space="preserve">以下为中标后签定本项目合同的通用条款，中标人不得提出实质性的修改。</w:t>
      </w:r>
      <w:bookmarkEnd w:id="100"/>
      <w:r/>
      <w:bookmarkEnd w:id="101"/>
      <w:r/>
      <w:bookmarkEnd w:id="102"/>
      <w:r/>
      <w:r/>
    </w:p>
    <w:p>
      <w:pPr>
        <w:ind w:firstLine="480"/>
        <w:spacing w:line="500" w:lineRule="exact"/>
        <w:rPr>
          <w:rFonts w:ascii="宋体" w:hAnsi="宋体"/>
          <w:sz w:val="24"/>
        </w:rPr>
      </w:pPr>
      <w:r>
        <w:rPr>
          <w:rFonts w:hint="eastAsia" w:ascii="宋体" w:hAnsi="宋体"/>
          <w:sz w:val="24"/>
        </w:rPr>
        <w:t xml:space="preserve">项目名称：</w:t>
      </w:r>
      <w:r>
        <w:rPr>
          <w:rFonts w:hint="eastAsia" w:ascii="宋体" w:hAnsi="宋体"/>
          <w:sz w:val="24"/>
          <w:u w:val="single"/>
        </w:rPr>
        <w:t xml:space="preserve">盐城市射阳生态环境局射阳县高新科技创业园大气环境监测监控能力建设项目  </w:t>
      </w:r>
      <w:r>
        <w:rPr>
          <w:rFonts w:hint="eastAsia" w:ascii="宋体" w:hAnsi="宋体"/>
          <w:sz w:val="24"/>
        </w:rPr>
        <w:t xml:space="preserve">                     </w:t>
      </w:r>
      <w:r/>
    </w:p>
    <w:p>
      <w:pPr>
        <w:ind w:firstLine="480"/>
        <w:spacing w:line="500" w:lineRule="exact"/>
        <w:rPr>
          <w:rFonts w:ascii="宋体" w:hAnsi="宋体"/>
          <w:sz w:val="24"/>
        </w:rPr>
      </w:pPr>
      <w:r>
        <w:rPr>
          <w:rFonts w:hint="eastAsia" w:ascii="宋体" w:hAnsi="宋体"/>
          <w:sz w:val="24"/>
        </w:rPr>
        <w:t xml:space="preserve">项目编号：</w:t>
      </w:r>
      <w:r/>
    </w:p>
    <w:p>
      <w:pPr>
        <w:ind w:firstLine="480"/>
        <w:spacing w:line="500" w:lineRule="exact"/>
        <w:rPr>
          <w:rFonts w:ascii="宋体" w:hAnsi="宋体"/>
          <w:sz w:val="24"/>
        </w:rPr>
      </w:pPr>
      <w:r>
        <w:rPr>
          <w:rFonts w:hint="eastAsia" w:ascii="宋体" w:hAnsi="宋体"/>
          <w:sz w:val="24"/>
        </w:rPr>
        <w:t xml:space="preserve">甲方：</w:t>
      </w:r>
      <w:r>
        <w:rPr>
          <w:rFonts w:hint="eastAsia" w:ascii="宋体" w:hAnsi="宋体"/>
          <w:sz w:val="24"/>
          <w:u w:val="single"/>
        </w:rPr>
        <w:t xml:space="preserve">盐城市射阳生态环境局</w:t>
      </w:r>
      <w:r/>
    </w:p>
    <w:p>
      <w:pPr>
        <w:ind w:firstLine="480"/>
        <w:spacing w:line="500" w:lineRule="exact"/>
        <w:rPr>
          <w:rFonts w:ascii="宋体" w:hAnsi="宋体"/>
          <w:sz w:val="24"/>
        </w:rPr>
      </w:pPr>
      <w:r>
        <w:rPr>
          <w:rFonts w:hint="eastAsia" w:ascii="宋体" w:hAnsi="宋体"/>
          <w:sz w:val="24"/>
        </w:rPr>
        <w:t xml:space="preserve">乙方：</w:t>
      </w:r>
      <w:r/>
    </w:p>
    <w:p>
      <w:pPr>
        <w:numPr>
          <w:ilvl w:val="0"/>
          <w:numId w:val="11"/>
        </w:numPr>
        <w:spacing w:line="500" w:lineRule="exact"/>
        <w:rPr>
          <w:rFonts w:ascii="宋体" w:hAnsi="宋体"/>
          <w:sz w:val="24"/>
        </w:rPr>
      </w:pPr>
      <w:r>
        <w:rPr>
          <w:rFonts w:hint="eastAsia" w:ascii="宋体" w:hAnsi="宋体"/>
          <w:sz w:val="24"/>
        </w:rPr>
        <w:t xml:space="preserve">乙双方根据</w:t>
      </w:r>
      <w:r>
        <w:rPr>
          <w:rFonts w:hint="eastAsia" w:ascii="宋体" w:hAnsi="宋体"/>
          <w:sz w:val="24"/>
          <w:u w:val="single"/>
        </w:rPr>
        <w:t xml:space="preserve">盐城市射阳生态环境局射阳县高新科技创业园大气环境监测监控能力建设项目</w:t>
      </w:r>
      <w:r>
        <w:rPr>
          <w:rFonts w:hint="eastAsia" w:ascii="宋体" w:hAnsi="宋体"/>
          <w:sz w:val="24"/>
        </w:rPr>
        <w:t xml:space="preserve">公开招标的结果，签署本合同。</w:t>
      </w:r>
      <w:r/>
    </w:p>
    <w:p>
      <w:pPr>
        <w:pStyle w:val="798"/>
        <w:ind w:firstLine="240"/>
        <w:jc w:val="both"/>
        <w:spacing w:before="120" w:after="120" w:line="400" w:lineRule="exact"/>
        <w:rPr>
          <w:rFonts w:eastAsiaTheme="minorEastAsia" w:cstheme="minorBidi"/>
          <w:color w:val="auto"/>
          <w:sz w:val="24"/>
          <w:szCs w:val="22"/>
        </w:rPr>
      </w:pPr>
      <w:r>
        <w:rPr>
          <w:rFonts w:hint="eastAsia" w:eastAsiaTheme="minorEastAsia" w:cstheme="minorBidi"/>
          <w:color w:val="auto"/>
          <w:sz w:val="24"/>
          <w:szCs w:val="22"/>
        </w:rPr>
        <w:t xml:space="preserve">一、合同内容</w:t>
      </w:r>
      <w:r/>
    </w:p>
    <w:p>
      <w:pPr>
        <w:pStyle w:val="798"/>
        <w:ind w:left="1679" w:hanging="1440"/>
        <w:jc w:val="both"/>
        <w:spacing w:before="120" w:after="120" w:line="400" w:lineRule="exact"/>
        <w:rPr>
          <w:rFonts w:eastAsiaTheme="minorEastAsia" w:cstheme="minorBidi"/>
          <w:color w:val="auto"/>
          <w:sz w:val="24"/>
          <w:szCs w:val="22"/>
          <w:u w:val="single"/>
        </w:rPr>
      </w:pPr>
      <w:r>
        <w:rPr>
          <w:rFonts w:hint="eastAsia" w:eastAsiaTheme="minorEastAsia" w:cstheme="minorBidi"/>
          <w:color w:val="auto"/>
          <w:sz w:val="24"/>
          <w:szCs w:val="22"/>
        </w:rPr>
        <w:t xml:space="preserve">1.1 标的名称：</w:t>
      </w:r>
      <w:r>
        <w:rPr>
          <w:rFonts w:hint="eastAsia" w:eastAsiaTheme="minorEastAsia" w:cstheme="minorBidi"/>
          <w:color w:val="auto"/>
          <w:sz w:val="24"/>
          <w:szCs w:val="22"/>
          <w:u w:val="single"/>
        </w:rPr>
        <w:t xml:space="preserve">盐城市射阳生态环境局射阳县高新科技创业园大气环境监测监控能力建设项目</w:t>
      </w:r>
      <w:r/>
    </w:p>
    <w:p>
      <w:pPr>
        <w:pStyle w:val="798"/>
        <w:ind w:firstLine="240"/>
        <w:jc w:val="both"/>
        <w:spacing w:before="120" w:after="120" w:line="400" w:lineRule="exact"/>
        <w:rPr>
          <w:rFonts w:eastAsiaTheme="minorEastAsia" w:cstheme="minorBidi"/>
          <w:color w:val="auto"/>
          <w:sz w:val="24"/>
          <w:szCs w:val="22"/>
        </w:rPr>
      </w:pPr>
      <w:r>
        <w:rPr>
          <w:rFonts w:hint="eastAsia" w:eastAsiaTheme="minorEastAsia" w:cstheme="minorBidi"/>
          <w:color w:val="auto"/>
          <w:sz w:val="24"/>
          <w:szCs w:val="22"/>
        </w:rPr>
        <w:t xml:space="preserve">1.2 标的质量：合格</w:t>
      </w:r>
      <w:r/>
    </w:p>
    <w:p>
      <w:pPr>
        <w:pStyle w:val="798"/>
        <w:ind w:firstLine="240"/>
        <w:jc w:val="both"/>
        <w:spacing w:before="120" w:after="120" w:line="400" w:lineRule="exact"/>
        <w:rPr>
          <w:rFonts w:eastAsiaTheme="minorEastAsia" w:cstheme="minorBidi"/>
          <w:color w:val="auto"/>
          <w:sz w:val="24"/>
          <w:szCs w:val="22"/>
        </w:rPr>
      </w:pPr>
      <w:r>
        <w:rPr>
          <w:rFonts w:hint="eastAsia" w:eastAsiaTheme="minorEastAsia" w:cstheme="minorBidi"/>
          <w:color w:val="auto"/>
          <w:sz w:val="24"/>
          <w:szCs w:val="22"/>
        </w:rPr>
        <w:t xml:space="preserve">1.3 标的数量（规模）：</w:t>
      </w:r>
      <w:r/>
    </w:p>
    <w:p>
      <w:pPr>
        <w:pStyle w:val="798"/>
        <w:ind w:firstLine="480"/>
        <w:jc w:val="both"/>
        <w:spacing w:before="120" w:after="120" w:line="400" w:lineRule="exact"/>
        <w:rPr>
          <w:rFonts w:eastAsiaTheme="minorEastAsia" w:cstheme="minorBidi"/>
          <w:color w:val="auto"/>
          <w:sz w:val="24"/>
          <w:szCs w:val="22"/>
        </w:rPr>
      </w:pPr>
      <w:r>
        <w:rPr>
          <w:rFonts w:hint="eastAsia" w:eastAsiaTheme="minorEastAsia" w:cstheme="minorBidi"/>
          <w:color w:val="auto"/>
          <w:sz w:val="24"/>
          <w:szCs w:val="22"/>
        </w:rPr>
        <w:t xml:space="preserve">在</w:t>
      </w:r>
      <w:bookmarkStart w:id="103" w:name="OLE_LINK9"/>
      <w:r>
        <w:rPr>
          <w:rFonts w:hint="eastAsia" w:eastAsiaTheme="minorEastAsia" w:cstheme="minorBidi"/>
          <w:color w:val="auto"/>
          <w:sz w:val="24"/>
          <w:szCs w:val="22"/>
        </w:rPr>
        <w:t xml:space="preserve">射阳县高新科技创业园（合德片区）主导风向上、下风向建设2个空气质量自动监测站</w:t>
      </w:r>
      <w:bookmarkEnd w:id="103"/>
      <w:r>
        <w:rPr>
          <w:rFonts w:hint="eastAsia" w:eastAsiaTheme="minorEastAsia" w:cstheme="minorBidi"/>
          <w:color w:val="auto"/>
          <w:sz w:val="24"/>
          <w:szCs w:val="22"/>
        </w:rPr>
        <w:t xml:space="preserve">，并提供上述2个气站</w:t>
      </w:r>
      <w:bookmarkStart w:id="104" w:name="OLE_LINK10"/>
      <w:r>
        <w:rPr>
          <w:rFonts w:hint="eastAsia" w:eastAsiaTheme="minorEastAsia" w:cstheme="minorBidi"/>
          <w:color w:val="auto"/>
          <w:sz w:val="24"/>
          <w:szCs w:val="22"/>
        </w:rPr>
        <w:t xml:space="preserve">二年的全托管运维服务</w:t>
      </w:r>
      <w:bookmarkEnd w:id="104"/>
      <w:r>
        <w:rPr>
          <w:rFonts w:hint="eastAsia" w:eastAsiaTheme="minorEastAsia" w:cstheme="minorBidi"/>
          <w:color w:val="auto"/>
          <w:sz w:val="24"/>
          <w:szCs w:val="22"/>
        </w:rPr>
        <w:t xml:space="preserve">。</w:t>
      </w:r>
      <w:r/>
    </w:p>
    <w:p>
      <w:pPr>
        <w:pStyle w:val="798"/>
        <w:numPr>
          <w:ilvl w:val="0"/>
          <w:numId w:val="12"/>
        </w:numPr>
        <w:ind w:left="1319" w:hanging="840"/>
        <w:jc w:val="both"/>
        <w:spacing w:before="120" w:after="120" w:line="400" w:lineRule="exact"/>
      </w:pPr>
      <w:r>
        <w:rPr>
          <w:rFonts w:hint="eastAsia"/>
        </w:rPr>
        <w:t xml:space="preserve">设备：</w:t>
      </w:r>
      <w:r/>
    </w:p>
    <w:tbl>
      <w:tblPr>
        <w:tblStyle w:val="773"/>
        <w:tblW w:w="51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34"/>
        <w:gridCol w:w="2407"/>
        <w:gridCol w:w="1192"/>
        <w:gridCol w:w="1921"/>
        <w:gridCol w:w="1416"/>
        <w:gridCol w:w="1416"/>
      </w:tblGrid>
      <w:tr>
        <w:trPr>
          <w:jc w:val="center"/>
          <w:trHeight w:val="740"/>
          <w:tblHeader/>
        </w:trPr>
        <w:tc>
          <w:tcPr>
            <w:tcW w:w="404" w:type="pct"/>
            <w:vAlign w:val="center"/>
            <w:textDirection w:val="lrTb"/>
            <w:noWrap w:val="false"/>
          </w:tcPr>
          <w:p>
            <w:pPr>
              <w:pStyle w:val="987"/>
              <w:spacing w:line="400" w:lineRule="exact"/>
              <w:rPr>
                <w:rFonts w:eastAsia="宋体" w:cs="宋体"/>
                <w:b/>
                <w:sz w:val="24"/>
                <w:szCs w:val="24"/>
              </w:rPr>
            </w:pPr>
            <w:r>
              <w:rPr>
                <w:rFonts w:hint="eastAsia" w:eastAsia="宋体" w:cs="宋体"/>
                <w:b/>
                <w:sz w:val="24"/>
                <w:szCs w:val="24"/>
              </w:rPr>
              <w:t xml:space="preserve">序号</w:t>
            </w:r>
            <w:r/>
          </w:p>
        </w:tc>
        <w:tc>
          <w:tcPr>
            <w:tcW w:w="1324" w:type="pct"/>
            <w:vAlign w:val="center"/>
            <w:textDirection w:val="lrTb"/>
            <w:noWrap w:val="false"/>
          </w:tcPr>
          <w:p>
            <w:pPr>
              <w:pStyle w:val="987"/>
              <w:spacing w:line="400" w:lineRule="exact"/>
              <w:rPr>
                <w:rFonts w:eastAsia="宋体" w:cs="宋体"/>
                <w:b/>
                <w:sz w:val="24"/>
                <w:szCs w:val="24"/>
              </w:rPr>
            </w:pPr>
            <w:r>
              <w:rPr>
                <w:rFonts w:hint="eastAsia" w:eastAsia="宋体" w:cs="宋体"/>
                <w:b/>
                <w:sz w:val="24"/>
                <w:szCs w:val="24"/>
              </w:rPr>
              <w:t xml:space="preserve">标的名称</w:t>
            </w:r>
            <w:r/>
          </w:p>
        </w:tc>
        <w:tc>
          <w:tcPr>
            <w:tcW w:w="656" w:type="pct"/>
            <w:vAlign w:val="center"/>
            <w:textDirection w:val="lrTb"/>
            <w:noWrap w:val="false"/>
          </w:tcPr>
          <w:p>
            <w:pPr>
              <w:pStyle w:val="987"/>
              <w:spacing w:line="400" w:lineRule="exact"/>
              <w:rPr>
                <w:rFonts w:eastAsia="宋体" w:cs="宋体"/>
                <w:b/>
                <w:sz w:val="24"/>
                <w:szCs w:val="24"/>
              </w:rPr>
            </w:pPr>
            <w:r>
              <w:rPr>
                <w:rFonts w:hint="eastAsia" w:eastAsia="宋体" w:cs="宋体"/>
                <w:b/>
                <w:sz w:val="24"/>
                <w:szCs w:val="24"/>
              </w:rPr>
              <w:t xml:space="preserve">数量</w:t>
            </w:r>
            <w:r/>
          </w:p>
          <w:p>
            <w:pPr>
              <w:pStyle w:val="987"/>
              <w:spacing w:line="400" w:lineRule="exact"/>
              <w:rPr>
                <w:rFonts w:eastAsia="宋体" w:cs="宋体"/>
                <w:b/>
                <w:sz w:val="24"/>
                <w:szCs w:val="24"/>
              </w:rPr>
            </w:pPr>
            <w:r>
              <w:rPr>
                <w:rFonts w:hint="eastAsia" w:eastAsia="宋体" w:cs="宋体"/>
                <w:b/>
                <w:sz w:val="24"/>
                <w:szCs w:val="24"/>
              </w:rPr>
              <w:t xml:space="preserve">（台/套）</w:t>
            </w:r>
            <w:r/>
          </w:p>
        </w:tc>
        <w:tc>
          <w:tcPr>
            <w:tcW w:w="1057" w:type="pct"/>
            <w:vAlign w:val="center"/>
            <w:textDirection w:val="lrTb"/>
            <w:noWrap w:val="false"/>
          </w:tcPr>
          <w:p>
            <w:pPr>
              <w:pStyle w:val="987"/>
              <w:spacing w:line="400" w:lineRule="exact"/>
              <w:rPr>
                <w:rFonts w:eastAsia="宋体" w:cs="宋体"/>
                <w:b/>
                <w:sz w:val="24"/>
                <w:szCs w:val="24"/>
              </w:rPr>
            </w:pPr>
            <w:r>
              <w:rPr>
                <w:rFonts w:hint="eastAsia" w:eastAsia="宋体" w:cs="宋体"/>
                <w:b/>
                <w:sz w:val="24"/>
                <w:szCs w:val="24"/>
              </w:rPr>
              <w:t xml:space="preserve">品牌型号</w:t>
            </w:r>
            <w:r/>
          </w:p>
        </w:tc>
        <w:tc>
          <w:tcPr>
            <w:tcW w:w="779" w:type="pct"/>
            <w:textDirection w:val="lrTb"/>
            <w:noWrap w:val="false"/>
          </w:tcPr>
          <w:p>
            <w:pPr>
              <w:pStyle w:val="987"/>
              <w:spacing w:line="400" w:lineRule="exact"/>
              <w:rPr>
                <w:rFonts w:eastAsia="宋体" w:cs="宋体"/>
                <w:b/>
                <w:sz w:val="24"/>
                <w:szCs w:val="24"/>
              </w:rPr>
            </w:pPr>
            <w:r>
              <w:rPr>
                <w:rFonts w:hint="eastAsia" w:eastAsia="宋体" w:cs="宋体"/>
                <w:b/>
                <w:sz w:val="24"/>
                <w:szCs w:val="24"/>
              </w:rPr>
              <w:t xml:space="preserve">分项单价</w:t>
            </w:r>
            <w:r/>
          </w:p>
          <w:p>
            <w:pPr>
              <w:pStyle w:val="987"/>
              <w:spacing w:line="400" w:lineRule="exact"/>
              <w:rPr>
                <w:rFonts w:eastAsia="宋体" w:cs="宋体"/>
                <w:b/>
                <w:sz w:val="24"/>
                <w:szCs w:val="24"/>
              </w:rPr>
            </w:pPr>
            <w:r>
              <w:rPr>
                <w:rFonts w:hint="eastAsia" w:eastAsia="宋体" w:cs="宋体"/>
                <w:b/>
                <w:sz w:val="24"/>
                <w:szCs w:val="24"/>
              </w:rPr>
              <w:t xml:space="preserve">（元）</w:t>
            </w:r>
            <w:r/>
          </w:p>
        </w:tc>
        <w:tc>
          <w:tcPr>
            <w:tcW w:w="779" w:type="pct"/>
            <w:textDirection w:val="lrTb"/>
            <w:noWrap w:val="false"/>
          </w:tcPr>
          <w:p>
            <w:pPr>
              <w:pStyle w:val="987"/>
              <w:spacing w:line="400" w:lineRule="exact"/>
              <w:rPr>
                <w:rFonts w:eastAsia="宋体" w:cs="宋体"/>
                <w:b/>
                <w:sz w:val="24"/>
                <w:szCs w:val="24"/>
              </w:rPr>
            </w:pPr>
            <w:r>
              <w:rPr>
                <w:rFonts w:hint="eastAsia" w:eastAsia="宋体" w:cs="宋体"/>
                <w:b/>
                <w:sz w:val="24"/>
                <w:szCs w:val="24"/>
              </w:rPr>
              <w:t xml:space="preserve">分项总价</w:t>
            </w:r>
            <w:r/>
          </w:p>
          <w:p>
            <w:pPr>
              <w:pStyle w:val="987"/>
              <w:spacing w:line="400" w:lineRule="exact"/>
              <w:rPr>
                <w:rFonts w:eastAsia="宋体" w:cs="宋体"/>
                <w:b/>
                <w:sz w:val="24"/>
                <w:szCs w:val="24"/>
              </w:rPr>
            </w:pPr>
            <w:r>
              <w:rPr>
                <w:rFonts w:hint="eastAsia" w:eastAsia="宋体" w:cs="宋体"/>
                <w:b/>
                <w:sz w:val="24"/>
                <w:szCs w:val="24"/>
              </w:rPr>
              <w:t xml:space="preserve">（元）</w:t>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环境空气VOCs在线监测系统 （57种PAMS物质）</w:t>
            </w:r>
            <w:r>
              <w:rPr>
                <w:rFonts w:hint="eastAsia"/>
                <w:spacing w:val="8"/>
                <w:lang w:eastAsia="zh-CN"/>
              </w:rPr>
              <w:t xml:space="preserve">（核心产品）</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sz w:val="24"/>
                <w:szCs w:val="24"/>
              </w:rPr>
            </w:pPr>
            <w:r>
              <w:rPr>
                <w:rFonts w:eastAsia="宋体" w:cs="宋体"/>
                <w:bCs/>
                <w:sz w:val="24"/>
                <w:szCs w:val="24"/>
              </w:rPr>
            </w:r>
            <w:r/>
          </w:p>
        </w:tc>
        <w:tc>
          <w:tcPr>
            <w:tcW w:w="779" w:type="pct"/>
            <w:textDirection w:val="lrTb"/>
            <w:noWrap w:val="false"/>
          </w:tcPr>
          <w:p>
            <w:pPr>
              <w:pStyle w:val="987"/>
              <w:spacing w:line="400" w:lineRule="exact"/>
              <w:rPr>
                <w:rFonts w:eastAsia="宋体" w:cs="宋体"/>
                <w:bCs/>
                <w:sz w:val="24"/>
                <w:szCs w:val="24"/>
              </w:rPr>
            </w:pPr>
            <w:r>
              <w:rPr>
                <w:rFonts w:eastAsia="宋体" w:cs="宋体"/>
                <w:bCs/>
                <w:sz w:val="24"/>
                <w:szCs w:val="24"/>
              </w:rPr>
            </w:r>
            <w:r/>
          </w:p>
        </w:tc>
        <w:tc>
          <w:tcPr>
            <w:tcW w:w="779" w:type="pct"/>
            <w:textDirection w:val="lrTb"/>
            <w:noWrap w:val="false"/>
          </w:tcPr>
          <w:p>
            <w:pPr>
              <w:pStyle w:val="987"/>
              <w:spacing w:line="400" w:lineRule="exact"/>
              <w:rPr>
                <w:rFonts w:eastAsia="宋体" w:cs="宋体"/>
                <w:bCs/>
                <w:sz w:val="24"/>
                <w:szCs w:val="24"/>
              </w:rPr>
            </w:pPr>
            <w:r>
              <w:rPr>
                <w:rFonts w:eastAsia="宋体" w:cs="宋体"/>
                <w:bCs/>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二氧化硫分析仪</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3</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氮氧化物分析仪</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4</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臭氧分析仪</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5</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一氧化碳分析仪</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6</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PM2.5监测仪</w:t>
            </w:r>
            <w:r>
              <w:rPr>
                <w:rFonts w:hint="eastAsia"/>
                <w:spacing w:val="8"/>
                <w:lang w:eastAsia="zh-CN"/>
              </w:rPr>
              <w:t xml:space="preserve">（核心产品）</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7</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PM10监测仪</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8</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多气体动态校准仪</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9</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零气发生器</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10</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氢气发生器</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11</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气象五参数</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12</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系统控制及数据采集单元</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13</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采样装置</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14</w:t>
            </w:r>
            <w:r/>
          </w:p>
        </w:tc>
        <w:tc>
          <w:tcPr>
            <w:tcW w:w="1324" w:type="pct"/>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标准化站房（≥24平方米）</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15</w:t>
            </w:r>
            <w:r/>
          </w:p>
        </w:tc>
        <w:tc>
          <w:tcPr>
            <w:tcW w:w="1324" w:type="pct"/>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视频监控系统</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16</w:t>
            </w:r>
            <w:r/>
          </w:p>
        </w:tc>
        <w:tc>
          <w:tcPr>
            <w:tcW w:w="1324" w:type="pct"/>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机柜</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17</w:t>
            </w:r>
            <w:r/>
          </w:p>
        </w:tc>
        <w:tc>
          <w:tcPr>
            <w:tcW w:w="1324" w:type="pct"/>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各类标气、水、电、网络、防雷装置（出具防雷报告）、消防、办公桌椅、档案柜，文化建设等其他配套设施设备</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bl>
    <w:p>
      <w:pPr>
        <w:pStyle w:val="801"/>
        <w:ind w:left="360" w:firstLine="0"/>
        <w:rPr>
          <w:rFonts w:ascii="宋体" w:hAnsi="宋体" w:eastAsiaTheme="minorEastAsia"/>
          <w:sz w:val="24"/>
          <w:szCs w:val="22"/>
        </w:rPr>
      </w:pPr>
      <w:r>
        <w:rPr>
          <w:rFonts w:hint="eastAsia" w:ascii="宋体" w:hAnsi="宋体" w:eastAsiaTheme="minorEastAsia"/>
          <w:sz w:val="24"/>
          <w:szCs w:val="22"/>
        </w:rPr>
        <w:t xml:space="preserve">2）服务：射阳县高新科技创业园（合德片区）主导风向上、下风向建设的2个空气质量自动监测站二年的全托管运维服务。</w:t>
      </w:r>
      <w:r/>
    </w:p>
    <w:p>
      <w:pPr>
        <w:pStyle w:val="801"/>
        <w:ind w:left="360" w:firstLine="0"/>
        <w:rPr>
          <w:rFonts w:ascii="宋体" w:hAnsi="宋体" w:eastAsiaTheme="minorEastAsia"/>
          <w:sz w:val="24"/>
          <w:szCs w:val="22"/>
        </w:rPr>
      </w:pPr>
      <w:r>
        <w:rPr>
          <w:rFonts w:hint="eastAsia" w:ascii="宋体" w:hAnsi="宋体" w:eastAsiaTheme="minorEastAsia"/>
          <w:sz w:val="24"/>
          <w:szCs w:val="22"/>
        </w:rPr>
        <w:t xml:space="preserve">1.4 履行时间（期限）：2年</w:t>
      </w:r>
      <w:r/>
    </w:p>
    <w:p>
      <w:pPr>
        <w:pStyle w:val="801"/>
        <w:ind w:left="360" w:firstLine="0"/>
        <w:rPr>
          <w:rFonts w:ascii="宋体" w:hAnsi="宋体" w:eastAsiaTheme="minorEastAsia"/>
          <w:sz w:val="24"/>
          <w:szCs w:val="22"/>
        </w:rPr>
      </w:pPr>
      <w:r>
        <w:rPr>
          <w:rFonts w:hint="eastAsia" w:ascii="宋体" w:hAnsi="宋体" w:eastAsiaTheme="minorEastAsia"/>
          <w:sz w:val="24"/>
          <w:szCs w:val="22"/>
        </w:rPr>
        <w:t xml:space="preserve">1.5 履行地点：甲方指定地点</w:t>
      </w:r>
      <w:r/>
    </w:p>
    <w:p>
      <w:pPr>
        <w:pStyle w:val="801"/>
        <w:ind w:left="360" w:firstLine="0"/>
        <w:rPr>
          <w:rFonts w:ascii="宋体" w:hAnsi="宋体" w:eastAsiaTheme="minorEastAsia"/>
          <w:sz w:val="24"/>
          <w:szCs w:val="22"/>
        </w:rPr>
      </w:pPr>
      <w:r>
        <w:rPr>
          <w:rFonts w:hint="eastAsia" w:ascii="宋体" w:hAnsi="宋体" w:eastAsiaTheme="minorEastAsia"/>
          <w:sz w:val="24"/>
          <w:szCs w:val="22"/>
        </w:rPr>
        <w:t xml:space="preserve">1.6 履行方式：合同签订后60天内供货到采购人指定地点，并经安装调试验收合格。自验收合格日起提供二年运维服务。</w:t>
      </w:r>
      <w:r/>
    </w:p>
    <w:p>
      <w:pPr>
        <w:pStyle w:val="801"/>
        <w:ind w:left="360" w:firstLine="0"/>
        <w:rPr>
          <w:rFonts w:ascii="宋体" w:hAnsi="宋体" w:eastAsiaTheme="minorEastAsia"/>
          <w:sz w:val="24"/>
          <w:szCs w:val="22"/>
        </w:rPr>
      </w:pPr>
      <w:r>
        <w:rPr>
          <w:rFonts w:hint="eastAsia" w:ascii="宋体" w:hAnsi="宋体" w:eastAsiaTheme="minorEastAsia"/>
          <w:sz w:val="24"/>
          <w:szCs w:val="22"/>
        </w:rPr>
        <w:t xml:space="preserve">1.7包装方式：对货物的包装应符合《商品包装政府采购需求标准（试行）》、《快递包装政府采购需求标准（试行）》的规定。</w:t>
      </w:r>
      <w:r/>
    </w:p>
    <w:p>
      <w:pPr>
        <w:pStyle w:val="798"/>
        <w:jc w:val="both"/>
        <w:spacing w:before="120" w:after="120" w:line="400" w:lineRule="exact"/>
        <w:rPr>
          <w:rFonts w:eastAsiaTheme="minorEastAsia" w:cstheme="minorBidi"/>
          <w:color w:val="auto"/>
          <w:sz w:val="24"/>
          <w:szCs w:val="22"/>
        </w:rPr>
      </w:pPr>
      <w:r>
        <w:rPr>
          <w:rFonts w:hint="eastAsia" w:eastAsiaTheme="minorEastAsia" w:cstheme="minorBidi"/>
          <w:color w:val="auto"/>
          <w:sz w:val="24"/>
          <w:szCs w:val="22"/>
        </w:rPr>
        <w:t xml:space="preserve">二、合同金额</w:t>
      </w:r>
      <w:r/>
    </w:p>
    <w:p>
      <w:pPr>
        <w:pStyle w:val="798"/>
        <w:ind w:left="410" w:hanging="410"/>
        <w:jc w:val="both"/>
        <w:spacing w:before="120" w:after="120" w:line="400" w:lineRule="exact"/>
        <w:rPr>
          <w:rFonts w:eastAsiaTheme="minorEastAsia" w:cstheme="minorBidi"/>
          <w:color w:val="auto"/>
          <w:sz w:val="24"/>
          <w:szCs w:val="22"/>
        </w:rPr>
      </w:pPr>
      <w:r>
        <w:rPr>
          <w:rFonts w:hint="eastAsia" w:eastAsiaTheme="minorEastAsia" w:cstheme="minorBidi"/>
          <w:color w:val="auto"/>
          <w:sz w:val="24"/>
          <w:szCs w:val="22"/>
        </w:rPr>
        <w:t xml:space="preserve">2.1 本合同金额为（大写）</w:t>
      </w:r>
      <w:r>
        <w:rPr>
          <w:rFonts w:hint="eastAsia" w:eastAsiaTheme="minorEastAsia" w:cstheme="minorBidi"/>
          <w:color w:val="auto"/>
          <w:sz w:val="24"/>
          <w:szCs w:val="22"/>
          <w:u w:val="single"/>
          <w:lang w:val="en-US" w:eastAsia="zh-CN"/>
        </w:rPr>
        <w:t xml:space="preserve">        </w:t>
      </w:r>
      <w:r>
        <w:rPr>
          <w:rFonts w:hint="eastAsia" w:eastAsiaTheme="minorEastAsia" w:cstheme="minorBidi"/>
          <w:color w:val="auto"/>
          <w:sz w:val="24"/>
          <w:szCs w:val="22"/>
        </w:rPr>
        <w:t xml:space="preserve">元整（￥</w:t>
      </w:r>
      <w:r>
        <w:rPr>
          <w:rFonts w:hint="eastAsia" w:eastAsiaTheme="minorEastAsia" w:cstheme="minorBidi"/>
          <w:color w:val="auto"/>
          <w:sz w:val="24"/>
          <w:szCs w:val="22"/>
          <w:lang w:val="en-US" w:eastAsia="zh-CN"/>
        </w:rPr>
        <w:t xml:space="preserve"> </w:t>
      </w:r>
      <w:r>
        <w:rPr>
          <w:rFonts w:hint="eastAsia" w:eastAsiaTheme="minorEastAsia" w:cstheme="minorBidi"/>
          <w:i/>
          <w:iCs/>
          <w:color w:val="auto"/>
          <w:sz w:val="24"/>
          <w:szCs w:val="22"/>
          <w:u w:val="single"/>
          <w:lang w:val="en-US" w:eastAsia="zh-CN"/>
        </w:rPr>
        <w:t xml:space="preserve">         </w:t>
      </w:r>
      <w:r>
        <w:rPr>
          <w:rFonts w:hint="eastAsia" w:eastAsiaTheme="minorEastAsia" w:cstheme="minorBidi"/>
          <w:color w:val="auto"/>
          <w:sz w:val="24"/>
          <w:szCs w:val="22"/>
        </w:rPr>
        <w:t xml:space="preserve">元）人民币。</w:t>
      </w:r>
      <w:r/>
    </w:p>
    <w:p>
      <w:pPr>
        <w:pStyle w:val="798"/>
        <w:jc w:val="both"/>
        <w:spacing w:before="120" w:after="120" w:line="400" w:lineRule="exact"/>
        <w:rPr>
          <w:rFonts w:eastAsiaTheme="minorEastAsia" w:cstheme="minorBidi"/>
          <w:color w:val="auto"/>
          <w:sz w:val="24"/>
          <w:szCs w:val="22"/>
        </w:rPr>
      </w:pPr>
      <w:r>
        <w:rPr>
          <w:rFonts w:hint="eastAsia" w:eastAsiaTheme="minorEastAsia" w:cstheme="minorBidi"/>
          <w:color w:val="auto"/>
          <w:sz w:val="24"/>
          <w:szCs w:val="22"/>
        </w:rPr>
        <w:t xml:space="preserve">三、技术资料</w:t>
      </w:r>
      <w:r/>
    </w:p>
    <w:p>
      <w:pPr>
        <w:pStyle w:val="798"/>
        <w:ind w:left="410" w:hanging="410"/>
        <w:jc w:val="both"/>
        <w:spacing w:before="120" w:after="120" w:line="400" w:lineRule="exact"/>
        <w:rPr>
          <w:rFonts w:eastAsiaTheme="minorEastAsia" w:cstheme="minorBidi"/>
          <w:color w:val="auto"/>
          <w:sz w:val="24"/>
          <w:szCs w:val="22"/>
        </w:rPr>
      </w:pPr>
      <w:r>
        <w:rPr>
          <w:rFonts w:hint="eastAsia" w:eastAsiaTheme="minorEastAsia" w:cstheme="minorBidi"/>
          <w:color w:val="auto"/>
          <w:sz w:val="24"/>
          <w:szCs w:val="22"/>
        </w:rPr>
        <w:t xml:space="preserve">3.1乙方应按招标文件规定的时间向甲方提供使用标的物（包含与标的物相关的服务</w:t>
      </w:r>
      <w:r>
        <w:rPr>
          <w:rFonts w:hint="eastAsia" w:eastAsiaTheme="minorEastAsia" w:cstheme="minorBidi"/>
          <w:color w:val="auto"/>
          <w:sz w:val="24"/>
          <w:szCs w:val="22"/>
          <w:lang w:val="en-US" w:eastAsia="zh-CN"/>
        </w:rPr>
        <w:t xml:space="preserve">)</w:t>
      </w:r>
      <w:r>
        <w:rPr>
          <w:rFonts w:hint="eastAsia" w:eastAsiaTheme="minorEastAsia" w:cstheme="minorBidi"/>
          <w:color w:val="auto"/>
          <w:sz w:val="24"/>
          <w:szCs w:val="22"/>
        </w:rPr>
        <w:t xml:space="preserve">的有关技术资料。</w:t>
      </w:r>
      <w:r/>
    </w:p>
    <w:p>
      <w:pPr>
        <w:pStyle w:val="798"/>
        <w:ind w:left="410" w:hanging="410"/>
        <w:jc w:val="both"/>
        <w:spacing w:before="120" w:after="120" w:line="400" w:lineRule="exact"/>
        <w:rPr>
          <w:rFonts w:eastAsiaTheme="minorEastAsia" w:cstheme="minorBidi"/>
          <w:color w:val="auto"/>
          <w:sz w:val="24"/>
          <w:szCs w:val="22"/>
        </w:rPr>
      </w:pPr>
      <w:r>
        <w:rPr>
          <w:rFonts w:hint="eastAsia" w:eastAsiaTheme="minorEastAsia" w:cstheme="minorBidi"/>
          <w:color w:val="auto"/>
          <w:sz w:val="24"/>
          <w:szCs w:val="2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8"/>
        <w:ind w:left="408" w:hanging="408"/>
        <w:jc w:val="both"/>
        <w:spacing w:before="120" w:after="120" w:line="400" w:lineRule="exact"/>
        <w:rPr>
          <w:color w:val="auto"/>
          <w:sz w:val="24"/>
          <w:szCs w:val="24"/>
        </w:rPr>
      </w:pPr>
      <w:r>
        <w:rPr>
          <w:rFonts w:hint="eastAsia"/>
          <w:color w:val="auto"/>
          <w:sz w:val="24"/>
          <w:szCs w:val="24"/>
        </w:rPr>
        <w:t xml:space="preserve">四、知识产权</w:t>
      </w:r>
      <w:r/>
    </w:p>
    <w:p>
      <w:pPr>
        <w:pStyle w:val="798"/>
        <w:ind w:left="408" w:hanging="408"/>
        <w:jc w:val="both"/>
        <w:spacing w:before="120" w:after="120" w:line="400" w:lineRule="exact"/>
        <w:rPr>
          <w:color w:val="auto"/>
          <w:sz w:val="24"/>
          <w:szCs w:val="24"/>
        </w:rPr>
      </w:pPr>
      <w:r>
        <w:rPr>
          <w:rFonts w:hint="eastAsia"/>
          <w:color w:val="auto"/>
          <w:sz w:val="24"/>
          <w:szCs w:val="24"/>
        </w:rPr>
        <w:t xml:space="preserve">4.1乙方应保证甲方在使用、接受本合同标的物（包含与标的物相关的服务）或其任何一部分时不受第三方提出侵犯其专利权、版权、商标权和工业设计权等知识产权的起诉。一旦出现侵权，由乙方负全部责任。</w:t>
      </w:r>
      <w:r/>
    </w:p>
    <w:p>
      <w:pPr>
        <w:pStyle w:val="798"/>
        <w:ind w:left="408" w:hanging="408"/>
        <w:jc w:val="both"/>
        <w:spacing w:before="120" w:after="120" w:line="400" w:lineRule="exact"/>
        <w:rPr>
          <w:color w:val="auto"/>
          <w:sz w:val="24"/>
          <w:szCs w:val="24"/>
        </w:rPr>
      </w:pPr>
      <w:r>
        <w:rPr>
          <w:rFonts w:hint="eastAsia"/>
          <w:color w:val="auto"/>
          <w:sz w:val="24"/>
          <w:szCs w:val="24"/>
        </w:rPr>
        <w:t xml:space="preserve">五、产权担保</w:t>
      </w:r>
      <w:r/>
    </w:p>
    <w:p>
      <w:pPr>
        <w:pStyle w:val="798"/>
        <w:ind w:left="408" w:hanging="408"/>
        <w:jc w:val="both"/>
        <w:spacing w:before="120" w:after="120" w:line="400" w:lineRule="exact"/>
        <w:rPr>
          <w:color w:val="auto"/>
          <w:sz w:val="24"/>
          <w:szCs w:val="24"/>
        </w:rPr>
      </w:pPr>
      <w:r>
        <w:rPr>
          <w:rFonts w:hint="eastAsia"/>
          <w:color w:val="auto"/>
          <w:sz w:val="24"/>
          <w:szCs w:val="24"/>
        </w:rPr>
        <w:t xml:space="preserve">5.1 乙方保证所交付的货物（包含与货物相关的服务）的所有权完全属于乙方且无任何抵押、查封等产权瑕疵。</w:t>
      </w:r>
      <w:r/>
    </w:p>
    <w:p>
      <w:pPr>
        <w:pStyle w:val="798"/>
        <w:ind w:left="408" w:hanging="408"/>
        <w:jc w:val="both"/>
        <w:spacing w:before="120" w:after="120" w:line="400" w:lineRule="exact"/>
        <w:rPr>
          <w:color w:val="auto"/>
          <w:sz w:val="24"/>
          <w:szCs w:val="24"/>
        </w:rPr>
      </w:pPr>
      <w:r>
        <w:rPr>
          <w:rFonts w:hint="eastAsia"/>
          <w:color w:val="auto"/>
          <w:sz w:val="24"/>
          <w:szCs w:val="24"/>
          <w:lang w:val="en-US" w:eastAsia="zh-CN"/>
        </w:rPr>
        <w:t xml:space="preserve">六</w:t>
      </w:r>
      <w:r>
        <w:rPr>
          <w:rFonts w:hint="eastAsia"/>
          <w:color w:val="auto"/>
          <w:sz w:val="24"/>
          <w:szCs w:val="24"/>
        </w:rPr>
        <w:t xml:space="preserve">、合同转包或分包</w:t>
      </w:r>
      <w:r/>
    </w:p>
    <w:p>
      <w:pPr>
        <w:pStyle w:val="798"/>
        <w:ind w:left="408" w:hanging="408"/>
        <w:jc w:val="both"/>
        <w:spacing w:before="120" w:after="120" w:line="400" w:lineRule="exact"/>
        <w:rPr>
          <w:color w:val="auto"/>
          <w:sz w:val="24"/>
          <w:szCs w:val="24"/>
        </w:rPr>
      </w:pPr>
      <w:r>
        <w:rPr>
          <w:rFonts w:hint="eastAsia"/>
          <w:color w:val="auto"/>
          <w:sz w:val="24"/>
          <w:szCs w:val="24"/>
          <w:lang w:val="en-US" w:eastAsia="zh-CN"/>
        </w:rPr>
        <w:t xml:space="preserve">6</w:t>
      </w:r>
      <w:r>
        <w:rPr>
          <w:rFonts w:hint="eastAsia"/>
          <w:color w:val="auto"/>
          <w:sz w:val="24"/>
          <w:szCs w:val="24"/>
        </w:rPr>
        <w:t xml:space="preserve">.1乙方不得将合同标的转包给他人履行。</w:t>
      </w:r>
      <w:r/>
    </w:p>
    <w:p>
      <w:pPr>
        <w:pStyle w:val="798"/>
        <w:ind w:left="408" w:hanging="408"/>
        <w:jc w:val="both"/>
        <w:spacing w:before="120" w:after="120" w:line="400" w:lineRule="exact"/>
        <w:rPr>
          <w:color w:val="auto"/>
          <w:sz w:val="24"/>
          <w:szCs w:val="24"/>
        </w:rPr>
      </w:pPr>
      <w:r>
        <w:rPr>
          <w:rFonts w:hint="eastAsia"/>
          <w:color w:val="auto"/>
          <w:sz w:val="24"/>
          <w:szCs w:val="24"/>
          <w:lang w:val="en-US" w:eastAsia="zh-CN"/>
        </w:rPr>
        <w:t xml:space="preserve">6</w:t>
      </w:r>
      <w:r>
        <w:rPr>
          <w:rFonts w:hint="eastAsia"/>
          <w:color w:val="auto"/>
          <w:sz w:val="24"/>
          <w:szCs w:val="24"/>
        </w:rPr>
        <w:t xml:space="preserve">.2乙方不得将合同标的分包给他人履行。</w:t>
      </w:r>
      <w:r/>
    </w:p>
    <w:p>
      <w:pPr>
        <w:pStyle w:val="798"/>
        <w:ind w:left="408" w:hanging="408"/>
        <w:jc w:val="both"/>
        <w:spacing w:before="120" w:after="120" w:line="400" w:lineRule="exact"/>
        <w:rPr>
          <w:color w:val="auto"/>
          <w:sz w:val="24"/>
          <w:szCs w:val="24"/>
        </w:rPr>
      </w:pPr>
      <w:r>
        <w:rPr>
          <w:rFonts w:hint="eastAsia"/>
          <w:color w:val="auto"/>
          <w:sz w:val="24"/>
          <w:szCs w:val="24"/>
          <w:lang w:val="en-US" w:eastAsia="zh-CN"/>
        </w:rPr>
        <w:t xml:space="preserve">6</w:t>
      </w:r>
      <w:r>
        <w:rPr>
          <w:rFonts w:hint="eastAsia"/>
          <w:color w:val="auto"/>
          <w:sz w:val="24"/>
          <w:szCs w:val="24"/>
        </w:rPr>
        <w:t xml:space="preserve">.3乙方如有转包或未经甲方同意的分包行为，甲方有权终止合同。</w:t>
      </w:r>
      <w:r/>
    </w:p>
    <w:p>
      <w:pPr>
        <w:pStyle w:val="798"/>
        <w:ind w:left="408" w:hanging="408"/>
        <w:jc w:val="both"/>
        <w:spacing w:before="120" w:after="120" w:line="400" w:lineRule="exact"/>
        <w:rPr>
          <w:color w:val="auto"/>
          <w:sz w:val="24"/>
          <w:szCs w:val="24"/>
        </w:rPr>
      </w:pPr>
      <w:r>
        <w:rPr>
          <w:rFonts w:hint="eastAsia"/>
          <w:color w:val="auto"/>
          <w:sz w:val="24"/>
          <w:szCs w:val="24"/>
          <w:lang w:val="en-US" w:eastAsia="zh-CN"/>
        </w:rPr>
        <w:t xml:space="preserve">七</w:t>
      </w:r>
      <w:r>
        <w:rPr>
          <w:rFonts w:hint="eastAsia"/>
          <w:color w:val="auto"/>
          <w:sz w:val="24"/>
          <w:szCs w:val="24"/>
        </w:rPr>
        <w:t xml:space="preserve">、合同款项支付</w:t>
      </w:r>
      <w:r/>
    </w:p>
    <w:p>
      <w:pPr>
        <w:pStyle w:val="798"/>
        <w:ind w:left="428" w:firstLine="14"/>
        <w:jc w:val="both"/>
        <w:spacing w:before="120" w:after="120" w:line="400" w:lineRule="exact"/>
        <w:rPr>
          <w:color w:val="auto"/>
          <w:sz w:val="24"/>
          <w:szCs w:val="24"/>
        </w:rPr>
      </w:pPr>
      <w:r>
        <w:rPr>
          <w:rFonts w:hint="eastAsia"/>
          <w:color w:val="auto"/>
          <w:sz w:val="24"/>
          <w:szCs w:val="24"/>
        </w:rPr>
        <w:t xml:space="preserve">合同签订生效后，在财政资金到位的情况下，甲方预付合同金额的30%作为启动资金；乙方按照采购要求，将货物送到甲方指定地点并完成安装调试，项目验收合格后，甲方向乙方支付至合同价的80％；自验收合格之日起，乙方按照采购要求履约期达到12个月时，甲方根据对乙方的考核结果付款，最高付至合同金额的90％；履约期达到24个月时，甲方根据对乙方的考核结果结算项目余款。</w:t>
      </w:r>
      <w:r/>
    </w:p>
    <w:p>
      <w:pPr>
        <w:pStyle w:val="798"/>
        <w:ind w:left="408" w:hanging="408"/>
        <w:jc w:val="both"/>
        <w:spacing w:before="120" w:after="120" w:line="400" w:lineRule="exact"/>
        <w:rPr>
          <w:color w:val="auto"/>
          <w:sz w:val="24"/>
          <w:szCs w:val="24"/>
        </w:rPr>
      </w:pPr>
      <w:r>
        <w:rPr>
          <w:rFonts w:hint="eastAsia"/>
          <w:color w:val="auto"/>
          <w:sz w:val="24"/>
          <w:szCs w:val="24"/>
        </w:rPr>
        <w:t xml:space="preserve">注：①以上付款均不计任何利息和相关费用。由于合同款项的拨付需经财政部门审批实际支付时间可能滞后于合同约定的时限，中标人不能因费用拨付滞后而影响正常工作开展和服务质量。</w:t>
      </w:r>
      <w:r/>
    </w:p>
    <w:p>
      <w:pPr>
        <w:pStyle w:val="798"/>
        <w:ind w:left="408" w:hanging="408"/>
        <w:jc w:val="both"/>
        <w:spacing w:before="120" w:after="120" w:line="400" w:lineRule="exact"/>
        <w:rPr>
          <w:color w:val="auto"/>
          <w:sz w:val="24"/>
          <w:szCs w:val="24"/>
        </w:rPr>
      </w:pPr>
      <w:r>
        <w:rPr>
          <w:rFonts w:hint="eastAsia"/>
          <w:color w:val="auto"/>
          <w:sz w:val="24"/>
          <w:szCs w:val="24"/>
          <w:lang w:val="en-US" w:eastAsia="zh-CN"/>
        </w:rPr>
        <w:t xml:space="preserve">八</w:t>
      </w:r>
      <w:r>
        <w:rPr>
          <w:rFonts w:hint="eastAsia"/>
          <w:color w:val="auto"/>
          <w:sz w:val="24"/>
          <w:szCs w:val="24"/>
        </w:rPr>
        <w:t xml:space="preserve">、税费</w:t>
      </w:r>
      <w:r/>
    </w:p>
    <w:p>
      <w:pPr>
        <w:pStyle w:val="798"/>
        <w:ind w:left="408" w:hanging="408"/>
        <w:jc w:val="both"/>
        <w:spacing w:before="120" w:after="120" w:line="400" w:lineRule="exact"/>
        <w:rPr>
          <w:color w:val="auto"/>
          <w:sz w:val="24"/>
          <w:szCs w:val="24"/>
        </w:rPr>
      </w:pPr>
      <w:r>
        <w:rPr>
          <w:rFonts w:hint="eastAsia"/>
          <w:color w:val="auto"/>
          <w:sz w:val="24"/>
          <w:szCs w:val="24"/>
          <w:lang w:val="en-US" w:eastAsia="zh-CN"/>
        </w:rPr>
        <w:t xml:space="preserve">8</w:t>
      </w:r>
      <w:r>
        <w:rPr>
          <w:rFonts w:hint="eastAsia"/>
          <w:color w:val="auto"/>
          <w:sz w:val="24"/>
          <w:szCs w:val="24"/>
        </w:rPr>
        <w:t xml:space="preserve">.1本合同执行中相关的一切税费均由乙方负担。</w:t>
      </w:r>
      <w:r/>
    </w:p>
    <w:p>
      <w:pPr>
        <w:pStyle w:val="798"/>
        <w:ind w:left="408" w:hanging="408"/>
        <w:jc w:val="both"/>
        <w:spacing w:before="120" w:after="120" w:line="400" w:lineRule="exact"/>
        <w:rPr>
          <w:color w:val="auto"/>
          <w:sz w:val="24"/>
          <w:szCs w:val="24"/>
        </w:rPr>
      </w:pPr>
      <w:r>
        <w:rPr>
          <w:rFonts w:hint="eastAsia"/>
          <w:color w:val="auto"/>
          <w:sz w:val="24"/>
          <w:szCs w:val="24"/>
          <w:lang w:val="en-US" w:eastAsia="zh-CN"/>
        </w:rPr>
        <w:t xml:space="preserve">九</w:t>
      </w:r>
      <w:r>
        <w:rPr>
          <w:rFonts w:hint="eastAsia"/>
          <w:color w:val="auto"/>
          <w:sz w:val="24"/>
          <w:szCs w:val="24"/>
        </w:rPr>
        <w:t xml:space="preserve">、质量保修范围和保修期及售后服务</w:t>
      </w:r>
      <w:r/>
    </w:p>
    <w:p>
      <w:pPr>
        <w:pStyle w:val="798"/>
        <w:ind w:left="408" w:hanging="408"/>
        <w:jc w:val="both"/>
        <w:spacing w:before="120" w:after="120" w:line="400" w:lineRule="exact"/>
        <w:rPr>
          <w:color w:val="auto"/>
          <w:sz w:val="24"/>
          <w:szCs w:val="24"/>
        </w:rPr>
      </w:pPr>
      <w:r>
        <w:rPr>
          <w:rFonts w:hint="eastAsia"/>
          <w:color w:val="auto"/>
          <w:sz w:val="24"/>
          <w:szCs w:val="24"/>
          <w:lang w:val="en-US" w:eastAsia="zh-CN"/>
        </w:rPr>
        <w:t xml:space="preserve">9</w:t>
      </w:r>
      <w:r>
        <w:rPr>
          <w:rFonts w:hint="eastAsia"/>
          <w:color w:val="auto"/>
          <w:sz w:val="24"/>
          <w:szCs w:val="24"/>
        </w:rPr>
        <w:t xml:space="preserve">.1 乙方应按招标文件规定的货物性能、技术要求、质量标准向甲方提供未经使用的全新产品。</w:t>
      </w:r>
      <w:r/>
    </w:p>
    <w:p>
      <w:pPr>
        <w:pStyle w:val="798"/>
        <w:ind w:left="408" w:hanging="408"/>
        <w:jc w:val="both"/>
        <w:spacing w:before="120" w:after="120" w:line="400" w:lineRule="exact"/>
        <w:rPr>
          <w:color w:val="auto"/>
          <w:sz w:val="24"/>
          <w:szCs w:val="24"/>
        </w:rPr>
      </w:pPr>
      <w:r>
        <w:rPr>
          <w:rFonts w:hint="eastAsia"/>
          <w:color w:val="auto"/>
          <w:sz w:val="24"/>
          <w:szCs w:val="24"/>
          <w:lang w:val="en-US" w:eastAsia="zh-CN"/>
        </w:rPr>
        <w:t xml:space="preserve">9</w:t>
      </w:r>
      <w:r>
        <w:rPr>
          <w:rFonts w:hint="eastAsia"/>
          <w:color w:val="auto"/>
          <w:sz w:val="24"/>
          <w:szCs w:val="24"/>
        </w:rPr>
        <w:t xml:space="preserve">.2 乙方提供的货物在质量期内因货物本身的质量问题发生故障，乙方应负责免费更换。对达不到技术要求者，根据实际情况，经双方协商，可按以下办法处理：</w:t>
      </w:r>
      <w:r/>
    </w:p>
    <w:p>
      <w:pPr>
        <w:pStyle w:val="798"/>
        <w:ind w:left="408" w:hanging="408"/>
        <w:jc w:val="both"/>
        <w:spacing w:before="120" w:after="120" w:line="400" w:lineRule="exact"/>
        <w:rPr>
          <w:color w:val="auto"/>
          <w:sz w:val="24"/>
          <w:szCs w:val="24"/>
        </w:rPr>
      </w:pPr>
      <w:r>
        <w:rPr>
          <w:rFonts w:hint="eastAsia"/>
          <w:color w:val="auto"/>
          <w:sz w:val="24"/>
          <w:szCs w:val="24"/>
        </w:rPr>
        <w:t xml:space="preserve">⑴更换：由乙方承担所发生的全部费用。</w:t>
      </w:r>
      <w:r/>
    </w:p>
    <w:p>
      <w:pPr>
        <w:pStyle w:val="798"/>
        <w:ind w:left="408" w:hanging="408"/>
        <w:jc w:val="both"/>
        <w:spacing w:before="120" w:after="120" w:line="400" w:lineRule="exact"/>
        <w:rPr>
          <w:color w:val="auto"/>
          <w:sz w:val="24"/>
          <w:szCs w:val="24"/>
        </w:rPr>
      </w:pPr>
      <w:r>
        <w:rPr>
          <w:rFonts w:hint="eastAsia"/>
          <w:color w:val="auto"/>
          <w:sz w:val="24"/>
          <w:szCs w:val="24"/>
        </w:rPr>
        <w:t xml:space="preserve">⑵贬值处理：由甲乙双方合议定价。</w:t>
      </w:r>
      <w:r/>
    </w:p>
    <w:p>
      <w:pPr>
        <w:pStyle w:val="798"/>
        <w:ind w:left="408" w:hanging="408"/>
        <w:jc w:val="both"/>
        <w:spacing w:before="120" w:after="120" w:line="400" w:lineRule="exact"/>
        <w:rPr>
          <w:color w:val="auto"/>
          <w:sz w:val="24"/>
          <w:szCs w:val="24"/>
        </w:rPr>
      </w:pPr>
      <w:r>
        <w:rPr>
          <w:rFonts w:hint="eastAsia"/>
          <w:color w:val="auto"/>
          <w:sz w:val="24"/>
          <w:szCs w:val="24"/>
        </w:rPr>
        <w:t xml:space="preserve">⑶退货处理：乙方应退还甲方支付的合同款，同时应承担该货物的直接费用（运输、保险、检验、货款利息及银行手续费等）。</w:t>
      </w:r>
      <w:r/>
    </w:p>
    <w:p>
      <w:pPr>
        <w:pStyle w:val="798"/>
        <w:ind w:left="408" w:hanging="408"/>
        <w:jc w:val="both"/>
        <w:spacing w:before="120" w:after="120" w:line="400" w:lineRule="exact"/>
        <w:rPr>
          <w:color w:val="auto"/>
          <w:sz w:val="24"/>
          <w:szCs w:val="24"/>
        </w:rPr>
      </w:pPr>
      <w:r>
        <w:rPr>
          <w:rFonts w:hint="eastAsia"/>
          <w:color w:val="auto"/>
          <w:sz w:val="24"/>
          <w:szCs w:val="24"/>
          <w:lang w:val="en-US" w:eastAsia="zh-CN"/>
        </w:rPr>
        <w:t xml:space="preserve">9</w:t>
      </w:r>
      <w:r>
        <w:rPr>
          <w:rFonts w:hint="eastAsia"/>
          <w:color w:val="auto"/>
          <w:sz w:val="24"/>
          <w:szCs w:val="24"/>
        </w:rPr>
        <w:t xml:space="preserve">.3 如设备使用过程中出现质量问题，乙方接到甲方通知后，须在2小时内抵达项目现场处置。</w:t>
      </w:r>
      <w:r/>
    </w:p>
    <w:p>
      <w:pPr>
        <w:pStyle w:val="798"/>
        <w:ind w:left="408" w:hanging="408"/>
        <w:jc w:val="both"/>
        <w:spacing w:before="120" w:after="120" w:line="400" w:lineRule="exact"/>
        <w:rPr>
          <w:color w:val="auto"/>
          <w:sz w:val="24"/>
          <w:szCs w:val="24"/>
        </w:rPr>
      </w:pPr>
      <w:r>
        <w:rPr>
          <w:rFonts w:hint="eastAsia"/>
          <w:color w:val="auto"/>
          <w:sz w:val="24"/>
          <w:szCs w:val="24"/>
          <w:lang w:val="en-US" w:eastAsia="zh-CN"/>
        </w:rPr>
        <w:t xml:space="preserve">9</w:t>
      </w:r>
      <w:r>
        <w:rPr>
          <w:rFonts w:hint="eastAsia"/>
          <w:color w:val="auto"/>
          <w:sz w:val="24"/>
          <w:szCs w:val="24"/>
        </w:rPr>
        <w:t xml:space="preserve">.4 在质保期内，乙方应对货物出现的质量及安全问题负责处理解决并承担一切费用。</w:t>
      </w:r>
      <w:r/>
    </w:p>
    <w:p>
      <w:pPr>
        <w:pStyle w:val="798"/>
        <w:ind w:left="408" w:hanging="408"/>
        <w:jc w:val="both"/>
        <w:spacing w:before="120" w:after="120" w:line="400" w:lineRule="exact"/>
        <w:rPr>
          <w:color w:val="auto"/>
          <w:sz w:val="24"/>
          <w:szCs w:val="24"/>
        </w:rPr>
      </w:pPr>
      <w:r>
        <w:rPr>
          <w:rFonts w:hint="eastAsia"/>
          <w:color w:val="auto"/>
          <w:sz w:val="24"/>
          <w:szCs w:val="24"/>
          <w:lang w:val="en-US" w:eastAsia="zh-CN"/>
        </w:rPr>
        <w:t xml:space="preserve">9</w:t>
      </w:r>
      <w:r>
        <w:rPr>
          <w:rFonts w:hint="eastAsia"/>
          <w:color w:val="auto"/>
          <w:sz w:val="24"/>
          <w:szCs w:val="24"/>
        </w:rPr>
        <w:t xml:space="preserve">.5上述的货物免费保修期为</w:t>
      </w:r>
      <w:r>
        <w:rPr>
          <w:rFonts w:hint="eastAsia"/>
          <w:color w:val="auto"/>
          <w:sz w:val="24"/>
          <w:szCs w:val="24"/>
          <w:u w:val="single"/>
        </w:rPr>
        <w:t xml:space="preserve"> 壹 </w:t>
      </w:r>
      <w:r>
        <w:rPr>
          <w:rFonts w:hint="eastAsia"/>
          <w:color w:val="auto"/>
          <w:sz w:val="24"/>
          <w:szCs w:val="24"/>
          <w:u w:val="single"/>
          <w:lang w:val="en-US" w:eastAsia="zh-CN"/>
        </w:rPr>
        <w:t xml:space="preserve"> </w:t>
      </w:r>
      <w:r>
        <w:rPr>
          <w:rFonts w:hint="eastAsia"/>
          <w:color w:val="auto"/>
          <w:sz w:val="24"/>
          <w:szCs w:val="24"/>
        </w:rPr>
        <w:t xml:space="preserve">年（自交货验收合格之日起计，且不受合同履行期限限制），因人为因素出现的故障不在免费保修范围内。超过保修期的机器设备，终生维修，维修时只收部件成本费。</w:t>
      </w:r>
      <w:r/>
    </w:p>
    <w:p>
      <w:pPr>
        <w:pStyle w:val="798"/>
        <w:ind w:left="408" w:hanging="408"/>
        <w:jc w:val="both"/>
        <w:spacing w:before="120" w:after="120" w:line="400" w:lineRule="exact"/>
        <w:rPr>
          <w:color w:val="auto"/>
          <w:sz w:val="24"/>
          <w:szCs w:val="24"/>
        </w:rPr>
      </w:pPr>
      <w:r>
        <w:rPr>
          <w:rFonts w:hint="eastAsia"/>
          <w:color w:val="auto"/>
          <w:sz w:val="24"/>
          <w:szCs w:val="24"/>
        </w:rPr>
        <w:t xml:space="preserve">十、项目验收</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0</w:t>
      </w:r>
      <w:r>
        <w:rPr>
          <w:rFonts w:hint="eastAsia"/>
          <w:color w:val="auto"/>
          <w:sz w:val="24"/>
          <w:szCs w:val="24"/>
        </w:rPr>
        <w:t xml:space="preserve">.1 甲方依法组织履约验收工作。</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0</w:t>
      </w:r>
      <w:r>
        <w:rPr>
          <w:rFonts w:hint="eastAsia"/>
          <w:color w:val="auto"/>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0</w:t>
      </w:r>
      <w:r>
        <w:rPr>
          <w:rFonts w:hint="eastAsia"/>
          <w:color w:val="auto"/>
          <w:sz w:val="24"/>
          <w:szCs w:val="24"/>
        </w:rPr>
        <w:t xml:space="preserve">.3 对于实际使用人和甲方分离的项目，甲方邀请实际使用人参与验收。</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0</w:t>
      </w:r>
      <w:r>
        <w:rPr>
          <w:rFonts w:hint="eastAsia"/>
          <w:color w:val="auto"/>
          <w:sz w:val="24"/>
          <w:szCs w:val="24"/>
        </w:rPr>
        <w:t xml:space="preserve">.4 如有必要，甲方邀请参加本项目的其他供应商或第三方专业机构及专家参与验收，相关意见将作为验收书的参考资料。</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0</w:t>
      </w:r>
      <w:r>
        <w:rPr>
          <w:rFonts w:hint="eastAsia"/>
          <w:color w:val="auto"/>
          <w:sz w:val="24"/>
          <w:szCs w:val="24"/>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0</w:t>
      </w:r>
      <w:r>
        <w:rPr>
          <w:rFonts w:hint="eastAsia"/>
          <w:color w:val="auto"/>
          <w:sz w:val="24"/>
          <w:szCs w:val="24"/>
        </w:rPr>
        <w:t xml:space="preserve">.6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798"/>
        <w:ind w:left="408" w:hanging="408"/>
        <w:jc w:val="both"/>
        <w:spacing w:before="120" w:after="120" w:line="400" w:lineRule="exact"/>
        <w:rPr>
          <w:color w:val="auto"/>
          <w:sz w:val="24"/>
          <w:szCs w:val="24"/>
        </w:rPr>
      </w:pPr>
      <w:r>
        <w:rPr>
          <w:rFonts w:hint="eastAsia"/>
          <w:color w:val="auto"/>
          <w:sz w:val="24"/>
          <w:szCs w:val="24"/>
        </w:rPr>
        <w:t xml:space="preserve">十</w:t>
      </w:r>
      <w:r>
        <w:rPr>
          <w:rFonts w:hint="eastAsia"/>
          <w:color w:val="auto"/>
          <w:sz w:val="24"/>
          <w:szCs w:val="24"/>
          <w:lang w:val="en-US" w:eastAsia="zh-CN"/>
        </w:rPr>
        <w:t xml:space="preserve">一</w:t>
      </w:r>
      <w:r>
        <w:rPr>
          <w:rFonts w:hint="eastAsia"/>
          <w:color w:val="auto"/>
          <w:sz w:val="24"/>
          <w:szCs w:val="24"/>
        </w:rPr>
        <w:t xml:space="preserve">、货物的包装、发运及运输</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1</w:t>
      </w:r>
      <w:r>
        <w:rPr>
          <w:rFonts w:hint="eastAsia"/>
          <w:color w:val="auto"/>
          <w:sz w:val="24"/>
          <w:szCs w:val="24"/>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1</w:t>
      </w:r>
      <w:r>
        <w:rPr>
          <w:rFonts w:hint="eastAsia"/>
          <w:color w:val="auto"/>
          <w:sz w:val="24"/>
          <w:szCs w:val="24"/>
        </w:rPr>
        <w:t xml:space="preserve">.2 使用说明书、质量检验证明书、随配附件和工具以及清单一并附于货物内。</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1</w:t>
      </w:r>
      <w:r>
        <w:rPr>
          <w:rFonts w:hint="eastAsia"/>
          <w:color w:val="auto"/>
          <w:sz w:val="24"/>
          <w:szCs w:val="24"/>
        </w:rPr>
        <w:t xml:space="preserve">.3 乙方在货物发运手续办理完毕后24小时内或货到甲方48小时前通知甲方，以准备接货。</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1</w:t>
      </w:r>
      <w:r>
        <w:rPr>
          <w:rFonts w:hint="eastAsia"/>
          <w:color w:val="auto"/>
          <w:sz w:val="24"/>
          <w:szCs w:val="24"/>
        </w:rPr>
        <w:t xml:space="preserve">.4 货物在交付甲方前发生的风险均由乙方负责。</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1</w:t>
      </w:r>
      <w:r>
        <w:rPr>
          <w:rFonts w:hint="eastAsia"/>
          <w:color w:val="auto"/>
          <w:sz w:val="24"/>
          <w:szCs w:val="24"/>
        </w:rPr>
        <w:t xml:space="preserve">.5 货物在规定的交付期限内由乙方送达甲方指定的地点视为交付，乙方同时需通知甲方货物已送达。</w:t>
      </w:r>
      <w:r/>
    </w:p>
    <w:p>
      <w:pPr>
        <w:pStyle w:val="798"/>
        <w:ind w:left="408" w:hanging="408"/>
        <w:jc w:val="both"/>
        <w:spacing w:before="120" w:after="120" w:line="400" w:lineRule="exact"/>
        <w:rPr>
          <w:color w:val="auto"/>
          <w:sz w:val="24"/>
          <w:szCs w:val="24"/>
        </w:rPr>
      </w:pPr>
      <w:r>
        <w:rPr>
          <w:rFonts w:hint="eastAsia"/>
          <w:color w:val="auto"/>
          <w:sz w:val="24"/>
          <w:szCs w:val="24"/>
        </w:rPr>
        <w:t xml:space="preserve">十</w:t>
      </w:r>
      <w:r>
        <w:rPr>
          <w:rFonts w:hint="eastAsia"/>
          <w:color w:val="auto"/>
          <w:sz w:val="24"/>
          <w:szCs w:val="24"/>
          <w:lang w:val="en-US" w:eastAsia="zh-CN"/>
        </w:rPr>
        <w:t xml:space="preserve">二</w:t>
      </w:r>
      <w:r>
        <w:rPr>
          <w:rFonts w:hint="eastAsia"/>
          <w:color w:val="auto"/>
          <w:sz w:val="24"/>
          <w:szCs w:val="24"/>
        </w:rPr>
        <w:t xml:space="preserve">、违约责任</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2</w:t>
      </w:r>
      <w:r>
        <w:rPr>
          <w:rFonts w:hint="eastAsia"/>
          <w:color w:val="auto"/>
          <w:sz w:val="24"/>
          <w:szCs w:val="24"/>
        </w:rPr>
        <w:t xml:space="preserve">.1 甲方无正当理由拒收货物的，甲方向乙方偿付拒收货款总值5%的违约金。</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2</w:t>
      </w:r>
      <w:r>
        <w:rPr>
          <w:rFonts w:hint="eastAsia"/>
          <w:color w:val="auto"/>
          <w:sz w:val="24"/>
          <w:szCs w:val="24"/>
        </w:rPr>
        <w:t xml:space="preserve">.2 甲方无故逾期验收和办理货款支付手续的,甲方应按逾期付款总额每日按逾期款金额的万分之三向乙方支付违约金。</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2</w:t>
      </w:r>
      <w:r>
        <w:rPr>
          <w:rFonts w:hint="eastAsia"/>
          <w:color w:val="auto"/>
          <w:sz w:val="24"/>
          <w:szCs w:val="24"/>
        </w:rPr>
        <w:t xml:space="preserve">.3 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2</w:t>
      </w:r>
      <w:r>
        <w:rPr>
          <w:rFonts w:hint="eastAsia"/>
          <w:color w:val="auto"/>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98"/>
        <w:ind w:left="408" w:hanging="408"/>
        <w:jc w:val="both"/>
        <w:spacing w:before="120" w:after="120" w:line="400" w:lineRule="exact"/>
        <w:rPr>
          <w:color w:val="auto"/>
          <w:sz w:val="24"/>
          <w:szCs w:val="24"/>
        </w:rPr>
      </w:pPr>
      <w:r>
        <w:rPr>
          <w:rFonts w:hint="eastAsia"/>
          <w:color w:val="auto"/>
          <w:sz w:val="24"/>
          <w:szCs w:val="24"/>
        </w:rPr>
        <w:t xml:space="preserve">十</w:t>
      </w:r>
      <w:r>
        <w:rPr>
          <w:rFonts w:hint="eastAsia"/>
          <w:color w:val="auto"/>
          <w:sz w:val="24"/>
          <w:szCs w:val="24"/>
          <w:lang w:val="en-US" w:eastAsia="zh-CN"/>
        </w:rPr>
        <w:t xml:space="preserve">三</w:t>
      </w:r>
      <w:r>
        <w:rPr>
          <w:rFonts w:hint="eastAsia"/>
          <w:color w:val="auto"/>
          <w:sz w:val="24"/>
          <w:szCs w:val="24"/>
        </w:rPr>
        <w:t xml:space="preserve">、不可抗力事件处理</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3</w:t>
      </w:r>
      <w:r>
        <w:rPr>
          <w:rFonts w:hint="eastAsia"/>
          <w:color w:val="auto"/>
          <w:sz w:val="24"/>
          <w:szCs w:val="24"/>
        </w:rPr>
        <w:t xml:space="preserve">.1 在合同有效期内，任何一方因不可抗力事件导致不能履行合同，则合同履行期可延长，其延长期与不可抗力影响期相同。</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3</w:t>
      </w:r>
      <w:r>
        <w:rPr>
          <w:rFonts w:hint="eastAsia"/>
          <w:color w:val="auto"/>
          <w:sz w:val="24"/>
          <w:szCs w:val="24"/>
        </w:rPr>
        <w:t xml:space="preserve">.2 不可抗力事件发生后，应立即通知对方，并寄送有关权威机构出具的证明。</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3</w:t>
      </w:r>
      <w:r>
        <w:rPr>
          <w:rFonts w:hint="eastAsia"/>
          <w:color w:val="auto"/>
          <w:sz w:val="24"/>
          <w:szCs w:val="24"/>
        </w:rPr>
        <w:t xml:space="preserve">.3 不可抗力事件延续120天以上，双方应通过友好协商，确定是否继续履行合同。</w:t>
      </w:r>
      <w:r/>
    </w:p>
    <w:p>
      <w:pPr>
        <w:pStyle w:val="798"/>
        <w:ind w:left="408" w:hanging="408"/>
        <w:jc w:val="both"/>
        <w:spacing w:before="120" w:after="120" w:line="400" w:lineRule="exact"/>
        <w:rPr>
          <w:color w:val="auto"/>
          <w:sz w:val="24"/>
          <w:szCs w:val="24"/>
        </w:rPr>
      </w:pPr>
      <w:r>
        <w:rPr>
          <w:rFonts w:hint="eastAsia"/>
          <w:color w:val="auto"/>
          <w:sz w:val="24"/>
          <w:szCs w:val="24"/>
        </w:rPr>
        <w:t xml:space="preserve">十</w:t>
      </w:r>
      <w:r>
        <w:rPr>
          <w:rFonts w:hint="eastAsia"/>
          <w:color w:val="auto"/>
          <w:sz w:val="24"/>
          <w:szCs w:val="24"/>
          <w:lang w:val="en-US" w:eastAsia="zh-CN"/>
        </w:rPr>
        <w:t xml:space="preserve">四</w:t>
      </w:r>
      <w:r>
        <w:rPr>
          <w:rFonts w:hint="eastAsia"/>
          <w:color w:val="auto"/>
          <w:sz w:val="24"/>
          <w:szCs w:val="24"/>
        </w:rPr>
        <w:t xml:space="preserve">、解决争议的方法</w:t>
      </w:r>
      <w:r/>
    </w:p>
    <w:p>
      <w:pPr>
        <w:pStyle w:val="798"/>
        <w:ind w:left="408" w:hanging="408"/>
        <w:jc w:val="both"/>
        <w:spacing w:before="120" w:after="120" w:line="400" w:lineRule="exact"/>
        <w:rPr>
          <w:color w:val="auto"/>
          <w:sz w:val="24"/>
          <w:szCs w:val="24"/>
        </w:rPr>
      </w:pPr>
      <w:r/>
      <w:bookmarkStart w:id="105" w:name="OLE_LINK8"/>
      <w:r>
        <w:rPr>
          <w:rFonts w:hint="eastAsia"/>
          <w:color w:val="auto"/>
          <w:sz w:val="24"/>
          <w:szCs w:val="24"/>
        </w:rPr>
        <w:t xml:space="preserve">1</w:t>
      </w:r>
      <w:r>
        <w:rPr>
          <w:rFonts w:hint="eastAsia"/>
          <w:color w:val="auto"/>
          <w:sz w:val="24"/>
          <w:szCs w:val="24"/>
          <w:lang w:val="en-US" w:eastAsia="zh-CN"/>
        </w:rPr>
        <w:t xml:space="preserve">4</w:t>
      </w:r>
      <w:r>
        <w:rPr>
          <w:rFonts w:hint="eastAsia"/>
          <w:color w:val="auto"/>
          <w:sz w:val="24"/>
          <w:szCs w:val="24"/>
        </w:rPr>
        <w:t xml:space="preserve">.1 甲乙双方因本合同以及本合同项下订单/附件/补充协议等（如有）签订、履行而发生的一切争议，应通过友好协商解决。如协商不成，应向甲方所在地有管辖权的人民法院起诉。</w:t>
      </w:r>
      <w:bookmarkEnd w:id="105"/>
      <w:r/>
      <w:r/>
    </w:p>
    <w:p>
      <w:pPr>
        <w:pStyle w:val="798"/>
        <w:ind w:left="408" w:hanging="408"/>
        <w:jc w:val="both"/>
        <w:spacing w:before="120" w:after="120" w:line="400" w:lineRule="exact"/>
        <w:rPr>
          <w:color w:val="auto"/>
          <w:sz w:val="24"/>
          <w:szCs w:val="24"/>
        </w:rPr>
      </w:pPr>
      <w:r>
        <w:rPr>
          <w:rFonts w:hint="eastAsia"/>
          <w:color w:val="auto"/>
          <w:sz w:val="24"/>
          <w:szCs w:val="24"/>
        </w:rPr>
        <w:t xml:space="preserve">十</w:t>
      </w:r>
      <w:r>
        <w:rPr>
          <w:rFonts w:hint="eastAsia"/>
          <w:color w:val="auto"/>
          <w:sz w:val="24"/>
          <w:szCs w:val="24"/>
          <w:lang w:val="en-US" w:eastAsia="zh-CN"/>
        </w:rPr>
        <w:t xml:space="preserve">五</w:t>
      </w:r>
      <w:r>
        <w:rPr>
          <w:rFonts w:hint="eastAsia"/>
          <w:color w:val="auto"/>
          <w:sz w:val="24"/>
          <w:szCs w:val="24"/>
        </w:rPr>
        <w:t xml:space="preserve">、合同生效及其它</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5</w:t>
      </w:r>
      <w:r>
        <w:rPr>
          <w:rFonts w:hint="eastAsia"/>
          <w:color w:val="auto"/>
          <w:sz w:val="24"/>
          <w:szCs w:val="24"/>
        </w:rPr>
        <w:t xml:space="preserve">.1 合同经双方法定代表人或授权委托代表人签字或盖章后章后生效。</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5</w:t>
      </w:r>
      <w:r>
        <w:rPr>
          <w:rFonts w:hint="eastAsia"/>
          <w:color w:val="auto"/>
          <w:sz w:val="24"/>
          <w:szCs w:val="24"/>
        </w:rPr>
        <w:t xml:space="preserve">.2本合同未尽事宜，遵照《民法典》、《政府采购法》有关条文执行。</w:t>
      </w:r>
      <w:r/>
    </w:p>
    <w:p>
      <w:pPr>
        <w:pStyle w:val="798"/>
        <w:ind w:left="408" w:hanging="408"/>
        <w:jc w:val="both"/>
        <w:spacing w:before="120" w:after="120" w:line="400" w:lineRule="exact"/>
        <w:rPr>
          <w:color w:val="auto"/>
          <w:sz w:val="24"/>
          <w:szCs w:val="24"/>
        </w:rPr>
      </w:pPr>
      <w:r>
        <w:rPr>
          <w:rFonts w:hint="eastAsia"/>
          <w:color w:val="auto"/>
          <w:sz w:val="24"/>
          <w:szCs w:val="24"/>
        </w:rPr>
        <w:t xml:space="preserve">1</w:t>
      </w:r>
      <w:r>
        <w:rPr>
          <w:rFonts w:hint="eastAsia"/>
          <w:color w:val="auto"/>
          <w:sz w:val="24"/>
          <w:szCs w:val="24"/>
          <w:lang w:val="en-US" w:eastAsia="zh-CN"/>
        </w:rPr>
        <w:t xml:space="preserve">5</w:t>
      </w:r>
      <w:r>
        <w:rPr>
          <w:rFonts w:hint="eastAsia"/>
          <w:color w:val="auto"/>
          <w:sz w:val="24"/>
          <w:szCs w:val="24"/>
        </w:rPr>
        <w:t xml:space="preserve">.3 本合同正本一式六份，具有同等法律效力，甲方、乙方各执二份、盐城市射阳生态环境局招标办一份、采购代理一份。</w:t>
      </w:r>
      <w:r/>
    </w:p>
    <w:p>
      <w:pPr>
        <w:pStyle w:val="798"/>
        <w:ind w:left="408" w:hanging="408"/>
        <w:jc w:val="both"/>
        <w:spacing w:before="120" w:after="120" w:line="400" w:lineRule="exact"/>
        <w:rPr>
          <w:rFonts w:hint="eastAsia"/>
          <w:color w:val="auto"/>
          <w:sz w:val="24"/>
          <w:szCs w:val="24"/>
        </w:rPr>
      </w:pPr>
      <w:r>
        <w:rPr>
          <w:rFonts w:hint="eastAsia"/>
          <w:color w:val="auto"/>
          <w:sz w:val="24"/>
          <w:szCs w:val="24"/>
        </w:rPr>
        <w:t xml:space="preserve"> </w:t>
      </w:r>
      <w:r/>
    </w:p>
    <w:p>
      <w:pPr>
        <w:pStyle w:val="798"/>
        <w:ind w:left="408" w:hanging="408"/>
        <w:jc w:val="both"/>
        <w:spacing w:before="120" w:after="120" w:line="400" w:lineRule="exact"/>
        <w:rPr>
          <w:rFonts w:hint="eastAsia"/>
          <w:color w:val="auto"/>
          <w:sz w:val="24"/>
          <w:szCs w:val="24"/>
        </w:rPr>
      </w:pPr>
      <w:r>
        <w:rPr>
          <w:rFonts w:hint="eastAsia"/>
          <w:color w:val="auto"/>
          <w:sz w:val="24"/>
          <w:szCs w:val="24"/>
        </w:rPr>
      </w:r>
      <w:r/>
    </w:p>
    <w:p>
      <w:pPr>
        <w:pStyle w:val="798"/>
        <w:ind w:left="408" w:hanging="408"/>
        <w:jc w:val="both"/>
        <w:spacing w:before="120" w:after="120" w:line="400" w:lineRule="exact"/>
        <w:rPr>
          <w:color w:val="auto"/>
          <w:sz w:val="24"/>
          <w:szCs w:val="24"/>
        </w:rPr>
      </w:pPr>
      <w:r>
        <w:rPr>
          <w:rFonts w:hint="eastAsia"/>
          <w:color w:val="auto"/>
          <w:sz w:val="24"/>
          <w:szCs w:val="24"/>
        </w:rPr>
        <w:t xml:space="preserve"> 甲方：盐城市射阳生态环境局      乙方： </w:t>
      </w:r>
      <w:r/>
    </w:p>
    <w:p>
      <w:pPr>
        <w:pStyle w:val="798"/>
        <w:ind w:left="408" w:hanging="408"/>
        <w:jc w:val="both"/>
        <w:spacing w:before="120" w:after="120" w:line="400" w:lineRule="exact"/>
        <w:rPr>
          <w:color w:val="auto"/>
          <w:sz w:val="24"/>
          <w:szCs w:val="24"/>
        </w:rPr>
      </w:pPr>
      <w:r>
        <w:rPr>
          <w:rFonts w:hint="eastAsia"/>
          <w:color w:val="auto"/>
          <w:sz w:val="24"/>
          <w:szCs w:val="24"/>
        </w:rPr>
        <w:t xml:space="preserve">  地址：射阳县合德镇沿河路80号    地址： </w:t>
      </w:r>
      <w:r/>
    </w:p>
    <w:p>
      <w:pPr>
        <w:pStyle w:val="798"/>
        <w:ind w:left="408" w:hanging="408"/>
        <w:jc w:val="both"/>
        <w:spacing w:before="120" w:after="120" w:line="400" w:lineRule="exact"/>
        <w:rPr>
          <w:color w:val="auto"/>
          <w:sz w:val="24"/>
          <w:szCs w:val="24"/>
        </w:rPr>
      </w:pPr>
      <w:r>
        <w:rPr>
          <w:rFonts w:hint="eastAsia"/>
          <w:color w:val="auto"/>
          <w:sz w:val="24"/>
          <w:szCs w:val="24"/>
        </w:rPr>
        <w:t xml:space="preserve">  法定代表人或授权代表：        法定代表人或授权代表： </w:t>
      </w:r>
      <w:r/>
    </w:p>
    <w:p>
      <w:pPr>
        <w:pStyle w:val="798"/>
        <w:ind w:left="428" w:firstLine="14"/>
        <w:jc w:val="both"/>
        <w:spacing w:before="120" w:after="120" w:line="400" w:lineRule="exact"/>
        <w:rPr>
          <w:color w:val="auto"/>
          <w:sz w:val="24"/>
          <w:szCs w:val="24"/>
        </w:rPr>
      </w:pPr>
      <w:r>
        <w:rPr>
          <w:rFonts w:hint="eastAsia"/>
          <w:color w:val="auto"/>
          <w:sz w:val="24"/>
          <w:szCs w:val="24"/>
        </w:rPr>
        <w:t xml:space="preserve">联系电话：                联系电话：          </w:t>
      </w:r>
      <w:r/>
    </w:p>
    <w:p>
      <w:pPr>
        <w:pStyle w:val="798"/>
        <w:ind w:left="408" w:hanging="408"/>
        <w:jc w:val="both"/>
        <w:spacing w:before="120" w:after="120" w:line="400" w:lineRule="exact"/>
        <w:rPr>
          <w:color w:val="auto"/>
          <w:sz w:val="24"/>
          <w:szCs w:val="24"/>
        </w:rPr>
      </w:pPr>
      <w:r>
        <w:rPr>
          <w:rFonts w:hint="eastAsia"/>
          <w:color w:val="auto"/>
          <w:sz w:val="24"/>
          <w:szCs w:val="24"/>
        </w:rPr>
        <w:t xml:space="preserve">   签订日期：      年    月   日</w:t>
      </w:r>
      <w:r/>
    </w:p>
    <w:p>
      <w:pPr>
        <w:jc w:val="left"/>
        <w:widowControl/>
        <w:rPr>
          <w:rFonts w:ascii="宋体" w:hAnsi="宋体" w:eastAsia="宋体"/>
        </w:rPr>
      </w:pPr>
      <w:r>
        <w:rPr>
          <w:rFonts w:ascii="宋体" w:hAnsi="宋体" w:eastAsia="宋体"/>
        </w:rPr>
      </w:r>
      <w:r/>
    </w:p>
    <w:p>
      <w:pPr>
        <w:pStyle w:val="764"/>
        <w:keepLines w:val="0"/>
        <w:keepNext w:val="0"/>
        <w:spacing w:before="0" w:beforeAutospacing="1" w:after="0" w:afterAutospacing="1" w:line="360" w:lineRule="auto"/>
        <w:rPr>
          <w:rFonts w:ascii="宋体" w:hAnsi="宋体" w:eastAsia="宋体" w:cs="Times New Roman"/>
          <w:b/>
          <w:bCs/>
          <w:color w:val="auto"/>
          <w:sz w:val="32"/>
          <w:szCs w:val="32"/>
        </w:rPr>
      </w:pPr>
      <w:r/>
      <w:bookmarkStart w:id="106" w:name="_Toc197644569"/>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pPr>
        <w:rPr>
          <w:rFonts w:ascii="宋体" w:hAnsi="宋体" w:eastAsia="宋体" w:cs="Times New Roman"/>
          <w:b/>
          <w:bCs/>
          <w:color w:val="auto"/>
          <w:sz w:val="32"/>
          <w:szCs w:val="32"/>
        </w:rPr>
      </w:pPr>
      <w:r>
        <w:rPr>
          <w:rFonts w:ascii="宋体" w:hAnsi="宋体" w:eastAsia="宋体" w:cs="Times New Roman"/>
          <w:b/>
          <w:bCs/>
          <w:color w:val="auto"/>
          <w:sz w:val="32"/>
          <w:szCs w:val="32"/>
        </w:rPr>
      </w:r>
      <w:r/>
    </w:p>
    <w:p>
      <w:r/>
      <w:r/>
    </w:p>
    <w:p>
      <w:pPr>
        <w:pStyle w:val="764"/>
        <w:numPr>
          <w:ilvl w:val="0"/>
          <w:numId w:val="1"/>
        </w:numPr>
        <w:ind w:left="0" w:firstLine="0"/>
        <w:jc w:val="center"/>
        <w:keepLines w:val="0"/>
        <w:keepNext w:val="0"/>
        <w:spacing w:before="0" w:beforeAutospacing="1" w:after="0" w:afterAutospacing="1" w:line="360" w:lineRule="auto"/>
        <w:rPr>
          <w:rFonts w:ascii="宋体" w:hAnsi="宋体" w:eastAsia="宋体" w:cs="Times New Roman"/>
          <w:b/>
          <w:bCs/>
          <w:color w:val="auto"/>
          <w:sz w:val="32"/>
          <w:szCs w:val="32"/>
        </w:rPr>
      </w:pPr>
      <w:r>
        <w:rPr>
          <w:rFonts w:hint="eastAsia" w:ascii="宋体" w:hAnsi="宋体" w:eastAsia="宋体" w:cs="Times New Roman"/>
          <w:b/>
          <w:bCs/>
          <w:color w:val="auto"/>
          <w:sz w:val="32"/>
          <w:szCs w:val="32"/>
        </w:rPr>
        <w:t xml:space="preserve">采购需求</w:t>
      </w:r>
      <w:bookmarkEnd w:id="106"/>
      <w:r/>
      <w:r/>
    </w:p>
    <w:p>
      <w:pPr>
        <w:ind w:firstLine="480"/>
        <w:spacing w:line="500" w:lineRule="exact"/>
        <w:rPr>
          <w:rFonts w:ascii="宋体" w:hAnsi="宋体" w:eastAsia="宋体" w:cs="宋体"/>
          <w:sz w:val="24"/>
          <w:szCs w:val="24"/>
        </w:rPr>
        <w:outlineLvl w:val="1"/>
      </w:pPr>
      <w:r>
        <w:rPr>
          <w:rFonts w:hint="eastAsia" w:ascii="宋体" w:hAnsi="宋体" w:eastAsia="宋体" w:cs="宋体"/>
          <w:sz w:val="24"/>
          <w:szCs w:val="24"/>
        </w:rPr>
        <w:t xml:space="preserve">项目属性:货物类项目</w:t>
      </w:r>
      <w:r/>
    </w:p>
    <w:p>
      <w:pPr>
        <w:ind w:firstLine="482"/>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一、项目概况</w:t>
      </w:r>
      <w:r/>
    </w:p>
    <w:p>
      <w:pPr>
        <w:ind w:firstLine="482"/>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（一）项目建设内容</w:t>
      </w:r>
      <w:r/>
    </w:p>
    <w:p>
      <w:pPr>
        <w:ind w:firstLine="482"/>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为加强射阳县高新科技创业园及周边大气质量监测，根据国家相关技术规范要求，本项目在射阳县高新科技创业园（合德片区）主导风向上、下方建设2 个空气质量自动监测站点，监测因子包括气象五参数（温度、湿度、风向、风速、气压）、SO₂、NO₂、O₃、CO、PM2.5、PM10、挥发性有机物（57种PAMS物质）。本项目建设内容包括2个空气站站房及配套设施建设，监测仪器的采购、系统集成安装以及提供24个月的全托管运维服务。详细内容见表1。</w:t>
      </w:r>
      <w:r/>
    </w:p>
    <w:p>
      <w:pPr>
        <w:ind w:firstLine="482"/>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表1项目主要建设内容</w:t>
      </w:r>
      <w:r/>
    </w:p>
    <w:tbl>
      <w:tblPr>
        <w:tblStyle w:val="982"/>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6"/>
        <w:gridCol w:w="5419"/>
        <w:gridCol w:w="1584"/>
        <w:gridCol w:w="1278"/>
      </w:tblGrid>
      <w:tr>
        <w:trPr>
          <w:jc w:val="center"/>
          <w:tblHeader/>
        </w:trPr>
        <w:tc>
          <w:tcPr>
            <w:tcMar>
              <w:left w:w="108" w:type="dxa"/>
              <w:right w:w="108" w:type="dxa"/>
            </w:tcMar>
            <w:tcW w:w="816" w:type="dxa"/>
            <w:vAlign w:val="center"/>
            <w:textDirection w:val="lrTb"/>
            <w:noWrap w:val="false"/>
          </w:tcPr>
          <w:p>
            <w:pPr>
              <w:jc w:val="center"/>
            </w:pPr>
            <w:r>
              <w:rPr>
                <w:rFonts w:hint="eastAsia"/>
              </w:rPr>
              <w:t xml:space="preserve">序号</w:t>
            </w:r>
            <w:r/>
          </w:p>
        </w:tc>
        <w:tc>
          <w:tcPr>
            <w:tcMar>
              <w:left w:w="108" w:type="dxa"/>
              <w:right w:w="108" w:type="dxa"/>
            </w:tcMar>
            <w:tcW w:w="5419" w:type="dxa"/>
            <w:vAlign w:val="center"/>
            <w:textDirection w:val="lrTb"/>
            <w:noWrap w:val="false"/>
          </w:tcPr>
          <w:p>
            <w:pPr>
              <w:jc w:val="center"/>
            </w:pPr>
            <w:r>
              <w:rPr>
                <w:rFonts w:hint="eastAsia"/>
              </w:rPr>
              <w:t xml:space="preserve">标的名称</w:t>
            </w:r>
            <w:r/>
          </w:p>
        </w:tc>
        <w:tc>
          <w:tcPr>
            <w:tcMar>
              <w:left w:w="108" w:type="dxa"/>
              <w:right w:w="108" w:type="dxa"/>
            </w:tcMar>
            <w:tcW w:w="1584" w:type="dxa"/>
            <w:vAlign w:val="center"/>
            <w:textDirection w:val="lrTb"/>
            <w:noWrap w:val="false"/>
          </w:tcPr>
          <w:p>
            <w:pPr>
              <w:jc w:val="center"/>
            </w:pPr>
            <w:r>
              <w:rPr>
                <w:rFonts w:hint="eastAsia"/>
              </w:rPr>
              <w:t xml:space="preserve">数量</w:t>
            </w:r>
            <w:r/>
          </w:p>
          <w:p>
            <w:pPr>
              <w:jc w:val="center"/>
            </w:pPr>
            <w:r>
              <w:rPr>
                <w:rFonts w:hint="eastAsia"/>
              </w:rPr>
              <w:t xml:space="preserve">（台／套）</w:t>
            </w:r>
            <w:r/>
          </w:p>
        </w:tc>
        <w:tc>
          <w:tcPr>
            <w:tcMar>
              <w:left w:w="108" w:type="dxa"/>
              <w:right w:w="108" w:type="dxa"/>
            </w:tcMar>
            <w:tcW w:w="1278" w:type="dxa"/>
            <w:vAlign w:val="center"/>
            <w:textDirection w:val="lrTb"/>
            <w:noWrap w:val="false"/>
          </w:tcPr>
          <w:p>
            <w:pPr>
              <w:jc w:val="center"/>
            </w:pPr>
            <w:r>
              <w:rPr>
                <w:rFonts w:hint="eastAsia"/>
              </w:rPr>
              <w:t xml:space="preserve">备注</w:t>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一</w:t>
            </w:r>
            <w:r/>
          </w:p>
        </w:tc>
        <w:tc>
          <w:tcPr>
            <w:gridSpan w:val="3"/>
            <w:tcMar>
              <w:left w:w="108" w:type="dxa"/>
              <w:right w:w="108" w:type="dxa"/>
            </w:tcMar>
            <w:tcW w:w="8281" w:type="dxa"/>
            <w:vAlign w:val="center"/>
            <w:textDirection w:val="lrTb"/>
            <w:noWrap w:val="false"/>
          </w:tcPr>
          <w:p>
            <w:pPr>
              <w:jc w:val="center"/>
            </w:pPr>
            <w:r>
              <w:rPr>
                <w:rFonts w:hint="eastAsia"/>
              </w:rPr>
              <w:t xml:space="preserve">设备设施</w:t>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1</w:t>
            </w:r>
            <w:r/>
          </w:p>
        </w:tc>
        <w:tc>
          <w:tcPr>
            <w:tcMar>
              <w:left w:w="108" w:type="dxa"/>
              <w:right w:w="108" w:type="dxa"/>
            </w:tcMar>
            <w:tcW w:w="5419" w:type="dxa"/>
            <w:vAlign w:val="center"/>
            <w:textDirection w:val="lrTb"/>
            <w:noWrap w:val="false"/>
          </w:tcPr>
          <w:p>
            <w:pPr>
              <w:jc w:val="center"/>
            </w:pPr>
            <w:r>
              <w:rPr>
                <w:rFonts w:hint="eastAsia"/>
              </w:rPr>
              <w:t xml:space="preserve">环境空气VOCs在线监测系统 （57种PAMS物质）</w:t>
            </w:r>
            <w:bookmarkStart w:id="107" w:name="OLE_LINK65"/>
            <w:r/>
            <w:bookmarkStart w:id="108" w:name="OLE_LINK66"/>
            <w:r>
              <w:rPr>
                <w:rFonts w:hint="eastAsia"/>
              </w:rPr>
              <w:t xml:space="preserve">（核心产品）</w:t>
            </w:r>
            <w:bookmarkEnd w:id="107"/>
            <w:r/>
            <w:bookmarkEnd w:id="108"/>
            <w:r/>
            <w:r/>
          </w:p>
        </w:tc>
        <w:tc>
          <w:tcPr>
            <w:tcMar>
              <w:left w:w="108" w:type="dxa"/>
              <w:right w:w="108" w:type="dxa"/>
            </w:tcMar>
            <w:tcW w:w="1584" w:type="dxa"/>
            <w:vAlign w:val="center"/>
            <w:textDirection w:val="lrTb"/>
            <w:noWrap w:val="false"/>
          </w:tcPr>
          <w:p>
            <w:pPr>
              <w:jc w:val="center"/>
            </w:pPr>
            <w:r>
              <w:rPr>
                <w:rFonts w:hint="eastAsia"/>
              </w:rPr>
              <w:t xml:space="preserve">2</w:t>
            </w:r>
            <w:r/>
          </w:p>
        </w:tc>
        <w:tc>
          <w:tcPr>
            <w:tcMar>
              <w:left w:w="108" w:type="dxa"/>
              <w:right w:w="108" w:type="dxa"/>
            </w:tcMar>
            <w:tcW w:w="1278" w:type="dxa"/>
            <w:vAlign w:val="center"/>
            <w:textDirection w:val="lrTb"/>
            <w:noWrap w:val="false"/>
          </w:tcPr>
          <w:p>
            <w:pPr>
              <w:jc w:val="center"/>
            </w:pPr>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2</w:t>
            </w:r>
            <w:r/>
          </w:p>
        </w:tc>
        <w:tc>
          <w:tcPr>
            <w:tcMar>
              <w:left w:w="108" w:type="dxa"/>
              <w:right w:w="108" w:type="dxa"/>
            </w:tcMar>
            <w:tcW w:w="5419" w:type="dxa"/>
            <w:vAlign w:val="center"/>
            <w:textDirection w:val="lrTb"/>
            <w:noWrap w:val="false"/>
          </w:tcPr>
          <w:p>
            <w:pPr>
              <w:jc w:val="center"/>
            </w:pPr>
            <w:r>
              <w:rPr>
                <w:rFonts w:hint="eastAsia"/>
              </w:rPr>
              <w:t xml:space="preserve">二氧化硫分析仪</w:t>
            </w:r>
            <w:r/>
          </w:p>
        </w:tc>
        <w:tc>
          <w:tcPr>
            <w:tcMar>
              <w:left w:w="108" w:type="dxa"/>
              <w:right w:w="108" w:type="dxa"/>
            </w:tcMar>
            <w:tcW w:w="1584" w:type="dxa"/>
            <w:vAlign w:val="center"/>
            <w:textDirection w:val="lrTb"/>
            <w:noWrap w:val="false"/>
          </w:tcPr>
          <w:p>
            <w:pPr>
              <w:jc w:val="center"/>
            </w:pPr>
            <w:r>
              <w:rPr>
                <w:rFonts w:hint="eastAsia"/>
              </w:rPr>
              <w:t xml:space="preserve">2</w:t>
            </w:r>
            <w:r/>
          </w:p>
        </w:tc>
        <w:tc>
          <w:tcPr>
            <w:tcMar>
              <w:left w:w="108" w:type="dxa"/>
              <w:right w:w="108" w:type="dxa"/>
            </w:tcMar>
            <w:tcW w:w="1278" w:type="dxa"/>
            <w:vAlign w:val="center"/>
            <w:textDirection w:val="lrTb"/>
            <w:noWrap w:val="false"/>
          </w:tcPr>
          <w:p>
            <w:pPr>
              <w:jc w:val="center"/>
            </w:pPr>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3</w:t>
            </w:r>
            <w:r/>
          </w:p>
        </w:tc>
        <w:tc>
          <w:tcPr>
            <w:tcMar>
              <w:left w:w="108" w:type="dxa"/>
              <w:right w:w="108" w:type="dxa"/>
            </w:tcMar>
            <w:tcW w:w="5419" w:type="dxa"/>
            <w:vAlign w:val="center"/>
            <w:textDirection w:val="lrTb"/>
            <w:noWrap w:val="false"/>
          </w:tcPr>
          <w:p>
            <w:pPr>
              <w:jc w:val="center"/>
            </w:pPr>
            <w:r>
              <w:rPr>
                <w:rFonts w:hint="eastAsia"/>
              </w:rPr>
              <w:t xml:space="preserve">氮氧化物分析仪</w:t>
            </w:r>
            <w:r/>
          </w:p>
        </w:tc>
        <w:tc>
          <w:tcPr>
            <w:tcMar>
              <w:left w:w="108" w:type="dxa"/>
              <w:right w:w="108" w:type="dxa"/>
            </w:tcMar>
            <w:tcW w:w="1584" w:type="dxa"/>
            <w:vAlign w:val="center"/>
            <w:textDirection w:val="lrTb"/>
            <w:noWrap w:val="false"/>
          </w:tcPr>
          <w:p>
            <w:pPr>
              <w:jc w:val="center"/>
            </w:pPr>
            <w:r>
              <w:rPr>
                <w:rFonts w:hint="eastAsia"/>
              </w:rPr>
              <w:t xml:space="preserve">2</w:t>
            </w:r>
            <w:r/>
          </w:p>
        </w:tc>
        <w:tc>
          <w:tcPr>
            <w:tcMar>
              <w:left w:w="108" w:type="dxa"/>
              <w:right w:w="108" w:type="dxa"/>
            </w:tcMar>
            <w:tcW w:w="1278" w:type="dxa"/>
            <w:vAlign w:val="center"/>
            <w:textDirection w:val="lrTb"/>
            <w:noWrap w:val="false"/>
          </w:tcPr>
          <w:p>
            <w:pPr>
              <w:jc w:val="center"/>
            </w:pPr>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4</w:t>
            </w:r>
            <w:r/>
          </w:p>
        </w:tc>
        <w:tc>
          <w:tcPr>
            <w:tcMar>
              <w:left w:w="108" w:type="dxa"/>
              <w:right w:w="108" w:type="dxa"/>
            </w:tcMar>
            <w:tcW w:w="5419" w:type="dxa"/>
            <w:vAlign w:val="center"/>
            <w:textDirection w:val="lrTb"/>
            <w:noWrap w:val="false"/>
          </w:tcPr>
          <w:p>
            <w:pPr>
              <w:jc w:val="center"/>
            </w:pPr>
            <w:r>
              <w:rPr>
                <w:rFonts w:hint="eastAsia"/>
              </w:rPr>
              <w:t xml:space="preserve">臭氧分析仪</w:t>
            </w:r>
            <w:r/>
          </w:p>
        </w:tc>
        <w:tc>
          <w:tcPr>
            <w:tcMar>
              <w:left w:w="108" w:type="dxa"/>
              <w:right w:w="108" w:type="dxa"/>
            </w:tcMar>
            <w:tcW w:w="1584" w:type="dxa"/>
            <w:vAlign w:val="center"/>
            <w:textDirection w:val="lrTb"/>
            <w:noWrap w:val="false"/>
          </w:tcPr>
          <w:p>
            <w:pPr>
              <w:jc w:val="center"/>
            </w:pPr>
            <w:r>
              <w:rPr>
                <w:rFonts w:hint="eastAsia"/>
              </w:rPr>
              <w:t xml:space="preserve">2</w:t>
            </w:r>
            <w:r/>
          </w:p>
        </w:tc>
        <w:tc>
          <w:tcPr>
            <w:tcMar>
              <w:left w:w="108" w:type="dxa"/>
              <w:right w:w="108" w:type="dxa"/>
            </w:tcMar>
            <w:tcW w:w="1278" w:type="dxa"/>
            <w:vAlign w:val="center"/>
            <w:textDirection w:val="lrTb"/>
            <w:noWrap w:val="false"/>
          </w:tcPr>
          <w:p>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5</w:t>
            </w:r>
            <w:r/>
          </w:p>
        </w:tc>
        <w:tc>
          <w:tcPr>
            <w:tcMar>
              <w:left w:w="108" w:type="dxa"/>
              <w:right w:w="108" w:type="dxa"/>
            </w:tcMar>
            <w:tcW w:w="5419" w:type="dxa"/>
            <w:vAlign w:val="center"/>
            <w:textDirection w:val="lrTb"/>
            <w:noWrap w:val="false"/>
          </w:tcPr>
          <w:p>
            <w:pPr>
              <w:jc w:val="center"/>
            </w:pPr>
            <w:r>
              <w:rPr>
                <w:rFonts w:hint="eastAsia"/>
              </w:rPr>
              <w:t xml:space="preserve">一氧化碳分析仪</w:t>
            </w:r>
            <w:r/>
          </w:p>
        </w:tc>
        <w:tc>
          <w:tcPr>
            <w:tcMar>
              <w:left w:w="108" w:type="dxa"/>
              <w:right w:w="108" w:type="dxa"/>
            </w:tcMar>
            <w:tcW w:w="1584" w:type="dxa"/>
            <w:vAlign w:val="center"/>
            <w:textDirection w:val="lrTb"/>
            <w:noWrap w:val="false"/>
          </w:tcPr>
          <w:p>
            <w:pPr>
              <w:jc w:val="center"/>
            </w:pPr>
            <w:r>
              <w:rPr>
                <w:rFonts w:hint="eastAsia"/>
              </w:rPr>
              <w:t xml:space="preserve">2</w:t>
            </w:r>
            <w:r/>
          </w:p>
        </w:tc>
        <w:tc>
          <w:tcPr>
            <w:tcMar>
              <w:left w:w="108" w:type="dxa"/>
              <w:right w:w="108" w:type="dxa"/>
            </w:tcMar>
            <w:tcW w:w="1278" w:type="dxa"/>
            <w:vAlign w:val="center"/>
            <w:textDirection w:val="lrTb"/>
            <w:noWrap w:val="false"/>
          </w:tcPr>
          <w:p>
            <w:pPr>
              <w:jc w:val="center"/>
            </w:pPr>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6</w:t>
            </w:r>
            <w:r/>
          </w:p>
        </w:tc>
        <w:tc>
          <w:tcPr>
            <w:tcMar>
              <w:left w:w="108" w:type="dxa"/>
              <w:right w:w="108" w:type="dxa"/>
            </w:tcMar>
            <w:tcW w:w="5419" w:type="dxa"/>
            <w:vAlign w:val="center"/>
            <w:textDirection w:val="lrTb"/>
            <w:noWrap w:val="false"/>
          </w:tcPr>
          <w:p>
            <w:pPr>
              <w:jc w:val="center"/>
            </w:pPr>
            <w:r>
              <w:rPr>
                <w:rFonts w:hint="eastAsia"/>
              </w:rPr>
              <w:t xml:space="preserve">PM2.5监测仪（核心产品）</w:t>
            </w:r>
            <w:r/>
          </w:p>
        </w:tc>
        <w:tc>
          <w:tcPr>
            <w:tcMar>
              <w:left w:w="108" w:type="dxa"/>
              <w:right w:w="108" w:type="dxa"/>
            </w:tcMar>
            <w:tcW w:w="1584" w:type="dxa"/>
            <w:vAlign w:val="center"/>
            <w:textDirection w:val="lrTb"/>
            <w:noWrap w:val="false"/>
          </w:tcPr>
          <w:p>
            <w:pPr>
              <w:jc w:val="center"/>
            </w:pPr>
            <w:r>
              <w:rPr>
                <w:rFonts w:hint="eastAsia"/>
              </w:rPr>
              <w:t xml:space="preserve">2</w:t>
            </w:r>
            <w:r/>
          </w:p>
        </w:tc>
        <w:tc>
          <w:tcPr>
            <w:tcMar>
              <w:left w:w="108" w:type="dxa"/>
              <w:right w:w="108" w:type="dxa"/>
            </w:tcMar>
            <w:tcW w:w="1278" w:type="dxa"/>
            <w:vAlign w:val="center"/>
            <w:textDirection w:val="lrTb"/>
            <w:noWrap w:val="false"/>
          </w:tcPr>
          <w:p>
            <w:pPr>
              <w:jc w:val="center"/>
            </w:pPr>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7</w:t>
            </w:r>
            <w:r/>
          </w:p>
        </w:tc>
        <w:tc>
          <w:tcPr>
            <w:tcMar>
              <w:left w:w="108" w:type="dxa"/>
              <w:right w:w="108" w:type="dxa"/>
            </w:tcMar>
            <w:tcW w:w="5419" w:type="dxa"/>
            <w:vAlign w:val="center"/>
            <w:textDirection w:val="lrTb"/>
            <w:noWrap w:val="false"/>
          </w:tcPr>
          <w:p>
            <w:pPr>
              <w:jc w:val="center"/>
            </w:pPr>
            <w:r>
              <w:rPr>
                <w:spacing w:val="-1"/>
              </w:rPr>
              <w:t xml:space="preserve">PM10</w:t>
            </w:r>
            <w:r>
              <w:rPr>
                <w:rFonts w:hint="eastAsia"/>
                <w:spacing w:val="-1"/>
              </w:rPr>
              <w:t xml:space="preserve">监测仪</w:t>
            </w:r>
            <w:r/>
          </w:p>
        </w:tc>
        <w:tc>
          <w:tcPr>
            <w:tcMar>
              <w:left w:w="108" w:type="dxa"/>
              <w:right w:w="108" w:type="dxa"/>
            </w:tcMar>
            <w:tcW w:w="1584" w:type="dxa"/>
            <w:vAlign w:val="center"/>
            <w:textDirection w:val="lrTb"/>
            <w:noWrap w:val="false"/>
          </w:tcPr>
          <w:p>
            <w:pPr>
              <w:jc w:val="center"/>
            </w:pPr>
            <w:r>
              <w:rPr>
                <w:rFonts w:hint="eastAsia"/>
              </w:rPr>
              <w:t xml:space="preserve">2</w:t>
            </w:r>
            <w:r/>
          </w:p>
        </w:tc>
        <w:tc>
          <w:tcPr>
            <w:tcMar>
              <w:left w:w="108" w:type="dxa"/>
              <w:right w:w="108" w:type="dxa"/>
            </w:tcMar>
            <w:tcW w:w="1278" w:type="dxa"/>
            <w:vAlign w:val="center"/>
            <w:textDirection w:val="lrTb"/>
            <w:noWrap w:val="false"/>
          </w:tcPr>
          <w:p>
            <w:pPr>
              <w:jc w:val="center"/>
            </w:pPr>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8</w:t>
            </w:r>
            <w:r/>
          </w:p>
        </w:tc>
        <w:tc>
          <w:tcPr>
            <w:tcMar>
              <w:left w:w="108" w:type="dxa"/>
              <w:right w:w="108" w:type="dxa"/>
            </w:tcMar>
            <w:tcW w:w="5419" w:type="dxa"/>
            <w:vAlign w:val="center"/>
            <w:textDirection w:val="lrTb"/>
            <w:noWrap w:val="false"/>
          </w:tcPr>
          <w:p>
            <w:pPr>
              <w:jc w:val="center"/>
            </w:pPr>
            <w:r>
              <w:rPr>
                <w:rFonts w:hint="eastAsia"/>
              </w:rPr>
              <w:t xml:space="preserve">多气体动态校准仪</w:t>
            </w:r>
            <w:r/>
          </w:p>
        </w:tc>
        <w:tc>
          <w:tcPr>
            <w:tcMar>
              <w:left w:w="108" w:type="dxa"/>
              <w:right w:w="108" w:type="dxa"/>
            </w:tcMar>
            <w:tcW w:w="1584" w:type="dxa"/>
            <w:vAlign w:val="center"/>
            <w:textDirection w:val="lrTb"/>
            <w:noWrap w:val="false"/>
          </w:tcPr>
          <w:p>
            <w:pPr>
              <w:jc w:val="center"/>
            </w:pPr>
            <w:r>
              <w:rPr>
                <w:rFonts w:hint="eastAsia"/>
              </w:rPr>
              <w:t xml:space="preserve">2</w:t>
            </w:r>
            <w:r/>
          </w:p>
        </w:tc>
        <w:tc>
          <w:tcPr>
            <w:tcMar>
              <w:left w:w="108" w:type="dxa"/>
              <w:right w:w="108" w:type="dxa"/>
            </w:tcMar>
            <w:tcW w:w="1278" w:type="dxa"/>
            <w:vAlign w:val="center"/>
            <w:textDirection w:val="lrTb"/>
            <w:noWrap w:val="false"/>
          </w:tcPr>
          <w:p>
            <w:pPr>
              <w:jc w:val="center"/>
            </w:pPr>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9</w:t>
            </w:r>
            <w:r/>
          </w:p>
        </w:tc>
        <w:tc>
          <w:tcPr>
            <w:tcMar>
              <w:left w:w="108" w:type="dxa"/>
              <w:right w:w="108" w:type="dxa"/>
            </w:tcMar>
            <w:tcW w:w="5419" w:type="dxa"/>
            <w:vAlign w:val="center"/>
            <w:textDirection w:val="lrTb"/>
            <w:noWrap w:val="false"/>
          </w:tcPr>
          <w:p>
            <w:pPr>
              <w:jc w:val="center"/>
            </w:pPr>
            <w:r>
              <w:rPr>
                <w:rFonts w:hint="eastAsia"/>
              </w:rPr>
              <w:t xml:space="preserve">零气发生器</w:t>
            </w:r>
            <w:r/>
          </w:p>
        </w:tc>
        <w:tc>
          <w:tcPr>
            <w:tcMar>
              <w:left w:w="108" w:type="dxa"/>
              <w:right w:w="108" w:type="dxa"/>
            </w:tcMar>
            <w:tcW w:w="1584" w:type="dxa"/>
            <w:vAlign w:val="center"/>
            <w:textDirection w:val="lrTb"/>
            <w:noWrap w:val="false"/>
          </w:tcPr>
          <w:p>
            <w:pPr>
              <w:jc w:val="center"/>
            </w:pPr>
            <w:r>
              <w:rPr>
                <w:rFonts w:hint="eastAsia"/>
              </w:rPr>
              <w:t xml:space="preserve">2</w:t>
            </w:r>
            <w:r/>
          </w:p>
        </w:tc>
        <w:tc>
          <w:tcPr>
            <w:tcMar>
              <w:left w:w="108" w:type="dxa"/>
              <w:right w:w="108" w:type="dxa"/>
            </w:tcMar>
            <w:tcW w:w="1278" w:type="dxa"/>
            <w:vAlign w:val="center"/>
            <w:textDirection w:val="lrTb"/>
            <w:noWrap w:val="false"/>
          </w:tcPr>
          <w:p>
            <w:pPr>
              <w:jc w:val="center"/>
            </w:pPr>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10</w:t>
            </w:r>
            <w:r/>
          </w:p>
        </w:tc>
        <w:tc>
          <w:tcPr>
            <w:tcMar>
              <w:left w:w="108" w:type="dxa"/>
              <w:right w:w="108" w:type="dxa"/>
            </w:tcMar>
            <w:tcW w:w="5419" w:type="dxa"/>
            <w:vAlign w:val="center"/>
            <w:textDirection w:val="lrTb"/>
            <w:noWrap w:val="false"/>
          </w:tcPr>
          <w:p>
            <w:pPr>
              <w:jc w:val="center"/>
            </w:pPr>
            <w:r>
              <w:rPr>
                <w:rFonts w:hint="eastAsia"/>
              </w:rPr>
              <w:t xml:space="preserve">氢气发生器</w:t>
            </w:r>
            <w:r/>
          </w:p>
        </w:tc>
        <w:tc>
          <w:tcPr>
            <w:tcMar>
              <w:left w:w="108" w:type="dxa"/>
              <w:right w:w="108" w:type="dxa"/>
            </w:tcMar>
            <w:tcW w:w="1584" w:type="dxa"/>
            <w:vAlign w:val="center"/>
            <w:textDirection w:val="lrTb"/>
            <w:noWrap w:val="false"/>
          </w:tcPr>
          <w:p>
            <w:pPr>
              <w:jc w:val="center"/>
            </w:pPr>
            <w:r>
              <w:rPr>
                <w:rFonts w:hint="eastAsia"/>
              </w:rPr>
              <w:t xml:space="preserve">2</w:t>
            </w:r>
            <w:r/>
          </w:p>
        </w:tc>
        <w:tc>
          <w:tcPr>
            <w:tcMar>
              <w:left w:w="108" w:type="dxa"/>
              <w:right w:w="108" w:type="dxa"/>
            </w:tcMar>
            <w:tcW w:w="1278" w:type="dxa"/>
            <w:vAlign w:val="center"/>
            <w:textDirection w:val="lrTb"/>
            <w:noWrap w:val="false"/>
          </w:tcPr>
          <w:p>
            <w:pPr>
              <w:jc w:val="center"/>
            </w:pPr>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11</w:t>
            </w:r>
            <w:r/>
          </w:p>
        </w:tc>
        <w:tc>
          <w:tcPr>
            <w:tcMar>
              <w:left w:w="108" w:type="dxa"/>
              <w:right w:w="108" w:type="dxa"/>
            </w:tcMar>
            <w:tcW w:w="5419" w:type="dxa"/>
            <w:vAlign w:val="center"/>
            <w:textDirection w:val="lrTb"/>
            <w:noWrap w:val="false"/>
          </w:tcPr>
          <w:p>
            <w:pPr>
              <w:jc w:val="center"/>
            </w:pPr>
            <w:r>
              <w:t xml:space="preserve">气象五参数</w:t>
            </w:r>
            <w:r/>
          </w:p>
        </w:tc>
        <w:tc>
          <w:tcPr>
            <w:tcMar>
              <w:left w:w="108" w:type="dxa"/>
              <w:right w:w="108" w:type="dxa"/>
            </w:tcMar>
            <w:tcW w:w="1584" w:type="dxa"/>
            <w:vAlign w:val="center"/>
            <w:textDirection w:val="lrTb"/>
            <w:noWrap w:val="false"/>
          </w:tcPr>
          <w:p>
            <w:pPr>
              <w:jc w:val="center"/>
            </w:pPr>
            <w:r>
              <w:rPr>
                <w:rFonts w:hint="eastAsia"/>
              </w:rPr>
              <w:t xml:space="preserve">2</w:t>
            </w:r>
            <w:r/>
          </w:p>
        </w:tc>
        <w:tc>
          <w:tcPr>
            <w:tcMar>
              <w:left w:w="108" w:type="dxa"/>
              <w:right w:w="108" w:type="dxa"/>
            </w:tcMar>
            <w:tcW w:w="1278" w:type="dxa"/>
            <w:vAlign w:val="center"/>
            <w:textDirection w:val="lrTb"/>
            <w:noWrap w:val="false"/>
          </w:tcPr>
          <w:p>
            <w:pPr>
              <w:jc w:val="center"/>
            </w:pPr>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12</w:t>
            </w:r>
            <w:r/>
          </w:p>
        </w:tc>
        <w:tc>
          <w:tcPr>
            <w:tcMar>
              <w:left w:w="108" w:type="dxa"/>
              <w:right w:w="108" w:type="dxa"/>
            </w:tcMar>
            <w:tcW w:w="5419" w:type="dxa"/>
            <w:vAlign w:val="center"/>
            <w:textDirection w:val="lrTb"/>
            <w:noWrap w:val="false"/>
          </w:tcPr>
          <w:p>
            <w:pPr>
              <w:jc w:val="center"/>
            </w:pPr>
            <w:r>
              <w:rPr>
                <w:rFonts w:hint="eastAsia"/>
              </w:rPr>
              <w:t xml:space="preserve">系统控制及数据采集单元</w:t>
            </w:r>
            <w:r/>
          </w:p>
        </w:tc>
        <w:tc>
          <w:tcPr>
            <w:tcMar>
              <w:left w:w="108" w:type="dxa"/>
              <w:right w:w="108" w:type="dxa"/>
            </w:tcMar>
            <w:tcW w:w="1584" w:type="dxa"/>
            <w:vAlign w:val="center"/>
            <w:textDirection w:val="lrTb"/>
            <w:noWrap w:val="false"/>
          </w:tcPr>
          <w:p>
            <w:pPr>
              <w:jc w:val="center"/>
            </w:pPr>
            <w:r>
              <w:rPr>
                <w:rFonts w:hint="eastAsia"/>
              </w:rPr>
              <w:t xml:space="preserve">2</w:t>
            </w:r>
            <w:r/>
          </w:p>
        </w:tc>
        <w:tc>
          <w:tcPr>
            <w:tcMar>
              <w:left w:w="108" w:type="dxa"/>
              <w:right w:w="108" w:type="dxa"/>
            </w:tcMar>
            <w:tcW w:w="1278" w:type="dxa"/>
            <w:vAlign w:val="center"/>
            <w:textDirection w:val="lrTb"/>
            <w:noWrap w:val="false"/>
          </w:tcPr>
          <w:p>
            <w:pPr>
              <w:jc w:val="center"/>
            </w:pPr>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13</w:t>
            </w:r>
            <w:r/>
          </w:p>
        </w:tc>
        <w:tc>
          <w:tcPr>
            <w:tcMar>
              <w:left w:w="108" w:type="dxa"/>
              <w:right w:w="108" w:type="dxa"/>
            </w:tcMar>
            <w:tcW w:w="5419" w:type="dxa"/>
            <w:vAlign w:val="center"/>
            <w:textDirection w:val="lrTb"/>
            <w:noWrap w:val="false"/>
          </w:tcPr>
          <w:p>
            <w:pPr>
              <w:jc w:val="center"/>
            </w:pPr>
            <w:r>
              <w:rPr>
                <w:rFonts w:hint="eastAsia"/>
              </w:rPr>
              <w:t xml:space="preserve">采样装置</w:t>
            </w:r>
            <w:r/>
          </w:p>
        </w:tc>
        <w:tc>
          <w:tcPr>
            <w:tcMar>
              <w:left w:w="108" w:type="dxa"/>
              <w:right w:w="108" w:type="dxa"/>
            </w:tcMar>
            <w:tcW w:w="1584" w:type="dxa"/>
            <w:vAlign w:val="center"/>
            <w:textDirection w:val="lrTb"/>
            <w:noWrap w:val="false"/>
          </w:tcPr>
          <w:p>
            <w:pPr>
              <w:jc w:val="center"/>
            </w:pPr>
            <w:r>
              <w:rPr>
                <w:rFonts w:hint="eastAsia"/>
              </w:rPr>
              <w:t xml:space="preserve">2</w:t>
            </w:r>
            <w:r/>
          </w:p>
        </w:tc>
        <w:tc>
          <w:tcPr>
            <w:tcMar>
              <w:left w:w="108" w:type="dxa"/>
              <w:right w:w="108" w:type="dxa"/>
            </w:tcMar>
            <w:tcW w:w="1278" w:type="dxa"/>
            <w:vAlign w:val="center"/>
            <w:textDirection w:val="lrTb"/>
            <w:noWrap w:val="false"/>
          </w:tcPr>
          <w:p>
            <w:pPr>
              <w:jc w:val="center"/>
            </w:pPr>
            <w:r/>
            <w:r/>
          </w:p>
        </w:tc>
      </w:tr>
      <w:tr>
        <w:trPr>
          <w:jc w:val="center"/>
        </w:trPr>
        <w:tc>
          <w:tcPr>
            <w:tcMar>
              <w:left w:w="108" w:type="dxa"/>
              <w:right w:w="108" w:type="dxa"/>
            </w:tcMar>
            <w:tcW w:w="816" w:type="dxa"/>
            <w:vAlign w:val="center"/>
            <w:textDirection w:val="lrTb"/>
            <w:noWrap w:val="false"/>
          </w:tcPr>
          <w:p>
            <w:pPr>
              <w:jc w:val="center"/>
            </w:pPr>
            <w:r>
              <w:rPr>
                <w:rFonts w:hint="eastAsia"/>
              </w:rPr>
              <w:t xml:space="preserve">14</w:t>
            </w:r>
            <w:r/>
          </w:p>
        </w:tc>
        <w:tc>
          <w:tcPr>
            <w:tcMar>
              <w:left w:w="108" w:type="dxa"/>
              <w:right w:w="108" w:type="dxa"/>
            </w:tcMar>
            <w:tcW w:w="5419" w:type="dxa"/>
            <w:vAlign w:val="center"/>
            <w:textDirection w:val="lrTb"/>
            <w:noWrap w:val="false"/>
          </w:tcPr>
          <w:p>
            <w:pPr>
              <w:jc w:val="center"/>
            </w:pPr>
            <w:r>
              <w:rPr>
                <w:rFonts w:hint="eastAsia"/>
              </w:rPr>
              <w:t xml:space="preserve">标准化站房（≥24平方米）</w:t>
            </w:r>
            <w:r/>
          </w:p>
        </w:tc>
        <w:tc>
          <w:tcPr>
            <w:tcMar>
              <w:left w:w="108" w:type="dxa"/>
              <w:right w:w="108" w:type="dxa"/>
            </w:tcMar>
            <w:tcW w:w="1584" w:type="dxa"/>
            <w:vAlign w:val="center"/>
            <w:textDirection w:val="lrTb"/>
            <w:noWrap w:val="false"/>
          </w:tcPr>
          <w:p>
            <w:pPr>
              <w:jc w:val="center"/>
            </w:pPr>
            <w:r>
              <w:rPr>
                <w:rFonts w:hint="eastAsia"/>
              </w:rPr>
              <w:t xml:space="preserve">2</w:t>
            </w:r>
            <w:r/>
          </w:p>
        </w:tc>
        <w:tc>
          <w:tcPr>
            <w:tcMar>
              <w:left w:w="108" w:type="dxa"/>
              <w:right w:w="108" w:type="dxa"/>
            </w:tcMar>
            <w:tcW w:w="1278" w:type="dxa"/>
            <w:vAlign w:val="center"/>
            <w:textDirection w:val="lrTb"/>
            <w:noWrap w:val="false"/>
          </w:tcPr>
          <w:p>
            <w:pPr>
              <w:jc w:val="center"/>
            </w:pPr>
            <w:r/>
            <w:r/>
          </w:p>
        </w:tc>
      </w:tr>
    </w:tbl>
    <w:p>
      <w:pPr>
        <w:ind w:firstLine="482"/>
        <w:jc w:val="left"/>
        <w:spacing w:line="400" w:lineRule="exact"/>
        <w:widowControl/>
        <w:rPr>
          <w:rFonts w:ascii="宋体" w:hAnsi="宋体" w:eastAsia="宋体" w:cs="宋体"/>
          <w:sz w:val="24"/>
          <w:szCs w:val="24"/>
        </w:rPr>
        <w:sectPr>
          <w:headerReference w:type="default" r:id="rId9"/>
          <w:headerReference w:type="even" r:id="rId10"/>
          <w:footerReference w:type="default" r:id="rId12"/>
          <w:footerReference w:type="even" r:id="rId13"/>
          <w:footnotePr/>
          <w:endnotePr/>
          <w:type w:val="nextPage"/>
          <w:pgSz w:w="11840" w:h="16740" w:orient="portrait"/>
          <w:pgMar w:top="2098" w:right="1474" w:bottom="1984" w:left="1587" w:header="851" w:footer="1417" w:gutter="0"/>
          <w:pgNumType w:start="1"/>
          <w:cols w:num="1" w:sep="0" w:space="720" w:equalWidth="1"/>
          <w:docGrid w:linePitch="360"/>
        </w:sectPr>
      </w:pPr>
      <w:r>
        <w:rPr>
          <w:rFonts w:ascii="宋体" w:hAnsi="宋体" w:eastAsia="宋体" w:cs="宋体"/>
          <w:sz w:val="24"/>
          <w:szCs w:val="24"/>
        </w:rPr>
      </w:r>
      <w:r/>
    </w:p>
    <w:tbl>
      <w:tblPr>
        <w:tblStyle w:val="982"/>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04"/>
        <w:gridCol w:w="3561"/>
        <w:gridCol w:w="2088"/>
        <w:gridCol w:w="2141"/>
      </w:tblGrid>
      <w:tr>
        <w:trPr>
          <w:trHeight w:val="883"/>
        </w:trPr>
        <w:tc>
          <w:tcPr>
            <w:tcW w:w="571" w:type="pct"/>
            <w:vAlign w:val="center"/>
            <w:textDirection w:val="lrTb"/>
            <w:noWrap w:val="false"/>
          </w:tcPr>
          <w:p>
            <w:pPr>
              <w:jc w:val="center"/>
            </w:pPr>
            <w:r>
              <w:rPr>
                <w:rFonts w:hint="eastAsia"/>
              </w:rPr>
              <w:t xml:space="preserve">序号</w:t>
            </w:r>
            <w:r/>
          </w:p>
        </w:tc>
        <w:tc>
          <w:tcPr>
            <w:tcW w:w="2024" w:type="pct"/>
            <w:vAlign w:val="center"/>
            <w:textDirection w:val="lrTb"/>
            <w:noWrap w:val="false"/>
          </w:tcPr>
          <w:p>
            <w:pPr>
              <w:jc w:val="center"/>
            </w:pPr>
            <w:r>
              <w:rPr>
                <w:rFonts w:hint="eastAsia"/>
              </w:rPr>
              <w:t xml:space="preserve">标的名称</w:t>
            </w:r>
            <w:r/>
          </w:p>
        </w:tc>
        <w:tc>
          <w:tcPr>
            <w:tcW w:w="1187" w:type="pct"/>
            <w:vAlign w:val="center"/>
            <w:textDirection w:val="lrTb"/>
            <w:noWrap w:val="false"/>
          </w:tcPr>
          <w:p>
            <w:pPr>
              <w:jc w:val="center"/>
            </w:pPr>
            <w:r>
              <w:rPr>
                <w:rFonts w:hint="eastAsia"/>
              </w:rPr>
              <w:t xml:space="preserve">数量（台／套）</w:t>
            </w:r>
            <w:r/>
          </w:p>
        </w:tc>
        <w:tc>
          <w:tcPr>
            <w:tcW w:w="1216" w:type="pct"/>
            <w:vAlign w:val="center"/>
            <w:textDirection w:val="lrTb"/>
            <w:noWrap w:val="false"/>
          </w:tcPr>
          <w:p>
            <w:pPr>
              <w:jc w:val="center"/>
            </w:pPr>
            <w:r>
              <w:rPr>
                <w:rFonts w:hint="eastAsia"/>
              </w:rPr>
              <w:t xml:space="preserve">备注</w:t>
            </w:r>
            <w:r/>
          </w:p>
        </w:tc>
      </w:tr>
      <w:tr>
        <w:trPr>
          <w:trHeight w:val="729"/>
        </w:trPr>
        <w:tc>
          <w:tcPr>
            <w:tcW w:w="571" w:type="pct"/>
            <w:vAlign w:val="center"/>
            <w:textDirection w:val="lrTb"/>
            <w:noWrap w:val="false"/>
          </w:tcPr>
          <w:p>
            <w:pPr>
              <w:jc w:val="center"/>
            </w:pPr>
            <w:r/>
            <w:r/>
          </w:p>
          <w:p>
            <w:pPr>
              <w:jc w:val="center"/>
            </w:pPr>
            <w:r>
              <w:rPr>
                <w:rFonts w:hint="eastAsia"/>
              </w:rPr>
              <w:t xml:space="preserve">一</w:t>
            </w:r>
            <w:r/>
          </w:p>
        </w:tc>
        <w:tc>
          <w:tcPr>
            <w:gridSpan w:val="3"/>
            <w:tcW w:w="4428" w:type="pct"/>
            <w:vAlign w:val="center"/>
            <w:textDirection w:val="lrTb"/>
            <w:noWrap w:val="false"/>
          </w:tcPr>
          <w:p>
            <w:pPr>
              <w:jc w:val="center"/>
            </w:pPr>
            <w:r>
              <w:rPr>
                <w:rFonts w:hint="eastAsia"/>
              </w:rPr>
              <w:t xml:space="preserve">设备设施</w:t>
            </w:r>
            <w:r/>
          </w:p>
        </w:tc>
      </w:tr>
      <w:tr>
        <w:trPr>
          <w:trHeight w:val="569"/>
        </w:trPr>
        <w:tc>
          <w:tcPr>
            <w:tcW w:w="571" w:type="pct"/>
            <w:vAlign w:val="center"/>
            <w:textDirection w:val="lrTb"/>
            <w:noWrap w:val="false"/>
          </w:tcPr>
          <w:p>
            <w:pPr>
              <w:jc w:val="center"/>
            </w:pPr>
            <w:r>
              <w:rPr>
                <w:rFonts w:hint="eastAsia"/>
              </w:rPr>
              <w:t xml:space="preserve">15</w:t>
            </w:r>
            <w:r/>
          </w:p>
        </w:tc>
        <w:tc>
          <w:tcPr>
            <w:tcW w:w="2024" w:type="pct"/>
            <w:vAlign w:val="center"/>
            <w:textDirection w:val="lrTb"/>
            <w:noWrap w:val="false"/>
          </w:tcPr>
          <w:p>
            <w:pPr>
              <w:jc w:val="center"/>
            </w:pPr>
            <w:r>
              <w:rPr>
                <w:rFonts w:hint="eastAsia"/>
              </w:rPr>
              <w:t xml:space="preserve">视频监控系统</w:t>
            </w:r>
            <w:r/>
          </w:p>
        </w:tc>
        <w:tc>
          <w:tcPr>
            <w:tcW w:w="1187" w:type="pct"/>
            <w:vAlign w:val="center"/>
            <w:textDirection w:val="lrTb"/>
            <w:noWrap w:val="false"/>
          </w:tcPr>
          <w:p>
            <w:pPr>
              <w:jc w:val="center"/>
            </w:pPr>
            <w:r>
              <w:rPr>
                <w:rFonts w:hint="eastAsia"/>
              </w:rPr>
              <w:t xml:space="preserve">2</w:t>
            </w:r>
            <w:r/>
          </w:p>
        </w:tc>
        <w:tc>
          <w:tcPr>
            <w:tcW w:w="1216" w:type="pct"/>
            <w:vAlign w:val="center"/>
            <w:textDirection w:val="lrTb"/>
            <w:noWrap w:val="false"/>
          </w:tcPr>
          <w:p>
            <w:pPr>
              <w:jc w:val="center"/>
            </w:pPr>
            <w:r/>
            <w:r/>
          </w:p>
        </w:tc>
      </w:tr>
      <w:tr>
        <w:trPr>
          <w:trHeight w:val="569"/>
        </w:trPr>
        <w:tc>
          <w:tcPr>
            <w:tcW w:w="571" w:type="pct"/>
            <w:vAlign w:val="center"/>
            <w:textDirection w:val="lrTb"/>
            <w:noWrap w:val="false"/>
          </w:tcPr>
          <w:p>
            <w:pPr>
              <w:jc w:val="center"/>
            </w:pPr>
            <w:r>
              <w:rPr>
                <w:rFonts w:hint="eastAsia"/>
              </w:rPr>
              <w:t xml:space="preserve">16</w:t>
            </w:r>
            <w:r/>
          </w:p>
        </w:tc>
        <w:tc>
          <w:tcPr>
            <w:tcW w:w="2024" w:type="pct"/>
            <w:vAlign w:val="center"/>
            <w:textDirection w:val="lrTb"/>
            <w:noWrap w:val="false"/>
          </w:tcPr>
          <w:p>
            <w:pPr>
              <w:jc w:val="center"/>
            </w:pPr>
            <w:r>
              <w:rPr>
                <w:rFonts w:hint="eastAsia"/>
              </w:rPr>
              <w:t xml:space="preserve">机柜</w:t>
            </w:r>
            <w:r/>
          </w:p>
        </w:tc>
        <w:tc>
          <w:tcPr>
            <w:tcW w:w="1187" w:type="pct"/>
            <w:vAlign w:val="center"/>
            <w:textDirection w:val="lrTb"/>
            <w:noWrap w:val="false"/>
          </w:tcPr>
          <w:p>
            <w:pPr>
              <w:jc w:val="center"/>
            </w:pPr>
            <w:r>
              <w:rPr>
                <w:rFonts w:hint="eastAsia"/>
              </w:rPr>
              <w:t xml:space="preserve">2</w:t>
            </w:r>
            <w:r/>
          </w:p>
        </w:tc>
        <w:tc>
          <w:tcPr>
            <w:tcW w:w="1216" w:type="pct"/>
            <w:vAlign w:val="center"/>
            <w:textDirection w:val="lrTb"/>
            <w:noWrap w:val="false"/>
          </w:tcPr>
          <w:p>
            <w:pPr>
              <w:jc w:val="center"/>
            </w:pPr>
            <w:r/>
            <w:r/>
          </w:p>
        </w:tc>
      </w:tr>
      <w:tr>
        <w:trPr>
          <w:trHeight w:val="559"/>
        </w:trPr>
        <w:tc>
          <w:tcPr>
            <w:tcW w:w="571" w:type="pct"/>
            <w:vAlign w:val="center"/>
            <w:textDirection w:val="lrTb"/>
            <w:noWrap w:val="false"/>
          </w:tcPr>
          <w:p>
            <w:pPr>
              <w:jc w:val="center"/>
            </w:pPr>
            <w:r>
              <w:rPr>
                <w:rFonts w:hint="eastAsia"/>
              </w:rPr>
              <w:t xml:space="preserve">17</w:t>
            </w:r>
            <w:r/>
          </w:p>
        </w:tc>
        <w:tc>
          <w:tcPr>
            <w:tcW w:w="2024" w:type="pct"/>
            <w:vAlign w:val="center"/>
            <w:textDirection w:val="lrTb"/>
            <w:noWrap w:val="false"/>
          </w:tcPr>
          <w:p>
            <w:pPr>
              <w:jc w:val="center"/>
            </w:pPr>
            <w:r/>
            <w:bookmarkStart w:id="109" w:name="OLE_LINK50"/>
            <w:r/>
            <w:bookmarkStart w:id="110" w:name="OLE_LINK49"/>
            <w:r>
              <w:rPr>
                <w:rFonts w:hint="eastAsia"/>
              </w:rPr>
              <w:t xml:space="preserve">各类标气、水、电、网络、防雷装置（出具防雷报告）、消防、办公桌椅、档案柜、文化建设等其他配套设施设备</w:t>
            </w:r>
            <w:bookmarkEnd w:id="109"/>
            <w:r/>
            <w:bookmarkEnd w:id="110"/>
            <w:r/>
            <w:r/>
          </w:p>
        </w:tc>
        <w:tc>
          <w:tcPr>
            <w:tcW w:w="1187" w:type="pct"/>
            <w:vAlign w:val="center"/>
            <w:textDirection w:val="lrTb"/>
            <w:noWrap w:val="false"/>
          </w:tcPr>
          <w:p>
            <w:pPr>
              <w:jc w:val="center"/>
            </w:pPr>
            <w:r>
              <w:rPr>
                <w:rFonts w:hint="eastAsia"/>
              </w:rPr>
              <w:t xml:space="preserve">2</w:t>
            </w:r>
            <w:r/>
          </w:p>
        </w:tc>
        <w:tc>
          <w:tcPr>
            <w:tcW w:w="1216" w:type="pct"/>
            <w:vAlign w:val="center"/>
            <w:textDirection w:val="lrTb"/>
            <w:noWrap w:val="false"/>
          </w:tcPr>
          <w:p>
            <w:pPr>
              <w:jc w:val="center"/>
            </w:pPr>
            <w:r/>
            <w:r/>
          </w:p>
        </w:tc>
      </w:tr>
      <w:tr>
        <w:trPr>
          <w:trHeight w:val="489"/>
        </w:trPr>
        <w:tc>
          <w:tcPr>
            <w:tcW w:w="571" w:type="pct"/>
            <w:vAlign w:val="center"/>
            <w:textDirection w:val="lrTb"/>
            <w:noWrap w:val="false"/>
          </w:tcPr>
          <w:p>
            <w:pPr>
              <w:jc w:val="center"/>
            </w:pPr>
            <w:r>
              <w:rPr>
                <w:rFonts w:hint="eastAsia"/>
              </w:rPr>
              <w:t xml:space="preserve">二</w:t>
            </w:r>
            <w:r/>
          </w:p>
        </w:tc>
        <w:tc>
          <w:tcPr>
            <w:gridSpan w:val="3"/>
            <w:tcW w:w="4428" w:type="pct"/>
            <w:vAlign w:val="center"/>
            <w:textDirection w:val="lrTb"/>
            <w:noWrap w:val="false"/>
          </w:tcPr>
          <w:p>
            <w:pPr>
              <w:jc w:val="center"/>
            </w:pPr>
            <w:r>
              <w:rPr>
                <w:rFonts w:hint="eastAsia"/>
              </w:rPr>
              <w:t xml:space="preserve">服务</w:t>
            </w:r>
            <w:r/>
          </w:p>
        </w:tc>
      </w:tr>
      <w:tr>
        <w:trPr>
          <w:trHeight w:val="564"/>
        </w:trPr>
        <w:tc>
          <w:tcPr>
            <w:tcW w:w="571" w:type="pct"/>
            <w:vAlign w:val="center"/>
            <w:textDirection w:val="lrTb"/>
            <w:noWrap w:val="false"/>
          </w:tcPr>
          <w:p>
            <w:pPr>
              <w:jc w:val="center"/>
            </w:pPr>
            <w:r>
              <w:rPr>
                <w:rFonts w:hint="eastAsia"/>
              </w:rPr>
              <w:t xml:space="preserve">1</w:t>
            </w:r>
            <w:r/>
          </w:p>
        </w:tc>
        <w:tc>
          <w:tcPr>
            <w:tcW w:w="2024" w:type="pct"/>
            <w:vAlign w:val="center"/>
            <w:textDirection w:val="lrTb"/>
            <w:noWrap w:val="false"/>
          </w:tcPr>
          <w:p>
            <w:pPr>
              <w:jc w:val="center"/>
            </w:pPr>
            <w:r>
              <w:rPr>
                <w:rFonts w:hint="eastAsia"/>
              </w:rPr>
              <w:t xml:space="preserve">2个站点全托管运维服务</w:t>
            </w:r>
            <w:r/>
          </w:p>
        </w:tc>
        <w:tc>
          <w:tcPr>
            <w:tcW w:w="1187" w:type="pct"/>
            <w:vAlign w:val="center"/>
            <w:textDirection w:val="lrTb"/>
            <w:noWrap w:val="false"/>
          </w:tcPr>
          <w:p>
            <w:pPr>
              <w:jc w:val="center"/>
            </w:pPr>
            <w:r>
              <w:rPr>
                <w:rFonts w:hint="eastAsia"/>
              </w:rPr>
              <w:t xml:space="preserve">24个月</w:t>
            </w:r>
            <w:r/>
          </w:p>
        </w:tc>
        <w:tc>
          <w:tcPr>
            <w:tcW w:w="1216" w:type="pct"/>
            <w:vAlign w:val="center"/>
            <w:textDirection w:val="lrTb"/>
            <w:noWrap w:val="false"/>
          </w:tcPr>
          <w:p>
            <w:pPr>
              <w:jc w:val="center"/>
            </w:pPr>
            <w:r/>
            <w:r/>
          </w:p>
        </w:tc>
      </w:tr>
    </w:tbl>
    <w:p>
      <w:pPr>
        <w:ind w:firstLine="482"/>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注：本项目不接受进口产品。</w:t>
      </w:r>
      <w:r/>
    </w:p>
    <w:p>
      <w:pPr>
        <w:ind w:firstLine="482"/>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（二）建设（交货）地点：采购人指定地点。</w:t>
      </w:r>
      <w:r/>
    </w:p>
    <w:p>
      <w:pPr>
        <w:ind w:firstLine="482"/>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（三）项目实施期限：自合同签订之日起60日历天内完成供货及安装调试并实现联网试运行；自验收合格之日起，提供24个月的全托管运维服务。</w:t>
      </w:r>
      <w:r/>
    </w:p>
    <w:p>
      <w:pPr>
        <w:ind w:firstLine="482"/>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二、整体说明</w:t>
      </w:r>
      <w:r/>
    </w:p>
    <w:p>
      <w:pPr>
        <w:pStyle w:val="778"/>
        <w:ind w:firstLine="616"/>
        <w:rPr>
          <w:rFonts w:ascii="宋体" w:hAnsi="宋体" w:eastAsia="宋体" w:cs="宋体"/>
          <w:sz w:val="24"/>
          <w:szCs w:val="24"/>
        </w:rPr>
      </w:pPr>
      <w:r>
        <w:rPr>
          <w:rFonts w:hint="eastAsia" w:ascii="宋体" w:hAnsi="宋体" w:eastAsia="宋体" w:cs="宋体"/>
          <w:sz w:val="24"/>
          <w:szCs w:val="24"/>
        </w:rPr>
        <w:t xml:space="preserve">1.总价应包括设备运抵采购人指定地点的运保费、吊装费、安装调试费、设备设施基础建设费、电力、网络接入费、防雷施工及检测费、技术培训费、售后服务费用及保障站点运行产生的其他必要费用等；</w:t>
      </w:r>
      <w:r/>
    </w:p>
    <w:p>
      <w:pPr>
        <w:pStyle w:val="778"/>
        <w:ind w:firstLine="616"/>
        <w:rPr>
          <w:rFonts w:ascii="宋体" w:hAnsi="宋体" w:eastAsia="宋体" w:cs="宋体"/>
          <w:sz w:val="24"/>
          <w:szCs w:val="24"/>
        </w:rPr>
      </w:pPr>
      <w:r>
        <w:rPr>
          <w:rFonts w:hint="eastAsia" w:ascii="宋体" w:hAnsi="宋体" w:eastAsia="宋体" w:cs="宋体"/>
          <w:sz w:val="24"/>
          <w:szCs w:val="24"/>
        </w:rPr>
        <w:t xml:space="preserve">2.投标人所投产品需为原厂全新产品，符合国家技术规范和质量标准，未曾开箱使用的；设备安装调试完毕后，能在其功能范围内保障用户的系统运行安全、稳定；</w:t>
      </w:r>
      <w:r/>
    </w:p>
    <w:p>
      <w:pPr>
        <w:pStyle w:val="778"/>
        <w:ind w:firstLine="616"/>
        <w:rPr>
          <w:rFonts w:ascii="宋体" w:hAnsi="宋体" w:eastAsia="宋体" w:cs="宋体"/>
          <w:sz w:val="24"/>
          <w:szCs w:val="24"/>
        </w:rPr>
      </w:pPr>
      <w:r>
        <w:rPr>
          <w:rFonts w:hint="eastAsia" w:ascii="宋体" w:hAnsi="宋体" w:eastAsia="宋体" w:cs="宋体"/>
          <w:sz w:val="24"/>
          <w:szCs w:val="24"/>
        </w:rPr>
        <w:t xml:space="preserve">3.投标人所投产品及主要部件均须为非停产设备，并提供备品备件和耗材的清单；</w:t>
      </w:r>
      <w:r/>
    </w:p>
    <w:p>
      <w:pPr>
        <w:pStyle w:val="778"/>
        <w:ind w:firstLine="616"/>
        <w:rPr>
          <w:rFonts w:ascii="宋体" w:hAnsi="宋体" w:eastAsia="宋体" w:cs="宋体"/>
          <w:sz w:val="24"/>
          <w:szCs w:val="24"/>
        </w:rPr>
      </w:pPr>
      <w:r>
        <w:rPr>
          <w:rFonts w:hint="eastAsia" w:ascii="宋体" w:hAnsi="宋体" w:eastAsia="宋体" w:cs="宋体"/>
          <w:sz w:val="24"/>
          <w:szCs w:val="24"/>
        </w:rPr>
        <w:t xml:space="preserve">4.本次采购的供货除包括上述设备外，还应包括随机的辅助设备，专用电线电缆、随机软件、技术资料（包括但不限于说明书等）、设备运行所必需的随机消耗材料，相应的技术服务与质量保证；</w:t>
      </w:r>
      <w:r/>
    </w:p>
    <w:p>
      <w:pPr>
        <w:pStyle w:val="778"/>
        <w:ind w:firstLine="616"/>
        <w:rPr>
          <w:rFonts w:ascii="宋体" w:hAnsi="宋体" w:eastAsia="宋体" w:cs="宋体"/>
          <w:sz w:val="24"/>
          <w:szCs w:val="24"/>
        </w:rPr>
      </w:pPr>
      <w:r>
        <w:rPr>
          <w:rFonts w:hint="eastAsia" w:ascii="宋体" w:hAnsi="宋体" w:eastAsia="宋体" w:cs="宋体"/>
          <w:sz w:val="24"/>
          <w:szCs w:val="24"/>
        </w:rPr>
        <w:t xml:space="preserve">5.各监测仪器掉电后，能自动保存数据：恢复供电后系统可自动启动，恢复运行状态并正常开始工作。</w:t>
      </w:r>
      <w:r/>
    </w:p>
    <w:p>
      <w:pPr>
        <w:pStyle w:val="778"/>
        <w:ind w:firstLine="616"/>
        <w:jc w:val="left"/>
        <w:rPr>
          <w:rFonts w:ascii="宋体" w:hAnsi="宋体" w:eastAsia="宋体" w:cs="宋体"/>
          <w:sz w:val="24"/>
          <w:szCs w:val="24"/>
        </w:rPr>
        <w:sectPr>
          <w:footnotePr/>
          <w:endnotePr/>
          <w:type w:val="nextPage"/>
          <w:pgSz w:w="11840" w:h="16740" w:orient="portrait"/>
          <w:pgMar w:top="2098" w:right="1474" w:bottom="1984" w:left="1587" w:header="851" w:footer="1417" w:gutter="0"/>
          <w:cols w:num="1" w:sep="0" w:space="720" w:equalWidth="1"/>
          <w:docGrid w:linePitch="360"/>
        </w:sectPr>
      </w:pPr>
      <w:r>
        <w:rPr>
          <w:rFonts w:hint="eastAsia" w:ascii="宋体" w:hAnsi="宋体" w:eastAsia="宋体" w:cs="宋体"/>
          <w:sz w:val="24"/>
          <w:szCs w:val="24"/>
        </w:rPr>
        <w:t xml:space="preserve">6.投标人提供针对于本项目的组织实施方案，包括设备系统安装、调试、验收方案、运行维护方案、质量控制方案等。</w:t>
      </w:r>
      <w:r/>
    </w:p>
    <w:p>
      <w:pPr>
        <w:pStyle w:val="778"/>
        <w:ind w:firstLine="616"/>
        <w:rPr>
          <w:rFonts w:ascii="宋体" w:hAnsi="宋体" w:eastAsia="宋体" w:cs="宋体"/>
          <w:sz w:val="24"/>
          <w:szCs w:val="24"/>
        </w:rPr>
      </w:pPr>
      <w:r>
        <w:rPr>
          <w:rFonts w:hint="eastAsia" w:ascii="宋体" w:hAnsi="宋体" w:eastAsia="宋体" w:cs="宋体"/>
          <w:sz w:val="24"/>
          <w:szCs w:val="24"/>
        </w:rPr>
        <w:t xml:space="preserve">三、项目建设要求</w:t>
      </w:r>
      <w:r/>
    </w:p>
    <w:p>
      <w:pPr>
        <w:pStyle w:val="778"/>
        <w:ind w:firstLine="618"/>
        <w:keepLines w:val="0"/>
        <w:keepNext w:val="0"/>
        <w:pageBreakBefore w:val="0"/>
        <w:spacing w:line="660" w:lineRule="exact"/>
        <w:widowControl w:val="off"/>
        <w:rPr>
          <w:rFonts w:ascii="宋体" w:hAnsi="宋体" w:eastAsia="宋体" w:cs="宋体"/>
          <w:sz w:val="24"/>
          <w:szCs w:val="24"/>
        </w:rPr>
      </w:pPr>
      <w:r>
        <w:rPr>
          <w:rFonts w:hint="eastAsia" w:ascii="宋体" w:hAnsi="宋体" w:eastAsia="宋体" w:cs="宋体"/>
          <w:sz w:val="24"/>
          <w:szCs w:val="24"/>
        </w:rPr>
        <w:t xml:space="preserve">（一）建设标准规范依据</w:t>
      </w:r>
      <w:r/>
    </w:p>
    <w:p>
      <w:pPr>
        <w:pStyle w:val="778"/>
        <w:ind w:firstLine="618"/>
        <w:keepLines w:val="0"/>
        <w:keepNext w:val="0"/>
        <w:pageBreakBefore w:val="0"/>
        <w:spacing w:line="660" w:lineRule="exact"/>
        <w:widowControl w:val="off"/>
        <w:rPr>
          <w:rFonts w:ascii="宋体" w:hAnsi="宋体" w:eastAsia="宋体" w:cs="宋体"/>
          <w:sz w:val="24"/>
          <w:szCs w:val="24"/>
        </w:rPr>
      </w:pPr>
      <w:r>
        <w:rPr>
          <w:rFonts w:hint="eastAsia" w:ascii="宋体" w:hAnsi="宋体" w:eastAsia="宋体" w:cs="宋体"/>
          <w:sz w:val="24"/>
          <w:szCs w:val="24"/>
        </w:rPr>
        <w:t xml:space="preserve">《环境空气质量监测点位布设技术规范（试行）》（HJ 664－2013）</w:t>
      </w:r>
      <w:r/>
    </w:p>
    <w:p>
      <w:pPr>
        <w:pStyle w:val="778"/>
        <w:ind w:firstLine="618"/>
        <w:keepLines w:val="0"/>
        <w:keepNext w:val="0"/>
        <w:pageBreakBefore w:val="0"/>
        <w:spacing w:line="660" w:lineRule="exact"/>
        <w:widowControl w:val="off"/>
        <w:rPr>
          <w:rFonts w:ascii="宋体" w:hAnsi="宋体" w:eastAsia="宋体" w:cs="宋体"/>
          <w:sz w:val="24"/>
          <w:szCs w:val="24"/>
        </w:rPr>
      </w:pPr>
      <w:r>
        <w:rPr>
          <w:rFonts w:hint="eastAsia" w:ascii="宋体" w:hAnsi="宋体" w:eastAsia="宋体" w:cs="宋体"/>
          <w:sz w:val="24"/>
          <w:szCs w:val="24"/>
        </w:rPr>
        <w:t xml:space="preserve">《环境空气气态污染物（SO₂、NO₂、O₃、CO）连续自动监测系统安装和验收技术规范》（HJ193－2013）</w:t>
      </w:r>
      <w:r/>
    </w:p>
    <w:p>
      <w:pPr>
        <w:pStyle w:val="778"/>
        <w:ind w:firstLine="618"/>
        <w:keepLines w:val="0"/>
        <w:keepNext w:val="0"/>
        <w:pageBreakBefore w:val="0"/>
        <w:spacing w:line="660" w:lineRule="exact"/>
        <w:widowControl w:val="off"/>
        <w:rPr>
          <w:rFonts w:ascii="宋体" w:hAnsi="宋体" w:eastAsia="宋体" w:cs="宋体"/>
          <w:sz w:val="24"/>
          <w:szCs w:val="24"/>
        </w:rPr>
      </w:pPr>
      <w:r>
        <w:rPr>
          <w:rFonts w:hint="eastAsia" w:ascii="宋体" w:hAnsi="宋体" w:eastAsia="宋体" w:cs="宋体"/>
          <w:sz w:val="24"/>
          <w:szCs w:val="24"/>
        </w:rPr>
        <w:t xml:space="preserve">《环境空气气态污染物（SO₂、NO₂、O₃、CO）连续自动监测系统技术要求及检测方法》（HJ 654－2013）</w:t>
      </w:r>
      <w:r/>
    </w:p>
    <w:p>
      <w:pPr>
        <w:pStyle w:val="778"/>
        <w:ind w:firstLine="618"/>
        <w:keepLines w:val="0"/>
        <w:keepNext w:val="0"/>
        <w:pageBreakBefore w:val="0"/>
        <w:spacing w:line="660" w:lineRule="exact"/>
        <w:widowControl w:val="off"/>
        <w:rPr>
          <w:rFonts w:ascii="宋体" w:hAnsi="宋体" w:eastAsia="宋体" w:cs="宋体"/>
          <w:sz w:val="24"/>
          <w:szCs w:val="24"/>
        </w:rPr>
      </w:pPr>
      <w:r>
        <w:rPr>
          <w:rFonts w:hint="eastAsia" w:ascii="宋体" w:hAnsi="宋体" w:eastAsia="宋体" w:cs="宋体"/>
          <w:sz w:val="24"/>
          <w:szCs w:val="24"/>
        </w:rPr>
        <w:t xml:space="preserve">《环境空气气态污染物（SO₂、NO₂、O₃、CO）连续自动监测系统运行和质控技术规范》（HJ 818－2018）</w:t>
      </w:r>
      <w:r/>
    </w:p>
    <w:p>
      <w:pPr>
        <w:pStyle w:val="778"/>
        <w:ind w:firstLine="618"/>
        <w:keepLines w:val="0"/>
        <w:keepNext w:val="0"/>
        <w:pageBreakBefore w:val="0"/>
        <w:spacing w:line="660" w:lineRule="exact"/>
        <w:widowControl w:val="off"/>
        <w:rPr>
          <w:rFonts w:ascii="宋体" w:hAnsi="宋体" w:eastAsia="宋体" w:cs="宋体"/>
          <w:sz w:val="24"/>
          <w:szCs w:val="24"/>
        </w:rPr>
      </w:pPr>
      <w:r>
        <w:rPr>
          <w:rFonts w:hint="eastAsia" w:ascii="宋体" w:hAnsi="宋体" w:eastAsia="宋体" w:cs="宋体"/>
          <w:sz w:val="24"/>
          <w:szCs w:val="24"/>
        </w:rPr>
        <w:t xml:space="preserve">《环境空气颗粒物（PM10和PM2.5）连续自动监测系统安装和验收技术规范》（HJ655－2013）</w:t>
      </w:r>
      <w:r/>
    </w:p>
    <w:p>
      <w:pPr>
        <w:pStyle w:val="778"/>
        <w:ind w:firstLine="618"/>
        <w:keepLines w:val="0"/>
        <w:keepNext w:val="0"/>
        <w:pageBreakBefore w:val="0"/>
        <w:spacing w:line="660" w:lineRule="exact"/>
        <w:widowControl w:val="off"/>
        <w:rPr>
          <w:rFonts w:ascii="宋体" w:hAnsi="宋体" w:eastAsia="宋体" w:cs="宋体"/>
          <w:sz w:val="24"/>
          <w:szCs w:val="24"/>
        </w:rPr>
      </w:pPr>
      <w:r>
        <w:rPr>
          <w:rFonts w:hint="eastAsia" w:ascii="宋体" w:hAnsi="宋体" w:eastAsia="宋体" w:cs="宋体"/>
          <w:sz w:val="24"/>
          <w:szCs w:val="24"/>
        </w:rPr>
        <w:t xml:space="preserve">《环境空气颗粒物（PM10和PM2.5）连续自动监测系统技术要求及检测方法》（HJ653－2021）</w:t>
      </w:r>
      <w:r/>
    </w:p>
    <w:p>
      <w:pPr>
        <w:pStyle w:val="778"/>
        <w:ind w:firstLine="618"/>
        <w:keepLines w:val="0"/>
        <w:keepNext w:val="0"/>
        <w:pageBreakBefore w:val="0"/>
        <w:spacing w:line="660" w:lineRule="exact"/>
        <w:widowControl w:val="off"/>
        <w:rPr>
          <w:rFonts w:ascii="宋体" w:hAnsi="宋体" w:eastAsia="宋体" w:cs="宋体"/>
          <w:sz w:val="24"/>
          <w:szCs w:val="24"/>
        </w:rPr>
      </w:pPr>
      <w:r>
        <w:rPr>
          <w:rFonts w:hint="eastAsia" w:ascii="宋体" w:hAnsi="宋体" w:eastAsia="宋体" w:cs="宋体"/>
          <w:sz w:val="24"/>
          <w:szCs w:val="24"/>
        </w:rPr>
        <w:t xml:space="preserve">《环境空气颗粒物（PM10和PM2.5）连续自动监测系统运行和质控技术规范》（HJ817－2018）</w:t>
      </w:r>
      <w:r/>
    </w:p>
    <w:p>
      <w:pPr>
        <w:pStyle w:val="778"/>
        <w:ind w:firstLine="618"/>
        <w:keepLines w:val="0"/>
        <w:keepNext w:val="0"/>
        <w:pageBreakBefore w:val="0"/>
        <w:spacing w:line="660" w:lineRule="exact"/>
        <w:widowControl w:val="off"/>
        <w:rPr>
          <w:rFonts w:ascii="宋体" w:hAnsi="宋体" w:eastAsia="宋体" w:cs="宋体"/>
          <w:sz w:val="24"/>
          <w:szCs w:val="24"/>
        </w:rPr>
      </w:pPr>
      <w:r>
        <w:rPr>
          <w:rFonts w:hint="eastAsia" w:ascii="宋体" w:hAnsi="宋体" w:eastAsia="宋体" w:cs="宋体"/>
          <w:sz w:val="24"/>
          <w:szCs w:val="24"/>
        </w:rPr>
        <w:t xml:space="preserve">《环境空气挥发性有机物气相色谱连续监测系统技术要求及检测方法》（HJ 1010－2018）</w:t>
      </w:r>
      <w:r/>
    </w:p>
    <w:p>
      <w:pPr>
        <w:pStyle w:val="764"/>
        <w:rPr>
          <w:rFonts w:ascii="宋体" w:hAnsi="宋体" w:eastAsia="宋体" w:cs="宋体"/>
          <w:color w:val="auto"/>
          <w:sz w:val="24"/>
          <w:szCs w:val="24"/>
        </w:rPr>
      </w:pPr>
      <w:r>
        <w:rPr>
          <w:rFonts w:hint="eastAsia" w:ascii="宋体" w:hAnsi="宋体" w:eastAsia="宋体" w:cs="宋体"/>
          <w:color w:val="auto"/>
          <w:sz w:val="24"/>
          <w:szCs w:val="24"/>
        </w:rPr>
        <w:t xml:space="preserve">（二）项目建设要求</w:t>
      </w:r>
      <w:r/>
    </w:p>
    <w:p>
      <w:pPr>
        <w:pStyle w:val="765"/>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1.监测点位采样口设置要求</w:t>
      </w:r>
      <w:r/>
    </w:p>
    <w:p>
      <w:pPr>
        <w:pStyle w:val="778"/>
        <w:ind w:firstLine="480"/>
        <w:rPr>
          <w:rFonts w:ascii="宋体" w:hAnsi="宋体" w:eastAsia="宋体" w:cs="宋体"/>
          <w:sz w:val="24"/>
          <w:szCs w:val="24"/>
        </w:rPr>
      </w:pPr>
      <w:r>
        <w:rPr>
          <w:rFonts w:hint="eastAsia" w:ascii="宋体" w:hAnsi="宋体" w:eastAsia="宋体" w:cs="宋体"/>
          <w:sz w:val="24"/>
          <w:szCs w:val="24"/>
        </w:rPr>
        <w:t xml:space="preserve">环境空气自动监测点位采样口位置须符合《环境空气质量监测点位布设技术规范（试行）》（HJ664－2013）相关要求。</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（1）采样口应距地面3至20米，若所选监测点位周围半径300－500米范围内建筑物平均高度在25米以上，其采样口高度可以在20－30米范围内选取。</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（2）采样口周围水平面应保证270°以上的捕集空间，如果采样口一边靠近建筑物，采样口周围水平应有180°以上的自由空间。</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（3）从采样口到附近最高障碍物之间的水平距离，应为该障碍物与采样口高度差的两倍以上。</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（4）采样口距站房屋顶距离在1－2m范围内，颗粒物采样管总长度不超过5m，采样管应使用三脚架结构固定于站房顶部。</w:t>
      </w:r>
      <w:r/>
    </w:p>
    <w:p>
      <w:pPr>
        <w:ind w:firstLine="240"/>
        <w:rPr>
          <w:rFonts w:hint="eastAsia" w:ascii="宋体" w:hAnsi="宋体" w:eastAsia="宋体" w:cs="宋体"/>
          <w:sz w:val="24"/>
          <w:szCs w:val="24"/>
        </w:rPr>
      </w:pPr>
      <w:r>
        <w:rPr>
          <w:rFonts w:hint="eastAsia" w:ascii="宋体" w:hAnsi="宋体" w:eastAsia="宋体" w:cs="宋体"/>
          <w:sz w:val="24"/>
          <w:szCs w:val="24"/>
        </w:rPr>
        <w:t xml:space="preserve">（5） PM10、PM2.5采样口与交通道路边缘之间的距离不低于25米；SO₂、NO₂、CO、O₃采样口与交通道路边缘之间的距离不低于10米。</w:t>
      </w:r>
      <w:r/>
    </w:p>
    <w:p>
      <w:pPr>
        <w:rPr>
          <w:rFonts w:ascii="宋体" w:hAnsi="宋体" w:eastAsia="宋体" w:cs="宋体"/>
          <w:sz w:val="24"/>
          <w:szCs w:val="24"/>
        </w:rPr>
      </w:pPr>
      <w:r>
        <w:rPr>
          <w:rFonts w:hint="eastAsia" w:ascii="宋体" w:hAnsi="宋体" w:eastAsia="宋体" w:cs="宋体"/>
          <w:sz w:val="24"/>
          <w:szCs w:val="24"/>
        </w:rPr>
        <w:t xml:space="preserve">2.站房及辅助设施建设要求</w:t>
      </w:r>
      <w:r/>
    </w:p>
    <w:p>
      <w:pPr>
        <w:pStyle w:val="778"/>
        <w:ind w:firstLine="480"/>
        <w:rPr>
          <w:rFonts w:ascii="宋体" w:hAnsi="宋体" w:eastAsia="宋体" w:cs="宋体"/>
          <w:sz w:val="24"/>
          <w:szCs w:val="24"/>
        </w:rPr>
      </w:pPr>
      <w:r>
        <w:rPr>
          <w:rFonts w:hint="eastAsia" w:ascii="宋体" w:hAnsi="宋体" w:eastAsia="宋体" w:cs="宋体"/>
          <w:sz w:val="24"/>
          <w:szCs w:val="24"/>
        </w:rPr>
        <w:t xml:space="preserve">监测站房及辅助设施建设须符合《环境空气颗粒物（PM10和PM2.5）连续自动监测系统安装和验收技术规范》（HJ655－2013）和《环境空气气态污染物（SO₂、 NO₂、O₃、CO）连续自动监测系统安装和验收技术规范》（HJ193－2013）中“监测站房及辅助设施”相关规定。</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（1）监测站房采用一体化标准，设计及选材应满足8年以上使用要求，监测站房内使用面积不低于24m²，站房门选用标准防盗门安装，屋内地面为木地板， 房顶坡度不大于10°，应有防水、防潮、隔热、隔音和保温措施，并根据监测仪器环境要求的不同设置缓冲间和隔断。一般站房内地面应高于站房地面（或房顶）25cm以上，应配备通往站房屋顶的Z字型梯或旋梯，站房屋顶承重要求大于等于250kg／m²，房顶安装护栏，护栏高度不低于1.2m，并预留采样管安装孔。</w:t>
      </w:r>
      <w:r>
        <w:rPr>
          <w:rFonts w:hint="eastAsia" w:ascii="宋体" w:hAnsi="宋体" w:eastAsia="宋体" w:cs="宋体"/>
          <w:sz w:val="24"/>
          <w:szCs w:val="24"/>
        </w:rPr>
        <w:tab/>
      </w:r>
      <w:r>
        <w:rPr>
          <w:rFonts w:hint="eastAsia" w:ascii="宋体" w:hAnsi="宋体" w:eastAsia="宋体" w:cs="宋体"/>
          <w:sz w:val="24"/>
          <w:szCs w:val="24"/>
        </w:rPr>
        <w:t xml:space="preserve">（本项目站房均在平地上建设，需根据现场情况抬高站房基础1－5米）</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（2）站房应在入口位置设置醒目标识牌，站房及采样区域明显位置应设置警示牌。</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（3）站房周边应安装防止人员进入的栅栏，应安装在距离站房3－5m（或距离采样口5－8m）处，高度不低于1.8m。</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（4）站房应配备上行带宽10M以上的网络。</w:t>
      </w:r>
      <w:r/>
    </w:p>
    <w:p>
      <w:pPr>
        <w:pStyle w:val="778"/>
        <w:ind w:firstLine="240"/>
        <w:rPr>
          <w:rFonts w:hint="eastAsia" w:ascii="宋体" w:hAnsi="宋体" w:eastAsia="宋体" w:cs="宋体"/>
          <w:sz w:val="24"/>
          <w:szCs w:val="24"/>
        </w:rPr>
      </w:pPr>
      <w:r>
        <w:rPr>
          <w:rFonts w:hint="eastAsia" w:ascii="宋体" w:hAnsi="宋体" w:eastAsia="宋体" w:cs="宋体"/>
          <w:sz w:val="24"/>
          <w:szCs w:val="24"/>
        </w:rPr>
        <w:t xml:space="preserve">（5）站房内外部要安装必要的监控设施，内部至少安装可以覆盖监测仪器的摄像机2台，站房入口处安装具备人脸识别功能的摄像机1台，采样区域应安 装2台对射、可覆盖整个采样区域的摄像机，视频监控具有存储和回放功能，至少能够存储2个月视频资料。</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（6）站房须有防雷设施，包括站房防雷、设备防雷、电源防雷，防雷接地装置的选材和安装参照《通信局（站）防雷与接地工程设计规范》（YD5098）相关要求，并取得防雷报告。</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（7）站房应配备排风设施、具有来电自启动功能的温控装置（出风口不能正对仪器和采样管）以及气压计、温湿度计等。</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8）电源：站房应采用三相五线供电，单相电源电压波动不超过AC（220±22）V，频率波动不超过（50±1）Hz。站房供电总电缆进站后应设置总配电箱，应配有稳压电源并安装电源过压、过载保护装置。配电系统接地形式为TN－C－S，电源进线应重复接地，并进行总等位连接。</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（9）配电箱：进站后应设置立式总配电箱，电箱内设置电表、总空开及单路空开装置。室内设置壁挂型式分配电箱，配电箱内连接入室引线应分别装有三个单相15A空气开关作为三相电源的总开关，分相使用。</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10）照明：站房照明系统包括日光灯组、布线、开关、插座；灯具应配套齐全、安装牢固可靠、固定灯具带电部件的绝缘材料以及提供防触电保护的绝缘材料，应耐燃烧和防明火。室内采用照明灯，安装形式为吸顶式，照明采用单独开关控制，并安装有应急照明灯。</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（11）插座：采用通用单相三孔加二孔安全型插座，温控装置插座采用安全型插座。</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（12）线路：站房的线路以明敷穿管走线，要求走线美观，布线应加装线槽。分仪器、温控装置、照明等供电线路单独铺设，并在配电箱内断路开关上分别注明。</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（13）监测站房内配自动灭火系统：至少配备2个悬挂式自动灭火器。</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（14）站房内应至少配备工作台及座椅1套，文件柜1个。</w:t>
      </w:r>
      <w:r/>
    </w:p>
    <w:p>
      <w:pPr>
        <w:rPr>
          <w:rFonts w:ascii="宋体" w:hAnsi="宋体" w:eastAsia="宋体" w:cs="宋体"/>
          <w:sz w:val="24"/>
          <w:szCs w:val="24"/>
        </w:rPr>
      </w:pPr>
      <w:r>
        <w:rPr>
          <w:rFonts w:hint="eastAsia" w:ascii="宋体" w:hAnsi="宋体" w:eastAsia="宋体" w:cs="宋体"/>
          <w:sz w:val="24"/>
          <w:szCs w:val="24"/>
        </w:rPr>
        <w:t xml:space="preserve">3. 仪器选型要求</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1）监测仪器所用监测方法原理应符合《环境空气挥发性有机物气相色谱连续监测系统技术要求及检测方法》（HJ1010－2018）要求，所购监测仪器应通过生态环境部环境监测仪器质量监督检验中心适用性检测，检测证书在有效期内，具有生态环境部环境监测仪器质量监督检验中心出具的合格检测报告。</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2）系统应配备动态校准仪、零气发生器、氢气发生器、气态污染物和颗粒物采样系统、工控机（数采仪）、VPN、气象五参数等配套设备。设备应符合相关技术规范要求，并具有稳定性和准确性，其中动态校准仪需配备臭氧光度计。</w:t>
      </w:r>
      <w:r/>
    </w:p>
    <w:p>
      <w:pPr>
        <w:ind w:firstLine="24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（3）颗粒物监测仪应配备室外温湿度传感器，PM2.5与PM10监测仪应统一品牌，采样头品牌型号应与主机品牌型号一致。</w:t>
      </w:r>
      <w:r/>
    </w:p>
    <w:p>
      <w:pPr>
        <w:pStyle w:val="778"/>
        <w:rPr>
          <w:rFonts w:ascii="宋体" w:hAnsi="宋体" w:eastAsia="宋体" w:cs="宋体"/>
          <w:sz w:val="24"/>
          <w:szCs w:val="24"/>
        </w:rPr>
      </w:pPr>
      <w:r>
        <w:rPr>
          <w:rFonts w:hint="eastAsia" w:ascii="宋体" w:hAnsi="宋体" w:eastAsia="宋体" w:cs="宋体"/>
          <w:sz w:val="24"/>
          <w:szCs w:val="24"/>
        </w:rPr>
        <w:t xml:space="preserve">4.监测仪器安装、调试及验收要求。</w:t>
      </w:r>
      <w:r/>
    </w:p>
    <w:p>
      <w:pPr>
        <w:pStyle w:val="778"/>
        <w:ind w:firstLine="480"/>
        <w:rPr>
          <w:rFonts w:ascii="宋体" w:hAnsi="宋体" w:eastAsia="宋体" w:cs="宋体"/>
          <w:sz w:val="24"/>
          <w:szCs w:val="24"/>
        </w:rPr>
      </w:pPr>
      <w:r>
        <w:rPr>
          <w:rFonts w:hint="eastAsia" w:ascii="宋体" w:hAnsi="宋体" w:eastAsia="宋体" w:cs="宋体"/>
          <w:sz w:val="24"/>
          <w:szCs w:val="24"/>
        </w:rPr>
        <w:t xml:space="preserve">监测仪器的安装、调试与验收严格按照《环境空气颗粒物（PM10和PM2.5） 连续自动监测系统安装和验收技术规范》（HJ 655－2013）、《环境空气气态污染物（SO₂、NO₂、O₃、CO）连续自动监测系统安装验收技术规范》（HJ193－2013）及《环境空气挥发性有机物气相色谱连续监测系统</w:t>
      </w:r>
      <w:r>
        <w:rPr>
          <w:rFonts w:hint="eastAsia" w:ascii="宋体" w:hAnsi="宋体" w:eastAsia="宋体" w:cs="宋体"/>
          <w:sz w:val="24"/>
          <w:szCs w:val="24"/>
        </w:rPr>
        <w:t xml:space="preserve">技术要求及检测方法》 （HJ1010－2018）要求执行。其中，颗粒物（PM2.5与PM10）需按照《环境空气颗粒物（PM10和PM2.5）连续自动监测系统安装和验收技术规范》（HJ 655－2013）中相关技术要求开展参比方法比对调试，PM2.5仪器和PM10仪器的比对调试至少获得23组有效日均值数据（同时，参比方法所使用的采样器需通过国家适用性检测合格），参比方法比对调试结果需符合《环境空气颗粒物（PM2.5与PM10）连续自动监测系统安装和验收技术规范》（HJ655-2013）要求及国家其他相关要求。</w:t>
      </w:r>
      <w:r/>
    </w:p>
    <w:p>
      <w:pPr>
        <w:pStyle w:val="765"/>
        <w:rPr>
          <w:rFonts w:ascii="宋体" w:hAnsi="宋体" w:eastAsia="宋体" w:cs="宋体"/>
          <w:color w:val="auto"/>
          <w:sz w:val="24"/>
          <w:szCs w:val="24"/>
        </w:rPr>
      </w:pPr>
      <w:r>
        <w:rPr>
          <w:rFonts w:hint="eastAsia" w:ascii="宋体" w:hAnsi="宋体" w:eastAsia="宋体" w:cs="宋体"/>
          <w:color w:val="auto"/>
          <w:sz w:val="24"/>
          <w:szCs w:val="24"/>
        </w:rPr>
        <w:t xml:space="preserve">5.数据联网要求</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1）中标人负责空气站数据联网、实时传输和数据审核、运维管理、数据分析评价等服务，为大气污染防治提供有力数据支撑，同时负责空气站监测数据（包含VOCs、SO₂、NO₂、CO、O₃、PM10、PM2.5、气象五参数等）和重要参数按要求全部联网至省、市数据管理平台，监测数据实现“一点多发”。</w:t>
      </w:r>
      <w:r/>
    </w:p>
    <w:p>
      <w:pPr>
        <w:pStyle w:val="778"/>
        <w:ind w:firstLine="240"/>
        <w:rPr>
          <w:rFonts w:ascii="宋体" w:hAnsi="宋体" w:eastAsia="宋体" w:cs="宋体"/>
          <w:sz w:val="24"/>
          <w:szCs w:val="24"/>
        </w:rPr>
      </w:pPr>
      <w:r>
        <w:rPr>
          <w:rFonts w:hint="eastAsia" w:ascii="宋体" w:hAnsi="宋体" w:eastAsia="宋体" w:cs="宋体"/>
          <w:sz w:val="24"/>
          <w:szCs w:val="24"/>
        </w:rPr>
        <w:t xml:space="preserve">（2）联网实时数据入库率不低于90％，联网数据质量应严格按照《环境空 气质量标准》（GB3095－2026）、《环境空气评价技术规范》（HJ663－2026）等标准规范的要求执行。</w:t>
      </w:r>
      <w:r/>
    </w:p>
    <w:p>
      <w:pPr>
        <w:pStyle w:val="764"/>
        <w:rPr>
          <w:rFonts w:ascii="宋体" w:hAnsi="宋体" w:eastAsia="宋体" w:cs="宋体"/>
          <w:color w:val="auto"/>
          <w:sz w:val="24"/>
          <w:szCs w:val="24"/>
        </w:rPr>
      </w:pPr>
      <w:r/>
      <w:bookmarkStart w:id="111" w:name="OLE_LINK3"/>
      <w:r/>
      <w:bookmarkStart w:id="112" w:name="OLE_LINK4"/>
      <w:r>
        <w:rPr>
          <w:rFonts w:hint="eastAsia" w:ascii="宋体" w:hAnsi="宋体" w:eastAsia="宋体" w:cs="宋体"/>
          <w:color w:val="auto"/>
          <w:sz w:val="24"/>
          <w:szCs w:val="24"/>
        </w:rPr>
        <w:t xml:space="preserve">（三）主要仪器设备技术参数要求</w:t>
      </w:r>
      <w:r/>
    </w:p>
    <w:p>
      <w:pPr>
        <w:pStyle w:val="778"/>
        <w:ind w:firstLine="480"/>
        <w:rPr>
          <w:rFonts w:ascii="宋体" w:hAnsi="宋体" w:eastAsia="宋体" w:cs="宋体"/>
          <w:sz w:val="24"/>
          <w:szCs w:val="24"/>
        </w:rPr>
      </w:pPr>
      <w:r>
        <w:rPr>
          <w:rFonts w:hint="eastAsia" w:ascii="宋体" w:hAnsi="宋体" w:eastAsia="宋体" w:cs="宋体"/>
          <w:sz w:val="24"/>
          <w:szCs w:val="24"/>
        </w:rPr>
        <w:t xml:space="preserve">本项“★”为重要技术参数，须提供有效期内生态环境部环境监测仪器质量监督检验中心的检测报告作为佐证，若无佐证材料视为负偏离。</w:t>
      </w:r>
      <w:r/>
    </w:p>
    <w:p>
      <w:pPr>
        <w:pStyle w:val="778"/>
        <w:ind w:firstLine="480"/>
        <w:rPr>
          <w:rFonts w:ascii="宋体" w:hAnsi="宋体" w:eastAsia="宋体" w:cs="宋体"/>
          <w:sz w:val="24"/>
          <w:szCs w:val="24"/>
        </w:rPr>
      </w:pPr>
      <w:r>
        <w:rPr>
          <w:rFonts w:hint="eastAsia" w:ascii="宋体" w:hAnsi="宋体" w:eastAsia="宋体" w:cs="宋体"/>
          <w:sz w:val="24"/>
          <w:szCs w:val="24"/>
        </w:rPr>
        <w:t xml:space="preserve">本项非“</w:t>
      </w:r>
      <w:bookmarkStart w:id="113" w:name="OLE_LINK7"/>
      <w:r>
        <w:rPr>
          <w:rFonts w:hint="eastAsia" w:ascii="宋体" w:hAnsi="宋体" w:eastAsia="宋体" w:cs="宋体"/>
          <w:sz w:val="24"/>
          <w:szCs w:val="24"/>
        </w:rPr>
        <w:t xml:space="preserve">★</w:t>
      </w:r>
      <w:bookmarkEnd w:id="113"/>
      <w:r>
        <w:rPr>
          <w:rFonts w:hint="eastAsia" w:ascii="宋体" w:hAnsi="宋体" w:eastAsia="宋体" w:cs="宋体"/>
          <w:sz w:val="24"/>
          <w:szCs w:val="24"/>
        </w:rPr>
        <w:t xml:space="preserve">”为一般技术参数，须提供有效期内的检测报告或检定证书或产品彩页或产品说明书或网页截图等佐证材料，若无佐证材料视为负偏离。</w:t>
      </w:r>
      <w:bookmarkEnd w:id="111"/>
      <w:r/>
      <w:bookmarkEnd w:id="112"/>
      <w:r/>
      <w:r/>
    </w:p>
    <w:p>
      <w:pPr>
        <w:ind w:firstLine="482"/>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1.PAMS57在线监测分析仪</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（1）监测项目</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供应商提供的仪器设备的监测项目不应少于以下几类：</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57种挥发性有机化合物</w:t>
      </w:r>
      <w:r/>
    </w:p>
    <w:tbl>
      <w:tblPr>
        <w:tblStyle w:val="984"/>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0"/>
        <w:gridCol w:w="2394"/>
        <w:gridCol w:w="3323"/>
        <w:gridCol w:w="2149"/>
      </w:tblGrid>
      <w:tr>
        <w:trPr>
          <w:trHeight w:val="113"/>
        </w:trPr>
        <w:tc>
          <w:tcPr>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序号</w:t>
            </w:r>
            <w:r/>
          </w:p>
        </w:tc>
        <w:tc>
          <w:tcPr>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CASNo。</w:t>
            </w:r>
            <w:r/>
          </w:p>
        </w:tc>
        <w:tc>
          <w:tcPr>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英文名</w:t>
            </w:r>
            <w:r/>
          </w:p>
        </w:tc>
        <w:tc>
          <w:tcPr>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中文名</w:t>
            </w:r>
            <w:r/>
          </w:p>
        </w:tc>
      </w:tr>
      <w:tr>
        <w:trPr>
          <w:trHeight w:val="113"/>
        </w:trPr>
        <w:tc>
          <w:tcPr>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w:t>
            </w:r>
            <w:r/>
          </w:p>
        </w:tc>
        <w:tc>
          <w:tcPr>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74－84－0</w:t>
            </w:r>
            <w:r/>
          </w:p>
        </w:tc>
        <w:tc>
          <w:tcPr>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Ethane</w:t>
            </w:r>
            <w:r/>
          </w:p>
        </w:tc>
        <w:tc>
          <w:tcPr>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乙烷</w:t>
            </w:r>
            <w:r/>
          </w:p>
        </w:tc>
      </w:tr>
      <w:tr>
        <w:trPr>
          <w:trHeight w:val="113"/>
        </w:trPr>
        <w:tc>
          <w:tcPr>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w:t>
            </w:r>
            <w:r/>
          </w:p>
        </w:tc>
        <w:tc>
          <w:tcPr>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74－85－1</w:t>
            </w:r>
            <w:r/>
          </w:p>
        </w:tc>
        <w:tc>
          <w:tcPr>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Ethylene</w:t>
            </w:r>
            <w:r/>
          </w:p>
        </w:tc>
        <w:tc>
          <w:tcPr>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乙烯</w:t>
            </w:r>
            <w:r/>
          </w:p>
        </w:tc>
      </w:tr>
      <w:tr>
        <w:trPr>
          <w:trHeight w:val="113"/>
        </w:trPr>
        <w:tc>
          <w:tcPr>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w:t>
            </w:r>
            <w:r/>
          </w:p>
        </w:tc>
        <w:tc>
          <w:tcPr>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74－98－6</w:t>
            </w:r>
            <w:r/>
          </w:p>
        </w:tc>
        <w:tc>
          <w:tcPr>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Propane</w:t>
            </w:r>
            <w:r/>
          </w:p>
        </w:tc>
        <w:tc>
          <w:tcPr>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丙烷</w:t>
            </w:r>
            <w:r/>
          </w:p>
        </w:tc>
      </w:tr>
      <w:tr>
        <w:trPr>
          <w:trHeight w:val="113"/>
        </w:trPr>
        <w:tc>
          <w:tcPr>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4</w:t>
            </w:r>
            <w:r/>
          </w:p>
        </w:tc>
        <w:tc>
          <w:tcPr>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115－07－1</w:t>
            </w:r>
            <w:r/>
          </w:p>
        </w:tc>
        <w:tc>
          <w:tcPr>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Propylene</w:t>
            </w:r>
            <w:r/>
          </w:p>
        </w:tc>
        <w:tc>
          <w:tcPr>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丙烯</w:t>
            </w:r>
            <w:r/>
          </w:p>
        </w:tc>
      </w:tr>
      <w:tr>
        <w:trPr>
          <w:trHeight w:val="113"/>
        </w:trPr>
        <w:tc>
          <w:tcPr>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w:t>
            </w:r>
            <w:r/>
          </w:p>
        </w:tc>
        <w:tc>
          <w:tcPr>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75－28－5</w:t>
            </w:r>
            <w:r/>
          </w:p>
        </w:tc>
        <w:tc>
          <w:tcPr>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iso</w:t>
            </w:r>
            <w:r>
              <w:rPr>
                <w:rFonts w:hint="eastAsia" w:ascii="仿宋" w:hAnsi="仿宋" w:eastAsia="仿宋" w:cs="仿宋"/>
                <w:color w:val="000000" w:themeColor="text1"/>
                <w:sz w:val="24"/>
                <w:szCs w:val="24"/>
                <w:lang w:eastAsia="en-US"/>
                <w14:textFill>
                  <w14:solidFill>
                    <w14:schemeClr w14:val="tx1"/>
                  </w14:solidFill>
                </w14:textFill>
              </w:rPr>
              <w:t xml:space="preserve">－Butane</w:t>
            </w:r>
            <w:r/>
          </w:p>
        </w:tc>
        <w:tc>
          <w:tcPr>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异丁烷</w:t>
            </w:r>
            <w:r/>
          </w:p>
        </w:tc>
      </w:tr>
      <w:tr>
        <w:trPr>
          <w:trHeight w:val="113"/>
        </w:trPr>
        <w:tc>
          <w:tcPr>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6</w:t>
            </w:r>
            <w:r/>
          </w:p>
        </w:tc>
        <w:tc>
          <w:tcPr>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106－97－8</w:t>
            </w:r>
            <w:r/>
          </w:p>
        </w:tc>
        <w:tc>
          <w:tcPr>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n</w:t>
            </w:r>
            <w:r>
              <w:rPr>
                <w:rFonts w:hint="eastAsia" w:ascii="仿宋" w:hAnsi="仿宋" w:eastAsia="仿宋" w:cs="仿宋"/>
                <w:color w:val="000000" w:themeColor="text1"/>
                <w:sz w:val="24"/>
                <w:szCs w:val="24"/>
                <w:lang w:eastAsia="en-US"/>
                <w14:textFill>
                  <w14:solidFill>
                    <w14:schemeClr w14:val="tx1"/>
                  </w14:solidFill>
                </w14:textFill>
              </w:rPr>
              <w:t xml:space="preserve">－Butane</w:t>
            </w:r>
            <w:r/>
          </w:p>
        </w:tc>
        <w:tc>
          <w:tcPr>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正丁烷</w:t>
            </w:r>
            <w:r/>
          </w:p>
        </w:tc>
      </w:tr>
      <w:tr>
        <w:trPr>
          <w:trHeight w:val="113"/>
        </w:trPr>
        <w:tc>
          <w:tcPr>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7</w:t>
            </w:r>
            <w:r/>
          </w:p>
        </w:tc>
        <w:tc>
          <w:tcPr>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74－86－2</w:t>
            </w:r>
            <w:r/>
          </w:p>
        </w:tc>
        <w:tc>
          <w:tcPr>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Acetylene</w:t>
            </w:r>
            <w:r/>
          </w:p>
        </w:tc>
        <w:tc>
          <w:tcPr>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乙炔</w:t>
            </w:r>
            <w:r/>
          </w:p>
        </w:tc>
      </w:tr>
      <w:tr>
        <w:trPr>
          <w:trHeight w:val="113"/>
        </w:trPr>
        <w:tc>
          <w:tcPr>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8</w:t>
            </w:r>
            <w:r/>
          </w:p>
        </w:tc>
        <w:tc>
          <w:tcPr>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624－64－6</w:t>
            </w:r>
            <w:r/>
          </w:p>
        </w:tc>
        <w:tc>
          <w:tcPr>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trans</w:t>
            </w:r>
            <w:r>
              <w:rPr>
                <w:rFonts w:hint="eastAsia" w:ascii="仿宋" w:hAnsi="仿宋" w:eastAsia="仿宋" w:cs="仿宋"/>
                <w:color w:val="000000" w:themeColor="text1"/>
                <w:sz w:val="24"/>
                <w:szCs w:val="24"/>
                <w:lang w:eastAsia="en-US"/>
                <w14:textFill>
                  <w14:solidFill>
                    <w14:schemeClr w14:val="tx1"/>
                  </w14:solidFill>
                </w14:textFill>
              </w:rPr>
              <w:t xml:space="preserve">－2－Butene</w:t>
            </w:r>
            <w:r/>
          </w:p>
        </w:tc>
        <w:tc>
          <w:tcPr>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反－2－丁烯</w:t>
            </w:r>
            <w:r/>
          </w:p>
        </w:tc>
      </w:tr>
      <w:tr>
        <w:trPr>
          <w:trHeight w:val="113"/>
        </w:trPr>
        <w:tc>
          <w:tcPr>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9</w:t>
            </w:r>
            <w:r/>
          </w:p>
        </w:tc>
        <w:tc>
          <w:tcPr>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106－98－9</w:t>
            </w:r>
            <w:r/>
          </w:p>
        </w:tc>
        <w:tc>
          <w:tcPr>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1－Butene</w:t>
            </w:r>
            <w:r/>
          </w:p>
        </w:tc>
        <w:tc>
          <w:tcPr>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1－丁烯</w:t>
            </w:r>
            <w:r/>
          </w:p>
        </w:tc>
      </w:tr>
      <w:tr>
        <w:trPr>
          <w:trHeight w:val="113"/>
        </w:trPr>
        <w:tc>
          <w:tcPr>
            <w:tcBorders>
              <w:bottom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w:t>
            </w:r>
            <w:r/>
          </w:p>
        </w:tc>
        <w:tc>
          <w:tcPr>
            <w:tcBorders>
              <w:bottom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590－18－1</w:t>
            </w:r>
            <w:r/>
          </w:p>
        </w:tc>
        <w:tc>
          <w:tcPr>
            <w:tcBorders>
              <w:bottom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cis</w:t>
            </w:r>
            <w:r>
              <w:rPr>
                <w:rFonts w:hint="eastAsia" w:ascii="仿宋" w:hAnsi="仿宋" w:eastAsia="仿宋" w:cs="仿宋"/>
                <w:color w:val="000000" w:themeColor="text1"/>
                <w:sz w:val="24"/>
                <w:szCs w:val="24"/>
                <w:lang w:eastAsia="en-US"/>
                <w14:textFill>
                  <w14:solidFill>
                    <w14:schemeClr w14:val="tx1"/>
                  </w14:solidFill>
                </w14:textFill>
              </w:rPr>
              <w:t xml:space="preserve">－2－Butene</w:t>
            </w:r>
            <w:r/>
          </w:p>
        </w:tc>
        <w:tc>
          <w:tcPr>
            <w:tcBorders>
              <w:bottom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顺－2－丁烯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287－92－3</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Cyclopentane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环戊烷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78－78－4</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iso</w:t>
            </w:r>
            <w:r>
              <w:rPr>
                <w:rFonts w:hint="eastAsia" w:ascii="仿宋" w:hAnsi="仿宋" w:eastAsia="仿宋" w:cs="仿宋"/>
                <w:color w:val="000000" w:themeColor="text1"/>
                <w:sz w:val="24"/>
                <w:szCs w:val="24"/>
                <w:lang w:eastAsia="en-US"/>
                <w14:textFill>
                  <w14:solidFill>
                    <w14:schemeClr w14:val="tx1"/>
                  </w14:solidFill>
                </w14:textFill>
              </w:rPr>
              <w:t xml:space="preserve">－Pentane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异戊烷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109－66－0</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n</w:t>
            </w:r>
            <w:r>
              <w:rPr>
                <w:rFonts w:hint="eastAsia" w:ascii="仿宋" w:hAnsi="仿宋" w:eastAsia="仿宋" w:cs="仿宋"/>
                <w:color w:val="000000" w:themeColor="text1"/>
                <w:sz w:val="24"/>
                <w:szCs w:val="24"/>
                <w:lang w:eastAsia="en-US"/>
                <w14:textFill>
                  <w14:solidFill>
                    <w14:schemeClr w14:val="tx1"/>
                  </w14:solidFill>
                </w14:textFill>
              </w:rPr>
              <w:t xml:space="preserve">－Pentane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正戊烷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646－04－8</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trans</w:t>
            </w:r>
            <w:r>
              <w:rPr>
                <w:rFonts w:hint="eastAsia" w:ascii="仿宋" w:hAnsi="仿宋" w:eastAsia="仿宋" w:cs="仿宋"/>
                <w:color w:val="000000" w:themeColor="text1"/>
                <w:sz w:val="24"/>
                <w:szCs w:val="24"/>
                <w:lang w:eastAsia="en-US"/>
                <w14:textFill>
                  <w14:solidFill>
                    <w14:schemeClr w14:val="tx1"/>
                  </w14:solidFill>
                </w14:textFill>
              </w:rPr>
              <w:t xml:space="preserve">－2－Pentene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反－2－戊烯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109－67－1</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1－Pentene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1－戊烯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627－20－3</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cis</w:t>
            </w:r>
            <w:r>
              <w:rPr>
                <w:rFonts w:hint="eastAsia" w:ascii="仿宋" w:hAnsi="仿宋" w:eastAsia="仿宋" w:cs="仿宋"/>
                <w:color w:val="000000" w:themeColor="text1"/>
                <w:sz w:val="24"/>
                <w:szCs w:val="24"/>
                <w:lang w:eastAsia="en-US"/>
                <w14:textFill>
                  <w14:solidFill>
                    <w14:schemeClr w14:val="tx1"/>
                  </w14:solidFill>
                </w14:textFill>
              </w:rPr>
              <w:t xml:space="preserve">－2－Pentene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顺－2－戊烯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75－83－2</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2，2－Dimethylbutane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2，2－二甲基丁烷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79－29－8</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2，3－Dimethylbutane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2，3－二甲基丁烷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19</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107－83－5</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2－Methylpentane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2－甲基戊烷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96－14－0</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3－Methylpentane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3－甲基戊烷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78－79－5</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Isoprene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异戊二烯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22</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110－54－3</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n</w:t>
            </w:r>
            <w:r>
              <w:rPr>
                <w:rFonts w:hint="eastAsia" w:ascii="仿宋" w:hAnsi="仿宋" w:eastAsia="仿宋" w:cs="仿宋"/>
                <w:color w:val="000000" w:themeColor="text1"/>
                <w:sz w:val="24"/>
                <w:szCs w:val="24"/>
                <w:lang w:eastAsia="en-US"/>
                <w14:textFill>
                  <w14:solidFill>
                    <w14:schemeClr w14:val="tx1"/>
                  </w14:solidFill>
                </w14:textFill>
              </w:rPr>
              <w:t xml:space="preserve">－Hexane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正己烷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23</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592－41－6</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1－Hexene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1－己烯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24</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96－37－7</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Methylcyclopentane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甲基环戊烷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25</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108－08－7</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2，4－Dimethylpentane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2，4－二甲基戊烷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26</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71－43－2</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Benzene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27</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110－82－7</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Cyclohexane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环己烷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28</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591－76－4</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2－Methylhexane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2－甲基己烷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29</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565－59－3</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2，3－Dimethylpentane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2，3－二甲基戊烷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589－34－4</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3－Methylhexane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3－甲基己烷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31</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540－84－1</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2，2，4－Trimethylpentane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2，2，4－三甲基戊烷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32</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142－82－5</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n</w:t>
            </w:r>
            <w:r>
              <w:rPr>
                <w:rFonts w:hint="eastAsia" w:ascii="仿宋" w:hAnsi="仿宋" w:eastAsia="仿宋" w:cs="仿宋"/>
                <w:color w:val="000000" w:themeColor="text1"/>
                <w:sz w:val="24"/>
                <w:szCs w:val="24"/>
                <w:lang w:eastAsia="en-US"/>
                <w14:textFill>
                  <w14:solidFill>
                    <w14:schemeClr w14:val="tx1"/>
                  </w14:solidFill>
                </w14:textFill>
              </w:rPr>
              <w:t xml:space="preserve">－Heptane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正庚烷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33</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108－87－2</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Methylcyclohexane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甲基环己烷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34</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565－75－3</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2，3，4－Trimethylpentane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2，3，4－三甲基戊烷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35</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108－88－3</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Toluene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甲苯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36</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592－27－8</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2－Methylheptane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2－甲基庚烷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37</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589－81－1</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3－Methylheptane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3－甲基庚烷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38</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111－65－9</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n</w:t>
            </w:r>
            <w:r>
              <w:rPr>
                <w:rFonts w:hint="eastAsia" w:ascii="仿宋" w:hAnsi="仿宋" w:eastAsia="仿宋" w:cs="仿宋"/>
                <w:color w:val="000000" w:themeColor="text1"/>
                <w:sz w:val="24"/>
                <w:szCs w:val="24"/>
                <w:lang w:eastAsia="en-US"/>
                <w14:textFill>
                  <w14:solidFill>
                    <w14:schemeClr w14:val="tx1"/>
                  </w14:solidFill>
                </w14:textFill>
              </w:rPr>
              <w:t xml:space="preserve">－Octane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正辛烷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39</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100－41－4</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Ethylbenzene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乙苯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40／41</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108－38－3／106－42－3</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val="en-US" w:eastAsia="en-US"/>
                <w14:textFill>
                  <w14:solidFill>
                    <w14:schemeClr w14:val="tx1"/>
                  </w14:solidFill>
                </w14:textFill>
              </w:rPr>
            </w:pPr>
            <w:r>
              <w:rPr>
                <w:rFonts w:hint="eastAsia" w:ascii="仿宋" w:hAnsi="仿宋" w:eastAsia="仿宋" w:cs="仿宋"/>
                <w:i/>
                <w:color w:val="000000" w:themeColor="text1"/>
                <w:sz w:val="24"/>
                <w:szCs w:val="24"/>
                <w:lang w:val="en-US" w:eastAsia="en-US"/>
                <w14:textFill>
                  <w14:solidFill>
                    <w14:schemeClr w14:val="tx1"/>
                  </w14:solidFill>
                </w14:textFill>
              </w:rPr>
              <w:t xml:space="preserve">m，p</w:t>
            </w:r>
            <w:r>
              <w:rPr>
                <w:rFonts w:hint="eastAsia" w:ascii="仿宋" w:hAnsi="仿宋" w:eastAsia="仿宋" w:cs="仿宋"/>
                <w:color w:val="000000" w:themeColor="text1"/>
                <w:sz w:val="24"/>
                <w:szCs w:val="24"/>
                <w:lang w:val="en-US" w:eastAsia="en-US"/>
                <w14:textFill>
                  <w14:solidFill>
                    <w14:schemeClr w14:val="tx1"/>
                  </w14:solidFill>
                </w14:textFill>
              </w:rPr>
              <w:t xml:space="preserve">－Xylene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间、对－二甲苯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42</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100－42－5</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Styrene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苯乙烯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43</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95－47－6</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o</w:t>
            </w:r>
            <w:r>
              <w:rPr>
                <w:rFonts w:hint="eastAsia" w:ascii="仿宋" w:hAnsi="仿宋" w:eastAsia="仿宋" w:cs="仿宋"/>
                <w:color w:val="000000" w:themeColor="text1"/>
                <w:sz w:val="24"/>
                <w:szCs w:val="24"/>
                <w:lang w:eastAsia="en-US"/>
                <w14:textFill>
                  <w14:solidFill>
                    <w14:schemeClr w14:val="tx1"/>
                  </w14:solidFill>
                </w14:textFill>
              </w:rPr>
              <w:t xml:space="preserve">－Xylene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邻－二甲苯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44</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111－84－2</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n</w:t>
            </w:r>
            <w:r>
              <w:rPr>
                <w:rFonts w:hint="eastAsia" w:ascii="仿宋" w:hAnsi="仿宋" w:eastAsia="仿宋" w:cs="仿宋"/>
                <w:color w:val="000000" w:themeColor="text1"/>
                <w:sz w:val="24"/>
                <w:szCs w:val="24"/>
                <w:lang w:eastAsia="en-US"/>
                <w14:textFill>
                  <w14:solidFill>
                    <w14:schemeClr w14:val="tx1"/>
                  </w14:solidFill>
                </w14:textFill>
              </w:rPr>
              <w:t xml:space="preserve">－Nonane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正壬烷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45</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98－82－8</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iso</w:t>
            </w:r>
            <w:r>
              <w:rPr>
                <w:rFonts w:hint="eastAsia" w:ascii="仿宋" w:hAnsi="仿宋" w:eastAsia="仿宋" w:cs="仿宋"/>
                <w:color w:val="000000" w:themeColor="text1"/>
                <w:sz w:val="24"/>
                <w:szCs w:val="24"/>
                <w:lang w:eastAsia="en-US"/>
                <w14:textFill>
                  <w14:solidFill>
                    <w14:schemeClr w14:val="tx1"/>
                  </w14:solidFill>
                </w14:textFill>
              </w:rPr>
              <w:t xml:space="preserve">－Propylbenzene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异丙苯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46</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103－65－1</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n</w:t>
            </w:r>
            <w:r>
              <w:rPr>
                <w:rFonts w:hint="eastAsia" w:ascii="仿宋" w:hAnsi="仿宋" w:eastAsia="仿宋" w:cs="仿宋"/>
                <w:color w:val="000000" w:themeColor="text1"/>
                <w:sz w:val="24"/>
                <w:szCs w:val="24"/>
                <w:lang w:eastAsia="en-US"/>
                <w14:textFill>
                  <w14:solidFill>
                    <w14:schemeClr w14:val="tx1"/>
                  </w14:solidFill>
                </w14:textFill>
              </w:rPr>
              <w:t xml:space="preserve">－Propylbenzene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正丙苯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47</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620－14－4</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m</w:t>
            </w:r>
            <w:r>
              <w:rPr>
                <w:rFonts w:hint="eastAsia" w:ascii="仿宋" w:hAnsi="仿宋" w:eastAsia="仿宋" w:cs="仿宋"/>
                <w:color w:val="000000" w:themeColor="text1"/>
                <w:sz w:val="24"/>
                <w:szCs w:val="24"/>
                <w:lang w:eastAsia="en-US"/>
                <w14:textFill>
                  <w14:solidFill>
                    <w14:schemeClr w14:val="tx1"/>
                  </w14:solidFill>
                </w14:textFill>
              </w:rPr>
              <w:t xml:space="preserve">－Ethyltoluene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间乙基甲苯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48</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622－96－8</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p</w:t>
            </w:r>
            <w:r>
              <w:rPr>
                <w:rFonts w:hint="eastAsia" w:ascii="仿宋" w:hAnsi="仿宋" w:eastAsia="仿宋" w:cs="仿宋"/>
                <w:color w:val="000000" w:themeColor="text1"/>
                <w:sz w:val="24"/>
                <w:szCs w:val="24"/>
                <w:lang w:eastAsia="en-US"/>
                <w14:textFill>
                  <w14:solidFill>
                    <w14:schemeClr w14:val="tx1"/>
                  </w14:solidFill>
                </w14:textFill>
              </w:rPr>
              <w:t xml:space="preserve">－Ethyltoluene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对乙基甲苯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49</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108－67－8</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1，3，5－Tri－m－benzene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1，3，5－三甲基苯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50</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95－63－6</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1，2，4－Tri－m－benzene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1，2</w:t>
            </w:r>
            <w:r>
              <w:rPr>
                <w:rFonts w:hint="eastAsia" w:ascii="仿宋" w:hAnsi="仿宋" w:eastAsia="仿宋" w:cs="仿宋"/>
                <w:color w:val="000000" w:themeColor="text1"/>
                <w:spacing w:val="-2"/>
                <w:sz w:val="24"/>
                <w:szCs w:val="24"/>
                <w:lang w:eastAsia="en-US"/>
                <w14:textFill>
                  <w14:solidFill>
                    <w14:schemeClr w14:val="tx1"/>
                  </w14:solidFill>
                </w14:textFill>
              </w:rPr>
              <w:t xml:space="preserve">，</w:t>
            </w:r>
            <w:r>
              <w:rPr>
                <w:rFonts w:hint="eastAsia" w:ascii="仿宋" w:hAnsi="仿宋" w:eastAsia="仿宋" w:cs="仿宋"/>
                <w:color w:val="000000" w:themeColor="text1"/>
                <w:sz w:val="24"/>
                <w:szCs w:val="24"/>
                <w:lang w:eastAsia="en-US"/>
                <w14:textFill>
                  <w14:solidFill>
                    <w14:schemeClr w14:val="tx1"/>
                  </w14:solidFill>
                </w14:textFill>
              </w:rPr>
              <w:t xml:space="preserve">4－三甲基苯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51</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526－73－8</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1，2，3－Tri－m－benzene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1，2，3－三甲基苯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52</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611－14－3</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o－Ethyltoluene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邻乙基甲苯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53</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124－18－5</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n</w:t>
            </w:r>
            <w:r>
              <w:rPr>
                <w:rFonts w:hint="eastAsia" w:ascii="仿宋" w:hAnsi="仿宋" w:eastAsia="仿宋" w:cs="仿宋"/>
                <w:color w:val="000000" w:themeColor="text1"/>
                <w:sz w:val="24"/>
                <w:szCs w:val="24"/>
                <w:lang w:eastAsia="en-US"/>
                <w14:textFill>
                  <w14:solidFill>
                    <w14:schemeClr w14:val="tx1"/>
                  </w14:solidFill>
                </w14:textFill>
              </w:rPr>
              <w:t xml:space="preserve">－Decane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正癸烷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54</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141－93－5</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m</w:t>
            </w:r>
            <w:r>
              <w:rPr>
                <w:rFonts w:hint="eastAsia" w:ascii="仿宋" w:hAnsi="仿宋" w:eastAsia="仿宋" w:cs="仿宋"/>
                <w:color w:val="000000" w:themeColor="text1"/>
                <w:sz w:val="24"/>
                <w:szCs w:val="24"/>
                <w:lang w:eastAsia="en-US"/>
                <w14:textFill>
                  <w14:solidFill>
                    <w14:schemeClr w14:val="tx1"/>
                  </w14:solidFill>
                </w14:textFill>
              </w:rPr>
              <w:t xml:space="preserve">－Diethylbenzene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间二乙基苯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55</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105－05－5</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i/>
                <w:color w:val="000000" w:themeColor="text1"/>
                <w:sz w:val="24"/>
                <w:szCs w:val="24"/>
                <w:lang w:eastAsia="en-US"/>
                <w14:textFill>
                  <w14:solidFill>
                    <w14:schemeClr w14:val="tx1"/>
                  </w14:solidFill>
                </w14:textFill>
              </w:rPr>
              <w:t xml:space="preserve">p</w:t>
            </w:r>
            <w:r>
              <w:rPr>
                <w:rFonts w:hint="eastAsia" w:ascii="仿宋" w:hAnsi="仿宋" w:eastAsia="仿宋" w:cs="仿宋"/>
                <w:color w:val="000000" w:themeColor="text1"/>
                <w:sz w:val="24"/>
                <w:szCs w:val="24"/>
                <w:lang w:eastAsia="en-US"/>
                <w14:textFill>
                  <w14:solidFill>
                    <w14:schemeClr w14:val="tx1"/>
                  </w14:solidFill>
                </w14:textFill>
              </w:rPr>
              <w:t xml:space="preserve">－Diethylbenzene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对二乙基苯</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56</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1120－21－4</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Undecane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正十一烷</w:t>
            </w:r>
            <w:r/>
          </w:p>
        </w:tc>
      </w:tr>
      <w:tr>
        <w:trPr>
          <w:trHeight w:val="113"/>
        </w:trPr>
        <w:tc>
          <w:tcPr>
            <w:tcBorders>
              <w:top w:val="single" w:color="auto" w:sz="4" w:space="0"/>
              <w:left w:val="single" w:color="auto" w:sz="4" w:space="0"/>
              <w:bottom w:val="single" w:color="auto" w:sz="4" w:space="0"/>
              <w:right w:val="single" w:color="auto" w:sz="4" w:space="0"/>
            </w:tcBorders>
            <w:tcW w:w="529"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57</w:t>
            </w:r>
            <w:r/>
          </w:p>
        </w:tc>
        <w:tc>
          <w:tcPr>
            <w:tcBorders>
              <w:top w:val="single" w:color="auto" w:sz="4" w:space="0"/>
              <w:left w:val="single" w:color="auto" w:sz="4" w:space="0"/>
              <w:bottom w:val="single" w:color="auto" w:sz="4" w:space="0"/>
              <w:right w:val="single" w:color="auto" w:sz="4" w:space="0"/>
            </w:tcBorders>
            <w:tcW w:w="1360"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112－40－3</w:t>
            </w:r>
            <w:r/>
          </w:p>
        </w:tc>
        <w:tc>
          <w:tcPr>
            <w:tcBorders>
              <w:top w:val="single" w:color="auto" w:sz="4" w:space="0"/>
              <w:left w:val="single" w:color="auto" w:sz="4" w:space="0"/>
              <w:bottom w:val="single" w:color="auto" w:sz="4" w:space="0"/>
              <w:right w:val="single" w:color="auto" w:sz="4" w:space="0"/>
            </w:tcBorders>
            <w:tcW w:w="1888"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Dodecane</w:t>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pStyle w:val="977"/>
              <w:jc w:val="center"/>
              <w:rPr>
                <w:rFonts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正十二烷</w:t>
            </w:r>
            <w:r/>
          </w:p>
        </w:tc>
      </w:tr>
    </w:tbl>
    <w:p>
      <w:pPr>
        <w:pStyle w:val="778"/>
        <w:rPr>
          <w:rFonts w:ascii="宋体" w:hAnsi="宋体" w:eastAsia="宋体" w:cs="宋体"/>
          <w:sz w:val="24"/>
          <w:szCs w:val="24"/>
        </w:rPr>
      </w:pPr>
      <w:r>
        <w:rPr>
          <w:rFonts w:hint="eastAsia" w:ascii="宋体" w:hAnsi="宋体" w:eastAsia="宋体" w:cs="宋体"/>
          <w:sz w:val="24"/>
          <w:szCs w:val="24"/>
        </w:rPr>
        <w:t xml:space="preserve">（2）技术要求：</w:t>
      </w:r>
      <w:r/>
    </w:p>
    <w:p>
      <w:pPr>
        <w:pStyle w:val="778"/>
        <w:ind w:firstLine="360"/>
        <w:rPr>
          <w:rFonts w:ascii="宋体" w:hAnsi="宋体" w:eastAsia="宋体" w:cs="宋体"/>
          <w:sz w:val="24"/>
          <w:szCs w:val="24"/>
        </w:rPr>
      </w:pPr>
      <w:r>
        <w:rPr>
          <w:rFonts w:hint="eastAsia" w:ascii="宋体" w:hAnsi="宋体" w:eastAsia="宋体" w:cs="宋体"/>
          <w:sz w:val="24"/>
          <w:szCs w:val="24"/>
        </w:rPr>
        <w:t xml:space="preserve">1、基本要求</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环境空气或标准气体以规定流速和体积进入预浓缩系统，经低温冷阱对挥发性有机物进行脱水，并由组合固体吸附剂低温富集、纯化后热解析，经特殊色谱柱冷阱聚焦，最终进入气相色谱进行分离，由氢火焰离子化检测器（FID），得到挥发性有机物各组分的定性定量结果。</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产品必须符合HJ1010-2018环境空气挥发性有机物气相色谱连续监测系统技术要求及检测方法标准，包括测定组分应至少包括 57 种挥发性有机物。</w:t>
      </w:r>
      <w:r/>
    </w:p>
    <w:p>
      <w:pPr>
        <w:pStyle w:val="778"/>
        <w:ind w:firstLine="360"/>
        <w:rPr>
          <w:rFonts w:ascii="宋体" w:hAnsi="宋体" w:eastAsia="宋体" w:cs="宋体"/>
          <w:sz w:val="24"/>
          <w:szCs w:val="24"/>
        </w:rPr>
      </w:pPr>
      <w:r>
        <w:rPr>
          <w:rFonts w:hint="eastAsia" w:ascii="宋体" w:hAnsi="宋体" w:eastAsia="宋体" w:cs="宋体"/>
          <w:sz w:val="24"/>
          <w:szCs w:val="24"/>
        </w:rPr>
        <w:t xml:space="preserve">2、整机性能要求</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（1）标准曲线相关系数：≥0.99</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（2）标准曲线相对误差：≤12%</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（3）零点噪声：≤0.03 ppb</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（4）方法检出限：90%组分（至少包括乙烷和乙烯）的方法检出限≤0.1 ppb</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（5）准确度：±6%</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（6）精密度：≤8%</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（7）★24小时浓度漂移：±0.5 ppb</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（8）长时间保留时间漂移：≤0.5min</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（9）仪器平行性：≤18%</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（10）有效数据率：≥95%；</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（11）系统残留浓度：100%组分≤0.1 ppb。</w:t>
      </w:r>
      <w:r>
        <w:rPr>
          <w:rFonts w:hint="eastAsia" w:ascii="宋体" w:hAnsi="宋体" w:eastAsia="宋体" w:cs="宋体"/>
          <w:sz w:val="24"/>
          <w:szCs w:val="24"/>
        </w:rPr>
        <w:tab/>
      </w:r>
      <w:r/>
    </w:p>
    <w:p>
      <w:pPr>
        <w:pStyle w:val="778"/>
        <w:ind w:firstLine="360"/>
        <w:rPr>
          <w:rFonts w:ascii="宋体" w:hAnsi="宋体" w:eastAsia="宋体" w:cs="宋体"/>
          <w:sz w:val="24"/>
          <w:szCs w:val="24"/>
        </w:rPr>
      </w:pPr>
      <w:r>
        <w:rPr>
          <w:rFonts w:hint="eastAsia" w:ascii="宋体" w:hAnsi="宋体" w:eastAsia="宋体" w:cs="宋体"/>
          <w:sz w:val="24"/>
          <w:szCs w:val="24"/>
        </w:rPr>
        <w:t xml:space="preserve">3、在线浓缩系统</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（1）整机采用硅烷化的不锈钢管路，缩短管路，防止有机物残留，可分析硫化物及醛酮类化合物。</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（2）在线浓缩系统采用单一流路浓缩，避免交换捕集柱柱效变化引起的差异和多流路系统引起的目标物重复结果差异；</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（3）有机物在线浓缩系统具备脱水模块、捕集模块和聚焦模块。</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（4）采用电子制冷（最低至-30℃)空管脱水，脱除水分干扰；干吹脱水管，减少样品目标物损失。</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5）采用电子制冷（最低至-45℃)色谱柱冷阱技术二次聚焦，对目标物进行再次浓缩净化；快速热解析（100℃/s）升温脱附，形成极小体积瞬间进入GC，形成完美峰型，保证C2-C12的挥发性有机物峰型正态分布，半峰宽≤0.2min。</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（6）流量体积控制：采用电子流量器控制流速，精度达0.1mL/min；采样体积至少覆盖10-4000mL，精度达0.2%。</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（7）脱附最高温度≥350℃,控制精度≤1℃,捕集升温速率≥100℃/s；聚焦升温速率≥1000℃/s。</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（8）流量计、阀件、温控元件及泵均采用数控，适合计算机全自动化控制。</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（9）气样流经的阀件和传输管均控温保温，最高可设置温度不低于150℃（可方法设置），以此避免有机物在管路中残留或者冷凝。</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（10）脱水模块、捕集模块、聚焦模块均具备自动清洗功能。</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（11）能以稳定流速进行采样，每小时累积采样时间应不少于30min。</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4、气相色谱仪</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（1）柱箱温度控制范围：室温+4℃~450℃;控温精度：1℃;</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柱箱程序升温：＞20阶；最大升温速率：≥200℃/min（不添加任何附件的情况下）；柱箱冷却降温（22℃室温）：从450℃到50℃需要4min。</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（2）色谱柱系统：毛细管柱；</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（3）气体流量控制：全电子流量控制，电子压力控制；</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（4）气相色谱仪进样口：高惰性化；毛细柱进样口；温度控制：最高450℃;压力控制范围：0-150psi压力控制精度：0.001psi(0-150psi范围内均为0.001psi)载气流量控制：0~ 200mL/min（N2），0~1000mL/min（H2或He）；毛细柱进样载气控制：恒流、程序流量和柱头恒压程序控制；分流比设定范围：0 ～ 9999或更宽</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（5）流路系统</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支持双柱双流路系统；两个柱流量控制系统均采用先进的流量控制单元；具有室温补偿和自动环境补偿功能；具有恒定速度控制功能；气相色谱采用单个进样口，双检测器。</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（6）中心切割组件</w:t>
      </w:r>
      <w:r/>
    </w:p>
    <w:p>
      <w:pPr>
        <w:pStyle w:val="778"/>
        <w:ind w:firstLine="628"/>
        <w:rPr>
          <w:rFonts w:ascii="宋体" w:hAnsi="宋体" w:eastAsia="宋体" w:cs="宋体"/>
          <w:sz w:val="24"/>
          <w:szCs w:val="24"/>
        </w:rPr>
      </w:pPr>
      <w:r>
        <w:rPr>
          <w:rFonts w:hint="eastAsia" w:ascii="宋体" w:hAnsi="宋体" w:eastAsia="宋体" w:cs="宋体"/>
          <w:sz w:val="24"/>
          <w:szCs w:val="24"/>
        </w:rPr>
        <w:t xml:space="preserve">体积小，全电子气路控制惰性化处理。</w:t>
      </w:r>
      <w:r/>
    </w:p>
    <w:p>
      <w:pPr>
        <w:pStyle w:val="765"/>
        <w:ind w:firstLine="640"/>
        <w:rPr>
          <w:rFonts w:ascii="宋体" w:hAnsi="宋体" w:eastAsia="宋体" w:cs="宋体"/>
          <w:color w:val="auto"/>
          <w:sz w:val="24"/>
          <w:szCs w:val="24"/>
        </w:rPr>
      </w:pPr>
      <w:r>
        <w:rPr>
          <w:rFonts w:hint="eastAsia" w:ascii="宋体" w:hAnsi="宋体" w:eastAsia="宋体" w:cs="宋体"/>
          <w:color w:val="auto"/>
          <w:sz w:val="24"/>
          <w:szCs w:val="24"/>
        </w:rPr>
        <w:t xml:space="preserve">5、设备功能</w:t>
      </w:r>
      <w:r/>
    </w:p>
    <w:p>
      <w:pPr>
        <w:pStyle w:val="980"/>
        <w:ind w:firstLine="640"/>
        <w:jc w:val="left"/>
        <w:rPr>
          <w:rFonts w:ascii="宋体" w:hAnsi="宋体" w:eastAsia="宋体" w:cs="宋体"/>
          <w:sz w:val="24"/>
          <w:szCs w:val="24"/>
        </w:rPr>
      </w:pPr>
      <w:r>
        <w:rPr>
          <w:rFonts w:hint="eastAsia" w:ascii="宋体" w:hAnsi="宋体" w:eastAsia="宋体" w:cs="宋体"/>
          <w:sz w:val="24"/>
          <w:szCs w:val="24"/>
        </w:rPr>
        <w:t xml:space="preserve">（1）校准功能：基本校准（多点校准）和自动校准（质量控制点校准）。</w:t>
      </w:r>
      <w:r/>
    </w:p>
    <w:p>
      <w:pPr>
        <w:pStyle w:val="980"/>
        <w:ind w:firstLine="640"/>
        <w:jc w:val="left"/>
        <w:rPr>
          <w:rFonts w:ascii="宋体" w:hAnsi="宋体" w:eastAsia="宋体" w:cs="宋体"/>
          <w:sz w:val="24"/>
          <w:szCs w:val="24"/>
        </w:rPr>
      </w:pPr>
      <w:r>
        <w:rPr>
          <w:rFonts w:hint="eastAsia" w:ascii="宋体" w:hAnsi="宋体" w:eastAsia="宋体" w:cs="宋体"/>
          <w:sz w:val="24"/>
          <w:szCs w:val="24"/>
        </w:rPr>
        <w:t xml:space="preserve">（2）具备自动添加替代物功能，可实现对每个样品中VOCs回收率的评估考察。</w:t>
      </w:r>
      <w:r/>
    </w:p>
    <w:p>
      <w:pPr>
        <w:pStyle w:val="980"/>
        <w:ind w:firstLine="640"/>
        <w:jc w:val="left"/>
        <w:rPr>
          <w:rFonts w:ascii="宋体" w:hAnsi="宋体" w:eastAsia="宋体" w:cs="宋体"/>
          <w:sz w:val="24"/>
          <w:szCs w:val="24"/>
        </w:rPr>
      </w:pPr>
      <w:r>
        <w:rPr>
          <w:rFonts w:hint="eastAsia" w:ascii="宋体" w:hAnsi="宋体" w:eastAsia="宋体" w:cs="宋体"/>
          <w:sz w:val="24"/>
          <w:szCs w:val="24"/>
        </w:rPr>
        <w:t xml:space="preserve">（3）监测系统的质控单元用于定期核查和校准。具有自动核查功能，实现对挥发性有机物组分的定期自动核查，且频次可设置。具备手动和/或自动校准的功能。</w:t>
      </w:r>
      <w:r/>
    </w:p>
    <w:p>
      <w:pPr>
        <w:pStyle w:val="980"/>
        <w:ind w:firstLine="640"/>
        <w:jc w:val="left"/>
        <w:rPr>
          <w:rFonts w:ascii="宋体" w:hAnsi="宋体" w:eastAsia="宋体" w:cs="宋体"/>
          <w:sz w:val="24"/>
          <w:szCs w:val="24"/>
        </w:rPr>
      </w:pPr>
      <w:r>
        <w:rPr>
          <w:rFonts w:hint="eastAsia" w:ascii="宋体" w:hAnsi="宋体" w:eastAsia="宋体" w:cs="宋体"/>
          <w:sz w:val="24"/>
          <w:szCs w:val="24"/>
        </w:rPr>
        <w:t xml:space="preserve">（4）根据监测系统使用需要，配备高纯氮气、氢气、空气等气源。气源进入分析单元前需加装除烃除水装置。</w:t>
      </w:r>
      <w:r/>
    </w:p>
    <w:p>
      <w:pPr>
        <w:pStyle w:val="980"/>
        <w:ind w:firstLine="640"/>
        <w:jc w:val="left"/>
        <w:rPr>
          <w:rFonts w:ascii="宋体" w:hAnsi="宋体" w:eastAsia="宋体" w:cs="宋体"/>
          <w:sz w:val="24"/>
          <w:szCs w:val="24"/>
        </w:rPr>
      </w:pPr>
      <w:r>
        <w:rPr>
          <w:rFonts w:hint="eastAsia" w:ascii="宋体" w:hAnsi="宋体" w:eastAsia="宋体" w:cs="宋体"/>
          <w:sz w:val="24"/>
          <w:szCs w:val="24"/>
        </w:rPr>
        <w:t xml:space="preserve">（5）可连接真空罐、采气袋，完成异地采样的分析。</w:t>
      </w:r>
      <w:r/>
    </w:p>
    <w:p>
      <w:pPr>
        <w:pStyle w:val="980"/>
        <w:ind w:firstLine="640"/>
        <w:jc w:val="left"/>
        <w:rPr>
          <w:rFonts w:ascii="宋体" w:hAnsi="宋体" w:eastAsia="宋体" w:cs="宋体"/>
          <w:sz w:val="24"/>
          <w:szCs w:val="24"/>
        </w:rPr>
      </w:pPr>
      <w:r>
        <w:rPr>
          <w:rFonts w:hint="eastAsia" w:ascii="宋体" w:hAnsi="宋体" w:eastAsia="宋体" w:cs="宋体"/>
          <w:sz w:val="24"/>
          <w:szCs w:val="24"/>
        </w:rPr>
        <w:t xml:space="preserve">（6）软件控制：在Windows10操作系统下操作。工作站内置默认方法，用户也可自行编辑方法与序列，系统运行的工作状态同步显示。能和子站工控机之间进行数据通讯。仪器系统运行自动控制，实现仪器的远程控制、监测数据和仪器运行状态数据的处理、存储和传输。</w:t>
      </w:r>
      <w:r/>
    </w:p>
    <w:p>
      <w:pPr>
        <w:pStyle w:val="778"/>
        <w:ind w:firstLine="628"/>
        <w:rPr>
          <w:rFonts w:ascii="宋体" w:hAnsi="宋体" w:eastAsia="宋体" w:cs="宋体"/>
          <w:sz w:val="24"/>
          <w:szCs w:val="24"/>
        </w:rPr>
      </w:pPr>
      <w:r>
        <w:rPr>
          <w:rFonts w:ascii="宋体" w:hAnsi="宋体" w:eastAsia="宋体" w:cs="宋体"/>
          <w:sz w:val="24"/>
          <w:szCs w:val="24"/>
        </w:rPr>
      </w:r>
      <w:r/>
    </w:p>
    <w:p>
      <w:p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 SO₂在线监测分析仪</w:t>
      </w:r>
      <w:r/>
    </w:p>
    <w:tbl>
      <w:tblPr>
        <w:tblStyle w:val="982"/>
        <w:tblW w:w="87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5"/>
        <w:gridCol w:w="4504"/>
        <w:gridCol w:w="3400"/>
      </w:tblGrid>
      <w:tr>
        <w:trPr>
          <w:jc w:val="center"/>
          <w:tblHead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序号</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项目</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指标或性能</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1</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分析方法</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紫外荧光法</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2</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测量范围</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0</w:t>
            </w:r>
            <w:r>
              <w:rPr>
                <w:rFonts w:hint="eastAsia"/>
                <w:spacing w:val="8"/>
              </w:rPr>
              <w:t xml:space="preserve">－</w:t>
            </w:r>
            <w:r>
              <w:rPr>
                <w:spacing w:val="8"/>
              </w:rPr>
              <w:t xml:space="preserve">500ppb</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3</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零点噪声</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≤1ppb</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4</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★最低检出限</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w:t>
            </w:r>
            <w:r>
              <w:rPr>
                <w:rFonts w:hint="eastAsia"/>
                <w:spacing w:val="8"/>
              </w:rPr>
              <w:t xml:space="preserve">0.5ppb</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5</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量程噪声</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≤5ppb</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6</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示值误差</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±2</w:t>
            </w:r>
            <w:r>
              <w:rPr>
                <w:rFonts w:hint="eastAsia"/>
                <w:spacing w:val="8"/>
              </w:rPr>
              <w:t xml:space="preserve">％</w:t>
            </w:r>
            <w:r>
              <w:rPr>
                <w:spacing w:val="8"/>
              </w:rPr>
              <w:t xml:space="preserve">满量程</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7</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20</w:t>
            </w:r>
            <w:r>
              <w:rPr>
                <w:rFonts w:hint="eastAsia"/>
                <w:spacing w:val="8"/>
              </w:rPr>
              <w:t xml:space="preserve">％</w:t>
            </w:r>
            <w:r>
              <w:rPr>
                <w:spacing w:val="8"/>
              </w:rPr>
              <w:t xml:space="preserve">量程精密度</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≤5ppb</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8</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80</w:t>
            </w:r>
            <w:r>
              <w:rPr>
                <w:rFonts w:hint="eastAsia"/>
                <w:spacing w:val="8"/>
              </w:rPr>
              <w:t xml:space="preserve">％</w:t>
            </w:r>
            <w:r>
              <w:rPr>
                <w:spacing w:val="8"/>
              </w:rPr>
              <w:t xml:space="preserve">量程精密度</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≤10ppb</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9</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24h零点漂移</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±5ppb</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10</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★24h20</w:t>
            </w:r>
            <w:r>
              <w:rPr>
                <w:rFonts w:hint="eastAsia"/>
                <w:spacing w:val="8"/>
              </w:rPr>
              <w:t xml:space="preserve">％</w:t>
            </w:r>
            <w:r>
              <w:rPr>
                <w:spacing w:val="8"/>
              </w:rPr>
              <w:t xml:space="preserve">量程漂移</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w:t>
            </w:r>
            <w:r>
              <w:rPr>
                <w:rFonts w:hint="eastAsia"/>
                <w:spacing w:val="8"/>
              </w:rPr>
              <w:t xml:space="preserve">2ppb</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11</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24h80</w:t>
            </w:r>
            <w:r>
              <w:rPr>
                <w:rFonts w:hint="eastAsia"/>
                <w:spacing w:val="8"/>
              </w:rPr>
              <w:t xml:space="preserve">％</w:t>
            </w:r>
            <w:r>
              <w:rPr>
                <w:spacing w:val="8"/>
              </w:rPr>
              <w:t xml:space="preserve">量程漂移</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±10ppb</w:t>
            </w:r>
            <w:r/>
          </w:p>
        </w:tc>
      </w:tr>
      <w:tr>
        <w:trPr>
          <w:jc w:val="center"/>
          <w:trHeight w:val="925"/>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12</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响应时间</w:t>
            </w:r>
            <w:r>
              <w:rPr>
                <w:rFonts w:hint="eastAsia"/>
                <w:spacing w:val="8"/>
              </w:rPr>
              <w:t xml:space="preserve">（</w:t>
            </w:r>
            <w:r>
              <w:rPr>
                <w:spacing w:val="8"/>
              </w:rPr>
              <w:t xml:space="preserve">上升时间</w:t>
            </w:r>
            <w:r>
              <w:rPr>
                <w:rFonts w:hint="eastAsia"/>
                <w:spacing w:val="8"/>
              </w:rPr>
              <w:t xml:space="preserve">／</w:t>
            </w:r>
            <w:r>
              <w:rPr>
                <w:spacing w:val="8"/>
              </w:rPr>
              <w:t xml:space="preserve">下降时</w:t>
            </w:r>
            <w:r>
              <w:rPr>
                <w:rFonts w:hint="eastAsia"/>
                <w:spacing w:val="8"/>
              </w:rPr>
              <w:t xml:space="preserve">间）</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≤5min</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13</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电压稳定性</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±1</w:t>
            </w:r>
            <w:r>
              <w:rPr>
                <w:rFonts w:hint="eastAsia"/>
                <w:spacing w:val="8"/>
              </w:rPr>
              <w:t xml:space="preserve">％</w:t>
            </w:r>
            <w:r>
              <w:rPr>
                <w:spacing w:val="8"/>
              </w:rPr>
              <w:t xml:space="preserve">满量程</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14</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流量稳定性</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±10</w:t>
            </w:r>
            <w:r>
              <w:rPr>
                <w:rFonts w:hint="eastAsia"/>
                <w:spacing w:val="8"/>
              </w:rPr>
              <w:t xml:space="preserve">％</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15</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环境温度变化的影响</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≤1ppb</w:t>
            </w:r>
            <w:r>
              <w:rPr>
                <w:rFonts w:hint="eastAsia"/>
                <w:spacing w:val="8"/>
              </w:rPr>
              <w:t xml:space="preserve">／</w:t>
            </w:r>
            <w:r>
              <w:rPr>
                <w:spacing w:val="8"/>
              </w:rPr>
              <w:t xml:space="preserve">℃</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16</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★干扰成分的影响</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w:t>
            </w:r>
            <w:r>
              <w:rPr>
                <w:rFonts w:hint="eastAsia"/>
                <w:spacing w:val="8"/>
              </w:rPr>
              <w:t xml:space="preserve">0.01％</w:t>
            </w:r>
            <w:r>
              <w:rPr>
                <w:spacing w:val="8"/>
              </w:rPr>
              <w:t xml:space="preserve">满量程</w:t>
            </w:r>
            <w:r>
              <w:rPr>
                <w:rFonts w:hint="eastAsia"/>
                <w:spacing w:val="8"/>
              </w:rPr>
              <w:t xml:space="preserve">（</w:t>
            </w:r>
            <w:r>
              <w:rPr>
                <w:spacing w:val="8"/>
              </w:rPr>
              <w:t xml:space="preserve">H₂O</w:t>
            </w:r>
            <w:r>
              <w:rPr>
                <w:rFonts w:hint="eastAsia"/>
                <w:spacing w:val="8"/>
              </w:rPr>
              <w:t xml:space="preserve">）</w:t>
            </w:r>
            <w:r/>
          </w:p>
          <w:p>
            <w:pPr>
              <w:pStyle w:val="981"/>
              <w:ind w:left="95"/>
              <w:spacing w:before="198" w:line="320" w:lineRule="exact"/>
              <w:rPr>
                <w:spacing w:val="8"/>
              </w:rPr>
            </w:pPr>
            <w:r>
              <w:rPr>
                <w:spacing w:val="8"/>
              </w:rPr>
              <w:t xml:space="preserve">±</w:t>
            </w:r>
            <w:r>
              <w:rPr>
                <w:rFonts w:hint="eastAsia"/>
                <w:spacing w:val="8"/>
              </w:rPr>
              <w:t xml:space="preserve">0.3％</w:t>
            </w:r>
            <w:r>
              <w:rPr>
                <w:spacing w:val="8"/>
              </w:rPr>
              <w:t xml:space="preserve">满量程</w:t>
            </w:r>
            <w:r>
              <w:rPr>
                <w:rFonts w:hint="eastAsia"/>
                <w:spacing w:val="8"/>
              </w:rPr>
              <w:t xml:space="preserve">（</w:t>
            </w:r>
            <w:r>
              <w:rPr>
                <w:spacing w:val="8"/>
              </w:rPr>
              <w:t xml:space="preserve">甲苯</w:t>
            </w:r>
            <w:r>
              <w:rPr>
                <w:rFonts w:hint="eastAsia"/>
                <w:spacing w:val="8"/>
              </w:rPr>
              <w:t xml:space="preserve">）</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17</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采样口和校准口浓度偏差</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±1</w:t>
            </w:r>
            <w:r>
              <w:rPr>
                <w:rFonts w:hint="eastAsia"/>
                <w:spacing w:val="8"/>
              </w:rPr>
              <w:t xml:space="preserve">％</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18</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长期</w:t>
            </w:r>
            <w:r>
              <w:rPr>
                <w:rFonts w:hint="eastAsia"/>
                <w:spacing w:val="8"/>
              </w:rPr>
              <w:t xml:space="preserve">（</w:t>
            </w:r>
            <w:r>
              <w:rPr>
                <w:spacing w:val="8"/>
              </w:rPr>
              <w:t xml:space="preserve">≥7d</w:t>
            </w:r>
            <w:r>
              <w:rPr>
                <w:rFonts w:hint="eastAsia"/>
                <w:spacing w:val="8"/>
              </w:rPr>
              <w:t xml:space="preserve">）</w:t>
            </w:r>
            <w:r>
              <w:rPr>
                <w:spacing w:val="8"/>
              </w:rPr>
              <w:t xml:space="preserve">零点漂移</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±10ppb</w:t>
            </w:r>
            <w:r/>
          </w:p>
        </w:tc>
      </w:tr>
      <w:tr>
        <w:trPr>
          <w:jc w:val="center"/>
        </w:trPr>
        <w:tc>
          <w:tcPr>
            <w:tcMar>
              <w:left w:w="108" w:type="dxa"/>
              <w:right w:w="108" w:type="dxa"/>
            </w:tcMar>
            <w:tcW w:w="874" w:type="dxa"/>
            <w:vAlign w:val="center"/>
            <w:textDirection w:val="lrTb"/>
            <w:noWrap w:val="false"/>
          </w:tcPr>
          <w:p>
            <w:pPr>
              <w:pStyle w:val="981"/>
              <w:ind w:left="95"/>
              <w:spacing w:before="198" w:line="320" w:lineRule="exact"/>
              <w:rPr>
                <w:spacing w:val="8"/>
              </w:rPr>
            </w:pPr>
            <w:r>
              <w:rPr>
                <w:spacing w:val="8"/>
              </w:rPr>
              <w:t xml:space="preserve">19</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长期</w:t>
            </w:r>
            <w:r>
              <w:rPr>
                <w:rFonts w:hint="eastAsia"/>
                <w:spacing w:val="8"/>
              </w:rPr>
              <w:t xml:space="preserve">（</w:t>
            </w:r>
            <w:r>
              <w:rPr>
                <w:spacing w:val="8"/>
              </w:rPr>
              <w:t xml:space="preserve">≥7d</w:t>
            </w:r>
            <w:r>
              <w:rPr>
                <w:rFonts w:hint="eastAsia"/>
                <w:spacing w:val="8"/>
              </w:rPr>
              <w:t xml:space="preserve">）</w:t>
            </w:r>
            <w:r>
              <w:rPr>
                <w:spacing w:val="8"/>
              </w:rPr>
              <w:t xml:space="preserve">量程漂移</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±20ppb</w:t>
            </w:r>
            <w:r/>
          </w:p>
        </w:tc>
      </w:tr>
      <w:tr>
        <w:trPr>
          <w:jc w:val="center"/>
        </w:trPr>
        <w:tc>
          <w:tcPr>
            <w:tcMar>
              <w:left w:w="108" w:type="dxa"/>
              <w:right w:w="108" w:type="dxa"/>
            </w:tcMar>
            <w:tcW w:w="880" w:type="dxa"/>
            <w:vAlign w:val="center"/>
            <w:textDirection w:val="lrTb"/>
            <w:noWrap w:val="false"/>
          </w:tcPr>
          <w:p>
            <w:pPr>
              <w:pStyle w:val="981"/>
              <w:ind w:left="95"/>
              <w:spacing w:before="198" w:line="320" w:lineRule="exact"/>
              <w:rPr>
                <w:spacing w:val="8"/>
              </w:rPr>
            </w:pPr>
            <w:r>
              <w:rPr>
                <w:spacing w:val="8"/>
              </w:rPr>
              <w:t xml:space="preserve">20</w:t>
            </w:r>
            <w:r/>
          </w:p>
        </w:tc>
        <w:tc>
          <w:tcPr>
            <w:tcMar>
              <w:left w:w="108" w:type="dxa"/>
              <w:right w:w="108" w:type="dxa"/>
            </w:tcMar>
            <w:tcW w:w="4536" w:type="dxa"/>
            <w:vAlign w:val="center"/>
            <w:textDirection w:val="lrTb"/>
            <w:noWrap w:val="false"/>
          </w:tcPr>
          <w:p>
            <w:pPr>
              <w:pStyle w:val="981"/>
              <w:ind w:left="95"/>
              <w:spacing w:before="198" w:line="320" w:lineRule="exact"/>
              <w:rPr>
                <w:spacing w:val="8"/>
              </w:rPr>
            </w:pPr>
            <w:r>
              <w:rPr>
                <w:spacing w:val="8"/>
              </w:rPr>
              <w:t xml:space="preserve">平均故障间隔天数</w:t>
            </w:r>
            <w:r/>
          </w:p>
        </w:tc>
        <w:tc>
          <w:tcPr>
            <w:tcMar>
              <w:left w:w="108" w:type="dxa"/>
              <w:right w:w="108" w:type="dxa"/>
            </w:tcMar>
            <w:tcW w:w="3424" w:type="dxa"/>
            <w:vAlign w:val="center"/>
            <w:textDirection w:val="lrTb"/>
            <w:noWrap w:val="false"/>
          </w:tcPr>
          <w:p>
            <w:pPr>
              <w:pStyle w:val="981"/>
              <w:ind w:left="95"/>
              <w:spacing w:before="198" w:line="320" w:lineRule="exact"/>
              <w:rPr>
                <w:spacing w:val="8"/>
              </w:rPr>
            </w:pPr>
            <w:r>
              <w:rPr>
                <w:spacing w:val="8"/>
              </w:rPr>
              <w:t xml:space="preserve">≥7d</w:t>
            </w:r>
            <w:r/>
          </w:p>
        </w:tc>
      </w:tr>
    </w:tbl>
    <w:p>
      <w:pPr>
        <w:ind w:firstLine="482"/>
        <w:jc w:val="left"/>
        <w:spacing w:line="400" w:lineRule="exact"/>
        <w:widowControl/>
        <w:rPr>
          <w:rFonts w:ascii="宋体" w:hAnsi="宋体" w:eastAsia="宋体" w:cs="宋体"/>
          <w:sz w:val="24"/>
          <w:szCs w:val="24"/>
        </w:rPr>
      </w:pPr>
      <w:r>
        <w:rPr>
          <w:rFonts w:ascii="宋体" w:hAnsi="宋体" w:eastAsia="宋体" w:cs="宋体"/>
          <w:sz w:val="24"/>
          <w:szCs w:val="24"/>
        </w:rPr>
      </w:r>
      <w:r/>
    </w:p>
    <w:p>
      <w:pPr>
        <w:pStyle w:val="967"/>
        <w:numPr>
          <w:ilvl w:val="0"/>
          <w:numId w:val="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NO－NO</w:t>
      </w:r>
      <w:r>
        <w:rPr>
          <w:rFonts w:ascii="Times New Roman" w:hAnsi="Times New Roman" w:eastAsia="宋体" w:cs="Times New Roman"/>
          <w:sz w:val="24"/>
          <w:szCs w:val="24"/>
        </w:rPr>
        <w:t xml:space="preserve">₂</w:t>
      </w:r>
      <w:r>
        <w:rPr>
          <w:rFonts w:hint="eastAsia" w:ascii="宋体" w:hAnsi="宋体" w:eastAsia="宋体" w:cs="宋体"/>
          <w:sz w:val="24"/>
          <w:szCs w:val="24"/>
        </w:rPr>
        <w:t xml:space="preserve">－NOx在线监测分析仪</w:t>
      </w:r>
      <w:r/>
    </w:p>
    <w:tbl>
      <w:tblPr>
        <w:tblStyle w:val="98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0"/>
        <w:gridCol w:w="3858"/>
        <w:gridCol w:w="4207"/>
      </w:tblGrid>
      <w:tr>
        <w:trPr>
          <w:trHeight w:val="655"/>
        </w:trPr>
        <w:tc>
          <w:tcPr>
            <w:tcW w:w="410" w:type="pct"/>
            <w:textDirection w:val="lrTb"/>
            <w:noWrap w:val="false"/>
          </w:tcPr>
          <w:p>
            <w:pPr>
              <w:pStyle w:val="981"/>
              <w:ind w:left="95"/>
              <w:spacing w:before="198" w:line="320" w:lineRule="exact"/>
            </w:pPr>
            <w:r>
              <w:rPr>
                <w:spacing w:val="8"/>
              </w:rPr>
              <w:t xml:space="preserve">序号</w:t>
            </w:r>
            <w:r/>
          </w:p>
        </w:tc>
        <w:tc>
          <w:tcPr>
            <w:tcW w:w="2196" w:type="pct"/>
            <w:textDirection w:val="lrTb"/>
            <w:noWrap w:val="false"/>
          </w:tcPr>
          <w:p>
            <w:pPr>
              <w:pStyle w:val="981"/>
              <w:ind w:left="1790"/>
              <w:spacing w:before="197" w:line="320" w:lineRule="exact"/>
            </w:pPr>
            <w:r>
              <w:rPr>
                <w:spacing w:val="-8"/>
              </w:rPr>
              <w:t xml:space="preserve">项 目</w:t>
            </w:r>
            <w:r/>
          </w:p>
        </w:tc>
        <w:tc>
          <w:tcPr>
            <w:tcW w:w="2394" w:type="pct"/>
            <w:textDirection w:val="lrTb"/>
            <w:noWrap w:val="false"/>
          </w:tcPr>
          <w:p>
            <w:pPr>
              <w:pStyle w:val="981"/>
              <w:ind w:left="1554"/>
              <w:spacing w:before="197" w:line="320" w:lineRule="exact"/>
            </w:pPr>
            <w:r>
              <w:rPr>
                <w:spacing w:val="2"/>
              </w:rPr>
              <w:t xml:space="preserve">指标或性能</w:t>
            </w:r>
            <w:r/>
          </w:p>
        </w:tc>
      </w:tr>
      <w:tr>
        <w:trPr>
          <w:trHeight w:val="619"/>
        </w:trPr>
        <w:tc>
          <w:tcPr>
            <w:tcW w:w="410" w:type="pct"/>
            <w:textDirection w:val="lrTb"/>
            <w:noWrap w:val="false"/>
          </w:tcPr>
          <w:p>
            <w:pPr>
              <w:pStyle w:val="981"/>
              <w:ind w:left="304"/>
              <w:spacing w:before="199" w:line="320" w:lineRule="exact"/>
            </w:pPr>
            <w:r>
              <w:t xml:space="preserve">1</w:t>
            </w:r>
            <w:r/>
          </w:p>
        </w:tc>
        <w:tc>
          <w:tcPr>
            <w:tcW w:w="2196" w:type="pct"/>
            <w:textDirection w:val="lrTb"/>
            <w:noWrap w:val="false"/>
          </w:tcPr>
          <w:p>
            <w:pPr>
              <w:pStyle w:val="981"/>
              <w:ind w:left="1510"/>
              <w:spacing w:before="172" w:line="320" w:lineRule="exact"/>
            </w:pPr>
            <w:r>
              <w:rPr>
                <w:spacing w:val="2"/>
              </w:rPr>
              <w:t xml:space="preserve">分析方法</w:t>
            </w:r>
            <w:r/>
          </w:p>
        </w:tc>
        <w:tc>
          <w:tcPr>
            <w:tcW w:w="2394" w:type="pct"/>
            <w:textDirection w:val="lrTb"/>
            <w:noWrap w:val="false"/>
          </w:tcPr>
          <w:p>
            <w:pPr>
              <w:pStyle w:val="981"/>
              <w:ind w:left="1554"/>
              <w:spacing w:before="171" w:line="320" w:lineRule="exact"/>
            </w:pPr>
            <w:r>
              <w:rPr>
                <w:spacing w:val="1"/>
              </w:rPr>
              <w:t xml:space="preserve">化学发光法</w:t>
            </w:r>
            <w:r/>
          </w:p>
        </w:tc>
      </w:tr>
      <w:tr>
        <w:trPr>
          <w:trHeight w:val="650"/>
        </w:trPr>
        <w:tc>
          <w:tcPr>
            <w:tcW w:w="410" w:type="pct"/>
            <w:textDirection w:val="lrTb"/>
            <w:noWrap w:val="false"/>
          </w:tcPr>
          <w:p>
            <w:pPr>
              <w:pStyle w:val="981"/>
              <w:ind w:left="304"/>
              <w:spacing w:before="220" w:line="320" w:lineRule="exact"/>
            </w:pPr>
            <w:r>
              <w:t xml:space="preserve">2</w:t>
            </w:r>
            <w:r/>
          </w:p>
        </w:tc>
        <w:tc>
          <w:tcPr>
            <w:tcW w:w="2196" w:type="pct"/>
            <w:textDirection w:val="lrTb"/>
            <w:noWrap w:val="false"/>
          </w:tcPr>
          <w:p>
            <w:pPr>
              <w:pStyle w:val="981"/>
              <w:ind w:left="1510"/>
              <w:spacing w:before="193" w:line="320" w:lineRule="exact"/>
            </w:pPr>
            <w:r>
              <w:rPr>
                <w:spacing w:val="6"/>
              </w:rPr>
              <w:t xml:space="preserve">测量范围</w:t>
            </w:r>
            <w:r/>
          </w:p>
        </w:tc>
        <w:tc>
          <w:tcPr>
            <w:tcW w:w="2394" w:type="pct"/>
            <w:textDirection w:val="lrTb"/>
            <w:noWrap w:val="false"/>
          </w:tcPr>
          <w:p>
            <w:pPr>
              <w:pStyle w:val="981"/>
              <w:ind w:left="1695"/>
              <w:spacing w:before="185" w:line="320" w:lineRule="exact"/>
            </w:pPr>
            <w:r>
              <w:rPr>
                <w:spacing w:val="-2"/>
              </w:rPr>
              <w:t xml:space="preserve">0</w:t>
            </w:r>
            <w:r>
              <w:rPr>
                <w:rFonts w:hint="eastAsia"/>
                <w:spacing w:val="-2"/>
              </w:rPr>
              <w:t xml:space="preserve">－</w:t>
            </w:r>
            <w:r>
              <w:rPr>
                <w:spacing w:val="-2"/>
              </w:rPr>
              <w:t xml:space="preserve">500ppb</w:t>
            </w:r>
            <w:r/>
          </w:p>
        </w:tc>
      </w:tr>
      <w:tr>
        <w:trPr>
          <w:trHeight w:val="649"/>
        </w:trPr>
        <w:tc>
          <w:tcPr>
            <w:tcW w:w="410" w:type="pct"/>
            <w:textDirection w:val="lrTb"/>
            <w:noWrap w:val="false"/>
          </w:tcPr>
          <w:p>
            <w:pPr>
              <w:pStyle w:val="981"/>
              <w:ind w:left="304"/>
              <w:spacing w:before="219" w:line="320" w:lineRule="exact"/>
            </w:pPr>
            <w:r>
              <w:t xml:space="preserve">3</w:t>
            </w:r>
            <w:r/>
          </w:p>
        </w:tc>
        <w:tc>
          <w:tcPr>
            <w:tcW w:w="2196" w:type="pct"/>
            <w:textDirection w:val="lrTb"/>
            <w:noWrap w:val="false"/>
          </w:tcPr>
          <w:p>
            <w:pPr>
              <w:pStyle w:val="981"/>
              <w:ind w:left="1510"/>
              <w:spacing w:before="192" w:line="320" w:lineRule="exact"/>
            </w:pPr>
            <w:r>
              <w:rPr>
                <w:spacing w:val="4"/>
              </w:rPr>
              <w:t xml:space="preserve">零点噪声</w:t>
            </w:r>
            <w:r/>
          </w:p>
        </w:tc>
        <w:tc>
          <w:tcPr>
            <w:tcW w:w="2394" w:type="pct"/>
            <w:textDirection w:val="lrTb"/>
            <w:noWrap w:val="false"/>
          </w:tcPr>
          <w:p>
            <w:pPr>
              <w:pStyle w:val="981"/>
              <w:ind w:left="1834"/>
              <w:spacing w:before="185" w:line="320" w:lineRule="exact"/>
            </w:pPr>
            <w:r>
              <w:rPr>
                <w:spacing w:val="-7"/>
              </w:rPr>
              <w:t xml:space="preserve">≤1ppb</w:t>
            </w:r>
            <w:r/>
          </w:p>
        </w:tc>
      </w:tr>
      <w:tr>
        <w:trPr>
          <w:trHeight w:val="640"/>
        </w:trPr>
        <w:tc>
          <w:tcPr>
            <w:tcW w:w="410" w:type="pct"/>
            <w:textDirection w:val="lrTb"/>
            <w:noWrap w:val="false"/>
          </w:tcPr>
          <w:p>
            <w:pPr>
              <w:pStyle w:val="981"/>
              <w:ind w:left="304"/>
              <w:spacing w:before="211" w:line="320" w:lineRule="exact"/>
            </w:pPr>
            <w:r>
              <w:t xml:space="preserve">4</w:t>
            </w:r>
            <w:r/>
          </w:p>
        </w:tc>
        <w:tc>
          <w:tcPr>
            <w:tcW w:w="2196" w:type="pct"/>
            <w:textDirection w:val="lrTb"/>
            <w:noWrap w:val="false"/>
          </w:tcPr>
          <w:p>
            <w:pPr>
              <w:pStyle w:val="981"/>
              <w:ind w:left="1371"/>
              <w:spacing w:before="183" w:line="320" w:lineRule="exact"/>
            </w:pPr>
            <w:r>
              <w:rPr>
                <w:spacing w:val="3"/>
              </w:rPr>
              <w:t xml:space="preserve">最低检出限</w:t>
            </w:r>
            <w:r/>
          </w:p>
        </w:tc>
        <w:tc>
          <w:tcPr>
            <w:tcW w:w="2394" w:type="pct"/>
            <w:textDirection w:val="lrTb"/>
            <w:noWrap w:val="false"/>
          </w:tcPr>
          <w:p>
            <w:pPr>
              <w:pStyle w:val="981"/>
              <w:ind w:left="1834"/>
              <w:spacing w:before="176" w:line="320" w:lineRule="exact"/>
            </w:pPr>
            <w:r>
              <w:rPr>
                <w:spacing w:val="-7"/>
              </w:rPr>
              <w:t xml:space="preserve">≤2ppb</w:t>
            </w:r>
            <w:r/>
          </w:p>
        </w:tc>
      </w:tr>
      <w:tr>
        <w:trPr>
          <w:trHeight w:val="660"/>
        </w:trPr>
        <w:tc>
          <w:tcPr>
            <w:tcW w:w="410" w:type="pct"/>
            <w:textDirection w:val="lrTb"/>
            <w:noWrap w:val="false"/>
          </w:tcPr>
          <w:p>
            <w:pPr>
              <w:pStyle w:val="981"/>
              <w:ind w:left="304"/>
              <w:spacing w:before="220" w:line="320" w:lineRule="exact"/>
            </w:pPr>
            <w:r>
              <w:t xml:space="preserve">5</w:t>
            </w:r>
            <w:r/>
          </w:p>
        </w:tc>
        <w:tc>
          <w:tcPr>
            <w:tcW w:w="2196" w:type="pct"/>
            <w:textDirection w:val="lrTb"/>
            <w:noWrap w:val="false"/>
          </w:tcPr>
          <w:p>
            <w:pPr>
              <w:pStyle w:val="981"/>
              <w:ind w:left="1510"/>
              <w:spacing w:before="194" w:line="320" w:lineRule="exact"/>
            </w:pPr>
            <w:r>
              <w:rPr>
                <w:spacing w:val="4"/>
              </w:rPr>
              <w:t xml:space="preserve">量程噪声</w:t>
            </w:r>
            <w:r/>
          </w:p>
        </w:tc>
        <w:tc>
          <w:tcPr>
            <w:tcW w:w="2394" w:type="pct"/>
            <w:textDirection w:val="lrTb"/>
            <w:noWrap w:val="false"/>
          </w:tcPr>
          <w:p>
            <w:pPr>
              <w:pStyle w:val="981"/>
              <w:ind w:left="1834"/>
              <w:spacing w:before="186" w:line="320" w:lineRule="exact"/>
            </w:pPr>
            <w:r>
              <w:rPr>
                <w:spacing w:val="-7"/>
              </w:rPr>
              <w:t xml:space="preserve">≤5ppb</w:t>
            </w:r>
            <w:r/>
          </w:p>
        </w:tc>
      </w:tr>
      <w:tr>
        <w:trPr>
          <w:trHeight w:val="659"/>
        </w:trPr>
        <w:tc>
          <w:tcPr>
            <w:tcW w:w="410" w:type="pct"/>
            <w:textDirection w:val="lrTb"/>
            <w:noWrap w:val="false"/>
          </w:tcPr>
          <w:p>
            <w:pPr>
              <w:pStyle w:val="981"/>
              <w:ind w:left="304"/>
              <w:spacing w:before="220" w:line="320" w:lineRule="exact"/>
            </w:pPr>
            <w:r>
              <w:t xml:space="preserve">6</w:t>
            </w:r>
            <w:r/>
          </w:p>
        </w:tc>
        <w:tc>
          <w:tcPr>
            <w:tcW w:w="2196" w:type="pct"/>
            <w:textDirection w:val="lrTb"/>
            <w:noWrap w:val="false"/>
          </w:tcPr>
          <w:p>
            <w:pPr>
              <w:pStyle w:val="981"/>
              <w:ind w:left="1510"/>
              <w:spacing w:before="193" w:line="320" w:lineRule="exact"/>
            </w:pPr>
            <w:r>
              <w:rPr>
                <w:spacing w:val="3"/>
              </w:rPr>
              <w:t xml:space="preserve">示值误差</w:t>
            </w:r>
            <w:r/>
          </w:p>
        </w:tc>
        <w:tc>
          <w:tcPr>
            <w:tcW w:w="2394" w:type="pct"/>
            <w:textDirection w:val="lrTb"/>
            <w:noWrap w:val="false"/>
          </w:tcPr>
          <w:p>
            <w:pPr>
              <w:pStyle w:val="981"/>
              <w:ind w:left="1554"/>
              <w:spacing w:before="193" w:line="320" w:lineRule="exact"/>
            </w:pPr>
            <w:r>
              <w:rPr>
                <w:spacing w:val="1"/>
              </w:rPr>
              <w:t xml:space="preserve">±2</w:t>
            </w:r>
            <w:r>
              <w:rPr>
                <w:rFonts w:hint="eastAsia"/>
                <w:spacing w:val="1"/>
              </w:rPr>
              <w:t xml:space="preserve">％</w:t>
            </w:r>
            <w:r>
              <w:rPr>
                <w:spacing w:val="1"/>
              </w:rPr>
              <w:t xml:space="preserve">满量程</w:t>
            </w:r>
            <w:r/>
          </w:p>
        </w:tc>
      </w:tr>
      <w:tr>
        <w:trPr>
          <w:trHeight w:val="650"/>
        </w:trPr>
        <w:tc>
          <w:tcPr>
            <w:tcW w:w="410" w:type="pct"/>
            <w:textDirection w:val="lrTb"/>
            <w:noWrap w:val="false"/>
          </w:tcPr>
          <w:p>
            <w:pPr>
              <w:pStyle w:val="981"/>
              <w:ind w:left="304"/>
              <w:spacing w:before="221" w:line="320" w:lineRule="exact"/>
            </w:pPr>
            <w:r>
              <w:t xml:space="preserve">7</w:t>
            </w:r>
            <w:r/>
          </w:p>
        </w:tc>
        <w:tc>
          <w:tcPr>
            <w:tcW w:w="2196" w:type="pct"/>
            <w:textDirection w:val="lrTb"/>
            <w:noWrap w:val="false"/>
          </w:tcPr>
          <w:p>
            <w:pPr>
              <w:pStyle w:val="981"/>
              <w:ind w:left="1160"/>
              <w:spacing w:before="192" w:line="320" w:lineRule="exact"/>
            </w:pPr>
            <w:r>
              <w:rPr>
                <w:spacing w:val="2"/>
              </w:rPr>
              <w:t xml:space="preserve">20</w:t>
            </w:r>
            <w:r>
              <w:rPr>
                <w:rFonts w:hint="eastAsia"/>
                <w:spacing w:val="2"/>
              </w:rPr>
              <w:t xml:space="preserve">％</w:t>
            </w:r>
            <w:r>
              <w:rPr>
                <w:spacing w:val="2"/>
              </w:rPr>
              <w:t xml:space="preserve">量程精密度</w:t>
            </w:r>
            <w:r/>
          </w:p>
        </w:tc>
        <w:tc>
          <w:tcPr>
            <w:tcW w:w="2394" w:type="pct"/>
            <w:textDirection w:val="lrTb"/>
            <w:noWrap w:val="false"/>
          </w:tcPr>
          <w:p>
            <w:pPr>
              <w:pStyle w:val="981"/>
              <w:ind w:left="1834"/>
              <w:spacing w:before="187" w:line="320" w:lineRule="exact"/>
            </w:pPr>
            <w:r>
              <w:rPr>
                <w:spacing w:val="-7"/>
              </w:rPr>
              <w:t xml:space="preserve">≤5ppb</w:t>
            </w:r>
            <w:r/>
          </w:p>
        </w:tc>
      </w:tr>
      <w:tr>
        <w:trPr>
          <w:trHeight w:val="649"/>
        </w:trPr>
        <w:tc>
          <w:tcPr>
            <w:tcW w:w="410" w:type="pct"/>
            <w:textDirection w:val="lrTb"/>
            <w:noWrap w:val="false"/>
          </w:tcPr>
          <w:p>
            <w:pPr>
              <w:pStyle w:val="981"/>
              <w:ind w:left="304"/>
              <w:spacing w:before="221" w:line="320" w:lineRule="exact"/>
            </w:pPr>
            <w:r>
              <w:t xml:space="preserve">8</w:t>
            </w:r>
            <w:r/>
          </w:p>
        </w:tc>
        <w:tc>
          <w:tcPr>
            <w:tcW w:w="2196" w:type="pct"/>
            <w:textDirection w:val="lrTb"/>
            <w:noWrap w:val="false"/>
          </w:tcPr>
          <w:p>
            <w:pPr>
              <w:pStyle w:val="981"/>
              <w:ind w:left="1160"/>
              <w:spacing w:before="192" w:line="320" w:lineRule="exact"/>
            </w:pPr>
            <w:r>
              <w:rPr>
                <w:spacing w:val="2"/>
              </w:rPr>
              <w:t xml:space="preserve">80</w:t>
            </w:r>
            <w:r>
              <w:rPr>
                <w:rFonts w:hint="eastAsia"/>
                <w:spacing w:val="2"/>
              </w:rPr>
              <w:t xml:space="preserve">％</w:t>
            </w:r>
            <w:r>
              <w:rPr>
                <w:spacing w:val="2"/>
              </w:rPr>
              <w:t xml:space="preserve">量程精密度</w:t>
            </w:r>
            <w:r/>
          </w:p>
        </w:tc>
        <w:tc>
          <w:tcPr>
            <w:tcW w:w="2394" w:type="pct"/>
            <w:textDirection w:val="lrTb"/>
            <w:noWrap w:val="false"/>
          </w:tcPr>
          <w:p>
            <w:pPr>
              <w:pStyle w:val="981"/>
              <w:ind w:left="1765"/>
              <w:spacing w:before="187" w:line="320" w:lineRule="exact"/>
            </w:pPr>
            <w:r>
              <w:rPr>
                <w:spacing w:val="-6"/>
              </w:rPr>
              <w:t xml:space="preserve">≤10ppb</w:t>
            </w:r>
            <w:r/>
          </w:p>
        </w:tc>
      </w:tr>
      <w:tr>
        <w:trPr>
          <w:trHeight w:val="650"/>
        </w:trPr>
        <w:tc>
          <w:tcPr>
            <w:tcW w:w="410" w:type="pct"/>
            <w:textDirection w:val="lrTb"/>
            <w:noWrap w:val="false"/>
          </w:tcPr>
          <w:p>
            <w:pPr>
              <w:pStyle w:val="981"/>
              <w:ind w:left="304"/>
              <w:spacing w:before="222" w:line="320" w:lineRule="exact"/>
            </w:pPr>
            <w:r>
              <w:t xml:space="preserve">9</w:t>
            </w:r>
            <w:r/>
          </w:p>
        </w:tc>
        <w:tc>
          <w:tcPr>
            <w:tcW w:w="2196" w:type="pct"/>
            <w:textDirection w:val="lrTb"/>
            <w:noWrap w:val="false"/>
          </w:tcPr>
          <w:p>
            <w:pPr>
              <w:pStyle w:val="981"/>
              <w:ind w:left="1301"/>
              <w:spacing w:before="195" w:line="320" w:lineRule="exact"/>
            </w:pPr>
            <w:r>
              <w:rPr>
                <w:spacing w:val="2"/>
              </w:rPr>
              <w:t xml:space="preserve">24h零点漂移</w:t>
            </w:r>
            <w:r/>
          </w:p>
        </w:tc>
        <w:tc>
          <w:tcPr>
            <w:tcW w:w="2394" w:type="pct"/>
            <w:textDirection w:val="lrTb"/>
            <w:noWrap w:val="false"/>
          </w:tcPr>
          <w:p>
            <w:pPr>
              <w:pStyle w:val="981"/>
              <w:ind w:left="1834"/>
              <w:spacing w:before="188" w:line="320" w:lineRule="exact"/>
            </w:pPr>
            <w:r>
              <w:rPr>
                <w:spacing w:val="-9"/>
              </w:rPr>
              <w:t xml:space="preserve">±5ppb</w:t>
            </w:r>
            <w:r/>
          </w:p>
        </w:tc>
      </w:tr>
      <w:tr>
        <w:trPr>
          <w:trHeight w:val="650"/>
        </w:trPr>
        <w:tc>
          <w:tcPr>
            <w:tcW w:w="410" w:type="pct"/>
            <w:textDirection w:val="lrTb"/>
            <w:noWrap w:val="false"/>
          </w:tcPr>
          <w:p>
            <w:pPr>
              <w:pStyle w:val="981"/>
              <w:ind w:left="234"/>
              <w:spacing w:before="222" w:line="320" w:lineRule="exact"/>
            </w:pPr>
            <w:r>
              <w:rPr>
                <w:spacing w:val="-8"/>
              </w:rPr>
              <w:t xml:space="preserve">10</w:t>
            </w:r>
            <w:r/>
          </w:p>
        </w:tc>
        <w:tc>
          <w:tcPr>
            <w:tcW w:w="2196" w:type="pct"/>
            <w:textDirection w:val="lrTb"/>
            <w:noWrap w:val="false"/>
          </w:tcPr>
          <w:p>
            <w:pPr>
              <w:pStyle w:val="981"/>
              <w:ind w:left="1091"/>
              <w:spacing w:before="195" w:line="320" w:lineRule="exact"/>
            </w:pPr>
            <w:r>
              <w:rPr>
                <w:spacing w:val="1"/>
              </w:rPr>
              <w:t xml:space="preserve">24h20</w:t>
            </w:r>
            <w:r>
              <w:rPr>
                <w:rFonts w:hint="eastAsia"/>
                <w:spacing w:val="1"/>
              </w:rPr>
              <w:t xml:space="preserve">％</w:t>
            </w:r>
            <w:r>
              <w:rPr>
                <w:spacing w:val="1"/>
              </w:rPr>
              <w:t xml:space="preserve">量程漂移</w:t>
            </w:r>
            <w:r/>
          </w:p>
        </w:tc>
        <w:tc>
          <w:tcPr>
            <w:tcW w:w="2394" w:type="pct"/>
            <w:textDirection w:val="lrTb"/>
            <w:noWrap w:val="false"/>
          </w:tcPr>
          <w:p>
            <w:pPr>
              <w:pStyle w:val="981"/>
              <w:ind w:left="1834"/>
              <w:spacing w:before="188" w:line="320" w:lineRule="exact"/>
            </w:pPr>
            <w:r>
              <w:rPr>
                <w:spacing w:val="-9"/>
              </w:rPr>
              <w:t xml:space="preserve">±5ppb</w:t>
            </w:r>
            <w:r/>
          </w:p>
        </w:tc>
      </w:tr>
      <w:tr>
        <w:trPr>
          <w:trHeight w:val="629"/>
        </w:trPr>
        <w:tc>
          <w:tcPr>
            <w:tcW w:w="410" w:type="pct"/>
            <w:textDirection w:val="lrTb"/>
            <w:noWrap w:val="false"/>
          </w:tcPr>
          <w:p>
            <w:pPr>
              <w:pStyle w:val="981"/>
              <w:ind w:left="234"/>
              <w:spacing w:before="213" w:line="320" w:lineRule="exact"/>
            </w:pPr>
            <w:r>
              <w:rPr>
                <w:spacing w:val="-8"/>
              </w:rPr>
              <w:t xml:space="preserve">11</w:t>
            </w:r>
            <w:r/>
          </w:p>
        </w:tc>
        <w:tc>
          <w:tcPr>
            <w:tcW w:w="2196" w:type="pct"/>
            <w:textDirection w:val="lrTb"/>
            <w:noWrap w:val="false"/>
          </w:tcPr>
          <w:p>
            <w:pPr>
              <w:pStyle w:val="981"/>
              <w:ind w:left="1091"/>
              <w:spacing w:before="185" w:line="320" w:lineRule="exact"/>
            </w:pPr>
            <w:r>
              <w:rPr>
                <w:spacing w:val="1"/>
              </w:rPr>
              <w:t xml:space="preserve">24h80</w:t>
            </w:r>
            <w:r>
              <w:rPr>
                <w:rFonts w:hint="eastAsia"/>
                <w:spacing w:val="1"/>
              </w:rPr>
              <w:t xml:space="preserve">％</w:t>
            </w:r>
            <w:r>
              <w:rPr>
                <w:spacing w:val="1"/>
              </w:rPr>
              <w:t xml:space="preserve">量程漂移</w:t>
            </w:r>
            <w:r/>
          </w:p>
        </w:tc>
        <w:tc>
          <w:tcPr>
            <w:tcW w:w="2394" w:type="pct"/>
            <w:textDirection w:val="lrTb"/>
            <w:noWrap w:val="false"/>
          </w:tcPr>
          <w:p>
            <w:pPr>
              <w:pStyle w:val="981"/>
              <w:ind w:left="1765"/>
              <w:spacing w:before="177" w:line="320" w:lineRule="exact"/>
            </w:pPr>
            <w:r>
              <w:rPr>
                <w:spacing w:val="-8"/>
              </w:rPr>
              <w:t xml:space="preserve">±10ppb</w:t>
            </w:r>
            <w:r/>
          </w:p>
        </w:tc>
      </w:tr>
      <w:tr>
        <w:trPr>
          <w:trHeight w:val="659"/>
        </w:trPr>
        <w:tc>
          <w:tcPr>
            <w:tcW w:w="410" w:type="pct"/>
            <w:textDirection w:val="lrTb"/>
            <w:noWrap w:val="false"/>
          </w:tcPr>
          <w:p>
            <w:pPr>
              <w:pStyle w:val="981"/>
              <w:ind w:left="234"/>
              <w:spacing w:before="224" w:line="320" w:lineRule="exact"/>
            </w:pPr>
            <w:r>
              <w:rPr>
                <w:spacing w:val="-8"/>
              </w:rPr>
              <w:t xml:space="preserve">12</w:t>
            </w:r>
            <w:r/>
          </w:p>
        </w:tc>
        <w:tc>
          <w:tcPr>
            <w:tcW w:w="2196" w:type="pct"/>
            <w:textDirection w:val="lrTb"/>
            <w:noWrap w:val="false"/>
          </w:tcPr>
          <w:p>
            <w:pPr>
              <w:pStyle w:val="981"/>
              <w:ind w:left="180"/>
              <w:spacing w:before="196" w:line="320" w:lineRule="exact"/>
            </w:pPr>
            <w:r>
              <w:rPr>
                <w:spacing w:val="4"/>
              </w:rPr>
              <w:t xml:space="preserve">响应时间</w:t>
            </w:r>
            <w:r>
              <w:rPr>
                <w:rFonts w:hint="eastAsia"/>
                <w:spacing w:val="4"/>
              </w:rPr>
              <w:t xml:space="preserve">（</w:t>
            </w:r>
            <w:r>
              <w:rPr>
                <w:spacing w:val="4"/>
              </w:rPr>
              <w:t xml:space="preserve">上升时间</w:t>
            </w:r>
            <w:r>
              <w:rPr>
                <w:rFonts w:hint="eastAsia"/>
                <w:spacing w:val="4"/>
              </w:rPr>
              <w:t xml:space="preserve">／</w:t>
            </w:r>
            <w:r>
              <w:rPr>
                <w:spacing w:val="4"/>
              </w:rPr>
              <w:t xml:space="preserve">下降时间</w:t>
            </w:r>
            <w:r>
              <w:rPr>
                <w:rFonts w:hint="eastAsia"/>
                <w:spacing w:val="4"/>
              </w:rPr>
              <w:t xml:space="preserve">）</w:t>
            </w:r>
            <w:r/>
          </w:p>
        </w:tc>
        <w:tc>
          <w:tcPr>
            <w:tcW w:w="2394" w:type="pct"/>
            <w:textDirection w:val="lrTb"/>
            <w:noWrap w:val="false"/>
          </w:tcPr>
          <w:p>
            <w:pPr>
              <w:pStyle w:val="981"/>
              <w:ind w:left="1834"/>
              <w:spacing w:before="221" w:line="320" w:lineRule="exact"/>
            </w:pPr>
            <w:r>
              <w:rPr>
                <w:spacing w:val="-6"/>
              </w:rPr>
              <w:t xml:space="preserve">≤5min</w:t>
            </w:r>
            <w:r/>
          </w:p>
        </w:tc>
      </w:tr>
      <w:tr>
        <w:trPr>
          <w:trHeight w:val="639"/>
        </w:trPr>
        <w:tc>
          <w:tcPr>
            <w:tcW w:w="410" w:type="pct"/>
            <w:textDirection w:val="lrTb"/>
            <w:noWrap w:val="false"/>
          </w:tcPr>
          <w:p>
            <w:pPr>
              <w:pStyle w:val="981"/>
              <w:ind w:left="234"/>
              <w:spacing w:before="214" w:line="320" w:lineRule="exact"/>
            </w:pPr>
            <w:r>
              <w:rPr>
                <w:spacing w:val="-8"/>
              </w:rPr>
              <w:t xml:space="preserve">13</w:t>
            </w:r>
            <w:r/>
          </w:p>
        </w:tc>
        <w:tc>
          <w:tcPr>
            <w:tcW w:w="2196" w:type="pct"/>
            <w:textDirection w:val="lrTb"/>
            <w:noWrap w:val="false"/>
          </w:tcPr>
          <w:p>
            <w:pPr>
              <w:pStyle w:val="981"/>
              <w:ind w:left="1371"/>
              <w:spacing w:before="187" w:line="320" w:lineRule="exact"/>
            </w:pPr>
            <w:r>
              <w:rPr>
                <w:spacing w:val="2"/>
              </w:rPr>
              <w:t xml:space="preserve">电压稳定性</w:t>
            </w:r>
            <w:r/>
          </w:p>
        </w:tc>
        <w:tc>
          <w:tcPr>
            <w:tcW w:w="2394" w:type="pct"/>
            <w:textDirection w:val="lrTb"/>
            <w:noWrap w:val="false"/>
          </w:tcPr>
          <w:p>
            <w:pPr>
              <w:pStyle w:val="981"/>
              <w:ind w:left="1554"/>
              <w:spacing w:before="187" w:line="320" w:lineRule="exact"/>
            </w:pPr>
            <w:r>
              <w:rPr>
                <w:spacing w:val="1"/>
              </w:rPr>
              <w:t xml:space="preserve">±1</w:t>
            </w:r>
            <w:r>
              <w:rPr>
                <w:rFonts w:hint="eastAsia"/>
                <w:spacing w:val="1"/>
              </w:rPr>
              <w:t xml:space="preserve">％</w:t>
            </w:r>
            <w:r>
              <w:rPr>
                <w:spacing w:val="1"/>
              </w:rPr>
              <w:t xml:space="preserve">满量程</w:t>
            </w:r>
            <w:r/>
          </w:p>
        </w:tc>
      </w:tr>
      <w:tr>
        <w:trPr>
          <w:trHeight w:val="640"/>
        </w:trPr>
        <w:tc>
          <w:tcPr>
            <w:tcW w:w="410" w:type="pct"/>
            <w:textDirection w:val="lrTb"/>
            <w:noWrap w:val="false"/>
          </w:tcPr>
          <w:p>
            <w:pPr>
              <w:pStyle w:val="981"/>
              <w:ind w:left="234"/>
              <w:spacing w:before="216" w:line="320" w:lineRule="exact"/>
            </w:pPr>
            <w:r>
              <w:rPr>
                <w:spacing w:val="-8"/>
              </w:rPr>
              <w:t xml:space="preserve">14</w:t>
            </w:r>
            <w:r/>
          </w:p>
        </w:tc>
        <w:tc>
          <w:tcPr>
            <w:tcW w:w="2196" w:type="pct"/>
            <w:textDirection w:val="lrTb"/>
            <w:noWrap w:val="false"/>
          </w:tcPr>
          <w:p>
            <w:pPr>
              <w:pStyle w:val="981"/>
              <w:ind w:left="1371"/>
              <w:spacing w:before="188" w:line="320" w:lineRule="exact"/>
            </w:pPr>
            <w:r>
              <w:rPr>
                <w:spacing w:val="2"/>
              </w:rPr>
              <w:t xml:space="preserve">流量稳定性</w:t>
            </w:r>
            <w:r/>
          </w:p>
        </w:tc>
        <w:tc>
          <w:tcPr>
            <w:tcW w:w="2394" w:type="pct"/>
            <w:textDirection w:val="lrTb"/>
            <w:noWrap w:val="false"/>
          </w:tcPr>
          <w:p>
            <w:pPr>
              <w:pStyle w:val="981"/>
              <w:ind w:left="1904"/>
              <w:spacing w:before="212" w:line="320" w:lineRule="exact"/>
            </w:pPr>
            <w:r>
              <w:rPr>
                <w:spacing w:val="-9"/>
              </w:rPr>
              <w:t xml:space="preserve">±10</w:t>
            </w:r>
            <w:r>
              <w:rPr>
                <w:rFonts w:hint="eastAsia"/>
                <w:spacing w:val="-9"/>
              </w:rPr>
              <w:t xml:space="preserve">％</w:t>
            </w:r>
            <w:r/>
          </w:p>
        </w:tc>
      </w:tr>
      <w:tr>
        <w:trPr>
          <w:trHeight w:val="650"/>
        </w:trPr>
        <w:tc>
          <w:tcPr>
            <w:tcW w:w="410" w:type="pct"/>
            <w:textDirection w:val="lrTb"/>
            <w:noWrap w:val="false"/>
          </w:tcPr>
          <w:p>
            <w:pPr>
              <w:pStyle w:val="981"/>
              <w:ind w:left="234"/>
              <w:spacing w:before="225" w:line="320" w:lineRule="exact"/>
            </w:pPr>
            <w:r>
              <w:rPr>
                <w:spacing w:val="-8"/>
              </w:rPr>
              <w:t xml:space="preserve">15</w:t>
            </w:r>
            <w:r/>
          </w:p>
        </w:tc>
        <w:tc>
          <w:tcPr>
            <w:tcW w:w="2196" w:type="pct"/>
            <w:textDirection w:val="lrTb"/>
            <w:noWrap w:val="false"/>
          </w:tcPr>
          <w:p>
            <w:pPr>
              <w:pStyle w:val="981"/>
              <w:ind w:left="810"/>
              <w:spacing w:before="199" w:line="320" w:lineRule="exact"/>
            </w:pPr>
            <w:r>
              <w:rPr>
                <w:spacing w:val="2"/>
              </w:rPr>
              <w:t xml:space="preserve">环境温度变化的影响</w:t>
            </w:r>
            <w:r/>
          </w:p>
        </w:tc>
        <w:tc>
          <w:tcPr>
            <w:tcW w:w="2394" w:type="pct"/>
            <w:textDirection w:val="lrTb"/>
            <w:noWrap w:val="false"/>
          </w:tcPr>
          <w:p>
            <w:pPr>
              <w:pStyle w:val="981"/>
              <w:ind w:left="1625"/>
              <w:spacing w:before="191" w:line="320" w:lineRule="exact"/>
            </w:pPr>
            <w:r>
              <w:rPr>
                <w:spacing w:val="-5"/>
              </w:rPr>
              <w:t xml:space="preserve">≤3ppb</w:t>
            </w:r>
            <w:r>
              <w:rPr>
                <w:rFonts w:hint="eastAsia"/>
                <w:spacing w:val="-5"/>
              </w:rPr>
              <w:t xml:space="preserve">／</w:t>
            </w:r>
            <w:r>
              <w:rPr>
                <w:spacing w:val="-5"/>
              </w:rPr>
              <w:t xml:space="preserve">℃</w:t>
            </w:r>
            <w:r/>
          </w:p>
        </w:tc>
      </w:tr>
      <w:tr>
        <w:trPr>
          <w:trHeight w:val="649"/>
        </w:trPr>
        <w:tc>
          <w:tcPr>
            <w:tcW w:w="410" w:type="pct"/>
            <w:textDirection w:val="lrTb"/>
            <w:noWrap w:val="false"/>
          </w:tcPr>
          <w:p>
            <w:pPr>
              <w:pStyle w:val="981"/>
              <w:ind w:left="234"/>
              <w:spacing w:before="225" w:line="320" w:lineRule="exact"/>
            </w:pPr>
            <w:r>
              <w:rPr>
                <w:spacing w:val="-8"/>
              </w:rPr>
              <w:t xml:space="preserve">16</w:t>
            </w:r>
            <w:r/>
          </w:p>
        </w:tc>
        <w:tc>
          <w:tcPr>
            <w:tcW w:w="2196" w:type="pct"/>
            <w:textDirection w:val="lrTb"/>
            <w:noWrap w:val="false"/>
          </w:tcPr>
          <w:p>
            <w:pPr>
              <w:pStyle w:val="981"/>
              <w:ind w:left="1510"/>
              <w:spacing w:before="198" w:line="320" w:lineRule="exact"/>
            </w:pPr>
            <w:r>
              <w:rPr>
                <w:spacing w:val="3"/>
              </w:rPr>
              <w:t xml:space="preserve">转换效率</w:t>
            </w:r>
            <w:r/>
          </w:p>
        </w:tc>
        <w:tc>
          <w:tcPr>
            <w:tcW w:w="2394" w:type="pct"/>
            <w:textDirection w:val="lrTb"/>
            <w:noWrap w:val="false"/>
          </w:tcPr>
          <w:p>
            <w:pPr>
              <w:pStyle w:val="981"/>
              <w:ind w:left="1975"/>
              <w:spacing w:before="225" w:line="320" w:lineRule="exact"/>
            </w:pPr>
            <w:r>
              <w:rPr>
                <w:rFonts w:hint="eastAsia"/>
                <w:spacing w:val="-4"/>
              </w:rPr>
              <w:t xml:space="preserve">＞</w:t>
            </w:r>
            <w:r>
              <w:rPr>
                <w:spacing w:val="-4"/>
              </w:rPr>
              <w:t xml:space="preserve">96</w:t>
            </w:r>
            <w:r>
              <w:rPr>
                <w:rFonts w:hint="eastAsia"/>
                <w:spacing w:val="-4"/>
              </w:rPr>
              <w:t xml:space="preserve">％</w:t>
            </w:r>
            <w:r/>
          </w:p>
        </w:tc>
      </w:tr>
      <w:tr>
        <w:trPr>
          <w:trHeight w:val="1429"/>
        </w:trPr>
        <w:tc>
          <w:tcPr>
            <w:tcW w:w="410" w:type="pct"/>
            <w:textDirection w:val="lrTb"/>
            <w:noWrap w:val="false"/>
          </w:tcPr>
          <w:p>
            <w:pPr>
              <w:spacing w:line="320" w:lineRule="exact"/>
            </w:pPr>
            <w:r/>
            <w:r/>
          </w:p>
          <w:p>
            <w:pPr>
              <w:spacing w:line="320" w:lineRule="exact"/>
            </w:pPr>
            <w:r/>
            <w:r/>
          </w:p>
          <w:p>
            <w:pPr>
              <w:pStyle w:val="981"/>
              <w:ind w:left="234"/>
              <w:spacing w:before="91" w:line="320" w:lineRule="exact"/>
            </w:pPr>
            <w:r>
              <w:rPr>
                <w:spacing w:val="-8"/>
              </w:rPr>
              <w:t xml:space="preserve">17</w:t>
            </w:r>
            <w:r/>
          </w:p>
        </w:tc>
        <w:tc>
          <w:tcPr>
            <w:tcW w:w="2196" w:type="pct"/>
            <w:textDirection w:val="lrTb"/>
            <w:noWrap w:val="false"/>
          </w:tcPr>
          <w:p>
            <w:pPr>
              <w:spacing w:line="320" w:lineRule="exact"/>
            </w:pPr>
            <w:r/>
            <w:r/>
          </w:p>
          <w:p>
            <w:pPr>
              <w:spacing w:line="320" w:lineRule="exact"/>
            </w:pPr>
            <w:r/>
            <w:r/>
          </w:p>
          <w:p>
            <w:pPr>
              <w:pStyle w:val="981"/>
              <w:ind w:left="1091"/>
              <w:spacing w:before="91" w:line="320" w:lineRule="exact"/>
            </w:pPr>
            <w:r>
              <w:rPr>
                <w:spacing w:val="3"/>
              </w:rPr>
              <w:t xml:space="preserve">干扰成分的影响</w:t>
            </w:r>
            <w:r/>
          </w:p>
        </w:tc>
        <w:tc>
          <w:tcPr>
            <w:tcW w:w="2394" w:type="pct"/>
            <w:textDirection w:val="lrTb"/>
            <w:noWrap w:val="false"/>
          </w:tcPr>
          <w:p>
            <w:pPr>
              <w:pStyle w:val="981"/>
              <w:ind w:left="655" w:right="760"/>
              <w:spacing w:before="41" w:line="320" w:lineRule="exact"/>
            </w:pPr>
            <w:r>
              <w:rPr>
                <w:spacing w:val="21"/>
              </w:rPr>
              <w:t xml:space="preserve">±4</w:t>
            </w:r>
            <w:r>
              <w:rPr>
                <w:rFonts w:hint="eastAsia"/>
                <w:spacing w:val="21"/>
              </w:rPr>
              <w:t xml:space="preserve">％</w:t>
            </w:r>
            <w:r>
              <w:rPr>
                <w:spacing w:val="21"/>
              </w:rPr>
              <w:t xml:space="preserve">满量程</w:t>
            </w:r>
            <w:r>
              <w:rPr>
                <w:rFonts w:hint="eastAsia"/>
                <w:spacing w:val="21"/>
              </w:rPr>
              <w:t xml:space="preserve">（</w:t>
            </w:r>
            <w:r>
              <w:rPr>
                <w:spacing w:val="21"/>
              </w:rPr>
              <w:t xml:space="preserve">2.5</w:t>
            </w:r>
            <w:r>
              <w:rPr>
                <w:rFonts w:hint="eastAsia"/>
                <w:spacing w:val="21"/>
              </w:rPr>
              <w:t xml:space="preserve">％</w:t>
            </w:r>
            <w:r>
              <w:rPr>
                <w:spacing w:val="21"/>
              </w:rPr>
              <w:t xml:space="preserve">H</w:t>
            </w:r>
            <w:r>
              <w:rPr>
                <w:rFonts w:ascii="Calibri" w:hAnsi="Calibri" w:eastAsia="Calibri" w:cs="Calibri"/>
                <w:spacing w:val="21"/>
              </w:rPr>
              <w:t xml:space="preserve">₂</w:t>
            </w:r>
            <w:r>
              <w:rPr>
                <w:spacing w:val="21"/>
              </w:rPr>
              <w:t xml:space="preserve">O</w:t>
            </w:r>
            <w:r>
              <w:rPr>
                <w:rFonts w:hint="eastAsia"/>
                <w:spacing w:val="21"/>
              </w:rPr>
              <w:t xml:space="preserve">）</w:t>
            </w:r>
            <w:r>
              <w:rPr>
                <w:spacing w:val="44"/>
              </w:rPr>
              <w:t xml:space="preserve">±4</w:t>
            </w:r>
            <w:r>
              <w:rPr>
                <w:rFonts w:hint="eastAsia"/>
                <w:spacing w:val="44"/>
              </w:rPr>
              <w:t xml:space="preserve">％</w:t>
            </w:r>
            <w:r>
              <w:rPr>
                <w:spacing w:val="44"/>
              </w:rPr>
              <w:t xml:space="preserve">满量程</w:t>
            </w:r>
            <w:r>
              <w:rPr>
                <w:rFonts w:hint="eastAsia"/>
                <w:spacing w:val="44"/>
              </w:rPr>
              <w:t xml:space="preserve">（</w:t>
            </w:r>
            <w:r>
              <w:rPr>
                <w:spacing w:val="44"/>
              </w:rPr>
              <w:t xml:space="preserve">1</w:t>
            </w:r>
            <w:r>
              <w:t xml:space="preserve">ppmNH</w:t>
            </w:r>
            <w:r>
              <w:rPr>
                <w:rFonts w:ascii="Calibri" w:hAnsi="Calibri" w:eastAsia="Calibri" w:cs="Calibri"/>
                <w:spacing w:val="44"/>
              </w:rPr>
              <w:t xml:space="preserve">₃</w:t>
            </w:r>
            <w:r>
              <w:rPr>
                <w:rFonts w:hint="eastAsia"/>
                <w:spacing w:val="44"/>
              </w:rPr>
              <w:t xml:space="preserve">）</w:t>
            </w:r>
            <w:r>
              <w:rPr>
                <w:spacing w:val="27"/>
              </w:rPr>
              <w:t xml:space="preserve">±4</w:t>
            </w:r>
            <w:r>
              <w:rPr>
                <w:rFonts w:hint="eastAsia"/>
                <w:spacing w:val="27"/>
              </w:rPr>
              <w:t xml:space="preserve">％</w:t>
            </w:r>
            <w:r>
              <w:rPr>
                <w:spacing w:val="27"/>
              </w:rPr>
              <w:t xml:space="preserve">满量程</w:t>
            </w:r>
            <w:r>
              <w:rPr>
                <w:rFonts w:hint="eastAsia"/>
                <w:spacing w:val="27"/>
              </w:rPr>
              <w:t xml:space="preserve">（</w:t>
            </w:r>
            <w:r>
              <w:rPr>
                <w:spacing w:val="27"/>
              </w:rPr>
              <w:t xml:space="preserve">200</w:t>
            </w:r>
            <w:r>
              <w:t xml:space="preserve">ppbO</w:t>
            </w:r>
            <w:r>
              <w:rPr>
                <w:rFonts w:ascii="Calibri" w:hAnsi="Calibri" w:eastAsia="Calibri" w:cs="Calibri"/>
                <w:spacing w:val="27"/>
              </w:rPr>
              <w:t xml:space="preserve">₃</w:t>
            </w:r>
            <w:r>
              <w:rPr>
                <w:rFonts w:hint="eastAsia"/>
                <w:spacing w:val="27"/>
              </w:rPr>
              <w:t xml:space="preserve">）</w:t>
            </w:r>
            <w:r>
              <w:rPr>
                <w:spacing w:val="17"/>
              </w:rPr>
              <w:t xml:space="preserve">±4</w:t>
            </w:r>
            <w:r>
              <w:rPr>
                <w:rFonts w:hint="eastAsia"/>
                <w:spacing w:val="17"/>
              </w:rPr>
              <w:t xml:space="preserve">％</w:t>
            </w:r>
            <w:r>
              <w:rPr>
                <w:spacing w:val="17"/>
              </w:rPr>
              <w:t xml:space="preserve">满量程</w:t>
            </w:r>
            <w:r>
              <w:rPr>
                <w:rFonts w:hint="eastAsia"/>
                <w:spacing w:val="17"/>
              </w:rPr>
              <w:t xml:space="preserve">（</w:t>
            </w:r>
            <w:r>
              <w:rPr>
                <w:spacing w:val="17"/>
              </w:rPr>
              <w:t xml:space="preserve">500</w:t>
            </w:r>
            <w:r>
              <w:t xml:space="preserve">ppbSO</w:t>
            </w:r>
            <w:r>
              <w:rPr>
                <w:rFonts w:ascii="Calibri" w:hAnsi="Calibri" w:eastAsia="Calibri" w:cs="Calibri"/>
                <w:spacing w:val="17"/>
              </w:rPr>
              <w:t xml:space="preserve">₂</w:t>
            </w:r>
            <w:r>
              <w:rPr>
                <w:rFonts w:hint="eastAsia"/>
                <w:spacing w:val="17"/>
              </w:rPr>
              <w:t xml:space="preserve">）</w:t>
            </w:r>
            <w:r/>
          </w:p>
        </w:tc>
      </w:tr>
      <w:tr>
        <w:trPr>
          <w:trHeight w:val="640"/>
        </w:trPr>
        <w:tc>
          <w:tcPr>
            <w:tcW w:w="410" w:type="pct"/>
            <w:textDirection w:val="lrTb"/>
            <w:noWrap w:val="false"/>
          </w:tcPr>
          <w:p>
            <w:pPr>
              <w:pStyle w:val="981"/>
              <w:ind w:left="234"/>
              <w:spacing w:before="217" w:line="320" w:lineRule="exact"/>
            </w:pPr>
            <w:r>
              <w:rPr>
                <w:spacing w:val="-8"/>
              </w:rPr>
              <w:t xml:space="preserve">18</w:t>
            </w:r>
            <w:r/>
          </w:p>
        </w:tc>
        <w:tc>
          <w:tcPr>
            <w:tcW w:w="2196" w:type="pct"/>
            <w:textDirection w:val="lrTb"/>
            <w:noWrap w:val="false"/>
          </w:tcPr>
          <w:p>
            <w:pPr>
              <w:pStyle w:val="981"/>
              <w:ind w:left="530"/>
              <w:spacing w:before="188" w:line="320" w:lineRule="exact"/>
            </w:pPr>
            <w:r>
              <w:rPr>
                <w:spacing w:val="1"/>
              </w:rPr>
              <w:t xml:space="preserve">采样口和校准口浓度偏差</w:t>
            </w:r>
            <w:r/>
          </w:p>
        </w:tc>
        <w:tc>
          <w:tcPr>
            <w:tcW w:w="2394" w:type="pct"/>
            <w:textDirection w:val="lrTb"/>
            <w:noWrap w:val="false"/>
          </w:tcPr>
          <w:p>
            <w:pPr>
              <w:pStyle w:val="981"/>
              <w:ind w:left="1975"/>
              <w:spacing w:before="214" w:line="320" w:lineRule="exact"/>
            </w:pPr>
            <w:r>
              <w:rPr>
                <w:spacing w:val="-11"/>
              </w:rPr>
              <w:t xml:space="preserve">±1</w:t>
            </w:r>
            <w:r>
              <w:rPr>
                <w:rFonts w:hint="eastAsia"/>
                <w:spacing w:val="-11"/>
              </w:rPr>
              <w:t xml:space="preserve">％</w:t>
            </w:r>
            <w:r/>
          </w:p>
        </w:tc>
      </w:tr>
      <w:tr>
        <w:trPr>
          <w:trHeight w:val="669"/>
        </w:trPr>
        <w:tc>
          <w:tcPr>
            <w:tcW w:w="410" w:type="pct"/>
            <w:textDirection w:val="lrTb"/>
            <w:noWrap w:val="false"/>
          </w:tcPr>
          <w:p>
            <w:pPr>
              <w:pStyle w:val="981"/>
              <w:ind w:left="234"/>
              <w:spacing w:before="237" w:line="320" w:lineRule="exact"/>
            </w:pPr>
            <w:r>
              <w:rPr>
                <w:spacing w:val="-8"/>
              </w:rPr>
              <w:t xml:space="preserve">19</w:t>
            </w:r>
            <w:r/>
          </w:p>
        </w:tc>
        <w:tc>
          <w:tcPr>
            <w:tcW w:w="2196" w:type="pct"/>
            <w:textDirection w:val="lrTb"/>
            <w:noWrap w:val="false"/>
          </w:tcPr>
          <w:p>
            <w:pPr>
              <w:pStyle w:val="981"/>
              <w:ind w:left="810"/>
              <w:spacing w:before="210" w:line="320" w:lineRule="exact"/>
            </w:pPr>
            <w:r>
              <w:rPr>
                <w:spacing w:val="1"/>
              </w:rPr>
              <w:t xml:space="preserve">长期</w:t>
            </w:r>
            <w:r>
              <w:rPr>
                <w:rFonts w:hint="eastAsia"/>
                <w:spacing w:val="1"/>
              </w:rPr>
              <w:t xml:space="preserve">（</w:t>
            </w:r>
            <w:r>
              <w:rPr>
                <w:spacing w:val="1"/>
              </w:rPr>
              <w:t xml:space="preserve">≥7d</w:t>
            </w:r>
            <w:r>
              <w:rPr>
                <w:rFonts w:hint="eastAsia"/>
                <w:spacing w:val="1"/>
              </w:rPr>
              <w:t xml:space="preserve">）</w:t>
            </w:r>
            <w:r>
              <w:rPr>
                <w:spacing w:val="1"/>
              </w:rPr>
              <w:t xml:space="preserve">零点漂移</w:t>
            </w:r>
            <w:r/>
          </w:p>
        </w:tc>
        <w:tc>
          <w:tcPr>
            <w:tcW w:w="2394" w:type="pct"/>
            <w:textDirection w:val="lrTb"/>
            <w:noWrap w:val="false"/>
          </w:tcPr>
          <w:p>
            <w:pPr>
              <w:pStyle w:val="981"/>
              <w:ind w:left="1765"/>
              <w:spacing w:before="203" w:line="320" w:lineRule="exact"/>
            </w:pPr>
            <w:r>
              <w:rPr>
                <w:spacing w:val="-8"/>
              </w:rPr>
              <w:t xml:space="preserve">±10ppb</w:t>
            </w:r>
            <w:r/>
          </w:p>
        </w:tc>
      </w:tr>
      <w:tr>
        <w:trPr>
          <w:trHeight w:val="650"/>
        </w:trPr>
        <w:tc>
          <w:tcPr>
            <w:tcW w:w="410" w:type="pct"/>
            <w:textDirection w:val="lrTb"/>
            <w:noWrap w:val="false"/>
          </w:tcPr>
          <w:p>
            <w:pPr>
              <w:pStyle w:val="981"/>
              <w:ind w:left="234"/>
              <w:spacing w:before="228" w:line="320" w:lineRule="exact"/>
            </w:pPr>
            <w:r>
              <w:rPr>
                <w:spacing w:val="-4"/>
              </w:rPr>
              <w:t xml:space="preserve">20</w:t>
            </w:r>
            <w:r/>
          </w:p>
        </w:tc>
        <w:tc>
          <w:tcPr>
            <w:tcW w:w="2196" w:type="pct"/>
            <w:textDirection w:val="lrTb"/>
            <w:noWrap w:val="false"/>
          </w:tcPr>
          <w:p>
            <w:pPr>
              <w:pStyle w:val="981"/>
              <w:ind w:left="810"/>
              <w:spacing w:before="201" w:line="320" w:lineRule="exact"/>
            </w:pPr>
            <w:r>
              <w:rPr>
                <w:spacing w:val="1"/>
              </w:rPr>
              <w:t xml:space="preserve">长期</w:t>
            </w:r>
            <w:r>
              <w:rPr>
                <w:rFonts w:hint="eastAsia"/>
                <w:spacing w:val="1"/>
              </w:rPr>
              <w:t xml:space="preserve">（</w:t>
            </w:r>
            <w:r>
              <w:rPr>
                <w:spacing w:val="1"/>
              </w:rPr>
              <w:t xml:space="preserve">≥7d</w:t>
            </w:r>
            <w:r>
              <w:rPr>
                <w:rFonts w:hint="eastAsia"/>
                <w:spacing w:val="1"/>
              </w:rPr>
              <w:t xml:space="preserve">）</w:t>
            </w:r>
            <w:r>
              <w:rPr>
                <w:spacing w:val="1"/>
              </w:rPr>
              <w:t xml:space="preserve">量程漂移</w:t>
            </w:r>
            <w:r/>
          </w:p>
        </w:tc>
        <w:tc>
          <w:tcPr>
            <w:tcW w:w="2394" w:type="pct"/>
            <w:textDirection w:val="lrTb"/>
            <w:noWrap w:val="false"/>
          </w:tcPr>
          <w:p>
            <w:pPr>
              <w:pStyle w:val="981"/>
              <w:ind w:left="1765"/>
              <w:spacing w:before="194" w:line="320" w:lineRule="exact"/>
            </w:pPr>
            <w:r>
              <w:rPr>
                <w:spacing w:val="-8"/>
              </w:rPr>
              <w:t xml:space="preserve">±20ppb</w:t>
            </w:r>
            <w:r/>
          </w:p>
        </w:tc>
      </w:tr>
      <w:tr>
        <w:trPr>
          <w:trHeight w:val="665"/>
        </w:trPr>
        <w:tc>
          <w:tcPr>
            <w:tcW w:w="410" w:type="pct"/>
            <w:textDirection w:val="lrTb"/>
            <w:noWrap w:val="false"/>
          </w:tcPr>
          <w:p>
            <w:pPr>
              <w:pStyle w:val="981"/>
              <w:ind w:left="234"/>
              <w:spacing w:before="229" w:line="320" w:lineRule="exact"/>
            </w:pPr>
            <w:r>
              <w:rPr>
                <w:spacing w:val="-4"/>
              </w:rPr>
              <w:t xml:space="preserve">21</w:t>
            </w:r>
            <w:r/>
          </w:p>
        </w:tc>
        <w:tc>
          <w:tcPr>
            <w:tcW w:w="2196" w:type="pct"/>
            <w:textDirection w:val="lrTb"/>
            <w:noWrap w:val="false"/>
          </w:tcPr>
          <w:p>
            <w:pPr>
              <w:pStyle w:val="981"/>
              <w:ind w:left="951"/>
              <w:spacing w:before="201" w:line="320" w:lineRule="exact"/>
            </w:pPr>
            <w:r>
              <w:rPr>
                <w:spacing w:val="1"/>
              </w:rPr>
              <w:t xml:space="preserve">平均故障间隔天数</w:t>
            </w:r>
            <w:r/>
          </w:p>
        </w:tc>
        <w:tc>
          <w:tcPr>
            <w:tcW w:w="2394" w:type="pct"/>
            <w:textDirection w:val="lrTb"/>
            <w:noWrap w:val="false"/>
          </w:tcPr>
          <w:p>
            <w:pPr>
              <w:pStyle w:val="981"/>
              <w:ind w:left="1975"/>
              <w:spacing w:before="229" w:line="320" w:lineRule="exact"/>
            </w:pPr>
            <w:r>
              <w:rPr>
                <w:spacing w:val="-10"/>
              </w:rPr>
              <w:t xml:space="preserve">≥7d</w:t>
            </w:r>
            <w:r/>
          </w:p>
        </w:tc>
      </w:tr>
    </w:tbl>
    <w:p>
      <w:pPr>
        <w:ind w:firstLine="482"/>
        <w:jc w:val="left"/>
        <w:spacing w:line="400" w:lineRule="exact"/>
        <w:widowControl/>
        <w:rPr>
          <w:rFonts w:ascii="宋体" w:hAnsi="宋体" w:eastAsia="宋体" w:cs="宋体"/>
          <w:sz w:val="24"/>
          <w:szCs w:val="24"/>
        </w:rPr>
        <w:sectPr>
          <w:footnotePr/>
          <w:endnotePr/>
          <w:type w:val="nextPage"/>
          <w:pgSz w:w="11840" w:h="16740" w:orient="portrait"/>
          <w:pgMar w:top="2098" w:right="1474" w:bottom="1984" w:left="1587" w:header="851" w:footer="1417" w:gutter="0"/>
          <w:cols w:num="1" w:sep="0" w:space="720" w:equalWidth="1"/>
          <w:docGrid w:linePitch="360"/>
        </w:sectPr>
      </w:pPr>
      <w:r>
        <w:rPr>
          <w:rFonts w:ascii="宋体" w:hAnsi="宋体" w:eastAsia="宋体" w:cs="宋体"/>
          <w:sz w:val="24"/>
          <w:szCs w:val="24"/>
        </w:rPr>
      </w:r>
      <w:r/>
    </w:p>
    <w:p>
      <w:pPr>
        <w:ind w:firstLine="482"/>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4.O₃在线监测分析仪</w:t>
      </w:r>
      <w:r/>
    </w:p>
    <w:tbl>
      <w:tblPr>
        <w:tblStyle w:val="98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3"/>
        <w:gridCol w:w="3882"/>
        <w:gridCol w:w="4192"/>
      </w:tblGrid>
      <w:tr>
        <w:trPr>
          <w:trHeight w:val="674"/>
        </w:trPr>
        <w:tc>
          <w:tcPr>
            <w:tcW w:w="406" w:type="pct"/>
            <w:textDirection w:val="lrTb"/>
            <w:noWrap w:val="false"/>
          </w:tcPr>
          <w:p>
            <w:pPr>
              <w:pStyle w:val="981"/>
              <w:ind w:left="94"/>
              <w:spacing w:before="198" w:line="221" w:lineRule="auto"/>
              <w:rPr>
                <w:color w:val="000000" w:themeColor="text1"/>
                <w:sz w:val="29"/>
                <w:szCs w:val="29"/>
                <w14:textFill>
                  <w14:solidFill>
                    <w14:schemeClr w14:val="tx1"/>
                  </w14:solidFill>
                </w14:textFill>
              </w:rPr>
            </w:pPr>
            <w:r>
              <w:rPr>
                <w:color w:val="000000" w:themeColor="text1"/>
                <w:spacing w:val="9"/>
                <w:sz w:val="29"/>
                <w:szCs w:val="29"/>
                <w14:textFill>
                  <w14:solidFill>
                    <w14:schemeClr w14:val="tx1"/>
                  </w14:solidFill>
                </w14:textFill>
              </w:rPr>
              <w:t xml:space="preserve">序号</w:t>
            </w:r>
            <w:r/>
          </w:p>
        </w:tc>
        <w:tc>
          <w:tcPr>
            <w:tcW w:w="2208" w:type="pct"/>
            <w:textDirection w:val="lrTb"/>
            <w:noWrap w:val="false"/>
          </w:tcPr>
          <w:p>
            <w:pPr>
              <w:pStyle w:val="981"/>
              <w:ind w:left="1860"/>
              <w:spacing w:before="197" w:line="220" w:lineRule="auto"/>
              <w:rPr>
                <w:color w:val="000000" w:themeColor="text1"/>
                <w:sz w:val="29"/>
                <w:szCs w:val="29"/>
                <w14:textFill>
                  <w14:solidFill>
                    <w14:schemeClr w14:val="tx1"/>
                  </w14:solidFill>
                </w14:textFill>
              </w:rPr>
            </w:pPr>
            <w:r>
              <w:rPr>
                <w:color w:val="000000" w:themeColor="text1"/>
                <w:spacing w:val="-8"/>
                <w:sz w:val="29"/>
                <w:szCs w:val="29"/>
                <w14:textFill>
                  <w14:solidFill>
                    <w14:schemeClr w14:val="tx1"/>
                  </w14:solidFill>
                </w14:textFill>
              </w:rPr>
              <w:t xml:space="preserve">项 目</w:t>
            </w:r>
            <w:r/>
          </w:p>
        </w:tc>
        <w:tc>
          <w:tcPr>
            <w:tcW w:w="2384" w:type="pct"/>
            <w:textDirection w:val="lrTb"/>
            <w:noWrap w:val="false"/>
          </w:tcPr>
          <w:p>
            <w:pPr>
              <w:pStyle w:val="981"/>
              <w:ind w:left="1594"/>
              <w:spacing w:before="197" w:line="220" w:lineRule="auto"/>
              <w:rPr>
                <w:color w:val="000000" w:themeColor="text1"/>
                <w:sz w:val="29"/>
                <w:szCs w:val="29"/>
                <w14:textFill>
                  <w14:solidFill>
                    <w14:schemeClr w14:val="tx1"/>
                  </w14:solidFill>
                </w14:textFill>
              </w:rPr>
            </w:pPr>
            <w:r>
              <w:rPr>
                <w:color w:val="000000" w:themeColor="text1"/>
                <w:spacing w:val="2"/>
                <w:sz w:val="29"/>
                <w:szCs w:val="29"/>
                <w14:textFill>
                  <w14:solidFill>
                    <w14:schemeClr w14:val="tx1"/>
                  </w14:solidFill>
                </w14:textFill>
              </w:rPr>
              <w:t xml:space="preserve">指标或性能</w:t>
            </w:r>
            <w:r/>
          </w:p>
        </w:tc>
      </w:tr>
      <w:tr>
        <w:trPr>
          <w:trHeight w:val="680"/>
        </w:trPr>
        <w:tc>
          <w:tcPr>
            <w:tcW w:w="406" w:type="pct"/>
            <w:textDirection w:val="lrTb"/>
            <w:noWrap w:val="false"/>
          </w:tcPr>
          <w:p>
            <w:pPr>
              <w:pStyle w:val="981"/>
              <w:ind w:left="315"/>
              <w:spacing w:before="231" w:line="241" w:lineRule="auto"/>
              <w:rPr>
                <w:color w:val="000000" w:themeColor="text1"/>
                <w:sz w:val="29"/>
                <w:szCs w:val="29"/>
                <w14:textFill>
                  <w14:solidFill>
                    <w14:schemeClr w14:val="tx1"/>
                  </w14:solidFill>
                </w14:textFill>
              </w:rPr>
            </w:pPr>
            <w:r>
              <w:rPr>
                <w:color w:val="000000" w:themeColor="text1"/>
                <w:sz w:val="29"/>
                <w:szCs w:val="29"/>
                <w14:textFill>
                  <w14:solidFill>
                    <w14:schemeClr w14:val="tx1"/>
                  </w14:solidFill>
                </w14:textFill>
              </w:rPr>
              <w:t xml:space="preserve">1</w:t>
            </w:r>
            <w:r/>
          </w:p>
        </w:tc>
        <w:tc>
          <w:tcPr>
            <w:tcW w:w="2208" w:type="pct"/>
            <w:textDirection w:val="lrTb"/>
            <w:noWrap w:val="false"/>
          </w:tcPr>
          <w:p>
            <w:pPr>
              <w:pStyle w:val="981"/>
              <w:ind w:left="1571"/>
              <w:spacing w:before="203" w:line="220" w:lineRule="auto"/>
              <w:rPr>
                <w:color w:val="000000" w:themeColor="text1"/>
                <w:sz w:val="29"/>
                <w:szCs w:val="29"/>
                <w14:textFill>
                  <w14:solidFill>
                    <w14:schemeClr w14:val="tx1"/>
                  </w14:solidFill>
                </w14:textFill>
              </w:rPr>
            </w:pPr>
            <w:r>
              <w:rPr>
                <w:color w:val="000000" w:themeColor="text1"/>
                <w:spacing w:val="2"/>
                <w:sz w:val="29"/>
                <w:szCs w:val="29"/>
                <w14:textFill>
                  <w14:solidFill>
                    <w14:schemeClr w14:val="tx1"/>
                  </w14:solidFill>
                </w14:textFill>
              </w:rPr>
              <w:t xml:space="preserve">分析方法</w:t>
            </w:r>
            <w:r/>
          </w:p>
        </w:tc>
        <w:tc>
          <w:tcPr>
            <w:tcW w:w="2384" w:type="pct"/>
            <w:textDirection w:val="lrTb"/>
            <w:noWrap w:val="false"/>
          </w:tcPr>
          <w:p>
            <w:pPr>
              <w:pStyle w:val="981"/>
              <w:ind w:left="1594"/>
              <w:spacing w:before="203" w:line="219" w:lineRule="auto"/>
              <w:rPr>
                <w:color w:val="000000" w:themeColor="text1"/>
                <w:sz w:val="29"/>
                <w:szCs w:val="29"/>
                <w14:textFill>
                  <w14:solidFill>
                    <w14:schemeClr w14:val="tx1"/>
                  </w14:solidFill>
                </w14:textFill>
              </w:rPr>
            </w:pPr>
            <w:r>
              <w:rPr>
                <w:color w:val="000000" w:themeColor="text1"/>
                <w:spacing w:val="2"/>
                <w:sz w:val="29"/>
                <w:szCs w:val="29"/>
                <w14:textFill>
                  <w14:solidFill>
                    <w14:schemeClr w14:val="tx1"/>
                  </w14:solidFill>
                </w14:textFill>
              </w:rPr>
              <w:t xml:space="preserve">紫外吸收法</w:t>
            </w:r>
            <w:r/>
          </w:p>
        </w:tc>
      </w:tr>
      <w:tr>
        <w:trPr>
          <w:trHeight w:val="660"/>
        </w:trPr>
        <w:tc>
          <w:tcPr>
            <w:tcW w:w="406" w:type="pct"/>
            <w:textDirection w:val="lrTb"/>
            <w:noWrap w:val="false"/>
          </w:tcPr>
          <w:p>
            <w:pPr>
              <w:pStyle w:val="981"/>
              <w:ind w:left="315"/>
              <w:spacing w:before="221" w:line="241" w:lineRule="auto"/>
              <w:rPr>
                <w:color w:val="000000" w:themeColor="text1"/>
                <w:sz w:val="29"/>
                <w:szCs w:val="29"/>
                <w14:textFill>
                  <w14:solidFill>
                    <w14:schemeClr w14:val="tx1"/>
                  </w14:solidFill>
                </w14:textFill>
              </w:rPr>
            </w:pPr>
            <w:r>
              <w:rPr>
                <w:color w:val="000000" w:themeColor="text1"/>
                <w:sz w:val="29"/>
                <w:szCs w:val="29"/>
                <w14:textFill>
                  <w14:solidFill>
                    <w14:schemeClr w14:val="tx1"/>
                  </w14:solidFill>
                </w14:textFill>
              </w:rPr>
              <w:t xml:space="preserve">2</w:t>
            </w:r>
            <w:r/>
          </w:p>
        </w:tc>
        <w:tc>
          <w:tcPr>
            <w:tcW w:w="2208" w:type="pct"/>
            <w:textDirection w:val="lrTb"/>
            <w:noWrap w:val="false"/>
          </w:tcPr>
          <w:p>
            <w:pPr>
              <w:pStyle w:val="981"/>
              <w:ind w:left="1571"/>
              <w:spacing w:before="193" w:line="220" w:lineRule="auto"/>
              <w:rPr>
                <w:color w:val="000000" w:themeColor="text1"/>
                <w:sz w:val="29"/>
                <w:szCs w:val="29"/>
                <w14:textFill>
                  <w14:solidFill>
                    <w14:schemeClr w14:val="tx1"/>
                  </w14:solidFill>
                </w14:textFill>
              </w:rPr>
            </w:pPr>
            <w:r>
              <w:rPr>
                <w:color w:val="000000" w:themeColor="text1"/>
                <w:spacing w:val="6"/>
                <w:sz w:val="29"/>
                <w:szCs w:val="29"/>
                <w14:textFill>
                  <w14:solidFill>
                    <w14:schemeClr w14:val="tx1"/>
                  </w14:solidFill>
                </w14:textFill>
              </w:rPr>
              <w:t xml:space="preserve">测量范围</w:t>
            </w:r>
            <w:r/>
          </w:p>
        </w:tc>
        <w:tc>
          <w:tcPr>
            <w:tcW w:w="2384" w:type="pct"/>
            <w:textDirection w:val="lrTb"/>
            <w:noWrap w:val="false"/>
          </w:tcPr>
          <w:p>
            <w:pPr>
              <w:pStyle w:val="981"/>
              <w:ind w:left="1744"/>
              <w:spacing w:before="185" w:line="214" w:lineRule="auto"/>
              <w:rPr>
                <w:color w:val="000000" w:themeColor="text1"/>
                <w:sz w:val="29"/>
                <w:szCs w:val="29"/>
                <w14:textFill>
                  <w14:solidFill>
                    <w14:schemeClr w14:val="tx1"/>
                  </w14:solidFill>
                </w14:textFill>
              </w:rPr>
            </w:pPr>
            <w:r>
              <w:rPr>
                <w:color w:val="000000" w:themeColor="text1"/>
                <w:spacing w:val="-2"/>
                <w:sz w:val="29"/>
                <w:szCs w:val="29"/>
                <w14:textFill>
                  <w14:solidFill>
                    <w14:schemeClr w14:val="tx1"/>
                  </w14:solidFill>
                </w14:textFill>
              </w:rPr>
              <w:t xml:space="preserve">0</w:t>
            </w:r>
            <w:r>
              <w:rPr>
                <w:rFonts w:hint="eastAsia"/>
                <w:color w:val="000000" w:themeColor="text1"/>
                <w:spacing w:val="-2"/>
                <w:sz w:val="29"/>
                <w:szCs w:val="29"/>
                <w14:textFill>
                  <w14:solidFill>
                    <w14:schemeClr w14:val="tx1"/>
                  </w14:solidFill>
                </w14:textFill>
              </w:rPr>
              <w:t xml:space="preserve">－</w:t>
            </w:r>
            <w:r>
              <w:rPr>
                <w:color w:val="000000" w:themeColor="text1"/>
                <w:spacing w:val="-2"/>
                <w:sz w:val="29"/>
                <w:szCs w:val="29"/>
                <w14:textFill>
                  <w14:solidFill>
                    <w14:schemeClr w14:val="tx1"/>
                  </w14:solidFill>
                </w14:textFill>
              </w:rPr>
              <w:t xml:space="preserve">500ppb</w:t>
            </w:r>
            <w:r/>
          </w:p>
        </w:tc>
      </w:tr>
      <w:tr>
        <w:trPr>
          <w:trHeight w:val="669"/>
        </w:trPr>
        <w:tc>
          <w:tcPr>
            <w:tcW w:w="406" w:type="pct"/>
            <w:textDirection w:val="lrTb"/>
            <w:noWrap w:val="false"/>
          </w:tcPr>
          <w:p>
            <w:pPr>
              <w:pStyle w:val="981"/>
              <w:ind w:left="315"/>
              <w:spacing w:before="221"/>
              <w:rPr>
                <w:color w:val="000000" w:themeColor="text1"/>
                <w:sz w:val="29"/>
                <w:szCs w:val="29"/>
                <w14:textFill>
                  <w14:solidFill>
                    <w14:schemeClr w14:val="tx1"/>
                  </w14:solidFill>
                </w14:textFill>
              </w:rPr>
            </w:pPr>
            <w:r>
              <w:rPr>
                <w:color w:val="000000" w:themeColor="text1"/>
                <w:sz w:val="29"/>
                <w:szCs w:val="29"/>
                <w14:textFill>
                  <w14:solidFill>
                    <w14:schemeClr w14:val="tx1"/>
                  </w14:solidFill>
                </w14:textFill>
              </w:rPr>
              <w:t xml:space="preserve">3</w:t>
            </w:r>
            <w:r/>
          </w:p>
        </w:tc>
        <w:tc>
          <w:tcPr>
            <w:tcW w:w="2208" w:type="pct"/>
            <w:textDirection w:val="lrTb"/>
            <w:noWrap w:val="false"/>
          </w:tcPr>
          <w:p>
            <w:pPr>
              <w:pStyle w:val="981"/>
              <w:ind w:left="1571"/>
              <w:spacing w:before="193" w:line="219" w:lineRule="auto"/>
              <w:rPr>
                <w:color w:val="000000" w:themeColor="text1"/>
                <w:sz w:val="29"/>
                <w:szCs w:val="29"/>
                <w14:textFill>
                  <w14:solidFill>
                    <w14:schemeClr w14:val="tx1"/>
                  </w14:solidFill>
                </w14:textFill>
              </w:rPr>
            </w:pPr>
            <w:r>
              <w:rPr>
                <w:color w:val="000000" w:themeColor="text1"/>
                <w:spacing w:val="4"/>
                <w:sz w:val="29"/>
                <w:szCs w:val="29"/>
                <w14:textFill>
                  <w14:solidFill>
                    <w14:schemeClr w14:val="tx1"/>
                  </w14:solidFill>
                </w14:textFill>
              </w:rPr>
              <w:t xml:space="preserve">★零点噪声</w:t>
            </w:r>
            <w:r/>
          </w:p>
        </w:tc>
        <w:tc>
          <w:tcPr>
            <w:tcW w:w="2384" w:type="pct"/>
            <w:textDirection w:val="lrTb"/>
            <w:noWrap w:val="false"/>
          </w:tcPr>
          <w:p>
            <w:pPr>
              <w:pStyle w:val="981"/>
              <w:ind w:left="1884"/>
              <w:spacing w:before="185" w:line="214" w:lineRule="auto"/>
              <w:rPr>
                <w:color w:val="000000" w:themeColor="text1"/>
                <w:sz w:val="29"/>
                <w:szCs w:val="29"/>
                <w14:textFill>
                  <w14:solidFill>
                    <w14:schemeClr w14:val="tx1"/>
                  </w14:solidFill>
                </w14:textFill>
              </w:rPr>
            </w:pPr>
            <w:r>
              <w:rPr>
                <w:color w:val="000000" w:themeColor="text1"/>
                <w:spacing w:val="-7"/>
                <w:sz w:val="29"/>
                <w:szCs w:val="29"/>
                <w14:textFill>
                  <w14:solidFill>
                    <w14:schemeClr w14:val="tx1"/>
                  </w14:solidFill>
                </w14:textFill>
              </w:rPr>
              <w:t xml:space="preserve">≤</w:t>
            </w:r>
            <w:r>
              <w:rPr>
                <w:rFonts w:hint="eastAsia"/>
                <w:color w:val="000000" w:themeColor="text1"/>
                <w:spacing w:val="-7"/>
                <w:sz w:val="29"/>
                <w:szCs w:val="29"/>
                <w14:textFill>
                  <w14:solidFill>
                    <w14:schemeClr w14:val="tx1"/>
                  </w14:solidFill>
                </w14:textFill>
              </w:rPr>
              <w:t xml:space="preserve">0.02</w:t>
            </w:r>
            <w:r>
              <w:rPr>
                <w:rFonts w:hint="eastAsia"/>
                <w:color w:val="000000" w:themeColor="text1"/>
                <w:spacing w:val="-7"/>
                <w:sz w:val="31"/>
                <w:szCs w:val="31"/>
                <w14:textFill>
                  <w14:solidFill>
                    <w14:schemeClr w14:val="tx1"/>
                  </w14:solidFill>
                </w14:textFill>
              </w:rPr>
              <w:t xml:space="preserve">ppb</w:t>
            </w:r>
            <w:r/>
          </w:p>
        </w:tc>
      </w:tr>
      <w:tr>
        <w:trPr>
          <w:trHeight w:val="680"/>
        </w:trPr>
        <w:tc>
          <w:tcPr>
            <w:tcW w:w="406" w:type="pct"/>
            <w:textDirection w:val="lrTb"/>
            <w:noWrap w:val="false"/>
          </w:tcPr>
          <w:p>
            <w:pPr>
              <w:pStyle w:val="981"/>
              <w:ind w:left="315"/>
              <w:spacing w:before="232" w:line="241" w:lineRule="auto"/>
              <w:rPr>
                <w:color w:val="000000" w:themeColor="text1"/>
                <w:sz w:val="29"/>
                <w:szCs w:val="29"/>
                <w14:textFill>
                  <w14:solidFill>
                    <w14:schemeClr w14:val="tx1"/>
                  </w14:solidFill>
                </w14:textFill>
              </w:rPr>
            </w:pPr>
            <w:r>
              <w:rPr>
                <w:color w:val="000000" w:themeColor="text1"/>
                <w:sz w:val="29"/>
                <w:szCs w:val="29"/>
                <w14:textFill>
                  <w14:solidFill>
                    <w14:schemeClr w14:val="tx1"/>
                  </w14:solidFill>
                </w14:textFill>
              </w:rPr>
              <w:t xml:space="preserve">4</w:t>
            </w:r>
            <w:r/>
          </w:p>
        </w:tc>
        <w:tc>
          <w:tcPr>
            <w:tcW w:w="2208" w:type="pct"/>
            <w:textDirection w:val="lrTb"/>
            <w:noWrap w:val="false"/>
          </w:tcPr>
          <w:p>
            <w:pPr>
              <w:pStyle w:val="981"/>
              <w:ind w:left="1420"/>
              <w:spacing w:before="204" w:line="219" w:lineRule="auto"/>
              <w:rPr>
                <w:color w:val="000000" w:themeColor="text1"/>
                <w:sz w:val="29"/>
                <w:szCs w:val="29"/>
                <w14:textFill>
                  <w14:solidFill>
                    <w14:schemeClr w14:val="tx1"/>
                  </w14:solidFill>
                </w14:textFill>
              </w:rPr>
            </w:pPr>
            <w:r>
              <w:rPr>
                <w:color w:val="000000" w:themeColor="text1"/>
                <w:spacing w:val="3"/>
                <w:sz w:val="29"/>
                <w:szCs w:val="29"/>
                <w14:textFill>
                  <w14:solidFill>
                    <w14:schemeClr w14:val="tx1"/>
                  </w14:solidFill>
                </w14:textFill>
              </w:rPr>
              <w:t xml:space="preserve">★最低检出限</w:t>
            </w:r>
            <w:r/>
          </w:p>
        </w:tc>
        <w:tc>
          <w:tcPr>
            <w:tcW w:w="2384" w:type="pct"/>
            <w:textDirection w:val="lrTb"/>
            <w:noWrap w:val="false"/>
          </w:tcPr>
          <w:p>
            <w:pPr>
              <w:pStyle w:val="981"/>
              <w:ind w:left="1884"/>
              <w:spacing w:before="196" w:line="214" w:lineRule="auto"/>
              <w:rPr>
                <w:color w:val="000000" w:themeColor="text1"/>
                <w:sz w:val="29"/>
                <w:szCs w:val="29"/>
                <w14:textFill>
                  <w14:solidFill>
                    <w14:schemeClr w14:val="tx1"/>
                  </w14:solidFill>
                </w14:textFill>
              </w:rPr>
            </w:pPr>
            <w:r>
              <w:rPr>
                <w:color w:val="000000" w:themeColor="text1"/>
                <w:spacing w:val="-7"/>
                <w:sz w:val="29"/>
                <w:szCs w:val="29"/>
                <w14:textFill>
                  <w14:solidFill>
                    <w14:schemeClr w14:val="tx1"/>
                  </w14:solidFill>
                </w14:textFill>
              </w:rPr>
              <w:t xml:space="preserve">≤</w:t>
            </w:r>
            <w:r>
              <w:rPr>
                <w:rFonts w:hint="eastAsia"/>
                <w:color w:val="000000" w:themeColor="text1"/>
                <w:spacing w:val="-7"/>
                <w:sz w:val="29"/>
                <w:szCs w:val="29"/>
                <w14:textFill>
                  <w14:solidFill>
                    <w14:schemeClr w14:val="tx1"/>
                  </w14:solidFill>
                </w14:textFill>
              </w:rPr>
              <w:t xml:space="preserve">0.04</w:t>
            </w:r>
            <w:r>
              <w:rPr>
                <w:rFonts w:hint="eastAsia"/>
                <w:color w:val="000000" w:themeColor="text1"/>
                <w:spacing w:val="-7"/>
                <w:sz w:val="31"/>
                <w:szCs w:val="31"/>
                <w14:textFill>
                  <w14:solidFill>
                    <w14:schemeClr w14:val="tx1"/>
                  </w14:solidFill>
                </w14:textFill>
              </w:rPr>
              <w:t xml:space="preserve">ppb</w:t>
            </w:r>
            <w:r/>
          </w:p>
        </w:tc>
      </w:tr>
      <w:tr>
        <w:trPr>
          <w:trHeight w:val="680"/>
        </w:trPr>
        <w:tc>
          <w:tcPr>
            <w:tcW w:w="406" w:type="pct"/>
            <w:textDirection w:val="lrTb"/>
            <w:noWrap w:val="false"/>
          </w:tcPr>
          <w:p>
            <w:pPr>
              <w:pStyle w:val="981"/>
              <w:ind w:left="315"/>
              <w:spacing w:before="232"/>
              <w:rPr>
                <w:color w:val="000000" w:themeColor="text1"/>
                <w:sz w:val="29"/>
                <w:szCs w:val="29"/>
                <w14:textFill>
                  <w14:solidFill>
                    <w14:schemeClr w14:val="tx1"/>
                  </w14:solidFill>
                </w14:textFill>
              </w:rPr>
            </w:pPr>
            <w:r>
              <w:rPr>
                <w:color w:val="000000" w:themeColor="text1"/>
                <w:sz w:val="29"/>
                <w:szCs w:val="29"/>
                <w14:textFill>
                  <w14:solidFill>
                    <w14:schemeClr w14:val="tx1"/>
                  </w14:solidFill>
                </w14:textFill>
              </w:rPr>
              <w:t xml:space="preserve">5</w:t>
            </w:r>
            <w:r/>
          </w:p>
        </w:tc>
        <w:tc>
          <w:tcPr>
            <w:tcW w:w="2208" w:type="pct"/>
            <w:textDirection w:val="lrTb"/>
            <w:noWrap w:val="false"/>
          </w:tcPr>
          <w:p>
            <w:pPr>
              <w:pStyle w:val="981"/>
              <w:ind w:left="1571"/>
              <w:spacing w:before="204" w:line="220" w:lineRule="auto"/>
              <w:rPr>
                <w:color w:val="000000" w:themeColor="text1"/>
                <w:sz w:val="29"/>
                <w:szCs w:val="29"/>
                <w14:textFill>
                  <w14:solidFill>
                    <w14:schemeClr w14:val="tx1"/>
                  </w14:solidFill>
                </w14:textFill>
              </w:rPr>
            </w:pPr>
            <w:r>
              <w:rPr>
                <w:color w:val="000000" w:themeColor="text1"/>
                <w:spacing w:val="4"/>
                <w:sz w:val="29"/>
                <w:szCs w:val="29"/>
                <w14:textFill>
                  <w14:solidFill>
                    <w14:schemeClr w14:val="tx1"/>
                  </w14:solidFill>
                </w14:textFill>
              </w:rPr>
              <w:t xml:space="preserve">量程噪声</w:t>
            </w:r>
            <w:r/>
          </w:p>
        </w:tc>
        <w:tc>
          <w:tcPr>
            <w:tcW w:w="2384" w:type="pct"/>
            <w:textDirection w:val="lrTb"/>
            <w:noWrap w:val="false"/>
          </w:tcPr>
          <w:p>
            <w:pPr>
              <w:pStyle w:val="981"/>
              <w:ind w:left="1884"/>
              <w:spacing w:before="196" w:line="214" w:lineRule="auto"/>
              <w:rPr>
                <w:color w:val="000000" w:themeColor="text1"/>
                <w:sz w:val="29"/>
                <w:szCs w:val="29"/>
                <w14:textFill>
                  <w14:solidFill>
                    <w14:schemeClr w14:val="tx1"/>
                  </w14:solidFill>
                </w14:textFill>
              </w:rPr>
            </w:pPr>
            <w:r>
              <w:rPr>
                <w:color w:val="000000" w:themeColor="text1"/>
                <w:spacing w:val="-7"/>
                <w:sz w:val="29"/>
                <w:szCs w:val="29"/>
                <w14:textFill>
                  <w14:solidFill>
                    <w14:schemeClr w14:val="tx1"/>
                  </w14:solidFill>
                </w14:textFill>
              </w:rPr>
              <w:t xml:space="preserve">≤5ppb</w:t>
            </w:r>
            <w:r/>
          </w:p>
        </w:tc>
      </w:tr>
      <w:tr>
        <w:trPr>
          <w:trHeight w:val="679"/>
        </w:trPr>
        <w:tc>
          <w:tcPr>
            <w:tcW w:w="406" w:type="pct"/>
            <w:textDirection w:val="lrTb"/>
            <w:noWrap w:val="false"/>
          </w:tcPr>
          <w:p>
            <w:pPr>
              <w:pStyle w:val="981"/>
              <w:ind w:left="315"/>
              <w:spacing w:before="232"/>
              <w:rPr>
                <w:color w:val="000000" w:themeColor="text1"/>
                <w:sz w:val="29"/>
                <w:szCs w:val="29"/>
                <w14:textFill>
                  <w14:solidFill>
                    <w14:schemeClr w14:val="tx1"/>
                  </w14:solidFill>
                </w14:textFill>
              </w:rPr>
            </w:pPr>
            <w:r>
              <w:rPr>
                <w:color w:val="000000" w:themeColor="text1"/>
                <w:sz w:val="29"/>
                <w:szCs w:val="29"/>
                <w14:textFill>
                  <w14:solidFill>
                    <w14:schemeClr w14:val="tx1"/>
                  </w14:solidFill>
                </w14:textFill>
              </w:rPr>
              <w:t xml:space="preserve">6</w:t>
            </w:r>
            <w:r/>
          </w:p>
        </w:tc>
        <w:tc>
          <w:tcPr>
            <w:tcW w:w="2208" w:type="pct"/>
            <w:textDirection w:val="lrTb"/>
            <w:noWrap w:val="false"/>
          </w:tcPr>
          <w:p>
            <w:pPr>
              <w:pStyle w:val="981"/>
              <w:ind w:left="1571"/>
              <w:spacing w:before="204" w:line="219" w:lineRule="auto"/>
              <w:rPr>
                <w:color w:val="000000" w:themeColor="text1"/>
                <w:sz w:val="29"/>
                <w:szCs w:val="29"/>
                <w14:textFill>
                  <w14:solidFill>
                    <w14:schemeClr w14:val="tx1"/>
                  </w14:solidFill>
                </w14:textFill>
              </w:rPr>
            </w:pPr>
            <w:r>
              <w:rPr>
                <w:color w:val="000000" w:themeColor="text1"/>
                <w:spacing w:val="3"/>
                <w:sz w:val="29"/>
                <w:szCs w:val="29"/>
                <w14:textFill>
                  <w14:solidFill>
                    <w14:schemeClr w14:val="tx1"/>
                  </w14:solidFill>
                </w14:textFill>
              </w:rPr>
              <w:t xml:space="preserve">示值误差</w:t>
            </w:r>
            <w:r/>
          </w:p>
        </w:tc>
        <w:tc>
          <w:tcPr>
            <w:tcW w:w="2384" w:type="pct"/>
            <w:textDirection w:val="lrTb"/>
            <w:noWrap w:val="false"/>
          </w:tcPr>
          <w:p>
            <w:pPr>
              <w:pStyle w:val="981"/>
              <w:ind w:left="1594"/>
              <w:spacing w:before="204" w:line="219" w:lineRule="auto"/>
              <w:rPr>
                <w:color w:val="000000" w:themeColor="text1"/>
                <w:sz w:val="29"/>
                <w:szCs w:val="29"/>
                <w14:textFill>
                  <w14:solidFill>
                    <w14:schemeClr w14:val="tx1"/>
                  </w14:solidFill>
                </w14:textFill>
              </w:rPr>
            </w:pPr>
            <w:r>
              <w:rPr>
                <w:color w:val="000000" w:themeColor="text1"/>
                <w:spacing w:val="1"/>
                <w:sz w:val="29"/>
                <w:szCs w:val="29"/>
                <w14:textFill>
                  <w14:solidFill>
                    <w14:schemeClr w14:val="tx1"/>
                  </w14:solidFill>
                </w14:textFill>
              </w:rPr>
              <w:t xml:space="preserve">±4</w:t>
            </w:r>
            <w:r>
              <w:rPr>
                <w:rFonts w:hint="eastAsia"/>
                <w:color w:val="000000" w:themeColor="text1"/>
                <w:spacing w:val="1"/>
                <w:sz w:val="29"/>
                <w:szCs w:val="29"/>
                <w14:textFill>
                  <w14:solidFill>
                    <w14:schemeClr w14:val="tx1"/>
                  </w14:solidFill>
                </w14:textFill>
              </w:rPr>
              <w:t xml:space="preserve">％</w:t>
            </w:r>
            <w:r>
              <w:rPr>
                <w:color w:val="000000" w:themeColor="text1"/>
                <w:spacing w:val="1"/>
                <w:sz w:val="29"/>
                <w:szCs w:val="29"/>
                <w14:textFill>
                  <w14:solidFill>
                    <w14:schemeClr w14:val="tx1"/>
                  </w14:solidFill>
                </w14:textFill>
              </w:rPr>
              <w:t xml:space="preserve">满量程</w:t>
            </w:r>
            <w:r/>
          </w:p>
        </w:tc>
      </w:tr>
      <w:tr>
        <w:trPr>
          <w:trHeight w:val="679"/>
        </w:trPr>
        <w:tc>
          <w:tcPr>
            <w:tcW w:w="406" w:type="pct"/>
            <w:textDirection w:val="lrTb"/>
            <w:noWrap w:val="false"/>
          </w:tcPr>
          <w:p>
            <w:pPr>
              <w:pStyle w:val="981"/>
              <w:ind w:left="315"/>
              <w:spacing w:before="233"/>
              <w:rPr>
                <w:color w:val="000000" w:themeColor="text1"/>
                <w:sz w:val="29"/>
                <w:szCs w:val="29"/>
                <w14:textFill>
                  <w14:solidFill>
                    <w14:schemeClr w14:val="tx1"/>
                  </w14:solidFill>
                </w14:textFill>
              </w:rPr>
            </w:pPr>
            <w:r>
              <w:rPr>
                <w:color w:val="000000" w:themeColor="text1"/>
                <w:sz w:val="29"/>
                <w:szCs w:val="29"/>
                <w14:textFill>
                  <w14:solidFill>
                    <w14:schemeClr w14:val="tx1"/>
                  </w14:solidFill>
                </w14:textFill>
              </w:rPr>
              <w:t xml:space="preserve">7</w:t>
            </w:r>
            <w:r/>
          </w:p>
        </w:tc>
        <w:tc>
          <w:tcPr>
            <w:tcW w:w="2208" w:type="pct"/>
            <w:textDirection w:val="lrTb"/>
            <w:noWrap w:val="false"/>
          </w:tcPr>
          <w:p>
            <w:pPr>
              <w:pStyle w:val="981"/>
              <w:ind w:left="1201"/>
              <w:spacing w:before="203" w:line="219" w:lineRule="auto"/>
              <w:rPr>
                <w:color w:val="000000" w:themeColor="text1"/>
                <w:sz w:val="29"/>
                <w:szCs w:val="29"/>
                <w14:textFill>
                  <w14:solidFill>
                    <w14:schemeClr w14:val="tx1"/>
                  </w14:solidFill>
                </w14:textFill>
              </w:rPr>
            </w:pPr>
            <w:r>
              <w:rPr>
                <w:color w:val="000000" w:themeColor="text1"/>
                <w:spacing w:val="2"/>
                <w:sz w:val="29"/>
                <w:szCs w:val="29"/>
                <w14:textFill>
                  <w14:solidFill>
                    <w14:schemeClr w14:val="tx1"/>
                  </w14:solidFill>
                </w14:textFill>
              </w:rPr>
              <w:t xml:space="preserve">20</w:t>
            </w:r>
            <w:r>
              <w:rPr>
                <w:rFonts w:hint="eastAsia"/>
                <w:color w:val="000000" w:themeColor="text1"/>
                <w:spacing w:val="2"/>
                <w:sz w:val="29"/>
                <w:szCs w:val="29"/>
                <w14:textFill>
                  <w14:solidFill>
                    <w14:schemeClr w14:val="tx1"/>
                  </w14:solidFill>
                </w14:textFill>
              </w:rPr>
              <w:t xml:space="preserve">％</w:t>
            </w:r>
            <w:r>
              <w:rPr>
                <w:color w:val="000000" w:themeColor="text1"/>
                <w:spacing w:val="2"/>
                <w:sz w:val="29"/>
                <w:szCs w:val="29"/>
                <w14:textFill>
                  <w14:solidFill>
                    <w14:schemeClr w14:val="tx1"/>
                  </w14:solidFill>
                </w14:textFill>
              </w:rPr>
              <w:t xml:space="preserve">量程精密度</w:t>
            </w:r>
            <w:r/>
          </w:p>
        </w:tc>
        <w:tc>
          <w:tcPr>
            <w:tcW w:w="2384" w:type="pct"/>
            <w:textDirection w:val="lrTb"/>
            <w:noWrap w:val="false"/>
          </w:tcPr>
          <w:p>
            <w:pPr>
              <w:pStyle w:val="981"/>
              <w:ind w:left="1884"/>
              <w:spacing w:before="197" w:line="214" w:lineRule="auto"/>
              <w:rPr>
                <w:color w:val="000000" w:themeColor="text1"/>
                <w:sz w:val="29"/>
                <w:szCs w:val="29"/>
                <w14:textFill>
                  <w14:solidFill>
                    <w14:schemeClr w14:val="tx1"/>
                  </w14:solidFill>
                </w14:textFill>
              </w:rPr>
            </w:pPr>
            <w:r>
              <w:rPr>
                <w:color w:val="000000" w:themeColor="text1"/>
                <w:spacing w:val="-7"/>
                <w:sz w:val="29"/>
                <w:szCs w:val="29"/>
                <w14:textFill>
                  <w14:solidFill>
                    <w14:schemeClr w14:val="tx1"/>
                  </w14:solidFill>
                </w14:textFill>
              </w:rPr>
              <w:t xml:space="preserve">≤5ppb</w:t>
            </w:r>
            <w:r/>
          </w:p>
        </w:tc>
      </w:tr>
      <w:tr>
        <w:trPr>
          <w:trHeight w:val="680"/>
        </w:trPr>
        <w:tc>
          <w:tcPr>
            <w:tcW w:w="406" w:type="pct"/>
            <w:textDirection w:val="lrTb"/>
            <w:noWrap w:val="false"/>
          </w:tcPr>
          <w:p>
            <w:pPr>
              <w:pStyle w:val="981"/>
              <w:ind w:left="315"/>
              <w:spacing w:before="234"/>
              <w:rPr>
                <w:color w:val="000000" w:themeColor="text1"/>
                <w:sz w:val="29"/>
                <w:szCs w:val="29"/>
                <w14:textFill>
                  <w14:solidFill>
                    <w14:schemeClr w14:val="tx1"/>
                  </w14:solidFill>
                </w14:textFill>
              </w:rPr>
            </w:pPr>
            <w:r>
              <w:rPr>
                <w:color w:val="000000" w:themeColor="text1"/>
                <w:sz w:val="29"/>
                <w:szCs w:val="29"/>
                <w14:textFill>
                  <w14:solidFill>
                    <w14:schemeClr w14:val="tx1"/>
                  </w14:solidFill>
                </w14:textFill>
              </w:rPr>
              <w:t xml:space="preserve">8</w:t>
            </w:r>
            <w:r/>
          </w:p>
        </w:tc>
        <w:tc>
          <w:tcPr>
            <w:tcW w:w="2208" w:type="pct"/>
            <w:textDirection w:val="lrTb"/>
            <w:noWrap w:val="false"/>
          </w:tcPr>
          <w:p>
            <w:pPr>
              <w:pStyle w:val="981"/>
              <w:ind w:left="1201"/>
              <w:spacing w:before="204" w:line="219" w:lineRule="auto"/>
              <w:rPr>
                <w:color w:val="000000" w:themeColor="text1"/>
                <w:sz w:val="29"/>
                <w:szCs w:val="29"/>
                <w14:textFill>
                  <w14:solidFill>
                    <w14:schemeClr w14:val="tx1"/>
                  </w14:solidFill>
                </w14:textFill>
              </w:rPr>
            </w:pPr>
            <w:r>
              <w:rPr>
                <w:color w:val="000000" w:themeColor="text1"/>
                <w:spacing w:val="2"/>
                <w:sz w:val="29"/>
                <w:szCs w:val="29"/>
                <w14:textFill>
                  <w14:solidFill>
                    <w14:schemeClr w14:val="tx1"/>
                  </w14:solidFill>
                </w14:textFill>
              </w:rPr>
              <w:t xml:space="preserve">80</w:t>
            </w:r>
            <w:r>
              <w:rPr>
                <w:rFonts w:hint="eastAsia"/>
                <w:color w:val="000000" w:themeColor="text1"/>
                <w:spacing w:val="2"/>
                <w:sz w:val="29"/>
                <w:szCs w:val="29"/>
                <w14:textFill>
                  <w14:solidFill>
                    <w14:schemeClr w14:val="tx1"/>
                  </w14:solidFill>
                </w14:textFill>
              </w:rPr>
              <w:t xml:space="preserve">％</w:t>
            </w:r>
            <w:r>
              <w:rPr>
                <w:color w:val="000000" w:themeColor="text1"/>
                <w:spacing w:val="2"/>
                <w:sz w:val="29"/>
                <w:szCs w:val="29"/>
                <w14:textFill>
                  <w14:solidFill>
                    <w14:schemeClr w14:val="tx1"/>
                  </w14:solidFill>
                </w14:textFill>
              </w:rPr>
              <w:t xml:space="preserve">量程精密度</w:t>
            </w:r>
            <w:r/>
          </w:p>
        </w:tc>
        <w:tc>
          <w:tcPr>
            <w:tcW w:w="2384" w:type="pct"/>
            <w:textDirection w:val="lrTb"/>
            <w:noWrap w:val="false"/>
          </w:tcPr>
          <w:p>
            <w:pPr>
              <w:pStyle w:val="981"/>
              <w:ind w:left="1814"/>
              <w:spacing w:before="198" w:line="214" w:lineRule="auto"/>
              <w:rPr>
                <w:color w:val="000000" w:themeColor="text1"/>
                <w:sz w:val="29"/>
                <w:szCs w:val="29"/>
                <w14:textFill>
                  <w14:solidFill>
                    <w14:schemeClr w14:val="tx1"/>
                  </w14:solidFill>
                </w14:textFill>
              </w:rPr>
            </w:pPr>
            <w:r>
              <w:rPr>
                <w:color w:val="000000" w:themeColor="text1"/>
                <w:spacing w:val="-6"/>
                <w:sz w:val="29"/>
                <w:szCs w:val="29"/>
                <w14:textFill>
                  <w14:solidFill>
                    <w14:schemeClr w14:val="tx1"/>
                  </w14:solidFill>
                </w14:textFill>
              </w:rPr>
              <w:t xml:space="preserve">≤10ppb</w:t>
            </w:r>
            <w:r/>
          </w:p>
        </w:tc>
      </w:tr>
      <w:tr>
        <w:trPr>
          <w:trHeight w:val="679"/>
        </w:trPr>
        <w:tc>
          <w:tcPr>
            <w:tcW w:w="406" w:type="pct"/>
            <w:textDirection w:val="lrTb"/>
            <w:noWrap w:val="false"/>
          </w:tcPr>
          <w:p>
            <w:pPr>
              <w:pStyle w:val="981"/>
              <w:ind w:left="315"/>
              <w:spacing w:before="234"/>
              <w:rPr>
                <w:color w:val="000000" w:themeColor="text1"/>
                <w:sz w:val="29"/>
                <w:szCs w:val="29"/>
                <w14:textFill>
                  <w14:solidFill>
                    <w14:schemeClr w14:val="tx1"/>
                  </w14:solidFill>
                </w14:textFill>
              </w:rPr>
            </w:pPr>
            <w:r>
              <w:rPr>
                <w:color w:val="000000" w:themeColor="text1"/>
                <w:sz w:val="29"/>
                <w:szCs w:val="29"/>
                <w14:textFill>
                  <w14:solidFill>
                    <w14:schemeClr w14:val="tx1"/>
                  </w14:solidFill>
                </w14:textFill>
              </w:rPr>
              <w:t xml:space="preserve">9</w:t>
            </w:r>
            <w:r/>
          </w:p>
        </w:tc>
        <w:tc>
          <w:tcPr>
            <w:tcW w:w="2208" w:type="pct"/>
            <w:textDirection w:val="lrTb"/>
            <w:noWrap w:val="false"/>
          </w:tcPr>
          <w:p>
            <w:pPr>
              <w:pStyle w:val="981"/>
              <w:ind w:left="1351"/>
              <w:spacing w:before="206" w:line="219" w:lineRule="auto"/>
              <w:rPr>
                <w:color w:val="000000" w:themeColor="text1"/>
                <w:sz w:val="29"/>
                <w:szCs w:val="29"/>
                <w14:textFill>
                  <w14:solidFill>
                    <w14:schemeClr w14:val="tx1"/>
                  </w14:solidFill>
                </w14:textFill>
              </w:rPr>
            </w:pPr>
            <w:r>
              <w:rPr>
                <w:color w:val="000000" w:themeColor="text1"/>
                <w:spacing w:val="1"/>
                <w:sz w:val="29"/>
                <w:szCs w:val="29"/>
                <w14:textFill>
                  <w14:solidFill>
                    <w14:schemeClr w14:val="tx1"/>
                  </w14:solidFill>
                </w14:textFill>
              </w:rPr>
              <w:t xml:space="preserve">24h零点漂移</w:t>
            </w:r>
            <w:r/>
          </w:p>
        </w:tc>
        <w:tc>
          <w:tcPr>
            <w:tcW w:w="2384" w:type="pct"/>
            <w:textDirection w:val="lrTb"/>
            <w:noWrap w:val="false"/>
          </w:tcPr>
          <w:p>
            <w:pPr>
              <w:pStyle w:val="981"/>
              <w:ind w:left="1884"/>
              <w:spacing w:before="198" w:line="214" w:lineRule="auto"/>
              <w:rPr>
                <w:color w:val="000000" w:themeColor="text1"/>
                <w:sz w:val="29"/>
                <w:szCs w:val="29"/>
                <w14:textFill>
                  <w14:solidFill>
                    <w14:schemeClr w14:val="tx1"/>
                  </w14:solidFill>
                </w14:textFill>
              </w:rPr>
            </w:pPr>
            <w:r>
              <w:rPr>
                <w:color w:val="000000" w:themeColor="text1"/>
                <w:spacing w:val="-10"/>
                <w:sz w:val="29"/>
                <w:szCs w:val="29"/>
                <w14:textFill>
                  <w14:solidFill>
                    <w14:schemeClr w14:val="tx1"/>
                  </w14:solidFill>
                </w14:textFill>
              </w:rPr>
              <w:t xml:space="preserve">±5ppb</w:t>
            </w:r>
            <w:r/>
          </w:p>
        </w:tc>
      </w:tr>
      <w:tr>
        <w:trPr>
          <w:trHeight w:val="680"/>
        </w:trPr>
        <w:tc>
          <w:tcPr>
            <w:tcW w:w="406" w:type="pct"/>
            <w:textDirection w:val="lrTb"/>
            <w:noWrap w:val="false"/>
          </w:tcPr>
          <w:p>
            <w:pPr>
              <w:pStyle w:val="981"/>
              <w:ind w:left="244"/>
              <w:spacing w:before="235"/>
              <w:rPr>
                <w:color w:val="000000" w:themeColor="text1"/>
                <w:sz w:val="29"/>
                <w:szCs w:val="29"/>
                <w14:textFill>
                  <w14:solidFill>
                    <w14:schemeClr w14:val="tx1"/>
                  </w14:solidFill>
                </w14:textFill>
              </w:rPr>
            </w:pPr>
            <w:r>
              <w:rPr>
                <w:color w:val="000000" w:themeColor="text1"/>
                <w:spacing w:val="-9"/>
                <w:sz w:val="29"/>
                <w:szCs w:val="29"/>
                <w14:textFill>
                  <w14:solidFill>
                    <w14:schemeClr w14:val="tx1"/>
                  </w14:solidFill>
                </w14:textFill>
              </w:rPr>
              <w:t xml:space="preserve">10</w:t>
            </w:r>
            <w:r/>
          </w:p>
        </w:tc>
        <w:tc>
          <w:tcPr>
            <w:tcW w:w="2208" w:type="pct"/>
            <w:textDirection w:val="lrTb"/>
            <w:noWrap w:val="false"/>
          </w:tcPr>
          <w:p>
            <w:pPr>
              <w:pStyle w:val="981"/>
              <w:ind w:left="1131"/>
              <w:spacing w:before="207" w:line="219" w:lineRule="auto"/>
              <w:rPr>
                <w:color w:val="000000" w:themeColor="text1"/>
                <w:sz w:val="29"/>
                <w:szCs w:val="29"/>
                <w14:textFill>
                  <w14:solidFill>
                    <w14:schemeClr w14:val="tx1"/>
                  </w14:solidFill>
                </w14:textFill>
              </w:rPr>
            </w:pPr>
            <w:r>
              <w:rPr>
                <w:color w:val="000000" w:themeColor="text1"/>
                <w:spacing w:val="1"/>
                <w:sz w:val="29"/>
                <w:szCs w:val="29"/>
                <w14:textFill>
                  <w14:solidFill>
                    <w14:schemeClr w14:val="tx1"/>
                  </w14:solidFill>
                </w14:textFill>
              </w:rPr>
              <w:t xml:space="preserve">24h20</w:t>
            </w:r>
            <w:r>
              <w:rPr>
                <w:rFonts w:hint="eastAsia"/>
                <w:color w:val="000000" w:themeColor="text1"/>
                <w:spacing w:val="1"/>
                <w:sz w:val="29"/>
                <w:szCs w:val="29"/>
                <w14:textFill>
                  <w14:solidFill>
                    <w14:schemeClr w14:val="tx1"/>
                  </w14:solidFill>
                </w14:textFill>
              </w:rPr>
              <w:t xml:space="preserve">％</w:t>
            </w:r>
            <w:r>
              <w:rPr>
                <w:color w:val="000000" w:themeColor="text1"/>
                <w:spacing w:val="1"/>
                <w:sz w:val="29"/>
                <w:szCs w:val="29"/>
                <w14:textFill>
                  <w14:solidFill>
                    <w14:schemeClr w14:val="tx1"/>
                  </w14:solidFill>
                </w14:textFill>
              </w:rPr>
              <w:t xml:space="preserve">量程漂移</w:t>
            </w:r>
            <w:r/>
          </w:p>
        </w:tc>
        <w:tc>
          <w:tcPr>
            <w:tcW w:w="2384" w:type="pct"/>
            <w:textDirection w:val="lrTb"/>
            <w:noWrap w:val="false"/>
          </w:tcPr>
          <w:p>
            <w:pPr>
              <w:pStyle w:val="981"/>
              <w:ind w:left="1884"/>
              <w:spacing w:before="199" w:line="214" w:lineRule="auto"/>
              <w:rPr>
                <w:color w:val="000000" w:themeColor="text1"/>
                <w:sz w:val="29"/>
                <w:szCs w:val="29"/>
                <w14:textFill>
                  <w14:solidFill>
                    <w14:schemeClr w14:val="tx1"/>
                  </w14:solidFill>
                </w14:textFill>
              </w:rPr>
            </w:pPr>
            <w:r>
              <w:rPr>
                <w:color w:val="000000" w:themeColor="text1"/>
                <w:spacing w:val="-10"/>
                <w:sz w:val="29"/>
                <w:szCs w:val="29"/>
                <w14:textFill>
                  <w14:solidFill>
                    <w14:schemeClr w14:val="tx1"/>
                  </w14:solidFill>
                </w14:textFill>
              </w:rPr>
              <w:t xml:space="preserve">±5ppb</w:t>
            </w:r>
            <w:r/>
          </w:p>
        </w:tc>
      </w:tr>
      <w:tr>
        <w:trPr>
          <w:trHeight w:val="679"/>
        </w:trPr>
        <w:tc>
          <w:tcPr>
            <w:tcW w:w="406" w:type="pct"/>
            <w:textDirection w:val="lrTb"/>
            <w:noWrap w:val="false"/>
          </w:tcPr>
          <w:p>
            <w:pPr>
              <w:pStyle w:val="981"/>
              <w:ind w:left="244"/>
              <w:spacing w:before="235" w:line="241" w:lineRule="auto"/>
              <w:rPr>
                <w:color w:val="000000" w:themeColor="text1"/>
                <w:sz w:val="29"/>
                <w:szCs w:val="29"/>
                <w14:textFill>
                  <w14:solidFill>
                    <w14:schemeClr w14:val="tx1"/>
                  </w14:solidFill>
                </w14:textFill>
              </w:rPr>
            </w:pPr>
            <w:r>
              <w:rPr>
                <w:color w:val="000000" w:themeColor="text1"/>
                <w:spacing w:val="-9"/>
                <w:sz w:val="29"/>
                <w:szCs w:val="29"/>
                <w14:textFill>
                  <w14:solidFill>
                    <w14:schemeClr w14:val="tx1"/>
                  </w14:solidFill>
                </w14:textFill>
              </w:rPr>
              <w:t xml:space="preserve">11</w:t>
            </w:r>
            <w:r/>
          </w:p>
        </w:tc>
        <w:tc>
          <w:tcPr>
            <w:tcW w:w="2208" w:type="pct"/>
            <w:textDirection w:val="lrTb"/>
            <w:noWrap w:val="false"/>
          </w:tcPr>
          <w:p>
            <w:pPr>
              <w:pStyle w:val="981"/>
              <w:ind w:left="1131"/>
              <w:spacing w:before="207" w:line="219" w:lineRule="auto"/>
              <w:rPr>
                <w:color w:val="000000" w:themeColor="text1"/>
                <w:sz w:val="29"/>
                <w:szCs w:val="29"/>
                <w14:textFill>
                  <w14:solidFill>
                    <w14:schemeClr w14:val="tx1"/>
                  </w14:solidFill>
                </w14:textFill>
              </w:rPr>
            </w:pPr>
            <w:r>
              <w:rPr>
                <w:color w:val="000000" w:themeColor="text1"/>
                <w:spacing w:val="1"/>
                <w:sz w:val="29"/>
                <w:szCs w:val="29"/>
                <w14:textFill>
                  <w14:solidFill>
                    <w14:schemeClr w14:val="tx1"/>
                  </w14:solidFill>
                </w14:textFill>
              </w:rPr>
              <w:t xml:space="preserve">24h80</w:t>
            </w:r>
            <w:r>
              <w:rPr>
                <w:rFonts w:hint="eastAsia"/>
                <w:color w:val="000000" w:themeColor="text1"/>
                <w:spacing w:val="1"/>
                <w:sz w:val="29"/>
                <w:szCs w:val="29"/>
                <w14:textFill>
                  <w14:solidFill>
                    <w14:schemeClr w14:val="tx1"/>
                  </w14:solidFill>
                </w14:textFill>
              </w:rPr>
              <w:t xml:space="preserve">％</w:t>
            </w:r>
            <w:r>
              <w:rPr>
                <w:color w:val="000000" w:themeColor="text1"/>
                <w:spacing w:val="1"/>
                <w:sz w:val="29"/>
                <w:szCs w:val="29"/>
                <w14:textFill>
                  <w14:solidFill>
                    <w14:schemeClr w14:val="tx1"/>
                  </w14:solidFill>
                </w14:textFill>
              </w:rPr>
              <w:t xml:space="preserve">量程漂移</w:t>
            </w:r>
            <w:r/>
          </w:p>
        </w:tc>
        <w:tc>
          <w:tcPr>
            <w:tcW w:w="2384" w:type="pct"/>
            <w:textDirection w:val="lrTb"/>
            <w:noWrap w:val="false"/>
          </w:tcPr>
          <w:p>
            <w:pPr>
              <w:pStyle w:val="981"/>
              <w:ind w:left="1814"/>
              <w:spacing w:before="199" w:line="214" w:lineRule="auto"/>
              <w:rPr>
                <w:color w:val="000000" w:themeColor="text1"/>
                <w:sz w:val="29"/>
                <w:szCs w:val="29"/>
                <w14:textFill>
                  <w14:solidFill>
                    <w14:schemeClr w14:val="tx1"/>
                  </w14:solidFill>
                </w14:textFill>
              </w:rPr>
            </w:pPr>
            <w:r>
              <w:rPr>
                <w:color w:val="000000" w:themeColor="text1"/>
                <w:spacing w:val="-8"/>
                <w:sz w:val="29"/>
                <w:szCs w:val="29"/>
                <w14:textFill>
                  <w14:solidFill>
                    <w14:schemeClr w14:val="tx1"/>
                  </w14:solidFill>
                </w14:textFill>
              </w:rPr>
              <w:t xml:space="preserve">±10ppb</w:t>
            </w:r>
            <w:r/>
          </w:p>
        </w:tc>
      </w:tr>
      <w:tr>
        <w:trPr>
          <w:trHeight w:val="680"/>
        </w:trPr>
        <w:tc>
          <w:tcPr>
            <w:tcW w:w="406" w:type="pct"/>
            <w:textDirection w:val="lrTb"/>
            <w:noWrap w:val="false"/>
          </w:tcPr>
          <w:p>
            <w:pPr>
              <w:pStyle w:val="981"/>
              <w:ind w:left="244"/>
              <w:spacing w:before="236" w:line="241" w:lineRule="auto"/>
              <w:rPr>
                <w:color w:val="000000" w:themeColor="text1"/>
                <w:sz w:val="29"/>
                <w:szCs w:val="29"/>
                <w14:textFill>
                  <w14:solidFill>
                    <w14:schemeClr w14:val="tx1"/>
                  </w14:solidFill>
                </w14:textFill>
              </w:rPr>
            </w:pPr>
            <w:r>
              <w:rPr>
                <w:color w:val="000000" w:themeColor="text1"/>
                <w:spacing w:val="-9"/>
                <w:sz w:val="29"/>
                <w:szCs w:val="29"/>
                <w14:textFill>
                  <w14:solidFill>
                    <w14:schemeClr w14:val="tx1"/>
                  </w14:solidFill>
                </w14:textFill>
              </w:rPr>
              <w:t xml:space="preserve">12</w:t>
            </w:r>
            <w:r/>
          </w:p>
        </w:tc>
        <w:tc>
          <w:tcPr>
            <w:tcW w:w="2208" w:type="pct"/>
            <w:textDirection w:val="lrTb"/>
            <w:noWrap w:val="false"/>
          </w:tcPr>
          <w:p>
            <w:pPr>
              <w:pStyle w:val="981"/>
              <w:ind w:left="190"/>
              <w:spacing w:before="208" w:line="219" w:lineRule="auto"/>
              <w:rPr>
                <w:color w:val="000000" w:themeColor="text1"/>
                <w:sz w:val="29"/>
                <w:szCs w:val="29"/>
                <w14:textFill>
                  <w14:solidFill>
                    <w14:schemeClr w14:val="tx1"/>
                  </w14:solidFill>
                </w14:textFill>
              </w:rPr>
            </w:pPr>
            <w:r>
              <w:rPr>
                <w:color w:val="000000" w:themeColor="text1"/>
                <w:spacing w:val="3"/>
                <w:sz w:val="29"/>
                <w:szCs w:val="29"/>
                <w14:textFill>
                  <w14:solidFill>
                    <w14:schemeClr w14:val="tx1"/>
                  </w14:solidFill>
                </w14:textFill>
              </w:rPr>
              <w:t xml:space="preserve">响应时间</w:t>
            </w:r>
            <w:r>
              <w:rPr>
                <w:rFonts w:hint="eastAsia"/>
                <w:color w:val="000000" w:themeColor="text1"/>
                <w:spacing w:val="3"/>
                <w:sz w:val="29"/>
                <w:szCs w:val="29"/>
                <w14:textFill>
                  <w14:solidFill>
                    <w14:schemeClr w14:val="tx1"/>
                  </w14:solidFill>
                </w14:textFill>
              </w:rPr>
              <w:t xml:space="preserve">（</w:t>
            </w:r>
            <w:r>
              <w:rPr>
                <w:color w:val="000000" w:themeColor="text1"/>
                <w:spacing w:val="3"/>
                <w:sz w:val="29"/>
                <w:szCs w:val="29"/>
                <w14:textFill>
                  <w14:solidFill>
                    <w14:schemeClr w14:val="tx1"/>
                  </w14:solidFill>
                </w14:textFill>
              </w:rPr>
              <w:t xml:space="preserve">上升时间</w:t>
            </w:r>
            <w:r>
              <w:rPr>
                <w:rFonts w:hint="eastAsia"/>
                <w:color w:val="000000" w:themeColor="text1"/>
                <w:spacing w:val="3"/>
                <w:sz w:val="29"/>
                <w:szCs w:val="29"/>
                <w14:textFill>
                  <w14:solidFill>
                    <w14:schemeClr w14:val="tx1"/>
                  </w14:solidFill>
                </w14:textFill>
              </w:rPr>
              <w:t xml:space="preserve">／</w:t>
            </w:r>
            <w:r>
              <w:rPr>
                <w:color w:val="000000" w:themeColor="text1"/>
                <w:spacing w:val="3"/>
                <w:sz w:val="29"/>
                <w:szCs w:val="29"/>
                <w14:textFill>
                  <w14:solidFill>
                    <w14:schemeClr w14:val="tx1"/>
                  </w14:solidFill>
                </w14:textFill>
              </w:rPr>
              <w:t xml:space="preserve">下降时间</w:t>
            </w:r>
            <w:r>
              <w:rPr>
                <w:rFonts w:hint="eastAsia"/>
                <w:color w:val="000000" w:themeColor="text1"/>
                <w:spacing w:val="3"/>
                <w:sz w:val="29"/>
                <w:szCs w:val="29"/>
                <w14:textFill>
                  <w14:solidFill>
                    <w14:schemeClr w14:val="tx1"/>
                  </w14:solidFill>
                </w14:textFill>
              </w:rPr>
              <w:t xml:space="preserve">）</w:t>
            </w:r>
            <w:r/>
          </w:p>
        </w:tc>
        <w:tc>
          <w:tcPr>
            <w:tcW w:w="2384" w:type="pct"/>
            <w:textDirection w:val="lrTb"/>
            <w:noWrap w:val="false"/>
          </w:tcPr>
          <w:p>
            <w:pPr>
              <w:pStyle w:val="981"/>
              <w:ind w:left="1884"/>
              <w:spacing w:before="233" w:line="236" w:lineRule="auto"/>
              <w:rPr>
                <w:color w:val="000000" w:themeColor="text1"/>
                <w:sz w:val="29"/>
                <w:szCs w:val="29"/>
                <w14:textFill>
                  <w14:solidFill>
                    <w14:schemeClr w14:val="tx1"/>
                  </w14:solidFill>
                </w14:textFill>
              </w:rPr>
            </w:pPr>
            <w:r>
              <w:rPr>
                <w:color w:val="000000" w:themeColor="text1"/>
                <w:spacing w:val="-6"/>
                <w:sz w:val="29"/>
                <w:szCs w:val="29"/>
                <w14:textFill>
                  <w14:solidFill>
                    <w14:schemeClr w14:val="tx1"/>
                  </w14:solidFill>
                </w14:textFill>
              </w:rPr>
              <w:t xml:space="preserve">≤5min</w:t>
            </w:r>
            <w:r/>
          </w:p>
        </w:tc>
      </w:tr>
      <w:tr>
        <w:trPr>
          <w:trHeight w:val="679"/>
        </w:trPr>
        <w:tc>
          <w:tcPr>
            <w:tcW w:w="406" w:type="pct"/>
            <w:textDirection w:val="lrTb"/>
            <w:noWrap w:val="false"/>
          </w:tcPr>
          <w:p>
            <w:pPr>
              <w:pStyle w:val="981"/>
              <w:ind w:left="244"/>
              <w:spacing w:before="236"/>
              <w:rPr>
                <w:color w:val="000000" w:themeColor="text1"/>
                <w:sz w:val="29"/>
                <w:szCs w:val="29"/>
                <w14:textFill>
                  <w14:solidFill>
                    <w14:schemeClr w14:val="tx1"/>
                  </w14:solidFill>
                </w14:textFill>
              </w:rPr>
            </w:pPr>
            <w:r>
              <w:rPr>
                <w:color w:val="000000" w:themeColor="text1"/>
                <w:spacing w:val="-9"/>
                <w:sz w:val="29"/>
                <w:szCs w:val="29"/>
                <w14:textFill>
                  <w14:solidFill>
                    <w14:schemeClr w14:val="tx1"/>
                  </w14:solidFill>
                </w14:textFill>
              </w:rPr>
              <w:t xml:space="preserve">13</w:t>
            </w:r>
            <w:r/>
          </w:p>
        </w:tc>
        <w:tc>
          <w:tcPr>
            <w:tcW w:w="2208" w:type="pct"/>
            <w:textDirection w:val="lrTb"/>
            <w:noWrap w:val="false"/>
          </w:tcPr>
          <w:p>
            <w:pPr>
              <w:pStyle w:val="981"/>
              <w:ind w:left="1420"/>
              <w:spacing w:before="208" w:line="219" w:lineRule="auto"/>
              <w:rPr>
                <w:color w:val="000000" w:themeColor="text1"/>
                <w:sz w:val="29"/>
                <w:szCs w:val="29"/>
                <w14:textFill>
                  <w14:solidFill>
                    <w14:schemeClr w14:val="tx1"/>
                  </w14:solidFill>
                </w14:textFill>
              </w:rPr>
            </w:pPr>
            <w:r>
              <w:rPr>
                <w:color w:val="000000" w:themeColor="text1"/>
                <w:spacing w:val="2"/>
                <w:sz w:val="29"/>
                <w:szCs w:val="29"/>
                <w14:textFill>
                  <w14:solidFill>
                    <w14:schemeClr w14:val="tx1"/>
                  </w14:solidFill>
                </w14:textFill>
              </w:rPr>
              <w:t xml:space="preserve">电压稳定性</w:t>
            </w:r>
            <w:r/>
          </w:p>
        </w:tc>
        <w:tc>
          <w:tcPr>
            <w:tcW w:w="2384" w:type="pct"/>
            <w:textDirection w:val="lrTb"/>
            <w:noWrap w:val="false"/>
          </w:tcPr>
          <w:p>
            <w:pPr>
              <w:pStyle w:val="981"/>
              <w:ind w:left="1594"/>
              <w:spacing w:before="208" w:line="219" w:lineRule="auto"/>
              <w:rPr>
                <w:color w:val="000000" w:themeColor="text1"/>
                <w:sz w:val="29"/>
                <w:szCs w:val="29"/>
                <w14:textFill>
                  <w14:solidFill>
                    <w14:schemeClr w14:val="tx1"/>
                  </w14:solidFill>
                </w14:textFill>
              </w:rPr>
            </w:pPr>
            <w:r>
              <w:rPr>
                <w:color w:val="000000" w:themeColor="text1"/>
                <w:spacing w:val="1"/>
                <w:sz w:val="29"/>
                <w:szCs w:val="29"/>
                <w14:textFill>
                  <w14:solidFill>
                    <w14:schemeClr w14:val="tx1"/>
                  </w14:solidFill>
                </w14:textFill>
              </w:rPr>
              <w:t xml:space="preserve">±1</w:t>
            </w:r>
            <w:r>
              <w:rPr>
                <w:rFonts w:hint="eastAsia"/>
                <w:color w:val="000000" w:themeColor="text1"/>
                <w:spacing w:val="1"/>
                <w:sz w:val="29"/>
                <w:szCs w:val="29"/>
                <w14:textFill>
                  <w14:solidFill>
                    <w14:schemeClr w14:val="tx1"/>
                  </w14:solidFill>
                </w14:textFill>
              </w:rPr>
              <w:t xml:space="preserve">％</w:t>
            </w:r>
            <w:r>
              <w:rPr>
                <w:color w:val="000000" w:themeColor="text1"/>
                <w:spacing w:val="1"/>
                <w:sz w:val="29"/>
                <w:szCs w:val="29"/>
                <w14:textFill>
                  <w14:solidFill>
                    <w14:schemeClr w14:val="tx1"/>
                  </w14:solidFill>
                </w14:textFill>
              </w:rPr>
              <w:t xml:space="preserve">满量程</w:t>
            </w:r>
            <w:r/>
          </w:p>
        </w:tc>
      </w:tr>
      <w:tr>
        <w:trPr>
          <w:trHeight w:val="680"/>
        </w:trPr>
        <w:tc>
          <w:tcPr>
            <w:tcW w:w="406" w:type="pct"/>
            <w:textDirection w:val="lrTb"/>
            <w:noWrap w:val="false"/>
          </w:tcPr>
          <w:p>
            <w:pPr>
              <w:pStyle w:val="981"/>
              <w:ind w:left="244"/>
              <w:spacing w:before="237" w:line="241" w:lineRule="auto"/>
              <w:rPr>
                <w:color w:val="000000" w:themeColor="text1"/>
                <w:sz w:val="29"/>
                <w:szCs w:val="29"/>
                <w14:textFill>
                  <w14:solidFill>
                    <w14:schemeClr w14:val="tx1"/>
                  </w14:solidFill>
                </w14:textFill>
              </w:rPr>
            </w:pPr>
            <w:r>
              <w:rPr>
                <w:color w:val="000000" w:themeColor="text1"/>
                <w:spacing w:val="-9"/>
                <w:sz w:val="29"/>
                <w:szCs w:val="29"/>
                <w14:textFill>
                  <w14:solidFill>
                    <w14:schemeClr w14:val="tx1"/>
                  </w14:solidFill>
                </w14:textFill>
              </w:rPr>
              <w:t xml:space="preserve">14</w:t>
            </w:r>
            <w:r/>
          </w:p>
        </w:tc>
        <w:tc>
          <w:tcPr>
            <w:tcW w:w="2208" w:type="pct"/>
            <w:textDirection w:val="lrTb"/>
            <w:noWrap w:val="false"/>
          </w:tcPr>
          <w:p>
            <w:pPr>
              <w:pStyle w:val="981"/>
              <w:ind w:left="1421"/>
              <w:spacing w:before="209" w:line="219" w:lineRule="auto"/>
              <w:rPr>
                <w:color w:val="000000" w:themeColor="text1"/>
                <w:sz w:val="29"/>
                <w:szCs w:val="29"/>
                <w14:textFill>
                  <w14:solidFill>
                    <w14:schemeClr w14:val="tx1"/>
                  </w14:solidFill>
                </w14:textFill>
              </w:rPr>
            </w:pPr>
            <w:r>
              <w:rPr>
                <w:color w:val="000000" w:themeColor="text1"/>
                <w:spacing w:val="2"/>
                <w:sz w:val="29"/>
                <w:szCs w:val="29"/>
                <w14:textFill>
                  <w14:solidFill>
                    <w14:schemeClr w14:val="tx1"/>
                  </w14:solidFill>
                </w14:textFill>
              </w:rPr>
              <w:t xml:space="preserve">流量稳定性</w:t>
            </w:r>
            <w:r/>
          </w:p>
        </w:tc>
        <w:tc>
          <w:tcPr>
            <w:tcW w:w="2384" w:type="pct"/>
            <w:textDirection w:val="lrTb"/>
            <w:noWrap w:val="false"/>
          </w:tcPr>
          <w:p>
            <w:pPr>
              <w:pStyle w:val="981"/>
              <w:ind w:left="1955"/>
              <w:spacing w:before="233" w:line="235" w:lineRule="auto"/>
              <w:rPr>
                <w:color w:val="000000" w:themeColor="text1"/>
                <w:sz w:val="29"/>
                <w:szCs w:val="29"/>
                <w14:textFill>
                  <w14:solidFill>
                    <w14:schemeClr w14:val="tx1"/>
                  </w14:solidFill>
                </w14:textFill>
              </w:rPr>
            </w:pPr>
            <w:r>
              <w:rPr>
                <w:color w:val="000000" w:themeColor="text1"/>
                <w:spacing w:val="-10"/>
                <w:sz w:val="29"/>
                <w:szCs w:val="29"/>
                <w14:textFill>
                  <w14:solidFill>
                    <w14:schemeClr w14:val="tx1"/>
                  </w14:solidFill>
                </w14:textFill>
              </w:rPr>
              <w:t xml:space="preserve">±10</w:t>
            </w:r>
            <w:r>
              <w:rPr>
                <w:rFonts w:hint="eastAsia"/>
                <w:color w:val="000000" w:themeColor="text1"/>
                <w:spacing w:val="-10"/>
                <w:sz w:val="29"/>
                <w:szCs w:val="29"/>
                <w14:textFill>
                  <w14:solidFill>
                    <w14:schemeClr w14:val="tx1"/>
                  </w14:solidFill>
                </w14:textFill>
              </w:rPr>
              <w:t xml:space="preserve">％</w:t>
            </w:r>
            <w:r/>
          </w:p>
        </w:tc>
      </w:tr>
      <w:tr>
        <w:trPr>
          <w:trHeight w:val="680"/>
        </w:trPr>
        <w:tc>
          <w:tcPr>
            <w:tcW w:w="406" w:type="pct"/>
            <w:textDirection w:val="lrTb"/>
            <w:noWrap w:val="false"/>
          </w:tcPr>
          <w:p>
            <w:pPr>
              <w:pStyle w:val="981"/>
              <w:ind w:left="244"/>
              <w:spacing w:before="237"/>
              <w:rPr>
                <w:color w:val="000000" w:themeColor="text1"/>
                <w:sz w:val="29"/>
                <w:szCs w:val="29"/>
                <w14:textFill>
                  <w14:solidFill>
                    <w14:schemeClr w14:val="tx1"/>
                  </w14:solidFill>
                </w14:textFill>
              </w:rPr>
            </w:pPr>
            <w:r>
              <w:rPr>
                <w:color w:val="000000" w:themeColor="text1"/>
                <w:spacing w:val="-9"/>
                <w:sz w:val="29"/>
                <w:szCs w:val="29"/>
                <w14:textFill>
                  <w14:solidFill>
                    <w14:schemeClr w14:val="tx1"/>
                  </w14:solidFill>
                </w14:textFill>
              </w:rPr>
              <w:t xml:space="preserve">15</w:t>
            </w:r>
            <w:r/>
          </w:p>
        </w:tc>
        <w:tc>
          <w:tcPr>
            <w:tcW w:w="2208" w:type="pct"/>
            <w:textDirection w:val="lrTb"/>
            <w:noWrap w:val="false"/>
          </w:tcPr>
          <w:p>
            <w:pPr>
              <w:pStyle w:val="981"/>
              <w:ind w:left="840"/>
              <w:spacing w:before="209" w:line="220" w:lineRule="auto"/>
              <w:rPr>
                <w:color w:val="000000" w:themeColor="text1"/>
                <w:sz w:val="29"/>
                <w:szCs w:val="29"/>
                <w14:textFill>
                  <w14:solidFill>
                    <w14:schemeClr w14:val="tx1"/>
                  </w14:solidFill>
                </w14:textFill>
              </w:rPr>
            </w:pPr>
            <w:r>
              <w:rPr>
                <w:color w:val="000000" w:themeColor="text1"/>
                <w:spacing w:val="2"/>
                <w:sz w:val="29"/>
                <w:szCs w:val="29"/>
                <w14:textFill>
                  <w14:solidFill>
                    <w14:schemeClr w14:val="tx1"/>
                  </w14:solidFill>
                </w14:textFill>
              </w:rPr>
              <w:t xml:space="preserve">环境温度变化的影响</w:t>
            </w:r>
            <w:r/>
          </w:p>
        </w:tc>
        <w:tc>
          <w:tcPr>
            <w:tcW w:w="2384" w:type="pct"/>
            <w:textDirection w:val="lrTb"/>
            <w:noWrap w:val="false"/>
          </w:tcPr>
          <w:p>
            <w:pPr>
              <w:pStyle w:val="981"/>
              <w:ind w:left="1664"/>
              <w:spacing w:before="201" w:line="214" w:lineRule="auto"/>
              <w:rPr>
                <w:color w:val="000000" w:themeColor="text1"/>
                <w:sz w:val="29"/>
                <w:szCs w:val="29"/>
                <w14:textFill>
                  <w14:solidFill>
                    <w14:schemeClr w14:val="tx1"/>
                  </w14:solidFill>
                </w14:textFill>
              </w:rPr>
            </w:pPr>
            <w:r>
              <w:rPr>
                <w:color w:val="000000" w:themeColor="text1"/>
                <w:spacing w:val="-5"/>
                <w:sz w:val="29"/>
                <w:szCs w:val="29"/>
                <w14:textFill>
                  <w14:solidFill>
                    <w14:schemeClr w14:val="tx1"/>
                  </w14:solidFill>
                </w14:textFill>
              </w:rPr>
              <w:t xml:space="preserve">≤1ppb</w:t>
            </w:r>
            <w:r>
              <w:rPr>
                <w:rFonts w:hint="eastAsia"/>
                <w:color w:val="000000" w:themeColor="text1"/>
                <w:spacing w:val="-5"/>
                <w:sz w:val="29"/>
                <w:szCs w:val="29"/>
                <w14:textFill>
                  <w14:solidFill>
                    <w14:schemeClr w14:val="tx1"/>
                  </w14:solidFill>
                </w14:textFill>
              </w:rPr>
              <w:t xml:space="preserve">／</w:t>
            </w:r>
            <w:r>
              <w:rPr>
                <w:color w:val="000000" w:themeColor="text1"/>
                <w:spacing w:val="-5"/>
                <w:sz w:val="29"/>
                <w:szCs w:val="29"/>
                <w14:textFill>
                  <w14:solidFill>
                    <w14:schemeClr w14:val="tx1"/>
                  </w14:solidFill>
                </w14:textFill>
              </w:rPr>
              <w:t xml:space="preserve">℃</w:t>
            </w:r>
            <w:r/>
          </w:p>
        </w:tc>
      </w:tr>
      <w:tr>
        <w:trPr>
          <w:trHeight w:val="1499"/>
        </w:trPr>
        <w:tc>
          <w:tcPr>
            <w:tcW w:w="406" w:type="pct"/>
            <w:textDirection w:val="lrTb"/>
            <w:noWrap w:val="false"/>
          </w:tcPr>
          <w:p>
            <w:pPr>
              <w:spacing w:line="274" w:lineRule="auto"/>
            </w:pPr>
            <w:r/>
            <w:r/>
          </w:p>
          <w:p>
            <w:pPr>
              <w:spacing w:line="275" w:lineRule="auto"/>
            </w:pPr>
            <w:r/>
            <w:r/>
          </w:p>
          <w:p>
            <w:pPr>
              <w:pStyle w:val="981"/>
              <w:ind w:left="244"/>
              <w:spacing w:before="94"/>
              <w:rPr>
                <w:sz w:val="29"/>
                <w:szCs w:val="29"/>
              </w:rPr>
            </w:pPr>
            <w:r>
              <w:rPr>
                <w:spacing w:val="-9"/>
                <w:sz w:val="29"/>
                <w:szCs w:val="29"/>
              </w:rPr>
              <w:t xml:space="preserve">16</w:t>
            </w:r>
            <w:r/>
          </w:p>
        </w:tc>
        <w:tc>
          <w:tcPr>
            <w:tcW w:w="2208" w:type="pct"/>
            <w:textDirection w:val="lrTb"/>
            <w:noWrap w:val="false"/>
          </w:tcPr>
          <w:p>
            <w:pPr>
              <w:spacing w:line="259" w:lineRule="auto"/>
            </w:pPr>
            <w:r/>
            <w:r/>
          </w:p>
          <w:p>
            <w:pPr>
              <w:spacing w:line="260" w:lineRule="auto"/>
            </w:pPr>
            <w:r/>
            <w:r/>
          </w:p>
          <w:p>
            <w:pPr>
              <w:pStyle w:val="981"/>
              <w:ind w:left="1131"/>
              <w:spacing w:before="95" w:line="219" w:lineRule="auto"/>
              <w:rPr>
                <w:sz w:val="29"/>
                <w:szCs w:val="29"/>
              </w:rPr>
            </w:pPr>
            <w:r>
              <w:rPr>
                <w:spacing w:val="3"/>
                <w:sz w:val="29"/>
                <w:szCs w:val="29"/>
              </w:rPr>
              <w:t xml:space="preserve">干扰成分的影响</w:t>
            </w:r>
            <w:r/>
          </w:p>
        </w:tc>
        <w:tc>
          <w:tcPr>
            <w:tcW w:w="2384" w:type="pct"/>
            <w:textDirection w:val="lrTb"/>
            <w:noWrap w:val="false"/>
          </w:tcPr>
          <w:p>
            <w:pPr>
              <w:pStyle w:val="981"/>
              <w:ind w:left="874"/>
              <w:spacing w:before="39" w:line="219" w:lineRule="auto"/>
              <w:rPr>
                <w:sz w:val="29"/>
                <w:szCs w:val="29"/>
              </w:rPr>
            </w:pPr>
            <w:r>
              <w:rPr>
                <w:spacing w:val="15"/>
                <w:sz w:val="29"/>
                <w:szCs w:val="29"/>
              </w:rPr>
              <w:t xml:space="preserve">±4</w:t>
            </w:r>
            <w:r>
              <w:rPr>
                <w:rFonts w:hint="eastAsia"/>
                <w:spacing w:val="15"/>
                <w:sz w:val="29"/>
                <w:szCs w:val="29"/>
              </w:rPr>
              <w:t xml:space="preserve">％</w:t>
            </w:r>
            <w:r>
              <w:rPr>
                <w:spacing w:val="15"/>
                <w:sz w:val="29"/>
                <w:szCs w:val="29"/>
              </w:rPr>
              <w:t xml:space="preserve">满量程</w:t>
            </w:r>
            <w:r>
              <w:rPr>
                <w:rFonts w:hint="eastAsia"/>
                <w:spacing w:val="15"/>
                <w:sz w:val="29"/>
                <w:szCs w:val="29"/>
              </w:rPr>
              <w:t xml:space="preserve">（</w:t>
            </w:r>
            <w:r>
              <w:rPr>
                <w:spacing w:val="15"/>
                <w:sz w:val="29"/>
                <w:szCs w:val="29"/>
              </w:rPr>
              <w:t xml:space="preserve">2</w:t>
            </w:r>
            <w:r>
              <w:rPr>
                <w:rFonts w:hint="eastAsia"/>
                <w:spacing w:val="15"/>
                <w:sz w:val="29"/>
                <w:szCs w:val="29"/>
              </w:rPr>
              <w:t xml:space="preserve">％</w:t>
            </w:r>
            <w:r>
              <w:rPr>
                <w:spacing w:val="15"/>
                <w:sz w:val="29"/>
                <w:szCs w:val="29"/>
              </w:rPr>
              <w:t xml:space="preserve">H</w:t>
            </w:r>
            <w:r>
              <w:rPr>
                <w:rFonts w:ascii="Calibri" w:hAnsi="Calibri" w:eastAsia="Calibri" w:cs="Calibri"/>
                <w:spacing w:val="15"/>
                <w:sz w:val="29"/>
                <w:szCs w:val="29"/>
              </w:rPr>
              <w:t xml:space="preserve">₂</w:t>
            </w:r>
            <w:r>
              <w:rPr>
                <w:spacing w:val="15"/>
                <w:sz w:val="29"/>
                <w:szCs w:val="29"/>
              </w:rPr>
              <w:t xml:space="preserve">O</w:t>
            </w:r>
            <w:r>
              <w:rPr>
                <w:rFonts w:hint="eastAsia"/>
                <w:spacing w:val="15"/>
                <w:sz w:val="29"/>
                <w:szCs w:val="29"/>
              </w:rPr>
              <w:t xml:space="preserve">）</w:t>
            </w:r>
            <w:r/>
          </w:p>
          <w:p>
            <w:pPr>
              <w:pStyle w:val="981"/>
              <w:ind w:left="634"/>
              <w:spacing w:before="28" w:line="214" w:lineRule="auto"/>
              <w:rPr>
                <w:sz w:val="29"/>
                <w:szCs w:val="29"/>
              </w:rPr>
            </w:pPr>
            <w:r>
              <w:rPr>
                <w:spacing w:val="32"/>
                <w:sz w:val="29"/>
                <w:szCs w:val="29"/>
              </w:rPr>
              <w:t xml:space="preserve">±4</w:t>
            </w:r>
            <w:r>
              <w:rPr>
                <w:rFonts w:hint="eastAsia"/>
                <w:spacing w:val="32"/>
                <w:sz w:val="29"/>
                <w:szCs w:val="29"/>
              </w:rPr>
              <w:t xml:space="preserve">％</w:t>
            </w:r>
            <w:r>
              <w:rPr>
                <w:spacing w:val="32"/>
                <w:sz w:val="29"/>
                <w:szCs w:val="29"/>
              </w:rPr>
              <w:t xml:space="preserve">满量程</w:t>
            </w:r>
            <w:r>
              <w:rPr>
                <w:rFonts w:hint="eastAsia"/>
                <w:spacing w:val="32"/>
                <w:sz w:val="29"/>
                <w:szCs w:val="29"/>
              </w:rPr>
              <w:t xml:space="preserve">（</w:t>
            </w:r>
            <w:r>
              <w:rPr>
                <w:spacing w:val="32"/>
                <w:sz w:val="29"/>
                <w:szCs w:val="29"/>
              </w:rPr>
              <w:t xml:space="preserve">1</w:t>
            </w:r>
            <w:r>
              <w:rPr>
                <w:sz w:val="29"/>
                <w:szCs w:val="29"/>
              </w:rPr>
              <w:t xml:space="preserve">ppm</w:t>
            </w:r>
            <w:r>
              <w:rPr>
                <w:spacing w:val="32"/>
                <w:sz w:val="29"/>
                <w:szCs w:val="29"/>
              </w:rPr>
              <w:t xml:space="preserve">甲苯</w:t>
            </w:r>
            <w:r>
              <w:rPr>
                <w:rFonts w:hint="eastAsia"/>
                <w:spacing w:val="32"/>
                <w:sz w:val="29"/>
                <w:szCs w:val="29"/>
              </w:rPr>
              <w:t xml:space="preserve">）</w:t>
            </w:r>
            <w:r/>
          </w:p>
          <w:p>
            <w:pPr>
              <w:pStyle w:val="981"/>
              <w:ind w:left="634"/>
              <w:spacing w:before="33" w:line="214" w:lineRule="auto"/>
              <w:rPr>
                <w:sz w:val="29"/>
                <w:szCs w:val="29"/>
              </w:rPr>
            </w:pPr>
            <w:r>
              <w:rPr>
                <w:spacing w:val="18"/>
                <w:sz w:val="29"/>
                <w:szCs w:val="29"/>
              </w:rPr>
              <w:t xml:space="preserve">±4</w:t>
            </w:r>
            <w:r>
              <w:rPr>
                <w:rFonts w:hint="eastAsia"/>
                <w:spacing w:val="18"/>
                <w:sz w:val="29"/>
                <w:szCs w:val="29"/>
              </w:rPr>
              <w:t xml:space="preserve">％</w:t>
            </w:r>
            <w:r>
              <w:rPr>
                <w:spacing w:val="18"/>
                <w:sz w:val="29"/>
                <w:szCs w:val="29"/>
              </w:rPr>
              <w:t xml:space="preserve">满量程</w:t>
            </w:r>
            <w:r>
              <w:rPr>
                <w:rFonts w:hint="eastAsia"/>
                <w:spacing w:val="18"/>
                <w:sz w:val="29"/>
                <w:szCs w:val="29"/>
              </w:rPr>
              <w:t xml:space="preserve">（</w:t>
            </w:r>
            <w:r>
              <w:rPr>
                <w:spacing w:val="18"/>
                <w:sz w:val="29"/>
                <w:szCs w:val="29"/>
              </w:rPr>
              <w:t xml:space="preserve">0.2</w:t>
            </w:r>
            <w:r>
              <w:rPr>
                <w:sz w:val="29"/>
                <w:szCs w:val="29"/>
              </w:rPr>
              <w:t xml:space="preserve">ppmSO</w:t>
            </w:r>
            <w:r>
              <w:rPr>
                <w:rFonts w:ascii="Calibri" w:hAnsi="Calibri" w:eastAsia="Calibri" w:cs="Calibri"/>
                <w:spacing w:val="18"/>
                <w:sz w:val="29"/>
                <w:szCs w:val="29"/>
              </w:rPr>
              <w:t xml:space="preserve">₂</w:t>
            </w:r>
            <w:r>
              <w:rPr>
                <w:rFonts w:hint="eastAsia"/>
                <w:spacing w:val="18"/>
                <w:sz w:val="29"/>
                <w:szCs w:val="29"/>
              </w:rPr>
              <w:t xml:space="preserve">）</w:t>
            </w:r>
            <w:r/>
          </w:p>
          <w:p>
            <w:pPr>
              <w:pStyle w:val="981"/>
              <w:ind w:left="404"/>
              <w:spacing w:before="52" w:line="203" w:lineRule="auto"/>
              <w:rPr>
                <w:sz w:val="29"/>
                <w:szCs w:val="29"/>
              </w:rPr>
            </w:pPr>
            <w:r>
              <w:rPr>
                <w:spacing w:val="16"/>
                <w:sz w:val="29"/>
                <w:szCs w:val="29"/>
              </w:rPr>
              <w:t xml:space="preserve">±6</w:t>
            </w:r>
            <w:r>
              <w:rPr>
                <w:rFonts w:hint="eastAsia"/>
                <w:spacing w:val="16"/>
                <w:sz w:val="29"/>
                <w:szCs w:val="29"/>
              </w:rPr>
              <w:t xml:space="preserve">％</w:t>
            </w:r>
            <w:r>
              <w:rPr>
                <w:spacing w:val="16"/>
                <w:sz w:val="29"/>
                <w:szCs w:val="29"/>
              </w:rPr>
              <w:t xml:space="preserve">满量程</w:t>
            </w:r>
            <w:r>
              <w:rPr>
                <w:rFonts w:hint="eastAsia"/>
                <w:spacing w:val="16"/>
                <w:sz w:val="29"/>
                <w:szCs w:val="29"/>
              </w:rPr>
              <w:t xml:space="preserve">（</w:t>
            </w:r>
            <w:r>
              <w:rPr>
                <w:spacing w:val="16"/>
                <w:sz w:val="29"/>
                <w:szCs w:val="29"/>
              </w:rPr>
              <w:t xml:space="preserve">0.5</w:t>
            </w:r>
            <w:r>
              <w:rPr>
                <w:sz w:val="29"/>
                <w:szCs w:val="29"/>
              </w:rPr>
              <w:t xml:space="preserve">ppmNO</w:t>
            </w:r>
            <w:r>
              <w:rPr>
                <w:rFonts w:hint="eastAsia"/>
                <w:spacing w:val="16"/>
                <w:sz w:val="29"/>
                <w:szCs w:val="29"/>
              </w:rPr>
              <w:t xml:space="preserve">／</w:t>
            </w:r>
            <w:r>
              <w:rPr>
                <w:sz w:val="29"/>
                <w:szCs w:val="29"/>
              </w:rPr>
              <w:t xml:space="preserve">NO</w:t>
            </w:r>
            <w:r>
              <w:rPr>
                <w:rFonts w:ascii="Calibri" w:hAnsi="Calibri" w:eastAsia="Calibri" w:cs="Calibri"/>
                <w:spacing w:val="16"/>
                <w:sz w:val="29"/>
                <w:szCs w:val="29"/>
              </w:rPr>
              <w:t xml:space="preserve">₂</w:t>
            </w:r>
            <w:r>
              <w:rPr>
                <w:rFonts w:hint="eastAsia"/>
                <w:spacing w:val="16"/>
                <w:sz w:val="29"/>
                <w:szCs w:val="29"/>
              </w:rPr>
              <w:t xml:space="preserve">）</w:t>
            </w:r>
            <w:r/>
          </w:p>
        </w:tc>
      </w:tr>
      <w:tr>
        <w:trPr>
          <w:trHeight w:val="679"/>
        </w:trPr>
        <w:tc>
          <w:tcPr>
            <w:tcW w:w="406" w:type="pct"/>
            <w:textDirection w:val="lrTb"/>
            <w:noWrap w:val="false"/>
          </w:tcPr>
          <w:p>
            <w:pPr>
              <w:pStyle w:val="981"/>
              <w:ind w:left="244"/>
              <w:spacing w:before="238"/>
              <w:rPr>
                <w:sz w:val="29"/>
                <w:szCs w:val="29"/>
              </w:rPr>
            </w:pPr>
            <w:r>
              <w:rPr>
                <w:spacing w:val="-9"/>
                <w:sz w:val="29"/>
                <w:szCs w:val="29"/>
              </w:rPr>
              <w:t xml:space="preserve">17</w:t>
            </w:r>
            <w:r/>
          </w:p>
        </w:tc>
        <w:tc>
          <w:tcPr>
            <w:tcW w:w="2208" w:type="pct"/>
            <w:textDirection w:val="lrTb"/>
            <w:noWrap w:val="false"/>
          </w:tcPr>
          <w:p>
            <w:pPr>
              <w:pStyle w:val="981"/>
              <w:ind w:left="550"/>
              <w:spacing w:before="208" w:line="219" w:lineRule="auto"/>
              <w:rPr>
                <w:sz w:val="29"/>
                <w:szCs w:val="29"/>
              </w:rPr>
            </w:pPr>
            <w:r>
              <w:rPr>
                <w:spacing w:val="1"/>
                <w:sz w:val="29"/>
                <w:szCs w:val="29"/>
              </w:rPr>
              <w:t xml:space="preserve">采样口和校准口浓度偏差</w:t>
            </w:r>
            <w:r/>
          </w:p>
        </w:tc>
        <w:tc>
          <w:tcPr>
            <w:tcW w:w="2384" w:type="pct"/>
            <w:textDirection w:val="lrTb"/>
            <w:noWrap w:val="false"/>
          </w:tcPr>
          <w:p>
            <w:pPr>
              <w:pStyle w:val="981"/>
              <w:ind w:left="2034"/>
              <w:spacing w:before="234" w:line="235" w:lineRule="auto"/>
              <w:rPr>
                <w:sz w:val="29"/>
                <w:szCs w:val="29"/>
              </w:rPr>
            </w:pPr>
            <w:r>
              <w:rPr>
                <w:spacing w:val="-12"/>
                <w:sz w:val="29"/>
                <w:szCs w:val="29"/>
              </w:rPr>
              <w:t xml:space="preserve">±1</w:t>
            </w:r>
            <w:r>
              <w:rPr>
                <w:rFonts w:hint="eastAsia"/>
                <w:spacing w:val="-12"/>
                <w:sz w:val="29"/>
                <w:szCs w:val="29"/>
              </w:rPr>
              <w:t xml:space="preserve">％</w:t>
            </w:r>
            <w:r/>
          </w:p>
        </w:tc>
      </w:tr>
      <w:tr>
        <w:trPr>
          <w:trHeight w:val="680"/>
        </w:trPr>
        <w:tc>
          <w:tcPr>
            <w:tcW w:w="406" w:type="pct"/>
            <w:textDirection w:val="lrTb"/>
            <w:noWrap w:val="false"/>
          </w:tcPr>
          <w:p>
            <w:pPr>
              <w:pStyle w:val="981"/>
              <w:ind w:left="244"/>
              <w:spacing w:before="239"/>
              <w:rPr>
                <w:sz w:val="29"/>
                <w:szCs w:val="29"/>
              </w:rPr>
            </w:pPr>
            <w:r>
              <w:rPr>
                <w:spacing w:val="-9"/>
                <w:sz w:val="29"/>
                <w:szCs w:val="29"/>
              </w:rPr>
              <w:t xml:space="preserve">18</w:t>
            </w:r>
            <w:r/>
          </w:p>
        </w:tc>
        <w:tc>
          <w:tcPr>
            <w:tcW w:w="2208" w:type="pct"/>
            <w:textDirection w:val="lrTb"/>
            <w:noWrap w:val="false"/>
          </w:tcPr>
          <w:p>
            <w:pPr>
              <w:pStyle w:val="981"/>
              <w:ind w:left="840"/>
              <w:spacing w:before="211" w:line="219" w:lineRule="auto"/>
              <w:rPr>
                <w:sz w:val="29"/>
                <w:szCs w:val="29"/>
              </w:rPr>
            </w:pPr>
            <w:r>
              <w:rPr>
                <w:spacing w:val="1"/>
                <w:sz w:val="29"/>
                <w:szCs w:val="29"/>
              </w:rPr>
              <w:t xml:space="preserve">长期</w:t>
            </w:r>
            <w:r>
              <w:rPr>
                <w:rFonts w:hint="eastAsia"/>
                <w:spacing w:val="1"/>
                <w:sz w:val="29"/>
                <w:szCs w:val="29"/>
              </w:rPr>
              <w:t xml:space="preserve">（</w:t>
            </w:r>
            <w:r>
              <w:rPr>
                <w:spacing w:val="1"/>
                <w:sz w:val="29"/>
                <w:szCs w:val="29"/>
              </w:rPr>
              <w:t xml:space="preserve">≥7d</w:t>
            </w:r>
            <w:r>
              <w:rPr>
                <w:rFonts w:hint="eastAsia"/>
                <w:spacing w:val="1"/>
                <w:sz w:val="29"/>
                <w:szCs w:val="29"/>
              </w:rPr>
              <w:t xml:space="preserve">）</w:t>
            </w:r>
            <w:r>
              <w:rPr>
                <w:spacing w:val="1"/>
                <w:sz w:val="29"/>
                <w:szCs w:val="29"/>
              </w:rPr>
              <w:t xml:space="preserve">零点漂移</w:t>
            </w:r>
            <w:r/>
          </w:p>
        </w:tc>
        <w:tc>
          <w:tcPr>
            <w:tcW w:w="2384" w:type="pct"/>
            <w:textDirection w:val="lrTb"/>
            <w:noWrap w:val="false"/>
          </w:tcPr>
          <w:p>
            <w:pPr>
              <w:pStyle w:val="981"/>
              <w:ind w:left="1814"/>
              <w:spacing w:before="203" w:line="214" w:lineRule="auto"/>
              <w:rPr>
                <w:sz w:val="29"/>
                <w:szCs w:val="29"/>
              </w:rPr>
            </w:pPr>
            <w:r>
              <w:rPr>
                <w:spacing w:val="-8"/>
                <w:sz w:val="29"/>
                <w:szCs w:val="29"/>
              </w:rPr>
              <w:t xml:space="preserve">±10ppb</w:t>
            </w:r>
            <w:r/>
          </w:p>
        </w:tc>
      </w:tr>
      <w:tr>
        <w:trPr>
          <w:trHeight w:val="680"/>
        </w:trPr>
        <w:tc>
          <w:tcPr>
            <w:tcW w:w="406" w:type="pct"/>
            <w:textDirection w:val="lrTb"/>
            <w:noWrap w:val="false"/>
          </w:tcPr>
          <w:p>
            <w:pPr>
              <w:pStyle w:val="981"/>
              <w:ind w:left="244"/>
              <w:spacing w:before="239"/>
              <w:rPr>
                <w:sz w:val="29"/>
                <w:szCs w:val="29"/>
              </w:rPr>
            </w:pPr>
            <w:r>
              <w:rPr>
                <w:spacing w:val="-9"/>
                <w:sz w:val="29"/>
                <w:szCs w:val="29"/>
              </w:rPr>
              <w:t xml:space="preserve">19</w:t>
            </w:r>
            <w:r/>
          </w:p>
        </w:tc>
        <w:tc>
          <w:tcPr>
            <w:tcW w:w="2208" w:type="pct"/>
            <w:textDirection w:val="lrTb"/>
            <w:noWrap w:val="false"/>
          </w:tcPr>
          <w:p>
            <w:pPr>
              <w:pStyle w:val="981"/>
              <w:ind w:left="840"/>
              <w:spacing w:before="211" w:line="219" w:lineRule="auto"/>
              <w:rPr>
                <w:sz w:val="29"/>
                <w:szCs w:val="29"/>
              </w:rPr>
            </w:pPr>
            <w:r>
              <w:rPr>
                <w:spacing w:val="1"/>
                <w:sz w:val="29"/>
                <w:szCs w:val="29"/>
              </w:rPr>
              <w:t xml:space="preserve">长期</w:t>
            </w:r>
            <w:r>
              <w:rPr>
                <w:rFonts w:hint="eastAsia"/>
                <w:spacing w:val="1"/>
                <w:sz w:val="29"/>
                <w:szCs w:val="29"/>
              </w:rPr>
              <w:t xml:space="preserve">（</w:t>
            </w:r>
            <w:r>
              <w:rPr>
                <w:spacing w:val="1"/>
                <w:sz w:val="29"/>
                <w:szCs w:val="29"/>
              </w:rPr>
              <w:t xml:space="preserve">≥7d</w:t>
            </w:r>
            <w:r>
              <w:rPr>
                <w:rFonts w:hint="eastAsia"/>
                <w:spacing w:val="1"/>
                <w:sz w:val="29"/>
                <w:szCs w:val="29"/>
              </w:rPr>
              <w:t xml:space="preserve">）</w:t>
            </w:r>
            <w:r>
              <w:rPr>
                <w:spacing w:val="1"/>
                <w:sz w:val="29"/>
                <w:szCs w:val="29"/>
              </w:rPr>
              <w:t xml:space="preserve">量程漂移</w:t>
            </w:r>
            <w:r/>
          </w:p>
        </w:tc>
        <w:tc>
          <w:tcPr>
            <w:tcW w:w="2384" w:type="pct"/>
            <w:textDirection w:val="lrTb"/>
            <w:noWrap w:val="false"/>
          </w:tcPr>
          <w:p>
            <w:pPr>
              <w:pStyle w:val="981"/>
              <w:ind w:left="1814"/>
              <w:spacing w:before="203" w:line="214" w:lineRule="auto"/>
              <w:rPr>
                <w:sz w:val="29"/>
                <w:szCs w:val="29"/>
              </w:rPr>
            </w:pPr>
            <w:r>
              <w:rPr>
                <w:spacing w:val="-8"/>
                <w:sz w:val="29"/>
                <w:szCs w:val="29"/>
              </w:rPr>
              <w:t xml:space="preserve">±20ppb</w:t>
            </w:r>
            <w:r/>
          </w:p>
        </w:tc>
      </w:tr>
      <w:tr>
        <w:trPr>
          <w:trHeight w:val="684"/>
        </w:trPr>
        <w:tc>
          <w:tcPr>
            <w:tcW w:w="406" w:type="pct"/>
            <w:textDirection w:val="lrTb"/>
            <w:noWrap w:val="false"/>
          </w:tcPr>
          <w:p>
            <w:pPr>
              <w:pStyle w:val="981"/>
              <w:ind w:left="244"/>
              <w:spacing w:before="239"/>
              <w:rPr>
                <w:sz w:val="29"/>
                <w:szCs w:val="29"/>
              </w:rPr>
            </w:pPr>
            <w:r>
              <w:rPr>
                <w:spacing w:val="-4"/>
                <w:sz w:val="29"/>
                <w:szCs w:val="29"/>
              </w:rPr>
              <w:t xml:space="preserve">20</w:t>
            </w:r>
            <w:r/>
          </w:p>
        </w:tc>
        <w:tc>
          <w:tcPr>
            <w:tcW w:w="2208" w:type="pct"/>
            <w:textDirection w:val="lrTb"/>
            <w:noWrap w:val="false"/>
          </w:tcPr>
          <w:p>
            <w:pPr>
              <w:pStyle w:val="981"/>
              <w:ind w:left="990"/>
              <w:spacing w:before="211" w:line="219" w:lineRule="auto"/>
              <w:rPr>
                <w:sz w:val="29"/>
                <w:szCs w:val="29"/>
              </w:rPr>
            </w:pPr>
            <w:r>
              <w:rPr>
                <w:spacing w:val="1"/>
                <w:sz w:val="29"/>
                <w:szCs w:val="29"/>
              </w:rPr>
              <w:t xml:space="preserve">平均故障间隔天数</w:t>
            </w:r>
            <w:r/>
          </w:p>
        </w:tc>
        <w:tc>
          <w:tcPr>
            <w:tcW w:w="2384" w:type="pct"/>
            <w:textDirection w:val="lrTb"/>
            <w:noWrap w:val="false"/>
          </w:tcPr>
          <w:p>
            <w:pPr>
              <w:pStyle w:val="981"/>
              <w:ind w:left="2034"/>
              <w:spacing w:before="239" w:line="237" w:lineRule="auto"/>
              <w:rPr>
                <w:sz w:val="29"/>
                <w:szCs w:val="29"/>
              </w:rPr>
            </w:pPr>
            <w:r>
              <w:rPr>
                <w:spacing w:val="-10"/>
                <w:sz w:val="29"/>
                <w:szCs w:val="29"/>
              </w:rPr>
              <w:t xml:space="preserve">≥7d</w:t>
            </w:r>
            <w:r/>
          </w:p>
        </w:tc>
      </w:tr>
    </w:tbl>
    <w:p>
      <w:pPr>
        <w:ind w:firstLine="482"/>
        <w:jc w:val="left"/>
        <w:spacing w:line="400" w:lineRule="exact"/>
        <w:widowControl/>
        <w:rPr>
          <w:rFonts w:ascii="宋体" w:hAnsi="宋体" w:eastAsia="宋体" w:cs="宋体"/>
          <w:sz w:val="24"/>
          <w:szCs w:val="24"/>
        </w:rPr>
      </w:pPr>
      <w:r>
        <w:rPr>
          <w:rFonts w:ascii="宋体" w:hAnsi="宋体" w:eastAsia="宋体" w:cs="宋体"/>
          <w:sz w:val="24"/>
          <w:szCs w:val="24"/>
        </w:rPr>
      </w:r>
      <w:r/>
    </w:p>
    <w:p>
      <w:pPr>
        <w:ind w:firstLine="482"/>
        <w:jc w:val="left"/>
        <w:spacing w:line="400" w:lineRule="exact"/>
        <w:widowControl/>
        <w:rPr>
          <w:rFonts w:ascii="宋体" w:hAnsi="宋体" w:eastAsia="宋体" w:cs="宋体"/>
          <w:sz w:val="24"/>
          <w:szCs w:val="24"/>
        </w:rPr>
      </w:pPr>
      <w:r>
        <w:rPr>
          <w:rFonts w:ascii="宋体" w:hAnsi="宋体" w:eastAsia="宋体" w:cs="宋体"/>
          <w:sz w:val="24"/>
          <w:szCs w:val="24"/>
        </w:rPr>
      </w:r>
      <w:r/>
    </w:p>
    <w:p>
      <w:pPr>
        <w:ind w:firstLine="482"/>
        <w:jc w:val="left"/>
        <w:spacing w:line="400" w:lineRule="exact"/>
        <w:widowControl/>
        <w:rPr>
          <w:rFonts w:ascii="宋体" w:hAnsi="宋体" w:eastAsia="宋体" w:cs="宋体"/>
          <w:sz w:val="24"/>
          <w:szCs w:val="24"/>
        </w:rPr>
        <w:sectPr>
          <w:footnotePr/>
          <w:endnotePr/>
          <w:type w:val="nextPage"/>
          <w:pgSz w:w="11840" w:h="16740" w:orient="portrait"/>
          <w:pgMar w:top="2098" w:right="1474" w:bottom="1984" w:left="1587" w:header="851" w:footer="1417" w:gutter="0"/>
          <w:cols w:num="1" w:sep="0" w:space="720" w:equalWidth="1"/>
          <w:docGrid w:linePitch="360"/>
        </w:sectPr>
      </w:pPr>
      <w:r>
        <w:rPr>
          <w:rFonts w:ascii="宋体" w:hAnsi="宋体" w:eastAsia="宋体" w:cs="宋体"/>
          <w:sz w:val="24"/>
          <w:szCs w:val="24"/>
        </w:rPr>
      </w:r>
      <w:r/>
    </w:p>
    <w:p>
      <w:pPr>
        <w:ind w:firstLine="482"/>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5.CO在线监测分析仪</w:t>
      </w:r>
      <w:r/>
    </w:p>
    <w:tbl>
      <w:tblPr>
        <w:tblStyle w:val="98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2"/>
        <w:gridCol w:w="3852"/>
        <w:gridCol w:w="4211"/>
      </w:tblGrid>
      <w:tr>
        <w:trPr>
          <w:trHeight w:val="694"/>
        </w:trPr>
        <w:tc>
          <w:tcPr>
            <w:tcW w:w="411" w:type="pct"/>
            <w:textDirection w:val="lrTb"/>
            <w:noWrap w:val="false"/>
          </w:tcPr>
          <w:p>
            <w:pPr>
              <w:pStyle w:val="981"/>
              <w:ind w:left="75"/>
              <w:spacing w:before="208" w:line="221" w:lineRule="auto"/>
              <w:rPr>
                <w:sz w:val="29"/>
                <w:szCs w:val="29"/>
              </w:rPr>
            </w:pPr>
            <w:r>
              <w:rPr>
                <w:spacing w:val="9"/>
                <w:sz w:val="29"/>
                <w:szCs w:val="29"/>
              </w:rPr>
              <w:t xml:space="preserve">序号</w:t>
            </w:r>
            <w:r/>
          </w:p>
        </w:tc>
        <w:tc>
          <w:tcPr>
            <w:tcW w:w="2192" w:type="pct"/>
            <w:textDirection w:val="lrTb"/>
            <w:noWrap w:val="false"/>
          </w:tcPr>
          <w:p>
            <w:pPr>
              <w:pStyle w:val="981"/>
              <w:ind w:left="1711"/>
              <w:spacing w:before="207" w:line="220" w:lineRule="auto"/>
              <w:rPr>
                <w:sz w:val="29"/>
                <w:szCs w:val="29"/>
              </w:rPr>
            </w:pPr>
            <w:r>
              <w:rPr>
                <w:spacing w:val="-8"/>
                <w:sz w:val="29"/>
                <w:szCs w:val="29"/>
              </w:rPr>
              <w:t xml:space="preserve">项 目</w:t>
            </w:r>
            <w:r/>
          </w:p>
        </w:tc>
        <w:tc>
          <w:tcPr>
            <w:tcW w:w="2396" w:type="pct"/>
            <w:textDirection w:val="lrTb"/>
            <w:noWrap w:val="false"/>
          </w:tcPr>
          <w:p>
            <w:pPr>
              <w:pStyle w:val="981"/>
              <w:ind w:left="1465"/>
              <w:spacing w:before="207" w:line="220" w:lineRule="auto"/>
              <w:rPr>
                <w:sz w:val="29"/>
                <w:szCs w:val="29"/>
              </w:rPr>
            </w:pPr>
            <w:r>
              <w:rPr>
                <w:spacing w:val="2"/>
                <w:sz w:val="29"/>
                <w:szCs w:val="29"/>
              </w:rPr>
              <w:t xml:space="preserve">指标或性能</w:t>
            </w:r>
            <w:r/>
          </w:p>
        </w:tc>
      </w:tr>
      <w:tr>
        <w:trPr>
          <w:trHeight w:val="789"/>
        </w:trPr>
        <w:tc>
          <w:tcPr>
            <w:tcW w:w="411" w:type="pct"/>
            <w:textDirection w:val="lrTb"/>
            <w:noWrap w:val="false"/>
          </w:tcPr>
          <w:p>
            <w:pPr>
              <w:pStyle w:val="981"/>
              <w:ind w:left="295"/>
              <w:spacing w:before="281" w:line="241" w:lineRule="auto"/>
              <w:rPr>
                <w:sz w:val="29"/>
                <w:szCs w:val="29"/>
              </w:rPr>
            </w:pPr>
            <w:r>
              <w:rPr>
                <w:sz w:val="29"/>
                <w:szCs w:val="29"/>
              </w:rPr>
              <w:t xml:space="preserve">1</w:t>
            </w:r>
            <w:r/>
          </w:p>
        </w:tc>
        <w:tc>
          <w:tcPr>
            <w:tcW w:w="2192" w:type="pct"/>
            <w:textDirection w:val="lrTb"/>
            <w:noWrap w:val="false"/>
          </w:tcPr>
          <w:p>
            <w:pPr>
              <w:pStyle w:val="981"/>
              <w:ind w:left="1421"/>
              <w:spacing w:before="253" w:line="220" w:lineRule="auto"/>
              <w:rPr>
                <w:sz w:val="29"/>
                <w:szCs w:val="29"/>
              </w:rPr>
            </w:pPr>
            <w:r>
              <w:rPr>
                <w:spacing w:val="2"/>
                <w:sz w:val="29"/>
                <w:szCs w:val="29"/>
              </w:rPr>
              <w:t xml:space="preserve">分析方法</w:t>
            </w:r>
            <w:r/>
          </w:p>
        </w:tc>
        <w:tc>
          <w:tcPr>
            <w:tcW w:w="2396" w:type="pct"/>
            <w:textDirection w:val="lrTb"/>
            <w:noWrap w:val="false"/>
          </w:tcPr>
          <w:p>
            <w:pPr>
              <w:pStyle w:val="981"/>
              <w:ind w:left="1005"/>
              <w:spacing w:before="72" w:line="204" w:lineRule="auto"/>
              <w:rPr>
                <w:sz w:val="29"/>
                <w:szCs w:val="29"/>
              </w:rPr>
            </w:pPr>
            <w:r>
              <w:rPr>
                <w:spacing w:val="1"/>
                <w:sz w:val="29"/>
                <w:szCs w:val="29"/>
              </w:rPr>
              <w:t xml:space="preserve">非分散红外吸收法或</w:t>
            </w:r>
            <w:r/>
          </w:p>
          <w:p>
            <w:pPr>
              <w:pStyle w:val="981"/>
              <w:ind w:left="715"/>
              <w:spacing w:line="219" w:lineRule="auto"/>
              <w:rPr>
                <w:sz w:val="29"/>
                <w:szCs w:val="29"/>
              </w:rPr>
            </w:pPr>
            <w:r>
              <w:rPr>
                <w:sz w:val="29"/>
                <w:szCs w:val="29"/>
              </w:rPr>
              <w:t xml:space="preserve">气体滤波相关红外吸收法</w:t>
            </w:r>
            <w:r/>
          </w:p>
        </w:tc>
      </w:tr>
      <w:tr>
        <w:trPr>
          <w:trHeight w:val="690"/>
        </w:trPr>
        <w:tc>
          <w:tcPr>
            <w:tcW w:w="411" w:type="pct"/>
            <w:textDirection w:val="lrTb"/>
            <w:noWrap w:val="false"/>
          </w:tcPr>
          <w:p>
            <w:pPr>
              <w:pStyle w:val="981"/>
              <w:ind w:left="295"/>
              <w:spacing w:before="232" w:line="241" w:lineRule="auto"/>
              <w:rPr>
                <w:sz w:val="29"/>
                <w:szCs w:val="29"/>
              </w:rPr>
            </w:pPr>
            <w:r>
              <w:rPr>
                <w:sz w:val="29"/>
                <w:szCs w:val="29"/>
              </w:rPr>
              <w:t xml:space="preserve">2</w:t>
            </w:r>
            <w:r/>
          </w:p>
        </w:tc>
        <w:tc>
          <w:tcPr>
            <w:tcW w:w="2192" w:type="pct"/>
            <w:textDirection w:val="lrTb"/>
            <w:noWrap w:val="false"/>
          </w:tcPr>
          <w:p>
            <w:pPr>
              <w:pStyle w:val="981"/>
              <w:ind w:left="1421"/>
              <w:spacing w:before="204" w:line="220" w:lineRule="auto"/>
              <w:rPr>
                <w:sz w:val="29"/>
                <w:szCs w:val="29"/>
              </w:rPr>
            </w:pPr>
            <w:r>
              <w:rPr>
                <w:spacing w:val="6"/>
                <w:sz w:val="29"/>
                <w:szCs w:val="29"/>
              </w:rPr>
              <w:t xml:space="preserve">测量范围</w:t>
            </w:r>
            <w:r/>
          </w:p>
        </w:tc>
        <w:tc>
          <w:tcPr>
            <w:tcW w:w="2396" w:type="pct"/>
            <w:textDirection w:val="lrTb"/>
            <w:noWrap w:val="false"/>
          </w:tcPr>
          <w:p>
            <w:pPr>
              <w:pStyle w:val="981"/>
              <w:ind w:left="1675"/>
              <w:spacing w:before="196" w:line="214" w:lineRule="auto"/>
              <w:rPr>
                <w:sz w:val="29"/>
                <w:szCs w:val="29"/>
              </w:rPr>
            </w:pPr>
            <w:r>
              <w:rPr>
                <w:spacing w:val="-2"/>
                <w:sz w:val="29"/>
                <w:szCs w:val="29"/>
              </w:rPr>
              <w:t xml:space="preserve">0</w:t>
            </w:r>
            <w:r>
              <w:rPr>
                <w:rFonts w:hint="eastAsia"/>
                <w:spacing w:val="-2"/>
                <w:sz w:val="29"/>
                <w:szCs w:val="29"/>
              </w:rPr>
              <w:t xml:space="preserve">－</w:t>
            </w:r>
            <w:r>
              <w:rPr>
                <w:spacing w:val="-2"/>
                <w:sz w:val="29"/>
                <w:szCs w:val="29"/>
              </w:rPr>
              <w:t xml:space="preserve">50ppm</w:t>
            </w:r>
            <w:r/>
          </w:p>
        </w:tc>
      </w:tr>
      <w:tr>
        <w:trPr>
          <w:trHeight w:val="699"/>
        </w:trPr>
        <w:tc>
          <w:tcPr>
            <w:tcW w:w="411" w:type="pct"/>
            <w:textDirection w:val="lrTb"/>
            <w:noWrap w:val="false"/>
          </w:tcPr>
          <w:p>
            <w:pPr>
              <w:pStyle w:val="981"/>
              <w:ind w:left="295"/>
              <w:spacing w:before="242"/>
              <w:rPr>
                <w:sz w:val="29"/>
                <w:szCs w:val="29"/>
              </w:rPr>
            </w:pPr>
            <w:r>
              <w:rPr>
                <w:sz w:val="29"/>
                <w:szCs w:val="29"/>
              </w:rPr>
              <w:t xml:space="preserve">3</w:t>
            </w:r>
            <w:r/>
          </w:p>
        </w:tc>
        <w:tc>
          <w:tcPr>
            <w:tcW w:w="2192" w:type="pct"/>
            <w:textDirection w:val="lrTb"/>
            <w:noWrap w:val="false"/>
          </w:tcPr>
          <w:p>
            <w:pPr>
              <w:pStyle w:val="981"/>
              <w:ind w:left="1421"/>
              <w:spacing w:before="214" w:line="219" w:lineRule="auto"/>
              <w:rPr>
                <w:sz w:val="29"/>
                <w:szCs w:val="29"/>
              </w:rPr>
            </w:pPr>
            <w:r>
              <w:rPr>
                <w:spacing w:val="4"/>
                <w:sz w:val="29"/>
                <w:szCs w:val="29"/>
              </w:rPr>
              <w:t xml:space="preserve">零点噪声</w:t>
            </w:r>
            <w:r/>
          </w:p>
        </w:tc>
        <w:tc>
          <w:tcPr>
            <w:tcW w:w="2396" w:type="pct"/>
            <w:textDirection w:val="lrTb"/>
            <w:noWrap w:val="false"/>
          </w:tcPr>
          <w:p>
            <w:pPr>
              <w:pStyle w:val="981"/>
              <w:ind w:left="1535"/>
              <w:spacing w:before="206" w:line="214" w:lineRule="auto"/>
              <w:rPr>
                <w:sz w:val="29"/>
                <w:szCs w:val="29"/>
              </w:rPr>
            </w:pPr>
            <w:r>
              <w:rPr>
                <w:spacing w:val="-4"/>
                <w:sz w:val="29"/>
                <w:szCs w:val="29"/>
              </w:rPr>
              <w:t xml:space="preserve">≤0.25ppm</w:t>
            </w:r>
            <w:r/>
          </w:p>
        </w:tc>
      </w:tr>
      <w:tr>
        <w:trPr>
          <w:trHeight w:val="690"/>
        </w:trPr>
        <w:tc>
          <w:tcPr>
            <w:tcW w:w="411" w:type="pct"/>
            <w:textDirection w:val="lrTb"/>
            <w:noWrap w:val="false"/>
          </w:tcPr>
          <w:p>
            <w:pPr>
              <w:pStyle w:val="981"/>
              <w:ind w:left="295"/>
              <w:spacing w:before="233" w:line="241" w:lineRule="auto"/>
              <w:rPr>
                <w:sz w:val="29"/>
                <w:szCs w:val="29"/>
              </w:rPr>
            </w:pPr>
            <w:r>
              <w:rPr>
                <w:sz w:val="29"/>
                <w:szCs w:val="29"/>
              </w:rPr>
              <w:t xml:space="preserve">4</w:t>
            </w:r>
            <w:r/>
          </w:p>
        </w:tc>
        <w:tc>
          <w:tcPr>
            <w:tcW w:w="2192" w:type="pct"/>
            <w:textDirection w:val="lrTb"/>
            <w:noWrap w:val="false"/>
          </w:tcPr>
          <w:p>
            <w:pPr>
              <w:pStyle w:val="981"/>
              <w:ind w:left="1271"/>
              <w:spacing w:before="205" w:line="219" w:lineRule="auto"/>
              <w:rPr>
                <w:sz w:val="29"/>
                <w:szCs w:val="29"/>
              </w:rPr>
            </w:pPr>
            <w:r>
              <w:rPr>
                <w:spacing w:val="3"/>
                <w:sz w:val="29"/>
                <w:szCs w:val="29"/>
              </w:rPr>
              <w:t xml:space="preserve">最低检出限</w:t>
            </w:r>
            <w:r/>
          </w:p>
        </w:tc>
        <w:tc>
          <w:tcPr>
            <w:tcW w:w="2396" w:type="pct"/>
            <w:textDirection w:val="lrTb"/>
            <w:noWrap w:val="false"/>
          </w:tcPr>
          <w:p>
            <w:pPr>
              <w:pStyle w:val="981"/>
              <w:ind w:left="1605"/>
              <w:spacing w:before="197" w:line="214" w:lineRule="auto"/>
              <w:rPr>
                <w:sz w:val="29"/>
                <w:szCs w:val="29"/>
              </w:rPr>
            </w:pPr>
            <w:r>
              <w:rPr>
                <w:spacing w:val="-4"/>
                <w:sz w:val="29"/>
                <w:szCs w:val="29"/>
              </w:rPr>
              <w:t xml:space="preserve">≤0.5ppm</w:t>
            </w:r>
            <w:r/>
          </w:p>
        </w:tc>
      </w:tr>
      <w:tr>
        <w:trPr>
          <w:trHeight w:val="719"/>
        </w:trPr>
        <w:tc>
          <w:tcPr>
            <w:tcW w:w="411" w:type="pct"/>
            <w:textDirection w:val="lrTb"/>
            <w:noWrap w:val="false"/>
          </w:tcPr>
          <w:p>
            <w:pPr>
              <w:pStyle w:val="981"/>
              <w:ind w:left="295"/>
              <w:spacing w:before="253"/>
              <w:rPr>
                <w:color w:val="000000" w:themeColor="text1"/>
                <w:sz w:val="29"/>
                <w:szCs w:val="29"/>
                <w14:textFill>
                  <w14:solidFill>
                    <w14:schemeClr w14:val="tx1"/>
                  </w14:solidFill>
                </w14:textFill>
              </w:rPr>
            </w:pPr>
            <w:r>
              <w:rPr>
                <w:color w:val="000000" w:themeColor="text1"/>
                <w:sz w:val="29"/>
                <w:szCs w:val="29"/>
                <w14:textFill>
                  <w14:solidFill>
                    <w14:schemeClr w14:val="tx1"/>
                  </w14:solidFill>
                </w14:textFill>
              </w:rPr>
              <w:t xml:space="preserve">5</w:t>
            </w:r>
            <w:r/>
          </w:p>
        </w:tc>
        <w:tc>
          <w:tcPr>
            <w:tcW w:w="2192" w:type="pct"/>
            <w:textDirection w:val="lrTb"/>
            <w:noWrap w:val="false"/>
          </w:tcPr>
          <w:p>
            <w:pPr>
              <w:pStyle w:val="981"/>
              <w:ind w:left="1421"/>
              <w:spacing w:before="225" w:line="220" w:lineRule="auto"/>
              <w:rPr>
                <w:color w:val="000000" w:themeColor="text1"/>
                <w:sz w:val="29"/>
                <w:szCs w:val="29"/>
                <w14:textFill>
                  <w14:solidFill>
                    <w14:schemeClr w14:val="tx1"/>
                  </w14:solidFill>
                </w14:textFill>
              </w:rPr>
            </w:pPr>
            <w:r>
              <w:rPr>
                <w:color w:val="000000" w:themeColor="text1"/>
                <w:spacing w:val="4"/>
                <w:sz w:val="29"/>
                <w:szCs w:val="29"/>
                <w14:textFill>
                  <w14:solidFill>
                    <w14:schemeClr w14:val="tx1"/>
                  </w14:solidFill>
                </w14:textFill>
              </w:rPr>
              <w:t xml:space="preserve">量程噪声</w:t>
            </w:r>
            <w:r/>
          </w:p>
        </w:tc>
        <w:tc>
          <w:tcPr>
            <w:tcW w:w="2396" w:type="pct"/>
            <w:textDirection w:val="lrTb"/>
            <w:noWrap w:val="false"/>
          </w:tcPr>
          <w:p>
            <w:pPr>
              <w:pStyle w:val="981"/>
              <w:ind w:left="1754"/>
              <w:spacing w:before="217" w:line="214" w:lineRule="auto"/>
              <w:rPr>
                <w:color w:val="000000" w:themeColor="text1"/>
                <w:sz w:val="29"/>
                <w:szCs w:val="29"/>
                <w14:textFill>
                  <w14:solidFill>
                    <w14:schemeClr w14:val="tx1"/>
                  </w14:solidFill>
                </w14:textFill>
              </w:rPr>
            </w:pPr>
            <w:r>
              <w:rPr>
                <w:color w:val="000000" w:themeColor="text1"/>
                <w:spacing w:val="-6"/>
                <w:sz w:val="29"/>
                <w:szCs w:val="29"/>
                <w14:textFill>
                  <w14:solidFill>
                    <w14:schemeClr w14:val="tx1"/>
                  </w14:solidFill>
                </w14:textFill>
              </w:rPr>
              <w:t xml:space="preserve">≤1</w:t>
            </w:r>
            <w:bookmarkStart w:id="114" w:name="OLE_LINK40"/>
            <w:r/>
            <w:bookmarkStart w:id="115" w:name="OLE_LINK39"/>
            <w:r>
              <w:rPr>
                <w:color w:val="000000" w:themeColor="text1"/>
                <w:spacing w:val="-6"/>
                <w:sz w:val="29"/>
                <w:szCs w:val="29"/>
                <w14:textFill>
                  <w14:solidFill>
                    <w14:schemeClr w14:val="tx1"/>
                  </w14:solidFill>
                </w14:textFill>
              </w:rPr>
              <w:t xml:space="preserve">ppm</w:t>
            </w:r>
            <w:bookmarkEnd w:id="114"/>
            <w:r/>
            <w:bookmarkEnd w:id="115"/>
            <w:r/>
            <w:r/>
          </w:p>
        </w:tc>
      </w:tr>
      <w:tr>
        <w:trPr>
          <w:trHeight w:val="710"/>
        </w:trPr>
        <w:tc>
          <w:tcPr>
            <w:tcW w:w="411" w:type="pct"/>
            <w:textDirection w:val="lrTb"/>
            <w:noWrap w:val="false"/>
          </w:tcPr>
          <w:p>
            <w:pPr>
              <w:pStyle w:val="981"/>
              <w:ind w:left="295"/>
              <w:spacing w:before="244"/>
              <w:rPr>
                <w:color w:val="000000" w:themeColor="text1"/>
                <w:sz w:val="29"/>
                <w:szCs w:val="29"/>
                <w14:textFill>
                  <w14:solidFill>
                    <w14:schemeClr w14:val="tx1"/>
                  </w14:solidFill>
                </w14:textFill>
              </w:rPr>
            </w:pPr>
            <w:r>
              <w:rPr>
                <w:color w:val="000000" w:themeColor="text1"/>
                <w:sz w:val="29"/>
                <w:szCs w:val="29"/>
                <w14:textFill>
                  <w14:solidFill>
                    <w14:schemeClr w14:val="tx1"/>
                  </w14:solidFill>
                </w14:textFill>
              </w:rPr>
              <w:t xml:space="preserve">6</w:t>
            </w:r>
            <w:r/>
          </w:p>
        </w:tc>
        <w:tc>
          <w:tcPr>
            <w:tcW w:w="2192" w:type="pct"/>
            <w:textDirection w:val="lrTb"/>
            <w:noWrap w:val="false"/>
          </w:tcPr>
          <w:p>
            <w:pPr>
              <w:pStyle w:val="981"/>
              <w:ind w:left="1421"/>
              <w:spacing w:before="215" w:line="219" w:lineRule="auto"/>
              <w:rPr>
                <w:color w:val="000000" w:themeColor="text1"/>
                <w:sz w:val="29"/>
                <w:szCs w:val="29"/>
                <w14:textFill>
                  <w14:solidFill>
                    <w14:schemeClr w14:val="tx1"/>
                  </w14:solidFill>
                </w14:textFill>
              </w:rPr>
            </w:pPr>
            <w:r>
              <w:rPr>
                <w:color w:val="000000" w:themeColor="text1"/>
                <w:spacing w:val="3"/>
                <w:sz w:val="29"/>
                <w:szCs w:val="29"/>
                <w14:textFill>
                  <w14:solidFill>
                    <w14:schemeClr w14:val="tx1"/>
                  </w14:solidFill>
                </w14:textFill>
              </w:rPr>
              <w:t xml:space="preserve">示值误差</w:t>
            </w:r>
            <w:r/>
          </w:p>
        </w:tc>
        <w:tc>
          <w:tcPr>
            <w:tcW w:w="2396" w:type="pct"/>
            <w:textDirection w:val="lrTb"/>
            <w:noWrap w:val="false"/>
          </w:tcPr>
          <w:p>
            <w:pPr>
              <w:pStyle w:val="981"/>
              <w:ind w:left="1465"/>
              <w:spacing w:before="215" w:line="219" w:lineRule="auto"/>
              <w:rPr>
                <w:color w:val="000000" w:themeColor="text1"/>
                <w:sz w:val="29"/>
                <w:szCs w:val="29"/>
                <w14:textFill>
                  <w14:solidFill>
                    <w14:schemeClr w14:val="tx1"/>
                  </w14:solidFill>
                </w14:textFill>
              </w:rPr>
            </w:pPr>
            <w:r>
              <w:rPr>
                <w:color w:val="000000" w:themeColor="text1"/>
                <w:spacing w:val="1"/>
                <w:sz w:val="29"/>
                <w:szCs w:val="29"/>
                <w14:textFill>
                  <w14:solidFill>
                    <w14:schemeClr w14:val="tx1"/>
                  </w14:solidFill>
                </w14:textFill>
              </w:rPr>
              <w:t xml:space="preserve">±2</w:t>
            </w:r>
            <w:r>
              <w:rPr>
                <w:rFonts w:hint="eastAsia"/>
                <w:color w:val="000000" w:themeColor="text1"/>
                <w:spacing w:val="1"/>
                <w:sz w:val="29"/>
                <w:szCs w:val="29"/>
                <w14:textFill>
                  <w14:solidFill>
                    <w14:schemeClr w14:val="tx1"/>
                  </w14:solidFill>
                </w14:textFill>
              </w:rPr>
              <w:t xml:space="preserve">％</w:t>
            </w:r>
            <w:r>
              <w:rPr>
                <w:color w:val="000000" w:themeColor="text1"/>
                <w:spacing w:val="1"/>
                <w:sz w:val="29"/>
                <w:szCs w:val="29"/>
                <w14:textFill>
                  <w14:solidFill>
                    <w14:schemeClr w14:val="tx1"/>
                  </w14:solidFill>
                </w14:textFill>
              </w:rPr>
              <w:t xml:space="preserve">满量程</w:t>
            </w:r>
            <w:r/>
          </w:p>
        </w:tc>
      </w:tr>
      <w:tr>
        <w:trPr>
          <w:trHeight w:val="709"/>
        </w:trPr>
        <w:tc>
          <w:tcPr>
            <w:tcW w:w="411" w:type="pct"/>
            <w:textDirection w:val="lrTb"/>
            <w:noWrap w:val="false"/>
          </w:tcPr>
          <w:p>
            <w:pPr>
              <w:pStyle w:val="981"/>
              <w:ind w:left="295"/>
              <w:spacing w:before="244"/>
              <w:rPr>
                <w:color w:val="000000" w:themeColor="text1"/>
                <w:sz w:val="29"/>
                <w:szCs w:val="29"/>
                <w14:textFill>
                  <w14:solidFill>
                    <w14:schemeClr w14:val="tx1"/>
                  </w14:solidFill>
                </w14:textFill>
              </w:rPr>
            </w:pPr>
            <w:r>
              <w:rPr>
                <w:color w:val="000000" w:themeColor="text1"/>
                <w:sz w:val="29"/>
                <w:szCs w:val="29"/>
                <w14:textFill>
                  <w14:solidFill>
                    <w14:schemeClr w14:val="tx1"/>
                  </w14:solidFill>
                </w14:textFill>
              </w:rPr>
              <w:t xml:space="preserve">7</w:t>
            </w:r>
            <w:r/>
          </w:p>
        </w:tc>
        <w:tc>
          <w:tcPr>
            <w:tcW w:w="2192" w:type="pct"/>
            <w:textDirection w:val="lrTb"/>
            <w:noWrap w:val="false"/>
          </w:tcPr>
          <w:p>
            <w:pPr>
              <w:pStyle w:val="981"/>
              <w:ind w:left="1051"/>
              <w:spacing w:before="213" w:line="219" w:lineRule="auto"/>
              <w:rPr>
                <w:color w:val="000000" w:themeColor="text1"/>
                <w:sz w:val="29"/>
                <w:szCs w:val="29"/>
                <w14:textFill>
                  <w14:solidFill>
                    <w14:schemeClr w14:val="tx1"/>
                  </w14:solidFill>
                </w14:textFill>
              </w:rPr>
            </w:pPr>
            <w:r>
              <w:rPr>
                <w:color w:val="000000" w:themeColor="text1"/>
                <w:spacing w:val="2"/>
                <w:sz w:val="29"/>
                <w:szCs w:val="29"/>
                <w14:textFill>
                  <w14:solidFill>
                    <w14:schemeClr w14:val="tx1"/>
                  </w14:solidFill>
                </w14:textFill>
              </w:rPr>
              <w:t xml:space="preserve">★20</w:t>
            </w:r>
            <w:r>
              <w:rPr>
                <w:rFonts w:hint="eastAsia"/>
                <w:color w:val="000000" w:themeColor="text1"/>
                <w:spacing w:val="2"/>
                <w:sz w:val="29"/>
                <w:szCs w:val="29"/>
                <w14:textFill>
                  <w14:solidFill>
                    <w14:schemeClr w14:val="tx1"/>
                  </w14:solidFill>
                </w14:textFill>
              </w:rPr>
              <w:t xml:space="preserve">％</w:t>
            </w:r>
            <w:r>
              <w:rPr>
                <w:color w:val="000000" w:themeColor="text1"/>
                <w:spacing w:val="2"/>
                <w:sz w:val="29"/>
                <w:szCs w:val="29"/>
                <w14:textFill>
                  <w14:solidFill>
                    <w14:schemeClr w14:val="tx1"/>
                  </w14:solidFill>
                </w14:textFill>
              </w:rPr>
              <w:t xml:space="preserve">量程精密度</w:t>
            </w:r>
            <w:r/>
          </w:p>
        </w:tc>
        <w:tc>
          <w:tcPr>
            <w:tcW w:w="2396" w:type="pct"/>
            <w:textDirection w:val="lrTb"/>
            <w:noWrap w:val="false"/>
          </w:tcPr>
          <w:p>
            <w:pPr>
              <w:pStyle w:val="981"/>
              <w:ind w:left="1605"/>
              <w:spacing w:before="208" w:line="214" w:lineRule="auto"/>
              <w:rPr>
                <w:color w:val="000000" w:themeColor="text1"/>
                <w:sz w:val="29"/>
                <w:szCs w:val="29"/>
                <w14:textFill>
                  <w14:solidFill>
                    <w14:schemeClr w14:val="tx1"/>
                  </w14:solidFill>
                </w14:textFill>
              </w:rPr>
            </w:pPr>
            <w:r>
              <w:rPr>
                <w:color w:val="000000" w:themeColor="text1"/>
                <w:spacing w:val="-4"/>
                <w:sz w:val="29"/>
                <w:szCs w:val="29"/>
                <w14:textFill>
                  <w14:solidFill>
                    <w14:schemeClr w14:val="tx1"/>
                  </w14:solidFill>
                </w14:textFill>
              </w:rPr>
              <w:t xml:space="preserve">≤0.</w:t>
            </w:r>
            <w:r>
              <w:rPr>
                <w:rFonts w:hint="eastAsia"/>
                <w:color w:val="000000" w:themeColor="text1"/>
                <w:spacing w:val="-4"/>
                <w:sz w:val="29"/>
                <w:szCs w:val="29"/>
                <w14:textFill>
                  <w14:solidFill>
                    <w14:schemeClr w14:val="tx1"/>
                  </w14:solidFill>
                </w14:textFill>
              </w:rPr>
              <w:t xml:space="preserve">02</w:t>
            </w:r>
            <w:r>
              <w:rPr>
                <w:color w:val="000000" w:themeColor="text1"/>
                <w:spacing w:val="-4"/>
                <w:sz w:val="29"/>
                <w:szCs w:val="29"/>
                <w14:textFill>
                  <w14:solidFill>
                    <w14:schemeClr w14:val="tx1"/>
                  </w14:solidFill>
                </w14:textFill>
              </w:rPr>
              <w:t xml:space="preserve">ppm</w:t>
            </w:r>
            <w:r/>
          </w:p>
        </w:tc>
      </w:tr>
      <w:tr>
        <w:trPr>
          <w:trHeight w:val="719"/>
        </w:trPr>
        <w:tc>
          <w:tcPr>
            <w:tcW w:w="411" w:type="pct"/>
            <w:textDirection w:val="lrTb"/>
            <w:noWrap w:val="false"/>
          </w:tcPr>
          <w:p>
            <w:pPr>
              <w:pStyle w:val="981"/>
              <w:ind w:left="295"/>
              <w:spacing w:before="255"/>
              <w:rPr>
                <w:color w:val="000000" w:themeColor="text1"/>
                <w:sz w:val="29"/>
                <w:szCs w:val="29"/>
                <w14:textFill>
                  <w14:solidFill>
                    <w14:schemeClr w14:val="tx1"/>
                  </w14:solidFill>
                </w14:textFill>
              </w:rPr>
            </w:pPr>
            <w:r>
              <w:rPr>
                <w:color w:val="000000" w:themeColor="text1"/>
                <w:sz w:val="29"/>
                <w:szCs w:val="29"/>
                <w14:textFill>
                  <w14:solidFill>
                    <w14:schemeClr w14:val="tx1"/>
                  </w14:solidFill>
                </w14:textFill>
              </w:rPr>
              <w:t xml:space="preserve">8</w:t>
            </w:r>
            <w:r/>
          </w:p>
        </w:tc>
        <w:tc>
          <w:tcPr>
            <w:tcW w:w="2192" w:type="pct"/>
            <w:textDirection w:val="lrTb"/>
            <w:noWrap w:val="false"/>
          </w:tcPr>
          <w:p>
            <w:pPr>
              <w:pStyle w:val="981"/>
              <w:ind w:left="1051"/>
              <w:spacing w:before="225" w:line="219" w:lineRule="auto"/>
              <w:rPr>
                <w:color w:val="000000" w:themeColor="text1"/>
                <w:sz w:val="29"/>
                <w:szCs w:val="29"/>
                <w14:textFill>
                  <w14:solidFill>
                    <w14:schemeClr w14:val="tx1"/>
                  </w14:solidFill>
                </w14:textFill>
              </w:rPr>
            </w:pPr>
            <w:r>
              <w:rPr>
                <w:color w:val="000000" w:themeColor="text1"/>
                <w:spacing w:val="2"/>
                <w:sz w:val="29"/>
                <w:szCs w:val="29"/>
                <w14:textFill>
                  <w14:solidFill>
                    <w14:schemeClr w14:val="tx1"/>
                  </w14:solidFill>
                </w14:textFill>
              </w:rPr>
              <w:t xml:space="preserve">80</w:t>
            </w:r>
            <w:r>
              <w:rPr>
                <w:rFonts w:hint="eastAsia"/>
                <w:color w:val="000000" w:themeColor="text1"/>
                <w:spacing w:val="2"/>
                <w:sz w:val="29"/>
                <w:szCs w:val="29"/>
                <w14:textFill>
                  <w14:solidFill>
                    <w14:schemeClr w14:val="tx1"/>
                  </w14:solidFill>
                </w14:textFill>
              </w:rPr>
              <w:t xml:space="preserve">％</w:t>
            </w:r>
            <w:r>
              <w:rPr>
                <w:color w:val="000000" w:themeColor="text1"/>
                <w:spacing w:val="2"/>
                <w:sz w:val="29"/>
                <w:szCs w:val="29"/>
                <w14:textFill>
                  <w14:solidFill>
                    <w14:schemeClr w14:val="tx1"/>
                  </w14:solidFill>
                </w14:textFill>
              </w:rPr>
              <w:t xml:space="preserve">量程精密度</w:t>
            </w:r>
            <w:r/>
          </w:p>
        </w:tc>
        <w:tc>
          <w:tcPr>
            <w:tcW w:w="2396" w:type="pct"/>
            <w:textDirection w:val="lrTb"/>
            <w:noWrap w:val="false"/>
          </w:tcPr>
          <w:p>
            <w:pPr>
              <w:pStyle w:val="981"/>
              <w:ind w:left="1605"/>
              <w:spacing w:before="219" w:line="214" w:lineRule="auto"/>
              <w:rPr>
                <w:color w:val="000000" w:themeColor="text1"/>
                <w:sz w:val="29"/>
                <w:szCs w:val="29"/>
                <w14:textFill>
                  <w14:solidFill>
                    <w14:schemeClr w14:val="tx1"/>
                  </w14:solidFill>
                </w14:textFill>
              </w:rPr>
            </w:pPr>
            <w:r>
              <w:rPr>
                <w:color w:val="000000" w:themeColor="text1"/>
                <w:spacing w:val="-4"/>
                <w:sz w:val="29"/>
                <w:szCs w:val="29"/>
                <w14:textFill>
                  <w14:solidFill>
                    <w14:schemeClr w14:val="tx1"/>
                  </w14:solidFill>
                </w14:textFill>
              </w:rPr>
              <w:t xml:space="preserve">≤0.5ppm</w:t>
            </w:r>
            <w:r/>
          </w:p>
        </w:tc>
      </w:tr>
      <w:tr>
        <w:trPr>
          <w:trHeight w:val="700"/>
        </w:trPr>
        <w:tc>
          <w:tcPr>
            <w:tcW w:w="411" w:type="pct"/>
            <w:textDirection w:val="lrTb"/>
            <w:noWrap w:val="false"/>
          </w:tcPr>
          <w:p>
            <w:pPr>
              <w:pStyle w:val="981"/>
              <w:ind w:left="295"/>
              <w:spacing w:before="246"/>
              <w:rPr>
                <w:color w:val="000000" w:themeColor="text1"/>
                <w:sz w:val="29"/>
                <w:szCs w:val="29"/>
                <w14:textFill>
                  <w14:solidFill>
                    <w14:schemeClr w14:val="tx1"/>
                  </w14:solidFill>
                </w14:textFill>
              </w:rPr>
            </w:pPr>
            <w:r>
              <w:rPr>
                <w:color w:val="000000" w:themeColor="text1"/>
                <w:sz w:val="29"/>
                <w:szCs w:val="29"/>
                <w14:textFill>
                  <w14:solidFill>
                    <w14:schemeClr w14:val="tx1"/>
                  </w14:solidFill>
                </w14:textFill>
              </w:rPr>
              <w:t xml:space="preserve">9</w:t>
            </w:r>
            <w:r/>
          </w:p>
        </w:tc>
        <w:tc>
          <w:tcPr>
            <w:tcW w:w="2192" w:type="pct"/>
            <w:textDirection w:val="lrTb"/>
            <w:noWrap w:val="false"/>
          </w:tcPr>
          <w:p>
            <w:pPr>
              <w:pStyle w:val="981"/>
              <w:ind w:left="1200"/>
              <w:spacing w:before="218" w:line="219" w:lineRule="auto"/>
              <w:rPr>
                <w:color w:val="000000" w:themeColor="text1"/>
                <w:sz w:val="29"/>
                <w:szCs w:val="29"/>
                <w14:textFill>
                  <w14:solidFill>
                    <w14:schemeClr w14:val="tx1"/>
                  </w14:solidFill>
                </w14:textFill>
              </w:rPr>
            </w:pPr>
            <w:r>
              <w:rPr>
                <w:color w:val="000000" w:themeColor="text1"/>
                <w:spacing w:val="1"/>
                <w:sz w:val="29"/>
                <w:szCs w:val="29"/>
                <w14:textFill>
                  <w14:solidFill>
                    <w14:schemeClr w14:val="tx1"/>
                  </w14:solidFill>
                </w14:textFill>
              </w:rPr>
              <w:t xml:space="preserve">★24h零点漂移</w:t>
            </w:r>
            <w:r/>
          </w:p>
        </w:tc>
        <w:tc>
          <w:tcPr>
            <w:tcW w:w="2396" w:type="pct"/>
            <w:textDirection w:val="lrTb"/>
            <w:noWrap w:val="false"/>
          </w:tcPr>
          <w:p>
            <w:pPr>
              <w:pStyle w:val="981"/>
              <w:ind w:left="1754"/>
              <w:spacing w:before="210" w:line="214" w:lineRule="auto"/>
              <w:rPr>
                <w:color w:val="000000" w:themeColor="text1"/>
                <w:sz w:val="29"/>
                <w:szCs w:val="29"/>
                <w14:textFill>
                  <w14:solidFill>
                    <w14:schemeClr w14:val="tx1"/>
                  </w14:solidFill>
                </w14:textFill>
              </w:rPr>
            </w:pPr>
            <w:r>
              <w:rPr>
                <w:color w:val="000000" w:themeColor="text1"/>
                <w:spacing w:val="-8"/>
                <w:sz w:val="29"/>
                <w:szCs w:val="29"/>
                <w14:textFill>
                  <w14:solidFill>
                    <w14:schemeClr w14:val="tx1"/>
                  </w14:solidFill>
                </w14:textFill>
              </w:rPr>
              <w:t xml:space="preserve">±</w:t>
            </w:r>
            <w:r>
              <w:rPr>
                <w:rFonts w:hint="eastAsia"/>
                <w:color w:val="000000" w:themeColor="text1"/>
                <w:spacing w:val="-8"/>
                <w:sz w:val="29"/>
                <w:szCs w:val="29"/>
                <w14:textFill>
                  <w14:solidFill>
                    <w14:schemeClr w14:val="tx1"/>
                  </w14:solidFill>
                </w14:textFill>
              </w:rPr>
              <w:t xml:space="preserve">0.2</w:t>
            </w:r>
            <w:r>
              <w:rPr>
                <w:color w:val="000000" w:themeColor="text1"/>
                <w:spacing w:val="-4"/>
                <w:sz w:val="29"/>
                <w:szCs w:val="29"/>
                <w14:textFill>
                  <w14:solidFill>
                    <w14:schemeClr w14:val="tx1"/>
                  </w14:solidFill>
                </w14:textFill>
              </w:rPr>
              <w:t xml:space="preserve">ppm</w:t>
            </w:r>
            <w:r/>
          </w:p>
        </w:tc>
      </w:tr>
      <w:tr>
        <w:trPr>
          <w:trHeight w:val="680"/>
        </w:trPr>
        <w:tc>
          <w:tcPr>
            <w:tcW w:w="411" w:type="pct"/>
            <w:textDirection w:val="lrTb"/>
            <w:noWrap w:val="false"/>
          </w:tcPr>
          <w:p>
            <w:pPr>
              <w:pStyle w:val="981"/>
              <w:ind w:left="225"/>
              <w:spacing w:before="236"/>
              <w:rPr>
                <w:color w:val="000000" w:themeColor="text1"/>
                <w:sz w:val="29"/>
                <w:szCs w:val="29"/>
                <w14:textFill>
                  <w14:solidFill>
                    <w14:schemeClr w14:val="tx1"/>
                  </w14:solidFill>
                </w14:textFill>
              </w:rPr>
            </w:pPr>
            <w:r>
              <w:rPr>
                <w:color w:val="000000" w:themeColor="text1"/>
                <w:spacing w:val="-9"/>
                <w:sz w:val="29"/>
                <w:szCs w:val="29"/>
                <w14:textFill>
                  <w14:solidFill>
                    <w14:schemeClr w14:val="tx1"/>
                  </w14:solidFill>
                </w14:textFill>
              </w:rPr>
              <w:t xml:space="preserve">10</w:t>
            </w:r>
            <w:r/>
          </w:p>
        </w:tc>
        <w:tc>
          <w:tcPr>
            <w:tcW w:w="2192" w:type="pct"/>
            <w:textDirection w:val="lrTb"/>
            <w:noWrap w:val="false"/>
          </w:tcPr>
          <w:p>
            <w:pPr>
              <w:pStyle w:val="981"/>
              <w:ind w:left="981"/>
              <w:spacing w:before="208" w:line="219" w:lineRule="auto"/>
              <w:rPr>
                <w:color w:val="000000" w:themeColor="text1"/>
                <w:sz w:val="29"/>
                <w:szCs w:val="29"/>
                <w14:textFill>
                  <w14:solidFill>
                    <w14:schemeClr w14:val="tx1"/>
                  </w14:solidFill>
                </w14:textFill>
              </w:rPr>
            </w:pPr>
            <w:r>
              <w:rPr>
                <w:color w:val="000000" w:themeColor="text1"/>
                <w:spacing w:val="1"/>
                <w:sz w:val="29"/>
                <w:szCs w:val="29"/>
                <w14:textFill>
                  <w14:solidFill>
                    <w14:schemeClr w14:val="tx1"/>
                  </w14:solidFill>
                </w14:textFill>
              </w:rPr>
              <w:t xml:space="preserve">24h20</w:t>
            </w:r>
            <w:r>
              <w:rPr>
                <w:rFonts w:hint="eastAsia"/>
                <w:color w:val="000000" w:themeColor="text1"/>
                <w:spacing w:val="1"/>
                <w:sz w:val="29"/>
                <w:szCs w:val="29"/>
                <w14:textFill>
                  <w14:solidFill>
                    <w14:schemeClr w14:val="tx1"/>
                  </w14:solidFill>
                </w14:textFill>
              </w:rPr>
              <w:t xml:space="preserve">％</w:t>
            </w:r>
            <w:r>
              <w:rPr>
                <w:color w:val="000000" w:themeColor="text1"/>
                <w:spacing w:val="1"/>
                <w:sz w:val="29"/>
                <w:szCs w:val="29"/>
                <w14:textFill>
                  <w14:solidFill>
                    <w14:schemeClr w14:val="tx1"/>
                  </w14:solidFill>
                </w14:textFill>
              </w:rPr>
              <w:t xml:space="preserve">量程漂移</w:t>
            </w:r>
            <w:r/>
          </w:p>
        </w:tc>
        <w:tc>
          <w:tcPr>
            <w:tcW w:w="2396" w:type="pct"/>
            <w:textDirection w:val="lrTb"/>
            <w:noWrap w:val="false"/>
          </w:tcPr>
          <w:p>
            <w:pPr>
              <w:pStyle w:val="981"/>
              <w:ind w:left="1754"/>
              <w:spacing w:before="200" w:line="214" w:lineRule="auto"/>
              <w:rPr>
                <w:color w:val="000000" w:themeColor="text1"/>
                <w:sz w:val="29"/>
                <w:szCs w:val="29"/>
                <w14:textFill>
                  <w14:solidFill>
                    <w14:schemeClr w14:val="tx1"/>
                  </w14:solidFill>
                </w14:textFill>
              </w:rPr>
            </w:pPr>
            <w:r>
              <w:rPr>
                <w:color w:val="000000" w:themeColor="text1"/>
                <w:spacing w:val="-8"/>
                <w:sz w:val="29"/>
                <w:szCs w:val="29"/>
                <w14:textFill>
                  <w14:solidFill>
                    <w14:schemeClr w14:val="tx1"/>
                  </w14:solidFill>
                </w14:textFill>
              </w:rPr>
              <w:t xml:space="preserve">±1ppm</w:t>
            </w:r>
            <w:r/>
          </w:p>
        </w:tc>
      </w:tr>
      <w:tr>
        <w:trPr>
          <w:trHeight w:val="719"/>
        </w:trPr>
        <w:tc>
          <w:tcPr>
            <w:tcW w:w="411" w:type="pct"/>
            <w:textDirection w:val="lrTb"/>
            <w:noWrap w:val="false"/>
          </w:tcPr>
          <w:p>
            <w:pPr>
              <w:pStyle w:val="981"/>
              <w:ind w:left="225"/>
              <w:spacing w:before="256" w:line="241" w:lineRule="auto"/>
              <w:rPr>
                <w:color w:val="000000" w:themeColor="text1"/>
                <w:sz w:val="29"/>
                <w:szCs w:val="29"/>
                <w14:textFill>
                  <w14:solidFill>
                    <w14:schemeClr w14:val="tx1"/>
                  </w14:solidFill>
                </w14:textFill>
              </w:rPr>
            </w:pPr>
            <w:r>
              <w:rPr>
                <w:color w:val="000000" w:themeColor="text1"/>
                <w:spacing w:val="-9"/>
                <w:sz w:val="29"/>
                <w:szCs w:val="29"/>
                <w14:textFill>
                  <w14:solidFill>
                    <w14:schemeClr w14:val="tx1"/>
                  </w14:solidFill>
                </w14:textFill>
              </w:rPr>
              <w:t xml:space="preserve">11</w:t>
            </w:r>
            <w:r/>
          </w:p>
        </w:tc>
        <w:tc>
          <w:tcPr>
            <w:tcW w:w="2192" w:type="pct"/>
            <w:textDirection w:val="lrTb"/>
            <w:noWrap w:val="false"/>
          </w:tcPr>
          <w:p>
            <w:pPr>
              <w:pStyle w:val="981"/>
              <w:ind w:left="981"/>
              <w:spacing w:before="228" w:line="219" w:lineRule="auto"/>
              <w:rPr>
                <w:color w:val="000000" w:themeColor="text1"/>
                <w:sz w:val="29"/>
                <w:szCs w:val="29"/>
                <w14:textFill>
                  <w14:solidFill>
                    <w14:schemeClr w14:val="tx1"/>
                  </w14:solidFill>
                </w14:textFill>
              </w:rPr>
            </w:pPr>
            <w:r>
              <w:rPr>
                <w:color w:val="000000" w:themeColor="text1"/>
                <w:spacing w:val="1"/>
                <w:sz w:val="29"/>
                <w:szCs w:val="29"/>
                <w14:textFill>
                  <w14:solidFill>
                    <w14:schemeClr w14:val="tx1"/>
                  </w14:solidFill>
                </w14:textFill>
              </w:rPr>
              <w:t xml:space="preserve">24h80</w:t>
            </w:r>
            <w:r>
              <w:rPr>
                <w:rFonts w:hint="eastAsia"/>
                <w:color w:val="000000" w:themeColor="text1"/>
                <w:spacing w:val="1"/>
                <w:sz w:val="29"/>
                <w:szCs w:val="29"/>
                <w14:textFill>
                  <w14:solidFill>
                    <w14:schemeClr w14:val="tx1"/>
                  </w14:solidFill>
                </w14:textFill>
              </w:rPr>
              <w:t xml:space="preserve">％</w:t>
            </w:r>
            <w:r>
              <w:rPr>
                <w:color w:val="000000" w:themeColor="text1"/>
                <w:spacing w:val="1"/>
                <w:sz w:val="29"/>
                <w:szCs w:val="29"/>
                <w14:textFill>
                  <w14:solidFill>
                    <w14:schemeClr w14:val="tx1"/>
                  </w14:solidFill>
                </w14:textFill>
              </w:rPr>
              <w:t xml:space="preserve">量程漂移</w:t>
            </w:r>
            <w:r/>
          </w:p>
        </w:tc>
        <w:tc>
          <w:tcPr>
            <w:tcW w:w="2396" w:type="pct"/>
            <w:textDirection w:val="lrTb"/>
            <w:noWrap w:val="false"/>
          </w:tcPr>
          <w:p>
            <w:pPr>
              <w:pStyle w:val="981"/>
              <w:ind w:left="1754"/>
              <w:spacing w:before="220" w:line="214" w:lineRule="auto"/>
              <w:rPr>
                <w:color w:val="000000" w:themeColor="text1"/>
                <w:sz w:val="29"/>
                <w:szCs w:val="29"/>
                <w14:textFill>
                  <w14:solidFill>
                    <w14:schemeClr w14:val="tx1"/>
                  </w14:solidFill>
                </w14:textFill>
              </w:rPr>
            </w:pPr>
            <w:r>
              <w:rPr>
                <w:color w:val="000000" w:themeColor="text1"/>
                <w:spacing w:val="-8"/>
                <w:sz w:val="29"/>
                <w:szCs w:val="29"/>
                <w14:textFill>
                  <w14:solidFill>
                    <w14:schemeClr w14:val="tx1"/>
                  </w14:solidFill>
                </w14:textFill>
              </w:rPr>
              <w:t xml:space="preserve">±1ppm</w:t>
            </w:r>
            <w:r/>
          </w:p>
        </w:tc>
      </w:tr>
      <w:tr>
        <w:trPr>
          <w:trHeight w:val="710"/>
        </w:trPr>
        <w:tc>
          <w:tcPr>
            <w:tcW w:w="411" w:type="pct"/>
            <w:textDirection w:val="lrTb"/>
            <w:noWrap w:val="false"/>
          </w:tcPr>
          <w:p>
            <w:pPr>
              <w:pStyle w:val="981"/>
              <w:ind w:left="225"/>
              <w:spacing w:before="247" w:line="241" w:lineRule="auto"/>
              <w:rPr>
                <w:color w:val="000000" w:themeColor="text1"/>
                <w:sz w:val="29"/>
                <w:szCs w:val="29"/>
                <w14:textFill>
                  <w14:solidFill>
                    <w14:schemeClr w14:val="tx1"/>
                  </w14:solidFill>
                </w14:textFill>
              </w:rPr>
            </w:pPr>
            <w:r>
              <w:rPr>
                <w:color w:val="000000" w:themeColor="text1"/>
                <w:spacing w:val="-9"/>
                <w:sz w:val="29"/>
                <w:szCs w:val="29"/>
                <w14:textFill>
                  <w14:solidFill>
                    <w14:schemeClr w14:val="tx1"/>
                  </w14:solidFill>
                </w14:textFill>
              </w:rPr>
              <w:t xml:space="preserve">12</w:t>
            </w:r>
            <w:r/>
          </w:p>
        </w:tc>
        <w:tc>
          <w:tcPr>
            <w:tcW w:w="2192" w:type="pct"/>
            <w:textDirection w:val="lrTb"/>
            <w:noWrap w:val="false"/>
          </w:tcPr>
          <w:p>
            <w:pPr>
              <w:pStyle w:val="981"/>
              <w:jc w:val="right"/>
              <w:spacing w:before="218" w:line="219" w:lineRule="auto"/>
              <w:rPr>
                <w:color w:val="000000" w:themeColor="text1"/>
                <w:sz w:val="29"/>
                <w:szCs w:val="29"/>
                <w14:textFill>
                  <w14:solidFill>
                    <w14:schemeClr w14:val="tx1"/>
                  </w14:solidFill>
                </w14:textFill>
              </w:rPr>
            </w:pPr>
            <w:r>
              <w:rPr>
                <w:color w:val="000000" w:themeColor="text1"/>
                <w:spacing w:val="3"/>
                <w:sz w:val="29"/>
                <w:szCs w:val="29"/>
                <w14:textFill>
                  <w14:solidFill>
                    <w14:schemeClr w14:val="tx1"/>
                  </w14:solidFill>
                </w14:textFill>
              </w:rPr>
              <w:t xml:space="preserve">响应时间</w:t>
            </w:r>
            <w:r>
              <w:rPr>
                <w:rFonts w:hint="eastAsia"/>
                <w:color w:val="000000" w:themeColor="text1"/>
                <w:spacing w:val="3"/>
                <w:sz w:val="29"/>
                <w:szCs w:val="29"/>
                <w14:textFill>
                  <w14:solidFill>
                    <w14:schemeClr w14:val="tx1"/>
                  </w14:solidFill>
                </w14:textFill>
              </w:rPr>
              <w:t xml:space="preserve">（</w:t>
            </w:r>
            <w:r>
              <w:rPr>
                <w:color w:val="000000" w:themeColor="text1"/>
                <w:spacing w:val="3"/>
                <w:sz w:val="29"/>
                <w:szCs w:val="29"/>
                <w14:textFill>
                  <w14:solidFill>
                    <w14:schemeClr w14:val="tx1"/>
                  </w14:solidFill>
                </w14:textFill>
              </w:rPr>
              <w:t xml:space="preserve">上升时间</w:t>
            </w:r>
            <w:r>
              <w:rPr>
                <w:rFonts w:hint="eastAsia"/>
                <w:color w:val="000000" w:themeColor="text1"/>
                <w:spacing w:val="3"/>
                <w:sz w:val="29"/>
                <w:szCs w:val="29"/>
                <w14:textFill>
                  <w14:solidFill>
                    <w14:schemeClr w14:val="tx1"/>
                  </w14:solidFill>
                </w14:textFill>
              </w:rPr>
              <w:t xml:space="preserve">／</w:t>
            </w:r>
            <w:r>
              <w:rPr>
                <w:color w:val="000000" w:themeColor="text1"/>
                <w:spacing w:val="3"/>
                <w:sz w:val="29"/>
                <w:szCs w:val="29"/>
                <w14:textFill>
                  <w14:solidFill>
                    <w14:schemeClr w14:val="tx1"/>
                  </w14:solidFill>
                </w14:textFill>
              </w:rPr>
              <w:t xml:space="preserve">下降时间</w:t>
            </w:r>
            <w:r>
              <w:rPr>
                <w:rFonts w:hint="eastAsia"/>
                <w:color w:val="000000" w:themeColor="text1"/>
                <w:spacing w:val="3"/>
                <w:sz w:val="29"/>
                <w:szCs w:val="29"/>
                <w14:textFill>
                  <w14:solidFill>
                    <w14:schemeClr w14:val="tx1"/>
                  </w14:solidFill>
                </w14:textFill>
              </w:rPr>
              <w:t xml:space="preserve">）</w:t>
            </w:r>
            <w:r/>
          </w:p>
        </w:tc>
        <w:tc>
          <w:tcPr>
            <w:tcW w:w="2396" w:type="pct"/>
            <w:textDirection w:val="lrTb"/>
            <w:noWrap w:val="false"/>
          </w:tcPr>
          <w:p>
            <w:pPr>
              <w:pStyle w:val="981"/>
              <w:ind w:left="1754"/>
              <w:spacing w:before="244" w:line="236" w:lineRule="auto"/>
              <w:rPr>
                <w:color w:val="000000" w:themeColor="text1"/>
                <w:sz w:val="29"/>
                <w:szCs w:val="29"/>
                <w14:textFill>
                  <w14:solidFill>
                    <w14:schemeClr w14:val="tx1"/>
                  </w14:solidFill>
                </w14:textFill>
              </w:rPr>
            </w:pPr>
            <w:r>
              <w:rPr>
                <w:color w:val="000000" w:themeColor="text1"/>
                <w:spacing w:val="-6"/>
                <w:sz w:val="29"/>
                <w:szCs w:val="29"/>
                <w14:textFill>
                  <w14:solidFill>
                    <w14:schemeClr w14:val="tx1"/>
                  </w14:solidFill>
                </w14:textFill>
              </w:rPr>
              <w:t xml:space="preserve">≤4min</w:t>
            </w:r>
            <w:r/>
          </w:p>
        </w:tc>
      </w:tr>
      <w:tr>
        <w:trPr>
          <w:trHeight w:val="689"/>
        </w:trPr>
        <w:tc>
          <w:tcPr>
            <w:tcW w:w="411" w:type="pct"/>
            <w:textDirection w:val="lrTb"/>
            <w:noWrap w:val="false"/>
          </w:tcPr>
          <w:p>
            <w:pPr>
              <w:pStyle w:val="981"/>
              <w:ind w:left="225"/>
              <w:spacing w:before="237"/>
              <w:rPr>
                <w:sz w:val="29"/>
                <w:szCs w:val="29"/>
              </w:rPr>
            </w:pPr>
            <w:r>
              <w:rPr>
                <w:spacing w:val="-9"/>
                <w:sz w:val="29"/>
                <w:szCs w:val="29"/>
              </w:rPr>
              <w:t xml:space="preserve">13</w:t>
            </w:r>
            <w:r/>
          </w:p>
        </w:tc>
        <w:tc>
          <w:tcPr>
            <w:tcW w:w="2192" w:type="pct"/>
            <w:textDirection w:val="lrTb"/>
            <w:noWrap w:val="false"/>
          </w:tcPr>
          <w:p>
            <w:pPr>
              <w:pStyle w:val="981"/>
              <w:ind w:left="1271"/>
              <w:spacing w:before="209" w:line="219" w:lineRule="auto"/>
              <w:rPr>
                <w:sz w:val="29"/>
                <w:szCs w:val="29"/>
              </w:rPr>
            </w:pPr>
            <w:r>
              <w:rPr>
                <w:spacing w:val="2"/>
                <w:sz w:val="29"/>
                <w:szCs w:val="29"/>
              </w:rPr>
              <w:t xml:space="preserve">电压稳定性</w:t>
            </w:r>
            <w:r/>
          </w:p>
        </w:tc>
        <w:tc>
          <w:tcPr>
            <w:tcW w:w="2396" w:type="pct"/>
            <w:textDirection w:val="lrTb"/>
            <w:noWrap w:val="false"/>
          </w:tcPr>
          <w:p>
            <w:pPr>
              <w:pStyle w:val="981"/>
              <w:ind w:left="1465"/>
              <w:spacing w:before="209" w:line="219" w:lineRule="auto"/>
              <w:rPr>
                <w:sz w:val="29"/>
                <w:szCs w:val="29"/>
              </w:rPr>
            </w:pPr>
            <w:r>
              <w:rPr>
                <w:spacing w:val="1"/>
                <w:sz w:val="29"/>
                <w:szCs w:val="29"/>
              </w:rPr>
              <w:t xml:space="preserve">±1</w:t>
            </w:r>
            <w:r>
              <w:rPr>
                <w:rFonts w:hint="eastAsia"/>
                <w:spacing w:val="1"/>
                <w:sz w:val="29"/>
                <w:szCs w:val="29"/>
              </w:rPr>
              <w:t xml:space="preserve">％</w:t>
            </w:r>
            <w:r>
              <w:rPr>
                <w:spacing w:val="1"/>
                <w:sz w:val="29"/>
                <w:szCs w:val="29"/>
              </w:rPr>
              <w:t xml:space="preserve">满量程</w:t>
            </w:r>
            <w:r/>
          </w:p>
        </w:tc>
      </w:tr>
      <w:tr>
        <w:trPr>
          <w:trHeight w:val="720"/>
        </w:trPr>
        <w:tc>
          <w:tcPr>
            <w:tcW w:w="411" w:type="pct"/>
            <w:textDirection w:val="lrTb"/>
            <w:noWrap w:val="false"/>
          </w:tcPr>
          <w:p>
            <w:pPr>
              <w:pStyle w:val="981"/>
              <w:ind w:left="225"/>
              <w:spacing w:before="258" w:line="241" w:lineRule="auto"/>
              <w:rPr>
                <w:sz w:val="29"/>
                <w:szCs w:val="29"/>
              </w:rPr>
            </w:pPr>
            <w:r>
              <w:rPr>
                <w:spacing w:val="-9"/>
                <w:sz w:val="29"/>
                <w:szCs w:val="29"/>
              </w:rPr>
              <w:t xml:space="preserve">14</w:t>
            </w:r>
            <w:r/>
          </w:p>
        </w:tc>
        <w:tc>
          <w:tcPr>
            <w:tcW w:w="2192" w:type="pct"/>
            <w:textDirection w:val="lrTb"/>
            <w:noWrap w:val="false"/>
          </w:tcPr>
          <w:p>
            <w:pPr>
              <w:pStyle w:val="981"/>
              <w:ind w:left="1271"/>
              <w:spacing w:before="230" w:line="219" w:lineRule="auto"/>
              <w:rPr>
                <w:sz w:val="29"/>
                <w:szCs w:val="29"/>
              </w:rPr>
            </w:pPr>
            <w:r>
              <w:rPr>
                <w:spacing w:val="2"/>
                <w:sz w:val="29"/>
                <w:szCs w:val="29"/>
              </w:rPr>
              <w:t xml:space="preserve">流量稳定性</w:t>
            </w:r>
            <w:r/>
          </w:p>
        </w:tc>
        <w:tc>
          <w:tcPr>
            <w:tcW w:w="2396" w:type="pct"/>
            <w:textDirection w:val="lrTb"/>
            <w:noWrap w:val="false"/>
          </w:tcPr>
          <w:p>
            <w:pPr>
              <w:pStyle w:val="981"/>
              <w:ind w:left="1825"/>
              <w:spacing w:before="254" w:line="235" w:lineRule="auto"/>
              <w:rPr>
                <w:sz w:val="29"/>
                <w:szCs w:val="29"/>
              </w:rPr>
            </w:pPr>
            <w:r>
              <w:rPr>
                <w:spacing w:val="-10"/>
                <w:sz w:val="29"/>
                <w:szCs w:val="29"/>
              </w:rPr>
              <w:t xml:space="preserve">±10</w:t>
            </w:r>
            <w:r>
              <w:rPr>
                <w:rFonts w:hint="eastAsia"/>
                <w:spacing w:val="-10"/>
                <w:sz w:val="29"/>
                <w:szCs w:val="29"/>
              </w:rPr>
              <w:t xml:space="preserve">％</w:t>
            </w:r>
            <w:r/>
          </w:p>
        </w:tc>
      </w:tr>
      <w:tr>
        <w:trPr>
          <w:trHeight w:val="720"/>
        </w:trPr>
        <w:tc>
          <w:tcPr>
            <w:tcW w:w="411" w:type="pct"/>
            <w:textDirection w:val="lrTb"/>
            <w:noWrap w:val="false"/>
          </w:tcPr>
          <w:p>
            <w:pPr>
              <w:pStyle w:val="981"/>
              <w:ind w:left="225"/>
              <w:spacing w:before="258"/>
              <w:rPr>
                <w:sz w:val="29"/>
                <w:szCs w:val="29"/>
              </w:rPr>
            </w:pPr>
            <w:r>
              <w:rPr>
                <w:spacing w:val="-9"/>
                <w:sz w:val="29"/>
                <w:szCs w:val="29"/>
              </w:rPr>
              <w:t xml:space="preserve">15</w:t>
            </w:r>
            <w:r/>
          </w:p>
        </w:tc>
        <w:tc>
          <w:tcPr>
            <w:tcW w:w="2192" w:type="pct"/>
            <w:textDirection w:val="lrTb"/>
            <w:noWrap w:val="false"/>
          </w:tcPr>
          <w:p>
            <w:pPr>
              <w:pStyle w:val="981"/>
              <w:ind w:left="691"/>
              <w:spacing w:before="230" w:line="220" w:lineRule="auto"/>
              <w:rPr>
                <w:sz w:val="29"/>
                <w:szCs w:val="29"/>
              </w:rPr>
            </w:pPr>
            <w:r>
              <w:rPr>
                <w:spacing w:val="2"/>
                <w:sz w:val="29"/>
                <w:szCs w:val="29"/>
              </w:rPr>
              <w:t xml:space="preserve">环境温度变化的影响</w:t>
            </w:r>
            <w:r/>
          </w:p>
        </w:tc>
        <w:tc>
          <w:tcPr>
            <w:tcW w:w="2396" w:type="pct"/>
            <w:textDirection w:val="lrTb"/>
            <w:noWrap w:val="false"/>
          </w:tcPr>
          <w:p>
            <w:pPr>
              <w:pStyle w:val="981"/>
              <w:ind w:left="1384"/>
              <w:spacing w:before="222" w:line="214" w:lineRule="auto"/>
              <w:rPr>
                <w:sz w:val="29"/>
                <w:szCs w:val="29"/>
              </w:rPr>
            </w:pPr>
            <w:r>
              <w:rPr>
                <w:spacing w:val="-3"/>
                <w:sz w:val="29"/>
                <w:szCs w:val="29"/>
              </w:rPr>
              <w:t xml:space="preserve">≤0.3ppm</w:t>
            </w:r>
            <w:r>
              <w:rPr>
                <w:rFonts w:hint="eastAsia"/>
                <w:spacing w:val="-3"/>
                <w:sz w:val="29"/>
                <w:szCs w:val="29"/>
              </w:rPr>
              <w:t xml:space="preserve">／</w:t>
            </w:r>
            <w:r>
              <w:rPr>
                <w:spacing w:val="-3"/>
                <w:sz w:val="29"/>
                <w:szCs w:val="29"/>
              </w:rPr>
              <w:t xml:space="preserve">℃</w:t>
            </w:r>
            <w:r/>
          </w:p>
        </w:tc>
      </w:tr>
      <w:tr>
        <w:trPr>
          <w:trHeight w:val="799"/>
        </w:trPr>
        <w:tc>
          <w:tcPr>
            <w:tcW w:w="411" w:type="pct"/>
            <w:textDirection w:val="lrTb"/>
            <w:noWrap w:val="false"/>
          </w:tcPr>
          <w:p>
            <w:pPr>
              <w:pStyle w:val="981"/>
              <w:ind w:left="225"/>
              <w:spacing w:before="298"/>
              <w:rPr>
                <w:sz w:val="29"/>
                <w:szCs w:val="29"/>
              </w:rPr>
            </w:pPr>
            <w:r>
              <w:rPr>
                <w:spacing w:val="-9"/>
                <w:sz w:val="29"/>
                <w:szCs w:val="29"/>
              </w:rPr>
              <w:t xml:space="preserve">16</w:t>
            </w:r>
            <w:r/>
          </w:p>
        </w:tc>
        <w:tc>
          <w:tcPr>
            <w:tcW w:w="2192" w:type="pct"/>
            <w:textDirection w:val="lrTb"/>
            <w:noWrap w:val="false"/>
          </w:tcPr>
          <w:p>
            <w:pPr>
              <w:pStyle w:val="981"/>
              <w:ind w:left="981"/>
              <w:spacing w:before="267" w:line="219" w:lineRule="auto"/>
              <w:rPr>
                <w:sz w:val="29"/>
                <w:szCs w:val="29"/>
              </w:rPr>
            </w:pPr>
            <w:r>
              <w:rPr>
                <w:spacing w:val="3"/>
                <w:sz w:val="29"/>
                <w:szCs w:val="29"/>
              </w:rPr>
              <w:t xml:space="preserve">干扰成分的影响</w:t>
            </w:r>
            <w:r/>
          </w:p>
        </w:tc>
        <w:tc>
          <w:tcPr>
            <w:tcW w:w="2396" w:type="pct"/>
            <w:textDirection w:val="lrTb"/>
            <w:noWrap w:val="false"/>
          </w:tcPr>
          <w:p>
            <w:pPr>
              <w:pStyle w:val="981"/>
              <w:ind w:left="495" w:right="526" w:firstLine="229"/>
              <w:spacing w:before="38" w:line="239" w:lineRule="auto"/>
              <w:rPr>
                <w:sz w:val="29"/>
                <w:szCs w:val="29"/>
              </w:rPr>
            </w:pPr>
            <w:r>
              <w:rPr>
                <w:spacing w:val="14"/>
                <w:sz w:val="29"/>
                <w:szCs w:val="29"/>
              </w:rPr>
              <w:t xml:space="preserve">±5</w:t>
            </w:r>
            <w:r>
              <w:rPr>
                <w:rFonts w:hint="eastAsia"/>
                <w:spacing w:val="14"/>
                <w:sz w:val="29"/>
                <w:szCs w:val="29"/>
              </w:rPr>
              <w:t xml:space="preserve">％</w:t>
            </w:r>
            <w:r>
              <w:rPr>
                <w:spacing w:val="14"/>
                <w:sz w:val="29"/>
                <w:szCs w:val="29"/>
              </w:rPr>
              <w:t xml:space="preserve">满量程</w:t>
            </w:r>
            <w:r>
              <w:rPr>
                <w:rFonts w:hint="eastAsia"/>
                <w:spacing w:val="14"/>
                <w:sz w:val="29"/>
                <w:szCs w:val="29"/>
              </w:rPr>
              <w:t xml:space="preserve">（</w:t>
            </w:r>
            <w:r>
              <w:rPr>
                <w:spacing w:val="14"/>
                <w:sz w:val="29"/>
                <w:szCs w:val="29"/>
              </w:rPr>
              <w:t xml:space="preserve">2.5</w:t>
            </w:r>
            <w:r>
              <w:rPr>
                <w:rFonts w:hint="eastAsia"/>
                <w:spacing w:val="14"/>
                <w:sz w:val="29"/>
                <w:szCs w:val="29"/>
              </w:rPr>
              <w:t xml:space="preserve">％</w:t>
            </w:r>
            <w:r>
              <w:rPr>
                <w:spacing w:val="14"/>
                <w:sz w:val="29"/>
                <w:szCs w:val="29"/>
              </w:rPr>
              <w:t xml:space="preserve">H</w:t>
            </w:r>
            <w:r>
              <w:rPr>
                <w:rFonts w:ascii="Calibri" w:hAnsi="Calibri" w:eastAsia="Calibri" w:cs="Calibri"/>
                <w:spacing w:val="14"/>
                <w:sz w:val="29"/>
                <w:szCs w:val="29"/>
              </w:rPr>
              <w:t xml:space="preserve">₂</w:t>
            </w:r>
            <w:r>
              <w:rPr>
                <w:spacing w:val="14"/>
                <w:sz w:val="29"/>
                <w:szCs w:val="29"/>
              </w:rPr>
              <w:t xml:space="preserve">O</w:t>
            </w:r>
            <w:r>
              <w:rPr>
                <w:rFonts w:hint="eastAsia"/>
                <w:spacing w:val="14"/>
                <w:sz w:val="29"/>
                <w:szCs w:val="29"/>
              </w:rPr>
              <w:t xml:space="preserve">）</w:t>
            </w:r>
            <w:r>
              <w:rPr>
                <w:spacing w:val="16"/>
                <w:sz w:val="29"/>
                <w:szCs w:val="29"/>
              </w:rPr>
              <w:t xml:space="preserve">±5</w:t>
            </w:r>
            <w:r>
              <w:rPr>
                <w:rFonts w:hint="eastAsia"/>
                <w:spacing w:val="16"/>
                <w:sz w:val="29"/>
                <w:szCs w:val="29"/>
              </w:rPr>
              <w:t xml:space="preserve">％</w:t>
            </w:r>
            <w:r>
              <w:rPr>
                <w:spacing w:val="16"/>
                <w:sz w:val="29"/>
                <w:szCs w:val="29"/>
              </w:rPr>
              <w:t xml:space="preserve">满量程</w:t>
            </w:r>
            <w:r>
              <w:rPr>
                <w:rFonts w:hint="eastAsia"/>
                <w:spacing w:val="16"/>
                <w:sz w:val="29"/>
                <w:szCs w:val="29"/>
              </w:rPr>
              <w:t xml:space="preserve">（</w:t>
            </w:r>
            <w:r>
              <w:rPr>
                <w:spacing w:val="16"/>
                <w:sz w:val="29"/>
                <w:szCs w:val="29"/>
              </w:rPr>
              <w:t xml:space="preserve">1000</w:t>
            </w:r>
            <w:r>
              <w:rPr>
                <w:sz w:val="29"/>
                <w:szCs w:val="29"/>
              </w:rPr>
              <w:t xml:space="preserve">ppmCO</w:t>
            </w:r>
            <w:r>
              <w:rPr>
                <w:rFonts w:ascii="Calibri" w:hAnsi="Calibri" w:eastAsia="Calibri" w:cs="Calibri"/>
                <w:spacing w:val="16"/>
                <w:sz w:val="29"/>
                <w:szCs w:val="29"/>
              </w:rPr>
              <w:t xml:space="preserve">₂</w:t>
            </w:r>
            <w:r>
              <w:rPr>
                <w:rFonts w:hint="eastAsia"/>
                <w:spacing w:val="16"/>
                <w:sz w:val="29"/>
                <w:szCs w:val="29"/>
              </w:rPr>
              <w:t xml:space="preserve">）</w:t>
            </w:r>
            <w:r/>
          </w:p>
        </w:tc>
      </w:tr>
      <w:tr>
        <w:trPr>
          <w:trHeight w:val="720"/>
        </w:trPr>
        <w:tc>
          <w:tcPr>
            <w:tcW w:w="411" w:type="pct"/>
            <w:textDirection w:val="lrTb"/>
            <w:noWrap w:val="false"/>
          </w:tcPr>
          <w:p>
            <w:pPr>
              <w:pStyle w:val="981"/>
              <w:ind w:left="225"/>
              <w:spacing w:before="259"/>
              <w:rPr>
                <w:sz w:val="29"/>
                <w:szCs w:val="29"/>
              </w:rPr>
            </w:pPr>
            <w:r>
              <w:rPr>
                <w:spacing w:val="-9"/>
                <w:sz w:val="29"/>
                <w:szCs w:val="29"/>
              </w:rPr>
              <w:t xml:space="preserve">17</w:t>
            </w:r>
            <w:r/>
          </w:p>
        </w:tc>
        <w:tc>
          <w:tcPr>
            <w:tcW w:w="2192" w:type="pct"/>
            <w:textDirection w:val="lrTb"/>
            <w:noWrap w:val="false"/>
          </w:tcPr>
          <w:p>
            <w:pPr>
              <w:pStyle w:val="981"/>
              <w:ind w:left="401"/>
              <w:spacing w:before="229" w:line="219" w:lineRule="auto"/>
              <w:rPr>
                <w:sz w:val="29"/>
                <w:szCs w:val="29"/>
              </w:rPr>
            </w:pPr>
            <w:r>
              <w:rPr>
                <w:spacing w:val="1"/>
                <w:sz w:val="29"/>
                <w:szCs w:val="29"/>
              </w:rPr>
              <w:t xml:space="preserve">采样口和校准口浓度偏差</w:t>
            </w:r>
            <w:r/>
          </w:p>
        </w:tc>
        <w:tc>
          <w:tcPr>
            <w:tcW w:w="2396" w:type="pct"/>
            <w:textDirection w:val="lrTb"/>
            <w:noWrap w:val="false"/>
          </w:tcPr>
          <w:p>
            <w:pPr>
              <w:pStyle w:val="981"/>
              <w:ind w:left="1895"/>
              <w:spacing w:before="255" w:line="235" w:lineRule="auto"/>
              <w:rPr>
                <w:sz w:val="29"/>
                <w:szCs w:val="29"/>
              </w:rPr>
            </w:pPr>
            <w:r>
              <w:rPr>
                <w:spacing w:val="-12"/>
                <w:sz w:val="29"/>
                <w:szCs w:val="29"/>
              </w:rPr>
              <w:t xml:space="preserve">±1</w:t>
            </w:r>
            <w:r>
              <w:rPr>
                <w:rFonts w:hint="eastAsia"/>
                <w:spacing w:val="-12"/>
                <w:sz w:val="29"/>
                <w:szCs w:val="29"/>
              </w:rPr>
              <w:t xml:space="preserve">％</w:t>
            </w:r>
            <w:r/>
          </w:p>
        </w:tc>
      </w:tr>
      <w:tr>
        <w:trPr>
          <w:trHeight w:val="720"/>
        </w:trPr>
        <w:tc>
          <w:tcPr>
            <w:tcW w:w="411" w:type="pct"/>
            <w:textDirection w:val="lrTb"/>
            <w:noWrap w:val="false"/>
          </w:tcPr>
          <w:p>
            <w:pPr>
              <w:pStyle w:val="981"/>
              <w:ind w:left="225"/>
              <w:spacing w:before="259"/>
              <w:rPr>
                <w:sz w:val="29"/>
                <w:szCs w:val="29"/>
              </w:rPr>
            </w:pPr>
            <w:r>
              <w:rPr>
                <w:spacing w:val="-9"/>
                <w:sz w:val="29"/>
                <w:szCs w:val="29"/>
              </w:rPr>
              <w:t xml:space="preserve">18</w:t>
            </w:r>
            <w:r/>
          </w:p>
        </w:tc>
        <w:tc>
          <w:tcPr>
            <w:tcW w:w="2192" w:type="pct"/>
            <w:textDirection w:val="lrTb"/>
            <w:noWrap w:val="false"/>
          </w:tcPr>
          <w:p>
            <w:pPr>
              <w:pStyle w:val="981"/>
              <w:ind w:left="691"/>
              <w:spacing w:before="231" w:line="219" w:lineRule="auto"/>
              <w:rPr>
                <w:sz w:val="29"/>
                <w:szCs w:val="29"/>
              </w:rPr>
            </w:pPr>
            <w:r>
              <w:rPr>
                <w:spacing w:val="1"/>
                <w:sz w:val="29"/>
                <w:szCs w:val="29"/>
              </w:rPr>
              <w:t xml:space="preserve">长期</w:t>
            </w:r>
            <w:r>
              <w:rPr>
                <w:rFonts w:hint="eastAsia"/>
                <w:spacing w:val="1"/>
                <w:sz w:val="29"/>
                <w:szCs w:val="29"/>
              </w:rPr>
              <w:t xml:space="preserve">（</w:t>
            </w:r>
            <w:r>
              <w:rPr>
                <w:spacing w:val="1"/>
                <w:sz w:val="29"/>
                <w:szCs w:val="29"/>
              </w:rPr>
              <w:t xml:space="preserve">≥7d</w:t>
            </w:r>
            <w:r>
              <w:rPr>
                <w:rFonts w:hint="eastAsia"/>
                <w:spacing w:val="1"/>
                <w:sz w:val="29"/>
                <w:szCs w:val="29"/>
              </w:rPr>
              <w:t xml:space="preserve">）</w:t>
            </w:r>
            <w:r>
              <w:rPr>
                <w:spacing w:val="1"/>
                <w:sz w:val="29"/>
                <w:szCs w:val="29"/>
              </w:rPr>
              <w:t xml:space="preserve">零点漂移</w:t>
            </w:r>
            <w:r/>
          </w:p>
        </w:tc>
        <w:tc>
          <w:tcPr>
            <w:tcW w:w="2396" w:type="pct"/>
            <w:textDirection w:val="lrTb"/>
            <w:noWrap w:val="false"/>
          </w:tcPr>
          <w:p>
            <w:pPr>
              <w:pStyle w:val="981"/>
              <w:ind w:left="1754"/>
              <w:spacing w:before="223" w:line="214" w:lineRule="auto"/>
              <w:rPr>
                <w:sz w:val="29"/>
                <w:szCs w:val="29"/>
              </w:rPr>
            </w:pPr>
            <w:r>
              <w:rPr>
                <w:spacing w:val="-8"/>
                <w:sz w:val="29"/>
                <w:szCs w:val="29"/>
              </w:rPr>
              <w:t xml:space="preserve">±2ppm</w:t>
            </w:r>
            <w:r/>
          </w:p>
        </w:tc>
      </w:tr>
      <w:tr>
        <w:trPr>
          <w:trHeight w:val="709"/>
        </w:trPr>
        <w:tc>
          <w:tcPr>
            <w:tcW w:w="411" w:type="pct"/>
            <w:textDirection w:val="lrTb"/>
            <w:noWrap w:val="false"/>
          </w:tcPr>
          <w:p>
            <w:pPr>
              <w:pStyle w:val="981"/>
              <w:ind w:left="225"/>
              <w:spacing w:before="249"/>
              <w:rPr>
                <w:sz w:val="29"/>
                <w:szCs w:val="29"/>
              </w:rPr>
            </w:pPr>
            <w:r>
              <w:rPr>
                <w:spacing w:val="-9"/>
                <w:sz w:val="29"/>
                <w:szCs w:val="29"/>
              </w:rPr>
              <w:t xml:space="preserve">19</w:t>
            </w:r>
            <w:r/>
          </w:p>
        </w:tc>
        <w:tc>
          <w:tcPr>
            <w:tcW w:w="2192" w:type="pct"/>
            <w:textDirection w:val="lrTb"/>
            <w:noWrap w:val="false"/>
          </w:tcPr>
          <w:p>
            <w:pPr>
              <w:pStyle w:val="981"/>
              <w:ind w:left="691"/>
              <w:spacing w:before="221" w:line="219" w:lineRule="auto"/>
              <w:rPr>
                <w:sz w:val="29"/>
                <w:szCs w:val="29"/>
              </w:rPr>
            </w:pPr>
            <w:r>
              <w:rPr>
                <w:spacing w:val="1"/>
                <w:sz w:val="29"/>
                <w:szCs w:val="29"/>
              </w:rPr>
              <w:t xml:space="preserve">长期</w:t>
            </w:r>
            <w:r>
              <w:rPr>
                <w:rFonts w:hint="eastAsia"/>
                <w:spacing w:val="1"/>
                <w:sz w:val="29"/>
                <w:szCs w:val="29"/>
              </w:rPr>
              <w:t xml:space="preserve">（</w:t>
            </w:r>
            <w:r>
              <w:rPr>
                <w:spacing w:val="1"/>
                <w:sz w:val="29"/>
                <w:szCs w:val="29"/>
              </w:rPr>
              <w:t xml:space="preserve">≥7d</w:t>
            </w:r>
            <w:r>
              <w:rPr>
                <w:rFonts w:hint="eastAsia"/>
                <w:spacing w:val="1"/>
                <w:sz w:val="29"/>
                <w:szCs w:val="29"/>
              </w:rPr>
              <w:t xml:space="preserve">）</w:t>
            </w:r>
            <w:r>
              <w:rPr>
                <w:spacing w:val="1"/>
                <w:sz w:val="29"/>
                <w:szCs w:val="29"/>
              </w:rPr>
              <w:t xml:space="preserve">量程漂移</w:t>
            </w:r>
            <w:r/>
          </w:p>
        </w:tc>
        <w:tc>
          <w:tcPr>
            <w:tcW w:w="2396" w:type="pct"/>
            <w:textDirection w:val="lrTb"/>
            <w:noWrap w:val="false"/>
          </w:tcPr>
          <w:p>
            <w:pPr>
              <w:pStyle w:val="981"/>
              <w:ind w:left="1754"/>
              <w:spacing w:before="213" w:line="214" w:lineRule="auto"/>
              <w:rPr>
                <w:sz w:val="29"/>
                <w:szCs w:val="29"/>
              </w:rPr>
            </w:pPr>
            <w:r>
              <w:rPr>
                <w:spacing w:val="-8"/>
                <w:sz w:val="29"/>
                <w:szCs w:val="29"/>
              </w:rPr>
              <w:t xml:space="preserve">±2ppm</w:t>
            </w:r>
            <w:r/>
          </w:p>
        </w:tc>
      </w:tr>
      <w:tr>
        <w:trPr>
          <w:trHeight w:val="724"/>
        </w:trPr>
        <w:tc>
          <w:tcPr>
            <w:tcW w:w="411" w:type="pct"/>
            <w:textDirection w:val="lrTb"/>
            <w:noWrap w:val="false"/>
          </w:tcPr>
          <w:p>
            <w:pPr>
              <w:pStyle w:val="981"/>
              <w:ind w:left="225"/>
              <w:spacing w:before="260"/>
              <w:rPr>
                <w:sz w:val="29"/>
                <w:szCs w:val="29"/>
              </w:rPr>
            </w:pPr>
            <w:r>
              <w:rPr>
                <w:spacing w:val="-4"/>
                <w:sz w:val="29"/>
                <w:szCs w:val="29"/>
              </w:rPr>
              <w:t xml:space="preserve">20</w:t>
            </w:r>
            <w:r/>
          </w:p>
        </w:tc>
        <w:tc>
          <w:tcPr>
            <w:tcW w:w="2192" w:type="pct"/>
            <w:textDirection w:val="lrTb"/>
            <w:noWrap w:val="false"/>
          </w:tcPr>
          <w:p>
            <w:pPr>
              <w:pStyle w:val="981"/>
              <w:ind w:left="841"/>
              <w:spacing w:before="232" w:line="219" w:lineRule="auto"/>
              <w:rPr>
                <w:sz w:val="29"/>
                <w:szCs w:val="29"/>
              </w:rPr>
            </w:pPr>
            <w:r>
              <w:rPr>
                <w:spacing w:val="1"/>
                <w:sz w:val="29"/>
                <w:szCs w:val="29"/>
              </w:rPr>
              <w:t xml:space="preserve">平均故障间隔天数</w:t>
            </w:r>
            <w:r/>
          </w:p>
        </w:tc>
        <w:tc>
          <w:tcPr>
            <w:tcW w:w="2396" w:type="pct"/>
            <w:textDirection w:val="lrTb"/>
            <w:noWrap w:val="false"/>
          </w:tcPr>
          <w:p>
            <w:pPr>
              <w:pStyle w:val="981"/>
              <w:ind w:left="1895"/>
              <w:spacing w:before="260" w:line="237" w:lineRule="auto"/>
              <w:rPr>
                <w:sz w:val="29"/>
                <w:szCs w:val="29"/>
              </w:rPr>
            </w:pPr>
            <w:r>
              <w:rPr>
                <w:spacing w:val="-10"/>
                <w:sz w:val="29"/>
                <w:szCs w:val="29"/>
              </w:rPr>
              <w:t xml:space="preserve">≥7d</w:t>
            </w:r>
            <w:r/>
          </w:p>
        </w:tc>
      </w:tr>
    </w:tbl>
    <w:p>
      <w:pPr>
        <w:ind w:firstLine="482"/>
        <w:jc w:val="left"/>
        <w:spacing w:line="400" w:lineRule="exact"/>
        <w:widowControl/>
        <w:rPr>
          <w:rFonts w:ascii="宋体" w:hAnsi="宋体" w:eastAsia="宋体" w:cs="宋体"/>
          <w:sz w:val="24"/>
          <w:szCs w:val="24"/>
        </w:rPr>
      </w:pPr>
      <w:r>
        <w:rPr>
          <w:rFonts w:ascii="宋体" w:hAnsi="宋体" w:eastAsia="宋体" w:cs="宋体"/>
          <w:sz w:val="24"/>
          <w:szCs w:val="24"/>
        </w:rPr>
      </w:r>
      <w:r/>
    </w:p>
    <w:p>
      <w:pPr>
        <w:ind w:firstLine="482"/>
        <w:jc w:val="left"/>
        <w:spacing w:line="400" w:lineRule="exact"/>
        <w:widowControl/>
        <w:rPr>
          <w:rFonts w:ascii="宋体" w:hAnsi="宋体" w:eastAsia="宋体" w:cs="宋体"/>
          <w:sz w:val="24"/>
          <w:szCs w:val="24"/>
        </w:rPr>
      </w:pPr>
      <w:r>
        <w:rPr>
          <w:rFonts w:ascii="宋体" w:hAnsi="宋体" w:eastAsia="宋体" w:cs="宋体"/>
          <w:sz w:val="24"/>
          <w:szCs w:val="24"/>
        </w:rPr>
      </w:r>
      <w:r/>
    </w:p>
    <w:p>
      <w:pPr>
        <w:ind w:firstLine="482"/>
        <w:jc w:val="left"/>
        <w:spacing w:line="400" w:lineRule="exact"/>
        <w:widowControl/>
        <w:rPr>
          <w:rFonts w:ascii="宋体" w:hAnsi="宋体" w:eastAsia="宋体" w:cs="宋体"/>
          <w:sz w:val="24"/>
          <w:szCs w:val="24"/>
        </w:rPr>
        <w:sectPr>
          <w:footnotePr/>
          <w:endnotePr/>
          <w:type w:val="nextPage"/>
          <w:pgSz w:w="11840" w:h="16740" w:orient="portrait"/>
          <w:pgMar w:top="2098" w:right="1474" w:bottom="1984" w:left="1587" w:header="851" w:footer="1417" w:gutter="0"/>
          <w:cols w:num="1" w:sep="0" w:space="720" w:equalWidth="1"/>
          <w:docGrid w:linePitch="360"/>
        </w:sectPr>
      </w:pPr>
      <w:r>
        <w:rPr>
          <w:rFonts w:ascii="宋体" w:hAnsi="宋体" w:eastAsia="宋体" w:cs="宋体"/>
          <w:sz w:val="24"/>
          <w:szCs w:val="24"/>
        </w:rPr>
      </w:r>
      <w:r/>
    </w:p>
    <w:p>
      <w:pPr>
        <w:ind w:firstLine="482"/>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6.颗粒物PM2.5在线监测分析仪</w:t>
      </w:r>
      <w:r/>
    </w:p>
    <w:tbl>
      <w:tblPr>
        <w:tblStyle w:val="982"/>
        <w:tblW w:w="8080"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0"/>
        <w:gridCol w:w="3256"/>
        <w:gridCol w:w="3884"/>
      </w:tblGrid>
      <w:tr>
        <w:trPr>
          <w:trHeight w:val="534"/>
        </w:trPr>
        <w:tc>
          <w:tcPr>
            <w:tcW w:w="940"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序号</w:t>
            </w:r>
            <w:r/>
          </w:p>
        </w:tc>
        <w:tc>
          <w:tcPr>
            <w:tcW w:w="3256"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项 目</w:t>
            </w:r>
            <w:r/>
          </w:p>
        </w:tc>
        <w:tc>
          <w:tcPr>
            <w:tcW w:w="3884"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指标或性能</w:t>
            </w:r>
            <w:r/>
          </w:p>
        </w:tc>
      </w:tr>
      <w:tr>
        <w:trPr>
          <w:trHeight w:val="529"/>
        </w:trPr>
        <w:tc>
          <w:tcPr>
            <w:tcW w:w="940"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1</w:t>
            </w:r>
            <w:r/>
          </w:p>
        </w:tc>
        <w:tc>
          <w:tcPr>
            <w:tcW w:w="3256"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分析方法</w:t>
            </w:r>
            <w:r/>
          </w:p>
        </w:tc>
        <w:tc>
          <w:tcPr>
            <w:tcW w:w="3884"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β射线吸收法</w:t>
            </w:r>
            <w:r/>
          </w:p>
        </w:tc>
      </w:tr>
      <w:tr>
        <w:trPr>
          <w:trHeight w:val="589"/>
        </w:trPr>
        <w:tc>
          <w:tcPr>
            <w:tcW w:w="940"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2</w:t>
            </w:r>
            <w:r/>
          </w:p>
        </w:tc>
        <w:tc>
          <w:tcPr>
            <w:tcW w:w="3256"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测量范围</w:t>
            </w:r>
            <w:r/>
          </w:p>
        </w:tc>
        <w:tc>
          <w:tcPr>
            <w:tcW w:w="3884"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0μg</w:t>
            </w:r>
            <w:r>
              <w:rPr>
                <w:rFonts w:hint="eastAsia"/>
                <w:spacing w:val="9"/>
                <w:sz w:val="29"/>
                <w:szCs w:val="29"/>
              </w:rPr>
              <w:t xml:space="preserve">／</w:t>
            </w:r>
            <w:r>
              <w:rPr>
                <w:spacing w:val="9"/>
                <w:sz w:val="29"/>
                <w:szCs w:val="29"/>
              </w:rPr>
              <w:t xml:space="preserve">m3</w:t>
            </w:r>
            <w:r>
              <w:rPr>
                <w:rFonts w:hint="eastAsia"/>
                <w:spacing w:val="9"/>
                <w:sz w:val="29"/>
                <w:szCs w:val="29"/>
              </w:rPr>
              <w:t xml:space="preserve">－</w:t>
            </w:r>
            <w:r>
              <w:rPr>
                <w:spacing w:val="9"/>
                <w:sz w:val="29"/>
                <w:szCs w:val="29"/>
              </w:rPr>
              <w:t xml:space="preserve">1000μg</w:t>
            </w:r>
            <w:r>
              <w:rPr>
                <w:rFonts w:hint="eastAsia"/>
                <w:spacing w:val="9"/>
                <w:sz w:val="29"/>
                <w:szCs w:val="29"/>
              </w:rPr>
              <w:t xml:space="preserve">／</w:t>
            </w:r>
            <w:r>
              <w:rPr>
                <w:spacing w:val="9"/>
                <w:sz w:val="29"/>
                <w:szCs w:val="29"/>
              </w:rPr>
              <w:t xml:space="preserve">m3或</w:t>
            </w:r>
            <w:r/>
          </w:p>
          <w:p>
            <w:pPr>
              <w:pStyle w:val="981"/>
              <w:ind w:left="75"/>
              <w:spacing w:before="208" w:line="221" w:lineRule="auto"/>
              <w:rPr>
                <w:spacing w:val="9"/>
                <w:sz w:val="29"/>
                <w:szCs w:val="29"/>
              </w:rPr>
            </w:pPr>
            <w:r>
              <w:rPr>
                <w:spacing w:val="9"/>
                <w:sz w:val="29"/>
                <w:szCs w:val="29"/>
              </w:rPr>
              <w:t xml:space="preserve">0μg</w:t>
            </w:r>
            <w:r>
              <w:rPr>
                <w:rFonts w:hint="eastAsia"/>
                <w:spacing w:val="9"/>
                <w:sz w:val="29"/>
                <w:szCs w:val="29"/>
              </w:rPr>
              <w:t xml:space="preserve">／</w:t>
            </w:r>
            <w:r>
              <w:rPr>
                <w:spacing w:val="9"/>
                <w:sz w:val="29"/>
                <w:szCs w:val="29"/>
              </w:rPr>
              <w:t xml:space="preserve">m3～10000μg</w:t>
            </w:r>
            <w:r>
              <w:rPr>
                <w:rFonts w:hint="eastAsia"/>
                <w:spacing w:val="9"/>
                <w:sz w:val="29"/>
                <w:szCs w:val="29"/>
              </w:rPr>
              <w:t xml:space="preserve">／</w:t>
            </w:r>
            <w:r>
              <w:rPr>
                <w:spacing w:val="9"/>
                <w:sz w:val="29"/>
                <w:szCs w:val="29"/>
              </w:rPr>
              <w:t xml:space="preserve">m3</w:t>
            </w:r>
            <w:r>
              <w:rPr>
                <w:rFonts w:hint="eastAsia"/>
                <w:spacing w:val="9"/>
                <w:sz w:val="29"/>
                <w:szCs w:val="29"/>
              </w:rPr>
              <w:t xml:space="preserve">（</w:t>
            </w:r>
            <w:r>
              <w:rPr>
                <w:spacing w:val="9"/>
                <w:sz w:val="29"/>
                <w:szCs w:val="29"/>
              </w:rPr>
              <w:t xml:space="preserve">可选</w:t>
            </w:r>
            <w:r>
              <w:rPr>
                <w:rFonts w:hint="eastAsia"/>
                <w:spacing w:val="9"/>
                <w:sz w:val="29"/>
                <w:szCs w:val="29"/>
              </w:rPr>
              <w:t xml:space="preserve">）</w:t>
            </w:r>
            <w:r/>
          </w:p>
        </w:tc>
      </w:tr>
      <w:tr>
        <w:trPr>
          <w:trHeight w:val="529"/>
        </w:trPr>
        <w:tc>
          <w:tcPr>
            <w:tcW w:w="940"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3</w:t>
            </w:r>
            <w:r/>
          </w:p>
        </w:tc>
        <w:tc>
          <w:tcPr>
            <w:tcW w:w="3256"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★最低检出限</w:t>
            </w:r>
            <w:r/>
          </w:p>
        </w:tc>
        <w:tc>
          <w:tcPr>
            <w:tcW w:w="3884"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w:t>
            </w:r>
            <w:r>
              <w:rPr>
                <w:rFonts w:hint="eastAsia"/>
                <w:spacing w:val="9"/>
                <w:sz w:val="29"/>
                <w:szCs w:val="29"/>
              </w:rPr>
              <w:t xml:space="preserve">1.1</w:t>
            </w:r>
            <w:r>
              <w:rPr>
                <w:spacing w:val="9"/>
                <w:sz w:val="29"/>
                <w:szCs w:val="29"/>
              </w:rPr>
              <w:t xml:space="preserve">μg</w:t>
            </w:r>
            <w:r>
              <w:rPr>
                <w:rFonts w:hint="eastAsia"/>
                <w:spacing w:val="9"/>
                <w:sz w:val="29"/>
                <w:szCs w:val="29"/>
              </w:rPr>
              <w:t xml:space="preserve">／</w:t>
            </w:r>
            <w:r>
              <w:rPr>
                <w:spacing w:val="9"/>
                <w:sz w:val="29"/>
                <w:szCs w:val="29"/>
              </w:rPr>
              <w:t xml:space="preserve">m3</w:t>
            </w:r>
            <w:r/>
          </w:p>
        </w:tc>
      </w:tr>
      <w:tr>
        <w:trPr>
          <w:trHeight w:val="539"/>
        </w:trPr>
        <w:tc>
          <w:tcPr>
            <w:tcW w:w="940"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4</w:t>
            </w:r>
            <w:r/>
          </w:p>
        </w:tc>
        <w:tc>
          <w:tcPr>
            <w:tcW w:w="3256"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校准膜示值误差</w:t>
            </w:r>
            <w:r/>
          </w:p>
        </w:tc>
        <w:tc>
          <w:tcPr>
            <w:tcW w:w="3884"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±2</w:t>
            </w:r>
            <w:r>
              <w:rPr>
                <w:rFonts w:hint="eastAsia"/>
                <w:spacing w:val="9"/>
                <w:sz w:val="29"/>
                <w:szCs w:val="29"/>
              </w:rPr>
              <w:t xml:space="preserve">％</w:t>
            </w:r>
            <w:r/>
          </w:p>
        </w:tc>
      </w:tr>
      <w:tr>
        <w:trPr>
          <w:trHeight w:val="540"/>
        </w:trPr>
        <w:tc>
          <w:tcPr>
            <w:tcW w:w="940"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5</w:t>
            </w:r>
            <w:r/>
          </w:p>
        </w:tc>
        <w:tc>
          <w:tcPr>
            <w:tcW w:w="3256"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温度测量示值误差</w:t>
            </w:r>
            <w:r/>
          </w:p>
        </w:tc>
        <w:tc>
          <w:tcPr>
            <w:tcW w:w="3884"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±2℃</w:t>
            </w:r>
            <w:r/>
          </w:p>
        </w:tc>
      </w:tr>
      <w:tr>
        <w:trPr>
          <w:trHeight w:val="539"/>
        </w:trPr>
        <w:tc>
          <w:tcPr>
            <w:tcW w:w="940"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6</w:t>
            </w:r>
            <w:r/>
          </w:p>
        </w:tc>
        <w:tc>
          <w:tcPr>
            <w:tcW w:w="3256"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大气压测量示值误差</w:t>
            </w:r>
            <w:r/>
          </w:p>
        </w:tc>
        <w:tc>
          <w:tcPr>
            <w:tcW w:w="3884"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±1kPa</w:t>
            </w:r>
            <w:r/>
          </w:p>
        </w:tc>
      </w:tr>
      <w:tr>
        <w:trPr>
          <w:trHeight w:val="540"/>
        </w:trPr>
        <w:tc>
          <w:tcPr>
            <w:tcW w:w="940"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7</w:t>
            </w:r>
            <w:r/>
          </w:p>
        </w:tc>
        <w:tc>
          <w:tcPr>
            <w:tcW w:w="3256"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★湿度测量示值误差</w:t>
            </w:r>
            <w:r/>
          </w:p>
        </w:tc>
        <w:tc>
          <w:tcPr>
            <w:tcW w:w="3884"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w:t>
            </w:r>
            <w:r>
              <w:rPr>
                <w:rFonts w:hint="eastAsia"/>
                <w:spacing w:val="9"/>
                <w:sz w:val="29"/>
                <w:szCs w:val="29"/>
              </w:rPr>
              <w:t xml:space="preserve">1.5％</w:t>
            </w:r>
            <w:r>
              <w:rPr>
                <w:spacing w:val="9"/>
                <w:sz w:val="29"/>
                <w:szCs w:val="29"/>
              </w:rPr>
              <w:t xml:space="preserve">RH</w:t>
            </w:r>
            <w:r/>
          </w:p>
        </w:tc>
      </w:tr>
      <w:tr>
        <w:trPr>
          <w:trHeight w:val="899"/>
        </w:trPr>
        <w:tc>
          <w:tcPr>
            <w:tcW w:w="940" w:type="dxa"/>
            <w:vAlign w:val="center"/>
            <w:textDirection w:val="lrTb"/>
            <w:noWrap w:val="false"/>
          </w:tcPr>
          <w:p>
            <w:pPr>
              <w:pStyle w:val="981"/>
              <w:ind w:left="75"/>
              <w:spacing w:before="208" w:line="221" w:lineRule="auto"/>
              <w:rPr>
                <w:spacing w:val="9"/>
                <w:sz w:val="29"/>
                <w:szCs w:val="29"/>
              </w:rPr>
            </w:pPr>
            <w:r>
              <w:rPr>
                <w:spacing w:val="9"/>
                <w:sz w:val="29"/>
                <w:szCs w:val="29"/>
              </w:rPr>
            </w:r>
            <w:r/>
          </w:p>
          <w:p>
            <w:pPr>
              <w:pStyle w:val="981"/>
              <w:ind w:left="75"/>
              <w:spacing w:before="208" w:line="221" w:lineRule="auto"/>
              <w:rPr>
                <w:spacing w:val="9"/>
                <w:sz w:val="29"/>
                <w:szCs w:val="29"/>
              </w:rPr>
            </w:pPr>
            <w:r>
              <w:rPr>
                <w:spacing w:val="9"/>
                <w:sz w:val="29"/>
                <w:szCs w:val="29"/>
              </w:rPr>
              <w:t xml:space="preserve">8</w:t>
            </w:r>
            <w:r/>
          </w:p>
        </w:tc>
        <w:tc>
          <w:tcPr>
            <w:tcW w:w="3256" w:type="dxa"/>
            <w:vAlign w:val="center"/>
            <w:textDirection w:val="lrTb"/>
            <w:noWrap w:val="false"/>
          </w:tcPr>
          <w:p>
            <w:pPr>
              <w:pStyle w:val="981"/>
              <w:ind w:left="75"/>
              <w:spacing w:before="208" w:line="221" w:lineRule="auto"/>
              <w:rPr>
                <w:spacing w:val="9"/>
                <w:sz w:val="29"/>
                <w:szCs w:val="29"/>
              </w:rPr>
            </w:pPr>
            <w:r>
              <w:rPr>
                <w:spacing w:val="9"/>
                <w:sz w:val="29"/>
                <w:szCs w:val="29"/>
              </w:rPr>
            </w:r>
            <w:r/>
          </w:p>
          <w:p>
            <w:pPr>
              <w:pStyle w:val="981"/>
              <w:ind w:left="75"/>
              <w:spacing w:before="208" w:line="221" w:lineRule="auto"/>
              <w:rPr>
                <w:spacing w:val="9"/>
                <w:sz w:val="29"/>
                <w:szCs w:val="29"/>
              </w:rPr>
            </w:pPr>
            <w:r>
              <w:rPr>
                <w:spacing w:val="9"/>
                <w:sz w:val="29"/>
                <w:szCs w:val="29"/>
              </w:rPr>
              <w:t xml:space="preserve">流量测试</w:t>
            </w:r>
            <w:r/>
          </w:p>
        </w:tc>
        <w:tc>
          <w:tcPr>
            <w:tcW w:w="3884"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平均流量偏差：±5</w:t>
            </w:r>
            <w:r>
              <w:rPr>
                <w:rFonts w:hint="eastAsia"/>
                <w:spacing w:val="9"/>
                <w:sz w:val="29"/>
                <w:szCs w:val="29"/>
              </w:rPr>
              <w:t xml:space="preserve">％</w:t>
            </w:r>
            <w:r/>
          </w:p>
          <w:p>
            <w:pPr>
              <w:pStyle w:val="981"/>
              <w:ind w:left="75"/>
              <w:spacing w:before="208" w:line="221" w:lineRule="auto"/>
              <w:rPr>
                <w:spacing w:val="9"/>
                <w:sz w:val="29"/>
                <w:szCs w:val="29"/>
              </w:rPr>
            </w:pPr>
            <w:r>
              <w:rPr>
                <w:spacing w:val="9"/>
                <w:sz w:val="29"/>
                <w:szCs w:val="29"/>
              </w:rPr>
              <w:t xml:space="preserve">流量相对标准偏差：≤2</w:t>
            </w:r>
            <w:r>
              <w:rPr>
                <w:rFonts w:hint="eastAsia"/>
                <w:spacing w:val="9"/>
                <w:sz w:val="29"/>
                <w:szCs w:val="29"/>
              </w:rPr>
              <w:t xml:space="preserve">％</w:t>
            </w:r>
            <w:r/>
          </w:p>
          <w:p>
            <w:pPr>
              <w:pStyle w:val="981"/>
              <w:ind w:left="75"/>
              <w:spacing w:before="208" w:line="221" w:lineRule="auto"/>
              <w:rPr>
                <w:spacing w:val="9"/>
                <w:sz w:val="29"/>
                <w:szCs w:val="29"/>
              </w:rPr>
            </w:pPr>
            <w:r>
              <w:rPr>
                <w:spacing w:val="9"/>
                <w:sz w:val="29"/>
                <w:szCs w:val="29"/>
              </w:rPr>
              <w:t xml:space="preserve">平均流量示值误差：≤2</w:t>
            </w:r>
            <w:r>
              <w:rPr>
                <w:rFonts w:hint="eastAsia"/>
                <w:spacing w:val="9"/>
                <w:sz w:val="29"/>
                <w:szCs w:val="29"/>
              </w:rPr>
              <w:t xml:space="preserve">％</w:t>
            </w:r>
            <w:r/>
          </w:p>
        </w:tc>
      </w:tr>
      <w:tr>
        <w:trPr>
          <w:trHeight w:val="539"/>
        </w:trPr>
        <w:tc>
          <w:tcPr>
            <w:tcW w:w="940"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9</w:t>
            </w:r>
            <w:r/>
          </w:p>
        </w:tc>
        <w:tc>
          <w:tcPr>
            <w:tcW w:w="3256"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时钟误差</w:t>
            </w:r>
            <w:r/>
          </w:p>
        </w:tc>
        <w:tc>
          <w:tcPr>
            <w:tcW w:w="3884"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±10s</w:t>
            </w:r>
            <w:r/>
          </w:p>
        </w:tc>
      </w:tr>
      <w:tr>
        <w:trPr>
          <w:trHeight w:val="529"/>
        </w:trPr>
        <w:tc>
          <w:tcPr>
            <w:tcW w:w="940"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10</w:t>
            </w:r>
            <w:r/>
          </w:p>
        </w:tc>
        <w:tc>
          <w:tcPr>
            <w:tcW w:w="3256"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平行性</w:t>
            </w:r>
            <w:r/>
          </w:p>
        </w:tc>
        <w:tc>
          <w:tcPr>
            <w:tcW w:w="3884"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≤15</w:t>
            </w:r>
            <w:r>
              <w:rPr>
                <w:rFonts w:hint="eastAsia"/>
                <w:spacing w:val="9"/>
                <w:sz w:val="29"/>
                <w:szCs w:val="29"/>
              </w:rPr>
              <w:t xml:space="preserve">％</w:t>
            </w:r>
            <w:r/>
          </w:p>
        </w:tc>
      </w:tr>
      <w:tr>
        <w:trPr>
          <w:trHeight w:val="1009"/>
        </w:trPr>
        <w:tc>
          <w:tcPr>
            <w:tcW w:w="940" w:type="dxa"/>
            <w:vAlign w:val="center"/>
            <w:textDirection w:val="lrTb"/>
            <w:noWrap w:val="false"/>
          </w:tcPr>
          <w:p>
            <w:pPr>
              <w:pStyle w:val="981"/>
              <w:ind w:left="75"/>
              <w:spacing w:before="208" w:line="221" w:lineRule="auto"/>
              <w:rPr>
                <w:spacing w:val="9"/>
                <w:sz w:val="29"/>
                <w:szCs w:val="29"/>
              </w:rPr>
            </w:pPr>
            <w:r>
              <w:rPr>
                <w:spacing w:val="9"/>
                <w:sz w:val="29"/>
                <w:szCs w:val="29"/>
              </w:rPr>
            </w:r>
            <w:r/>
          </w:p>
          <w:p>
            <w:pPr>
              <w:pStyle w:val="981"/>
              <w:ind w:left="75"/>
              <w:spacing w:before="208" w:line="221" w:lineRule="auto"/>
              <w:rPr>
                <w:spacing w:val="9"/>
                <w:sz w:val="29"/>
                <w:szCs w:val="29"/>
              </w:rPr>
            </w:pPr>
            <w:r>
              <w:rPr>
                <w:spacing w:val="9"/>
                <w:sz w:val="29"/>
                <w:szCs w:val="29"/>
              </w:rPr>
              <w:t xml:space="preserve">11</w:t>
            </w:r>
            <w:r/>
          </w:p>
        </w:tc>
        <w:tc>
          <w:tcPr>
            <w:tcW w:w="3256" w:type="dxa"/>
            <w:vAlign w:val="center"/>
            <w:textDirection w:val="lrTb"/>
            <w:noWrap w:val="false"/>
          </w:tcPr>
          <w:p>
            <w:pPr>
              <w:pStyle w:val="981"/>
              <w:ind w:left="75"/>
              <w:spacing w:before="208" w:line="221" w:lineRule="auto"/>
              <w:rPr>
                <w:spacing w:val="9"/>
                <w:sz w:val="29"/>
                <w:szCs w:val="29"/>
              </w:rPr>
            </w:pPr>
            <w:r>
              <w:rPr>
                <w:spacing w:val="9"/>
                <w:sz w:val="29"/>
                <w:szCs w:val="29"/>
              </w:rPr>
            </w:r>
            <w:r/>
          </w:p>
          <w:p>
            <w:pPr>
              <w:pStyle w:val="981"/>
              <w:ind w:left="75"/>
              <w:spacing w:before="208" w:line="221" w:lineRule="auto"/>
              <w:rPr>
                <w:spacing w:val="9"/>
                <w:sz w:val="29"/>
                <w:szCs w:val="29"/>
              </w:rPr>
            </w:pPr>
            <w:r>
              <w:rPr>
                <w:spacing w:val="9"/>
                <w:sz w:val="29"/>
                <w:szCs w:val="29"/>
              </w:rPr>
              <w:t xml:space="preserve">参比方法比对测试</w:t>
            </w:r>
            <w:r/>
          </w:p>
        </w:tc>
        <w:tc>
          <w:tcPr>
            <w:tcW w:w="3884"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斜率</w:t>
            </w:r>
            <w:r>
              <w:rPr>
                <w:rFonts w:hint="eastAsia"/>
                <w:spacing w:val="9"/>
                <w:sz w:val="29"/>
                <w:szCs w:val="29"/>
              </w:rPr>
              <w:t xml:space="preserve">（</w:t>
            </w:r>
            <w:r>
              <w:rPr>
                <w:spacing w:val="9"/>
                <w:sz w:val="29"/>
                <w:szCs w:val="29"/>
              </w:rPr>
              <w:t xml:space="preserve">k</w:t>
            </w:r>
            <w:r>
              <w:rPr>
                <w:rFonts w:hint="eastAsia"/>
                <w:spacing w:val="9"/>
                <w:sz w:val="29"/>
                <w:szCs w:val="29"/>
              </w:rPr>
              <w:t xml:space="preserve">）：</w:t>
            </w:r>
            <w:r>
              <w:rPr>
                <w:spacing w:val="9"/>
                <w:sz w:val="29"/>
                <w:szCs w:val="29"/>
              </w:rPr>
              <w:t xml:space="preserve">1±0.1</w:t>
            </w:r>
            <w:r/>
          </w:p>
          <w:p>
            <w:pPr>
              <w:pStyle w:val="981"/>
              <w:ind w:left="75"/>
              <w:spacing w:before="208" w:line="221" w:lineRule="auto"/>
              <w:rPr>
                <w:spacing w:val="9"/>
                <w:sz w:val="29"/>
                <w:szCs w:val="29"/>
              </w:rPr>
            </w:pPr>
            <w:r>
              <w:rPr>
                <w:spacing w:val="9"/>
                <w:sz w:val="29"/>
                <w:szCs w:val="29"/>
              </w:rPr>
              <w:t xml:space="preserve">截距</w:t>
            </w:r>
            <w:r>
              <w:rPr>
                <w:rFonts w:hint="eastAsia"/>
                <w:spacing w:val="9"/>
                <w:sz w:val="29"/>
                <w:szCs w:val="29"/>
              </w:rPr>
              <w:t xml:space="preserve">（</w:t>
            </w:r>
            <w:r>
              <w:rPr>
                <w:spacing w:val="9"/>
                <w:sz w:val="29"/>
                <w:szCs w:val="29"/>
              </w:rPr>
              <w:t xml:space="preserve">b</w:t>
            </w:r>
            <w:r>
              <w:rPr>
                <w:rFonts w:hint="eastAsia"/>
                <w:spacing w:val="9"/>
                <w:sz w:val="29"/>
                <w:szCs w:val="29"/>
              </w:rPr>
              <w:t xml:space="preserve">）：</w:t>
            </w:r>
            <w:r>
              <w:rPr>
                <w:spacing w:val="9"/>
                <w:sz w:val="29"/>
                <w:szCs w:val="29"/>
              </w:rPr>
              <w:t xml:space="preserve">0±5μg</w:t>
            </w:r>
            <w:r>
              <w:rPr>
                <w:rFonts w:hint="eastAsia"/>
                <w:spacing w:val="9"/>
                <w:sz w:val="29"/>
                <w:szCs w:val="29"/>
              </w:rPr>
              <w:t xml:space="preserve">／</w:t>
            </w:r>
            <w:r>
              <w:rPr>
                <w:spacing w:val="9"/>
                <w:sz w:val="29"/>
                <w:szCs w:val="29"/>
              </w:rPr>
              <w:t xml:space="preserve">m3相关系数</w:t>
            </w:r>
            <w:r>
              <w:rPr>
                <w:rFonts w:hint="eastAsia"/>
                <w:spacing w:val="9"/>
                <w:sz w:val="29"/>
                <w:szCs w:val="29"/>
              </w:rPr>
              <w:t xml:space="preserve">（</w:t>
            </w:r>
            <w:r>
              <w:rPr>
                <w:spacing w:val="9"/>
                <w:sz w:val="29"/>
                <w:szCs w:val="29"/>
              </w:rPr>
              <w:t xml:space="preserve">r</w:t>
            </w:r>
            <w:r>
              <w:rPr>
                <w:rFonts w:hint="eastAsia"/>
                <w:spacing w:val="9"/>
                <w:sz w:val="29"/>
                <w:szCs w:val="29"/>
              </w:rPr>
              <w:t xml:space="preserve">）：</w:t>
            </w:r>
            <w:r>
              <w:rPr>
                <w:spacing w:val="9"/>
                <w:sz w:val="29"/>
                <w:szCs w:val="29"/>
              </w:rPr>
              <w:t xml:space="preserve">≥0.95</w:t>
            </w:r>
            <w:r/>
          </w:p>
        </w:tc>
      </w:tr>
      <w:tr>
        <w:trPr>
          <w:trHeight w:val="545"/>
        </w:trPr>
        <w:tc>
          <w:tcPr>
            <w:tcW w:w="940"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12</w:t>
            </w:r>
            <w:r/>
          </w:p>
        </w:tc>
        <w:tc>
          <w:tcPr>
            <w:tcW w:w="3256"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有效数据率</w:t>
            </w:r>
            <w:r/>
          </w:p>
        </w:tc>
        <w:tc>
          <w:tcPr>
            <w:tcW w:w="3884" w:type="dxa"/>
            <w:vAlign w:val="center"/>
            <w:textDirection w:val="lrTb"/>
            <w:noWrap w:val="false"/>
          </w:tcPr>
          <w:p>
            <w:pPr>
              <w:pStyle w:val="981"/>
              <w:ind w:left="75"/>
              <w:spacing w:before="208" w:line="221" w:lineRule="auto"/>
              <w:rPr>
                <w:spacing w:val="9"/>
                <w:sz w:val="29"/>
                <w:szCs w:val="29"/>
              </w:rPr>
            </w:pPr>
            <w:r>
              <w:rPr>
                <w:spacing w:val="9"/>
                <w:sz w:val="29"/>
                <w:szCs w:val="29"/>
              </w:rPr>
              <w:t xml:space="preserve">≥90</w:t>
            </w:r>
            <w:r>
              <w:rPr>
                <w:rFonts w:hint="eastAsia"/>
                <w:spacing w:val="9"/>
                <w:sz w:val="29"/>
                <w:szCs w:val="29"/>
              </w:rPr>
              <w:t xml:space="preserve">％</w:t>
            </w:r>
            <w:r/>
          </w:p>
        </w:tc>
      </w:tr>
    </w:tbl>
    <w:p>
      <w:pPr>
        <w:ind w:firstLine="482"/>
        <w:jc w:val="left"/>
        <w:spacing w:line="400" w:lineRule="exact"/>
        <w:widowControl/>
        <w:rPr>
          <w:rFonts w:ascii="宋体" w:hAnsi="宋体" w:eastAsia="宋体" w:cs="宋体"/>
          <w:sz w:val="24"/>
          <w:szCs w:val="24"/>
        </w:rPr>
      </w:pPr>
      <w:r>
        <w:rPr>
          <w:rFonts w:ascii="宋体" w:hAnsi="宋体" w:eastAsia="宋体" w:cs="宋体"/>
          <w:sz w:val="24"/>
          <w:szCs w:val="24"/>
        </w:rPr>
      </w:r>
      <w:r/>
    </w:p>
    <w:p>
      <w:pPr>
        <w:ind w:firstLine="482"/>
        <w:jc w:val="left"/>
        <w:spacing w:line="400" w:lineRule="exact"/>
        <w:widowControl/>
        <w:rPr>
          <w:rFonts w:ascii="宋体" w:hAnsi="宋体" w:eastAsia="宋体" w:cs="宋体"/>
          <w:sz w:val="24"/>
          <w:szCs w:val="24"/>
        </w:rPr>
        <w:sectPr>
          <w:footnotePr/>
          <w:endnotePr/>
          <w:type w:val="nextPage"/>
          <w:pgSz w:w="11840" w:h="16740" w:orient="portrait"/>
          <w:pgMar w:top="2098" w:right="1474" w:bottom="1984" w:left="1587" w:header="851" w:footer="1417" w:gutter="0"/>
          <w:cols w:num="1" w:sep="0" w:space="720" w:equalWidth="1"/>
          <w:docGrid w:linePitch="360"/>
        </w:sectPr>
      </w:pPr>
      <w:r>
        <w:rPr>
          <w:rFonts w:ascii="宋体" w:hAnsi="宋体" w:eastAsia="宋体" w:cs="宋体"/>
          <w:sz w:val="24"/>
          <w:szCs w:val="24"/>
        </w:rPr>
      </w:r>
      <w:r/>
    </w:p>
    <w:p>
      <w:pPr>
        <w:ind w:firstLine="482"/>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7.颗粒物PM10在线监测分析仪</w:t>
      </w:r>
      <w:r/>
    </w:p>
    <w:tbl>
      <w:tblPr>
        <w:tblStyle w:val="98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7"/>
        <w:gridCol w:w="3834"/>
        <w:gridCol w:w="4254"/>
      </w:tblGrid>
      <w:tr>
        <w:trPr>
          <w:trHeight w:val="684"/>
        </w:trPr>
        <w:tc>
          <w:tcPr>
            <w:tcW w:w="39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序号</w:t>
            </w:r>
            <w:r/>
          </w:p>
        </w:tc>
        <w:tc>
          <w:tcPr>
            <w:tcW w:w="2181"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项 目</w:t>
            </w:r>
            <w:r/>
          </w:p>
        </w:tc>
        <w:tc>
          <w:tcPr>
            <w:tcW w:w="2420"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指标或性能</w:t>
            </w:r>
            <w:r/>
          </w:p>
        </w:tc>
      </w:tr>
      <w:tr>
        <w:trPr>
          <w:trHeight w:val="689"/>
        </w:trPr>
        <w:tc>
          <w:tcPr>
            <w:tcW w:w="39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1</w:t>
            </w:r>
            <w:r/>
          </w:p>
        </w:tc>
        <w:tc>
          <w:tcPr>
            <w:tcW w:w="2181"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分析方法</w:t>
            </w:r>
            <w:r/>
          </w:p>
        </w:tc>
        <w:tc>
          <w:tcPr>
            <w:tcW w:w="2420"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β射线吸收法</w:t>
            </w:r>
            <w:r/>
          </w:p>
        </w:tc>
      </w:tr>
      <w:tr>
        <w:trPr>
          <w:trHeight w:val="749"/>
        </w:trPr>
        <w:tc>
          <w:tcPr>
            <w:tcW w:w="39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2</w:t>
            </w:r>
            <w:r/>
          </w:p>
        </w:tc>
        <w:tc>
          <w:tcPr>
            <w:tcW w:w="2181"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测量范围</w:t>
            </w:r>
            <w:r/>
          </w:p>
        </w:tc>
        <w:tc>
          <w:tcPr>
            <w:tcW w:w="2420"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0ug</w:t>
            </w:r>
            <w:r>
              <w:rPr>
                <w:rFonts w:hint="eastAsia"/>
                <w:spacing w:val="9"/>
                <w:sz w:val="29"/>
                <w:szCs w:val="29"/>
              </w:rPr>
              <w:t xml:space="preserve">／</w:t>
            </w:r>
            <w:r>
              <w:rPr>
                <w:spacing w:val="9"/>
                <w:sz w:val="29"/>
                <w:szCs w:val="29"/>
              </w:rPr>
              <w:t xml:space="preserve">m3</w:t>
            </w:r>
            <w:r>
              <w:rPr>
                <w:rFonts w:hint="eastAsia"/>
                <w:spacing w:val="9"/>
                <w:sz w:val="29"/>
                <w:szCs w:val="29"/>
              </w:rPr>
              <w:t xml:space="preserve">－</w:t>
            </w:r>
            <w:r>
              <w:rPr>
                <w:spacing w:val="9"/>
                <w:sz w:val="29"/>
                <w:szCs w:val="29"/>
              </w:rPr>
              <w:t xml:space="preserve">1000ug</w:t>
            </w:r>
            <w:r>
              <w:rPr>
                <w:rFonts w:hint="eastAsia"/>
                <w:spacing w:val="9"/>
                <w:sz w:val="29"/>
                <w:szCs w:val="29"/>
              </w:rPr>
              <w:t xml:space="preserve">／</w:t>
            </w:r>
            <w:r>
              <w:rPr>
                <w:spacing w:val="9"/>
                <w:sz w:val="29"/>
                <w:szCs w:val="29"/>
              </w:rPr>
              <w:t xml:space="preserve">m3或</w:t>
            </w:r>
            <w:r/>
          </w:p>
          <w:p>
            <w:pPr>
              <w:pStyle w:val="981"/>
              <w:ind w:left="75"/>
              <w:spacing w:before="208" w:line="221" w:lineRule="auto"/>
              <w:rPr>
                <w:spacing w:val="9"/>
                <w:sz w:val="29"/>
                <w:szCs w:val="29"/>
              </w:rPr>
            </w:pPr>
            <w:r>
              <w:rPr>
                <w:spacing w:val="9"/>
                <w:sz w:val="29"/>
                <w:szCs w:val="29"/>
              </w:rPr>
              <w:t xml:space="preserve">0μg</w:t>
            </w:r>
            <w:r>
              <w:rPr>
                <w:rFonts w:hint="eastAsia"/>
                <w:spacing w:val="9"/>
                <w:sz w:val="29"/>
                <w:szCs w:val="29"/>
              </w:rPr>
              <w:t xml:space="preserve">／</w:t>
            </w:r>
            <w:r>
              <w:rPr>
                <w:spacing w:val="9"/>
                <w:sz w:val="29"/>
                <w:szCs w:val="29"/>
              </w:rPr>
              <w:t xml:space="preserve">m3～10000μg</w:t>
            </w:r>
            <w:r>
              <w:rPr>
                <w:rFonts w:hint="eastAsia"/>
                <w:spacing w:val="9"/>
                <w:sz w:val="29"/>
                <w:szCs w:val="29"/>
              </w:rPr>
              <w:t xml:space="preserve">／</w:t>
            </w:r>
            <w:r>
              <w:rPr>
                <w:spacing w:val="9"/>
                <w:sz w:val="29"/>
                <w:szCs w:val="29"/>
              </w:rPr>
              <w:t xml:space="preserve">m3</w:t>
            </w:r>
            <w:r>
              <w:rPr>
                <w:rFonts w:hint="eastAsia"/>
                <w:spacing w:val="9"/>
                <w:sz w:val="29"/>
                <w:szCs w:val="29"/>
              </w:rPr>
              <w:t xml:space="preserve">（</w:t>
            </w:r>
            <w:r>
              <w:rPr>
                <w:spacing w:val="9"/>
                <w:sz w:val="29"/>
                <w:szCs w:val="29"/>
              </w:rPr>
              <w:t xml:space="preserve">可选</w:t>
            </w:r>
            <w:r>
              <w:rPr>
                <w:rFonts w:hint="eastAsia"/>
                <w:spacing w:val="9"/>
                <w:sz w:val="29"/>
                <w:szCs w:val="29"/>
              </w:rPr>
              <w:t xml:space="preserve">）</w:t>
            </w:r>
            <w:r/>
          </w:p>
        </w:tc>
      </w:tr>
      <w:tr>
        <w:trPr>
          <w:trHeight w:val="679"/>
        </w:trPr>
        <w:tc>
          <w:tcPr>
            <w:tcW w:w="39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3</w:t>
            </w:r>
            <w:r/>
          </w:p>
        </w:tc>
        <w:tc>
          <w:tcPr>
            <w:tcW w:w="2181"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★最低检出限</w:t>
            </w:r>
            <w:r/>
          </w:p>
        </w:tc>
        <w:tc>
          <w:tcPr>
            <w:tcW w:w="2420"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w:t>
            </w:r>
            <w:r>
              <w:rPr>
                <w:rFonts w:hint="eastAsia"/>
                <w:spacing w:val="9"/>
                <w:sz w:val="29"/>
                <w:szCs w:val="29"/>
              </w:rPr>
              <w:t xml:space="preserve">1.1</w:t>
            </w:r>
            <w:r>
              <w:rPr>
                <w:spacing w:val="9"/>
                <w:sz w:val="29"/>
                <w:szCs w:val="29"/>
              </w:rPr>
              <w:t xml:space="preserve">μg</w:t>
            </w:r>
            <w:r>
              <w:rPr>
                <w:rFonts w:hint="eastAsia"/>
                <w:spacing w:val="9"/>
                <w:sz w:val="29"/>
                <w:szCs w:val="29"/>
              </w:rPr>
              <w:t xml:space="preserve">／</w:t>
            </w:r>
            <w:r>
              <w:rPr>
                <w:spacing w:val="9"/>
                <w:sz w:val="29"/>
                <w:szCs w:val="29"/>
              </w:rPr>
              <w:t xml:space="preserve">m3</w:t>
            </w:r>
            <w:r/>
          </w:p>
        </w:tc>
      </w:tr>
      <w:tr>
        <w:trPr>
          <w:trHeight w:val="689"/>
        </w:trPr>
        <w:tc>
          <w:tcPr>
            <w:tcW w:w="39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4</w:t>
            </w:r>
            <w:r/>
          </w:p>
        </w:tc>
        <w:tc>
          <w:tcPr>
            <w:tcW w:w="2181"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校准膜示值误差</w:t>
            </w:r>
            <w:r/>
          </w:p>
        </w:tc>
        <w:tc>
          <w:tcPr>
            <w:tcW w:w="2420"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±2</w:t>
            </w:r>
            <w:r>
              <w:rPr>
                <w:rFonts w:hint="eastAsia"/>
                <w:spacing w:val="9"/>
                <w:sz w:val="29"/>
                <w:szCs w:val="29"/>
              </w:rPr>
              <w:t xml:space="preserve">％</w:t>
            </w:r>
            <w:r/>
          </w:p>
        </w:tc>
      </w:tr>
      <w:tr>
        <w:trPr>
          <w:trHeight w:val="690"/>
        </w:trPr>
        <w:tc>
          <w:tcPr>
            <w:tcW w:w="39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5</w:t>
            </w:r>
            <w:r/>
          </w:p>
        </w:tc>
        <w:tc>
          <w:tcPr>
            <w:tcW w:w="2181"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温度测量示值误差</w:t>
            </w:r>
            <w:r/>
          </w:p>
        </w:tc>
        <w:tc>
          <w:tcPr>
            <w:tcW w:w="2420"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士2℃</w:t>
            </w:r>
            <w:r/>
          </w:p>
        </w:tc>
      </w:tr>
      <w:tr>
        <w:trPr>
          <w:trHeight w:val="699"/>
        </w:trPr>
        <w:tc>
          <w:tcPr>
            <w:tcW w:w="39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6</w:t>
            </w:r>
            <w:r/>
          </w:p>
        </w:tc>
        <w:tc>
          <w:tcPr>
            <w:tcW w:w="2181"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大气压测量示值误差</w:t>
            </w:r>
            <w:r/>
          </w:p>
        </w:tc>
        <w:tc>
          <w:tcPr>
            <w:tcW w:w="2420"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±1kPa</w:t>
            </w:r>
            <w:r/>
          </w:p>
        </w:tc>
      </w:tr>
      <w:tr>
        <w:trPr>
          <w:trHeight w:val="690"/>
        </w:trPr>
        <w:tc>
          <w:tcPr>
            <w:tcW w:w="39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7</w:t>
            </w:r>
            <w:r/>
          </w:p>
        </w:tc>
        <w:tc>
          <w:tcPr>
            <w:tcW w:w="2181"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湿度测量示值误差</w:t>
            </w:r>
            <w:r/>
          </w:p>
        </w:tc>
        <w:tc>
          <w:tcPr>
            <w:tcW w:w="2420"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±5</w:t>
            </w:r>
            <w:r>
              <w:rPr>
                <w:rFonts w:hint="eastAsia"/>
                <w:spacing w:val="9"/>
                <w:sz w:val="29"/>
                <w:szCs w:val="29"/>
              </w:rPr>
              <w:t xml:space="preserve">％</w:t>
            </w:r>
            <w:r>
              <w:rPr>
                <w:spacing w:val="9"/>
                <w:sz w:val="29"/>
                <w:szCs w:val="29"/>
              </w:rPr>
              <w:t xml:space="preserve">RH</w:t>
            </w:r>
            <w:r/>
          </w:p>
        </w:tc>
      </w:tr>
      <w:tr>
        <w:trPr>
          <w:trHeight w:val="1159"/>
        </w:trPr>
        <w:tc>
          <w:tcPr>
            <w:tcW w:w="397" w:type="pct"/>
            <w:vAlign w:val="center"/>
            <w:textDirection w:val="lrTb"/>
            <w:noWrap w:val="false"/>
          </w:tcPr>
          <w:p>
            <w:pPr>
              <w:pStyle w:val="981"/>
              <w:ind w:left="75"/>
              <w:spacing w:before="208" w:line="221" w:lineRule="auto"/>
              <w:rPr>
                <w:spacing w:val="9"/>
                <w:sz w:val="29"/>
                <w:szCs w:val="29"/>
              </w:rPr>
            </w:pPr>
            <w:r>
              <w:rPr>
                <w:spacing w:val="9"/>
                <w:sz w:val="29"/>
                <w:szCs w:val="29"/>
              </w:rPr>
            </w:r>
            <w:r/>
          </w:p>
          <w:p>
            <w:pPr>
              <w:pStyle w:val="981"/>
              <w:ind w:left="75"/>
              <w:spacing w:before="208" w:line="221" w:lineRule="auto"/>
              <w:rPr>
                <w:spacing w:val="9"/>
                <w:sz w:val="29"/>
                <w:szCs w:val="29"/>
              </w:rPr>
            </w:pPr>
            <w:r>
              <w:rPr>
                <w:spacing w:val="9"/>
                <w:sz w:val="29"/>
                <w:szCs w:val="29"/>
              </w:rPr>
              <w:t xml:space="preserve">8</w:t>
            </w:r>
            <w:r/>
          </w:p>
        </w:tc>
        <w:tc>
          <w:tcPr>
            <w:tcW w:w="2181" w:type="pct"/>
            <w:vAlign w:val="center"/>
            <w:textDirection w:val="lrTb"/>
            <w:noWrap w:val="false"/>
          </w:tcPr>
          <w:p>
            <w:pPr>
              <w:pStyle w:val="981"/>
              <w:ind w:left="75"/>
              <w:spacing w:before="208" w:line="221" w:lineRule="auto"/>
              <w:rPr>
                <w:spacing w:val="9"/>
                <w:sz w:val="29"/>
                <w:szCs w:val="29"/>
              </w:rPr>
            </w:pPr>
            <w:r>
              <w:rPr>
                <w:spacing w:val="9"/>
                <w:sz w:val="29"/>
                <w:szCs w:val="29"/>
              </w:rPr>
            </w:r>
            <w:r/>
          </w:p>
          <w:p>
            <w:pPr>
              <w:pStyle w:val="981"/>
              <w:ind w:left="75"/>
              <w:spacing w:before="208" w:line="221" w:lineRule="auto"/>
              <w:rPr>
                <w:spacing w:val="9"/>
                <w:sz w:val="29"/>
                <w:szCs w:val="29"/>
              </w:rPr>
            </w:pPr>
            <w:r>
              <w:rPr>
                <w:spacing w:val="9"/>
                <w:sz w:val="29"/>
                <w:szCs w:val="29"/>
              </w:rPr>
              <w:t xml:space="preserve">流量测试</w:t>
            </w:r>
            <w:r/>
          </w:p>
        </w:tc>
        <w:tc>
          <w:tcPr>
            <w:tcW w:w="2420"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平均流量偏差：±5</w:t>
            </w:r>
            <w:r>
              <w:rPr>
                <w:rFonts w:hint="eastAsia"/>
                <w:spacing w:val="9"/>
                <w:sz w:val="29"/>
                <w:szCs w:val="29"/>
              </w:rPr>
              <w:t xml:space="preserve">％</w:t>
            </w:r>
            <w:r/>
          </w:p>
          <w:p>
            <w:pPr>
              <w:pStyle w:val="981"/>
              <w:ind w:left="75"/>
              <w:spacing w:before="208" w:line="221" w:lineRule="auto"/>
              <w:rPr>
                <w:spacing w:val="9"/>
                <w:sz w:val="29"/>
                <w:szCs w:val="29"/>
              </w:rPr>
            </w:pPr>
            <w:r>
              <w:rPr>
                <w:spacing w:val="9"/>
                <w:sz w:val="29"/>
                <w:szCs w:val="29"/>
              </w:rPr>
              <w:t xml:space="preserve">流量相对标准偏差：≤2</w:t>
            </w:r>
            <w:r>
              <w:rPr>
                <w:rFonts w:hint="eastAsia"/>
                <w:spacing w:val="9"/>
                <w:sz w:val="29"/>
                <w:szCs w:val="29"/>
              </w:rPr>
              <w:t xml:space="preserve">％</w:t>
            </w:r>
            <w:r/>
          </w:p>
          <w:p>
            <w:pPr>
              <w:pStyle w:val="981"/>
              <w:ind w:left="75"/>
              <w:spacing w:before="208" w:line="221" w:lineRule="auto"/>
              <w:rPr>
                <w:spacing w:val="9"/>
                <w:sz w:val="29"/>
                <w:szCs w:val="29"/>
              </w:rPr>
            </w:pPr>
            <w:r>
              <w:rPr>
                <w:spacing w:val="9"/>
                <w:sz w:val="29"/>
                <w:szCs w:val="29"/>
              </w:rPr>
              <w:t xml:space="preserve">平均流量示值误差：≤2</w:t>
            </w:r>
            <w:r>
              <w:rPr>
                <w:rFonts w:hint="eastAsia"/>
                <w:spacing w:val="9"/>
                <w:sz w:val="29"/>
                <w:szCs w:val="29"/>
              </w:rPr>
              <w:t xml:space="preserve">％</w:t>
            </w:r>
            <w:r/>
          </w:p>
        </w:tc>
      </w:tr>
      <w:tr>
        <w:trPr>
          <w:trHeight w:val="689"/>
        </w:trPr>
        <w:tc>
          <w:tcPr>
            <w:tcW w:w="39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9</w:t>
            </w:r>
            <w:r/>
          </w:p>
        </w:tc>
        <w:tc>
          <w:tcPr>
            <w:tcW w:w="2181"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时钟误差</w:t>
            </w:r>
            <w:r/>
          </w:p>
        </w:tc>
        <w:tc>
          <w:tcPr>
            <w:tcW w:w="2420"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±10s</w:t>
            </w:r>
            <w:r/>
          </w:p>
        </w:tc>
      </w:tr>
      <w:tr>
        <w:trPr>
          <w:trHeight w:val="690"/>
        </w:trPr>
        <w:tc>
          <w:tcPr>
            <w:tcW w:w="39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10</w:t>
            </w:r>
            <w:r/>
          </w:p>
        </w:tc>
        <w:tc>
          <w:tcPr>
            <w:tcW w:w="2181"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平行性</w:t>
            </w:r>
            <w:r/>
          </w:p>
        </w:tc>
        <w:tc>
          <w:tcPr>
            <w:tcW w:w="2420"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≤10</w:t>
            </w:r>
            <w:r>
              <w:rPr>
                <w:rFonts w:hint="eastAsia"/>
                <w:spacing w:val="9"/>
                <w:sz w:val="29"/>
                <w:szCs w:val="29"/>
              </w:rPr>
              <w:t xml:space="preserve">％</w:t>
            </w:r>
            <w:r/>
          </w:p>
        </w:tc>
      </w:tr>
      <w:tr>
        <w:trPr>
          <w:trHeight w:val="1309"/>
        </w:trPr>
        <w:tc>
          <w:tcPr>
            <w:tcW w:w="397" w:type="pct"/>
            <w:vAlign w:val="center"/>
            <w:textDirection w:val="lrTb"/>
            <w:noWrap w:val="false"/>
          </w:tcPr>
          <w:p>
            <w:pPr>
              <w:pStyle w:val="981"/>
              <w:ind w:left="75"/>
              <w:spacing w:before="208" w:line="221" w:lineRule="auto"/>
              <w:rPr>
                <w:spacing w:val="9"/>
                <w:sz w:val="29"/>
                <w:szCs w:val="29"/>
              </w:rPr>
            </w:pPr>
            <w:r>
              <w:rPr>
                <w:spacing w:val="9"/>
                <w:sz w:val="29"/>
                <w:szCs w:val="29"/>
              </w:rPr>
            </w:r>
            <w:r/>
          </w:p>
          <w:p>
            <w:pPr>
              <w:pStyle w:val="981"/>
              <w:ind w:left="75"/>
              <w:spacing w:before="208" w:line="221" w:lineRule="auto"/>
              <w:rPr>
                <w:spacing w:val="9"/>
                <w:sz w:val="29"/>
                <w:szCs w:val="29"/>
              </w:rPr>
            </w:pPr>
            <w:r>
              <w:rPr>
                <w:spacing w:val="9"/>
                <w:sz w:val="29"/>
                <w:szCs w:val="29"/>
              </w:rPr>
              <w:t xml:space="preserve">11</w:t>
            </w:r>
            <w:r/>
          </w:p>
        </w:tc>
        <w:tc>
          <w:tcPr>
            <w:tcW w:w="2181" w:type="pct"/>
            <w:vAlign w:val="center"/>
            <w:textDirection w:val="lrTb"/>
            <w:noWrap w:val="false"/>
          </w:tcPr>
          <w:p>
            <w:pPr>
              <w:pStyle w:val="981"/>
              <w:ind w:left="75"/>
              <w:spacing w:before="208" w:line="221" w:lineRule="auto"/>
              <w:rPr>
                <w:spacing w:val="9"/>
                <w:sz w:val="29"/>
                <w:szCs w:val="29"/>
              </w:rPr>
            </w:pPr>
            <w:r>
              <w:rPr>
                <w:spacing w:val="9"/>
                <w:sz w:val="29"/>
                <w:szCs w:val="29"/>
              </w:rPr>
            </w:r>
            <w:r/>
          </w:p>
          <w:p>
            <w:pPr>
              <w:pStyle w:val="981"/>
              <w:ind w:left="75"/>
              <w:spacing w:before="208" w:line="221" w:lineRule="auto"/>
              <w:rPr>
                <w:spacing w:val="9"/>
                <w:sz w:val="29"/>
                <w:szCs w:val="29"/>
              </w:rPr>
            </w:pPr>
            <w:r>
              <w:rPr>
                <w:spacing w:val="9"/>
                <w:sz w:val="29"/>
                <w:szCs w:val="29"/>
              </w:rPr>
              <w:t xml:space="preserve">参比方法比对测试</w:t>
            </w:r>
            <w:r/>
          </w:p>
        </w:tc>
        <w:tc>
          <w:tcPr>
            <w:tcW w:w="2420"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斜率</w:t>
            </w:r>
            <w:r>
              <w:rPr>
                <w:rFonts w:hint="eastAsia"/>
                <w:spacing w:val="9"/>
                <w:sz w:val="29"/>
                <w:szCs w:val="29"/>
              </w:rPr>
              <w:t xml:space="preserve">（</w:t>
            </w:r>
            <w:r>
              <w:rPr>
                <w:spacing w:val="9"/>
                <w:sz w:val="29"/>
                <w:szCs w:val="29"/>
              </w:rPr>
              <w:t xml:space="preserve">k</w:t>
            </w:r>
            <w:r>
              <w:rPr>
                <w:rFonts w:hint="eastAsia"/>
                <w:spacing w:val="9"/>
                <w:sz w:val="29"/>
                <w:szCs w:val="29"/>
              </w:rPr>
              <w:t xml:space="preserve">）：</w:t>
            </w:r>
            <w:r>
              <w:rPr>
                <w:spacing w:val="9"/>
                <w:sz w:val="29"/>
                <w:szCs w:val="29"/>
              </w:rPr>
              <w:t xml:space="preserve">1±0.1</w:t>
            </w:r>
            <w:r/>
          </w:p>
          <w:p>
            <w:pPr>
              <w:pStyle w:val="981"/>
              <w:ind w:left="75"/>
              <w:spacing w:before="208" w:line="221" w:lineRule="auto"/>
              <w:rPr>
                <w:spacing w:val="9"/>
                <w:sz w:val="29"/>
                <w:szCs w:val="29"/>
              </w:rPr>
            </w:pPr>
            <w:r>
              <w:rPr>
                <w:spacing w:val="9"/>
                <w:sz w:val="29"/>
                <w:szCs w:val="29"/>
              </w:rPr>
              <w:t xml:space="preserve">截距</w:t>
            </w:r>
            <w:r>
              <w:rPr>
                <w:rFonts w:hint="eastAsia"/>
                <w:spacing w:val="9"/>
                <w:sz w:val="29"/>
                <w:szCs w:val="29"/>
              </w:rPr>
              <w:t xml:space="preserve">（</w:t>
            </w:r>
            <w:r>
              <w:rPr>
                <w:spacing w:val="9"/>
                <w:sz w:val="29"/>
                <w:szCs w:val="29"/>
              </w:rPr>
              <w:t xml:space="preserve">b</w:t>
            </w:r>
            <w:r>
              <w:rPr>
                <w:rFonts w:hint="eastAsia"/>
                <w:spacing w:val="9"/>
                <w:sz w:val="29"/>
                <w:szCs w:val="29"/>
              </w:rPr>
              <w:t xml:space="preserve">）：</w:t>
            </w:r>
            <w:r>
              <w:rPr>
                <w:spacing w:val="9"/>
                <w:sz w:val="29"/>
                <w:szCs w:val="29"/>
              </w:rPr>
              <w:t xml:space="preserve">0±10μg</w:t>
            </w:r>
            <w:r>
              <w:rPr>
                <w:rFonts w:hint="eastAsia"/>
                <w:spacing w:val="9"/>
                <w:sz w:val="29"/>
                <w:szCs w:val="29"/>
              </w:rPr>
              <w:t xml:space="preserve">／</w:t>
            </w:r>
            <w:r>
              <w:rPr>
                <w:spacing w:val="9"/>
                <w:sz w:val="29"/>
                <w:szCs w:val="29"/>
              </w:rPr>
              <w:t xml:space="preserve">m3相关系数</w:t>
            </w:r>
            <w:r>
              <w:rPr>
                <w:rFonts w:hint="eastAsia"/>
                <w:spacing w:val="9"/>
                <w:sz w:val="29"/>
                <w:szCs w:val="29"/>
              </w:rPr>
              <w:t xml:space="preserve">（</w:t>
            </w:r>
            <w:r>
              <w:rPr>
                <w:spacing w:val="9"/>
                <w:sz w:val="29"/>
                <w:szCs w:val="29"/>
              </w:rPr>
              <w:t xml:space="preserve">r</w:t>
            </w:r>
            <w:r>
              <w:rPr>
                <w:rFonts w:hint="eastAsia"/>
                <w:spacing w:val="9"/>
                <w:sz w:val="29"/>
                <w:szCs w:val="29"/>
              </w:rPr>
              <w:t xml:space="preserve">）：</w:t>
            </w:r>
            <w:r>
              <w:rPr>
                <w:spacing w:val="9"/>
                <w:sz w:val="29"/>
                <w:szCs w:val="29"/>
              </w:rPr>
              <w:t xml:space="preserve">≥0.95</w:t>
            </w:r>
            <w:r/>
          </w:p>
        </w:tc>
      </w:tr>
      <w:tr>
        <w:trPr>
          <w:trHeight w:val="694"/>
        </w:trPr>
        <w:tc>
          <w:tcPr>
            <w:tcW w:w="39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12</w:t>
            </w:r>
            <w:r/>
          </w:p>
        </w:tc>
        <w:tc>
          <w:tcPr>
            <w:tcW w:w="2181"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有效数据率</w:t>
            </w:r>
            <w:r/>
          </w:p>
        </w:tc>
        <w:tc>
          <w:tcPr>
            <w:tcW w:w="2420"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≥90</w:t>
            </w:r>
            <w:r>
              <w:rPr>
                <w:rFonts w:hint="eastAsia"/>
                <w:spacing w:val="9"/>
                <w:sz w:val="29"/>
                <w:szCs w:val="29"/>
              </w:rPr>
              <w:t xml:space="preserve">％</w:t>
            </w:r>
            <w:r/>
          </w:p>
        </w:tc>
      </w:tr>
    </w:tbl>
    <w:p>
      <w:pPr>
        <w:jc w:val="left"/>
        <w:spacing w:line="400" w:lineRule="exact"/>
        <w:widowControl/>
        <w:rPr>
          <w:rFonts w:ascii="宋体" w:hAnsi="宋体" w:eastAsia="宋体" w:cs="宋体"/>
          <w:sz w:val="24"/>
          <w:szCs w:val="24"/>
        </w:rPr>
      </w:pPr>
      <w:r>
        <w:rPr>
          <w:rFonts w:ascii="宋体" w:hAnsi="宋体" w:eastAsia="宋体" w:cs="宋体"/>
          <w:sz w:val="24"/>
          <w:szCs w:val="24"/>
        </w:rPr>
      </w:r>
      <w:r/>
    </w:p>
    <w:p>
      <w:pPr>
        <w:ind w:firstLine="482"/>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8.多气体动态校准仪</w:t>
      </w:r>
      <w:r/>
    </w:p>
    <w:p>
      <w:pPr>
        <w:ind w:firstLine="482"/>
        <w:jc w:val="left"/>
        <w:spacing w:line="400" w:lineRule="exact"/>
        <w:widowControl/>
        <w:rPr>
          <w:rFonts w:ascii="宋体" w:hAnsi="宋体" w:eastAsia="宋体" w:cs="宋体"/>
          <w:sz w:val="24"/>
          <w:szCs w:val="24"/>
        </w:rPr>
      </w:pPr>
      <w:r>
        <w:rPr>
          <w:rFonts w:ascii="宋体" w:hAnsi="宋体" w:eastAsia="宋体" w:cs="宋体"/>
          <w:sz w:val="24"/>
          <w:szCs w:val="24"/>
        </w:rPr>
      </w:r>
      <w:r/>
    </w:p>
    <w:tbl>
      <w:tblPr>
        <w:tblStyle w:val="98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9"/>
        <w:gridCol w:w="3808"/>
        <w:gridCol w:w="4258"/>
      </w:tblGrid>
      <w:tr>
        <w:trPr>
          <w:trHeight w:val="713"/>
        </w:trPr>
        <w:tc>
          <w:tcPr>
            <w:tcW w:w="409"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序号</w:t>
            </w:r>
            <w:r/>
          </w:p>
        </w:tc>
        <w:tc>
          <w:tcPr>
            <w:tcW w:w="216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项 目</w:t>
            </w:r>
            <w:r/>
          </w:p>
        </w:tc>
        <w:tc>
          <w:tcPr>
            <w:tcW w:w="2423"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指标或性能</w:t>
            </w:r>
            <w:r/>
          </w:p>
        </w:tc>
      </w:tr>
      <w:tr>
        <w:trPr>
          <w:trHeight w:val="708"/>
        </w:trPr>
        <w:tc>
          <w:tcPr>
            <w:tcW w:w="409"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1</w:t>
            </w:r>
            <w:r/>
          </w:p>
        </w:tc>
        <w:tc>
          <w:tcPr>
            <w:tcW w:w="216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稀释比率</w:t>
            </w:r>
            <w:r/>
          </w:p>
        </w:tc>
        <w:tc>
          <w:tcPr>
            <w:tcW w:w="2423"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1:100</w:t>
            </w:r>
            <w:r>
              <w:rPr>
                <w:rFonts w:hint="eastAsia"/>
                <w:spacing w:val="9"/>
                <w:sz w:val="29"/>
                <w:szCs w:val="29"/>
              </w:rPr>
              <w:t xml:space="preserve">－</w:t>
            </w:r>
            <w:r>
              <w:rPr>
                <w:spacing w:val="9"/>
                <w:sz w:val="29"/>
                <w:szCs w:val="29"/>
              </w:rPr>
              <w:t xml:space="preserve">1:1000</w:t>
            </w:r>
            <w:r/>
          </w:p>
        </w:tc>
      </w:tr>
      <w:tr>
        <w:trPr>
          <w:trHeight w:val="708"/>
        </w:trPr>
        <w:tc>
          <w:tcPr>
            <w:tcW w:w="409"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2</w:t>
            </w:r>
            <w:r/>
          </w:p>
        </w:tc>
        <w:tc>
          <w:tcPr>
            <w:tcW w:w="216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流量线性误差</w:t>
            </w:r>
            <w:r/>
          </w:p>
        </w:tc>
        <w:tc>
          <w:tcPr>
            <w:tcW w:w="2423"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±1</w:t>
            </w:r>
            <w:r>
              <w:rPr>
                <w:rFonts w:hint="eastAsia"/>
                <w:spacing w:val="9"/>
                <w:sz w:val="29"/>
                <w:szCs w:val="29"/>
              </w:rPr>
              <w:t xml:space="preserve">％</w:t>
            </w:r>
            <w:r/>
          </w:p>
        </w:tc>
      </w:tr>
      <w:tr>
        <w:trPr>
          <w:trHeight w:val="718"/>
        </w:trPr>
        <w:tc>
          <w:tcPr>
            <w:tcW w:w="409"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3</w:t>
            </w:r>
            <w:r/>
          </w:p>
        </w:tc>
        <w:tc>
          <w:tcPr>
            <w:tcW w:w="216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臭氧发生浓度误差</w:t>
            </w:r>
            <w:r/>
          </w:p>
        </w:tc>
        <w:tc>
          <w:tcPr>
            <w:tcW w:w="2423"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±2</w:t>
            </w:r>
            <w:r>
              <w:rPr>
                <w:rFonts w:hint="eastAsia"/>
                <w:spacing w:val="9"/>
                <w:sz w:val="29"/>
                <w:szCs w:val="29"/>
              </w:rPr>
              <w:t xml:space="preserve">％</w:t>
            </w:r>
            <w:r/>
          </w:p>
        </w:tc>
      </w:tr>
      <w:tr>
        <w:trPr>
          <w:trHeight w:val="723"/>
        </w:trPr>
        <w:tc>
          <w:tcPr>
            <w:tcW w:w="409"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4</w:t>
            </w:r>
            <w:r/>
          </w:p>
        </w:tc>
        <w:tc>
          <w:tcPr>
            <w:tcW w:w="2167"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具备自动校准功能</w:t>
            </w:r>
            <w:r/>
          </w:p>
        </w:tc>
        <w:tc>
          <w:tcPr>
            <w:tcW w:w="2423" w:type="pct"/>
            <w:vAlign w:val="center"/>
            <w:textDirection w:val="lrTb"/>
            <w:noWrap w:val="false"/>
          </w:tcPr>
          <w:p>
            <w:pPr>
              <w:pStyle w:val="981"/>
              <w:ind w:left="75"/>
              <w:spacing w:before="208" w:line="221" w:lineRule="auto"/>
              <w:rPr>
                <w:spacing w:val="9"/>
                <w:sz w:val="29"/>
                <w:szCs w:val="29"/>
              </w:rPr>
            </w:pPr>
            <w:r>
              <w:rPr>
                <w:spacing w:val="9"/>
                <w:sz w:val="29"/>
                <w:szCs w:val="29"/>
              </w:rPr>
              <w:t xml:space="preserve">是</w:t>
            </w:r>
            <w:r/>
          </w:p>
        </w:tc>
      </w:tr>
    </w:tbl>
    <w:p>
      <w:pPr>
        <w:pStyle w:val="801"/>
        <w:ind w:firstLine="6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01"/>
        <w:ind w:firstLine="6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01"/>
        <w:ind w:firstLine="6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01"/>
        <w:ind w:firstLine="600"/>
      </w:pPr>
      <w:r>
        <w:rPr>
          <w:rFonts w:hint="eastAsia" w:ascii="宋体" w:hAnsi="宋体" w:eastAsia="宋体" w:cs="宋体"/>
          <w:sz w:val="24"/>
          <w:szCs w:val="24"/>
          <w:lang w:val="en-US" w:eastAsia="zh-CN" w:bidi="ar-SA"/>
        </w:rPr>
        <w:t xml:space="preserve">9. 零气发生器发生零气的性能指标</w:t>
      </w:r>
      <w:r/>
    </w:p>
    <w:tbl>
      <w:tblPr>
        <w:tblStyle w:val="982"/>
        <w:tblW w:w="5112" w:type="pct"/>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76"/>
        <w:gridCol w:w="3554"/>
        <w:gridCol w:w="4156"/>
      </w:tblGrid>
      <w:tr>
        <w:trPr>
          <w:trHeight w:val="524"/>
        </w:trPr>
        <w:tc>
          <w:tcPr>
            <w:tcW w:w="710" w:type="pct"/>
            <w:vAlign w:val="center"/>
            <w:textDirection w:val="lrTb"/>
            <w:noWrap w:val="false"/>
          </w:tcPr>
          <w:p>
            <w:pPr>
              <w:pStyle w:val="980"/>
              <w:ind w:firstLine="308"/>
              <w:jc w:val="both"/>
            </w:pPr>
            <w:r>
              <w:t xml:space="preserve">序号</w:t>
            </w:r>
            <w:r/>
          </w:p>
        </w:tc>
        <w:tc>
          <w:tcPr>
            <w:tcW w:w="1977" w:type="pct"/>
            <w:vAlign w:val="center"/>
            <w:textDirection w:val="lrTb"/>
            <w:noWrap w:val="false"/>
          </w:tcPr>
          <w:p>
            <w:pPr>
              <w:pStyle w:val="980"/>
              <w:ind w:firstLine="640"/>
            </w:pPr>
            <w:r>
              <w:t xml:space="preserve">项 目</w:t>
            </w:r>
            <w:r/>
          </w:p>
        </w:tc>
        <w:tc>
          <w:tcPr>
            <w:tcW w:w="2312" w:type="pct"/>
            <w:vAlign w:val="center"/>
            <w:textDirection w:val="lrTb"/>
            <w:noWrap w:val="false"/>
          </w:tcPr>
          <w:p>
            <w:pPr>
              <w:pStyle w:val="980"/>
              <w:ind w:firstLine="640"/>
            </w:pPr>
            <w:r>
              <w:t xml:space="preserve">指标或性能</w:t>
            </w:r>
            <w:r/>
          </w:p>
        </w:tc>
      </w:tr>
      <w:tr>
        <w:trPr>
          <w:trHeight w:val="508"/>
        </w:trPr>
        <w:tc>
          <w:tcPr>
            <w:tcW w:w="710" w:type="pct"/>
            <w:vAlign w:val="center"/>
            <w:textDirection w:val="lrTb"/>
            <w:noWrap w:val="false"/>
          </w:tcPr>
          <w:p>
            <w:pPr>
              <w:pStyle w:val="980"/>
              <w:ind w:firstLine="640"/>
            </w:pPr>
            <w:r>
              <w:t xml:space="preserve">1</w:t>
            </w:r>
            <w:r/>
          </w:p>
        </w:tc>
        <w:tc>
          <w:tcPr>
            <w:tcW w:w="1977" w:type="pct"/>
            <w:vAlign w:val="center"/>
            <w:textDirection w:val="lrTb"/>
            <w:noWrap w:val="false"/>
          </w:tcPr>
          <w:p>
            <w:pPr>
              <w:pStyle w:val="980"/>
              <w:ind w:firstLine="640"/>
            </w:pPr>
            <w:r>
              <w:t xml:space="preserve">SO₂</w:t>
            </w:r>
            <w:r/>
          </w:p>
        </w:tc>
        <w:tc>
          <w:tcPr>
            <w:tcW w:w="2312" w:type="pct"/>
            <w:vAlign w:val="center"/>
            <w:textDirection w:val="lrTb"/>
            <w:noWrap w:val="false"/>
          </w:tcPr>
          <w:p>
            <w:pPr>
              <w:pStyle w:val="980"/>
              <w:ind w:firstLine="640"/>
            </w:pPr>
            <w:r>
              <w:rPr>
                <w:rFonts w:hint="eastAsia"/>
              </w:rPr>
              <w:t xml:space="preserve">＜</w:t>
            </w:r>
            <w:r>
              <w:t xml:space="preserve">0.5ppb</w:t>
            </w:r>
            <w:r/>
          </w:p>
        </w:tc>
      </w:tr>
      <w:tr>
        <w:trPr>
          <w:trHeight w:val="508"/>
        </w:trPr>
        <w:tc>
          <w:tcPr>
            <w:tcW w:w="710" w:type="pct"/>
            <w:vAlign w:val="center"/>
            <w:textDirection w:val="lrTb"/>
            <w:noWrap w:val="false"/>
          </w:tcPr>
          <w:p>
            <w:pPr>
              <w:pStyle w:val="980"/>
              <w:ind w:firstLine="640"/>
            </w:pPr>
            <w:r>
              <w:t xml:space="preserve">2</w:t>
            </w:r>
            <w:r/>
          </w:p>
        </w:tc>
        <w:tc>
          <w:tcPr>
            <w:tcW w:w="1977" w:type="pct"/>
            <w:vAlign w:val="center"/>
            <w:textDirection w:val="lrTb"/>
            <w:noWrap w:val="false"/>
          </w:tcPr>
          <w:p>
            <w:pPr>
              <w:pStyle w:val="980"/>
              <w:ind w:firstLine="640"/>
            </w:pPr>
            <w:r>
              <w:t xml:space="preserve">NO</w:t>
            </w:r>
            <w:r/>
          </w:p>
        </w:tc>
        <w:tc>
          <w:tcPr>
            <w:tcW w:w="2312" w:type="pct"/>
            <w:vAlign w:val="center"/>
            <w:textDirection w:val="lrTb"/>
            <w:noWrap w:val="false"/>
          </w:tcPr>
          <w:p>
            <w:pPr>
              <w:pStyle w:val="980"/>
              <w:ind w:firstLine="640"/>
            </w:pPr>
            <w:r>
              <w:rPr>
                <w:rFonts w:hint="eastAsia"/>
              </w:rPr>
              <w:t xml:space="preserve">＜</w:t>
            </w:r>
            <w:r>
              <w:t xml:space="preserve">0.5ppb</w:t>
            </w:r>
            <w:r/>
          </w:p>
        </w:tc>
      </w:tr>
      <w:tr>
        <w:trPr>
          <w:trHeight w:val="509"/>
        </w:trPr>
        <w:tc>
          <w:tcPr>
            <w:tcW w:w="710" w:type="pct"/>
            <w:vAlign w:val="center"/>
            <w:textDirection w:val="lrTb"/>
            <w:noWrap w:val="false"/>
          </w:tcPr>
          <w:p>
            <w:pPr>
              <w:pStyle w:val="980"/>
              <w:ind w:firstLine="640"/>
            </w:pPr>
            <w:r>
              <w:t xml:space="preserve">3</w:t>
            </w:r>
            <w:r/>
          </w:p>
        </w:tc>
        <w:tc>
          <w:tcPr>
            <w:tcW w:w="1977" w:type="pct"/>
            <w:vAlign w:val="center"/>
            <w:textDirection w:val="lrTb"/>
            <w:noWrap w:val="false"/>
          </w:tcPr>
          <w:p>
            <w:pPr>
              <w:pStyle w:val="980"/>
              <w:ind w:firstLine="640"/>
            </w:pPr>
            <w:r>
              <w:t xml:space="preserve">NO₂</w:t>
            </w:r>
            <w:r/>
          </w:p>
        </w:tc>
        <w:tc>
          <w:tcPr>
            <w:tcW w:w="2312" w:type="pct"/>
            <w:vAlign w:val="center"/>
            <w:textDirection w:val="lrTb"/>
            <w:noWrap w:val="false"/>
          </w:tcPr>
          <w:p>
            <w:pPr>
              <w:pStyle w:val="980"/>
              <w:ind w:firstLine="640"/>
            </w:pPr>
            <w:r>
              <w:rPr>
                <w:rFonts w:hint="eastAsia"/>
              </w:rPr>
              <w:t xml:space="preserve">＜</w:t>
            </w:r>
            <w:r>
              <w:t xml:space="preserve">0.5ppb</w:t>
            </w:r>
            <w:r/>
          </w:p>
        </w:tc>
      </w:tr>
      <w:tr>
        <w:trPr>
          <w:trHeight w:val="519"/>
        </w:trPr>
        <w:tc>
          <w:tcPr>
            <w:tcW w:w="710" w:type="pct"/>
            <w:vAlign w:val="center"/>
            <w:textDirection w:val="lrTb"/>
            <w:noWrap w:val="false"/>
          </w:tcPr>
          <w:p>
            <w:pPr>
              <w:pStyle w:val="980"/>
              <w:ind w:firstLine="640"/>
            </w:pPr>
            <w:r>
              <w:t xml:space="preserve">4</w:t>
            </w:r>
            <w:r/>
          </w:p>
        </w:tc>
        <w:tc>
          <w:tcPr>
            <w:tcW w:w="1977" w:type="pct"/>
            <w:vAlign w:val="center"/>
            <w:textDirection w:val="lrTb"/>
            <w:noWrap w:val="false"/>
          </w:tcPr>
          <w:p>
            <w:pPr>
              <w:pStyle w:val="980"/>
              <w:ind w:firstLine="640"/>
            </w:pPr>
            <w:r>
              <w:t xml:space="preserve">O₃</w:t>
            </w:r>
            <w:r/>
          </w:p>
        </w:tc>
        <w:tc>
          <w:tcPr>
            <w:tcW w:w="2312" w:type="pct"/>
            <w:vAlign w:val="center"/>
            <w:textDirection w:val="lrTb"/>
            <w:noWrap w:val="false"/>
          </w:tcPr>
          <w:p>
            <w:pPr>
              <w:pStyle w:val="980"/>
              <w:ind w:firstLine="640"/>
            </w:pPr>
            <w:r>
              <w:rPr>
                <w:rFonts w:hint="eastAsia"/>
              </w:rPr>
              <w:t xml:space="preserve">＜</w:t>
            </w:r>
            <w:r>
              <w:t xml:space="preserve">0.5ppb</w:t>
            </w:r>
            <w:r/>
          </w:p>
        </w:tc>
      </w:tr>
      <w:tr>
        <w:trPr>
          <w:trHeight w:val="508"/>
        </w:trPr>
        <w:tc>
          <w:tcPr>
            <w:tcW w:w="710" w:type="pct"/>
            <w:vAlign w:val="center"/>
            <w:textDirection w:val="lrTb"/>
            <w:noWrap w:val="false"/>
          </w:tcPr>
          <w:p>
            <w:pPr>
              <w:pStyle w:val="980"/>
              <w:ind w:firstLine="640"/>
            </w:pPr>
            <w:r>
              <w:t xml:space="preserve">5</w:t>
            </w:r>
            <w:r/>
          </w:p>
        </w:tc>
        <w:tc>
          <w:tcPr>
            <w:tcW w:w="1977" w:type="pct"/>
            <w:vAlign w:val="center"/>
            <w:textDirection w:val="lrTb"/>
            <w:noWrap w:val="false"/>
          </w:tcPr>
          <w:p>
            <w:pPr>
              <w:pStyle w:val="980"/>
              <w:ind w:firstLine="640"/>
            </w:pPr>
            <w:r>
              <w:t xml:space="preserve">CO</w:t>
            </w:r>
            <w:r/>
          </w:p>
        </w:tc>
        <w:tc>
          <w:tcPr>
            <w:tcW w:w="2312" w:type="pct"/>
            <w:vAlign w:val="center"/>
            <w:textDirection w:val="lrTb"/>
            <w:noWrap w:val="false"/>
          </w:tcPr>
          <w:p>
            <w:pPr>
              <w:pStyle w:val="980"/>
              <w:ind w:firstLine="640"/>
            </w:pPr>
            <w:r>
              <w:rPr>
                <w:rFonts w:hint="eastAsia"/>
              </w:rPr>
              <w:t xml:space="preserve">＜</w:t>
            </w:r>
            <w:r>
              <w:t xml:space="preserve">20ppb</w:t>
            </w:r>
            <w:r/>
          </w:p>
        </w:tc>
      </w:tr>
      <w:tr>
        <w:trPr>
          <w:trHeight w:val="523"/>
        </w:trPr>
        <w:tc>
          <w:tcPr>
            <w:tcW w:w="710" w:type="pct"/>
            <w:vAlign w:val="center"/>
            <w:textDirection w:val="lrTb"/>
            <w:noWrap w:val="false"/>
          </w:tcPr>
          <w:p>
            <w:pPr>
              <w:pStyle w:val="980"/>
              <w:ind w:firstLine="640"/>
            </w:pPr>
            <w:r>
              <w:t xml:space="preserve">6</w:t>
            </w:r>
            <w:r/>
          </w:p>
        </w:tc>
        <w:tc>
          <w:tcPr>
            <w:tcW w:w="1977" w:type="pct"/>
            <w:vAlign w:val="center"/>
            <w:textDirection w:val="lrTb"/>
            <w:noWrap w:val="false"/>
          </w:tcPr>
          <w:p>
            <w:pPr>
              <w:pStyle w:val="980"/>
              <w:ind w:firstLine="640"/>
            </w:pPr>
            <w:r>
              <w:t xml:space="preserve">HC化合物</w:t>
            </w:r>
            <w:r/>
          </w:p>
        </w:tc>
        <w:tc>
          <w:tcPr>
            <w:tcW w:w="2312" w:type="pct"/>
            <w:vAlign w:val="center"/>
            <w:textDirection w:val="lrTb"/>
            <w:noWrap w:val="false"/>
          </w:tcPr>
          <w:p>
            <w:pPr>
              <w:pStyle w:val="980"/>
              <w:ind w:firstLine="640"/>
            </w:pPr>
            <w:r>
              <w:t xml:space="preserve">不含</w:t>
            </w:r>
            <w:r/>
          </w:p>
        </w:tc>
      </w:tr>
    </w:tbl>
    <w:p>
      <w:pPr>
        <w:pStyle w:val="801"/>
        <w:ind w:firstLine="600"/>
      </w:pPr>
      <w:r/>
      <w:r/>
    </w:p>
    <w:p>
      <w:pPr>
        <w:pStyle w:val="801"/>
        <w:ind w:firstLine="600"/>
      </w:pPr>
      <w:r/>
      <w:r/>
    </w:p>
    <w:p>
      <w:pPr>
        <w:pStyle w:val="801"/>
        <w:ind w:firstLine="600"/>
      </w:pPr>
      <w:r/>
      <w:r/>
    </w:p>
    <w:p>
      <w:pPr>
        <w:pStyle w:val="801"/>
        <w:ind w:left="0" w:firstLine="0"/>
        <w:rPr>
          <w:rFonts w:hint="eastAsia"/>
        </w:rPr>
      </w:pPr>
      <w:r>
        <w:rPr>
          <w:rFonts w:hint="eastAsia"/>
        </w:rPr>
      </w:r>
      <w:r/>
    </w:p>
    <w:p>
      <w:pPr>
        <w:pStyle w:val="801"/>
        <w:ind w:firstLine="6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10.氢气发生器发生氢气的性能指标</w:t>
      </w:r>
      <w:r/>
    </w:p>
    <w:tbl>
      <w:tblPr>
        <w:tblStyle w:val="98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4"/>
        <w:gridCol w:w="3692"/>
        <w:gridCol w:w="4131"/>
      </w:tblGrid>
      <w:tr>
        <w:trPr>
          <w:trHeight w:val="513"/>
        </w:trPr>
        <w:tc>
          <w:tcPr>
            <w:tcW w:w="393" w:type="pct"/>
            <w:vAlign w:val="center"/>
            <w:textDirection w:val="lrTb"/>
            <w:noWrap w:val="false"/>
          </w:tcPr>
          <w:p>
            <w:pPr>
              <w:pStyle w:val="980"/>
              <w:ind w:firstLine="640"/>
            </w:pPr>
            <w:r>
              <w:t xml:space="preserve">序号</w:t>
            </w:r>
            <w:r/>
          </w:p>
        </w:tc>
        <w:tc>
          <w:tcPr>
            <w:tcW w:w="2179" w:type="pct"/>
            <w:vAlign w:val="center"/>
            <w:textDirection w:val="lrTb"/>
            <w:noWrap w:val="false"/>
          </w:tcPr>
          <w:p>
            <w:pPr>
              <w:pStyle w:val="980"/>
              <w:ind w:firstLine="640"/>
            </w:pPr>
            <w:r>
              <w:t xml:space="preserve">项 目</w:t>
            </w:r>
            <w:r/>
          </w:p>
        </w:tc>
        <w:tc>
          <w:tcPr>
            <w:tcW w:w="2428" w:type="pct"/>
            <w:vAlign w:val="center"/>
            <w:textDirection w:val="lrTb"/>
            <w:noWrap w:val="false"/>
          </w:tcPr>
          <w:p>
            <w:pPr>
              <w:pStyle w:val="980"/>
              <w:ind w:firstLine="640"/>
            </w:pPr>
            <w:r>
              <w:t xml:space="preserve">指标或性能</w:t>
            </w:r>
            <w:r/>
          </w:p>
        </w:tc>
      </w:tr>
      <w:tr>
        <w:trPr>
          <w:trHeight w:val="518"/>
        </w:trPr>
        <w:tc>
          <w:tcPr>
            <w:tcW w:w="393" w:type="pct"/>
            <w:vAlign w:val="center"/>
            <w:textDirection w:val="lrTb"/>
            <w:noWrap w:val="false"/>
          </w:tcPr>
          <w:p>
            <w:pPr>
              <w:pStyle w:val="980"/>
              <w:ind w:firstLine="640"/>
            </w:pPr>
            <w:r>
              <w:t xml:space="preserve">1</w:t>
            </w:r>
            <w:r/>
          </w:p>
        </w:tc>
        <w:tc>
          <w:tcPr>
            <w:tcW w:w="2179" w:type="pct"/>
            <w:vAlign w:val="center"/>
            <w:textDirection w:val="lrTb"/>
            <w:noWrap w:val="false"/>
          </w:tcPr>
          <w:p>
            <w:pPr>
              <w:pStyle w:val="980"/>
              <w:ind w:firstLine="640"/>
            </w:pPr>
            <w:r>
              <w:t xml:space="preserve">氢气纯度</w:t>
            </w:r>
            <w:r/>
          </w:p>
        </w:tc>
        <w:tc>
          <w:tcPr>
            <w:tcW w:w="2428" w:type="pct"/>
            <w:vAlign w:val="center"/>
            <w:textDirection w:val="lrTb"/>
            <w:noWrap w:val="false"/>
          </w:tcPr>
          <w:p>
            <w:pPr>
              <w:pStyle w:val="980"/>
              <w:ind w:firstLine="640"/>
            </w:pPr>
            <w:r>
              <w:t xml:space="preserve">99.999</w:t>
            </w:r>
            <w:r>
              <w:rPr>
                <w:rFonts w:hint="eastAsia"/>
              </w:rPr>
              <w:t xml:space="preserve">％</w:t>
            </w:r>
            <w:r/>
          </w:p>
        </w:tc>
      </w:tr>
      <w:tr>
        <w:trPr>
          <w:trHeight w:val="518"/>
        </w:trPr>
        <w:tc>
          <w:tcPr>
            <w:tcW w:w="393" w:type="pct"/>
            <w:vAlign w:val="center"/>
            <w:textDirection w:val="lrTb"/>
            <w:noWrap w:val="false"/>
          </w:tcPr>
          <w:p>
            <w:pPr>
              <w:pStyle w:val="980"/>
              <w:ind w:firstLine="640"/>
            </w:pPr>
            <w:r>
              <w:t xml:space="preserve">2</w:t>
            </w:r>
            <w:r/>
          </w:p>
        </w:tc>
        <w:tc>
          <w:tcPr>
            <w:tcW w:w="2179" w:type="pct"/>
            <w:vAlign w:val="center"/>
            <w:textDirection w:val="lrTb"/>
            <w:noWrap w:val="false"/>
          </w:tcPr>
          <w:p>
            <w:pPr>
              <w:pStyle w:val="980"/>
              <w:ind w:firstLine="640"/>
            </w:pPr>
            <w:r>
              <w:t xml:space="preserve">氢气流量</w:t>
            </w:r>
            <w:r/>
          </w:p>
        </w:tc>
        <w:tc>
          <w:tcPr>
            <w:tcW w:w="2428" w:type="pct"/>
            <w:vAlign w:val="center"/>
            <w:textDirection w:val="lrTb"/>
            <w:noWrap w:val="false"/>
          </w:tcPr>
          <w:p>
            <w:pPr>
              <w:pStyle w:val="980"/>
              <w:ind w:firstLine="640"/>
            </w:pPr>
            <w:r>
              <w:t xml:space="preserve">0～500ml</w:t>
            </w:r>
            <w:r>
              <w:rPr>
                <w:rFonts w:hint="eastAsia"/>
              </w:rPr>
              <w:t xml:space="preserve">／</w:t>
            </w:r>
            <w:r>
              <w:t xml:space="preserve">min</w:t>
            </w:r>
            <w:r/>
          </w:p>
        </w:tc>
      </w:tr>
      <w:tr>
        <w:trPr>
          <w:trHeight w:val="518"/>
        </w:trPr>
        <w:tc>
          <w:tcPr>
            <w:tcW w:w="393" w:type="pct"/>
            <w:vAlign w:val="center"/>
            <w:textDirection w:val="lrTb"/>
            <w:noWrap w:val="false"/>
          </w:tcPr>
          <w:p>
            <w:pPr>
              <w:pStyle w:val="980"/>
              <w:ind w:firstLine="640"/>
            </w:pPr>
            <w:r>
              <w:t xml:space="preserve">3</w:t>
            </w:r>
            <w:r/>
          </w:p>
        </w:tc>
        <w:tc>
          <w:tcPr>
            <w:tcW w:w="2179" w:type="pct"/>
            <w:vAlign w:val="center"/>
            <w:textDirection w:val="lrTb"/>
            <w:noWrap w:val="false"/>
          </w:tcPr>
          <w:p>
            <w:pPr>
              <w:pStyle w:val="980"/>
              <w:ind w:firstLine="640"/>
            </w:pPr>
            <w:r>
              <w:t xml:space="preserve">工作压力</w:t>
            </w:r>
            <w:r/>
          </w:p>
        </w:tc>
        <w:tc>
          <w:tcPr>
            <w:tcW w:w="2428" w:type="pct"/>
            <w:vAlign w:val="center"/>
            <w:textDirection w:val="lrTb"/>
            <w:noWrap w:val="false"/>
          </w:tcPr>
          <w:p>
            <w:pPr>
              <w:pStyle w:val="980"/>
              <w:ind w:firstLine="640"/>
            </w:pPr>
            <w:r>
              <w:t xml:space="preserve">0～0.4MPa</w:t>
            </w:r>
            <w:r/>
          </w:p>
        </w:tc>
      </w:tr>
      <w:tr>
        <w:trPr>
          <w:trHeight w:val="513"/>
        </w:trPr>
        <w:tc>
          <w:tcPr>
            <w:tcW w:w="393" w:type="pct"/>
            <w:vAlign w:val="center"/>
            <w:textDirection w:val="lrTb"/>
            <w:noWrap w:val="false"/>
          </w:tcPr>
          <w:p>
            <w:pPr>
              <w:pStyle w:val="980"/>
              <w:ind w:firstLine="640"/>
            </w:pPr>
            <w:r>
              <w:t xml:space="preserve">4</w:t>
            </w:r>
            <w:r/>
          </w:p>
        </w:tc>
        <w:tc>
          <w:tcPr>
            <w:tcW w:w="2179" w:type="pct"/>
            <w:vAlign w:val="center"/>
            <w:textDirection w:val="lrTb"/>
            <w:noWrap w:val="false"/>
          </w:tcPr>
          <w:p>
            <w:pPr>
              <w:pStyle w:val="980"/>
              <w:ind w:firstLine="640"/>
            </w:pPr>
            <w:r>
              <w:t xml:space="preserve">稳压精度</w:t>
            </w:r>
            <w:r/>
          </w:p>
        </w:tc>
        <w:tc>
          <w:tcPr>
            <w:tcW w:w="2428" w:type="pct"/>
            <w:vAlign w:val="center"/>
            <w:textDirection w:val="lrTb"/>
            <w:noWrap w:val="false"/>
          </w:tcPr>
          <w:p>
            <w:pPr>
              <w:pStyle w:val="980"/>
              <w:ind w:firstLine="640"/>
            </w:pPr>
            <w:r>
              <w:t xml:space="preserve">≤0.02MPa</w:t>
            </w:r>
            <w:r/>
          </w:p>
        </w:tc>
      </w:tr>
    </w:tbl>
    <w:p>
      <w:pPr>
        <w:pStyle w:val="801"/>
        <w:ind w:firstLine="600"/>
      </w:pPr>
      <w:r>
        <w:rPr>
          <w:rFonts w:hint="eastAsia" w:ascii="宋体" w:hAnsi="宋体" w:eastAsia="宋体" w:cs="宋体"/>
          <w:sz w:val="24"/>
          <w:szCs w:val="24"/>
          <w:lang w:val="en-US" w:eastAsia="zh-CN" w:bidi="ar-SA"/>
        </w:rPr>
        <w:t xml:space="preserve">11.气象五参数</w:t>
      </w:r>
      <w:r/>
    </w:p>
    <w:tbl>
      <w:tblPr>
        <w:tblStyle w:val="98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306"/>
        <w:gridCol w:w="4789"/>
      </w:tblGrid>
      <w:tr>
        <w:trPr>
          <w:trHeight w:val="644"/>
        </w:trPr>
        <w:tc>
          <w:tcPr>
            <w:tcW w:w="393" w:type="pct"/>
            <w:vAlign w:val="center"/>
            <w:textDirection w:val="lrTb"/>
            <w:noWrap w:val="false"/>
          </w:tcPr>
          <w:p>
            <w:pPr>
              <w:jc w:val="center"/>
            </w:pPr>
            <w:r>
              <w:t xml:space="preserve">序号</w:t>
            </w:r>
            <w:r/>
          </w:p>
        </w:tc>
        <w:tc>
          <w:tcPr>
            <w:tcW w:w="1881" w:type="pct"/>
            <w:vAlign w:val="center"/>
            <w:textDirection w:val="lrTb"/>
            <w:noWrap w:val="false"/>
          </w:tcPr>
          <w:p>
            <w:pPr>
              <w:jc w:val="center"/>
            </w:pPr>
            <w:r>
              <w:t xml:space="preserve">项 目</w:t>
            </w:r>
            <w:r/>
          </w:p>
        </w:tc>
        <w:tc>
          <w:tcPr>
            <w:tcW w:w="2725" w:type="pct"/>
            <w:vAlign w:val="center"/>
            <w:textDirection w:val="lrTb"/>
            <w:noWrap w:val="false"/>
          </w:tcPr>
          <w:p>
            <w:pPr>
              <w:jc w:val="center"/>
            </w:pPr>
            <w:r>
              <w:t xml:space="preserve">指标或性能</w:t>
            </w:r>
            <w:r/>
          </w:p>
        </w:tc>
      </w:tr>
      <w:tr>
        <w:trPr>
          <w:trHeight w:val="1048"/>
        </w:trPr>
        <w:tc>
          <w:tcPr>
            <w:tcW w:w="393" w:type="pct"/>
            <w:vAlign w:val="center"/>
            <w:textDirection w:val="lrTb"/>
            <w:noWrap w:val="false"/>
          </w:tcPr>
          <w:p>
            <w:pPr>
              <w:jc w:val="center"/>
            </w:pPr>
            <w:r/>
            <w:r/>
          </w:p>
          <w:p>
            <w:pPr>
              <w:jc w:val="center"/>
            </w:pPr>
            <w:r>
              <w:t xml:space="preserve">1</w:t>
            </w:r>
            <w:r/>
          </w:p>
        </w:tc>
        <w:tc>
          <w:tcPr>
            <w:tcW w:w="1881" w:type="pct"/>
            <w:vAlign w:val="center"/>
            <w:textDirection w:val="lrTb"/>
            <w:noWrap w:val="false"/>
          </w:tcPr>
          <w:p>
            <w:pPr>
              <w:jc w:val="center"/>
            </w:pPr>
            <w:r/>
            <w:r/>
          </w:p>
          <w:p>
            <w:pPr>
              <w:jc w:val="center"/>
            </w:pPr>
            <w:r>
              <w:t xml:space="preserve">温度</w:t>
            </w:r>
            <w:r/>
          </w:p>
        </w:tc>
        <w:tc>
          <w:tcPr>
            <w:tcW w:w="2725" w:type="pct"/>
            <w:vAlign w:val="center"/>
            <w:textDirection w:val="lrTb"/>
            <w:noWrap w:val="false"/>
          </w:tcPr>
          <w:p>
            <w:pPr>
              <w:jc w:val="center"/>
            </w:pPr>
            <w:r>
              <w:t xml:space="preserve">测量范围：</w:t>
            </w:r>
            <w:r>
              <w:rPr>
                <w:rFonts w:hint="eastAsia"/>
              </w:rPr>
              <w:t xml:space="preserve">－</w:t>
            </w:r>
            <w:r>
              <w:t xml:space="preserve">40～</w:t>
            </w:r>
            <w:r>
              <w:rPr>
                <w:rFonts w:hint="eastAsia"/>
              </w:rPr>
              <w:t xml:space="preserve">＋</w:t>
            </w:r>
            <w:r>
              <w:t xml:space="preserve">85℃分辨率：0.1℃</w:t>
            </w:r>
            <w:r/>
          </w:p>
          <w:p>
            <w:pPr>
              <w:jc w:val="center"/>
            </w:pPr>
            <w:r>
              <w:t xml:space="preserve">准确度：±0.1℃</w:t>
            </w:r>
            <w:r/>
          </w:p>
        </w:tc>
      </w:tr>
      <w:tr>
        <w:trPr>
          <w:trHeight w:val="1069"/>
        </w:trPr>
        <w:tc>
          <w:tcPr>
            <w:tcW w:w="393" w:type="pct"/>
            <w:vAlign w:val="center"/>
            <w:textDirection w:val="lrTb"/>
            <w:noWrap w:val="false"/>
          </w:tcPr>
          <w:p>
            <w:pPr>
              <w:jc w:val="center"/>
            </w:pPr>
            <w:r/>
            <w:r/>
          </w:p>
          <w:p>
            <w:pPr>
              <w:jc w:val="center"/>
            </w:pPr>
            <w:r>
              <w:t xml:space="preserve">2</w:t>
            </w:r>
            <w:r/>
          </w:p>
        </w:tc>
        <w:tc>
          <w:tcPr>
            <w:tcW w:w="1881" w:type="pct"/>
            <w:vAlign w:val="center"/>
            <w:textDirection w:val="lrTb"/>
            <w:noWrap w:val="false"/>
          </w:tcPr>
          <w:p>
            <w:pPr>
              <w:jc w:val="center"/>
            </w:pPr>
            <w:r/>
            <w:r/>
          </w:p>
          <w:p>
            <w:pPr>
              <w:jc w:val="center"/>
            </w:pPr>
            <w:r>
              <w:t xml:space="preserve">湿度</w:t>
            </w:r>
            <w:r/>
          </w:p>
        </w:tc>
        <w:tc>
          <w:tcPr>
            <w:tcW w:w="2725" w:type="pct"/>
            <w:vAlign w:val="center"/>
            <w:textDirection w:val="lrTb"/>
            <w:noWrap w:val="false"/>
          </w:tcPr>
          <w:p>
            <w:pPr>
              <w:jc w:val="center"/>
            </w:pPr>
            <w:r>
              <w:t xml:space="preserve">测量范围：0～100</w:t>
            </w:r>
            <w:r>
              <w:rPr>
                <w:rFonts w:hint="eastAsia"/>
              </w:rPr>
              <w:t xml:space="preserve">％</w:t>
            </w:r>
            <w:r>
              <w:t xml:space="preserve">RH分辨率：0.1</w:t>
            </w:r>
            <w:r>
              <w:rPr>
                <w:rFonts w:hint="eastAsia"/>
              </w:rPr>
              <w:t xml:space="preserve">％</w:t>
            </w:r>
            <w:r>
              <w:t xml:space="preserve">RH</w:t>
            </w:r>
            <w:r/>
          </w:p>
          <w:p>
            <w:pPr>
              <w:jc w:val="center"/>
            </w:pPr>
            <w:r>
              <w:t xml:space="preserve">准确度：±2</w:t>
            </w:r>
            <w:r>
              <w:rPr>
                <w:rFonts w:hint="eastAsia"/>
              </w:rPr>
              <w:t xml:space="preserve">％</w:t>
            </w:r>
            <w:r>
              <w:t xml:space="preserve">RH</w:t>
            </w:r>
            <w:r/>
          </w:p>
        </w:tc>
      </w:tr>
      <w:tr>
        <w:trPr>
          <w:trHeight w:val="1078"/>
        </w:trPr>
        <w:tc>
          <w:tcPr>
            <w:tcW w:w="393" w:type="pct"/>
            <w:vAlign w:val="center"/>
            <w:textDirection w:val="lrTb"/>
            <w:noWrap w:val="false"/>
          </w:tcPr>
          <w:p>
            <w:pPr>
              <w:jc w:val="center"/>
            </w:pPr>
            <w:r/>
            <w:r/>
          </w:p>
          <w:p>
            <w:pPr>
              <w:jc w:val="center"/>
            </w:pPr>
            <w:r>
              <w:t xml:space="preserve">3</w:t>
            </w:r>
            <w:r/>
          </w:p>
        </w:tc>
        <w:tc>
          <w:tcPr>
            <w:tcW w:w="1881" w:type="pct"/>
            <w:vAlign w:val="center"/>
            <w:textDirection w:val="lrTb"/>
            <w:noWrap w:val="false"/>
          </w:tcPr>
          <w:p>
            <w:pPr>
              <w:jc w:val="center"/>
            </w:pPr>
            <w:r/>
            <w:r/>
          </w:p>
          <w:p>
            <w:pPr>
              <w:jc w:val="center"/>
            </w:pPr>
            <w:r>
              <w:t xml:space="preserve">气压</w:t>
            </w:r>
            <w:r/>
          </w:p>
        </w:tc>
        <w:tc>
          <w:tcPr>
            <w:tcW w:w="2725" w:type="pct"/>
            <w:vAlign w:val="center"/>
            <w:textDirection w:val="lrTb"/>
            <w:noWrap w:val="false"/>
          </w:tcPr>
          <w:p>
            <w:pPr>
              <w:jc w:val="center"/>
            </w:pPr>
            <w:r>
              <w:t xml:space="preserve">测量范围：300～1200hPa分辨率：0.1hPa</w:t>
            </w:r>
            <w:r/>
          </w:p>
          <w:p>
            <w:pPr>
              <w:jc w:val="center"/>
            </w:pPr>
            <w:r>
              <w:t xml:space="preserve">准确度：±0.3hPa</w:t>
            </w:r>
            <w:r/>
          </w:p>
        </w:tc>
      </w:tr>
      <w:tr>
        <w:trPr>
          <w:trHeight w:val="1078"/>
        </w:trPr>
        <w:tc>
          <w:tcPr>
            <w:tcW w:w="393" w:type="pct"/>
            <w:vAlign w:val="center"/>
            <w:textDirection w:val="lrTb"/>
            <w:noWrap w:val="false"/>
          </w:tcPr>
          <w:p>
            <w:pPr>
              <w:jc w:val="center"/>
            </w:pPr>
            <w:r/>
            <w:r/>
          </w:p>
          <w:p>
            <w:pPr>
              <w:jc w:val="center"/>
            </w:pPr>
            <w:r>
              <w:t xml:space="preserve">4</w:t>
            </w:r>
            <w:r/>
          </w:p>
        </w:tc>
        <w:tc>
          <w:tcPr>
            <w:tcW w:w="1881" w:type="pct"/>
            <w:vAlign w:val="center"/>
            <w:textDirection w:val="lrTb"/>
            <w:noWrap w:val="false"/>
          </w:tcPr>
          <w:p>
            <w:pPr>
              <w:jc w:val="center"/>
            </w:pPr>
            <w:r/>
            <w:r/>
          </w:p>
          <w:p>
            <w:pPr>
              <w:jc w:val="center"/>
            </w:pPr>
            <w:r>
              <w:t xml:space="preserve">风速</w:t>
            </w:r>
            <w:r/>
          </w:p>
        </w:tc>
        <w:tc>
          <w:tcPr>
            <w:tcW w:w="2725" w:type="pct"/>
            <w:vAlign w:val="center"/>
            <w:textDirection w:val="lrTb"/>
            <w:noWrap w:val="false"/>
          </w:tcPr>
          <w:p>
            <w:pPr>
              <w:jc w:val="center"/>
            </w:pPr>
            <w:r>
              <w:t xml:space="preserve">测量范围：0～60m</w:t>
            </w:r>
            <w:r>
              <w:rPr>
                <w:rFonts w:hint="eastAsia"/>
              </w:rPr>
              <w:t xml:space="preserve">／</w:t>
            </w:r>
            <w:r>
              <w:t xml:space="preserve">s分辨率：0.1m</w:t>
            </w:r>
            <w:r>
              <w:rPr>
                <w:rFonts w:hint="eastAsia"/>
              </w:rPr>
              <w:t xml:space="preserve">／</w:t>
            </w:r>
            <w:r>
              <w:t xml:space="preserve">s</w:t>
            </w:r>
            <w:r/>
          </w:p>
          <w:p>
            <w:pPr>
              <w:jc w:val="center"/>
            </w:pPr>
            <w:r>
              <w:t xml:space="preserve">准确度：±0.3m</w:t>
            </w:r>
            <w:r>
              <w:rPr>
                <w:rFonts w:hint="eastAsia"/>
              </w:rPr>
              <w:t xml:space="preserve">／</w:t>
            </w:r>
            <w:r>
              <w:t xml:space="preserve">s</w:t>
            </w:r>
            <w:r/>
          </w:p>
        </w:tc>
      </w:tr>
      <w:tr>
        <w:trPr>
          <w:trHeight w:val="1079"/>
        </w:trPr>
        <w:tc>
          <w:tcPr>
            <w:tcW w:w="393" w:type="pct"/>
            <w:vAlign w:val="center"/>
            <w:textDirection w:val="lrTb"/>
            <w:noWrap w:val="false"/>
          </w:tcPr>
          <w:p>
            <w:pPr>
              <w:jc w:val="center"/>
            </w:pPr>
            <w:r/>
            <w:r/>
          </w:p>
          <w:p>
            <w:pPr>
              <w:jc w:val="center"/>
            </w:pPr>
            <w:r>
              <w:t xml:space="preserve">5</w:t>
            </w:r>
            <w:r/>
          </w:p>
        </w:tc>
        <w:tc>
          <w:tcPr>
            <w:tcW w:w="1881" w:type="pct"/>
            <w:vAlign w:val="center"/>
            <w:textDirection w:val="lrTb"/>
            <w:noWrap w:val="false"/>
          </w:tcPr>
          <w:p>
            <w:pPr>
              <w:jc w:val="center"/>
            </w:pPr>
            <w:r/>
            <w:r/>
          </w:p>
          <w:p>
            <w:pPr>
              <w:jc w:val="center"/>
            </w:pPr>
            <w:r>
              <w:t xml:space="preserve">风向</w:t>
            </w:r>
            <w:r/>
          </w:p>
        </w:tc>
        <w:tc>
          <w:tcPr>
            <w:tcW w:w="2725" w:type="pct"/>
            <w:vAlign w:val="center"/>
            <w:textDirection w:val="lrTb"/>
            <w:noWrap w:val="false"/>
          </w:tcPr>
          <w:p>
            <w:pPr>
              <w:jc w:val="center"/>
            </w:pPr>
            <w:r>
              <w:t xml:space="preserve">测量范围：0～360°分辨率 ： 1 °</w:t>
            </w:r>
            <w:r/>
          </w:p>
          <w:p>
            <w:pPr>
              <w:jc w:val="center"/>
            </w:pPr>
            <w:r>
              <w:t xml:space="preserve">准确度：±3°</w:t>
            </w:r>
            <w:r/>
          </w:p>
        </w:tc>
      </w:tr>
      <w:tr>
        <w:trPr>
          <w:trHeight w:val="1003"/>
        </w:trPr>
        <w:tc>
          <w:tcPr>
            <w:tcW w:w="393" w:type="pct"/>
            <w:vAlign w:val="center"/>
            <w:textDirection w:val="lrTb"/>
            <w:noWrap w:val="false"/>
          </w:tcPr>
          <w:p>
            <w:pPr>
              <w:jc w:val="center"/>
            </w:pPr>
            <w:r/>
            <w:r/>
          </w:p>
          <w:p>
            <w:pPr>
              <w:jc w:val="center"/>
            </w:pPr>
            <w:r>
              <w:t xml:space="preserve">6</w:t>
            </w:r>
            <w:r/>
          </w:p>
        </w:tc>
        <w:tc>
          <w:tcPr>
            <w:tcW w:w="1881" w:type="pct"/>
            <w:vAlign w:val="center"/>
            <w:textDirection w:val="lrTb"/>
            <w:noWrap w:val="false"/>
          </w:tcPr>
          <w:p>
            <w:pPr>
              <w:jc w:val="center"/>
            </w:pPr>
            <w:r/>
            <w:r/>
          </w:p>
          <w:p>
            <w:pPr>
              <w:jc w:val="center"/>
            </w:pPr>
            <w:r>
              <w:t xml:space="preserve">配置要求</w:t>
            </w:r>
            <w:r/>
          </w:p>
        </w:tc>
        <w:tc>
          <w:tcPr>
            <w:tcW w:w="2725" w:type="pct"/>
            <w:vAlign w:val="center"/>
            <w:textDirection w:val="lrTb"/>
            <w:noWrap w:val="false"/>
          </w:tcPr>
          <w:p>
            <w:pPr>
              <w:jc w:val="center"/>
            </w:pPr>
            <w:r>
              <w:t xml:space="preserve">具备模拟、数字信号，能够支持接入子站相关数据采集系统及数据传输平台</w:t>
            </w:r>
            <w:r/>
          </w:p>
        </w:tc>
      </w:tr>
    </w:tbl>
    <w:p>
      <w:pPr>
        <w:pStyle w:val="801"/>
        <w:ind w:firstLine="600"/>
      </w:pPr>
      <w:r/>
      <w:r/>
    </w:p>
    <w:p>
      <w:pPr>
        <w:pStyle w:val="801"/>
        <w:ind w:firstLine="600"/>
        <w:rPr>
          <w:rFonts w:hint="eastAsia"/>
        </w:rPr>
      </w:pPr>
      <w:r>
        <w:rPr>
          <w:rFonts w:hint="eastAsia"/>
        </w:rPr>
      </w:r>
      <w:r/>
    </w:p>
    <w:p>
      <w:pPr>
        <w:pStyle w:val="801"/>
        <w:ind w:firstLine="600"/>
      </w:pPr>
      <w:r>
        <w:rPr>
          <w:rFonts w:hint="eastAsia" w:ascii="宋体" w:hAnsi="宋体" w:eastAsia="宋体" w:cs="宋体"/>
          <w:sz w:val="24"/>
          <w:szCs w:val="24"/>
          <w:lang w:val="en-US" w:eastAsia="zh-CN" w:bidi="ar-SA"/>
        </w:rPr>
        <w:t xml:space="preserve">12.系统控制及数据采集</w:t>
      </w:r>
      <w:r/>
    </w:p>
    <w:p>
      <w:pPr>
        <w:pStyle w:val="801"/>
        <w:ind w:firstLine="600"/>
      </w:pPr>
      <w:r/>
      <w:r/>
    </w:p>
    <w:tbl>
      <w:tblPr>
        <w:tblStyle w:val="98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1"/>
        <w:gridCol w:w="2215"/>
        <w:gridCol w:w="5881"/>
      </w:tblGrid>
      <w:tr>
        <w:trPr>
          <w:trHeight w:val="664"/>
        </w:trPr>
        <w:tc>
          <w:tcPr>
            <w:tcW w:w="393" w:type="pct"/>
            <w:vAlign w:val="center"/>
            <w:textDirection w:val="lrTb"/>
            <w:noWrap w:val="false"/>
          </w:tcPr>
          <w:p>
            <w:pPr>
              <w:jc w:val="center"/>
            </w:pPr>
            <w:r>
              <w:t xml:space="preserve">序号</w:t>
            </w:r>
            <w:r/>
          </w:p>
        </w:tc>
        <w:tc>
          <w:tcPr>
            <w:tcW w:w="1260" w:type="pct"/>
            <w:vAlign w:val="center"/>
            <w:textDirection w:val="lrTb"/>
            <w:noWrap w:val="false"/>
          </w:tcPr>
          <w:p>
            <w:pPr>
              <w:jc w:val="center"/>
            </w:pPr>
            <w:r>
              <w:t xml:space="preserve">项 目</w:t>
            </w:r>
            <w:r/>
          </w:p>
        </w:tc>
        <w:tc>
          <w:tcPr>
            <w:tcW w:w="3345" w:type="pct"/>
            <w:vAlign w:val="center"/>
            <w:textDirection w:val="lrTb"/>
            <w:noWrap w:val="false"/>
          </w:tcPr>
          <w:p>
            <w:pPr>
              <w:jc w:val="center"/>
            </w:pPr>
            <w:r>
              <w:t xml:space="preserve">指标或性能</w:t>
            </w:r>
            <w:r/>
          </w:p>
        </w:tc>
      </w:tr>
      <w:tr>
        <w:trPr>
          <w:trHeight w:val="2138"/>
        </w:trPr>
        <w:tc>
          <w:tcPr>
            <w:tcW w:w="393" w:type="pct"/>
            <w:vAlign w:val="center"/>
            <w:textDirection w:val="lrTb"/>
            <w:noWrap w:val="false"/>
          </w:tcPr>
          <w:p>
            <w:pPr>
              <w:jc w:val="center"/>
            </w:pPr>
            <w:r/>
            <w:r/>
          </w:p>
          <w:p>
            <w:pPr>
              <w:jc w:val="center"/>
            </w:pPr>
            <w:r/>
            <w:r/>
          </w:p>
          <w:p>
            <w:pPr>
              <w:jc w:val="center"/>
            </w:pPr>
            <w:r/>
            <w:r/>
          </w:p>
          <w:p>
            <w:pPr>
              <w:jc w:val="center"/>
            </w:pPr>
            <w:r>
              <w:t xml:space="preserve">1</w:t>
            </w:r>
            <w:r/>
          </w:p>
        </w:tc>
        <w:tc>
          <w:tcPr>
            <w:tcW w:w="1260" w:type="pct"/>
            <w:vAlign w:val="center"/>
            <w:textDirection w:val="lrTb"/>
            <w:noWrap w:val="false"/>
          </w:tcPr>
          <w:p>
            <w:pPr>
              <w:jc w:val="center"/>
            </w:pPr>
            <w:r/>
            <w:r/>
          </w:p>
          <w:p>
            <w:pPr>
              <w:jc w:val="center"/>
            </w:pPr>
            <w:r/>
            <w:r/>
          </w:p>
          <w:p>
            <w:pPr>
              <w:jc w:val="center"/>
            </w:pPr>
            <w:r/>
            <w:r/>
          </w:p>
          <w:p>
            <w:pPr>
              <w:jc w:val="center"/>
            </w:pPr>
            <w:r>
              <w:t xml:space="preserve">工控机</w:t>
            </w:r>
            <w:r/>
          </w:p>
        </w:tc>
        <w:tc>
          <w:tcPr>
            <w:tcW w:w="3345" w:type="pct"/>
            <w:vAlign w:val="center"/>
            <w:textDirection w:val="lrTb"/>
            <w:noWrap w:val="false"/>
          </w:tcPr>
          <w:p>
            <w:pPr>
              <w:jc w:val="center"/>
            </w:pPr>
            <w:r>
              <w:t xml:space="preserve">1、CPU主频不小于2.4GHz</w:t>
            </w:r>
            <w:r>
              <w:rPr>
                <w:rFonts w:hint="eastAsia"/>
              </w:rPr>
              <w:t xml:space="preserve">；</w:t>
            </w:r>
            <w:r/>
          </w:p>
          <w:p>
            <w:pPr>
              <w:jc w:val="center"/>
            </w:pPr>
            <w:r>
              <w:t xml:space="preserve">2、内存大小不小于16G</w:t>
            </w:r>
            <w:r>
              <w:rPr>
                <w:rFonts w:hint="eastAsia"/>
              </w:rPr>
              <w:t xml:space="preserve">；</w:t>
            </w:r>
            <w:r/>
          </w:p>
          <w:p>
            <w:pPr>
              <w:jc w:val="center"/>
            </w:pPr>
            <w:r>
              <w:t xml:space="preserve">3、硬盘容量不小于1T</w:t>
            </w:r>
            <w:r>
              <w:rPr>
                <w:rFonts w:hint="eastAsia"/>
              </w:rPr>
              <w:t xml:space="preserve">；</w:t>
            </w:r>
            <w:r/>
          </w:p>
          <w:p>
            <w:pPr>
              <w:jc w:val="center"/>
            </w:pPr>
            <w:r>
              <w:t xml:space="preserve">4、串口情况：类型为RS232、数量不小于8个；</w:t>
            </w:r>
            <w:r/>
          </w:p>
          <w:p>
            <w:pPr>
              <w:jc w:val="center"/>
            </w:pPr>
            <w:r>
              <w:t xml:space="preserve">5、配备键盘、鼠标、显示器；</w:t>
            </w:r>
            <w:r/>
          </w:p>
          <w:p>
            <w:pPr>
              <w:jc w:val="center"/>
            </w:pPr>
            <w:r>
              <w:t xml:space="preserve">6、预装操作系统。</w:t>
            </w:r>
            <w:r/>
          </w:p>
        </w:tc>
      </w:tr>
      <w:tr>
        <w:trPr>
          <w:trHeight w:val="1988"/>
        </w:trPr>
        <w:tc>
          <w:tcPr>
            <w:tcW w:w="393" w:type="pct"/>
            <w:vAlign w:val="center"/>
            <w:textDirection w:val="lrTb"/>
            <w:noWrap w:val="false"/>
          </w:tcPr>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t xml:space="preserve">2</w:t>
            </w:r>
            <w:r/>
          </w:p>
        </w:tc>
        <w:tc>
          <w:tcPr>
            <w:tcW w:w="1260" w:type="pct"/>
            <w:vAlign w:val="center"/>
            <w:textDirection w:val="lrTb"/>
            <w:noWrap w:val="false"/>
          </w:tcPr>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t xml:space="preserve">数据采集软件</w:t>
            </w:r>
            <w:r/>
          </w:p>
        </w:tc>
        <w:tc>
          <w:tcPr>
            <w:tcW w:w="3345" w:type="pct"/>
            <w:vAlign w:val="center"/>
            <w:textDirection w:val="lrTb"/>
            <w:noWrap w:val="false"/>
          </w:tcPr>
          <w:p>
            <w:pPr>
              <w:jc w:val="center"/>
            </w:pPr>
            <w:r>
              <w:t xml:space="preserve">7、兼容性：支持不同品牌的大气监测设备</w:t>
            </w:r>
            <w:r/>
          </w:p>
          <w:p>
            <w:pPr>
              <w:jc w:val="center"/>
            </w:pPr>
            <w:r>
              <w:t xml:space="preserve">8、执行规范：系统统计与报表符合《环境空气质量标准》</w:t>
            </w:r>
            <w:r>
              <w:rPr>
                <w:rFonts w:hint="eastAsia"/>
              </w:rPr>
              <w:t xml:space="preserve">（</w:t>
            </w:r>
            <w:r>
              <w:t xml:space="preserve">GB3095</w:t>
            </w:r>
            <w:r>
              <w:rPr>
                <w:rFonts w:hint="eastAsia"/>
              </w:rPr>
              <w:t xml:space="preserve">－</w:t>
            </w:r>
            <w:r>
              <w:t xml:space="preserve">2026</w:t>
            </w:r>
            <w:r>
              <w:rPr>
                <w:rFonts w:hint="eastAsia"/>
              </w:rPr>
              <w:t xml:space="preserve">）</w:t>
            </w:r>
            <w:r>
              <w:t xml:space="preserve">、《环境空气质量指数</w:t>
            </w:r>
            <w:r>
              <w:rPr>
                <w:rFonts w:hint="eastAsia"/>
              </w:rPr>
              <w:t xml:space="preserve">（</w:t>
            </w:r>
            <w:r>
              <w:t xml:space="preserve">AQI</w:t>
            </w:r>
            <w:r>
              <w:rPr>
                <w:rFonts w:hint="eastAsia"/>
              </w:rPr>
              <w:t xml:space="preserve">）</w:t>
            </w:r>
            <w:r>
              <w:t xml:space="preserve">技术规定》</w:t>
            </w:r>
            <w:r>
              <w:rPr>
                <w:rFonts w:hint="eastAsia"/>
              </w:rPr>
              <w:t xml:space="preserve">（</w:t>
            </w:r>
            <w:r>
              <w:t xml:space="preserve">HJ633</w:t>
            </w:r>
            <w:r>
              <w:rPr>
                <w:rFonts w:hint="eastAsia"/>
              </w:rPr>
              <w:t xml:space="preserve">－</w:t>
            </w:r>
            <w:r>
              <w:t xml:space="preserve">2026</w:t>
            </w:r>
            <w:r>
              <w:rPr>
                <w:rFonts w:hint="eastAsia"/>
              </w:rPr>
              <w:t xml:space="preserve">）</w:t>
            </w:r>
            <w:r>
              <w:t xml:space="preserve">、《环境空气质量评价技术规》</w:t>
            </w:r>
            <w:r>
              <w:rPr>
                <w:rFonts w:hint="eastAsia"/>
              </w:rPr>
              <w:t xml:space="preserve">（</w:t>
            </w:r>
            <w:r>
              <w:t xml:space="preserve">HJ663</w:t>
            </w:r>
            <w:r>
              <w:rPr>
                <w:rFonts w:hint="eastAsia"/>
              </w:rPr>
              <w:t xml:space="preserve">－</w:t>
            </w:r>
            <w:r>
              <w:t xml:space="preserve">2026</w:t>
            </w:r>
            <w:r>
              <w:rPr>
                <w:rFonts w:hint="eastAsia"/>
              </w:rPr>
              <w:t xml:space="preserve">）</w:t>
            </w:r>
            <w:r>
              <w:t xml:space="preserve">。</w:t>
            </w:r>
            <w:r/>
          </w:p>
          <w:p>
            <w:pPr>
              <w:jc w:val="center"/>
            </w:pPr>
            <w:r>
              <w:t xml:space="preserve">9、数据采集器通过多个RS232</w:t>
            </w:r>
            <w:r>
              <w:rPr>
                <w:rFonts w:hint="eastAsia"/>
              </w:rPr>
              <w:t xml:space="preserve">／</w:t>
            </w:r>
            <w:r>
              <w:t xml:space="preserve">485能与子站所有监测仪器，获取实时监测数据及每台仪器的各项状态参数；</w:t>
            </w:r>
            <w:r/>
          </w:p>
          <w:p>
            <w:pPr>
              <w:jc w:val="center"/>
            </w:pPr>
            <w:r>
              <w:t xml:space="preserve">10、数据采集传输能够对接国家、省、市空气在线监测管理平台，并支持国家、省级、市平台数据联网；</w:t>
            </w:r>
            <w:r/>
          </w:p>
          <w:p>
            <w:pPr>
              <w:jc w:val="center"/>
            </w:pPr>
            <w:r>
              <w:t xml:space="preserve">11、可设定每个参数的报警阀值；</w:t>
            </w:r>
            <w:r/>
          </w:p>
          <w:p>
            <w:pPr>
              <w:jc w:val="center"/>
            </w:pPr>
            <w:r>
              <w:t xml:space="preserve">12、现场可动态显示系统的实时状态，实时数据，历史报表；</w:t>
            </w:r>
            <w:r/>
          </w:p>
          <w:p>
            <w:pPr>
              <w:jc w:val="center"/>
            </w:pPr>
            <w:r>
              <w:t xml:space="preserve">13、工控机及数采软件应可储存五年以上的小时平均值及分钟值；</w:t>
            </w:r>
            <w:r/>
          </w:p>
          <w:p>
            <w:pPr>
              <w:jc w:val="center"/>
            </w:pPr>
            <w:r>
              <w:t xml:space="preserve">14、测量数据及实时状态的查询功能；</w:t>
            </w:r>
            <w:r/>
          </w:p>
          <w:p>
            <w:pPr>
              <w:jc w:val="center"/>
            </w:pPr>
            <w:r>
              <w:t xml:space="preserve">15、数据导出功能，能够将一定时间段的历史数据通过格式转换，转换为通用格式，并能利用USB接口方式进行导出。</w:t>
            </w:r>
            <w:r/>
          </w:p>
        </w:tc>
      </w:tr>
    </w:tbl>
    <w:p>
      <w:pPr>
        <w:pStyle w:val="801"/>
        <w:ind w:firstLine="600"/>
      </w:pPr>
      <w:r>
        <w:rPr>
          <w:rFonts w:hint="eastAsia"/>
        </w:rPr>
        <w:t xml:space="preserve">13.采样装置</w:t>
      </w:r>
      <w:r/>
    </w:p>
    <w:p>
      <w:pPr>
        <w:pStyle w:val="801"/>
        <w:ind w:firstLine="600"/>
      </w:pPr>
      <w:r>
        <w:rPr>
          <w:rFonts w:hint="eastAsia"/>
        </w:rPr>
        <w:t xml:space="preserve">（1）采样头应能防止雨水、粗大颗粒物及昆虫等进入总管；</w:t>
      </w:r>
      <w:r/>
    </w:p>
    <w:p>
      <w:pPr>
        <w:pStyle w:val="801"/>
        <w:ind w:firstLine="600"/>
      </w:pPr>
      <w:r>
        <w:rPr>
          <w:rFonts w:hint="eastAsia"/>
        </w:rPr>
        <w:t xml:space="preserve">（2）采样总管为多支路防水采样管路，材料应选用不与被监测污染物发生化学反应和不释放有干扰物质的材料，具备加热保温功能；</w:t>
      </w:r>
      <w:r/>
    </w:p>
    <w:p>
      <w:pPr>
        <w:pStyle w:val="801"/>
        <w:ind w:firstLine="600"/>
      </w:pPr>
      <w:r>
        <w:rPr>
          <w:rFonts w:hint="eastAsia"/>
        </w:rPr>
        <w:t xml:space="preserve">（3）总管内径选择在1.5－15cm之间，采样总管内的气流应保持层流状态，气体在总管内的滞留时间小于20秒；</w:t>
      </w:r>
      <w:r/>
    </w:p>
    <w:p>
      <w:pPr>
        <w:pStyle w:val="801"/>
        <w:ind w:firstLine="600"/>
      </w:pPr>
      <w:r>
        <w:rPr>
          <w:rFonts w:hint="eastAsia"/>
        </w:rPr>
        <w:t xml:space="preserve">（4）支管数量满足所有气态项目的需要；</w:t>
      </w:r>
      <w:r/>
    </w:p>
    <w:p>
      <w:pPr>
        <w:pStyle w:val="801"/>
        <w:ind w:firstLine="600"/>
      </w:pPr>
      <w:r>
        <w:rPr>
          <w:rFonts w:hint="eastAsia"/>
        </w:rPr>
        <w:t xml:space="preserve">（5）采样管长度应能够保证高于站房房顶1.2米（保证采样不受周边障碍物影响）；</w:t>
      </w:r>
      <w:r/>
    </w:p>
    <w:p>
      <w:pPr>
        <w:pStyle w:val="801"/>
        <w:ind w:firstLine="600"/>
      </w:pPr>
      <w:r>
        <w:rPr>
          <w:rFonts w:hint="eastAsia"/>
        </w:rPr>
        <w:t xml:space="preserve">（6）采样系统密封，与房体联接具有法兰或其他型式多级防渗水连接；与房体外联接的法兰需为耐腐蚀和坚固不锈钢；</w:t>
      </w:r>
      <w:r/>
    </w:p>
    <w:p>
      <w:pPr>
        <w:pStyle w:val="801"/>
        <w:ind w:firstLine="600"/>
      </w:pPr>
      <w:r>
        <w:rPr>
          <w:rFonts w:hint="eastAsia"/>
        </w:rPr>
        <w:t xml:space="preserve">（7）采样系统主管路为可拆卸式，在不影响房顶外部法兰连接和仪器端连接情况下方便拆洗维护。</w:t>
      </w:r>
      <w:r/>
    </w:p>
    <w:p>
      <w:pPr>
        <w:pStyle w:val="801"/>
        <w:ind w:firstLine="600"/>
      </w:pPr>
      <w:r>
        <w:rPr>
          <w:rFonts w:hint="eastAsia"/>
        </w:rPr>
        <w:t xml:space="preserve">14.标准化站房</w:t>
      </w:r>
      <w:r/>
    </w:p>
    <w:p>
      <w:pPr>
        <w:pStyle w:val="801"/>
        <w:ind w:firstLine="600"/>
      </w:pPr>
      <w:r>
        <w:rPr>
          <w:rFonts w:hint="eastAsia"/>
        </w:rPr>
        <w:t xml:space="preserve">监测站房及辅助设施建设须符合《环境空气颗粒物（PM10和PM2.5）连续自 动监测系统安装和验收技术规范》（HJ655－2013）和《环境空气气态污染物（SO₂、NO₂、O₃、CO）连续自动监测系统安装和验收技术规范》（HJ193－2013）中“监测站房及辅助设施”相关规定。</w:t>
      </w:r>
      <w:r/>
    </w:p>
    <w:p>
      <w:pPr>
        <w:pStyle w:val="801"/>
        <w:ind w:firstLine="600"/>
      </w:pPr>
      <w:r>
        <w:rPr>
          <w:rFonts w:hint="eastAsia"/>
        </w:rPr>
        <w:t xml:space="preserve">（1）监测站房采用一体化标准，设计及选材应满足8年以上使用要求，监测站房内使用面积不低于24m²，站房门选用标准防盗门安装，屋内地面为木地板，房顶坡度不大于10°，应有防水、防潮、隔热、隔音和保温措施，并根据监测仪器环境要求的不同设置缓冲间和隔断。一般站房内地面应高于站房地面（或房顶）25cm以上，应配备通往站房屋顶的Z字型梯或旋梯，站房屋顶承重要求大于等于250kg／m²，房顶安装护栏，护栏高度不低于1.2m，并预留采样管安装孔。（本项目站房均在平地上建设，需根据现场情况抬高站房基础1－5米）</w:t>
      </w:r>
      <w:r/>
    </w:p>
    <w:p>
      <w:pPr>
        <w:pStyle w:val="801"/>
        <w:ind w:firstLine="600"/>
      </w:pPr>
      <w:r>
        <w:rPr>
          <w:rFonts w:hint="eastAsia"/>
        </w:rPr>
        <w:t xml:space="preserve">（2）站房应在入口位置设置醒目标识牌，站房及采样区域明显位置应设置警示牌。</w:t>
      </w:r>
      <w:r/>
    </w:p>
    <w:p>
      <w:pPr>
        <w:pStyle w:val="801"/>
        <w:ind w:firstLine="600"/>
      </w:pPr>
      <w:r>
        <w:rPr>
          <w:rFonts w:hint="eastAsia"/>
        </w:rPr>
        <w:t xml:space="preserve">（3）站房周边应安装防止人员进入的栅栏，应安装在距离站房3－5m（或距离采样口5－8m）处，高度不低于1.8m。</w:t>
      </w:r>
      <w:r/>
    </w:p>
    <w:p>
      <w:pPr>
        <w:pStyle w:val="801"/>
        <w:ind w:firstLine="600"/>
      </w:pPr>
      <w:r>
        <w:rPr>
          <w:rFonts w:hint="eastAsia"/>
        </w:rPr>
        <w:t xml:space="preserve">（4）站房应配备上行带宽10M以上的网络。</w:t>
      </w:r>
      <w:r/>
    </w:p>
    <w:p>
      <w:pPr>
        <w:pStyle w:val="801"/>
        <w:ind w:firstLine="600"/>
      </w:pPr>
      <w:r>
        <w:rPr>
          <w:rFonts w:hint="eastAsia"/>
        </w:rPr>
        <w:t xml:space="preserve">（5）站房须有防雷设施，包括站房防雷、设备防雷、电源防雷，防雷接地 装置的选材和安装参照《通信局（站）防雷与接地工程设计规范》（YD5098）相 关要求，并取得防雷报告。</w:t>
      </w:r>
      <w:r/>
    </w:p>
    <w:p>
      <w:pPr>
        <w:pStyle w:val="801"/>
        <w:ind w:firstLine="600"/>
      </w:pPr>
      <w:r>
        <w:rPr>
          <w:rFonts w:hint="eastAsia"/>
        </w:rPr>
        <w:t xml:space="preserve">（6）站房应配备排风设施、具有来电自启动功能的温控装置（出风口不能 正对仪器和采样管）以及气压计、温湿度计等。</w:t>
      </w:r>
      <w:r/>
    </w:p>
    <w:p>
      <w:pPr>
        <w:pStyle w:val="801"/>
        <w:ind w:firstLine="600"/>
      </w:pPr>
      <w:r>
        <w:rPr>
          <w:rFonts w:hint="eastAsia"/>
        </w:rPr>
        <w:t xml:space="preserve">（7）电源：站房应采用三相五线供电，单相电源电压波动不超过AC（220 ±22）V，频率波动不超过（50±1）Hz。站房供电总电缆进站后应设置总配电箱，应配有稳压电源并安装电源过压、过载保护装置。配电系统接地形式为TN－C－S， 电源进线应重复接地，并进行总等位连接。</w:t>
      </w:r>
      <w:r/>
    </w:p>
    <w:p>
      <w:pPr>
        <w:pStyle w:val="801"/>
        <w:ind w:firstLine="600"/>
      </w:pPr>
      <w:r>
        <w:rPr>
          <w:rFonts w:hint="eastAsia"/>
        </w:rPr>
        <w:t xml:space="preserve">（8）配电箱：进站后应设置立式总配电箱，电箱内设置电表、总空开及单 路空开装置。室内设置壁挂型式分配电箱，配电箱内连接入室引线应分别装有三 个单相15A空气开关作为三相电源的总开关，分相使用。</w:t>
      </w:r>
      <w:r/>
    </w:p>
    <w:p>
      <w:pPr>
        <w:pStyle w:val="801"/>
        <w:ind w:firstLine="600"/>
      </w:pPr>
      <w:r>
        <w:rPr>
          <w:rFonts w:hint="eastAsia"/>
        </w:rPr>
        <w:t xml:space="preserve">（9）照明：站房照明系统包括日光灯组、布线、开关、插座；灯具应配套齐全、安装牢固可靠、固定灯具带电部件的绝缘材料以及提供防触电保护的绝缘材料，应耐燃烧和防明火。室内采用照明灯，安装形式为吸顶式，照明采用单独 开关控制，并安装有应急照明灯。</w:t>
      </w:r>
      <w:r/>
    </w:p>
    <w:p>
      <w:pPr>
        <w:pStyle w:val="801"/>
        <w:ind w:firstLine="600"/>
      </w:pPr>
      <w:r>
        <w:rPr>
          <w:rFonts w:hint="eastAsia"/>
        </w:rPr>
        <w:t xml:space="preserve">（10）插座：采用通用单相三孔加二孔安全型插座，温控装置插座采用安全 型插座。</w:t>
      </w:r>
      <w:r/>
    </w:p>
    <w:p>
      <w:pPr>
        <w:pStyle w:val="801"/>
        <w:ind w:firstLine="600"/>
      </w:pPr>
      <w:r>
        <w:rPr>
          <w:rFonts w:hint="eastAsia"/>
        </w:rPr>
        <w:t xml:space="preserve">（11）线路：站房的线路以明敷穿管走线，要求走线美观，布线应加装线槽。分仪器、温控装置、照明等供电线路单独铺设，并在配电箱内断路开关上分别注明。</w:t>
      </w:r>
      <w:r/>
    </w:p>
    <w:p>
      <w:pPr>
        <w:pStyle w:val="801"/>
        <w:ind w:firstLine="600"/>
      </w:pPr>
      <w:r>
        <w:rPr>
          <w:rFonts w:hint="eastAsia"/>
        </w:rPr>
        <w:t xml:space="preserve">（12）监测站房内配自动灭火系统：至少配备2个悬挂式自动灭火器，灭火器的灭火剂为含氟环保型，加装烟雾报警器。</w:t>
      </w:r>
      <w:r/>
    </w:p>
    <w:p>
      <w:pPr>
        <w:pStyle w:val="801"/>
        <w:ind w:firstLine="600"/>
      </w:pPr>
      <w:r>
        <w:rPr>
          <w:rFonts w:hint="eastAsia"/>
        </w:rPr>
        <w:t xml:space="preserve">（13）站房内应至少配备工作台及座椅1套，文件柜1个。</w:t>
      </w:r>
      <w:r/>
    </w:p>
    <w:p>
      <w:pPr>
        <w:pStyle w:val="801"/>
        <w:ind w:firstLine="600"/>
      </w:pPr>
      <w:r>
        <w:rPr>
          <w:rFonts w:hint="eastAsia"/>
        </w:rPr>
        <w:t xml:space="preserve">（14）</w:t>
      </w:r>
      <w:bookmarkStart w:id="116" w:name="OLE_LINK5"/>
      <w:r>
        <w:rPr>
          <w:rFonts w:hint="eastAsia"/>
        </w:rPr>
        <w:t xml:space="preserve">站房内具有恒温恒湿系统，保证站房恒温恒湿，具备断电保护系统功能。</w:t>
      </w:r>
      <w:bookmarkEnd w:id="116"/>
      <w:r>
        <w:rPr>
          <w:rFonts w:hint="eastAsia"/>
        </w:rPr>
        <w:t xml:space="preserve">配备温湿度计。</w:t>
      </w:r>
      <w:r/>
    </w:p>
    <w:p>
      <w:pPr>
        <w:pStyle w:val="801"/>
        <w:ind w:firstLine="600"/>
      </w:pPr>
      <w:r>
        <w:rPr>
          <w:rFonts w:hint="eastAsia"/>
        </w:rPr>
        <w:t xml:space="preserve">（15）文化建设：站房外标识牌，挂于站房外，内容包括站点名称、位置和安全警告说明；站内部宣传牌，设备操作规范、管理规范、监测系统简介等。</w:t>
      </w:r>
      <w:r/>
    </w:p>
    <w:p>
      <w:pPr>
        <w:pStyle w:val="801"/>
        <w:ind w:firstLine="600"/>
      </w:pPr>
      <w:r/>
      <w:r/>
    </w:p>
    <w:p>
      <w:pPr>
        <w:pStyle w:val="801"/>
        <w:ind w:firstLine="600"/>
      </w:pPr>
      <w:r>
        <w:rPr>
          <w:rFonts w:hint="eastAsia"/>
        </w:rPr>
        <w:t xml:space="preserve">15.视频监控系统</w:t>
      </w:r>
      <w:r/>
    </w:p>
    <w:p>
      <w:pPr>
        <w:pStyle w:val="801"/>
        <w:ind w:firstLine="600"/>
      </w:pPr>
      <w:r>
        <w:rPr>
          <w:rFonts w:hint="eastAsia"/>
        </w:rPr>
        <w:t xml:space="preserve">站房内外部要安装必要的监控设施，内部至少安装可以覆盖监测仪器的摄像机2台，站房入口处安装具备人脸识别功能的摄像机1台，采样区域应安 装2台对射、可覆盖整个采样区域的摄像机，视频监控具有存储和回放功能，至少能够存储2个月视频资料。</w:t>
      </w:r>
      <w:r/>
    </w:p>
    <w:p>
      <w:pPr>
        <w:pStyle w:val="801"/>
        <w:ind w:firstLine="600"/>
      </w:pPr>
      <w:r>
        <w:rPr>
          <w:rFonts w:hint="eastAsia"/>
        </w:rPr>
        <w:t xml:space="preserve">具有实时远程监控功能，可实现全方位、多视角、全天候式监控。 </w:t>
      </w:r>
      <w:r/>
    </w:p>
    <w:p>
      <w:pPr>
        <w:pStyle w:val="801"/>
        <w:ind w:firstLine="600"/>
      </w:pPr>
      <w:r>
        <w:rPr>
          <w:rFonts w:hint="eastAsia"/>
        </w:rPr>
        <w:t xml:space="preserve">当出现非法闯入时，报警系统能唤醒摄像机进行视频录制并获取监控区域内清晰的监控图像。 </w:t>
      </w:r>
      <w:r/>
    </w:p>
    <w:p>
      <w:pPr>
        <w:pStyle w:val="801"/>
        <w:ind w:firstLine="600"/>
      </w:pPr>
      <w:r>
        <w:rPr>
          <w:rFonts w:hint="eastAsia"/>
        </w:rPr>
        <w:t xml:space="preserve">视频监控设备要求：最低分辨率为 1920×1080，可输出实时图像；高效红外灯，照射距离不少于 20 米；具有手机远程监控功能；具有移动侦测、动态分析、越界侦测和区域入侵侦测报警功能。 </w:t>
      </w:r>
      <w:r/>
    </w:p>
    <w:p>
      <w:pPr>
        <w:pStyle w:val="801"/>
        <w:ind w:firstLine="600"/>
      </w:pPr>
      <w:r/>
      <w:r/>
    </w:p>
    <w:p>
      <w:pPr>
        <w:pStyle w:val="801"/>
        <w:ind w:firstLine="600"/>
      </w:pPr>
      <w:r>
        <w:rPr>
          <w:rFonts w:hint="eastAsia"/>
        </w:rPr>
        <w:t xml:space="preserve">16   机柜</w:t>
      </w:r>
      <w:r/>
    </w:p>
    <w:p>
      <w:pPr>
        <w:pStyle w:val="801"/>
        <w:ind w:firstLine="600"/>
      </w:pPr>
      <w:r>
        <w:rPr>
          <w:rFonts w:hint="eastAsia"/>
        </w:rPr>
        <w:t xml:space="preserve">采用立式机柜，无声导轨；散热性能良好，能够匹配SO2、NOx、CO、O3、PM2.5、PM10、挥发性有机物（57种PAMS物质）气体分析仪、零气发生器、及工控机等，必要时也需要包括相应的其他配套设备；机柜有接地孔线，所有的连接管线、接头等应采用防腐材质，不与被测污染物发生化学反应；配置电源插口：具有良好的扩展性。</w:t>
      </w:r>
      <w:r/>
    </w:p>
    <w:p>
      <w:pPr>
        <w:pStyle w:val="801"/>
        <w:ind w:firstLine="600"/>
      </w:pPr>
      <w:r/>
      <w:r/>
    </w:p>
    <w:p>
      <w:pPr>
        <w:pStyle w:val="801"/>
        <w:ind w:firstLine="600"/>
      </w:pPr>
      <w:r>
        <w:rPr>
          <w:rFonts w:hint="eastAsia"/>
        </w:rPr>
        <w:t xml:space="preserve">17   其他配套设施设备等 </w:t>
      </w:r>
      <w:r/>
    </w:p>
    <w:p>
      <w:pPr>
        <w:pStyle w:val="801"/>
        <w:ind w:firstLine="600"/>
      </w:pPr>
      <w:r>
        <w:rPr>
          <w:rFonts w:hint="eastAsia"/>
        </w:rPr>
        <w:t xml:space="preserve"> 各类标气、水、电、网络、防雷装置（出具防雷报告）、排风系统、消防、办公桌椅、档案柜等其他配套设施设备</w:t>
      </w:r>
      <w:r/>
    </w:p>
    <w:p>
      <w:pPr>
        <w:pStyle w:val="801"/>
        <w:ind w:firstLine="600"/>
      </w:pPr>
      <w:r>
        <w:rPr>
          <w:rFonts w:hint="eastAsia"/>
        </w:rPr>
        <w:t xml:space="preserve">（1）标准气体：配备国家二级以上标准物质（包含SO2、NO、CO、</w:t>
      </w:r>
      <w:bookmarkStart w:id="117" w:name="OLE_LINK63"/>
      <w:r/>
      <w:bookmarkStart w:id="118" w:name="OLE_LINK62"/>
      <w:r>
        <w:rPr>
          <w:rFonts w:hint="eastAsia"/>
        </w:rPr>
        <w:t xml:space="preserve">挥发性有机物（57种PAMS物质）气体</w:t>
      </w:r>
      <w:bookmarkEnd w:id="117"/>
      <w:r/>
      <w:bookmarkEnd w:id="118"/>
      <w:r>
        <w:rPr>
          <w:rFonts w:hint="eastAsia"/>
        </w:rPr>
        <w:t xml:space="preserve">、减压阀）。</w:t>
      </w:r>
      <w:r/>
    </w:p>
    <w:p>
      <w:pPr>
        <w:pStyle w:val="801"/>
        <w:ind w:firstLine="600"/>
      </w:pPr>
      <w:r>
        <w:rPr>
          <w:rFonts w:hint="eastAsia"/>
        </w:rPr>
        <w:t xml:space="preserve">（2）电、网的接入：包含电、网的开户手续办理、接入等。</w:t>
      </w:r>
      <w:r/>
    </w:p>
    <w:p>
      <w:pPr>
        <w:pStyle w:val="801"/>
        <w:ind w:firstLine="600"/>
      </w:pPr>
      <w:r>
        <w:rPr>
          <w:rFonts w:hint="eastAsia"/>
        </w:rPr>
        <w:t xml:space="preserve">备注：建设期间以及运行维护期间产生的一切电费、网络费用均由中标单位支付。</w:t>
      </w:r>
      <w:r/>
    </w:p>
    <w:p>
      <w:pPr>
        <w:pStyle w:val="801"/>
        <w:ind w:firstLine="600"/>
      </w:pPr>
      <w:r/>
      <w:r/>
    </w:p>
    <w:p>
      <w:pPr>
        <w:pStyle w:val="801"/>
        <w:ind w:firstLine="600"/>
      </w:pPr>
      <w:r>
        <w:rPr>
          <w:rFonts w:hint="eastAsia"/>
        </w:rPr>
        <w:t xml:space="preserve">（四）运维技术要求</w:t>
      </w:r>
      <w:r/>
    </w:p>
    <w:p>
      <w:pPr>
        <w:pStyle w:val="801"/>
        <w:ind w:firstLine="600"/>
      </w:pPr>
      <w:r>
        <w:rPr>
          <w:rFonts w:hint="eastAsia"/>
        </w:rPr>
        <w:t xml:space="preserve">1.总体要求</w:t>
      </w:r>
      <w:r/>
    </w:p>
    <w:p>
      <w:pPr>
        <w:pStyle w:val="801"/>
        <w:ind w:firstLine="600"/>
      </w:pPr>
      <w:r>
        <w:rPr>
          <w:rFonts w:hint="eastAsia"/>
        </w:rPr>
        <w:t xml:space="preserve">（1）投标人需根据环境空气自动监测站运维工作实际，制定项目实施方案，方案内容包括但不限于日常维护方案、质控方案、数据管理方案、应急预案、售后服务方案、安全保障方案、站点交接方案的等，需针对项目需求搭建高效的组织机构，建立完善的管理规章制度，提供有力的保障措施，对空气站点运维服务各过程环节进行有效的组织实施和管理。</w:t>
      </w:r>
      <w:r/>
    </w:p>
    <w:p>
      <w:pPr>
        <w:pStyle w:val="801"/>
        <w:ind w:firstLine="600"/>
      </w:pPr>
      <w:r>
        <w:rPr>
          <w:rFonts w:hint="eastAsia"/>
        </w:rPr>
        <w:t xml:space="preserve">（2）投标人应保证本项目各类国有资产安全，配合采购人开展资产清点和管理工作。投标人蓄意破坏或私自外借、出租、抵押国有资产的，将交由相关机构处理，出现国有资产损失或流失的，相关责任人要按原价赔偿，并追究法律责任。</w:t>
      </w:r>
      <w:r/>
    </w:p>
    <w:p>
      <w:pPr>
        <w:pStyle w:val="801"/>
        <w:ind w:firstLine="600"/>
      </w:pPr>
      <w:r>
        <w:rPr>
          <w:rFonts w:hint="eastAsia"/>
        </w:rPr>
        <w:t xml:space="preserve">（3）投标人应遵守国家、省关于环境空气自动监测站点运行管理的各项技术规范和相关规定，如运维期间出台新的技术规范和运行管理规定，则运维工作按最新技术规范和规定执行。</w:t>
      </w:r>
      <w:r/>
    </w:p>
    <w:p>
      <w:pPr>
        <w:pStyle w:val="801"/>
        <w:ind w:firstLine="600"/>
      </w:pPr>
      <w:r>
        <w:rPr>
          <w:rFonts w:hint="eastAsia"/>
        </w:rPr>
        <w:t xml:space="preserve">（4）空气自动监测系统运维及管理期间，投标人应严格按照相关技术规范要求，对所管理的系统及仪器设备进行规范操作和精心维护及必要维修，保证系统及仪器设备的正常运行。同时投标人必须接受业主和第三方质控核查单位的定期、不定期检查和考核。</w:t>
      </w:r>
      <w:r/>
    </w:p>
    <w:p>
      <w:pPr>
        <w:pStyle w:val="801"/>
        <w:ind w:firstLine="600"/>
      </w:pPr>
      <w:r>
        <w:rPr>
          <w:rFonts w:hint="eastAsia"/>
        </w:rPr>
        <w:t xml:space="preserve">（5）投标人本项目所形成各类数据信息及相关文档资料归采购人所有，未经采购人授权，任何人无权使用、公开或泄漏给第三方。</w:t>
      </w:r>
      <w:r/>
    </w:p>
    <w:p>
      <w:pPr>
        <w:pStyle w:val="801"/>
        <w:ind w:firstLine="600"/>
      </w:pPr>
      <w:r/>
      <w:r/>
    </w:p>
    <w:p>
      <w:pPr>
        <w:pStyle w:val="801"/>
        <w:ind w:firstLine="600"/>
      </w:pPr>
      <w:r>
        <w:rPr>
          <w:rFonts w:hint="eastAsia"/>
        </w:rPr>
        <w:t xml:space="preserve">2.人员及车辆</w:t>
      </w:r>
      <w:r/>
    </w:p>
    <w:p>
      <w:pPr>
        <w:pStyle w:val="801"/>
        <w:ind w:firstLine="600"/>
        <w:rPr>
          <w:rFonts w:hint="eastAsia"/>
        </w:rPr>
      </w:pPr>
      <w:r>
        <w:rPr>
          <w:rFonts w:hint="eastAsia"/>
        </w:rPr>
        <w:t xml:space="preserve">（1）项目负责人：负责投标人实施本项目的日常管理和协调工作，统筹配置充足的人员、车辆、设备及耗材备件等资源以满足项目需求。投标人为本项目派遣的项目负责人须具备环保类中级及以上技术职称证书和省级及以上生态环境部门颁发的《环境空气质量自动监测运维技术与质控要求培训合格证书》或空气自动监测领域上岗证，项目负责人须全职专职服务于本项目，履约期内未经采购人书面许可，不得擅自更换。</w:t>
      </w:r>
      <w:r/>
    </w:p>
    <w:p>
      <w:pPr>
        <w:pStyle w:val="801"/>
        <w:ind w:firstLine="600"/>
      </w:pPr>
      <w:r>
        <w:rPr>
          <w:rFonts w:hint="eastAsia"/>
        </w:rPr>
        <w:t xml:space="preserve">（2）技术人员：投标人应保证配备足够的专业技术人员，包括现场运维人员、运维质控人员、运维技术支持人员、数据审核及分析人员。投标人为本项目配备的持证现场运维人员不少于1人，须取得省级及以上生态环境部门颁发的《环境空气质量自动监测运维技术与质控要求培训合格证书》或空气自动监测领域上岗证，在项目期限内需专职投入本项目，在履约期间未经采购人许可不得更换；其他专业技术人员须取得《环境空气质量自动监测运维技术与质控要求培训合格证书》或空气自动监测领域上岗证，可兼职。</w:t>
      </w:r>
      <w:r/>
    </w:p>
    <w:p>
      <w:pPr>
        <w:pStyle w:val="801"/>
        <w:ind w:firstLine="600"/>
      </w:pPr>
      <w:r>
        <w:rPr>
          <w:rFonts w:hint="eastAsia"/>
        </w:rPr>
        <w:t xml:space="preserve">（3）投标人应保证配备足够的专用运维车辆，数量不少于1台。车辆可以为自有车辆，也可以为租赁车辆。</w:t>
      </w:r>
      <w:r/>
    </w:p>
    <w:p>
      <w:pPr>
        <w:pStyle w:val="801"/>
        <w:ind w:firstLine="600"/>
      </w:pPr>
      <w:r>
        <w:rPr>
          <w:rFonts w:hint="eastAsia"/>
        </w:rPr>
        <w:t xml:space="preserve">3.场所及设备、耗材配件</w:t>
      </w:r>
      <w:r/>
    </w:p>
    <w:p>
      <w:pPr>
        <w:pStyle w:val="801"/>
        <w:ind w:firstLine="600"/>
      </w:pPr>
      <w:r>
        <w:rPr>
          <w:rFonts w:hint="eastAsia"/>
        </w:rPr>
        <w:t xml:space="preserve">（1）投标人中标后1个月内，须在盐城市范围内设立1个运维办事处及物资库，以满足项目实施需求。</w:t>
      </w:r>
      <w:r/>
    </w:p>
    <w:p>
      <w:pPr>
        <w:pStyle w:val="801"/>
        <w:ind w:firstLine="600"/>
      </w:pPr>
      <w:r>
        <w:rPr>
          <w:rFonts w:hint="eastAsia"/>
        </w:rPr>
        <w:t xml:space="preserve">（2）投标人须为本项目配备必要的质量控制设备和标准气体：流量计（高、低流量各1套）、标准气压计、标准温湿度计以及专用仪器维护维修工具至少各配备1套；每个站点配备标准气体，标准气体须为国家一级标准物质或国家标准样品。</w:t>
      </w:r>
      <w:r/>
    </w:p>
    <w:p>
      <w:pPr>
        <w:pStyle w:val="801"/>
        <w:ind w:firstLine="600"/>
      </w:pPr>
      <w:r>
        <w:rPr>
          <w:rFonts w:hint="eastAsia"/>
        </w:rPr>
        <w:t xml:space="preserve">（3）投标人须配齐本项目需求中所涉及设备的耗材和备件。耗材按照不少于半年的消耗量配置，备件按照1年使用量配置。严禁使用劣质备品备件，必须使用原厂生产的备品备件，使用非原厂备品备件须提供达到或高于原厂备品备件的性能测试报告。</w:t>
      </w:r>
      <w:r/>
    </w:p>
    <w:p>
      <w:pPr>
        <w:pStyle w:val="801"/>
        <w:ind w:firstLine="600"/>
      </w:pPr>
      <w:r>
        <w:rPr>
          <w:rFonts w:hint="eastAsia"/>
        </w:rPr>
        <w:t xml:space="preserve">4.运维内容</w:t>
      </w:r>
      <w:r/>
    </w:p>
    <w:p>
      <w:pPr>
        <w:pStyle w:val="801"/>
        <w:ind w:firstLine="600"/>
      </w:pPr>
      <w:r>
        <w:rPr>
          <w:rFonts w:hint="eastAsia"/>
        </w:rPr>
        <w:t xml:space="preserve">（1）每日维护内容</w:t>
      </w:r>
      <w:r/>
    </w:p>
    <w:p>
      <w:pPr>
        <w:pStyle w:val="801"/>
        <w:ind w:firstLine="600"/>
      </w:pPr>
      <w:r>
        <w:rPr>
          <w:rFonts w:hint="eastAsia"/>
        </w:rPr>
        <w:t xml:space="preserve">每日上午和下午各2次远程查看站点监测数据并形成记录，分析监测数据，对站点运行情况进行远程诊断和运行管理，包括：</w:t>
      </w:r>
      <w:r/>
    </w:p>
    <w:p>
      <w:pPr>
        <w:pStyle w:val="801"/>
        <w:ind w:firstLine="600"/>
      </w:pPr>
      <w:r>
        <w:rPr>
          <w:rFonts w:hint="eastAsia"/>
        </w:rPr>
        <w:t xml:space="preserve">a判断系统数据采集与传输情况。</w:t>
      </w:r>
      <w:r/>
    </w:p>
    <w:p>
      <w:pPr>
        <w:pStyle w:val="801"/>
        <w:ind w:firstLine="600"/>
      </w:pPr>
      <w:r>
        <w:rPr>
          <w:rFonts w:hint="eastAsia"/>
        </w:rPr>
        <w:t xml:space="preserve">b根据电源电压、站房温度、湿度数据判断站房内部情况。</w:t>
      </w:r>
      <w:r/>
    </w:p>
    <w:p>
      <w:pPr>
        <w:pStyle w:val="801"/>
        <w:ind w:firstLine="600"/>
      </w:pPr>
      <w:r>
        <w:rPr>
          <w:rFonts w:hint="eastAsia"/>
        </w:rPr>
        <w:t xml:space="preserve">c发现运行数据有持续异常值时，应立即通知甲方，并在规定的时间内解决。</w:t>
      </w:r>
      <w:r/>
    </w:p>
    <w:p>
      <w:pPr>
        <w:pStyle w:val="801"/>
        <w:ind w:firstLine="600"/>
      </w:pPr>
      <w:r>
        <w:rPr>
          <w:rFonts w:hint="eastAsia"/>
        </w:rPr>
        <w:t xml:space="preserve">d根据仪器显示数据判断仪器运行情况。</w:t>
      </w:r>
      <w:r/>
    </w:p>
    <w:p>
      <w:pPr>
        <w:pStyle w:val="801"/>
        <w:ind w:firstLine="600"/>
      </w:pPr>
      <w:r>
        <w:rPr>
          <w:rFonts w:hint="eastAsia"/>
        </w:rPr>
        <w:t xml:space="preserve">e根据故障报</w:t>
      </w:r>
      <w:r>
        <w:rPr>
          <w:rFonts w:hint="eastAsia"/>
          <w:lang w:val="en-US" w:eastAsia="zh-CN"/>
        </w:rPr>
        <w:t xml:space="preserve">警</w:t>
      </w:r>
      <w:r>
        <w:rPr>
          <w:rFonts w:hint="eastAsia"/>
        </w:rPr>
        <w:t xml:space="preserve">信号判断现场状况。</w:t>
      </w:r>
      <w:r/>
    </w:p>
    <w:p>
      <w:pPr>
        <w:pStyle w:val="801"/>
        <w:ind w:firstLine="600"/>
      </w:pPr>
      <w:r>
        <w:rPr>
          <w:rFonts w:hint="eastAsia"/>
        </w:rPr>
        <w:t xml:space="preserve">f每日检查数据是否及时上传至平台并正常发布，发现数据掉线及时恢复。</w:t>
      </w:r>
      <w:r/>
    </w:p>
    <w:p>
      <w:pPr>
        <w:pStyle w:val="801"/>
        <w:ind w:firstLine="600"/>
      </w:pPr>
      <w:r>
        <w:rPr>
          <w:rFonts w:hint="eastAsia"/>
        </w:rPr>
        <w:t xml:space="preserve">g具备自动零点检查功能的，对SO₂、NO₂、0₃、CO分析仪进行零点检查，如果漂移超过相关规范要求，需重新校准。</w:t>
      </w:r>
      <w:r/>
    </w:p>
    <w:p>
      <w:pPr>
        <w:pStyle w:val="801"/>
        <w:ind w:firstLine="600"/>
      </w:pPr>
      <w:r/>
      <w:r/>
    </w:p>
    <w:p>
      <w:pPr>
        <w:pStyle w:val="801"/>
        <w:ind w:firstLine="600"/>
      </w:pPr>
      <w:r>
        <w:rPr>
          <w:rFonts w:hint="eastAsia"/>
        </w:rPr>
        <w:t xml:space="preserve">（2）每周维护内容</w:t>
      </w:r>
      <w:r/>
    </w:p>
    <w:p>
      <w:pPr>
        <w:pStyle w:val="801"/>
        <w:ind w:firstLine="600"/>
      </w:pPr>
      <w:r>
        <w:rPr>
          <w:rFonts w:hint="eastAsia"/>
        </w:rPr>
        <w:t xml:space="preserve">每周至少巡视站点1次，到现场后，对站房内部、外部及周边情况进行仔细观察、检测并做详细的巡查记录，巡检时需要完成的工作包括：</w:t>
      </w:r>
      <w:r/>
    </w:p>
    <w:p>
      <w:pPr>
        <w:pStyle w:val="801"/>
        <w:ind w:firstLine="600"/>
      </w:pPr>
      <w:r>
        <w:rPr>
          <w:rFonts w:hint="eastAsia"/>
        </w:rPr>
        <w:t xml:space="preserve">a查看站点设备是否齐备，有无丢失和损坏，检查接地线路是否可靠，排风排气装置工作是否正常，标准气钢瓶阀门是否漏气，标准气的消耗情况等。</w:t>
      </w:r>
      <w:r/>
    </w:p>
    <w:p>
      <w:pPr>
        <w:pStyle w:val="801"/>
        <w:ind w:firstLine="600"/>
      </w:pPr>
      <w:r>
        <w:rPr>
          <w:rFonts w:hint="eastAsia"/>
        </w:rPr>
        <w:t xml:space="preserve">b检查采样和排气管路是否有漏气或堵塞现象，各分析仪器采样流量是否正常。</w:t>
      </w:r>
      <w:r/>
    </w:p>
    <w:p>
      <w:pPr>
        <w:pStyle w:val="801"/>
        <w:ind w:firstLine="600"/>
      </w:pPr>
      <w:r>
        <w:rPr>
          <w:rFonts w:hint="eastAsia"/>
        </w:rPr>
        <w:t xml:space="preserve">c检查各分析仪器的运行状况和工作参数，判断是否正常，如有异常情况及时处理，保证仪器运行正常。</w:t>
      </w:r>
      <w:r/>
    </w:p>
    <w:p>
      <w:pPr>
        <w:pStyle w:val="801"/>
        <w:ind w:firstLine="600"/>
      </w:pPr>
      <w:r>
        <w:rPr>
          <w:rFonts w:hint="eastAsia"/>
        </w:rPr>
        <w:t xml:space="preserve">d对二氧化硫、一氧化碳、臭氧、氮氧化物分析仪进行零点、跨度检查，如果漂移超过国家相关规范要求，需要进行校准。</w:t>
      </w:r>
      <w:r/>
    </w:p>
    <w:p>
      <w:pPr>
        <w:pStyle w:val="801"/>
        <w:ind w:firstLine="600"/>
      </w:pPr>
      <w:r>
        <w:rPr>
          <w:rFonts w:hint="eastAsia"/>
        </w:rPr>
        <w:t xml:space="preserve">e每周对气象仪器及能见度</w:t>
      </w:r>
      <w:r>
        <w:rPr>
          <w:rFonts w:hint="eastAsia"/>
          <w:lang w:val="en-US" w:eastAsia="zh-CN"/>
        </w:rPr>
        <w:t xml:space="preserve">仪</w:t>
      </w:r>
      <w:r>
        <w:rPr>
          <w:rFonts w:hint="eastAsia"/>
        </w:rPr>
        <w:t xml:space="preserve">的运行情况进行检查。</w:t>
      </w:r>
      <w:r/>
    </w:p>
    <w:p>
      <w:pPr>
        <w:pStyle w:val="801"/>
        <w:ind w:firstLine="600"/>
      </w:pPr>
      <w:r>
        <w:rPr>
          <w:rFonts w:hint="eastAsia"/>
        </w:rPr>
        <w:t xml:space="preserve">f每周对颗粒物的采样纸带或滤膜进行检查，如纸带即将用尽或滤膜负超过50％，及时进行更换。</w:t>
      </w:r>
      <w:r/>
    </w:p>
    <w:p>
      <w:pPr>
        <w:pStyle w:val="801"/>
        <w:ind w:firstLine="600"/>
      </w:pPr>
      <w:r>
        <w:rPr>
          <w:rFonts w:hint="eastAsia"/>
        </w:rPr>
        <w:t xml:space="preserve">g每周对站房内外环境卫生进行检查，及时保洁。</w:t>
      </w:r>
      <w:r/>
    </w:p>
    <w:p>
      <w:pPr>
        <w:pStyle w:val="801"/>
        <w:ind w:firstLine="600"/>
      </w:pPr>
      <w:r>
        <w:rPr>
          <w:rFonts w:hint="eastAsia"/>
        </w:rPr>
        <w:t xml:space="preserve">h每两周对挥发性有机物分析仪开展通标（10ppb）检查，通标不得多于3个循环，以确定各组分浓度偏差，评估VOCs物种如超过10％物种标点浓度偏差大于20％，或超过全部20％物种标点浓度偏差大于20％，需重新建立标准曲线。</w:t>
      </w:r>
      <w:r/>
    </w:p>
    <w:p>
      <w:pPr>
        <w:pStyle w:val="801"/>
        <w:ind w:firstLine="600"/>
      </w:pPr>
      <w:r>
        <w:rPr>
          <w:rFonts w:hint="eastAsia"/>
        </w:rPr>
        <w:t xml:space="preserve">i每两周对挥发性有机物分析仪开展VOCs空白检查，每个目标化合物空白响应应小于0.3ppb，所有目标化合物空白总响应应小于3ppb。</w:t>
      </w:r>
      <w:r/>
    </w:p>
    <w:p>
      <w:pPr>
        <w:pStyle w:val="801"/>
        <w:ind w:firstLine="600"/>
      </w:pPr>
      <w:r/>
      <w:r/>
    </w:p>
    <w:p>
      <w:pPr>
        <w:pStyle w:val="801"/>
        <w:ind w:firstLine="600"/>
      </w:pPr>
      <w:r>
        <w:rPr>
          <w:rFonts w:hint="eastAsia"/>
        </w:rPr>
        <w:t xml:space="preserve">（3）每月维护内容</w:t>
      </w:r>
      <w:r/>
    </w:p>
    <w:p>
      <w:pPr>
        <w:pStyle w:val="801"/>
        <w:ind w:firstLine="600"/>
      </w:pPr>
      <w:r>
        <w:rPr>
          <w:rFonts w:hint="eastAsia"/>
        </w:rPr>
        <w:t xml:space="preserve">a清洗PM10及PM2.5切割器，检查颗粒物分析仪仪器喷嘴、压环等部件。</w:t>
      </w:r>
      <w:r/>
    </w:p>
    <w:p>
      <w:pPr>
        <w:pStyle w:val="801"/>
        <w:ind w:firstLine="600"/>
      </w:pPr>
      <w:r>
        <w:rPr>
          <w:rFonts w:hint="eastAsia"/>
        </w:rPr>
        <w:t xml:space="preserve">b检查PM10及PM2.5监测仪、气态分析仪、挥发性有机物分析仪、动态校准仪流量，如果超过国家相关规范要求，需要进行校准，检查仪器是否进漏。</w:t>
      </w:r>
      <w:r/>
    </w:p>
    <w:p>
      <w:pPr>
        <w:pStyle w:val="801"/>
        <w:ind w:firstLine="600"/>
      </w:pPr>
      <w:r>
        <w:rPr>
          <w:rFonts w:hint="eastAsia"/>
        </w:rPr>
        <w:t xml:space="preserve">c对仅器显示数据和数据采集仪之间的一致性进行检查。</w:t>
      </w:r>
      <w:r/>
    </w:p>
    <w:p>
      <w:pPr>
        <w:pStyle w:val="801"/>
        <w:ind w:firstLine="600"/>
      </w:pPr>
      <w:r>
        <w:rPr>
          <w:rFonts w:hint="eastAsia"/>
        </w:rPr>
        <w:t xml:space="preserve">d每月度对数据进行备份。</w:t>
      </w:r>
      <w:r/>
    </w:p>
    <w:p>
      <w:pPr>
        <w:pStyle w:val="801"/>
        <w:ind w:firstLine="600"/>
      </w:pPr>
      <w:r>
        <w:rPr>
          <w:rFonts w:hint="eastAsia"/>
        </w:rPr>
        <w:t xml:space="preserve">e每月整理月度运维记录。</w:t>
      </w:r>
      <w:r/>
    </w:p>
    <w:p>
      <w:pPr>
        <w:pStyle w:val="801"/>
        <w:ind w:firstLine="600"/>
      </w:pPr>
      <w:r>
        <w:rPr>
          <w:rFonts w:hint="eastAsia"/>
        </w:rPr>
        <w:t xml:space="preserve">（4）每两月维护内容</w:t>
      </w:r>
      <w:r/>
    </w:p>
    <w:p>
      <w:pPr>
        <w:pStyle w:val="801"/>
        <w:ind w:firstLine="600"/>
      </w:pPr>
      <w:r>
        <w:rPr>
          <w:rFonts w:hint="eastAsia"/>
        </w:rPr>
        <w:t xml:space="preserve">对PM10、PM2.5分析仪进行维护，校准温度、压力、湿度等相关自动仪器，详细内容包括：</w:t>
      </w:r>
      <w:r/>
    </w:p>
    <w:p>
      <w:pPr>
        <w:pStyle w:val="801"/>
        <w:ind w:firstLine="600"/>
      </w:pPr>
      <w:r>
        <w:rPr>
          <w:rFonts w:hint="eastAsia"/>
        </w:rPr>
        <w:t xml:space="preserve">a更换PM10、PM2.5分析仪滤纸带，进行系统自检：</w:t>
      </w:r>
      <w:r/>
    </w:p>
    <w:p>
      <w:pPr>
        <w:pStyle w:val="801"/>
        <w:ind w:firstLine="600"/>
      </w:pPr>
      <w:r>
        <w:rPr>
          <w:rFonts w:hint="eastAsia"/>
        </w:rPr>
        <w:t xml:space="preserve">b校准和检查PM10及PM2.5分析仪的温度、气压和时钟：</w:t>
      </w:r>
      <w:r/>
    </w:p>
    <w:p>
      <w:pPr>
        <w:pStyle w:val="801"/>
        <w:ind w:firstLine="600"/>
      </w:pPr>
      <w:r>
        <w:rPr>
          <w:rFonts w:hint="eastAsia"/>
        </w:rPr>
        <w:t xml:space="preserve">c用标准气压计、温度计、湿度计、手持式风速风向仪，校准相关的自动仪器。</w:t>
      </w:r>
      <w:r/>
    </w:p>
    <w:p>
      <w:pPr>
        <w:pStyle w:val="801"/>
        <w:ind w:firstLine="600"/>
      </w:pPr>
      <w:r>
        <w:rPr>
          <w:rFonts w:hint="eastAsia"/>
        </w:rPr>
        <w:t xml:space="preserve">（5）每季度维护内容</w:t>
      </w:r>
      <w:r/>
    </w:p>
    <w:p>
      <w:pPr>
        <w:pStyle w:val="801"/>
        <w:ind w:firstLine="600"/>
      </w:pPr>
      <w:r>
        <w:rPr>
          <w:rFonts w:hint="eastAsia"/>
        </w:rPr>
        <w:t xml:space="preserve">a采样总管及采样风机每季度至少清洗一次：</w:t>
      </w:r>
      <w:r/>
    </w:p>
    <w:p>
      <w:pPr>
        <w:pStyle w:val="801"/>
        <w:ind w:firstLine="600"/>
      </w:pPr>
      <w:r>
        <w:rPr>
          <w:rFonts w:hint="eastAsia"/>
        </w:rPr>
        <w:t xml:space="preserve">b对气态分析仪、挥发性有机物分析仪进行多点线性检查。</w:t>
      </w:r>
      <w:r/>
    </w:p>
    <w:p>
      <w:pPr>
        <w:pStyle w:val="801"/>
        <w:ind w:firstLine="600"/>
      </w:pPr>
      <w:r>
        <w:rPr>
          <w:rFonts w:hint="eastAsia"/>
        </w:rPr>
        <w:t xml:space="preserve">c对PM10与PM2.5进行标准膜检查，如果超过国家规范或说明书规定的限值，需要进行校准。</w:t>
      </w:r>
      <w:r/>
    </w:p>
    <w:p>
      <w:pPr>
        <w:pStyle w:val="801"/>
        <w:ind w:firstLine="600"/>
      </w:pPr>
      <w:r/>
      <w:r/>
    </w:p>
    <w:p>
      <w:pPr>
        <w:pStyle w:val="801"/>
        <w:ind w:firstLine="600"/>
      </w:pPr>
      <w:r>
        <w:rPr>
          <w:rFonts w:hint="eastAsia"/>
        </w:rPr>
        <w:t xml:space="preserve">（6）每半年维护内容</w:t>
      </w:r>
      <w:r/>
    </w:p>
    <w:p>
      <w:pPr>
        <w:pStyle w:val="801"/>
        <w:ind w:firstLine="600"/>
      </w:pPr>
      <w:r>
        <w:rPr>
          <w:rFonts w:hint="eastAsia"/>
        </w:rPr>
        <w:t xml:space="preserve">a清洗采样系统。</w:t>
      </w:r>
      <w:r/>
    </w:p>
    <w:p>
      <w:pPr>
        <w:pStyle w:val="801"/>
        <w:ind w:firstLine="600"/>
      </w:pPr>
      <w:r>
        <w:rPr>
          <w:rFonts w:hint="eastAsia"/>
        </w:rPr>
        <w:t xml:space="preserve">b检查PM2.5、PM10分析仪相对湿度、温度传感器和动态加热装置是否正常工作；</w:t>
      </w:r>
      <w:r/>
    </w:p>
    <w:p>
      <w:pPr>
        <w:pStyle w:val="801"/>
        <w:ind w:firstLine="600"/>
      </w:pPr>
      <w:r>
        <w:rPr>
          <w:rFonts w:hint="eastAsia"/>
        </w:rPr>
        <w:t xml:space="preserve">c对气态污染物监测仪进行多点校准，绘制校准曲线，检验相关系数、斜率 和截距。</w:t>
      </w:r>
      <w:r/>
    </w:p>
    <w:p>
      <w:pPr>
        <w:pStyle w:val="801"/>
        <w:ind w:firstLine="600"/>
      </w:pPr>
      <w:r>
        <w:rPr>
          <w:rFonts w:hint="eastAsia"/>
        </w:rPr>
        <w:t xml:space="preserve">d对动态校准仪流量进行20点检查，必要时校准。</w:t>
      </w:r>
      <w:r/>
    </w:p>
    <w:p>
      <w:pPr>
        <w:pStyle w:val="801"/>
        <w:ind w:firstLine="600"/>
      </w:pPr>
      <w:r>
        <w:rPr>
          <w:rFonts w:hint="eastAsia"/>
        </w:rPr>
        <w:t xml:space="preserve">e更换零气源净化剂和氧化剂，对零气性能进行检查。</w:t>
      </w:r>
      <w:r/>
    </w:p>
    <w:p>
      <w:pPr>
        <w:pStyle w:val="801"/>
        <w:ind w:firstLine="600"/>
      </w:pPr>
      <w:r>
        <w:rPr>
          <w:rFonts w:hint="eastAsia"/>
        </w:rPr>
        <w:t xml:space="preserve">f对氮氧化物分析仪钼炉转化率进行检查。</w:t>
      </w:r>
      <w:r/>
    </w:p>
    <w:p>
      <w:pPr>
        <w:pStyle w:val="801"/>
        <w:ind w:firstLine="600"/>
      </w:pPr>
      <w:r>
        <w:rPr>
          <w:rFonts w:hint="eastAsia"/>
        </w:rPr>
        <w:t xml:space="preserve">（7）每年维护内容</w:t>
      </w:r>
      <w:r/>
    </w:p>
    <w:p>
      <w:pPr>
        <w:pStyle w:val="801"/>
        <w:ind w:firstLine="600"/>
      </w:pPr>
      <w:r>
        <w:rPr>
          <w:rFonts w:hint="eastAsia"/>
        </w:rPr>
        <w:t xml:space="preserve">对所有的仪器进行预防性维护，按照说明书的要求更换相关耗材和配件。</w:t>
      </w:r>
      <w:r/>
    </w:p>
    <w:p>
      <w:pPr>
        <w:pStyle w:val="801"/>
        <w:ind w:firstLine="600"/>
      </w:pPr>
      <w:r>
        <w:rPr>
          <w:rFonts w:hint="eastAsia"/>
        </w:rPr>
        <w:t xml:space="preserve">四、验收与考核</w:t>
      </w:r>
      <w:r/>
    </w:p>
    <w:p>
      <w:pPr>
        <w:pStyle w:val="801"/>
        <w:ind w:firstLine="600"/>
      </w:pPr>
      <w:r>
        <w:rPr>
          <w:rFonts w:hint="eastAsia"/>
        </w:rPr>
        <w:t xml:space="preserve">（一）验收</w:t>
      </w:r>
      <w:r/>
    </w:p>
    <w:p>
      <w:pPr>
        <w:pStyle w:val="801"/>
        <w:ind w:firstLine="600"/>
      </w:pPr>
      <w:r>
        <w:rPr>
          <w:rFonts w:hint="eastAsia"/>
        </w:rPr>
        <w:t xml:space="preserve">1.验收依据：《环境空气颗粒物（PM10和PM2.5）连续自动监测系统安装和验收技术规范》（HJ655－2013）、《环境空气气态污染物（SO2、NO2、03、CO）连续自动监测系统安装验收技术规范》（HJ193－2013）、环境空气挥发性有机物气相色谱连续监测系统技术要求及检测方法》（HJ1010－2018）等技术规范和《招标文件》、《合同》及国家相关要求进行验收。</w:t>
      </w:r>
      <w:r/>
    </w:p>
    <w:p>
      <w:pPr>
        <w:pStyle w:val="801"/>
        <w:ind w:firstLine="600"/>
      </w:pPr>
      <w:r>
        <w:rPr>
          <w:rFonts w:hint="eastAsia"/>
        </w:rPr>
        <w:t xml:space="preserve">2.验收内容：仪器设备到货验收、性能指标验收、联网验收及相关制度、记录和档案验收等。</w:t>
      </w:r>
      <w:r/>
    </w:p>
    <w:p>
      <w:pPr>
        <w:pStyle w:val="801"/>
        <w:ind w:firstLine="600"/>
      </w:pPr>
      <w:r>
        <w:rPr>
          <w:rFonts w:hint="eastAsia"/>
        </w:rPr>
        <w:t xml:space="preserve">3.验收程序：中标人完成仪器设备安装、调试及试运行并建立完成技术档案后提出验收申请，验收申请上报采购人受理，经核准符合验收条件，由采购人组织验收，验收通过后由采购人出具验收报告。</w:t>
      </w:r>
      <w:r/>
    </w:p>
    <w:p>
      <w:pPr>
        <w:pStyle w:val="801"/>
        <w:ind w:firstLine="600"/>
      </w:pPr>
      <w:r>
        <w:rPr>
          <w:rFonts w:hint="eastAsia"/>
        </w:rPr>
        <w:t xml:space="preserve">（二）考核</w:t>
      </w:r>
      <w:r/>
    </w:p>
    <w:p>
      <w:pPr>
        <w:pStyle w:val="801"/>
        <w:ind w:firstLine="600"/>
      </w:pPr>
      <w:r>
        <w:rPr>
          <w:rFonts w:hint="eastAsia"/>
        </w:rPr>
        <w:t xml:space="preserve">项目通过验收后，每季度由业主组织对中标单位绩效（职责履行情况）进行考核，填写考核表。考核采取百分制、单站考核的方式进行，主要包括设备运行率、 数据有效率（以下简称两率）、运行维护3部分内容，其中两率考核占50％，运行维护考核占50％。</w:t>
      </w:r>
      <w:r/>
    </w:p>
    <w:p>
      <w:pPr>
        <w:pStyle w:val="801"/>
        <w:ind w:firstLine="600"/>
      </w:pPr>
      <w:r>
        <w:rPr>
          <w:rFonts w:hint="eastAsia"/>
        </w:rPr>
        <w:t xml:space="preserve">设备运行率是指已上传数据量与应上传数据量之比，数据有效率是指有效数据量与应上传数据量之比。</w:t>
      </w:r>
      <w:r/>
    </w:p>
    <w:p>
      <w:pPr>
        <w:pStyle w:val="801"/>
        <w:ind w:firstLine="600"/>
      </w:pPr>
      <w:r>
        <w:rPr>
          <w:rFonts w:hint="eastAsia"/>
        </w:rPr>
        <w:t xml:space="preserve">每日各项目应获得小时值数据量均按24个计，考核时段天数按考核时段内日历天数计。计算应获得小时值数据量时，应扣除因不可抗力造成的停止监测的小时数。</w:t>
      </w:r>
      <w:r/>
    </w:p>
    <w:p>
      <w:pPr>
        <w:pStyle w:val="801"/>
        <w:ind w:firstLine="600"/>
      </w:pPr>
      <w:r>
        <w:rPr>
          <w:rFonts w:hint="eastAsia"/>
        </w:rPr>
        <w:t xml:space="preserve">1.数据有效性</w:t>
      </w:r>
      <w:r/>
    </w:p>
    <w:p>
      <w:pPr>
        <w:pStyle w:val="801"/>
        <w:ind w:firstLine="600"/>
      </w:pPr>
      <w:r>
        <w:rPr>
          <w:rFonts w:hint="eastAsia"/>
        </w:rPr>
        <w:t xml:space="preserve">单个站点SO2、NO2、03、CO、PM10和PM2.5中任一监测项目设备运行率必须≥89％且数据有效率必须≥89％，否则考核总分为0分；单个站点PAMS57在线监测仪设备运行率必须≥80％且数据有效率必须≥80％，否则考核总分为0分。</w:t>
      </w:r>
      <w:r/>
    </w:p>
    <w:p>
      <w:pPr>
        <w:pStyle w:val="801"/>
        <w:ind w:firstLine="600"/>
      </w:pPr>
      <w:r>
        <w:rPr>
          <w:rFonts w:hint="eastAsia"/>
        </w:rPr>
        <w:t xml:space="preserve">2.两率及运行维护</w:t>
      </w:r>
      <w:r/>
    </w:p>
    <w:p>
      <w:pPr>
        <w:pStyle w:val="801"/>
        <w:ind w:firstLine="600"/>
      </w:pPr>
      <w:r>
        <w:rPr>
          <w:rFonts w:hint="eastAsia"/>
        </w:rPr>
        <w:t xml:space="preserve">符合数据有效性要求后，参照本部分执行。</w:t>
      </w:r>
      <w:r/>
    </w:p>
    <w:p>
      <w:pPr>
        <w:pStyle w:val="801"/>
        <w:ind w:firstLine="600"/>
      </w:pPr>
      <w:r>
        <w:rPr>
          <w:rFonts w:hint="eastAsia"/>
        </w:rPr>
        <w:t xml:space="preserve">（1）两率部分（50分）</w:t>
      </w:r>
      <w:r/>
    </w:p>
    <w:p>
      <w:pPr>
        <w:pStyle w:val="801"/>
        <w:ind w:firstLine="600"/>
      </w:pPr>
      <w:r>
        <w:rPr>
          <w:rFonts w:hint="eastAsia"/>
        </w:rPr>
        <w:t xml:space="preserve">SO2、NO2、03、CO、PM10和PM2.5在线监测仪：</w:t>
      </w:r>
      <w:r/>
    </w:p>
    <w:p>
      <w:pPr>
        <w:pStyle w:val="801"/>
        <w:ind w:firstLine="600"/>
      </w:pPr>
      <w:r>
        <w:rPr>
          <w:rFonts w:hint="eastAsia"/>
        </w:rPr>
        <w:t xml:space="preserve">考核时段内，单站设备运行率≥98％且数据有效率≥95％的，得20分；</w:t>
      </w:r>
      <w:r/>
    </w:p>
    <w:p>
      <w:pPr>
        <w:pStyle w:val="801"/>
        <w:ind w:firstLine="600"/>
      </w:pPr>
      <w:r>
        <w:rPr>
          <w:rFonts w:hint="eastAsia"/>
        </w:rPr>
        <w:t xml:space="preserve">考核时段内，89％≤单站设备运行率＜95％且数据有效率≥89％的，两率得分＝实际有效率×20分；</w:t>
      </w:r>
      <w:r/>
    </w:p>
    <w:p>
      <w:pPr>
        <w:pStyle w:val="801"/>
        <w:ind w:firstLine="600"/>
      </w:pPr>
      <w:r>
        <w:rPr>
          <w:rFonts w:hint="eastAsia"/>
        </w:rPr>
        <w:t xml:space="preserve">PAMS57在线监测仪：</w:t>
      </w:r>
      <w:r/>
    </w:p>
    <w:p>
      <w:pPr>
        <w:pStyle w:val="801"/>
        <w:ind w:firstLine="600"/>
      </w:pPr>
      <w:r>
        <w:rPr>
          <w:rFonts w:hint="eastAsia"/>
        </w:rPr>
        <w:t xml:space="preserve">考核时段内，单站设备运行率≥90％且数据有效率≥85％的，得30分；</w:t>
      </w:r>
      <w:r/>
    </w:p>
    <w:p>
      <w:pPr>
        <w:pStyle w:val="801"/>
        <w:ind w:firstLine="600"/>
      </w:pPr>
      <w:r>
        <w:rPr>
          <w:rFonts w:hint="eastAsia"/>
        </w:rPr>
        <w:t xml:space="preserve">考核时段内，80％≤单站设备运行率＜90％且80％≤数据有效率＜85％的，两率得分＝实际有效率×30分；</w:t>
      </w:r>
      <w:r/>
    </w:p>
    <w:p>
      <w:pPr>
        <w:pStyle w:val="801"/>
        <w:ind w:firstLine="600"/>
      </w:pPr>
      <w:r>
        <w:rPr>
          <w:rFonts w:hint="eastAsia"/>
        </w:rPr>
        <w:t xml:space="preserve">（2）运行维护部分（50分）</w:t>
      </w:r>
      <w:r/>
    </w:p>
    <w:p>
      <w:pPr>
        <w:pStyle w:val="801"/>
        <w:ind w:firstLine="600"/>
      </w:pPr>
      <w:r>
        <w:rPr>
          <w:rFonts w:hint="eastAsia"/>
        </w:rPr>
        <w:t xml:space="preserve">运行维护部分每季度由采购方组织检查，检查内容包括日常运维任务完成情况、异常情况处理情况、站房环境保障效果、采样系统维护效果、仪器日常维护效果、质量控制效果、通讯系统维护效果（数据上传情况）、人员与档案记录管理情况等。检查满分100分，考核时运维得分一检查得分×0.5。</w:t>
      </w:r>
      <w:r/>
    </w:p>
    <w:p>
      <w:pPr>
        <w:pStyle w:val="801"/>
        <w:ind w:firstLine="600"/>
      </w:pPr>
      <w:r>
        <w:rPr>
          <w:rFonts w:hint="eastAsia"/>
        </w:rPr>
        <w:t xml:space="preserve">3.考核总分（100分）</w:t>
      </w:r>
      <w:r/>
    </w:p>
    <w:p>
      <w:pPr>
        <w:pStyle w:val="801"/>
        <w:ind w:firstLine="600"/>
      </w:pPr>
      <w:r>
        <w:rPr>
          <w:rFonts w:hint="eastAsia"/>
        </w:rPr>
        <w:t xml:space="preserve">考核总分＝两率得分＋运维得分</w:t>
      </w:r>
      <w:r/>
    </w:p>
    <w:p>
      <w:pPr>
        <w:pStyle w:val="801"/>
        <w:ind w:firstLine="600"/>
      </w:pPr>
      <w:r>
        <w:rPr>
          <w:rFonts w:hint="eastAsia"/>
        </w:rPr>
        <w:t xml:space="preserve">4.运维费核算方法</w:t>
      </w:r>
      <w:r/>
    </w:p>
    <w:p>
      <w:pPr>
        <w:pStyle w:val="801"/>
        <w:ind w:firstLine="600"/>
      </w:pPr>
      <w:r>
        <w:rPr>
          <w:rFonts w:hint="eastAsia"/>
        </w:rPr>
        <w:t xml:space="preserve">（1）考核总分低于80分的，不予支付该站点当期运维费；绩效考核总分90（含）分以上的，支付该站点当期全额运维费；绩效考核总分在80（含）－90分的，该站点当期运维费＝（实际考核总分／100）×单站点当期全额运维费。</w:t>
      </w:r>
      <w:r/>
    </w:p>
    <w:p>
      <w:pPr>
        <w:pStyle w:val="801"/>
        <w:ind w:firstLine="600"/>
      </w:pPr>
      <w:r>
        <w:rPr>
          <w:rFonts w:hint="eastAsia"/>
        </w:rPr>
        <w:t xml:space="preserve">（2）其他规定</w:t>
      </w:r>
      <w:r/>
    </w:p>
    <w:p>
      <w:pPr>
        <w:pStyle w:val="801"/>
        <w:ind w:firstLine="600"/>
      </w:pPr>
      <w:r>
        <w:rPr>
          <w:rFonts w:hint="eastAsia"/>
        </w:rPr>
        <w:t xml:space="preserve">①运维机构有下列情形之一的，采购方将扣除相应站点当期运行经费：迟报、漏报或不报审核数据的；拖延、阻碍、拒绝质量检查或飞行检查的；发现采样、分析、数据采集和传输等过程人为干扰，未按要求及时报告的；因工作疏漏，未发现采样、分析、数据采集和传输等过程人为干扰的；其他不履行规定职责的情形。</w:t>
      </w:r>
      <w:r/>
    </w:p>
    <w:p>
      <w:pPr>
        <w:pStyle w:val="801"/>
        <w:ind w:firstLine="600"/>
      </w:pPr>
      <w:r>
        <w:rPr>
          <w:rFonts w:hint="eastAsia"/>
        </w:rPr>
        <w:t xml:space="preserve">②在质量检查中，发现运维单位未达到运维质控要求时，根据对数据质量造成的影响程度，扣减相应站点当季度10％～100％运维经费；如未及时整改，加倍扣款。</w:t>
      </w:r>
      <w:r/>
    </w:p>
    <w:p>
      <w:pPr>
        <w:pStyle w:val="801"/>
        <w:ind w:firstLine="600"/>
      </w:pPr>
      <w:r>
        <w:rPr>
          <w:rFonts w:hint="eastAsia"/>
        </w:rPr>
        <w:t xml:space="preserve">五、现场勘查</w:t>
      </w:r>
      <w:r/>
    </w:p>
    <w:p>
      <w:pPr>
        <w:pStyle w:val="801"/>
        <w:ind w:firstLine="600"/>
      </w:pPr>
      <w:r>
        <w:rPr>
          <w:rFonts w:hint="eastAsia"/>
        </w:rPr>
        <w:t xml:space="preserve">投标人需自行协调项目现场勘查，现场勘查联系电话详见招标公告采购人联系方式。投标人对勘查结果负责。</w:t>
      </w:r>
      <w:r/>
    </w:p>
    <w:p>
      <w:pPr>
        <w:pStyle w:val="801"/>
        <w:ind w:firstLine="600"/>
      </w:pPr>
      <w:r>
        <w:rPr>
          <w:rFonts w:hint="eastAsia"/>
        </w:rPr>
        <w:t xml:space="preserve">六、安全责任</w:t>
      </w:r>
      <w:r/>
    </w:p>
    <w:p>
      <w:pPr>
        <w:pStyle w:val="801"/>
        <w:ind w:firstLine="600"/>
      </w:pPr>
      <w:r>
        <w:rPr>
          <w:rFonts w:hint="eastAsia"/>
        </w:rPr>
        <w:t xml:space="preserve">投标人应对项目组成员做好安全培训，在项目实施过程中应注意人员和财产安全，如造成相关人员安全和财产损失问题的，一律由投标人全权承担负责，采购人不承担任何责任。</w:t>
      </w:r>
      <w:r/>
    </w:p>
    <w:p>
      <w:pPr>
        <w:pStyle w:val="801"/>
        <w:ind w:firstLine="600"/>
      </w:pPr>
      <w:r>
        <w:rPr>
          <w:rFonts w:hint="eastAsia"/>
        </w:rPr>
        <w:t xml:space="preserve">七、付款方式</w:t>
      </w:r>
      <w:r/>
    </w:p>
    <w:p>
      <w:pPr>
        <w:pStyle w:val="801"/>
        <w:ind w:firstLine="600"/>
      </w:pPr>
      <w:r>
        <w:rPr>
          <w:rFonts w:hint="eastAsia"/>
        </w:rPr>
        <w:t xml:space="preserve">合同签订后，甲方向乙方支付合同价的30％为预付款；乙方按照采购要求，将货物送到甲方指定地点并完成安装调试，项目验收合格后，甲方向乙方支付至合同价的80％；自验收合格之日起，乙方按照采购要求履约期达到12个月时，甲方根据对乙方的考核结果付款，最高付至合同金额的90％；履约期达到24个月时，甲方根据对乙方的考核结果结算项目余款。</w:t>
      </w:r>
      <w:r/>
    </w:p>
    <w:p>
      <w:pPr>
        <w:pStyle w:val="801"/>
        <w:ind w:firstLine="600"/>
      </w:pPr>
      <w:r>
        <w:rPr>
          <w:rFonts w:hint="eastAsia"/>
        </w:rPr>
        <w:t xml:space="preserve">注：①以上付款均不计任何利息和相关费用。由于合同款项的拨付需经财政部门审批实际支付时间可能滞后于合同约定的时限，中标人不能因费用拨付滞后而影响正常工作开展和服务质量。</w:t>
      </w:r>
      <w:r/>
    </w:p>
    <w:p>
      <w:pPr>
        <w:pStyle w:val="801"/>
        <w:ind w:firstLine="600"/>
      </w:pPr>
      <w:r>
        <w:rPr>
          <w:rFonts w:hint="eastAsia"/>
        </w:rPr>
        <w:t xml:space="preserve">八、特别说明：</w:t>
      </w:r>
      <w:r/>
    </w:p>
    <w:p>
      <w:pPr>
        <w:pStyle w:val="801"/>
        <w:ind w:firstLine="600"/>
      </w:pPr>
      <w:r>
        <w:rPr>
          <w:rFonts w:hint="eastAsia"/>
        </w:rPr>
        <w:t xml:space="preserve">（一）报价含项目成果交付前一切费用。不接受选择性报价。</w:t>
      </w:r>
      <w:r/>
    </w:p>
    <w:p>
      <w:pPr>
        <w:pStyle w:val="801"/>
        <w:ind w:firstLine="600"/>
      </w:pPr>
      <w:r>
        <w:rPr>
          <w:rFonts w:hint="eastAsia"/>
        </w:rPr>
        <w:t xml:space="preserve">（二）本项目使用综合评分法，提供相同品牌产品且通过资格审查、符合性审查的不同投标人参加同一合同项下投标的，按一家投标人计算，评审后得分最高的同品牌投标人获得中标人推荐资格；评审得分相同的，由报价低的同品牌投标人获得中标人推荐资格。</w:t>
      </w:r>
      <w:r/>
    </w:p>
    <w:p>
      <w:pPr>
        <w:pStyle w:val="801"/>
        <w:ind w:firstLine="600"/>
        <w:rPr>
          <w:rFonts w:hint="eastAsia"/>
        </w:rPr>
      </w:pPr>
      <w:r>
        <w:rPr>
          <w:rFonts w:hint="eastAsia"/>
        </w:rPr>
        <w:t xml:space="preserve">（三）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评标委员会可按照少数服从多数原则，通过投票等方式出具评审结论。</w:t>
      </w:r>
      <w:r/>
    </w:p>
    <w:p>
      <w:pPr>
        <w:pStyle w:val="801"/>
        <w:ind w:firstLine="600"/>
      </w:pPr>
      <w:r>
        <w:rPr>
          <w:rFonts w:hint="eastAsia"/>
        </w:rPr>
        <w:t xml:space="preserve">（四）资格后审：项目开标结束后，采购人或采购代理机构应当依法对投标人的资格进行审查。资格审查材料的原件彩色扫描件须在投标文件中提供。</w:t>
      </w:r>
      <w:r/>
    </w:p>
    <w:p>
      <w:pPr>
        <w:pStyle w:val="801"/>
        <w:ind w:firstLine="600"/>
      </w:pPr>
      <w:r>
        <w:rPr>
          <w:rFonts w:hint="eastAsia"/>
        </w:rPr>
        <w:t xml:space="preserve">（五）对本项目投标人资格要求、项目需求、评分标准等的质疑由采购单位负责答复；采购单位具有项目的解释权，质疑函和答复须同时报招标代理机构备案管理。</w:t>
      </w:r>
      <w:r/>
    </w:p>
    <w:p>
      <w:pPr>
        <w:pStyle w:val="801"/>
        <w:ind w:firstLine="600"/>
      </w:pPr>
      <w:r>
        <w:rPr>
          <w:rFonts w:hint="eastAsia"/>
        </w:rPr>
        <w:t xml:space="preserve">（六）本项目不接受进口产品投标</w:t>
      </w:r>
      <w:r/>
    </w:p>
    <w:p>
      <w:pPr>
        <w:pStyle w:val="801"/>
        <w:ind w:firstLine="600"/>
      </w:pPr>
      <w:r>
        <w:rPr>
          <w:rFonts w:hint="eastAsia"/>
        </w:rPr>
        <w:t xml:space="preserve">（七）采购标的对应的中小企业划分标准所属行业一览表</w:t>
      </w:r>
      <w:r/>
    </w:p>
    <w:tbl>
      <w:tblPr>
        <w:tblStyle w:val="982"/>
        <w:tblW w:w="7293" w:type="dxa"/>
        <w:tblInd w:w="2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77"/>
        <w:gridCol w:w="3291"/>
        <w:gridCol w:w="2925"/>
      </w:tblGrid>
      <w:tr>
        <w:trPr>
          <w:trHeight w:val="861"/>
        </w:trPr>
        <w:tc>
          <w:tcPr>
            <w:tcW w:w="1077" w:type="dxa"/>
            <w:vAlign w:val="center"/>
            <w:textDirection w:val="lrTb"/>
            <w:noWrap w:val="false"/>
          </w:tcPr>
          <w:p>
            <w:pPr>
              <w:pStyle w:val="981"/>
              <w:ind w:left="55" w:right="106"/>
              <w:jc w:val="center"/>
              <w:spacing w:before="84" w:line="337" w:lineRule="auto"/>
              <w:rPr>
                <w:sz w:val="21"/>
                <w:szCs w:val="21"/>
              </w:rPr>
            </w:pPr>
            <w:r>
              <w:rPr>
                <w:spacing w:val="-8"/>
                <w:sz w:val="21"/>
                <w:szCs w:val="21"/>
              </w:rPr>
              <w:t xml:space="preserve">序</w:t>
            </w:r>
            <w:r>
              <w:rPr>
                <w:sz w:val="21"/>
                <w:szCs w:val="21"/>
              </w:rPr>
              <w:t xml:space="preserve"> 号</w:t>
            </w:r>
            <w:r/>
          </w:p>
        </w:tc>
        <w:tc>
          <w:tcPr>
            <w:tcW w:w="3291" w:type="dxa"/>
            <w:vAlign w:val="center"/>
            <w:textDirection w:val="lrTb"/>
            <w:noWrap w:val="false"/>
          </w:tcPr>
          <w:p>
            <w:pPr>
              <w:pStyle w:val="981"/>
              <w:ind w:left="11"/>
              <w:jc w:val="center"/>
              <w:spacing w:before="68" w:line="219" w:lineRule="auto"/>
              <w:rPr>
                <w:sz w:val="21"/>
                <w:szCs w:val="21"/>
              </w:rPr>
            </w:pPr>
            <w:r>
              <w:rPr>
                <w:spacing w:val="4"/>
                <w:sz w:val="21"/>
                <w:szCs w:val="21"/>
              </w:rPr>
              <w:t xml:space="preserve">采购标的</w:t>
            </w:r>
            <w:r/>
          </w:p>
        </w:tc>
        <w:tc>
          <w:tcPr>
            <w:tcW w:w="2925" w:type="dxa"/>
            <w:vAlign w:val="center"/>
            <w:textDirection w:val="lrTb"/>
            <w:noWrap w:val="false"/>
          </w:tcPr>
          <w:p>
            <w:pPr>
              <w:pStyle w:val="981"/>
              <w:ind w:left="15"/>
              <w:jc w:val="center"/>
              <w:spacing w:before="68" w:line="220" w:lineRule="auto"/>
              <w:rPr>
                <w:sz w:val="21"/>
                <w:szCs w:val="21"/>
              </w:rPr>
            </w:pPr>
            <w:r>
              <w:rPr>
                <w:spacing w:val="-1"/>
                <w:sz w:val="21"/>
                <w:szCs w:val="21"/>
              </w:rPr>
              <w:t xml:space="preserve">对应中小企业划分标准所属行业</w:t>
            </w:r>
            <w:r/>
          </w:p>
        </w:tc>
      </w:tr>
      <w:tr>
        <w:trPr>
          <w:trHeight w:val="448"/>
        </w:trPr>
        <w:tc>
          <w:tcPr>
            <w:tcW w:w="1077" w:type="dxa"/>
            <w:textDirection w:val="lrTb"/>
            <w:noWrap w:val="false"/>
          </w:tcPr>
          <w:p>
            <w:pPr>
              <w:pStyle w:val="981"/>
              <w:ind w:left="405"/>
              <w:spacing w:before="140" w:line="235" w:lineRule="auto"/>
              <w:rPr>
                <w:sz w:val="21"/>
                <w:szCs w:val="21"/>
              </w:rPr>
            </w:pPr>
            <w:r>
              <w:rPr>
                <w:rFonts w:hint="eastAsia"/>
                <w:sz w:val="21"/>
                <w:szCs w:val="21"/>
              </w:rPr>
              <w:t xml:space="preserve">1</w:t>
            </w:r>
            <w:r/>
          </w:p>
        </w:tc>
        <w:tc>
          <w:tcPr>
            <w:tcW w:w="3291" w:type="dxa"/>
            <w:textDirection w:val="lrTb"/>
            <w:noWrap w:val="false"/>
          </w:tcPr>
          <w:p>
            <w:r/>
            <w:r/>
          </w:p>
        </w:tc>
        <w:tc>
          <w:tcPr>
            <w:tcW w:w="2925" w:type="dxa"/>
            <w:textDirection w:val="lrTb"/>
            <w:noWrap w:val="false"/>
          </w:tcPr>
          <w:p>
            <w:pPr>
              <w:pStyle w:val="981"/>
              <w:ind w:left="15"/>
              <w:spacing w:before="122" w:line="219" w:lineRule="auto"/>
              <w:rPr>
                <w:sz w:val="21"/>
                <w:szCs w:val="21"/>
              </w:rPr>
            </w:pPr>
            <w:r>
              <w:rPr>
                <w:spacing w:val="-2"/>
                <w:sz w:val="21"/>
                <w:szCs w:val="21"/>
              </w:rPr>
              <w:t xml:space="preserve">生产制造业</w:t>
            </w:r>
            <w:r/>
          </w:p>
        </w:tc>
      </w:tr>
      <w:tr>
        <w:trPr>
          <w:trHeight w:val="438"/>
        </w:trPr>
        <w:tc>
          <w:tcPr>
            <w:tcW w:w="1077" w:type="dxa"/>
            <w:textDirection w:val="lrTb"/>
            <w:noWrap w:val="false"/>
          </w:tcPr>
          <w:p>
            <w:pPr>
              <w:pStyle w:val="981"/>
              <w:ind w:left="515"/>
              <w:spacing w:before="145" w:line="241" w:lineRule="auto"/>
              <w:rPr>
                <w:sz w:val="21"/>
                <w:szCs w:val="21"/>
              </w:rPr>
            </w:pPr>
            <w:r>
              <w:rPr>
                <w:sz w:val="21"/>
                <w:szCs w:val="21"/>
              </w:rPr>
              <w:t xml:space="preserve">2</w:t>
            </w:r>
            <w:r/>
          </w:p>
        </w:tc>
        <w:tc>
          <w:tcPr>
            <w:tcW w:w="3291" w:type="dxa"/>
            <w:textDirection w:val="lrTb"/>
            <w:noWrap w:val="false"/>
          </w:tcPr>
          <w:p>
            <w:r/>
            <w:r/>
          </w:p>
        </w:tc>
        <w:tc>
          <w:tcPr>
            <w:tcW w:w="2925" w:type="dxa"/>
            <w:textDirection w:val="lrTb"/>
            <w:noWrap w:val="false"/>
          </w:tcPr>
          <w:p>
            <w:pPr>
              <w:pStyle w:val="981"/>
              <w:ind w:left="15"/>
              <w:spacing w:before="124" w:line="219" w:lineRule="auto"/>
              <w:rPr>
                <w:sz w:val="21"/>
                <w:szCs w:val="21"/>
              </w:rPr>
            </w:pPr>
            <w:r>
              <w:rPr>
                <w:spacing w:val="-2"/>
                <w:sz w:val="21"/>
                <w:szCs w:val="21"/>
              </w:rPr>
              <w:t xml:space="preserve">生产制造业</w:t>
            </w:r>
            <w:r/>
          </w:p>
        </w:tc>
      </w:tr>
      <w:tr>
        <w:trPr>
          <w:trHeight w:val="442"/>
        </w:trPr>
        <w:tc>
          <w:tcPr>
            <w:tcW w:w="1077" w:type="dxa"/>
            <w:textDirection w:val="lrTb"/>
            <w:noWrap w:val="false"/>
          </w:tcPr>
          <w:p>
            <w:pPr>
              <w:pStyle w:val="981"/>
              <w:ind w:left="515"/>
              <w:spacing w:before="146"/>
              <w:rPr>
                <w:sz w:val="21"/>
                <w:szCs w:val="21"/>
              </w:rPr>
            </w:pPr>
            <w:r>
              <w:rPr>
                <w:sz w:val="21"/>
                <w:szCs w:val="21"/>
              </w:rPr>
              <w:t xml:space="preserve">3</w:t>
            </w:r>
            <w:r/>
          </w:p>
        </w:tc>
        <w:tc>
          <w:tcPr>
            <w:tcW w:w="3291" w:type="dxa"/>
            <w:textDirection w:val="lrTb"/>
            <w:noWrap w:val="false"/>
          </w:tcPr>
          <w:p>
            <w:r/>
            <w:r/>
          </w:p>
        </w:tc>
        <w:tc>
          <w:tcPr>
            <w:tcW w:w="2925" w:type="dxa"/>
            <w:textDirection w:val="lrTb"/>
            <w:noWrap w:val="false"/>
          </w:tcPr>
          <w:p>
            <w:pPr>
              <w:pStyle w:val="981"/>
              <w:ind w:left="15"/>
              <w:spacing w:before="126" w:line="219" w:lineRule="auto"/>
              <w:rPr>
                <w:sz w:val="21"/>
                <w:szCs w:val="21"/>
              </w:rPr>
            </w:pPr>
            <w:r>
              <w:rPr>
                <w:spacing w:val="-2"/>
                <w:sz w:val="21"/>
                <w:szCs w:val="21"/>
              </w:rPr>
              <w:t xml:space="preserve">生产制造业</w:t>
            </w:r>
            <w:r/>
          </w:p>
        </w:tc>
      </w:tr>
    </w:tbl>
    <w:p>
      <w:pPr>
        <w:pStyle w:val="801"/>
        <w:ind w:firstLine="600"/>
        <w:sectPr>
          <w:footnotePr/>
          <w:endnotePr/>
          <w:type w:val="nextPage"/>
          <w:pgSz w:w="11840" w:h="16740" w:orient="portrait"/>
          <w:pgMar w:top="2098" w:right="1474" w:bottom="1984" w:left="1587" w:header="851" w:footer="1417" w:gutter="0"/>
          <w:cols w:num="1" w:sep="0" w:space="720" w:equalWidth="1"/>
          <w:docGrid w:linePitch="360"/>
        </w:sectPr>
      </w:pPr>
      <w:r>
        <w:rPr>
          <w:rFonts w:hint="eastAsia"/>
        </w:rPr>
        <w:t xml:space="preserve">（备注：1.采购人须填报上表，所属行业按《工业和信息化部、国家统计局、国家发展和改革委员会、财政部关于印发中小企业划型标准规定的通知》（工信  部联企业［2011］300号）规定填写。2.项目经办人须对填报内容是否准确进行核查。）</w:t>
      </w:r>
      <w:r/>
    </w:p>
    <w:p>
      <w:pPr>
        <w:pStyle w:val="764"/>
        <w:numPr>
          <w:ilvl w:val="0"/>
          <w:numId w:val="1"/>
        </w:numPr>
        <w:ind w:left="0" w:firstLine="0"/>
        <w:jc w:val="center"/>
        <w:keepLines w:val="0"/>
        <w:keepNext w:val="0"/>
        <w:spacing w:before="0" w:beforeAutospacing="1" w:after="0" w:afterAutospacing="1" w:line="360" w:lineRule="auto"/>
        <w:rPr>
          <w:rFonts w:ascii="宋体" w:hAnsi="宋体" w:eastAsia="宋体" w:cs="Times New Roman"/>
          <w:b/>
          <w:bCs/>
          <w:color w:val="auto"/>
          <w:sz w:val="32"/>
          <w:szCs w:val="32"/>
        </w:rPr>
      </w:pPr>
      <w:r/>
      <w:bookmarkStart w:id="119" w:name="_Toc197644575"/>
      <w:r>
        <w:rPr>
          <w:rFonts w:hint="eastAsia" w:ascii="宋体" w:hAnsi="宋体" w:eastAsia="宋体" w:cs="Times New Roman"/>
          <w:b/>
          <w:bCs/>
          <w:color w:val="auto"/>
          <w:sz w:val="32"/>
          <w:szCs w:val="32"/>
        </w:rPr>
        <w:t xml:space="preserve">评标方法与评标标准</w:t>
      </w:r>
      <w:bookmarkEnd w:id="119"/>
      <w:r/>
      <w:r/>
    </w:p>
    <w:p>
      <w:pPr>
        <w:pStyle w:val="967"/>
        <w:numPr>
          <w:ilvl w:val="0"/>
          <w:numId w:val="13"/>
        </w:numPr>
        <w:jc w:val="left"/>
        <w:spacing w:line="360" w:lineRule="auto"/>
        <w:rPr>
          <w:rFonts w:ascii="宋体" w:hAnsi="宋体" w:eastAsia="宋体" w:cs="宋体"/>
          <w:b/>
          <w:sz w:val="24"/>
          <w:szCs w:val="24"/>
        </w:rPr>
        <w:outlineLvl w:val="1"/>
      </w:pPr>
      <w:r/>
      <w:bookmarkStart w:id="120" w:name="_Toc197644576"/>
      <w:r>
        <w:rPr>
          <w:rFonts w:hint="eastAsia" w:ascii="宋体" w:hAnsi="宋体" w:eastAsia="宋体" w:cs="宋体"/>
          <w:b/>
          <w:sz w:val="24"/>
          <w:szCs w:val="24"/>
        </w:rPr>
        <w:t xml:space="preserve">定标原则</w:t>
      </w:r>
      <w:bookmarkEnd w:id="120"/>
      <w:r/>
      <w:r/>
    </w:p>
    <w:p>
      <w:pPr>
        <w:pStyle w:val="967"/>
        <w:ind w:left="0" w:firstLine="480"/>
        <w:jc w:val="left"/>
        <w:spacing w:line="500" w:lineRule="exact"/>
        <w:rPr>
          <w:rFonts w:ascii="宋体" w:hAnsi="宋体" w:cs="宋体"/>
          <w:sz w:val="24"/>
        </w:rPr>
        <w:outlineLvl w:val="1"/>
      </w:pPr>
      <w:r/>
      <w:bookmarkStart w:id="121" w:name="_Toc197644577"/>
      <w:r>
        <w:rPr>
          <w:rFonts w:hint="eastAsia" w:ascii="宋体" w:hAnsi="宋体" w:cs="宋体"/>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67"/>
        <w:numPr>
          <w:ilvl w:val="0"/>
          <w:numId w:val="13"/>
        </w:numPr>
        <w:jc w:val="left"/>
        <w:spacing w:line="500" w:lineRule="exact"/>
        <w:rPr>
          <w:rFonts w:ascii="宋体" w:hAnsi="宋体" w:eastAsia="宋体" w:cs="宋体"/>
          <w:b/>
          <w:sz w:val="24"/>
          <w:szCs w:val="24"/>
        </w:rPr>
        <w:outlineLvl w:val="1"/>
      </w:pPr>
      <w:r>
        <w:rPr>
          <w:rFonts w:hint="eastAsia" w:ascii="宋体" w:hAnsi="宋体" w:eastAsia="宋体" w:cs="宋体"/>
          <w:b/>
          <w:sz w:val="24"/>
          <w:szCs w:val="24"/>
        </w:rPr>
        <w:t xml:space="preserve">政府采购政策功能落实</w:t>
      </w:r>
      <w:bookmarkEnd w:id="121"/>
      <w:r/>
      <w:r/>
    </w:p>
    <w:p>
      <w:pPr>
        <w:pStyle w:val="967"/>
        <w:ind w:left="0" w:firstLine="480"/>
        <w:jc w:val="left"/>
        <w:spacing w:line="500" w:lineRule="exact"/>
        <w:rPr>
          <w:rFonts w:ascii="宋体" w:hAnsi="宋体" w:cs="宋体"/>
          <w:sz w:val="24"/>
        </w:rPr>
        <w:outlineLvl w:val="1"/>
      </w:pPr>
      <w:r/>
      <w:bookmarkStart w:id="122" w:name="_Toc197644578"/>
      <w:r>
        <w:rPr>
          <w:rFonts w:hint="eastAsia" w:ascii="宋体" w:hAnsi="宋体" w:cs="宋体"/>
          <w:sz w:val="24"/>
        </w:rPr>
        <w:t xml:space="preserve">1.本项目专门面向中小企业采购，投标人所投产品制造厂商须为符合《关于印发中小企业划型标准规定的通知》（工信部联企业［2011］300号）文件的中小企业（投标时须提供中小企业声明函，否则按无效标处理）。</w:t>
      </w:r>
      <w:r/>
    </w:p>
    <w:p>
      <w:pPr>
        <w:pStyle w:val="967"/>
        <w:ind w:left="0" w:firstLine="480"/>
        <w:jc w:val="left"/>
        <w:spacing w:line="500" w:lineRule="exact"/>
        <w:rPr>
          <w:rFonts w:ascii="宋体" w:hAnsi="宋体" w:cs="宋体"/>
          <w:sz w:val="24"/>
        </w:rPr>
        <w:outlineLvl w:val="1"/>
      </w:pPr>
      <w:r>
        <w:rPr>
          <w:rFonts w:hint="eastAsia" w:ascii="宋体" w:hAnsi="宋体" w:cs="宋体"/>
          <w:sz w:val="24"/>
        </w:rPr>
        <w:t xml:space="preserve">2.因本项目专门面向中小企业采购，不再执行价格评审优惠的扶持政策。</w:t>
      </w:r>
      <w:r/>
    </w:p>
    <w:p>
      <w:pPr>
        <w:pStyle w:val="967"/>
        <w:ind w:left="0" w:firstLine="480"/>
        <w:jc w:val="left"/>
        <w:spacing w:line="500" w:lineRule="exact"/>
        <w:rPr>
          <w:rFonts w:ascii="宋体" w:hAnsi="宋体" w:cs="宋体"/>
          <w:sz w:val="24"/>
        </w:rPr>
        <w:outlineLvl w:val="1"/>
      </w:pPr>
      <w:r>
        <w:rPr>
          <w:rFonts w:hint="eastAsia" w:ascii="宋体" w:hAnsi="宋体" w:cs="宋体"/>
          <w:sz w:val="24"/>
        </w:rPr>
        <w:t xml:space="preserve">3.供应商须按照采购文件要求提供相应的《企业声明函》（格式附后），不提供声明函或有弄虚作假的，将依法承担相应责任。</w:t>
      </w:r>
      <w:r/>
    </w:p>
    <w:p>
      <w:pPr>
        <w:pStyle w:val="967"/>
        <w:ind w:left="0" w:firstLine="480"/>
        <w:jc w:val="left"/>
        <w:spacing w:line="500" w:lineRule="exact"/>
        <w:rPr>
          <w:rFonts w:ascii="宋体" w:hAnsi="宋体" w:cs="宋体"/>
          <w:sz w:val="24"/>
        </w:rPr>
        <w:outlineLvl w:val="1"/>
      </w:pPr>
      <w:r>
        <w:rPr>
          <w:rFonts w:hint="eastAsia" w:ascii="宋体" w:hAnsi="宋体" w:cs="宋体"/>
          <w:sz w:val="24"/>
        </w:rPr>
        <w:t xml:space="preserve">4.企业标准请参照《关于印发中小企业划型标准规定的通知》（工信部联企业【2011】300号）文件规定自行填写。</w:t>
      </w:r>
      <w:r/>
    </w:p>
    <w:p>
      <w:pPr>
        <w:pStyle w:val="967"/>
        <w:ind w:left="0" w:firstLine="480"/>
        <w:jc w:val="left"/>
        <w:spacing w:line="500" w:lineRule="exact"/>
        <w:rPr>
          <w:rFonts w:ascii="宋体" w:hAnsi="宋体" w:cs="宋体"/>
          <w:sz w:val="24"/>
        </w:rPr>
        <w:outlineLvl w:val="1"/>
      </w:pPr>
      <w:r>
        <w:rPr>
          <w:rFonts w:hint="eastAsia" w:ascii="宋体" w:hAnsi="宋体" w:cs="宋体"/>
          <w:sz w:val="24"/>
        </w:rPr>
        <w:t xml:space="preserve">5.以上规定未尽事项，按《政府采购促进中小企业发展管理办法》（财库【2020】46号）等有关制度规定执行。</w:t>
      </w:r>
      <w:r/>
    </w:p>
    <w:p>
      <w:pPr>
        <w:pStyle w:val="967"/>
        <w:ind w:left="0" w:firstLine="480"/>
        <w:jc w:val="left"/>
        <w:spacing w:line="500" w:lineRule="exact"/>
        <w:rPr>
          <w:rFonts w:ascii="宋体" w:hAnsi="宋体" w:cs="宋体"/>
          <w:sz w:val="24"/>
        </w:rPr>
        <w:outlineLvl w:val="1"/>
      </w:pPr>
      <w:r>
        <w:rPr>
          <w:rFonts w:hint="eastAsia" w:ascii="宋体" w:hAnsi="宋体" w:cs="宋体"/>
          <w:sz w:val="24"/>
        </w:rPr>
        <w:t xml:space="preserve">6.严格执行政府采购关于支持</w:t>
      </w:r>
      <w:r>
        <w:rPr>
          <w:rFonts w:hint="eastAsia" w:ascii="宋体" w:hAnsi="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67"/>
        <w:ind w:left="0" w:firstLine="480"/>
        <w:jc w:val="left"/>
        <w:spacing w:line="500" w:lineRule="exact"/>
        <w:rPr>
          <w:rFonts w:ascii="宋体" w:hAnsi="宋体" w:cs="宋体"/>
          <w:sz w:val="24"/>
        </w:rPr>
        <w:outlineLvl w:val="1"/>
      </w:pPr>
      <w:r>
        <w:rPr>
          <w:rFonts w:hint="eastAsia" w:ascii="宋体" w:hAnsi="宋体" w:cs="宋体"/>
          <w:sz w:val="24"/>
        </w:rPr>
        <w:t xml:space="preserve">7.供应商对于投标产品的商品包装、快递包装应按照《关于印发《商品包装政府采购需求标准（试行）》、《快递包装政府采购需求标准（试行）》的通知》（财办库〔2020〕123号）执行。</w:t>
      </w:r>
      <w:r/>
    </w:p>
    <w:p>
      <w:pPr>
        <w:pStyle w:val="967"/>
        <w:ind w:left="0" w:firstLine="480"/>
        <w:jc w:val="left"/>
        <w:spacing w:line="500" w:lineRule="exact"/>
        <w:rPr>
          <w:rFonts w:ascii="宋体" w:hAnsi="宋体" w:cs="宋体"/>
          <w:sz w:val="24"/>
        </w:rPr>
        <w:outlineLvl w:val="1"/>
      </w:pPr>
      <w:r>
        <w:rPr>
          <w:rFonts w:hint="eastAsia" w:ascii="宋体" w:hAnsi="宋体" w:cs="宋体"/>
          <w:sz w:val="24"/>
        </w:rPr>
        <w:t xml:space="preserve">8.本文件中若涉及到数据中心采购，应按照《绿色数据中心政府采购需求标准（试行）＞的通知》（财库〔2023〕7号）执行。</w:t>
      </w:r>
      <w:r/>
    </w:p>
    <w:p>
      <w:pPr>
        <w:pStyle w:val="967"/>
        <w:numPr>
          <w:ilvl w:val="0"/>
          <w:numId w:val="13"/>
        </w:numPr>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评标方法与评标标准</w:t>
      </w:r>
      <w:bookmarkEnd w:id="122"/>
      <w:r/>
      <w:r/>
    </w:p>
    <w:tbl>
      <w:tblPr>
        <w:tblStyle w:val="982"/>
        <w:tblW w:w="890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029"/>
        <w:gridCol w:w="1139"/>
        <w:gridCol w:w="6030"/>
      </w:tblGrid>
      <w:tr>
        <w:trPr>
          <w:trHeight w:val="840"/>
        </w:trPr>
        <w:tc>
          <w:tcPr>
            <w:tcW w:w="704" w:type="dxa"/>
            <w:vAlign w:val="center"/>
            <w:textDirection w:val="tbRlV"/>
            <w:noWrap w:val="false"/>
          </w:tcPr>
          <w:p>
            <w:pPr>
              <w:jc w:val="center"/>
              <w:spacing w:line="244" w:lineRule="auto"/>
            </w:pPr>
            <w:r>
              <w:t xml:space="preserve">序号</w:t>
            </w:r>
            <w:r/>
          </w:p>
        </w:tc>
        <w:tc>
          <w:tcPr>
            <w:tcW w:w="1029" w:type="dxa"/>
            <w:vAlign w:val="center"/>
            <w:textDirection w:val="lrTb"/>
            <w:noWrap w:val="false"/>
          </w:tcPr>
          <w:p>
            <w:pPr>
              <w:jc w:val="center"/>
              <w:spacing w:line="244" w:lineRule="auto"/>
            </w:pPr>
            <w:r>
              <w:rPr>
                <w:rFonts w:hint="eastAsia" w:ascii="宋体" w:hAnsi="宋体" w:eastAsia="宋体" w:cs="宋体"/>
              </w:rPr>
              <w:t xml:space="preserve">评分项目</w:t>
            </w:r>
            <w:r/>
          </w:p>
        </w:tc>
        <w:tc>
          <w:tcPr>
            <w:tcW w:w="1139" w:type="dxa"/>
            <w:vAlign w:val="center"/>
            <w:textDirection w:val="lrTb"/>
            <w:noWrap w:val="false"/>
          </w:tcPr>
          <w:p>
            <w:pPr>
              <w:jc w:val="center"/>
              <w:spacing w:line="244" w:lineRule="auto"/>
            </w:pPr>
            <w:r>
              <w:rPr>
                <w:rFonts w:hint="eastAsia" w:ascii="宋体" w:hAnsi="宋体" w:eastAsia="宋体" w:cs="宋体"/>
              </w:rPr>
              <w:t xml:space="preserve">满分值</w:t>
            </w:r>
            <w:r/>
          </w:p>
        </w:tc>
        <w:tc>
          <w:tcPr>
            <w:tcW w:w="6030" w:type="dxa"/>
            <w:vAlign w:val="center"/>
            <w:textDirection w:val="lrTb"/>
            <w:noWrap w:val="false"/>
          </w:tcPr>
          <w:p>
            <w:pPr>
              <w:jc w:val="center"/>
              <w:spacing w:line="244" w:lineRule="auto"/>
            </w:pPr>
            <w:r>
              <w:rPr>
                <w:rFonts w:hint="eastAsia" w:ascii="宋体" w:hAnsi="宋体" w:eastAsia="宋体" w:cs="宋体"/>
              </w:rPr>
              <w:t xml:space="preserve">评分细则</w:t>
            </w:r>
            <w:r/>
          </w:p>
        </w:tc>
      </w:tr>
      <w:tr>
        <w:trPr>
          <w:trHeight w:val="1749"/>
        </w:trPr>
        <w:tc>
          <w:tcPr>
            <w:tcW w:w="704" w:type="dxa"/>
            <w:vAlign w:val="center"/>
            <w:textDirection w:val="lrTb"/>
            <w:noWrap w:val="false"/>
          </w:tcPr>
          <w:p>
            <w:pPr>
              <w:pStyle w:val="981"/>
              <w:ind w:left="264"/>
              <w:jc w:val="center"/>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1</w:t>
            </w:r>
            <w:r/>
          </w:p>
        </w:tc>
        <w:tc>
          <w:tcPr>
            <w:tcW w:w="1029" w:type="dxa"/>
            <w:vAlign w:val="center"/>
            <w:textDirection w:val="lrTb"/>
            <w:noWrap w:val="false"/>
          </w:tcPr>
          <w:p>
            <w:pPr>
              <w:pStyle w:val="981"/>
              <w:ind w:left="110"/>
              <w:jc w:val="center"/>
              <w:spacing w:before="78" w:line="244" w:lineRule="auto"/>
              <w:rPr>
                <w:rFonts w:ascii="Arial" w:hAnsi="Arial" w:eastAsia="Arial" w:cs="Arial"/>
                <w:sz w:val="21"/>
                <w:szCs w:val="21"/>
              </w:rPr>
            </w:pPr>
            <w:r>
              <w:rPr>
                <w:rFonts w:hint="eastAsia"/>
                <w:sz w:val="21"/>
                <w:szCs w:val="21"/>
              </w:rPr>
              <w:t xml:space="preserve">价格分</w:t>
            </w:r>
            <w:r/>
          </w:p>
        </w:tc>
        <w:tc>
          <w:tcPr>
            <w:tcW w:w="1139" w:type="dxa"/>
            <w:vAlign w:val="center"/>
            <w:textDirection w:val="lrTb"/>
            <w:noWrap w:val="false"/>
          </w:tcPr>
          <w:p>
            <w:pPr>
              <w:pStyle w:val="981"/>
              <w:ind w:left="411"/>
              <w:jc w:val="center"/>
              <w:spacing w:before="78" w:line="244" w:lineRule="auto"/>
              <w:rPr>
                <w:rFonts w:ascii="Arial" w:hAnsi="Arial" w:eastAsia="Arial" w:cs="Arial"/>
                <w:sz w:val="21"/>
                <w:szCs w:val="21"/>
              </w:rPr>
            </w:pPr>
            <w:r>
              <w:rPr>
                <w:rFonts w:ascii="Arial" w:hAnsi="Arial" w:eastAsia="Arial" w:cs="Arial"/>
                <w:sz w:val="21"/>
                <w:szCs w:val="21"/>
              </w:rPr>
              <w:t xml:space="preserve">30</w:t>
            </w:r>
            <w:r/>
          </w:p>
        </w:tc>
        <w:tc>
          <w:tcPr>
            <w:tcW w:w="6030" w:type="dxa"/>
            <w:textDirection w:val="lrTb"/>
            <w:noWrap w:val="false"/>
          </w:tcPr>
          <w:p>
            <w:pPr>
              <w:pStyle w:val="981"/>
              <w:ind w:right="79" w:firstLine="210"/>
              <w:spacing w:line="307" w:lineRule="auto"/>
              <w:rPr>
                <w:rFonts w:ascii="Arial" w:hAnsi="Arial" w:eastAsia="Arial" w:cs="Arial"/>
                <w:sz w:val="21"/>
                <w:szCs w:val="21"/>
              </w:rPr>
            </w:pPr>
            <w:r>
              <w:rPr>
                <w:rFonts w:hint="eastAsia"/>
                <w:sz w:val="21"/>
                <w:szCs w:val="21"/>
              </w:rPr>
              <w:t xml:space="preserve">各投标人通过资格审查和符合性审查的有效投标报价中的最低价作为评标基准价，其价格为满分。其他投标人的价格分统一按照下列公式计算：投标报价得分（评标基准价/投标报价）</w:t>
            </w:r>
            <w:r>
              <w:rPr>
                <w:sz w:val="21"/>
                <w:szCs w:val="21"/>
              </w:rPr>
              <w:t xml:space="preserve">×30</w:t>
            </w:r>
            <w:r>
              <w:rPr>
                <w:rFonts w:hint="eastAsia"/>
                <w:sz w:val="21"/>
                <w:szCs w:val="21"/>
              </w:rPr>
              <w:t xml:space="preserve">（该结果四舍五入，保留两位小数）</w:t>
            </w:r>
            <w:r/>
          </w:p>
        </w:tc>
      </w:tr>
      <w:tr>
        <w:trPr>
          <w:trHeight w:val="2064"/>
        </w:trPr>
        <w:tc>
          <w:tcPr>
            <w:tcW w:w="704" w:type="dxa"/>
            <w:vAlign w:val="center"/>
            <w:textDirection w:val="lrTb"/>
            <w:noWrap w:val="false"/>
          </w:tcPr>
          <w:p>
            <w:pPr>
              <w:pStyle w:val="981"/>
              <w:ind w:left="275"/>
              <w:jc w:val="center"/>
              <w:spacing w:before="82"/>
              <w:rPr>
                <w:rFonts w:ascii="Arial" w:hAnsi="Arial" w:cs="Arial" w:eastAsiaTheme="minorEastAsia"/>
                <w:sz w:val="21"/>
                <w:szCs w:val="21"/>
              </w:rPr>
            </w:pPr>
            <w:r>
              <w:rPr>
                <w:rFonts w:hint="eastAsia" w:ascii="Arial" w:hAnsi="Arial" w:cs="Arial" w:eastAsiaTheme="minorEastAsia"/>
                <w:sz w:val="21"/>
                <w:szCs w:val="21"/>
              </w:rPr>
              <w:t xml:space="preserve">2</w:t>
            </w:r>
            <w:r/>
          </w:p>
        </w:tc>
        <w:tc>
          <w:tcPr>
            <w:tcW w:w="1029" w:type="dxa"/>
            <w:vAlign w:val="center"/>
            <w:textDirection w:val="lrTb"/>
            <w:noWrap w:val="false"/>
          </w:tcPr>
          <w:p>
            <w:pPr>
              <w:pStyle w:val="981"/>
              <w:ind w:left="111" w:right="128"/>
              <w:jc w:val="center"/>
              <w:spacing w:before="25" w:line="220" w:lineRule="auto"/>
              <w:rPr>
                <w:sz w:val="21"/>
                <w:szCs w:val="21"/>
              </w:rPr>
            </w:pPr>
            <w:r>
              <w:rPr>
                <w:rFonts w:hint="eastAsia"/>
                <w:sz w:val="21"/>
                <w:szCs w:val="21"/>
              </w:rPr>
              <w:t xml:space="preserve">技术</w:t>
            </w:r>
            <w:r/>
          </w:p>
          <w:p>
            <w:pPr>
              <w:pStyle w:val="981"/>
              <w:ind w:left="111" w:right="128"/>
              <w:jc w:val="center"/>
              <w:spacing w:before="25" w:line="220" w:lineRule="auto"/>
              <w:rPr>
                <w:rFonts w:ascii="Arial" w:hAnsi="Arial" w:eastAsia="Arial" w:cs="Arial"/>
                <w:sz w:val="21"/>
                <w:szCs w:val="21"/>
              </w:rPr>
            </w:pPr>
            <w:r>
              <w:rPr>
                <w:rFonts w:hint="eastAsia"/>
                <w:sz w:val="21"/>
                <w:szCs w:val="21"/>
              </w:rPr>
              <w:t xml:space="preserve">参数</w:t>
            </w:r>
            <w:r/>
          </w:p>
        </w:tc>
        <w:tc>
          <w:tcPr>
            <w:tcW w:w="1139" w:type="dxa"/>
            <w:vAlign w:val="center"/>
            <w:textDirection w:val="lrTb"/>
            <w:noWrap w:val="false"/>
          </w:tcPr>
          <w:p>
            <w:pPr>
              <w:pStyle w:val="981"/>
              <w:ind w:left="432"/>
              <w:jc w:val="center"/>
              <w:spacing w:before="82"/>
              <w:rPr>
                <w:rFonts w:ascii="Arial" w:hAnsi="Arial" w:cs="Arial" w:eastAsiaTheme="minorEastAsia"/>
                <w:sz w:val="21"/>
                <w:szCs w:val="21"/>
              </w:rPr>
            </w:pPr>
            <w:r>
              <w:rPr>
                <w:rFonts w:hint="eastAsia" w:ascii="Arial" w:hAnsi="Arial" w:cs="Arial" w:eastAsiaTheme="minorEastAsia"/>
                <w:sz w:val="21"/>
                <w:szCs w:val="21"/>
              </w:rPr>
              <w:t xml:space="preserve">28</w:t>
            </w:r>
            <w:r/>
          </w:p>
        </w:tc>
        <w:tc>
          <w:tcPr>
            <w:tcW w:w="6030" w:type="dxa"/>
            <w:textDirection w:val="lrTb"/>
            <w:noWrap w:val="false"/>
          </w:tcPr>
          <w:p>
            <w:pPr>
              <w:pStyle w:val="981"/>
              <w:ind w:right="79" w:firstLine="210"/>
              <w:spacing w:line="307" w:lineRule="auto"/>
              <w:rPr>
                <w:sz w:val="21"/>
                <w:szCs w:val="21"/>
              </w:rPr>
            </w:pPr>
            <w:r>
              <w:rPr>
                <w:rFonts w:hint="eastAsia"/>
                <w:sz w:val="21"/>
                <w:szCs w:val="21"/>
              </w:rPr>
              <w:t xml:space="preserve">满足招标文件要求的全部技术指标的得28分。</w:t>
            </w:r>
            <w:bookmarkStart w:id="123" w:name="OLE_LINK38"/>
            <w:r/>
            <w:bookmarkStart w:id="124" w:name="OLE_LINK37"/>
            <w:r>
              <w:rPr>
                <w:rFonts w:hint="eastAsia"/>
                <w:sz w:val="21"/>
                <w:szCs w:val="21"/>
              </w:rPr>
              <w:t xml:space="preserve">标“★”</w:t>
            </w:r>
            <w:bookmarkEnd w:id="123"/>
            <w:r/>
            <w:bookmarkEnd w:id="124"/>
            <w:r>
              <w:rPr>
                <w:rFonts w:hint="eastAsia"/>
                <w:sz w:val="21"/>
                <w:szCs w:val="21"/>
              </w:rPr>
              <w:t xml:space="preserve">为重要技术参数，有一项负偏离扣2分，未标“★”为一般技术参数，有一项负偏离扣0.2分，扣完为止。</w:t>
            </w:r>
            <w:r/>
          </w:p>
          <w:p>
            <w:pPr>
              <w:pStyle w:val="981"/>
              <w:ind w:right="79" w:firstLine="210"/>
              <w:spacing w:line="307" w:lineRule="auto"/>
              <w:rPr>
                <w:sz w:val="21"/>
                <w:szCs w:val="21"/>
              </w:rPr>
            </w:pPr>
            <w:r>
              <w:rPr>
                <w:rFonts w:hint="eastAsia"/>
                <w:sz w:val="21"/>
                <w:szCs w:val="21"/>
              </w:rPr>
              <w:t xml:space="preserve">注：①本项</w:t>
            </w:r>
            <w:r>
              <w:rPr>
                <w:sz w:val="21"/>
                <w:szCs w:val="21"/>
              </w:rPr>
              <w:t xml:space="preserve">“</w:t>
            </w:r>
            <w:r>
              <w:rPr>
                <w:rFonts w:hint="eastAsia"/>
                <w:sz w:val="21"/>
                <w:szCs w:val="21"/>
              </w:rPr>
              <w:t xml:space="preserve">★</w:t>
            </w:r>
            <w:r>
              <w:rPr>
                <w:sz w:val="21"/>
                <w:szCs w:val="21"/>
              </w:rPr>
              <w:t xml:space="preserve">”</w:t>
            </w:r>
            <w:r>
              <w:rPr>
                <w:rFonts w:hint="eastAsia"/>
                <w:sz w:val="21"/>
                <w:szCs w:val="21"/>
              </w:rPr>
              <w:t xml:space="preserve">为重要技术参数，须提供有效期内生态环境部环境监测仪器质量监督检验中心的检测报告原件彩色扫描件并加盖投标人公章作为佐证材料，若无佐证材料视为负偏离。</w:t>
            </w:r>
            <w:r/>
          </w:p>
          <w:p>
            <w:pPr>
              <w:pStyle w:val="981"/>
              <w:ind w:right="79" w:firstLine="210"/>
              <w:spacing w:line="307" w:lineRule="auto"/>
              <w:rPr>
                <w:sz w:val="21"/>
                <w:szCs w:val="21"/>
              </w:rPr>
            </w:pPr>
            <w:r>
              <w:rPr>
                <w:rFonts w:hint="eastAsia"/>
                <w:sz w:val="21"/>
                <w:szCs w:val="21"/>
              </w:rPr>
              <w:t xml:space="preserve">②本项非</w:t>
            </w:r>
            <w:r>
              <w:rPr>
                <w:sz w:val="21"/>
                <w:szCs w:val="21"/>
              </w:rPr>
              <w:t xml:space="preserve">“</w:t>
            </w:r>
            <w:r>
              <w:rPr>
                <w:rFonts w:hint="eastAsia"/>
                <w:sz w:val="21"/>
                <w:szCs w:val="21"/>
              </w:rPr>
              <w:t xml:space="preserve">★</w:t>
            </w:r>
            <w:r>
              <w:rPr>
                <w:sz w:val="21"/>
                <w:szCs w:val="21"/>
              </w:rPr>
              <w:t xml:space="preserve">”</w:t>
            </w:r>
            <w:r>
              <w:rPr>
                <w:rFonts w:hint="eastAsia"/>
                <w:sz w:val="21"/>
                <w:szCs w:val="21"/>
              </w:rPr>
              <w:t xml:space="preserve">为一般技术参数，须提供有效期内的检测报告或检定证书或产品彩页或产品说明书或网页截图等佐证材料，若无佐证材料视为负偏离。</w:t>
            </w:r>
            <w:r/>
          </w:p>
        </w:tc>
      </w:tr>
      <w:tr>
        <w:trPr>
          <w:trHeight w:val="2064"/>
        </w:trPr>
        <w:tc>
          <w:tcPr>
            <w:tcW w:w="704" w:type="dxa"/>
            <w:vAlign w:val="center"/>
            <w:textDirection w:val="lrTb"/>
            <w:noWrap w:val="false"/>
          </w:tcPr>
          <w:p>
            <w:pPr>
              <w:pStyle w:val="981"/>
              <w:ind w:left="275"/>
              <w:jc w:val="center"/>
              <w:spacing w:before="81" w:line="244" w:lineRule="auto"/>
              <w:rPr>
                <w:rFonts w:ascii="Arial" w:hAnsi="Arial" w:cs="Arial" w:eastAsiaTheme="minorEastAsia"/>
                <w:sz w:val="21"/>
                <w:szCs w:val="21"/>
              </w:rPr>
            </w:pPr>
            <w:r>
              <w:rPr>
                <w:rFonts w:hint="eastAsia" w:ascii="Arial" w:hAnsi="Arial" w:cs="Arial" w:eastAsiaTheme="minorEastAsia"/>
                <w:sz w:val="21"/>
                <w:szCs w:val="21"/>
              </w:rPr>
              <w:t xml:space="preserve">3</w:t>
            </w:r>
            <w:r/>
          </w:p>
        </w:tc>
        <w:tc>
          <w:tcPr>
            <w:tcW w:w="1029" w:type="dxa"/>
            <w:vAlign w:val="center"/>
            <w:textDirection w:val="lrTb"/>
            <w:noWrap w:val="false"/>
          </w:tcPr>
          <w:p>
            <w:pPr>
              <w:pStyle w:val="981"/>
              <w:ind w:left="111" w:right="128"/>
              <w:jc w:val="center"/>
              <w:spacing w:before="25" w:line="220" w:lineRule="auto"/>
              <w:rPr>
                <w:sz w:val="21"/>
                <w:szCs w:val="21"/>
              </w:rPr>
            </w:pPr>
            <w:r>
              <w:rPr>
                <w:rFonts w:hint="eastAsia"/>
                <w:sz w:val="21"/>
                <w:szCs w:val="21"/>
              </w:rPr>
              <w:t xml:space="preserve">履约</w:t>
            </w:r>
            <w:r/>
          </w:p>
          <w:p>
            <w:pPr>
              <w:pStyle w:val="981"/>
              <w:ind w:left="111" w:right="128"/>
              <w:jc w:val="center"/>
              <w:spacing w:before="25" w:line="220" w:lineRule="auto"/>
              <w:rPr>
                <w:sz w:val="21"/>
                <w:szCs w:val="21"/>
              </w:rPr>
            </w:pPr>
            <w:r>
              <w:rPr>
                <w:rFonts w:hint="eastAsia"/>
                <w:sz w:val="21"/>
                <w:szCs w:val="21"/>
              </w:rPr>
              <w:t xml:space="preserve">能力</w:t>
            </w:r>
            <w:r/>
          </w:p>
        </w:tc>
        <w:tc>
          <w:tcPr>
            <w:tcW w:w="1139" w:type="dxa"/>
            <w:vAlign w:val="center"/>
            <w:textDirection w:val="lrTb"/>
            <w:noWrap w:val="false"/>
          </w:tcPr>
          <w:p>
            <w:pPr>
              <w:pStyle w:val="981"/>
              <w:ind w:left="492"/>
              <w:jc w:val="center"/>
              <w:spacing w:before="81" w:line="244" w:lineRule="auto"/>
              <w:rPr>
                <w:rFonts w:ascii="Arial" w:hAnsi="Arial" w:eastAsia="Arial" w:cs="Arial"/>
                <w:sz w:val="21"/>
                <w:szCs w:val="21"/>
              </w:rPr>
            </w:pPr>
            <w:r>
              <w:rPr>
                <w:rFonts w:ascii="Arial" w:hAnsi="Arial" w:eastAsia="Arial" w:cs="Arial"/>
                <w:sz w:val="21"/>
                <w:szCs w:val="21"/>
              </w:rPr>
              <w:t xml:space="preserve">6</w:t>
            </w:r>
            <w:r/>
          </w:p>
        </w:tc>
        <w:tc>
          <w:tcPr>
            <w:tcW w:w="6030" w:type="dxa"/>
            <w:textDirection w:val="lrTb"/>
            <w:noWrap w:val="false"/>
          </w:tcPr>
          <w:p>
            <w:pPr>
              <w:pStyle w:val="981"/>
              <w:ind w:right="79" w:firstLine="210"/>
              <w:spacing w:line="307" w:lineRule="auto"/>
              <w:rPr>
                <w:sz w:val="21"/>
                <w:szCs w:val="21"/>
              </w:rPr>
            </w:pPr>
            <w:r>
              <w:rPr>
                <w:sz w:val="21"/>
                <w:szCs w:val="21"/>
              </w:rPr>
              <w:t xml:space="preserve">1</w:t>
            </w:r>
            <w:r>
              <w:rPr>
                <w:rFonts w:hint="eastAsia"/>
                <w:sz w:val="21"/>
                <w:szCs w:val="21"/>
              </w:rPr>
              <w:t xml:space="preserve">、投标人为本项目派遣的项目负责人具备环境类专业高级技术职称证书的得</w:t>
            </w:r>
            <w:r>
              <w:rPr>
                <w:sz w:val="21"/>
                <w:szCs w:val="21"/>
              </w:rPr>
              <w:t xml:space="preserve">3</w:t>
            </w:r>
            <w:r>
              <w:rPr>
                <w:rFonts w:hint="eastAsia"/>
                <w:sz w:val="21"/>
                <w:szCs w:val="21"/>
              </w:rPr>
              <w:t xml:space="preserve">分，具备环境类专业中级技术职称证书的得</w:t>
            </w:r>
            <w:r>
              <w:rPr>
                <w:sz w:val="21"/>
                <w:szCs w:val="21"/>
              </w:rPr>
              <w:t xml:space="preserve">1</w:t>
            </w:r>
            <w:r>
              <w:rPr>
                <w:rFonts w:hint="eastAsia"/>
                <w:sz w:val="21"/>
                <w:szCs w:val="21"/>
              </w:rPr>
              <w:t xml:space="preserve">分；本项最高得</w:t>
            </w:r>
            <w:r>
              <w:rPr>
                <w:rFonts w:hint="eastAsia"/>
                <w:sz w:val="21"/>
                <w:szCs w:val="21"/>
                <w:lang w:val="en-US" w:eastAsia="zh-CN"/>
              </w:rPr>
              <w:t xml:space="preserve">3</w:t>
            </w:r>
            <w:r>
              <w:rPr>
                <w:rFonts w:hint="eastAsia"/>
                <w:sz w:val="21"/>
                <w:szCs w:val="21"/>
              </w:rPr>
              <w:t xml:space="preserve">分</w:t>
            </w:r>
            <w:r>
              <w:rPr>
                <w:rFonts w:hint="eastAsia"/>
                <w:sz w:val="21"/>
                <w:szCs w:val="21"/>
                <w:lang w:eastAsia="zh-CN"/>
              </w:rPr>
              <w:t xml:space="preserve">，</w:t>
            </w:r>
            <w:r>
              <w:rPr>
                <w:rFonts w:hint="eastAsia"/>
                <w:sz w:val="21"/>
                <w:szCs w:val="21"/>
              </w:rPr>
              <w:t xml:space="preserve">未提供的不得分。</w:t>
            </w:r>
            <w:r/>
          </w:p>
          <w:p>
            <w:pPr>
              <w:pStyle w:val="981"/>
              <w:ind w:right="79" w:firstLine="210"/>
              <w:spacing w:line="307" w:lineRule="auto"/>
              <w:rPr>
                <w:rFonts w:hint="eastAsia"/>
                <w:sz w:val="21"/>
                <w:szCs w:val="21"/>
              </w:rPr>
            </w:pPr>
            <w:r>
              <w:rPr>
                <w:sz w:val="21"/>
                <w:szCs w:val="21"/>
              </w:rPr>
              <w:t xml:space="preserve">2</w:t>
            </w:r>
            <w:r>
              <w:rPr>
                <w:rFonts w:hint="eastAsia"/>
                <w:sz w:val="21"/>
                <w:szCs w:val="21"/>
              </w:rPr>
              <w:t xml:space="preserve">、投标人为本项目配备的持证现场运维人员不少于1人，人员具备省级及以上生态环境部门颁发的空气自动监测运维相关合格证书或上岗证，每提供1名符合条件人员得1分，本项最高得2分。</w:t>
            </w:r>
            <w:r/>
          </w:p>
          <w:p>
            <w:pPr>
              <w:pStyle w:val="981"/>
              <w:ind w:right="79" w:firstLine="210"/>
              <w:spacing w:line="307" w:lineRule="auto"/>
              <w:rPr>
                <w:sz w:val="21"/>
                <w:szCs w:val="21"/>
              </w:rPr>
            </w:pPr>
            <w:r>
              <w:rPr>
                <w:sz w:val="21"/>
                <w:szCs w:val="21"/>
              </w:rPr>
              <w:t xml:space="preserve">3</w:t>
            </w:r>
            <w:r>
              <w:rPr>
                <w:rFonts w:hint="eastAsia"/>
                <w:sz w:val="21"/>
                <w:szCs w:val="21"/>
              </w:rPr>
              <w:t xml:space="preserve">、投标人应为本项目提供不少于</w:t>
            </w:r>
            <w:r>
              <w:rPr>
                <w:sz w:val="21"/>
                <w:szCs w:val="21"/>
              </w:rPr>
              <w:t xml:space="preserve">1</w:t>
            </w:r>
            <w:r>
              <w:rPr>
                <w:rFonts w:hint="eastAsia"/>
                <w:sz w:val="21"/>
                <w:szCs w:val="21"/>
              </w:rPr>
              <w:t xml:space="preserve">辆运维车辆，每提供</w:t>
            </w:r>
            <w:r>
              <w:rPr>
                <w:sz w:val="21"/>
                <w:szCs w:val="21"/>
              </w:rPr>
              <w:t xml:space="preserve">1</w:t>
            </w:r>
            <w:r>
              <w:rPr>
                <w:rFonts w:hint="eastAsia"/>
                <w:sz w:val="21"/>
                <w:szCs w:val="21"/>
              </w:rPr>
              <w:t xml:space="preserve">辆得</w:t>
            </w:r>
            <w:r>
              <w:rPr>
                <w:sz w:val="21"/>
                <w:szCs w:val="21"/>
              </w:rPr>
              <w:t xml:space="preserve">1</w:t>
            </w:r>
            <w:r>
              <w:rPr>
                <w:rFonts w:hint="eastAsia"/>
                <w:sz w:val="21"/>
                <w:szCs w:val="21"/>
              </w:rPr>
              <w:t xml:space="preserve">分，本项最高得</w:t>
            </w:r>
            <w:r>
              <w:rPr>
                <w:sz w:val="21"/>
                <w:szCs w:val="21"/>
              </w:rPr>
              <w:t xml:space="preserve">1</w:t>
            </w:r>
            <w:r>
              <w:rPr>
                <w:rFonts w:hint="eastAsia"/>
                <w:sz w:val="21"/>
                <w:szCs w:val="21"/>
              </w:rPr>
              <w:t xml:space="preserve">分，未提供的不得分。</w:t>
            </w:r>
            <w:r/>
          </w:p>
          <w:p>
            <w:pPr>
              <w:pStyle w:val="981"/>
              <w:ind w:right="79" w:firstLine="210"/>
              <w:spacing w:line="307" w:lineRule="auto"/>
              <w:rPr>
                <w:rFonts w:ascii="Arial" w:hAnsi="Arial" w:eastAsia="Arial" w:cs="Arial"/>
                <w:sz w:val="21"/>
                <w:szCs w:val="21"/>
              </w:rPr>
            </w:pPr>
            <w:r>
              <w:rPr>
                <w:rFonts w:hint="eastAsia"/>
                <w:sz w:val="21"/>
                <w:szCs w:val="21"/>
              </w:rPr>
              <w:t xml:space="preserve">注：投标时须同时提供人员相关证书复印件和开标前六个月内（不含开标当月）任意一个月投标人</w:t>
            </w:r>
            <w:r>
              <w:rPr>
                <w:rFonts w:hint="eastAsia"/>
                <w:sz w:val="21"/>
                <w:szCs w:val="21"/>
                <w:lang w:val="en-US" w:eastAsia="zh-CN"/>
              </w:rPr>
              <w:t xml:space="preserve">工资流水</w:t>
            </w:r>
            <w:r>
              <w:rPr>
                <w:rFonts w:hint="eastAsia"/>
                <w:sz w:val="21"/>
                <w:szCs w:val="21"/>
              </w:rPr>
              <w:t xml:space="preserve">证明复印件加盖投标人公章，提供投标人自有车辆行驶证件原件彩色扫描件或车辆租赁协议原件彩色扫描件并加盖投标人公章，否则不得分。</w:t>
            </w:r>
            <w:r/>
          </w:p>
        </w:tc>
      </w:tr>
      <w:tr>
        <w:trPr>
          <w:trHeight w:val="13877"/>
        </w:trPr>
        <w:tc>
          <w:tcPr>
            <w:tcW w:w="704" w:type="dxa"/>
            <w:vAlign w:val="center"/>
            <w:textDirection w:val="lrTb"/>
            <w:noWrap w:val="false"/>
          </w:tcPr>
          <w:p>
            <w:pPr>
              <w:pStyle w:val="981"/>
              <w:ind w:left="264"/>
              <w:jc w:val="center"/>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4</w:t>
            </w:r>
            <w:r/>
          </w:p>
        </w:tc>
        <w:tc>
          <w:tcPr>
            <w:tcW w:w="1029" w:type="dxa"/>
            <w:vAlign w:val="center"/>
            <w:textDirection w:val="lrTb"/>
            <w:noWrap w:val="false"/>
          </w:tcPr>
          <w:p>
            <w:pPr>
              <w:pStyle w:val="981"/>
              <w:ind w:left="80"/>
              <w:jc w:val="center"/>
              <w:spacing w:before="78" w:line="244" w:lineRule="auto"/>
              <w:rPr>
                <w:rFonts w:ascii="Arial" w:hAnsi="Arial" w:eastAsia="Arial" w:cs="Arial"/>
                <w:sz w:val="21"/>
                <w:szCs w:val="21"/>
              </w:rPr>
            </w:pPr>
            <w:r>
              <w:rPr>
                <w:rFonts w:hint="eastAsia"/>
                <w:sz w:val="21"/>
                <w:szCs w:val="21"/>
              </w:rPr>
              <w:t xml:space="preserve">项目实</w:t>
            </w:r>
            <w:r/>
          </w:p>
          <w:p>
            <w:pPr>
              <w:pStyle w:val="981"/>
              <w:ind w:left="80"/>
              <w:jc w:val="center"/>
              <w:spacing w:before="34" w:line="244" w:lineRule="auto"/>
              <w:rPr>
                <w:rFonts w:ascii="Arial" w:hAnsi="Arial" w:eastAsia="Arial" w:cs="Arial"/>
                <w:sz w:val="21"/>
                <w:szCs w:val="21"/>
              </w:rPr>
            </w:pPr>
            <w:r>
              <w:rPr>
                <w:rFonts w:hint="eastAsia"/>
                <w:sz w:val="21"/>
                <w:szCs w:val="21"/>
              </w:rPr>
              <w:t xml:space="preserve">施方案</w:t>
            </w:r>
            <w:r/>
          </w:p>
        </w:tc>
        <w:tc>
          <w:tcPr>
            <w:tcW w:w="1139" w:type="dxa"/>
            <w:vAlign w:val="center"/>
            <w:textDirection w:val="lrTb"/>
            <w:noWrap w:val="false"/>
          </w:tcPr>
          <w:p>
            <w:pPr>
              <w:pStyle w:val="981"/>
              <w:ind w:left="411"/>
              <w:jc w:val="center"/>
              <w:spacing w:before="78" w:line="244" w:lineRule="auto"/>
              <w:rPr>
                <w:rFonts w:ascii="Arial" w:hAnsi="Arial" w:eastAsia="Arial" w:cs="Arial"/>
                <w:sz w:val="21"/>
                <w:szCs w:val="21"/>
              </w:rPr>
            </w:pPr>
            <w:r>
              <w:rPr>
                <w:rFonts w:ascii="Arial" w:hAnsi="Arial" w:eastAsia="Arial" w:cs="Arial"/>
                <w:sz w:val="21"/>
                <w:szCs w:val="21"/>
              </w:rPr>
              <w:t xml:space="preserve">23</w:t>
            </w:r>
            <w:r/>
          </w:p>
        </w:tc>
        <w:tc>
          <w:tcPr>
            <w:tcW w:w="6030" w:type="dxa"/>
            <w:textDirection w:val="lrTb"/>
            <w:noWrap w:val="false"/>
          </w:tcPr>
          <w:p>
            <w:pPr>
              <w:pStyle w:val="981"/>
              <w:ind w:right="79" w:firstLine="210"/>
              <w:keepLines w:val="0"/>
              <w:keepNext w:val="0"/>
              <w:pageBreakBefore w:val="0"/>
              <w:spacing w:line="340" w:lineRule="exact"/>
              <w:widowControl w:val="off"/>
              <w:rPr>
                <w:rFonts w:hint="eastAsia"/>
                <w:sz w:val="21"/>
                <w:szCs w:val="21"/>
              </w:rPr>
            </w:pPr>
            <w:r>
              <w:rPr>
                <w:rFonts w:hint="eastAsia"/>
                <w:sz w:val="21"/>
                <w:szCs w:val="21"/>
              </w:rPr>
              <w:t xml:space="preserve">1、现场勘查情况说明：投标人应充分了解新建站点现场环境状况，编制现场情况说明（包括区域概况、站点位置、站点周边现状、站点建设条件、站点建设注意事项等）。由评委根据投标人提供现场勘查情况说明进行综合评分：</w:t>
            </w:r>
            <w:r/>
          </w:p>
          <w:p>
            <w:pPr>
              <w:pStyle w:val="981"/>
              <w:ind w:right="79" w:firstLine="210"/>
              <w:keepLines w:val="0"/>
              <w:keepNext w:val="0"/>
              <w:pageBreakBefore w:val="0"/>
              <w:spacing w:line="340" w:lineRule="exact"/>
              <w:widowControl w:val="off"/>
              <w:rPr>
                <w:rFonts w:hint="eastAsia"/>
                <w:sz w:val="21"/>
                <w:szCs w:val="21"/>
              </w:rPr>
            </w:pPr>
            <w:r>
              <w:rPr>
                <w:rFonts w:hint="eastAsia"/>
                <w:sz w:val="21"/>
                <w:szCs w:val="21"/>
              </w:rPr>
              <w:t xml:space="preserve">经现场勘查，编制的情况说明内容全面，切合实际，可操作性强，完全满足项目需求的得6分；</w:t>
            </w:r>
            <w:r/>
          </w:p>
          <w:p>
            <w:pPr>
              <w:pStyle w:val="981"/>
              <w:ind w:right="79" w:firstLine="210"/>
              <w:keepLines w:val="0"/>
              <w:keepNext w:val="0"/>
              <w:pageBreakBefore w:val="0"/>
              <w:spacing w:line="340" w:lineRule="exact"/>
              <w:widowControl w:val="off"/>
              <w:rPr>
                <w:rFonts w:hint="eastAsia"/>
                <w:sz w:val="21"/>
                <w:szCs w:val="21"/>
              </w:rPr>
            </w:pPr>
            <w:r>
              <w:rPr>
                <w:rFonts w:hint="eastAsia"/>
                <w:sz w:val="21"/>
                <w:szCs w:val="21"/>
              </w:rPr>
              <w:t xml:space="preserve">每有一项内容缺失的扣1.2分；</w:t>
            </w:r>
            <w:r/>
          </w:p>
          <w:p>
            <w:pPr>
              <w:pStyle w:val="981"/>
              <w:ind w:right="79" w:firstLine="210"/>
              <w:keepLines w:val="0"/>
              <w:keepNext w:val="0"/>
              <w:pageBreakBefore w:val="0"/>
              <w:spacing w:line="340" w:lineRule="exact"/>
              <w:widowControl w:val="off"/>
              <w:rPr>
                <w:rFonts w:hint="eastAsia"/>
                <w:sz w:val="21"/>
                <w:szCs w:val="21"/>
              </w:rPr>
            </w:pPr>
            <w:r>
              <w:rPr>
                <w:rFonts w:hint="eastAsia"/>
                <w:sz w:val="21"/>
                <w:szCs w:val="21"/>
              </w:rPr>
              <w:t xml:space="preserve">每有一处内容存在缺陷或不满足要求的扣0.</w:t>
            </w:r>
            <w:r>
              <w:rPr>
                <w:rFonts w:hint="eastAsia"/>
                <w:sz w:val="21"/>
                <w:szCs w:val="21"/>
                <w:lang w:val="en-US" w:eastAsia="zh-CN"/>
              </w:rPr>
              <w:t xml:space="preserve">4</w:t>
            </w:r>
            <w:r>
              <w:rPr>
                <w:rFonts w:hint="eastAsia"/>
                <w:sz w:val="21"/>
                <w:szCs w:val="21"/>
              </w:rPr>
              <w:t xml:space="preserve">分，扣完为止；</w:t>
            </w:r>
            <w:r/>
          </w:p>
          <w:p>
            <w:pPr>
              <w:pStyle w:val="981"/>
              <w:ind w:right="79" w:firstLine="210"/>
              <w:keepLines w:val="0"/>
              <w:keepNext w:val="0"/>
              <w:pageBreakBefore w:val="0"/>
              <w:spacing w:line="340" w:lineRule="exact"/>
              <w:widowControl w:val="off"/>
              <w:rPr>
                <w:rFonts w:hint="eastAsia"/>
                <w:sz w:val="21"/>
                <w:szCs w:val="21"/>
              </w:rPr>
            </w:pPr>
            <w:r>
              <w:rPr>
                <w:rFonts w:hint="eastAsia"/>
                <w:sz w:val="21"/>
                <w:szCs w:val="21"/>
              </w:rPr>
              <w:t xml:space="preserve">未提供现场勘查情况说明，或勘查说明与项目现场实际情况不符的，本项不得分。</w:t>
            </w:r>
            <w:r/>
          </w:p>
          <w:p>
            <w:pPr>
              <w:pStyle w:val="981"/>
              <w:ind w:right="79" w:firstLine="210"/>
              <w:keepLines w:val="0"/>
              <w:keepNext w:val="0"/>
              <w:pageBreakBefore w:val="0"/>
              <w:spacing w:line="340" w:lineRule="exact"/>
              <w:widowControl w:val="off"/>
              <w:rPr>
                <w:sz w:val="21"/>
                <w:szCs w:val="21"/>
              </w:rPr>
            </w:pPr>
            <w:r>
              <w:rPr>
                <w:rFonts w:hint="eastAsia"/>
                <w:sz w:val="21"/>
                <w:szCs w:val="21"/>
              </w:rPr>
              <w:t xml:space="preserve">2、项目建设实施方案：内容包括但不限于：项目实施进度计划、人员配置及分工、货物包装运输、设备安装调试、项目验收等。由评委根据投标人提供方案的完整性、针对性、可操作性等情况进行综合评分：</w:t>
            </w:r>
            <w:r/>
          </w:p>
          <w:p>
            <w:pPr>
              <w:pStyle w:val="981"/>
              <w:ind w:right="79" w:firstLine="210"/>
              <w:keepLines w:val="0"/>
              <w:keepNext w:val="0"/>
              <w:pageBreakBefore w:val="0"/>
              <w:spacing w:line="340" w:lineRule="exact"/>
              <w:widowControl w:val="off"/>
              <w:rPr>
                <w:sz w:val="21"/>
                <w:szCs w:val="21"/>
              </w:rPr>
            </w:pPr>
            <w:r>
              <w:rPr>
                <w:rFonts w:hint="eastAsia"/>
                <w:sz w:val="21"/>
                <w:szCs w:val="21"/>
              </w:rPr>
              <w:t xml:space="preserve">方案内容全面，切合实际，可操作性强，完全满足项目需求的得</w:t>
            </w:r>
            <w:r>
              <w:rPr>
                <w:sz w:val="21"/>
                <w:szCs w:val="21"/>
              </w:rPr>
              <w:t xml:space="preserve"> </w:t>
            </w:r>
            <w:r>
              <w:rPr>
                <w:rFonts w:hint="eastAsia"/>
                <w:sz w:val="21"/>
                <w:szCs w:val="21"/>
              </w:rPr>
              <w:t xml:space="preserve">6分；</w:t>
            </w:r>
            <w:r/>
          </w:p>
          <w:p>
            <w:pPr>
              <w:pStyle w:val="981"/>
              <w:ind w:right="79" w:firstLine="210"/>
              <w:keepLines w:val="0"/>
              <w:keepNext w:val="0"/>
              <w:pageBreakBefore w:val="0"/>
              <w:spacing w:line="340" w:lineRule="exact"/>
              <w:widowControl w:val="off"/>
              <w:rPr>
                <w:sz w:val="21"/>
                <w:szCs w:val="21"/>
              </w:rPr>
            </w:pPr>
            <w:r>
              <w:rPr>
                <w:rFonts w:hint="eastAsia"/>
                <w:sz w:val="21"/>
                <w:szCs w:val="21"/>
              </w:rPr>
              <w:t xml:space="preserve">每有一项内容缺失的扣</w:t>
            </w:r>
            <w:r>
              <w:rPr>
                <w:sz w:val="21"/>
                <w:szCs w:val="21"/>
              </w:rPr>
              <w:t xml:space="preserve">1.</w:t>
            </w:r>
            <w:r>
              <w:rPr>
                <w:rFonts w:hint="eastAsia"/>
                <w:sz w:val="21"/>
                <w:szCs w:val="21"/>
              </w:rPr>
              <w:t xml:space="preserve">2分；</w:t>
            </w:r>
            <w:r/>
          </w:p>
          <w:p>
            <w:pPr>
              <w:pStyle w:val="981"/>
              <w:ind w:right="79" w:firstLine="210"/>
              <w:keepLines w:val="0"/>
              <w:keepNext w:val="0"/>
              <w:pageBreakBefore w:val="0"/>
              <w:spacing w:line="340" w:lineRule="exact"/>
              <w:widowControl w:val="off"/>
              <w:rPr>
                <w:sz w:val="21"/>
                <w:szCs w:val="21"/>
              </w:rPr>
            </w:pPr>
            <w:r>
              <w:rPr>
                <w:rFonts w:hint="eastAsia"/>
                <w:sz w:val="21"/>
                <w:szCs w:val="21"/>
              </w:rPr>
              <w:t xml:space="preserve">每有一处内容存在缺陷或不满足要求的扣</w:t>
            </w:r>
            <w:r>
              <w:rPr>
                <w:sz w:val="21"/>
                <w:szCs w:val="21"/>
              </w:rPr>
              <w:t xml:space="preserve">0.</w:t>
            </w:r>
            <w:r>
              <w:rPr>
                <w:rFonts w:hint="eastAsia"/>
                <w:sz w:val="21"/>
                <w:szCs w:val="21"/>
                <w:lang w:val="en-US" w:eastAsia="zh-CN"/>
              </w:rPr>
              <w:t xml:space="preserve">4</w:t>
            </w:r>
            <w:r>
              <w:rPr>
                <w:rFonts w:hint="eastAsia"/>
                <w:sz w:val="21"/>
                <w:szCs w:val="21"/>
              </w:rPr>
              <w:t xml:space="preserve">分，扣完为止；</w:t>
            </w:r>
            <w:r/>
          </w:p>
          <w:p>
            <w:pPr>
              <w:pStyle w:val="981"/>
              <w:ind w:right="79" w:firstLine="210"/>
              <w:keepLines w:val="0"/>
              <w:keepNext w:val="0"/>
              <w:pageBreakBefore w:val="0"/>
              <w:spacing w:line="340" w:lineRule="exact"/>
              <w:widowControl w:val="off"/>
              <w:rPr>
                <w:sz w:val="21"/>
                <w:szCs w:val="21"/>
              </w:rPr>
            </w:pPr>
            <w:r>
              <w:rPr>
                <w:rFonts w:hint="eastAsia"/>
                <w:sz w:val="21"/>
                <w:szCs w:val="21"/>
              </w:rPr>
              <w:t xml:space="preserve">未提供方案不得分。</w:t>
            </w:r>
            <w:r/>
          </w:p>
          <w:p>
            <w:pPr>
              <w:pStyle w:val="981"/>
              <w:ind w:right="79" w:firstLine="210"/>
              <w:keepLines w:val="0"/>
              <w:keepNext w:val="0"/>
              <w:pageBreakBefore w:val="0"/>
              <w:spacing w:line="340" w:lineRule="exact"/>
              <w:widowControl w:val="off"/>
              <w:rPr>
                <w:sz w:val="21"/>
                <w:szCs w:val="21"/>
              </w:rPr>
            </w:pPr>
            <w:r>
              <w:rPr>
                <w:rFonts w:hint="eastAsia"/>
                <w:sz w:val="21"/>
                <w:szCs w:val="21"/>
              </w:rPr>
              <w:t xml:space="preserve">3、运维服务方案：内容包括但不限于：日常运维方案、数据管理方案、运维质控体系建立和实施、安全保障、应急预案等。由评委根据投标人提供方案的完整性、针对性、可操作性等情况进行综合评分：</w:t>
            </w:r>
            <w:r/>
          </w:p>
          <w:p>
            <w:pPr>
              <w:pStyle w:val="981"/>
              <w:ind w:right="79" w:firstLine="210"/>
              <w:keepLines w:val="0"/>
              <w:keepNext w:val="0"/>
              <w:pageBreakBefore w:val="0"/>
              <w:spacing w:line="340" w:lineRule="exact"/>
              <w:widowControl w:val="off"/>
              <w:rPr>
                <w:sz w:val="21"/>
                <w:szCs w:val="21"/>
              </w:rPr>
            </w:pPr>
            <w:r>
              <w:rPr>
                <w:rFonts w:hint="eastAsia"/>
                <w:sz w:val="21"/>
                <w:szCs w:val="21"/>
              </w:rPr>
              <w:t xml:space="preserve">方案内容全面，切合实际，可操作性强，完全满足项目需求的得6分；</w:t>
            </w:r>
            <w:r/>
          </w:p>
          <w:p>
            <w:pPr>
              <w:pStyle w:val="981"/>
              <w:ind w:right="79" w:firstLine="210"/>
              <w:keepLines w:val="0"/>
              <w:keepNext w:val="0"/>
              <w:pageBreakBefore w:val="0"/>
              <w:spacing w:line="340" w:lineRule="exact"/>
              <w:widowControl w:val="off"/>
              <w:rPr>
                <w:sz w:val="21"/>
                <w:szCs w:val="21"/>
              </w:rPr>
            </w:pPr>
            <w:r>
              <w:rPr>
                <w:rFonts w:hint="eastAsia"/>
                <w:sz w:val="21"/>
                <w:szCs w:val="21"/>
              </w:rPr>
              <w:t xml:space="preserve">每有一项内容缺失的扣1.2分；</w:t>
            </w:r>
            <w:r/>
          </w:p>
          <w:p>
            <w:pPr>
              <w:pStyle w:val="981"/>
              <w:ind w:right="79" w:firstLine="210"/>
              <w:keepLines w:val="0"/>
              <w:keepNext w:val="0"/>
              <w:pageBreakBefore w:val="0"/>
              <w:spacing w:line="340" w:lineRule="exact"/>
              <w:widowControl w:val="off"/>
              <w:rPr>
                <w:sz w:val="21"/>
                <w:szCs w:val="21"/>
              </w:rPr>
            </w:pPr>
            <w:r>
              <w:rPr>
                <w:rFonts w:hint="eastAsia"/>
                <w:sz w:val="21"/>
                <w:szCs w:val="21"/>
              </w:rPr>
              <w:t xml:space="preserve">每有一处内容存在缺陷或不满足要求的扣</w:t>
            </w:r>
            <w:r>
              <w:rPr>
                <w:sz w:val="21"/>
                <w:szCs w:val="21"/>
              </w:rPr>
              <w:t xml:space="preserve">0.</w:t>
            </w:r>
            <w:r>
              <w:rPr>
                <w:rFonts w:hint="eastAsia"/>
                <w:sz w:val="21"/>
                <w:szCs w:val="21"/>
                <w:lang w:val="en-US" w:eastAsia="zh-CN"/>
              </w:rPr>
              <w:t xml:space="preserve">4</w:t>
            </w:r>
            <w:r>
              <w:rPr>
                <w:rFonts w:hint="eastAsia"/>
                <w:sz w:val="21"/>
                <w:szCs w:val="21"/>
              </w:rPr>
              <w:t xml:space="preserve">分，扣完为止；</w:t>
            </w:r>
            <w:r/>
          </w:p>
          <w:p>
            <w:pPr>
              <w:pStyle w:val="981"/>
              <w:ind w:right="79" w:firstLine="210"/>
              <w:keepLines w:val="0"/>
              <w:keepNext w:val="0"/>
              <w:pageBreakBefore w:val="0"/>
              <w:spacing w:line="340" w:lineRule="exact"/>
              <w:widowControl w:val="off"/>
              <w:rPr>
                <w:sz w:val="21"/>
                <w:szCs w:val="21"/>
              </w:rPr>
            </w:pPr>
            <w:r>
              <w:rPr>
                <w:rFonts w:hint="eastAsia"/>
                <w:sz w:val="21"/>
                <w:szCs w:val="21"/>
              </w:rPr>
              <w:t xml:space="preserve">未提供方案不得分。</w:t>
            </w:r>
            <w:r/>
          </w:p>
          <w:p>
            <w:pPr>
              <w:pStyle w:val="981"/>
              <w:ind w:right="79" w:firstLine="210"/>
              <w:keepLines w:val="0"/>
              <w:keepNext w:val="0"/>
              <w:pageBreakBefore w:val="0"/>
              <w:spacing w:line="340" w:lineRule="exact"/>
              <w:widowControl w:val="off"/>
              <w:rPr>
                <w:sz w:val="21"/>
                <w:szCs w:val="21"/>
              </w:rPr>
            </w:pPr>
            <w:r>
              <w:rPr>
                <w:rFonts w:hint="eastAsia"/>
                <w:sz w:val="21"/>
                <w:szCs w:val="21"/>
              </w:rPr>
              <w:t xml:space="preserve">4、售后服务方案：内容包括但不限于：质保方案、售后服务、技术培训、软件免费升级服务措施、备品备件及耗材保障措施等。由评委根据投标人提供后续服务的响应程度、服务质量等方面进行综合评分；</w:t>
            </w:r>
            <w:r/>
          </w:p>
          <w:p>
            <w:pPr>
              <w:pStyle w:val="981"/>
              <w:ind w:right="79" w:firstLine="210"/>
              <w:keepLines w:val="0"/>
              <w:keepNext w:val="0"/>
              <w:pageBreakBefore w:val="0"/>
              <w:spacing w:line="340" w:lineRule="exact"/>
              <w:widowControl w:val="off"/>
              <w:rPr>
                <w:sz w:val="21"/>
                <w:szCs w:val="21"/>
              </w:rPr>
            </w:pPr>
            <w:r>
              <w:rPr>
                <w:rFonts w:hint="eastAsia"/>
                <w:sz w:val="21"/>
                <w:szCs w:val="21"/>
              </w:rPr>
              <w:t xml:space="preserve">方案内容全面，切合实际，可操作性强，能够完全满足项目需求的得</w:t>
            </w:r>
            <w:r>
              <w:rPr>
                <w:sz w:val="21"/>
                <w:szCs w:val="21"/>
              </w:rPr>
              <w:t xml:space="preserve">5</w:t>
            </w:r>
            <w:r>
              <w:rPr>
                <w:rFonts w:hint="eastAsia"/>
                <w:sz w:val="21"/>
                <w:szCs w:val="21"/>
              </w:rPr>
              <w:t xml:space="preserve">分；</w:t>
            </w:r>
            <w:r/>
          </w:p>
          <w:p>
            <w:pPr>
              <w:pStyle w:val="981"/>
              <w:ind w:right="79" w:firstLine="210"/>
              <w:keepLines w:val="0"/>
              <w:keepNext w:val="0"/>
              <w:pageBreakBefore w:val="0"/>
              <w:spacing w:line="340" w:lineRule="exact"/>
              <w:widowControl w:val="off"/>
              <w:rPr>
                <w:sz w:val="21"/>
                <w:szCs w:val="21"/>
              </w:rPr>
            </w:pPr>
            <w:r>
              <w:rPr>
                <w:rFonts w:hint="eastAsia"/>
                <w:sz w:val="21"/>
                <w:szCs w:val="21"/>
              </w:rPr>
              <w:t xml:space="preserve">每有一项内容缺失的扣</w:t>
            </w:r>
            <w:r>
              <w:rPr>
                <w:sz w:val="21"/>
                <w:szCs w:val="21"/>
              </w:rPr>
              <w:t xml:space="preserve">1</w:t>
            </w:r>
            <w:r>
              <w:rPr>
                <w:rFonts w:hint="eastAsia"/>
                <w:sz w:val="21"/>
                <w:szCs w:val="21"/>
              </w:rPr>
              <w:t xml:space="preserve">分；</w:t>
            </w:r>
            <w:r/>
          </w:p>
          <w:p>
            <w:pPr>
              <w:pStyle w:val="981"/>
              <w:ind w:right="79" w:firstLine="210"/>
              <w:keepLines w:val="0"/>
              <w:keepNext w:val="0"/>
              <w:pageBreakBefore w:val="0"/>
              <w:spacing w:line="340" w:lineRule="exact"/>
              <w:widowControl w:val="off"/>
              <w:rPr>
                <w:sz w:val="21"/>
                <w:szCs w:val="21"/>
              </w:rPr>
            </w:pPr>
            <w:r>
              <w:rPr>
                <w:rFonts w:hint="eastAsia"/>
                <w:sz w:val="21"/>
                <w:szCs w:val="21"/>
              </w:rPr>
              <w:t xml:space="preserve">每有一处内容存在缺陷或不满足要求的扣</w:t>
            </w:r>
            <w:r>
              <w:rPr>
                <w:sz w:val="21"/>
                <w:szCs w:val="21"/>
              </w:rPr>
              <w:t xml:space="preserve">0.5</w:t>
            </w:r>
            <w:r>
              <w:rPr>
                <w:rFonts w:hint="eastAsia"/>
                <w:sz w:val="21"/>
                <w:szCs w:val="21"/>
              </w:rPr>
              <w:t xml:space="preserve">分，扣完为止；</w:t>
            </w:r>
            <w:r>
              <w:rPr>
                <w:sz w:val="21"/>
                <w:szCs w:val="21"/>
              </w:rPr>
              <w:t xml:space="preserve">未提供方案不得分。</w:t>
            </w:r>
            <w:r/>
          </w:p>
          <w:p>
            <w:pPr>
              <w:pStyle w:val="981"/>
              <w:ind w:right="79" w:firstLine="210"/>
              <w:keepLines w:val="0"/>
              <w:keepNext w:val="0"/>
              <w:pageBreakBefore w:val="0"/>
              <w:spacing w:line="340" w:lineRule="exact"/>
              <w:widowControl w:val="off"/>
              <w:rPr>
                <w:sz w:val="21"/>
                <w:szCs w:val="21"/>
              </w:rPr>
            </w:pPr>
            <w:r>
              <w:rPr>
                <w:sz w:val="21"/>
                <w:szCs w:val="21"/>
              </w:rPr>
              <w:t xml:space="preserve">注：缺陷或不满足指：内容不全面、不清晰或交叉混乱、与实际需求不符、表述前后不一致或内容矛盾、语句有歧义、有规范性或常识性错误、套用其他项目方案、存在无关的事项、凭空编造、存在不可能实现的夸大情形等任意一种情形。</w:t>
            </w:r>
            <w:r/>
          </w:p>
        </w:tc>
      </w:tr>
      <w:tr>
        <w:trPr>
          <w:trHeight w:val="2117"/>
        </w:trPr>
        <w:tc>
          <w:tcPr>
            <w:tcW w:w="704" w:type="dxa"/>
            <w:vAlign w:val="center"/>
            <w:textDirection w:val="lrTb"/>
            <w:noWrap w:val="false"/>
          </w:tcPr>
          <w:p>
            <w:pPr>
              <w:pStyle w:val="981"/>
              <w:ind w:left="264"/>
              <w:jc w:val="center"/>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5</w:t>
            </w:r>
            <w:r/>
          </w:p>
        </w:tc>
        <w:tc>
          <w:tcPr>
            <w:tcW w:w="1029" w:type="dxa"/>
            <w:vAlign w:val="center"/>
            <w:textDirection w:val="lrTb"/>
            <w:noWrap w:val="false"/>
          </w:tcPr>
          <w:p>
            <w:pPr>
              <w:pStyle w:val="981"/>
              <w:ind w:left="264" w:right="117"/>
              <w:jc w:val="center"/>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投标人业绩</w:t>
            </w:r>
            <w:r/>
          </w:p>
        </w:tc>
        <w:tc>
          <w:tcPr>
            <w:tcW w:w="1139" w:type="dxa"/>
            <w:vAlign w:val="center"/>
            <w:textDirection w:val="lrTb"/>
            <w:noWrap w:val="false"/>
          </w:tcPr>
          <w:p>
            <w:pPr>
              <w:pStyle w:val="981"/>
              <w:ind w:left="264"/>
              <w:jc w:val="center"/>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6</w:t>
            </w:r>
            <w:r/>
          </w:p>
        </w:tc>
        <w:tc>
          <w:tcPr>
            <w:tcW w:w="6030" w:type="dxa"/>
            <w:textDirection w:val="lrTb"/>
            <w:noWrap w:val="false"/>
          </w:tcPr>
          <w:p>
            <w:pPr>
              <w:pStyle w:val="981"/>
              <w:ind w:left="264" w:right="74"/>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自202</w:t>
            </w:r>
            <w:r>
              <w:rPr>
                <w:rFonts w:hint="eastAsia" w:ascii="Arial" w:hAnsi="Arial" w:cs="Arial" w:eastAsiaTheme="minorEastAsia"/>
                <w:sz w:val="21"/>
                <w:szCs w:val="21"/>
                <w:lang w:val="en-US" w:eastAsia="zh-CN"/>
              </w:rPr>
              <w:t xml:space="preserve">3</w:t>
            </w:r>
            <w:r>
              <w:rPr>
                <w:rFonts w:hint="eastAsia" w:ascii="Arial" w:hAnsi="Arial" w:cs="Arial" w:eastAsiaTheme="minorEastAsia"/>
                <w:sz w:val="21"/>
                <w:szCs w:val="21"/>
              </w:rPr>
              <w:t xml:space="preserve">年1月1日至本项目投标截止日期前（以合同签订时间为准），投标人具有标准空气站且包含</w:t>
            </w:r>
            <w:r>
              <w:rPr>
                <w:rFonts w:ascii="Arial" w:hAnsi="Arial" w:cs="Arial" w:eastAsiaTheme="minorEastAsia"/>
                <w:sz w:val="21"/>
                <w:szCs w:val="21"/>
              </w:rPr>
              <w:t xml:space="preserve">VOCs</w:t>
            </w:r>
            <w:r>
              <w:rPr>
                <w:rFonts w:hint="eastAsia" w:ascii="Arial" w:hAnsi="Arial" w:cs="Arial" w:eastAsiaTheme="minorEastAsia"/>
                <w:sz w:val="21"/>
                <w:szCs w:val="21"/>
              </w:rPr>
              <w:t xml:space="preserve">在线监测系统（</w:t>
            </w:r>
            <w:r>
              <w:rPr>
                <w:rFonts w:ascii="Arial" w:hAnsi="Arial" w:cs="Arial" w:eastAsiaTheme="minorEastAsia"/>
                <w:sz w:val="21"/>
                <w:szCs w:val="21"/>
              </w:rPr>
              <w:t xml:space="preserve">57</w:t>
            </w:r>
            <w:r>
              <w:rPr>
                <w:rFonts w:hint="eastAsia" w:ascii="Arial" w:hAnsi="Arial" w:cs="Arial" w:eastAsiaTheme="minorEastAsia"/>
                <w:sz w:val="21"/>
                <w:szCs w:val="21"/>
              </w:rPr>
              <w:t xml:space="preserve">种</w:t>
            </w:r>
            <w:r>
              <w:rPr>
                <w:rFonts w:ascii="Arial" w:hAnsi="Arial" w:cs="Arial" w:eastAsiaTheme="minorEastAsia"/>
                <w:sz w:val="21"/>
                <w:szCs w:val="21"/>
              </w:rPr>
              <w:t xml:space="preserve">PAMS</w:t>
            </w:r>
            <w:r>
              <w:rPr>
                <w:rFonts w:hint="eastAsia" w:ascii="Arial" w:hAnsi="Arial" w:cs="Arial" w:eastAsiaTheme="minorEastAsia"/>
                <w:sz w:val="21"/>
                <w:szCs w:val="21"/>
              </w:rPr>
              <w:t xml:space="preserve">物质）项目业绩的，每提供1个业绩得3分，最高得6分。</w:t>
            </w:r>
            <w:r/>
          </w:p>
          <w:p>
            <w:pPr>
              <w:pStyle w:val="981"/>
              <w:ind w:left="264" w:right="59"/>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注：请列表汇总，并同时提供合同原件彩色扫描件加盖投标人公章，未提供或提供不全不得分。</w:t>
            </w:r>
            <w:r/>
          </w:p>
        </w:tc>
      </w:tr>
      <w:tr>
        <w:trPr>
          <w:trHeight w:val="1700"/>
        </w:trPr>
        <w:tc>
          <w:tcPr>
            <w:tcW w:w="704" w:type="dxa"/>
            <w:vAlign w:val="center"/>
            <w:textDirection w:val="lrTb"/>
            <w:noWrap w:val="false"/>
          </w:tcPr>
          <w:p>
            <w:pPr>
              <w:pStyle w:val="981"/>
              <w:ind w:left="264"/>
              <w:jc w:val="center"/>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6</w:t>
            </w:r>
            <w:r/>
          </w:p>
        </w:tc>
        <w:tc>
          <w:tcPr>
            <w:tcW w:w="1029" w:type="dxa"/>
            <w:vAlign w:val="center"/>
            <w:textDirection w:val="lrTb"/>
            <w:noWrap w:val="false"/>
          </w:tcPr>
          <w:p>
            <w:pPr>
              <w:pStyle w:val="981"/>
              <w:ind w:left="264"/>
              <w:jc w:val="center"/>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服务</w:t>
            </w:r>
            <w:r/>
          </w:p>
          <w:p>
            <w:pPr>
              <w:pStyle w:val="981"/>
              <w:ind w:left="264"/>
              <w:jc w:val="center"/>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承诺</w:t>
            </w:r>
            <w:r/>
          </w:p>
        </w:tc>
        <w:tc>
          <w:tcPr>
            <w:tcW w:w="1139" w:type="dxa"/>
            <w:vAlign w:val="center"/>
            <w:textDirection w:val="lrTb"/>
            <w:noWrap w:val="false"/>
          </w:tcPr>
          <w:p>
            <w:pPr>
              <w:pStyle w:val="981"/>
              <w:ind w:left="264"/>
              <w:jc w:val="center"/>
              <w:spacing w:before="78" w:line="244" w:lineRule="auto"/>
              <w:rPr>
                <w:rFonts w:hint="eastAsia" w:ascii="Arial" w:hAnsi="Arial" w:cs="Arial" w:eastAsiaTheme="minorEastAsia"/>
                <w:sz w:val="21"/>
                <w:szCs w:val="21"/>
                <w:lang w:eastAsia="zh-CN"/>
              </w:rPr>
            </w:pPr>
            <w:r>
              <w:rPr>
                <w:rFonts w:hint="eastAsia" w:ascii="Arial" w:hAnsi="Arial" w:cs="Arial" w:eastAsiaTheme="minorEastAsia"/>
                <w:sz w:val="21"/>
                <w:szCs w:val="21"/>
                <w:lang w:val="en-US" w:eastAsia="zh-CN"/>
              </w:rPr>
              <w:t xml:space="preserve">5</w:t>
            </w:r>
            <w:r/>
          </w:p>
        </w:tc>
        <w:tc>
          <w:tcPr>
            <w:tcW w:w="6030" w:type="dxa"/>
            <w:textDirection w:val="lrTb"/>
            <w:noWrap w:val="false"/>
          </w:tcPr>
          <w:p>
            <w:pPr>
              <w:pStyle w:val="981"/>
              <w:ind w:left="264" w:right="16"/>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投标人提供书面承诺书，承诺在中标后按时保质保量完成服务内容，若不能按序时完成或服务质量达不到要求的，扣除项目总价的10％－15％（视情况而定）。备注：须提供完整内容的承诺书加盖投标人公章，否则不得分。本项最高得</w:t>
            </w:r>
            <w:r>
              <w:rPr>
                <w:rFonts w:hint="eastAsia" w:ascii="Arial" w:hAnsi="Arial" w:cs="Arial" w:eastAsiaTheme="minorEastAsia"/>
                <w:sz w:val="21"/>
                <w:szCs w:val="21"/>
                <w:lang w:val="en-US" w:eastAsia="zh-CN"/>
              </w:rPr>
              <w:t xml:space="preserve">5</w:t>
            </w:r>
            <w:r>
              <w:rPr>
                <w:rFonts w:hint="eastAsia" w:ascii="Arial" w:hAnsi="Arial" w:cs="Arial" w:eastAsiaTheme="minorEastAsia"/>
                <w:sz w:val="21"/>
                <w:szCs w:val="21"/>
              </w:rPr>
              <w:t xml:space="preserve">分。</w:t>
            </w:r>
            <w:r/>
          </w:p>
        </w:tc>
      </w:tr>
      <w:tr>
        <w:trPr>
          <w:trHeight w:val="2343"/>
        </w:trPr>
        <w:tc>
          <w:tcPr>
            <w:tcW w:w="704" w:type="dxa"/>
            <w:vAlign w:val="center"/>
            <w:textDirection w:val="lrTb"/>
            <w:noWrap w:val="false"/>
          </w:tcPr>
          <w:p>
            <w:pPr>
              <w:pStyle w:val="981"/>
              <w:ind w:left="264"/>
              <w:jc w:val="center"/>
              <w:spacing w:before="78" w:line="244" w:lineRule="auto"/>
              <w:rPr>
                <w:rFonts w:ascii="Arial" w:hAnsi="Arial" w:cs="Arial" w:eastAsiaTheme="minorEastAsia"/>
                <w:sz w:val="21"/>
                <w:szCs w:val="21"/>
              </w:rPr>
            </w:pPr>
            <w:r/>
            <w:bookmarkStart w:id="125" w:name="_Hlk234511566"/>
            <w:r>
              <w:rPr>
                <w:rFonts w:hint="eastAsia" w:ascii="Arial" w:hAnsi="Arial" w:cs="Arial" w:eastAsiaTheme="minorEastAsia"/>
                <w:sz w:val="21"/>
                <w:szCs w:val="21"/>
              </w:rPr>
              <w:t xml:space="preserve">7</w:t>
            </w:r>
            <w:r/>
          </w:p>
        </w:tc>
        <w:tc>
          <w:tcPr>
            <w:tcW w:w="1029" w:type="dxa"/>
            <w:vAlign w:val="center"/>
            <w:textDirection w:val="lrTb"/>
            <w:noWrap w:val="false"/>
          </w:tcPr>
          <w:p>
            <w:pPr>
              <w:pStyle w:val="981"/>
              <w:ind w:left="264" w:right="95" w:hanging="170"/>
              <w:jc w:val="center"/>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节能</w:t>
            </w:r>
            <w:r/>
          </w:p>
          <w:p>
            <w:pPr>
              <w:pStyle w:val="981"/>
              <w:ind w:left="264" w:right="95" w:hanging="170"/>
              <w:jc w:val="center"/>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环 保</w:t>
            </w:r>
            <w:r/>
          </w:p>
        </w:tc>
        <w:tc>
          <w:tcPr>
            <w:tcW w:w="1139" w:type="dxa"/>
            <w:vAlign w:val="center"/>
            <w:textDirection w:val="lrTb"/>
            <w:noWrap w:val="false"/>
          </w:tcPr>
          <w:p>
            <w:pPr>
              <w:pStyle w:val="981"/>
              <w:ind w:left="264"/>
              <w:jc w:val="center"/>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2</w:t>
            </w:r>
            <w:r/>
          </w:p>
        </w:tc>
        <w:tc>
          <w:tcPr>
            <w:tcW w:w="6030" w:type="dxa"/>
            <w:textDirection w:val="lrTb"/>
            <w:noWrap w:val="false"/>
          </w:tcPr>
          <w:p>
            <w:pPr>
              <w:pStyle w:val="981"/>
              <w:ind w:left="264"/>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w:t>
            </w:r>
            <w:r/>
          </w:p>
          <w:p>
            <w:pPr>
              <w:pStyle w:val="981"/>
              <w:ind w:left="264" w:right="6"/>
              <w:spacing w:before="78" w:line="244" w:lineRule="auto"/>
              <w:rPr>
                <w:rFonts w:ascii="Arial" w:hAnsi="Arial" w:cs="Arial" w:eastAsiaTheme="minorEastAsia"/>
                <w:sz w:val="21"/>
                <w:szCs w:val="21"/>
              </w:rPr>
            </w:pPr>
            <w:r>
              <w:rPr>
                <w:rFonts w:hint="eastAsia" w:ascii="Arial" w:hAnsi="Arial" w:cs="Arial" w:eastAsiaTheme="minorEastAsia"/>
                <w:sz w:val="21"/>
                <w:szCs w:val="21"/>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bookmarkEnd w:id="125"/>
            <w:r/>
            <w:r/>
          </w:p>
        </w:tc>
      </w:tr>
    </w:tbl>
    <w:p>
      <w:pPr>
        <w:pStyle w:val="798"/>
        <w:rPr>
          <w:color w:val="auto"/>
        </w:rPr>
      </w:pPr>
      <w:r>
        <w:rPr>
          <w:rFonts w:hint="eastAsia"/>
          <w:color w:val="auto"/>
        </w:rPr>
        <w:t xml:space="preserve">备注：</w:t>
      </w:r>
      <w:r/>
    </w:p>
    <w:p>
      <w:pPr>
        <w:pStyle w:val="967"/>
        <w:numPr>
          <w:ilvl w:val="0"/>
          <w:numId w:val="14"/>
        </w:numPr>
        <w:ind w:left="0" w:firstLine="425"/>
        <w:spacing w:line="360" w:lineRule="auto"/>
        <w:rPr>
          <w:rFonts w:ascii="宋体" w:hAnsi="宋体" w:eastAsia="宋体" w:cs="宋体"/>
        </w:rPr>
      </w:pPr>
      <w:r>
        <w:rPr>
          <w:rFonts w:hint="eastAsia" w:ascii="宋体" w:hAnsi="宋体" w:eastAsia="宋体" w:cs="宋体"/>
        </w:rPr>
        <w:t xml:space="preserve">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r/>
    </w:p>
    <w:p>
      <w:pPr>
        <w:pStyle w:val="967"/>
        <w:numPr>
          <w:ilvl w:val="0"/>
          <w:numId w:val="14"/>
        </w:numPr>
        <w:ind w:left="0" w:firstLine="425"/>
        <w:spacing w:line="360" w:lineRule="auto"/>
        <w:rPr>
          <w:rFonts w:ascii="宋体" w:hAnsi="宋体" w:eastAsia="宋体" w:cs="宋体"/>
        </w:rPr>
      </w:pPr>
      <w:r>
        <w:rPr>
          <w:rFonts w:hint="eastAsia" w:ascii="宋体" w:hAnsi="宋体" w:eastAsia="宋体" w:cs="宋体"/>
        </w:rPr>
        <w:t xml:space="preserve">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pStyle w:val="967"/>
        <w:numPr>
          <w:ilvl w:val="0"/>
          <w:numId w:val="14"/>
        </w:numPr>
        <w:ind w:left="0" w:firstLine="425"/>
        <w:spacing w:line="360" w:lineRule="auto"/>
        <w:rPr>
          <w:rFonts w:ascii="宋体" w:hAnsi="宋体" w:eastAsia="宋体"/>
        </w:rPr>
      </w:pPr>
      <w:r>
        <w:rPr>
          <w:rFonts w:hint="eastAsia" w:ascii="宋体" w:hAnsi="宋体" w:eastAsia="宋体" w:cs="宋体"/>
          <w:b/>
          <w:bCs/>
        </w:rPr>
        <w:t xml:space="preserve">中标人须在合同签订前向采购人提供其投标文件中书面承诺的支撑资料，否则采购人有权取消其中标资格。</w:t>
      </w:r>
      <w:r>
        <w:rPr>
          <w:rFonts w:hint="eastAsia" w:ascii="宋体" w:hAnsi="宋体" w:eastAsia="宋体"/>
        </w:rPr>
        <w:br w:type="page" w:clear="all"/>
      </w:r>
      <w:r/>
    </w:p>
    <w:p>
      <w:pPr>
        <w:pStyle w:val="764"/>
        <w:numPr>
          <w:ilvl w:val="0"/>
          <w:numId w:val="1"/>
        </w:numPr>
        <w:ind w:left="0" w:firstLine="0"/>
        <w:jc w:val="center"/>
        <w:keepLines w:val="0"/>
        <w:keepNext w:val="0"/>
        <w:spacing w:before="0" w:beforeAutospacing="1" w:after="0" w:afterAutospacing="1" w:line="360" w:lineRule="auto"/>
        <w:rPr>
          <w:rFonts w:ascii="宋体" w:hAnsi="宋体" w:eastAsia="宋体" w:cs="Times New Roman"/>
          <w:b/>
          <w:bCs/>
          <w:color w:val="auto"/>
          <w:sz w:val="36"/>
          <w:szCs w:val="36"/>
        </w:rPr>
      </w:pPr>
      <w:r/>
      <w:bookmarkStart w:id="126" w:name="_Toc197644579"/>
      <w:r>
        <w:rPr>
          <w:rFonts w:hint="eastAsia" w:ascii="宋体" w:hAnsi="宋体" w:eastAsia="宋体" w:cs="Times New Roman"/>
          <w:b/>
          <w:bCs/>
          <w:color w:val="auto"/>
          <w:sz w:val="36"/>
          <w:szCs w:val="36"/>
        </w:rPr>
        <w:t xml:space="preserve">投标文件格式</w:t>
      </w:r>
      <w:bookmarkEnd w:id="126"/>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sz w:val="84"/>
          <w:szCs w:val="84"/>
        </w:rPr>
      </w:pPr>
      <w:r>
        <w:rPr>
          <w:rFonts w:hint="eastAsia" w:ascii="宋体" w:hAnsi="宋体" w:eastAsia="宋体" w:cs="宋体"/>
          <w:b/>
          <w:sz w:val="84"/>
          <w:szCs w:val="84"/>
        </w:rPr>
        <w:t xml:space="preserve">投 标 文 件</w:t>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cs="宋体"/>
          <w:b/>
          <w:sz w:val="36"/>
          <w:szCs w:val="36"/>
          <w:u w:val="single"/>
        </w:rPr>
      </w:pPr>
      <w:r>
        <w:rPr>
          <w:rFonts w:hint="eastAsia" w:ascii="宋体" w:hAnsi="宋体" w:eastAsia="宋体" w:cs="宋体"/>
          <w:b/>
          <w:sz w:val="36"/>
          <w:szCs w:val="36"/>
        </w:rPr>
        <w:t xml:space="preserve">项目 名 称：</w:t>
      </w:r>
      <w:r>
        <w:rPr>
          <w:rFonts w:hint="eastAsia" w:ascii="宋体" w:hAnsi="宋体" w:eastAsia="宋体" w:cs="宋体"/>
          <w:b/>
          <w:sz w:val="36"/>
          <w:szCs w:val="36"/>
          <w:u w:val="single"/>
        </w:rPr>
        <w:t xml:space="preserve">              </w:t>
      </w:r>
      <w:r/>
    </w:p>
    <w:p>
      <w:pPr>
        <w:spacing w:line="360" w:lineRule="auto"/>
        <w:rPr>
          <w:rFonts w:ascii="宋体" w:hAnsi="宋体" w:eastAsia="宋体" w:cs="宋体"/>
          <w:b/>
          <w:sz w:val="36"/>
          <w:szCs w:val="36"/>
          <w:u w:val="single"/>
        </w:rPr>
      </w:pPr>
      <w:r>
        <w:rPr>
          <w:rFonts w:hint="eastAsia" w:ascii="宋体" w:hAnsi="宋体" w:eastAsia="宋体" w:cs="宋体"/>
          <w:b/>
          <w:sz w:val="36"/>
          <w:szCs w:val="36"/>
        </w:rPr>
        <w:t xml:space="preserve">项目 编 号：</w:t>
      </w:r>
      <w:r>
        <w:rPr>
          <w:rFonts w:hint="eastAsia" w:ascii="宋体" w:hAnsi="宋体" w:eastAsia="宋体" w:cs="宋体"/>
          <w:b/>
          <w:sz w:val="36"/>
          <w:szCs w:val="36"/>
          <w:u w:val="single"/>
        </w:rPr>
        <w:t xml:space="preserve">              </w:t>
      </w:r>
      <w:r/>
    </w:p>
    <w:p>
      <w:pPr>
        <w:spacing w:line="360" w:lineRule="auto"/>
        <w:rPr>
          <w:rFonts w:ascii="宋体" w:hAnsi="宋体" w:eastAsia="宋体" w:cs="宋体"/>
          <w:b/>
          <w:sz w:val="36"/>
          <w:szCs w:val="36"/>
          <w:u w:val="single"/>
        </w:rPr>
        <w:outlineLvl w:val="1"/>
      </w:pPr>
      <w:r>
        <w:rPr>
          <w:rFonts w:hint="eastAsia" w:ascii="宋体" w:hAnsi="宋体" w:eastAsia="宋体" w:cs="宋体"/>
          <w:b/>
          <w:sz w:val="36"/>
          <w:szCs w:val="36"/>
        </w:rPr>
        <w:t xml:space="preserve">投标人名称：</w:t>
      </w:r>
      <w:r>
        <w:rPr>
          <w:rFonts w:hint="eastAsia" w:ascii="宋体" w:hAnsi="宋体" w:eastAsia="宋体" w:cs="宋体"/>
          <w:b/>
          <w:sz w:val="36"/>
          <w:szCs w:val="36"/>
          <w:u w:val="single"/>
        </w:rPr>
        <w:t xml:space="preserve">（加盖CA电子公章）          </w:t>
      </w:r>
      <w:r/>
    </w:p>
    <w:p>
      <w:pPr>
        <w:spacing w:line="360" w:lineRule="auto"/>
        <w:rPr>
          <w:rFonts w:ascii="宋体" w:hAnsi="宋体" w:eastAsia="宋体"/>
        </w:rPr>
      </w:pPr>
      <w:r>
        <w:rPr>
          <w:rFonts w:hint="eastAsia" w:ascii="宋体" w:hAnsi="宋体" w:eastAsia="宋体" w:cs="宋体"/>
          <w:b/>
          <w:sz w:val="36"/>
          <w:szCs w:val="36"/>
        </w:rPr>
        <w:t xml:space="preserve">日   期：</w:t>
      </w:r>
      <w:r>
        <w:rPr>
          <w:rFonts w:hint="eastAsia" w:ascii="宋体" w:hAnsi="宋体" w:eastAsia="宋体" w:cs="宋体"/>
          <w:b/>
          <w:sz w:val="36"/>
          <w:szCs w:val="36"/>
          <w:u w:val="single"/>
        </w:rPr>
        <w:t xml:space="preserve">                       </w:t>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jc w:val="left"/>
        <w:widowControl/>
        <w:rPr>
          <w:rFonts w:ascii="宋体" w:hAnsi="宋体" w:eastAsia="宋体"/>
        </w:rPr>
      </w:pPr>
      <w:r>
        <w:rPr>
          <w:rFonts w:hint="eastAsia" w:ascii="宋体" w:hAnsi="宋体" w:eastAsia="宋体"/>
        </w:rPr>
        <w:br w:type="page" w:clear="all"/>
      </w:r>
      <w:r/>
    </w:p>
    <w:p>
      <w:pPr>
        <w:jc w:val="center"/>
        <w:spacing w:line="0" w:lineRule="atLeast"/>
        <w:rPr>
          <w:rFonts w:ascii="宋体" w:hAnsi="宋体" w:eastAsia="宋体" w:cs="Times New Roman"/>
          <w:sz w:val="30"/>
          <w:szCs w:val="30"/>
        </w:rPr>
      </w:pPr>
      <w:r>
        <w:rPr>
          <w:rFonts w:hint="eastAsia" w:ascii="宋体" w:hAnsi="宋体" w:eastAsia="宋体" w:cs="宋体"/>
          <w:b/>
          <w:sz w:val="30"/>
          <w:szCs w:val="30"/>
        </w:rPr>
        <w:t xml:space="preserve">投标文件目录</w:t>
      </w:r>
      <w:r/>
    </w:p>
    <w:p>
      <w:pPr>
        <w:spacing w:line="360" w:lineRule="auto"/>
        <w:rPr>
          <w:rFonts w:ascii="宋体" w:hAnsi="宋体" w:eastAsia="宋体" w:cs="Times New Roman"/>
          <w:szCs w:val="21"/>
        </w:rPr>
      </w:pPr>
      <w:r>
        <w:rPr>
          <w:rFonts w:ascii="宋体" w:hAnsi="宋体" w:eastAsia="宋体" w:cs="Times New Roman"/>
          <w:szCs w:val="21"/>
        </w:rPr>
      </w:r>
      <w:r/>
    </w:p>
    <w:p>
      <w:pPr>
        <w:ind w:firstLine="420"/>
        <w:spacing w:line="360" w:lineRule="auto"/>
        <w:rPr>
          <w:rFonts w:ascii="宋体" w:hAnsi="宋体" w:eastAsia="宋体" w:cs="宋体"/>
          <w:i/>
          <w:sz w:val="24"/>
          <w:szCs w:val="24"/>
          <w:u w:val="single"/>
        </w:rPr>
        <w:outlineLvl w:val="1"/>
      </w:pPr>
      <w:r>
        <w:rPr>
          <w:rFonts w:hint="eastAsia" w:ascii="宋体" w:hAnsi="宋体" w:eastAsia="宋体" w:cs="宋体"/>
          <w:i/>
          <w:sz w:val="24"/>
          <w:szCs w:val="24"/>
          <w:u w:val="single"/>
        </w:rPr>
        <w:t xml:space="preserve">一、法人或者其他组织的营业执照等证明文件，自然人的身份证明</w:t>
      </w:r>
      <w:r/>
    </w:p>
    <w:p>
      <w:pPr>
        <w:ind w:firstLine="420"/>
        <w:jc w:val="left"/>
        <w:spacing w:line="360" w:lineRule="auto"/>
        <w:tabs>
          <w:tab w:val="left" w:pos="1331" w:leader="none"/>
        </w:tabs>
        <w:rPr>
          <w:rFonts w:ascii="宋体" w:hAnsi="宋体" w:eastAsia="宋体" w:cs="宋体"/>
          <w:i/>
          <w:sz w:val="24"/>
          <w:szCs w:val="24"/>
          <w:u w:val="single"/>
        </w:rPr>
      </w:pPr>
      <w:r>
        <w:rPr>
          <w:rFonts w:hint="eastAsia" w:ascii="宋体" w:hAnsi="宋体" w:eastAsia="宋体" w:cs="宋体"/>
          <w:i/>
          <w:sz w:val="24"/>
          <w:szCs w:val="24"/>
          <w:u w:val="single"/>
        </w:rPr>
        <w:t xml:space="preserve">二、上一年度的财务状况报表（成立不满一年无需提供）</w:t>
      </w:r>
      <w:r/>
    </w:p>
    <w:p>
      <w:pPr>
        <w:ind w:firstLine="420"/>
        <w:spacing w:line="360" w:lineRule="auto"/>
        <w:rPr>
          <w:rFonts w:ascii="宋体" w:hAnsi="宋体" w:eastAsia="宋体" w:cs="宋体"/>
          <w:i/>
          <w:sz w:val="24"/>
          <w:szCs w:val="24"/>
          <w:u w:val="single"/>
        </w:rPr>
        <w:outlineLvl w:val="1"/>
      </w:pPr>
      <w:r>
        <w:rPr>
          <w:rFonts w:hint="eastAsia" w:ascii="宋体" w:hAnsi="宋体" w:eastAsia="宋体" w:cs="宋体"/>
          <w:i/>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ascii="宋体" w:hAnsi="宋体" w:eastAsia="宋体" w:cs="宋体"/>
          <w:i/>
          <w:sz w:val="24"/>
          <w:szCs w:val="24"/>
          <w:u w:val="single"/>
        </w:rPr>
        <w:outlineLvl w:val="1"/>
      </w:pPr>
      <w:r>
        <w:rPr>
          <w:rFonts w:hint="eastAsia" w:ascii="宋体" w:hAnsi="宋体" w:eastAsia="宋体" w:cs="宋体"/>
          <w:i/>
          <w:sz w:val="24"/>
          <w:szCs w:val="24"/>
          <w:u w:val="single"/>
        </w:rPr>
        <w:t xml:space="preserve">四、具备履行合同所必需的设备和专业技术能力的书面声明</w:t>
      </w:r>
      <w:r/>
    </w:p>
    <w:p>
      <w:pPr>
        <w:ind w:firstLine="420"/>
        <w:spacing w:line="360" w:lineRule="auto"/>
        <w:rPr>
          <w:rFonts w:ascii="宋体" w:hAnsi="宋体" w:eastAsia="宋体" w:cs="宋体"/>
          <w:i/>
          <w:sz w:val="24"/>
          <w:szCs w:val="24"/>
          <w:u w:val="single"/>
        </w:rPr>
      </w:pPr>
      <w:r>
        <w:rPr>
          <w:rFonts w:hint="eastAsia" w:ascii="宋体" w:hAnsi="宋体" w:eastAsia="宋体" w:cs="宋体"/>
          <w:i/>
          <w:sz w:val="24"/>
          <w:szCs w:val="24"/>
          <w:u w:val="single"/>
        </w:rPr>
        <w:t xml:space="preserve">五、参加政府采购活动前 3 年内在经营活动中没有重大违法记录的书面声明</w:t>
      </w:r>
      <w:r/>
    </w:p>
    <w:p>
      <w:pPr>
        <w:ind w:firstLine="420"/>
        <w:spacing w:line="360" w:lineRule="auto"/>
        <w:rPr>
          <w:rFonts w:ascii="宋体" w:hAnsi="宋体" w:eastAsia="宋体" w:cs="宋体"/>
          <w:i/>
          <w:sz w:val="24"/>
          <w:szCs w:val="24"/>
          <w:u w:val="single"/>
        </w:rPr>
      </w:pPr>
      <w:r>
        <w:rPr>
          <w:rFonts w:hint="eastAsia" w:ascii="宋体" w:hAnsi="宋体" w:eastAsia="宋体" w:cs="宋体"/>
          <w:i/>
          <w:sz w:val="24"/>
          <w:szCs w:val="24"/>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ind w:firstLine="420"/>
        <w:spacing w:line="360" w:lineRule="auto"/>
        <w:rPr>
          <w:rFonts w:ascii="宋体" w:hAnsi="宋体" w:eastAsia="宋体" w:cs="宋体"/>
          <w:i/>
          <w:sz w:val="24"/>
          <w:szCs w:val="24"/>
          <w:u w:val="single"/>
        </w:rPr>
      </w:pPr>
      <w:r>
        <w:rPr>
          <w:rFonts w:hint="eastAsia" w:ascii="宋体" w:hAnsi="宋体" w:eastAsia="宋体" w:cs="宋体"/>
          <w:i/>
          <w:sz w:val="24"/>
          <w:szCs w:val="24"/>
          <w:u w:val="single"/>
        </w:rPr>
        <w:t xml:space="preserve">七、单位负责人为同一人或者存在直接控股、管理关系的不同供应商，不得参加同一合同项下的政府采购活动。</w:t>
      </w:r>
      <w:r/>
    </w:p>
    <w:p>
      <w:pPr>
        <w:ind w:firstLine="420"/>
        <w:spacing w:line="360" w:lineRule="auto"/>
        <w:rPr>
          <w:rFonts w:ascii="宋体" w:hAnsi="宋体" w:eastAsia="宋体" w:cs="宋体"/>
          <w:i/>
          <w:sz w:val="24"/>
          <w:szCs w:val="24"/>
          <w:u w:val="single"/>
        </w:rPr>
      </w:pPr>
      <w:r>
        <w:rPr>
          <w:rFonts w:hint="eastAsia" w:ascii="宋体" w:hAnsi="宋体" w:eastAsia="宋体" w:cs="宋体"/>
          <w:i/>
          <w:sz w:val="24"/>
          <w:szCs w:val="24"/>
          <w:u w:val="single"/>
        </w:rPr>
        <w:t xml:space="preserve">八、法人授权书</w:t>
      </w:r>
      <w:r/>
    </w:p>
    <w:p>
      <w:pPr>
        <w:ind w:firstLine="420"/>
        <w:spacing w:line="360" w:lineRule="auto"/>
        <w:rPr>
          <w:rFonts w:ascii="宋体" w:hAnsi="宋体" w:eastAsia="宋体" w:cs="宋体"/>
          <w:i/>
          <w:sz w:val="24"/>
          <w:szCs w:val="24"/>
          <w:u w:val="single"/>
        </w:rPr>
      </w:pPr>
      <w:r>
        <w:rPr>
          <w:rFonts w:hint="eastAsia" w:ascii="宋体" w:hAnsi="宋体" w:eastAsia="宋体" w:cs="宋体"/>
          <w:i/>
          <w:sz w:val="24"/>
          <w:szCs w:val="24"/>
          <w:u w:val="single"/>
        </w:rPr>
        <w:t xml:space="preserve">九、投标函</w:t>
      </w:r>
      <w:r/>
    </w:p>
    <w:p>
      <w:pPr>
        <w:ind w:firstLine="420"/>
        <w:spacing w:line="360" w:lineRule="auto"/>
        <w:rPr>
          <w:rFonts w:ascii="宋体" w:hAnsi="宋体" w:eastAsia="宋体" w:cs="宋体"/>
          <w:i/>
          <w:sz w:val="24"/>
          <w:szCs w:val="24"/>
          <w:u w:val="single"/>
        </w:rPr>
      </w:pPr>
      <w:r>
        <w:rPr>
          <w:rFonts w:hint="eastAsia" w:ascii="宋体" w:hAnsi="宋体" w:eastAsia="宋体" w:cs="宋体"/>
          <w:i/>
          <w:sz w:val="24"/>
          <w:szCs w:val="24"/>
          <w:u w:val="single"/>
        </w:rPr>
        <w:t xml:space="preserve">十、中小企业声明函</w:t>
      </w:r>
      <w:r/>
    </w:p>
    <w:p>
      <w:pPr>
        <w:ind w:firstLine="420"/>
        <w:spacing w:line="360" w:lineRule="auto"/>
        <w:rPr>
          <w:rFonts w:ascii="宋体" w:hAnsi="宋体" w:eastAsia="宋体" w:cs="宋体"/>
          <w:i/>
          <w:sz w:val="24"/>
          <w:szCs w:val="24"/>
          <w:u w:val="single"/>
        </w:rPr>
      </w:pPr>
      <w:r>
        <w:rPr>
          <w:rFonts w:hint="eastAsia" w:ascii="宋体" w:hAnsi="宋体" w:eastAsia="宋体" w:cs="宋体"/>
          <w:i/>
          <w:sz w:val="24"/>
          <w:szCs w:val="24"/>
          <w:u w:val="single"/>
        </w:rPr>
        <w:t xml:space="preserve">十一、残疾人福利性单位声明函</w:t>
      </w:r>
      <w:r/>
    </w:p>
    <w:p>
      <w:pPr>
        <w:ind w:firstLine="420"/>
        <w:spacing w:line="360" w:lineRule="auto"/>
        <w:rPr>
          <w:rFonts w:ascii="宋体" w:hAnsi="宋体" w:eastAsia="宋体" w:cs="宋体"/>
          <w:i/>
          <w:sz w:val="24"/>
          <w:szCs w:val="24"/>
          <w:u w:val="single"/>
        </w:rPr>
      </w:pPr>
      <w:r>
        <w:rPr>
          <w:rFonts w:hint="eastAsia" w:ascii="宋体" w:hAnsi="宋体" w:eastAsia="宋体" w:cs="宋体"/>
          <w:i/>
          <w:sz w:val="24"/>
          <w:szCs w:val="24"/>
          <w:u w:val="single"/>
        </w:rPr>
        <w:t xml:space="preserve">十二、开标一览表</w:t>
      </w:r>
      <w:r/>
    </w:p>
    <w:p>
      <w:pPr>
        <w:ind w:firstLine="420"/>
        <w:spacing w:line="360" w:lineRule="auto"/>
        <w:rPr>
          <w:rFonts w:ascii="宋体" w:hAnsi="宋体" w:eastAsia="宋体" w:cs="宋体"/>
          <w:i/>
          <w:sz w:val="24"/>
          <w:szCs w:val="24"/>
          <w:u w:val="single"/>
        </w:rPr>
      </w:pPr>
      <w:r>
        <w:rPr>
          <w:rFonts w:hint="eastAsia" w:ascii="宋体" w:hAnsi="宋体" w:eastAsia="宋体" w:cs="宋体"/>
          <w:i/>
          <w:sz w:val="24"/>
          <w:szCs w:val="24"/>
          <w:u w:val="single"/>
        </w:rPr>
        <w:t xml:space="preserve">十三、投标分项报价表</w:t>
      </w:r>
      <w:r/>
    </w:p>
    <w:p>
      <w:pPr>
        <w:ind w:firstLine="420"/>
        <w:spacing w:line="360" w:lineRule="auto"/>
        <w:rPr>
          <w:rFonts w:ascii="宋体" w:hAnsi="宋体" w:eastAsia="宋体" w:cs="宋体"/>
          <w:i/>
          <w:sz w:val="24"/>
          <w:szCs w:val="24"/>
          <w:u w:val="single"/>
        </w:rPr>
      </w:pPr>
      <w:r>
        <w:rPr>
          <w:rFonts w:hint="eastAsia" w:ascii="宋体" w:hAnsi="宋体" w:eastAsia="宋体" w:cs="宋体"/>
          <w:i/>
          <w:sz w:val="24"/>
          <w:szCs w:val="24"/>
          <w:u w:val="single"/>
        </w:rPr>
        <w:t xml:space="preserve">十四、技术要求响应及偏离表</w:t>
      </w:r>
      <w:r/>
    </w:p>
    <w:p>
      <w:pPr>
        <w:ind w:firstLine="420"/>
        <w:spacing w:line="360" w:lineRule="auto"/>
        <w:rPr>
          <w:rFonts w:ascii="宋体" w:hAnsi="宋体" w:eastAsia="宋体" w:cs="宋体"/>
          <w:i/>
          <w:sz w:val="24"/>
          <w:szCs w:val="24"/>
          <w:u w:val="single"/>
        </w:rPr>
      </w:pPr>
      <w:r>
        <w:rPr>
          <w:rFonts w:hint="eastAsia" w:ascii="宋体" w:hAnsi="宋体" w:eastAsia="宋体" w:cs="宋体"/>
          <w:i/>
          <w:sz w:val="24"/>
          <w:szCs w:val="24"/>
          <w:u w:val="single"/>
        </w:rPr>
        <w:t xml:space="preserve">十五、商务要求响应及偏离表</w:t>
      </w:r>
      <w:r/>
    </w:p>
    <w:p>
      <w:pPr>
        <w:pStyle w:val="780"/>
        <w:ind w:firstLine="480"/>
        <w:rPr>
          <w:i/>
          <w:sz w:val="24"/>
          <w:szCs w:val="24"/>
          <w:u w:val="single"/>
        </w:rPr>
      </w:pPr>
      <w:r>
        <w:rPr>
          <w:rFonts w:hint="eastAsia" w:ascii="宋体" w:hAnsi="宋体" w:eastAsia="宋体" w:cs="宋体"/>
          <w:i/>
          <w:sz w:val="24"/>
          <w:szCs w:val="24"/>
          <w:u w:val="single"/>
        </w:rPr>
        <w:t xml:space="preserve">十六、关于符合本国产品标准的声明函</w:t>
      </w:r>
      <w:r/>
    </w:p>
    <w:p>
      <w:pPr>
        <w:ind w:firstLine="420"/>
        <w:spacing w:line="360" w:lineRule="auto"/>
        <w:rPr>
          <w:rFonts w:ascii="宋体" w:hAnsi="宋体" w:eastAsia="宋体" w:cs="宋体"/>
          <w:i/>
          <w:sz w:val="24"/>
          <w:szCs w:val="24"/>
          <w:u w:val="single"/>
        </w:rPr>
      </w:pPr>
      <w:r>
        <w:rPr>
          <w:rFonts w:hint="eastAsia" w:ascii="宋体" w:hAnsi="宋体" w:eastAsia="宋体" w:cs="宋体"/>
          <w:i/>
          <w:sz w:val="24"/>
          <w:szCs w:val="24"/>
          <w:u w:val="single"/>
        </w:rPr>
        <w:t xml:space="preserve">十七、评分标准要求提供的材料等</w:t>
      </w:r>
      <w:r/>
    </w:p>
    <w:p>
      <w:pPr>
        <w:ind w:firstLine="420"/>
        <w:spacing w:line="360" w:lineRule="auto"/>
        <w:rPr>
          <w:rFonts w:ascii="宋体" w:hAnsi="宋体" w:eastAsia="宋体" w:cs="宋体"/>
          <w:i/>
          <w:sz w:val="24"/>
          <w:szCs w:val="24"/>
          <w:u w:val="single"/>
        </w:rPr>
      </w:pPr>
      <w:r>
        <w:rPr>
          <w:rFonts w:hint="eastAsia" w:ascii="宋体" w:hAnsi="宋体" w:eastAsia="宋体" w:cs="宋体"/>
          <w:i/>
          <w:sz w:val="24"/>
          <w:szCs w:val="24"/>
          <w:u w:val="single"/>
        </w:rPr>
        <w:t xml:space="preserve">十八、其他材料（如有）</w:t>
      </w:r>
      <w:r/>
    </w:p>
    <w:p>
      <w:pPr>
        <w:ind w:firstLine="420"/>
        <w:spacing w:line="360" w:lineRule="auto"/>
        <w:rPr>
          <w:rFonts w:ascii="宋体" w:hAnsi="宋体" w:cs="宋体"/>
          <w:i/>
          <w:sz w:val="24"/>
          <w:szCs w:val="24"/>
          <w:u w:val="single"/>
        </w:rPr>
      </w:pPr>
      <w:r>
        <w:rPr>
          <w:rFonts w:hint="eastAsia" w:ascii="宋体" w:hAnsi="宋体" w:eastAsia="宋体" w:cs="宋体"/>
          <w:i/>
          <w:sz w:val="24"/>
          <w:szCs w:val="24"/>
          <w:u w:val="single"/>
        </w:rPr>
        <w:t xml:space="preserve">十九、盐城市政府采购事前信用承诺书</w:t>
      </w:r>
      <w:r/>
    </w:p>
    <w:p>
      <w:pPr>
        <w:ind w:firstLine="420"/>
        <w:spacing w:line="360" w:lineRule="auto"/>
        <w:rPr>
          <w:rFonts w:ascii="宋体" w:hAnsi="宋体" w:eastAsia="宋体" w:cs="宋体"/>
          <w:iCs/>
          <w:szCs w:val="21"/>
        </w:rPr>
      </w:pPr>
      <w:r>
        <w:rPr>
          <w:rFonts w:ascii="宋体" w:hAnsi="宋体" w:eastAsia="宋体" w:cs="宋体"/>
          <w:iCs/>
          <w:szCs w:val="21"/>
        </w:rPr>
      </w:r>
      <w:r/>
    </w:p>
    <w:p>
      <w:pPr>
        <w:spacing w:line="360" w:lineRule="auto"/>
        <w:rPr>
          <w:rFonts w:ascii="宋体" w:hAnsi="宋体" w:eastAsia="宋体"/>
          <w:szCs w:val="21"/>
        </w:rPr>
      </w:pPr>
      <w:r>
        <w:rPr>
          <w:rFonts w:ascii="宋体" w:hAnsi="宋体" w:eastAsia="宋体"/>
          <w:szCs w:val="21"/>
        </w:rPr>
      </w:r>
      <w:r/>
    </w:p>
    <w:p>
      <w:pPr>
        <w:jc w:val="left"/>
        <w:spacing w:line="360" w:lineRule="auto"/>
        <w:widowControl/>
        <w:rPr>
          <w:rFonts w:ascii="宋体" w:hAnsi="宋体" w:eastAsia="宋体"/>
          <w:szCs w:val="21"/>
        </w:rPr>
      </w:pPr>
      <w:r>
        <w:rPr>
          <w:rFonts w:hint="eastAsia" w:ascii="宋体" w:hAnsi="宋体" w:eastAsia="宋体"/>
          <w:szCs w:val="21"/>
        </w:rPr>
        <w:br w:type="page" w:clear="all"/>
      </w:r>
      <w:r/>
    </w:p>
    <w:p>
      <w:pPr>
        <w:pStyle w:val="798"/>
        <w:rPr>
          <w:i/>
          <w:color w:val="auto"/>
          <w:sz w:val="28"/>
          <w:szCs w:val="28"/>
          <w:u w:val="single"/>
        </w:rPr>
        <w:outlineLvl w:val="1"/>
      </w:pPr>
      <w:r>
        <w:rPr>
          <w:rFonts w:hint="eastAsia"/>
          <w:bCs/>
          <w:i/>
          <w:iCs/>
          <w:color w:val="auto"/>
          <w:sz w:val="32"/>
          <w:szCs w:val="32"/>
          <w:u w:val="single"/>
        </w:rPr>
        <w:t xml:space="preserve">一、法人或者其他组织的营业执照等证明文件，自然人的身份证明</w:t>
      </w:r>
      <w:r/>
    </w:p>
    <w:p>
      <w:pPr>
        <w:pStyle w:val="798"/>
        <w:jc w:val="both"/>
        <w:rPr>
          <w:bCs/>
          <w:i/>
          <w:iCs/>
          <w:color w:val="auto"/>
          <w:sz w:val="32"/>
          <w:szCs w:val="32"/>
          <w:u w:val="single"/>
        </w:rPr>
        <w:outlineLvl w:val="1"/>
      </w:pPr>
      <w:r>
        <w:rPr>
          <w:rFonts w:hint="eastAsia"/>
          <w:bCs/>
          <w:i/>
          <w:iCs/>
          <w:color w:val="auto"/>
          <w:sz w:val="32"/>
          <w:szCs w:val="32"/>
          <w:u w:val="single"/>
        </w:rPr>
        <w:t xml:space="preserve">二、上一年度的财务状况报表（成立不满一年无需提供） </w:t>
      </w:r>
      <w:r/>
    </w:p>
    <w:p>
      <w:pPr>
        <w:pStyle w:val="798"/>
        <w:rPr>
          <w:bCs/>
          <w:i/>
          <w:iCs/>
          <w:color w:val="auto"/>
          <w:sz w:val="32"/>
          <w:szCs w:val="32"/>
          <w:u w:val="single"/>
        </w:rPr>
        <w:outlineLvl w:val="1"/>
      </w:pPr>
      <w:r>
        <w:rPr>
          <w:rFonts w:hint="eastAsia"/>
          <w:bCs/>
          <w:i/>
          <w:iCs/>
          <w:color w:val="auto"/>
          <w:sz w:val="32"/>
          <w:szCs w:val="32"/>
          <w:u w:val="single"/>
        </w:rPr>
        <w:t xml:space="preserve">三、依法缴纳税收和社会保障资金的相关材料</w:t>
      </w:r>
      <w:r/>
    </w:p>
    <w:p>
      <w:pPr>
        <w:ind w:firstLine="420"/>
        <w:jc w:val="left"/>
        <w:spacing w:line="440" w:lineRule="exact"/>
        <w:tabs>
          <w:tab w:val="left" w:pos="1331" w:leader="none"/>
        </w:tabs>
        <w:rPr>
          <w:rFonts w:cs="宋体"/>
          <w:bCs/>
          <w:i/>
          <w:iCs/>
          <w:sz w:val="24"/>
          <w:szCs w:val="24"/>
          <w:u w:val="single"/>
        </w:rPr>
      </w:pPr>
      <w:r>
        <w:rPr>
          <w:rFonts w:hint="eastAsia" w:ascii="宋体" w:hAnsi="宋体" w:eastAsia="宋体" w:cs="宋体"/>
          <w:bCs/>
          <w:sz w:val="24"/>
          <w:szCs w:val="24"/>
        </w:rPr>
        <w:t xml:space="preserve">提供提交投标文件截止时间前一年内至少一个月依法缴纳税收及缴纳社会保障资金的证明材料。投标人依法享受缓缴、免缴税收、社会保障资金的提供证明材料。</w:t>
      </w:r>
      <w:r/>
    </w:p>
    <w:p>
      <w:pPr>
        <w:pStyle w:val="798"/>
        <w:jc w:val="center"/>
        <w:rPr>
          <w:color w:val="auto"/>
        </w:rPr>
        <w:outlineLvl w:val="1"/>
      </w:pPr>
      <w:r>
        <w:rPr>
          <w:rFonts w:hint="eastAsia"/>
          <w:bCs/>
          <w:i/>
          <w:iCs/>
          <w:color w:val="auto"/>
          <w:sz w:val="32"/>
          <w:szCs w:val="32"/>
          <w:u w:val="single"/>
        </w:rPr>
        <w:t xml:space="preserve">四、具备履行合同所必需的设备和专业技术能力的书面声明</w:t>
      </w:r>
      <w:r/>
    </w:p>
    <w:p>
      <w:pPr>
        <w:pStyle w:val="798"/>
        <w:ind w:firstLine="480"/>
        <w:spacing w:line="520" w:lineRule="exact"/>
        <w:rPr>
          <w:bCs/>
          <w:color w:val="auto"/>
          <w:sz w:val="24"/>
        </w:rPr>
      </w:pPr>
      <w:r>
        <w:rPr>
          <w:rFonts w:hint="eastAsia"/>
          <w:bCs/>
          <w:color w:val="auto"/>
          <w:sz w:val="24"/>
        </w:rPr>
        <w:t xml:space="preserve">我单位郑重声明：我单位具备履行本项采购合同所必需的设备和专业技术能力，为履行本项采购合同我公司具备如下主要设备和主要专业技术能力：</w:t>
      </w:r>
      <w:r/>
    </w:p>
    <w:p>
      <w:pPr>
        <w:pStyle w:val="798"/>
        <w:ind w:firstLine="480"/>
        <w:spacing w:line="520" w:lineRule="exact"/>
        <w:rPr>
          <w:color w:val="auto"/>
        </w:rPr>
      </w:pPr>
      <w:r>
        <w:rPr>
          <w:rFonts w:hint="eastAsia"/>
          <w:bCs/>
          <w:color w:val="auto"/>
          <w:sz w:val="24"/>
        </w:rPr>
        <w:t xml:space="preserve">主要设备有：</w:t>
      </w:r>
      <w:r>
        <w:rPr>
          <w:rFonts w:hint="eastAsia"/>
          <w:color w:val="auto"/>
          <w:u w:val="single"/>
        </w:rPr>
        <w:t xml:space="preserve">  </w:t>
      </w:r>
      <w:r>
        <w:rPr>
          <w:rFonts w:hint="eastAsia"/>
          <w:color w:val="auto"/>
        </w:rPr>
        <w:t xml:space="preserve">。</w:t>
      </w:r>
      <w:r/>
    </w:p>
    <w:p>
      <w:pPr>
        <w:pStyle w:val="798"/>
        <w:ind w:firstLine="480"/>
        <w:spacing w:line="520" w:lineRule="exact"/>
        <w:rPr>
          <w:color w:val="auto"/>
        </w:rPr>
      </w:pPr>
      <w:r>
        <w:rPr>
          <w:rFonts w:hint="eastAsia"/>
          <w:bCs/>
          <w:color w:val="auto"/>
          <w:sz w:val="24"/>
        </w:rPr>
        <w:t xml:space="preserve">主要专业技术能力有：</w:t>
      </w:r>
      <w:r>
        <w:rPr>
          <w:rFonts w:hint="eastAsia"/>
          <w:color w:val="auto"/>
          <w:u w:val="single"/>
        </w:rPr>
        <w:t xml:space="preserve">   </w:t>
      </w:r>
      <w:r>
        <w:rPr>
          <w:rFonts w:hint="eastAsia"/>
          <w:color w:val="auto"/>
        </w:rPr>
        <w:t xml:space="preserve">。</w:t>
      </w:r>
      <w:r/>
    </w:p>
    <w:p>
      <w:pPr>
        <w:pStyle w:val="798"/>
        <w:ind w:firstLine="420"/>
        <w:spacing w:line="520" w:lineRule="exact"/>
        <w:rPr>
          <w:color w:val="auto"/>
        </w:rPr>
      </w:pPr>
      <w:r>
        <w:rPr>
          <w:color w:val="auto"/>
        </w:rPr>
      </w:r>
      <w:r/>
    </w:p>
    <w:p>
      <w:pPr>
        <w:ind w:firstLine="480"/>
        <w:jc w:val="center"/>
        <w:spacing w:line="460" w:lineRule="exact"/>
        <w:rPr>
          <w:rFonts w:ascii="宋体" w:hAnsi="宋体" w:cs="宋体"/>
          <w:bCs/>
          <w:sz w:val="24"/>
        </w:rPr>
      </w:pPr>
      <w:r>
        <w:rPr>
          <w:rFonts w:hint="eastAsia" w:ascii="宋体" w:hAnsi="宋体" w:cs="宋体"/>
          <w:bCs/>
          <w:sz w:val="24"/>
        </w:rPr>
        <w:t xml:space="preserve">供应商名称（公章）：             </w:t>
      </w:r>
      <w:r/>
    </w:p>
    <w:p>
      <w:pPr>
        <w:ind w:firstLine="480"/>
        <w:spacing w:line="460" w:lineRule="exact"/>
        <w:rPr>
          <w:rFonts w:ascii="宋体" w:hAnsi="宋体" w:cs="宋体"/>
          <w:bCs/>
          <w:sz w:val="24"/>
        </w:rPr>
      </w:pPr>
      <w:r>
        <w:rPr>
          <w:rFonts w:ascii="宋体" w:hAnsi="宋体" w:cs="宋体"/>
          <w:bCs/>
          <w:sz w:val="24"/>
        </w:rPr>
      </w:r>
      <w:r/>
    </w:p>
    <w:p>
      <w:pPr>
        <w:pStyle w:val="798"/>
        <w:ind w:firstLine="480"/>
        <w:spacing w:line="520" w:lineRule="exact"/>
        <w:rPr>
          <w:bCs/>
          <w:color w:val="auto"/>
          <w:sz w:val="24"/>
        </w:rPr>
      </w:pPr>
      <w:r>
        <w:rPr>
          <w:rFonts w:hint="eastAsia"/>
          <w:bCs/>
          <w:color w:val="auto"/>
          <w:sz w:val="24"/>
        </w:rPr>
        <w:t xml:space="preserve">                                     日期：年月日</w:t>
      </w:r>
      <w:r/>
    </w:p>
    <w:p>
      <w:pPr>
        <w:pStyle w:val="798"/>
        <w:ind w:firstLine="480"/>
        <w:spacing w:line="520" w:lineRule="exact"/>
        <w:rPr>
          <w:bCs/>
          <w:color w:val="auto"/>
          <w:sz w:val="24"/>
        </w:rPr>
      </w:pPr>
      <w:r>
        <w:rPr>
          <w:bCs/>
          <w:color w:val="auto"/>
          <w:sz w:val="24"/>
        </w:rPr>
      </w:r>
      <w:r/>
    </w:p>
    <w:p>
      <w:pPr>
        <w:pStyle w:val="798"/>
        <w:rPr>
          <w:color w:val="auto"/>
        </w:rPr>
      </w:pPr>
      <w:r>
        <w:rPr>
          <w:color w:val="auto"/>
        </w:rPr>
      </w:r>
      <w:r/>
    </w:p>
    <w:p>
      <w:pPr>
        <w:pStyle w:val="798"/>
        <w:rPr>
          <w:bCs/>
          <w:i/>
          <w:iCs/>
          <w:color w:val="auto"/>
          <w:sz w:val="32"/>
          <w:szCs w:val="32"/>
          <w:u w:val="single"/>
        </w:rPr>
        <w:outlineLvl w:val="1"/>
      </w:pPr>
      <w:r>
        <w:rPr>
          <w:rFonts w:hint="eastAsia"/>
          <w:bCs/>
          <w:i/>
          <w:iCs/>
          <w:color w:val="auto"/>
          <w:sz w:val="32"/>
          <w:szCs w:val="32"/>
          <w:u w:val="single"/>
        </w:rPr>
        <w:t xml:space="preserve">五、参加政府采购活动前 3 年内在经营活动中没有重大违法记录的书面声明</w:t>
      </w:r>
      <w:r/>
    </w:p>
    <w:p>
      <w:pPr>
        <w:pStyle w:val="798"/>
        <w:jc w:val="center"/>
        <w:spacing w:line="0" w:lineRule="atLeast"/>
        <w:rPr>
          <w:color w:val="auto"/>
        </w:rPr>
      </w:pPr>
      <w:r>
        <w:rPr>
          <w:rFonts w:hint="eastAsia"/>
          <w:b/>
          <w:color w:val="auto"/>
          <w:sz w:val="44"/>
          <w:szCs w:val="44"/>
        </w:rPr>
        <w:t xml:space="preserve">声  明</w:t>
      </w:r>
      <w:r/>
    </w:p>
    <w:p>
      <w:pPr>
        <w:ind w:firstLine="480"/>
        <w:spacing w:line="460" w:lineRule="exact"/>
        <w:rPr>
          <w:rFonts w:ascii="宋体" w:hAnsi="宋体" w:cs="宋体"/>
          <w:bCs/>
          <w:sz w:val="24"/>
        </w:rPr>
      </w:pPr>
      <w:r>
        <w:rPr>
          <w:rFonts w:hint="eastAsia" w:ascii="宋体" w:hAnsi="宋体" w:cs="宋体"/>
          <w:bCs/>
          <w:sz w:val="24"/>
        </w:rPr>
        <w:t xml:space="preserve">我公司郑重声明：参加本次政府采购活动前3年内，我公司在经营活动中没有因违法经营受到刑事处罚或者责令停产停业、吊销许可证或者执照、较大数额罚款等行政处罚。</w:t>
      </w:r>
      <w:r/>
    </w:p>
    <w:p>
      <w:pPr>
        <w:pStyle w:val="798"/>
        <w:rPr>
          <w:color w:val="auto"/>
        </w:rPr>
      </w:pPr>
      <w:r>
        <w:rPr>
          <w:rFonts w:hint="eastAsia"/>
          <w:color w:val="auto"/>
        </w:rPr>
        <w:t xml:space="preserve"> </w:t>
      </w:r>
      <w:r/>
    </w:p>
    <w:p>
      <w:pPr>
        <w:pStyle w:val="798"/>
        <w:rPr>
          <w:color w:val="auto"/>
        </w:rPr>
      </w:pPr>
      <w:r>
        <w:rPr>
          <w:color w:val="auto"/>
        </w:rPr>
      </w:r>
      <w:r/>
    </w:p>
    <w:p>
      <w:pPr>
        <w:ind w:firstLine="480"/>
        <w:spacing w:line="460" w:lineRule="exact"/>
        <w:rPr>
          <w:rFonts w:ascii="宋体" w:hAnsi="宋体" w:cs="宋体"/>
          <w:bCs/>
          <w:sz w:val="24"/>
        </w:rPr>
      </w:pPr>
      <w:r>
        <w:rPr>
          <w:rFonts w:hint="eastAsia" w:ascii="宋体" w:hAnsi="宋体" w:cs="宋体"/>
          <w:bCs/>
          <w:sz w:val="24"/>
        </w:rPr>
        <w:t xml:space="preserve">                                       供应商名称（公章）：</w:t>
      </w:r>
      <w:r/>
    </w:p>
    <w:p>
      <w:pPr>
        <w:ind w:firstLine="480"/>
        <w:spacing w:line="460" w:lineRule="exact"/>
        <w:rPr>
          <w:rFonts w:ascii="宋体" w:hAnsi="宋体" w:cs="宋体"/>
          <w:bCs/>
          <w:sz w:val="24"/>
        </w:rPr>
      </w:pPr>
      <w:r>
        <w:rPr>
          <w:rFonts w:hint="eastAsia" w:ascii="宋体" w:hAnsi="宋体" w:cs="宋体"/>
          <w:bCs/>
          <w:sz w:val="24"/>
        </w:rPr>
        <w:t xml:space="preserve">                     法定代表人或授权委托人（签字或盖章）：</w:t>
      </w:r>
      <w:r/>
    </w:p>
    <w:p>
      <w:pPr>
        <w:ind w:firstLine="480"/>
        <w:spacing w:line="460" w:lineRule="exact"/>
        <w:rPr>
          <w:rFonts w:ascii="宋体" w:hAnsi="宋体" w:cs="宋体"/>
          <w:bCs/>
          <w:sz w:val="24"/>
        </w:rPr>
      </w:pPr>
      <w:r>
        <w:rPr>
          <w:rFonts w:hint="eastAsia" w:ascii="宋体" w:hAnsi="宋体" w:cs="宋体"/>
          <w:bCs/>
          <w:sz w:val="24"/>
        </w:rPr>
        <w:t xml:space="preserve">                              日期：______年月日</w:t>
      </w:r>
      <w:r/>
    </w:p>
    <w:p>
      <w:pPr>
        <w:pStyle w:val="798"/>
        <w:jc w:val="both"/>
        <w:rPr>
          <w:bCs/>
          <w:i/>
          <w:iCs/>
          <w:color w:val="auto"/>
          <w:sz w:val="32"/>
          <w:szCs w:val="32"/>
          <w:u w:val="single"/>
        </w:rPr>
        <w:outlineLvl w:val="1"/>
      </w:pPr>
      <w:r>
        <w:rPr>
          <w:bCs/>
          <w:i/>
          <w:iCs/>
          <w:color w:val="auto"/>
          <w:sz w:val="32"/>
          <w:szCs w:val="32"/>
          <w:u w:val="single"/>
        </w:rPr>
      </w:r>
      <w:r/>
    </w:p>
    <w:p>
      <w:pPr>
        <w:pStyle w:val="798"/>
        <w:rPr>
          <w:bCs/>
          <w:i/>
          <w:iCs/>
          <w:color w:val="auto"/>
          <w:sz w:val="32"/>
          <w:szCs w:val="32"/>
          <w:u w:val="single"/>
        </w:rPr>
        <w:outlineLvl w:val="1"/>
      </w:pPr>
      <w:r/>
      <w:bookmarkStart w:id="127" w:name="_Toc197644586"/>
      <w:r/>
      <w:bookmarkStart w:id="128" w:name="OLE_LINK6"/>
      <w:r>
        <w:rPr>
          <w:rFonts w:hint="eastAsia"/>
          <w:bCs/>
          <w:i/>
          <w:iCs/>
          <w:color w:val="auto"/>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98"/>
        <w:rPr>
          <w:bCs/>
          <w:i/>
          <w:iCs/>
          <w:color w:val="auto"/>
          <w:sz w:val="32"/>
          <w:szCs w:val="32"/>
          <w:u w:val="single"/>
        </w:rPr>
        <w:outlineLvl w:val="1"/>
      </w:pPr>
      <w:r>
        <w:rPr>
          <w:bCs/>
          <w:i/>
          <w:iCs/>
          <w:color w:val="auto"/>
          <w:sz w:val="32"/>
          <w:szCs w:val="32"/>
          <w:u w:val="single"/>
        </w:rPr>
      </w:r>
      <w:r/>
    </w:p>
    <w:p>
      <w:pPr>
        <w:pStyle w:val="798"/>
        <w:rPr>
          <w:bCs/>
          <w:i/>
          <w:iCs/>
          <w:color w:val="auto"/>
          <w:sz w:val="32"/>
          <w:szCs w:val="32"/>
          <w:u w:val="single"/>
        </w:rPr>
        <w:outlineLvl w:val="1"/>
      </w:pPr>
      <w:r>
        <w:rPr>
          <w:rFonts w:hint="eastAsia"/>
          <w:bCs/>
          <w:i/>
          <w:iCs/>
          <w:color w:val="auto"/>
          <w:sz w:val="32"/>
          <w:szCs w:val="32"/>
          <w:u w:val="single"/>
        </w:rPr>
        <w:t xml:space="preserve">七、单位负责人为同一人或者存在直接控股、管理关系的不同供应商，不得参加同一合同项下的政府采购活动。</w:t>
      </w:r>
      <w:r/>
    </w:p>
    <w:p>
      <w:pPr>
        <w:pStyle w:val="798"/>
        <w:jc w:val="center"/>
        <w:spacing w:line="0" w:lineRule="atLeast"/>
        <w:rPr>
          <w:b/>
          <w:color w:val="auto"/>
          <w:sz w:val="44"/>
          <w:szCs w:val="44"/>
        </w:rPr>
      </w:pPr>
      <w:r>
        <w:rPr>
          <w:rFonts w:hint="eastAsia"/>
          <w:b/>
          <w:color w:val="auto"/>
          <w:sz w:val="44"/>
          <w:szCs w:val="44"/>
        </w:rPr>
        <w:t xml:space="preserve">声  明</w:t>
      </w:r>
      <w:r/>
    </w:p>
    <w:p>
      <w:pPr>
        <w:ind w:firstLine="480"/>
        <w:spacing w:line="460" w:lineRule="exact"/>
        <w:rPr>
          <w:rFonts w:ascii="宋体" w:hAnsi="宋体" w:cs="宋体"/>
          <w:bCs/>
          <w:sz w:val="24"/>
        </w:rPr>
      </w:pPr>
      <w:r>
        <w:rPr>
          <w:rFonts w:hint="eastAsia" w:ascii="宋体" w:hAnsi="宋体" w:cs="宋体"/>
          <w:bCs/>
          <w:sz w:val="24"/>
        </w:rPr>
        <w:t xml:space="preserve">我单位不存在：单位负责人为同一人或者存在直接控股、管理关系的不同供应商同时参加同一合同项下的政府采购活动。</w:t>
      </w:r>
      <w:r/>
    </w:p>
    <w:p>
      <w:pPr>
        <w:ind w:firstLine="480"/>
        <w:spacing w:line="460" w:lineRule="exact"/>
        <w:rPr>
          <w:rFonts w:ascii="宋体" w:hAnsi="宋体" w:cs="宋体"/>
          <w:bCs/>
          <w:sz w:val="24"/>
        </w:rPr>
      </w:pPr>
      <w:r>
        <w:rPr>
          <w:rFonts w:hint="eastAsia" w:ascii="宋体" w:hAnsi="宋体" w:cs="宋体"/>
          <w:bCs/>
          <w:sz w:val="24"/>
        </w:rPr>
        <w:t xml:space="preserve"> 供应商名称（公章）：</w:t>
      </w:r>
      <w:r/>
    </w:p>
    <w:p>
      <w:pPr>
        <w:ind w:firstLine="480"/>
        <w:spacing w:line="460" w:lineRule="exact"/>
        <w:rPr>
          <w:rFonts w:ascii="宋体" w:hAnsi="宋体" w:cs="宋体"/>
          <w:bCs/>
          <w:sz w:val="24"/>
        </w:rPr>
      </w:pPr>
      <w:r>
        <w:rPr>
          <w:rFonts w:hint="eastAsia" w:ascii="宋体" w:hAnsi="宋体" w:cs="宋体"/>
          <w:bCs/>
          <w:sz w:val="24"/>
        </w:rPr>
        <w:t xml:space="preserve">                     法定代表人或授权委托人（签字或盖章）：</w:t>
      </w:r>
      <w:r/>
    </w:p>
    <w:p>
      <w:pPr>
        <w:ind w:firstLine="480"/>
        <w:spacing w:line="460" w:lineRule="exact"/>
        <w:rPr>
          <w:rFonts w:ascii="宋体" w:hAnsi="宋体" w:cs="宋体"/>
          <w:bCs/>
          <w:sz w:val="24"/>
        </w:rPr>
      </w:pPr>
      <w:r>
        <w:rPr>
          <w:rFonts w:hint="eastAsia" w:ascii="宋体" w:hAnsi="宋体" w:cs="宋体"/>
          <w:bCs/>
          <w:sz w:val="24"/>
        </w:rPr>
        <w:t xml:space="preserve">                              日期：______年    月    日</w:t>
      </w:r>
      <w:r/>
    </w:p>
    <w:p>
      <w:pPr>
        <w:pStyle w:val="798"/>
        <w:ind w:firstLine="866"/>
        <w:jc w:val="both"/>
        <w:spacing w:line="0" w:lineRule="atLeast"/>
        <w:rPr>
          <w:rFonts w:cs="Times New Roman"/>
          <w:color w:val="auto"/>
          <w:sz w:val="24"/>
          <w:szCs w:val="24"/>
        </w:rPr>
      </w:pPr>
      <w:r>
        <w:rPr>
          <w:rFonts w:cs="Times New Roman"/>
          <w:color w:val="auto"/>
          <w:sz w:val="24"/>
          <w:szCs w:val="24"/>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黑体"/>
          <w:i/>
          <w:sz w:val="32"/>
          <w:szCs w:val="32"/>
          <w:u w:val="single"/>
        </w:rPr>
        <w:outlineLvl w:val="1"/>
      </w:pPr>
      <w:r>
        <w:rPr>
          <w:rFonts w:ascii="宋体" w:hAnsi="宋体" w:eastAsia="宋体" w:cs="黑体"/>
          <w:i/>
          <w:sz w:val="32"/>
          <w:szCs w:val="32"/>
          <w:u w:val="single"/>
        </w:rPr>
      </w:r>
      <w:r/>
    </w:p>
    <w:p>
      <w:pPr>
        <w:jc w:val="center"/>
        <w:rPr>
          <w:rFonts w:ascii="宋体" w:hAnsi="宋体" w:eastAsia="宋体" w:cs="Times New Roman"/>
          <w:i/>
          <w:sz w:val="32"/>
          <w:szCs w:val="32"/>
          <w:u w:val="single"/>
        </w:rPr>
        <w:outlineLvl w:val="1"/>
      </w:pPr>
      <w:r>
        <w:rPr>
          <w:rFonts w:hint="eastAsia" w:ascii="宋体" w:hAnsi="宋体" w:eastAsia="宋体" w:cs="黑体"/>
          <w:i/>
          <w:sz w:val="32"/>
          <w:szCs w:val="32"/>
          <w:u w:val="single"/>
        </w:rPr>
        <w:t xml:space="preserve">八、法人授权书</w:t>
      </w:r>
      <w:bookmarkEnd w:id="127"/>
      <w:r/>
      <w:r/>
    </w:p>
    <w:p>
      <w:pPr>
        <w:spacing w:line="360" w:lineRule="auto"/>
        <w:tabs>
          <w:tab w:val="left" w:pos="360" w:leader="none"/>
        </w:tabs>
        <w:rPr>
          <w:rFonts w:ascii="宋体" w:hAnsi="宋体" w:eastAsia="宋体" w:cs="Times New Roman"/>
          <w:sz w:val="24"/>
          <w:szCs w:val="24"/>
        </w:rPr>
      </w:pPr>
      <w:r>
        <w:rPr>
          <w:rFonts w:ascii="宋体" w:hAnsi="宋体" w:eastAsia="宋体" w:cs="Times New Roman"/>
          <w:sz w:val="24"/>
          <w:szCs w:val="24"/>
        </w:rPr>
      </w:r>
      <w:r/>
    </w:p>
    <w:p>
      <w:pPr>
        <w:ind w:firstLine="420"/>
        <w:spacing w:line="360" w:lineRule="auto"/>
        <w:tabs>
          <w:tab w:val="left" w:pos="360" w:leader="none"/>
        </w:tabs>
        <w:rPr>
          <w:rFonts w:ascii="宋体" w:hAnsi="宋体" w:eastAsia="宋体" w:cs="Times New Roman"/>
          <w:sz w:val="24"/>
          <w:szCs w:val="24"/>
        </w:rPr>
      </w:pPr>
      <w:r>
        <w:rPr>
          <w:rFonts w:ascii="宋体" w:hAnsi="宋体" w:eastAsia="宋体" w:cs="Times New Roman"/>
          <w:sz w:val="24"/>
          <w:szCs w:val="24"/>
        </w:rPr>
        <w:t xml:space="preserve">本授权书声明：____________（投标人名称）授权________________（被授权人的姓名）为我方就号项目采购活动的合法代理人，以本单位名义全权处理一切与该项目采购有关的事务。</w:t>
      </w:r>
      <w:r/>
    </w:p>
    <w:p>
      <w:pPr>
        <w:ind w:firstLine="480"/>
        <w:spacing w:line="360" w:lineRule="auto"/>
        <w:tabs>
          <w:tab w:val="left" w:pos="360" w:leader="none"/>
        </w:tabs>
        <w:rPr>
          <w:rFonts w:ascii="宋体" w:hAnsi="宋体" w:eastAsia="宋体" w:cs="Times New Roman"/>
          <w:sz w:val="24"/>
          <w:szCs w:val="24"/>
        </w:rPr>
      </w:pPr>
      <w:r>
        <w:rPr>
          <w:rFonts w:ascii="宋体" w:hAnsi="宋体" w:eastAsia="宋体" w:cs="Times New Roman"/>
          <w:sz w:val="24"/>
          <w:szCs w:val="24"/>
        </w:rPr>
        <w:t xml:space="preserve">本授权书于______年____月____日起生效，特此声明。</w:t>
      </w:r>
      <w:r/>
    </w:p>
    <w:p>
      <w:pPr>
        <w:ind w:firstLine="420"/>
        <w:spacing w:line="360" w:lineRule="auto"/>
        <w:tabs>
          <w:tab w:val="left" w:pos="360" w:leader="none"/>
        </w:tabs>
        <w:rPr>
          <w:rFonts w:ascii="宋体" w:hAnsi="宋体" w:eastAsia="宋体" w:cs="Times New Roman"/>
          <w:sz w:val="24"/>
          <w:szCs w:val="24"/>
        </w:rPr>
      </w:pPr>
      <w:r>
        <w:rPr>
          <w:rFonts w:ascii="宋体" w:hAnsi="宋体" w:eastAsia="宋体" w:cs="Times New Roman"/>
          <w:sz w:val="24"/>
          <w:szCs w:val="24"/>
        </w:rPr>
        <w:t xml:space="preserve">被授权人身份证号码：</w:t>
      </w:r>
      <w:r>
        <w:rPr>
          <w:rFonts w:ascii="宋体" w:hAnsi="宋体" w:eastAsia="宋体" w:cs="Times New Roman"/>
          <w:sz w:val="24"/>
          <w:szCs w:val="24"/>
          <w:u w:val="single"/>
        </w:rPr>
        <w:t xml:space="preserve">                 </w:t>
      </w:r>
      <w:r/>
    </w:p>
    <w:p>
      <w:pPr>
        <w:ind w:firstLine="420"/>
        <w:spacing w:line="360" w:lineRule="auto"/>
        <w:tabs>
          <w:tab w:val="left" w:pos="360" w:leader="none"/>
        </w:tabs>
        <w:rPr>
          <w:rFonts w:ascii="宋体" w:hAnsi="宋体" w:eastAsia="宋体" w:cs="Times New Roman"/>
          <w:sz w:val="24"/>
          <w:szCs w:val="24"/>
        </w:rPr>
      </w:pPr>
      <w:r>
        <w:rPr>
          <w:rFonts w:ascii="宋体" w:hAnsi="宋体" w:eastAsia="宋体" w:cs="Times New Roman"/>
          <w:sz w:val="24"/>
          <w:szCs w:val="24"/>
        </w:rPr>
        <w:t xml:space="preserve">被授权人联系电话：（手机）</w:t>
      </w:r>
      <w:r>
        <w:rPr>
          <w:rFonts w:ascii="宋体" w:hAnsi="宋体" w:eastAsia="宋体" w:cs="Times New Roman"/>
          <w:sz w:val="24"/>
          <w:szCs w:val="24"/>
          <w:u w:val="single"/>
        </w:rPr>
        <w:t xml:space="preserve">              </w:t>
      </w:r>
      <w:r/>
    </w:p>
    <w:p>
      <w:pPr>
        <w:ind w:firstLine="420"/>
        <w:spacing w:line="360" w:lineRule="auto"/>
        <w:tabs>
          <w:tab w:val="left" w:pos="360" w:leader="none"/>
        </w:tabs>
        <w:rPr>
          <w:rFonts w:ascii="宋体" w:hAnsi="宋体" w:eastAsia="宋体" w:cs="Times New Roman"/>
          <w:sz w:val="24"/>
          <w:szCs w:val="24"/>
          <w:u w:val="single"/>
        </w:rPr>
      </w:pPr>
      <w:r>
        <w:rPr>
          <w:rFonts w:ascii="宋体" w:hAnsi="宋体" w:eastAsia="宋体" w:cs="Times New Roman"/>
          <w:sz w:val="24"/>
          <w:szCs w:val="24"/>
        </w:rPr>
        <w:t xml:space="preserve">授权单位名称：</w:t>
      </w:r>
      <w:r>
        <w:rPr>
          <w:rFonts w:ascii="宋体" w:hAnsi="宋体" w:eastAsia="宋体" w:cs="Times New Roman"/>
          <w:sz w:val="24"/>
          <w:szCs w:val="24"/>
          <w:u w:val="single"/>
        </w:rPr>
        <w:t xml:space="preserve">（加盖CA电子公章）</w:t>
      </w:r>
      <w:r/>
    </w:p>
    <w:p>
      <w:pPr>
        <w:ind w:firstLine="420"/>
        <w:spacing w:line="360" w:lineRule="auto"/>
        <w:tabs>
          <w:tab w:val="left" w:pos="360" w:leader="none"/>
        </w:tabs>
        <w:rPr>
          <w:rFonts w:ascii="宋体" w:hAnsi="宋体" w:eastAsia="宋体" w:cs="Times New Roman"/>
          <w:sz w:val="24"/>
          <w:szCs w:val="24"/>
          <w:u w:val="single"/>
        </w:rPr>
      </w:pPr>
      <w:r>
        <w:rPr>
          <w:rFonts w:ascii="宋体" w:hAnsi="宋体" w:eastAsia="宋体" w:cs="Times New Roman"/>
          <w:sz w:val="24"/>
          <w:szCs w:val="24"/>
        </w:rPr>
        <w:t xml:space="preserve">单位地址：</w:t>
      </w:r>
      <w:r>
        <w:rPr>
          <w:rFonts w:ascii="宋体" w:hAnsi="宋体" w:eastAsia="宋体" w:cs="Times New Roman"/>
          <w:sz w:val="24"/>
          <w:szCs w:val="24"/>
          <w:u w:val="single"/>
        </w:rPr>
        <w:t xml:space="preserve">                      </w:t>
      </w:r>
      <w:r/>
    </w:p>
    <w:p>
      <w:pPr>
        <w:ind w:firstLine="420"/>
        <w:spacing w:line="360" w:lineRule="auto"/>
        <w:tabs>
          <w:tab w:val="left" w:pos="360" w:leader="none"/>
        </w:tabs>
        <w:rPr>
          <w:rFonts w:ascii="宋体" w:hAnsi="宋体" w:eastAsia="宋体" w:cs="Times New Roman"/>
          <w:sz w:val="24"/>
          <w:szCs w:val="24"/>
        </w:rPr>
      </w:pPr>
      <w:r>
        <w:rPr>
          <w:rFonts w:ascii="宋体" w:hAnsi="宋体" w:eastAsia="宋体" w:cs="Times New Roman"/>
          <w:sz w:val="24"/>
          <w:szCs w:val="24"/>
        </w:rPr>
        <w:t xml:space="preserve">日期：</w:t>
      </w:r>
      <w:r>
        <w:rPr>
          <w:rFonts w:ascii="宋体" w:hAnsi="宋体" w:eastAsia="宋体" w:cs="Times New Roman"/>
          <w:sz w:val="24"/>
          <w:szCs w:val="24"/>
          <w:u w:val="single"/>
        </w:rPr>
        <w:t xml:space="preserve">                        </w:t>
      </w:r>
      <w:bookmarkEnd w:id="128"/>
      <w:r/>
      <w:r/>
    </w:p>
    <w:p>
      <w:pPr>
        <w:rPr>
          <w:rFonts w:ascii="宋体" w:hAnsi="宋体" w:eastAsia="宋体" w:cs="Times New Roman"/>
          <w:sz w:val="24"/>
          <w:szCs w:val="24"/>
        </w:rPr>
      </w:pPr>
      <w:r>
        <w:rPr>
          <w:rFonts w:ascii="宋体" w:hAnsi="宋体" w:eastAsia="宋体" w:cs="Times New Roman"/>
          <w:sz w:val="24"/>
          <w:szCs w:val="24"/>
        </w:rPr>
      </w:r>
      <w:r/>
    </w:p>
    <w:p>
      <w:pPr>
        <w:jc w:val="left"/>
        <w:widowControl/>
        <w:rPr>
          <w:rFonts w:ascii="宋体" w:hAnsi="宋体" w:eastAsia="宋体"/>
        </w:rPr>
      </w:pPr>
      <w:r>
        <w:rPr>
          <w:rFonts w:ascii="宋体" w:hAnsi="宋体" w:eastAsia="宋体"/>
        </w:rPr>
      </w:r>
      <w:r/>
    </w:p>
    <w:p>
      <w:pPr>
        <w:pStyle w:val="781"/>
        <w:rPr>
          <w:rFonts w:ascii="宋体" w:hAnsi="宋体"/>
          <w:sz w:val="24"/>
        </w:rPr>
      </w:pPr>
      <w:r>
        <w:rPr>
          <w:rFonts w:ascii="宋体" w:hAnsi="宋体"/>
          <w:sz w:val="24"/>
        </w:rPr>
      </w:r>
      <w:r/>
    </w:p>
    <w:tbl>
      <w:tblPr>
        <w:tblStyle w:val="773"/>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W w:w="4172" w:type="dxa"/>
            <w:textDirection w:val="lrTb"/>
            <w:noWrap/>
          </w:tcPr>
          <w:p>
            <w:pPr>
              <w:ind w:firstLine="480"/>
              <w:jc w:val="center"/>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法人身份证复印件</w:t>
            </w:r>
            <w:r/>
          </w:p>
          <w:p>
            <w:pPr>
              <w:pStyle w:val="978"/>
              <w:ind w:firstLine="480"/>
              <w:jc w:val="center"/>
              <w:rPr>
                <w:rFonts w:ascii="宋体" w:hAnsi="宋体" w:eastAsia="宋体" w:cs="Times New Roman"/>
                <w:szCs w:val="24"/>
              </w:rPr>
            </w:pPr>
            <w:r>
              <w:rPr>
                <w:rFonts w:hint="eastAsia" w:ascii="宋体" w:hAnsi="宋体" w:eastAsia="宋体" w:cs="Times New Roman"/>
                <w:szCs w:val="24"/>
              </w:rPr>
              <w:t xml:space="preserve">粘贴区</w:t>
            </w:r>
            <w:r/>
          </w:p>
        </w:tc>
        <w:tc>
          <w:tcPr>
            <w:tcW w:w="4478" w:type="dxa"/>
            <w:textDirection w:val="lrTb"/>
            <w:noWrap/>
          </w:tcPr>
          <w:p>
            <w:pPr>
              <w:ind w:firstLine="480"/>
              <w:jc w:val="center"/>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被授权人身份证复印件</w:t>
            </w:r>
            <w:r/>
          </w:p>
          <w:p>
            <w:pPr>
              <w:pStyle w:val="978"/>
              <w:ind w:firstLine="480"/>
              <w:jc w:val="center"/>
              <w:rPr>
                <w:rFonts w:ascii="宋体" w:hAnsi="宋体" w:eastAsia="宋体" w:cs="Times New Roman"/>
                <w:szCs w:val="24"/>
              </w:rPr>
            </w:pPr>
            <w:r>
              <w:rPr>
                <w:rFonts w:hint="eastAsia" w:ascii="宋体" w:hAnsi="宋体" w:eastAsia="宋体" w:cs="Times New Roman"/>
                <w:szCs w:val="24"/>
              </w:rPr>
              <w:t xml:space="preserve">粘贴区</w:t>
            </w:r>
            <w:r/>
          </w:p>
        </w:tc>
      </w:tr>
    </w:tbl>
    <w:p>
      <w:pPr>
        <w:jc w:val="left"/>
        <w:widowControl/>
        <w:rPr>
          <w:rFonts w:ascii="宋体" w:hAnsi="宋体" w:eastAsia="宋体"/>
        </w:rPr>
      </w:pPr>
      <w:r>
        <w:rPr>
          <w:rFonts w:ascii="宋体" w:hAnsi="宋体" w:eastAsia="宋体"/>
        </w:rPr>
      </w:r>
      <w:r/>
    </w:p>
    <w:p>
      <w:pPr>
        <w:jc w:val="center"/>
        <w:spacing w:line="360" w:lineRule="auto"/>
        <w:rPr>
          <w:rFonts w:ascii="宋体" w:hAnsi="宋体" w:eastAsia="宋体" w:cs="黑体"/>
          <w:b/>
          <w:bCs/>
          <w:i/>
          <w:sz w:val="30"/>
          <w:szCs w:val="30"/>
          <w:u w:val="single"/>
        </w:rPr>
      </w:pPr>
      <w:r/>
      <w:bookmarkStart w:id="129" w:name="_Toc197644587"/>
      <w:r/>
      <w:r/>
    </w:p>
    <w:p>
      <w:pPr>
        <w:jc w:val="center"/>
        <w:spacing w:line="360" w:lineRule="auto"/>
        <w:rPr>
          <w:rFonts w:ascii="宋体" w:hAnsi="宋体" w:eastAsia="宋体" w:cs="黑体"/>
          <w:b/>
          <w:bCs/>
          <w:i/>
          <w:sz w:val="30"/>
          <w:szCs w:val="30"/>
          <w:u w:val="single"/>
        </w:rPr>
        <w:sectPr>
          <w:headerReference w:type="default" r:id="rId11"/>
          <w:footerReference w:type="default" r:id="rId14"/>
          <w:footnotePr/>
          <w:endnotePr/>
          <w:type w:val="nextPage"/>
          <w:pgSz w:w="11906" w:h="16838" w:orient="portrait"/>
          <w:pgMar w:top="1417" w:right="1701" w:bottom="1417" w:left="1701" w:header="851" w:footer="680" w:gutter="0"/>
          <w:pgNumType w:start="66"/>
          <w:cols w:num="1" w:sep="0" w:space="0" w:equalWidth="1"/>
          <w:docGrid w:linePitch="360"/>
        </w:sectPr>
      </w:pPr>
      <w:r>
        <w:rPr>
          <w:rFonts w:ascii="宋体" w:hAnsi="宋体" w:eastAsia="宋体" w:cs="黑体"/>
          <w:b/>
          <w:bCs/>
          <w:i/>
          <w:sz w:val="30"/>
          <w:szCs w:val="30"/>
          <w:u w:val="single"/>
        </w:rPr>
      </w:r>
      <w:r/>
    </w:p>
    <w:p>
      <w:pPr>
        <w:jc w:val="center"/>
        <w:spacing w:line="360" w:lineRule="auto"/>
        <w:rPr>
          <w:rFonts w:ascii="宋体" w:hAnsi="宋体" w:eastAsia="宋体"/>
          <w:i/>
          <w:sz w:val="32"/>
          <w:szCs w:val="32"/>
          <w:u w:val="single"/>
        </w:rPr>
        <w:outlineLvl w:val="1"/>
      </w:pPr>
      <w:r>
        <w:rPr>
          <w:rFonts w:hint="eastAsia" w:ascii="宋体" w:hAnsi="宋体" w:eastAsia="宋体" w:cs="黑体"/>
          <w:b/>
          <w:bCs/>
          <w:iCs/>
          <w:sz w:val="32"/>
          <w:szCs w:val="32"/>
          <w:u w:val="single"/>
        </w:rPr>
        <w:t xml:space="preserve">九、投标函</w:t>
      </w:r>
      <w:bookmarkEnd w:id="129"/>
      <w:r/>
      <w:r/>
    </w:p>
    <w:p>
      <w:pPr>
        <w:spacing w:line="360" w:lineRule="auto"/>
        <w:rPr>
          <w:rFonts w:ascii="宋体" w:hAnsi="宋体" w:eastAsia="宋体"/>
        </w:rPr>
      </w:pPr>
      <w:r>
        <w:rPr>
          <w:rFonts w:ascii="宋体" w:hAnsi="宋体" w:eastAsia="宋体"/>
        </w:rPr>
      </w:r>
      <w:r/>
    </w:p>
    <w:p>
      <w:pPr>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致： 盐城市射阳生态环境局</w:t>
      </w:r>
      <w:r/>
    </w:p>
    <w:p>
      <w:pPr>
        <w:ind w:firstLine="480"/>
        <w:jc w:val="left"/>
        <w:spacing w:line="360" w:lineRule="auto"/>
        <w:rPr>
          <w:rFonts w:ascii="宋体" w:hAnsi="宋体" w:eastAsia="宋体" w:cs="Times New Roman"/>
          <w:sz w:val="24"/>
          <w:szCs w:val="24"/>
        </w:rPr>
      </w:pPr>
      <w:r/>
      <w:bookmarkStart w:id="130" w:name="_Hlk195802303"/>
      <w:r>
        <w:rPr>
          <w:rFonts w:hint="eastAsia" w:ascii="宋体" w:hAnsi="宋体" w:eastAsia="宋体" w:cs="宋体"/>
          <w:sz w:val="24"/>
          <w:szCs w:val="24"/>
        </w:rPr>
        <w:t xml:space="preserve">根据贵方的号招标文件，正式授权下述签字人______(姓名)代表我方______________（投标人的名称），全权处理本次项目投标的有关事宜。</w:t>
      </w:r>
      <w:bookmarkEnd w:id="130"/>
      <w:r/>
      <w:r/>
    </w:p>
    <w:p>
      <w:pPr>
        <w:ind w:firstLine="480"/>
        <w:jc w:val="left"/>
        <w:spacing w:line="360" w:lineRule="auto"/>
        <w:rPr>
          <w:rFonts w:ascii="宋体" w:hAnsi="宋体" w:eastAsia="宋体" w:cs="Times New Roman"/>
          <w:sz w:val="24"/>
          <w:szCs w:val="24"/>
        </w:rPr>
      </w:pPr>
      <w:r/>
      <w:bookmarkStart w:id="131" w:name="_Hlk195802286"/>
      <w:r>
        <w:rPr>
          <w:rFonts w:hint="eastAsia" w:ascii="宋体" w:hAnsi="宋体" w:eastAsia="宋体" w:cs="宋体"/>
          <w:sz w:val="24"/>
          <w:szCs w:val="24"/>
        </w:rPr>
        <w:t xml:space="preserve">据此函，__________签字人兹宣布同意如下：</w:t>
      </w:r>
      <w:r/>
    </w:p>
    <w:p>
      <w:pPr>
        <w:ind w:firstLine="480"/>
        <w:jc w:val="left"/>
        <w:spacing w:line="360" w:lineRule="auto"/>
        <w:rPr>
          <w:rFonts w:ascii="宋体" w:hAnsi="宋体" w:eastAsia="宋体" w:cs="Times New Roman"/>
          <w:sz w:val="24"/>
          <w:szCs w:val="24"/>
        </w:rPr>
      </w:pPr>
      <w:r>
        <w:rPr>
          <w:rFonts w:hint="eastAsia" w:ascii="宋体" w:hAnsi="宋体" w:eastAsia="宋体" w:cs="宋体"/>
          <w:sz w:val="24"/>
          <w:szCs w:val="24"/>
        </w:rPr>
        <w:t xml:space="preserve">1.按招标文件规定的各项要求，向买方提供所需货物（包含与货物相关的服务）。</w:t>
      </w:r>
      <w:r/>
    </w:p>
    <w:p>
      <w:pPr>
        <w:ind w:firstLine="480"/>
        <w:jc w:val="left"/>
        <w:spacing w:line="360" w:lineRule="auto"/>
        <w:rPr>
          <w:rFonts w:ascii="宋体" w:hAnsi="宋体" w:eastAsia="宋体" w:cs="Times New Roman"/>
          <w:sz w:val="24"/>
          <w:szCs w:val="24"/>
        </w:rPr>
        <w:outlineLvl w:val="2"/>
      </w:pPr>
      <w:r>
        <w:rPr>
          <w:rFonts w:hint="eastAsia" w:ascii="宋体" w:hAnsi="宋体" w:eastAsia="宋体" w:cs="宋体"/>
          <w:sz w:val="24"/>
          <w:szCs w:val="24"/>
        </w:rPr>
        <w:t xml:space="preserve">2.我们完全理解贵方不一定将合同授予最低报价的投标人。</w:t>
      </w:r>
      <w:r/>
    </w:p>
    <w:p>
      <w:pPr>
        <w:ind w:firstLine="480"/>
        <w:jc w:val="left"/>
        <w:spacing w:line="360" w:lineRule="auto"/>
        <w:rPr>
          <w:rFonts w:ascii="宋体" w:hAnsi="宋体" w:eastAsia="宋体" w:cs="Times New Roman"/>
          <w:sz w:val="24"/>
          <w:szCs w:val="24"/>
        </w:rP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sz w:val="24"/>
          <w:szCs w:val="24"/>
        </w:rPr>
      </w:pPr>
      <w:r>
        <w:rPr>
          <w:rFonts w:hint="eastAsia" w:ascii="宋体" w:hAnsi="宋体" w:eastAsia="宋体" w:cs="宋体"/>
          <w:sz w:val="24"/>
          <w:szCs w:val="24"/>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sz w:val="24"/>
          <w:szCs w:val="24"/>
        </w:rP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sz w:val="24"/>
          <w:szCs w:val="24"/>
        </w:rPr>
      </w:pPr>
      <w:r>
        <w:rPr>
          <w:rFonts w:hint="eastAsia" w:ascii="宋体" w:hAnsi="宋体" w:eastAsia="宋体" w:cs="宋体"/>
          <w:sz w:val="24"/>
          <w:szCs w:val="24"/>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sz w:val="24"/>
          <w:szCs w:val="24"/>
        </w:rPr>
        <w:outlineLvl w:val="2"/>
      </w:pPr>
      <w:r>
        <w:rPr>
          <w:rFonts w:hint="eastAsia" w:ascii="宋体" w:hAnsi="宋体" w:eastAsia="宋体" w:cs="宋体"/>
          <w:sz w:val="24"/>
          <w:szCs w:val="24"/>
        </w:rPr>
        <w:t xml:space="preserve">7.与本投标有关的正式通讯地址为：</w:t>
      </w:r>
      <w:r/>
    </w:p>
    <w:p>
      <w:pPr>
        <w:ind w:left="420" w:firstLine="480"/>
        <w:jc w:val="left"/>
        <w:spacing w:line="360" w:lineRule="auto"/>
        <w:rPr>
          <w:rFonts w:ascii="宋体" w:hAnsi="宋体" w:eastAsia="宋体" w:cs="Times New Roman"/>
          <w:sz w:val="24"/>
          <w:szCs w:val="24"/>
        </w:rPr>
      </w:pPr>
      <w:r>
        <w:rPr>
          <w:rFonts w:hint="eastAsia" w:ascii="宋体" w:hAnsi="宋体" w:eastAsia="宋体" w:cs="宋体"/>
          <w:sz w:val="24"/>
          <w:szCs w:val="24"/>
        </w:rPr>
        <w:t xml:space="preserve">地    址：</w:t>
      </w:r>
      <w:r/>
    </w:p>
    <w:p>
      <w:pPr>
        <w:ind w:left="420" w:firstLine="480"/>
        <w:jc w:val="left"/>
        <w:spacing w:line="360" w:lineRule="auto"/>
        <w:rPr>
          <w:rFonts w:ascii="宋体" w:hAnsi="宋体" w:eastAsia="宋体" w:cs="Times New Roman"/>
          <w:sz w:val="24"/>
          <w:szCs w:val="24"/>
        </w:rPr>
      </w:pPr>
      <w:r>
        <w:rPr>
          <w:rFonts w:hint="eastAsia" w:ascii="宋体" w:hAnsi="宋体" w:eastAsia="宋体" w:cs="宋体"/>
          <w:sz w:val="24"/>
          <w:szCs w:val="24"/>
        </w:rPr>
        <w:t xml:space="preserve">邮    编：</w:t>
      </w:r>
      <w:r/>
    </w:p>
    <w:p>
      <w:pPr>
        <w:ind w:left="420" w:firstLine="480"/>
        <w:jc w:val="left"/>
        <w:spacing w:line="360" w:lineRule="auto"/>
        <w:rPr>
          <w:rFonts w:ascii="宋体" w:hAnsi="宋体" w:eastAsia="宋体" w:cs="Times New Roman"/>
          <w:sz w:val="24"/>
          <w:szCs w:val="24"/>
        </w:rPr>
      </w:pPr>
      <w:r>
        <w:rPr>
          <w:rFonts w:hint="eastAsia" w:ascii="宋体" w:hAnsi="宋体" w:eastAsia="宋体" w:cs="宋体"/>
          <w:sz w:val="24"/>
          <w:szCs w:val="24"/>
        </w:rPr>
        <w:t xml:space="preserve">电    话：</w:t>
      </w:r>
      <w:r/>
    </w:p>
    <w:p>
      <w:pPr>
        <w:ind w:left="420" w:firstLine="480"/>
        <w:jc w:val="left"/>
        <w:spacing w:line="360" w:lineRule="auto"/>
        <w:rPr>
          <w:rFonts w:ascii="宋体" w:hAnsi="宋体" w:eastAsia="宋体" w:cs="Times New Roman"/>
          <w:sz w:val="24"/>
          <w:szCs w:val="24"/>
        </w:rPr>
      </w:pPr>
      <w:r>
        <w:rPr>
          <w:rFonts w:hint="eastAsia" w:ascii="宋体" w:hAnsi="宋体" w:eastAsia="宋体" w:cs="宋体"/>
          <w:sz w:val="24"/>
          <w:szCs w:val="24"/>
        </w:rPr>
        <w:t xml:space="preserve">传    真：</w:t>
      </w:r>
      <w:r/>
    </w:p>
    <w:p>
      <w:pPr>
        <w:ind w:left="420" w:firstLine="480"/>
        <w:jc w:val="left"/>
        <w:spacing w:line="360" w:lineRule="auto"/>
        <w:rPr>
          <w:rFonts w:ascii="宋体" w:hAnsi="宋体" w:eastAsia="宋体" w:cs="Times New Roman"/>
          <w:sz w:val="24"/>
          <w:szCs w:val="24"/>
        </w:rPr>
      </w:pPr>
      <w:r>
        <w:rPr>
          <w:rFonts w:hint="eastAsia" w:ascii="宋体" w:hAnsi="宋体" w:eastAsia="宋体" w:cs="宋体"/>
          <w:sz w:val="24"/>
          <w:szCs w:val="24"/>
        </w:rPr>
        <w:t xml:space="preserve">投标人开户行：</w:t>
      </w:r>
      <w:r/>
    </w:p>
    <w:p>
      <w:pPr>
        <w:ind w:left="420" w:firstLine="480"/>
        <w:jc w:val="left"/>
        <w:spacing w:line="360" w:lineRule="auto"/>
        <w:rPr>
          <w:rFonts w:ascii="宋体" w:hAnsi="宋体" w:eastAsia="宋体" w:cs="Times New Roman"/>
          <w:sz w:val="24"/>
          <w:szCs w:val="24"/>
        </w:rPr>
      </w:pPr>
      <w:r>
        <w:rPr>
          <w:rFonts w:hint="eastAsia" w:ascii="宋体" w:hAnsi="宋体" w:eastAsia="宋体" w:cs="宋体"/>
          <w:sz w:val="24"/>
          <w:szCs w:val="24"/>
        </w:rPr>
        <w:t xml:space="preserve">账    号： </w:t>
      </w:r>
      <w:r/>
    </w:p>
    <w:p>
      <w:pPr>
        <w:ind w:left="420" w:firstLine="480"/>
        <w:jc w:val="left"/>
        <w:spacing w:line="360" w:lineRule="auto"/>
        <w:rPr>
          <w:rFonts w:ascii="宋体" w:hAnsi="宋体" w:eastAsia="宋体" w:cs="Times New Roman"/>
          <w:sz w:val="24"/>
          <w:szCs w:val="24"/>
        </w:rPr>
      </w:pPr>
      <w:r>
        <w:rPr>
          <w:rFonts w:hint="eastAsia" w:ascii="宋体" w:hAnsi="宋体" w:eastAsia="宋体" w:cs="宋体"/>
          <w:sz w:val="24"/>
          <w:szCs w:val="24"/>
        </w:rPr>
        <w:t xml:space="preserve">日    期：________年____月____日</w:t>
      </w:r>
      <w:bookmarkEnd w:id="131"/>
      <w:r/>
      <w:r/>
    </w:p>
    <w:p>
      <w:pPr>
        <w:spacing w:line="360" w:lineRule="auto"/>
        <w:rPr>
          <w:rFonts w:ascii="宋体" w:hAnsi="宋体" w:eastAsia="宋体"/>
        </w:rPr>
      </w:pPr>
      <w:r>
        <w:rPr>
          <w:rFonts w:ascii="宋体" w:hAnsi="宋体" w:eastAsia="宋体"/>
        </w:rPr>
      </w:r>
      <w:r/>
    </w:p>
    <w:p>
      <w:pPr>
        <w:jc w:val="left"/>
        <w:widowControl/>
        <w:rPr>
          <w:rFonts w:ascii="宋体" w:hAnsi="宋体" w:eastAsia="宋体"/>
        </w:rPr>
      </w:pPr>
      <w:r>
        <w:rPr>
          <w:rFonts w:hint="eastAsia" w:ascii="宋体" w:hAnsi="宋体" w:eastAsia="宋体"/>
        </w:rPr>
        <w:br w:type="page" w:clear="all"/>
      </w:r>
      <w:r/>
    </w:p>
    <w:p>
      <w:pPr>
        <w:jc w:val="center"/>
        <w:spacing w:line="360" w:lineRule="auto"/>
        <w:rPr>
          <w:rFonts w:ascii="宋体" w:hAnsi="宋体" w:eastAsia="宋体"/>
          <w:b/>
          <w:bCs/>
          <w:iCs/>
          <w:sz w:val="32"/>
          <w:szCs w:val="32"/>
          <w:u w:val="single"/>
        </w:rPr>
        <w:outlineLvl w:val="1"/>
      </w:pPr>
      <w:r/>
      <w:bookmarkStart w:id="132" w:name="_Toc197644588"/>
      <w:r>
        <w:rPr>
          <w:rFonts w:hint="eastAsia" w:ascii="宋体" w:hAnsi="宋体" w:eastAsia="宋体" w:cs="黑体"/>
          <w:b/>
          <w:bCs/>
          <w:iCs/>
          <w:sz w:val="32"/>
          <w:szCs w:val="32"/>
          <w:u w:val="single"/>
        </w:rPr>
        <w:t xml:space="preserve">十、中</w:t>
      </w:r>
      <w:bookmarkStart w:id="133" w:name="OLE_LINK1"/>
      <w:r>
        <w:rPr>
          <w:rFonts w:hint="eastAsia" w:ascii="宋体" w:hAnsi="宋体" w:eastAsia="宋体" w:cs="黑体"/>
          <w:b/>
          <w:bCs/>
          <w:iCs/>
          <w:sz w:val="32"/>
          <w:szCs w:val="32"/>
          <w:u w:val="single"/>
        </w:rPr>
        <w:t xml:space="preserve">小企业声明</w:t>
      </w:r>
      <w:bookmarkEnd w:id="133"/>
      <w:r>
        <w:rPr>
          <w:rFonts w:hint="eastAsia" w:ascii="宋体" w:hAnsi="宋体" w:eastAsia="宋体" w:cs="黑体"/>
          <w:b/>
          <w:bCs/>
          <w:iCs/>
          <w:sz w:val="32"/>
          <w:szCs w:val="32"/>
          <w:u w:val="single"/>
        </w:rPr>
        <w:t xml:space="preserve">函（货物）</w:t>
      </w:r>
      <w:bookmarkEnd w:id="132"/>
      <w:r/>
      <w:r/>
    </w:p>
    <w:p>
      <w:pPr>
        <w:spacing w:line="360" w:lineRule="auto"/>
        <w:rPr>
          <w:rFonts w:ascii="宋体" w:hAnsi="宋体" w:eastAsia="宋体"/>
          <w:szCs w:val="21"/>
        </w:rPr>
      </w:pPr>
      <w:r>
        <w:rPr>
          <w:rFonts w:ascii="宋体" w:hAnsi="宋体" w:eastAsia="宋体"/>
          <w:szCs w:val="21"/>
        </w:rPr>
      </w:r>
      <w:r/>
    </w:p>
    <w:p>
      <w:pPr>
        <w:ind w:firstLine="372"/>
        <w:spacing w:line="360" w:lineRule="auto"/>
        <w:rPr>
          <w:rFonts w:ascii="宋体" w:hAnsi="宋体" w:eastAsia="宋体"/>
          <w:sz w:val="24"/>
          <w:szCs w:val="24"/>
        </w:rPr>
      </w:pPr>
      <w:r>
        <w:rPr>
          <w:rFonts w:hint="eastAsia" w:ascii="宋体" w:hAnsi="宋体" w:eastAsia="宋体"/>
          <w:sz w:val="24"/>
          <w:szCs w:val="24"/>
        </w:rPr>
        <w:t xml:space="preserve">本公司郑重声明，根据《政府采购促进中小企业发展管理办法》（财库﹝2020﹞46 号）的规定，本公司参加</w:t>
      </w:r>
      <w:r>
        <w:rPr>
          <w:rFonts w:hint="eastAsia" w:ascii="宋体" w:hAnsi="宋体" w:eastAsia="宋体"/>
          <w:sz w:val="24"/>
          <w:szCs w:val="24"/>
          <w:u w:val="single"/>
        </w:rPr>
        <w:t xml:space="preserve">盐城市射阳生态环境局</w:t>
      </w:r>
      <w:r>
        <w:rPr>
          <w:rFonts w:hint="eastAsia" w:ascii="宋体" w:hAnsi="宋体" w:eastAsia="宋体"/>
          <w:sz w:val="24"/>
          <w:szCs w:val="24"/>
        </w:rPr>
        <w:t xml:space="preserve">，项目编号为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cs="Arial"/>
          <w:bCs/>
          <w:sz w:val="24"/>
          <w:szCs w:val="24"/>
          <w:u w:val="single"/>
        </w:rPr>
        <w:t xml:space="preserve">项目</w:t>
      </w:r>
      <w:r>
        <w:rPr>
          <w:rFonts w:hint="eastAsia" w:ascii="宋体" w:hAnsi="宋体" w:eastAsia="宋体"/>
          <w:sz w:val="24"/>
          <w:szCs w:val="24"/>
        </w:rPr>
        <w:t xml:space="preserve">的采购活动，全部由符合政策要求的中小企业承接。相关企业的具体情况如下：</w:t>
      </w:r>
      <w:r/>
    </w:p>
    <w:p>
      <w:pPr>
        <w:ind w:firstLine="424"/>
        <w:spacing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u w:val="single"/>
        </w:rPr>
        <w:t xml:space="preserve">（标的名称）  </w:t>
      </w:r>
      <w:r>
        <w:rPr>
          <w:rFonts w:hint="eastAsia" w:ascii="宋体" w:hAnsi="宋体" w:eastAsia="宋体"/>
          <w:sz w:val="24"/>
          <w:szCs w:val="24"/>
        </w:rPr>
        <w:t xml:space="preserve">，属于</w:t>
      </w:r>
      <w:r>
        <w:rPr>
          <w:rFonts w:hint="eastAsia" w:ascii="宋体" w:hAnsi="宋体" w:eastAsia="宋体"/>
          <w:sz w:val="24"/>
          <w:szCs w:val="24"/>
          <w:u w:val="single"/>
        </w:rPr>
        <w:t xml:space="preserve">（采购文件中明确的所属行业    ） </w:t>
      </w:r>
      <w:r>
        <w:rPr>
          <w:rFonts w:hint="eastAsia" w:ascii="宋体" w:hAnsi="宋体" w:eastAsia="宋体"/>
          <w:sz w:val="24"/>
          <w:szCs w:val="24"/>
        </w:rPr>
        <w:t xml:space="preserve">；承接企业为</w:t>
      </w:r>
      <w:r>
        <w:rPr>
          <w:rFonts w:hint="eastAsia" w:ascii="宋体" w:hAnsi="宋体" w:eastAsia="宋体"/>
          <w:sz w:val="24"/>
          <w:szCs w:val="24"/>
          <w:u w:val="single"/>
        </w:rPr>
        <w:t xml:space="preserve">（企业名称）</w:t>
      </w:r>
      <w:r>
        <w:rPr>
          <w:rFonts w:hint="eastAsia" w:ascii="宋体" w:hAnsi="宋体" w:eastAsia="宋体"/>
          <w:sz w:val="24"/>
          <w:szCs w:val="24"/>
        </w:rPr>
        <w:t xml:space="preserve">，从业人员人，营业收入为万元，资产总额为万元，属于（</w:t>
      </w:r>
      <w:r>
        <w:rPr>
          <w:rFonts w:hint="eastAsia" w:ascii="宋体" w:hAnsi="宋体" w:eastAsia="宋体"/>
          <w:sz w:val="24"/>
          <w:szCs w:val="24"/>
          <w:u w:val="single"/>
        </w:rPr>
        <w:t xml:space="preserve">中型企业、小型企业、微型企业</w:t>
      </w:r>
      <w:r>
        <w:rPr>
          <w:rFonts w:hint="eastAsia" w:ascii="宋体" w:hAnsi="宋体" w:eastAsia="宋体"/>
          <w:sz w:val="24"/>
          <w:szCs w:val="24"/>
        </w:rPr>
        <w:t xml:space="preserve">）</w:t>
      </w:r>
      <w:r/>
    </w:p>
    <w:p>
      <w:pPr>
        <w:ind w:firstLine="424"/>
        <w:spacing w:line="360" w:lineRule="auto"/>
        <w:rPr>
          <w:rFonts w:ascii="宋体" w:hAnsi="宋体" w:eastAsia="宋体"/>
          <w:sz w:val="24"/>
          <w:szCs w:val="24"/>
        </w:rPr>
      </w:pPr>
      <w:r>
        <w:rPr>
          <w:rFonts w:hint="eastAsia" w:ascii="宋体" w:hAnsi="宋体" w:eastAsia="宋体"/>
          <w:sz w:val="24"/>
          <w:szCs w:val="24"/>
        </w:rPr>
        <w:t xml:space="preserve">以上企业，不属于大企业的分支机构，不存在控股股东为大企业的情形，也不存在与大企业的负责人为同一人的情形。</w:t>
      </w:r>
      <w:r/>
    </w:p>
    <w:p>
      <w:pPr>
        <w:ind w:firstLine="424"/>
        <w:spacing w:line="360" w:lineRule="auto"/>
        <w:rPr>
          <w:rFonts w:ascii="宋体" w:hAnsi="宋体" w:eastAsia="宋体"/>
          <w:sz w:val="24"/>
          <w:szCs w:val="24"/>
        </w:rPr>
      </w:pPr>
      <w:r>
        <w:rPr>
          <w:rFonts w:hint="eastAsia" w:ascii="宋体" w:hAnsi="宋体" w:eastAsia="宋体"/>
          <w:sz w:val="24"/>
          <w:szCs w:val="24"/>
        </w:rPr>
        <w:t xml:space="preserve">本企业对上述声明内容的真实性负责。如有虚假，将依法承担相应责任。</w:t>
      </w:r>
      <w:r/>
    </w:p>
    <w:p>
      <w:pPr>
        <w:ind w:firstLine="424"/>
        <w:spacing w:line="360" w:lineRule="auto"/>
        <w:rPr>
          <w:rFonts w:ascii="宋体" w:hAnsi="宋体" w:eastAsia="宋体"/>
          <w:sz w:val="24"/>
          <w:szCs w:val="24"/>
        </w:rPr>
      </w:pPr>
      <w:r>
        <w:rPr>
          <w:rFonts w:ascii="宋体" w:hAnsi="宋体" w:eastAsia="宋体"/>
          <w:sz w:val="24"/>
          <w:szCs w:val="24"/>
        </w:rPr>
      </w:r>
      <w:r/>
    </w:p>
    <w:p>
      <w:pPr>
        <w:ind w:firstLine="424"/>
        <w:spacing w:line="360" w:lineRule="auto"/>
        <w:rPr>
          <w:rFonts w:ascii="宋体" w:hAnsi="宋体" w:eastAsia="宋体"/>
          <w:sz w:val="24"/>
          <w:szCs w:val="24"/>
        </w:rPr>
      </w:pPr>
      <w:r>
        <w:rPr>
          <w:rFonts w:ascii="宋体" w:hAnsi="宋体" w:eastAsia="宋体"/>
          <w:sz w:val="24"/>
          <w:szCs w:val="24"/>
        </w:rPr>
      </w:r>
      <w:r/>
    </w:p>
    <w:p>
      <w:pPr>
        <w:ind w:left="3570" w:firstLine="424"/>
        <w:spacing w:line="360" w:lineRule="auto"/>
        <w:rPr>
          <w:rFonts w:ascii="宋体" w:hAnsi="宋体" w:eastAsia="宋体"/>
          <w:sz w:val="24"/>
          <w:szCs w:val="24"/>
        </w:rPr>
      </w:pPr>
      <w:r>
        <w:rPr>
          <w:rFonts w:hint="eastAsia" w:ascii="宋体" w:hAnsi="宋体" w:eastAsia="宋体" w:cs="宋体"/>
          <w:sz w:val="24"/>
          <w:szCs w:val="24"/>
        </w:rPr>
        <w:t xml:space="preserve">企业名称（加盖CA电子公章）：</w:t>
      </w:r>
      <w:r/>
    </w:p>
    <w:p>
      <w:pPr>
        <w:ind w:left="3570" w:firstLine="424"/>
        <w:spacing w:line="360" w:lineRule="auto"/>
        <w:rPr>
          <w:rFonts w:ascii="宋体" w:hAnsi="宋体" w:eastAsia="宋体"/>
          <w:sz w:val="24"/>
          <w:szCs w:val="24"/>
        </w:rPr>
      </w:pPr>
      <w:r>
        <w:rPr>
          <w:rFonts w:hint="eastAsia" w:ascii="宋体" w:hAnsi="宋体" w:eastAsia="宋体" w:cs="宋体"/>
          <w:sz w:val="24"/>
          <w:szCs w:val="24"/>
        </w:rPr>
        <w:t xml:space="preserve">日  期：</w:t>
      </w:r>
      <w:r/>
    </w:p>
    <w:p>
      <w:pPr>
        <w:ind w:firstLine="424"/>
        <w:spacing w:line="360" w:lineRule="auto"/>
        <w:rPr>
          <w:rFonts w:ascii="宋体" w:hAnsi="宋体" w:eastAsia="宋体"/>
          <w:sz w:val="24"/>
          <w:szCs w:val="24"/>
        </w:rPr>
      </w:pPr>
      <w:r>
        <w:rPr>
          <w:rFonts w:ascii="宋体" w:hAnsi="宋体" w:eastAsia="宋体"/>
          <w:sz w:val="24"/>
          <w:szCs w:val="24"/>
        </w:rPr>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备注1：从业人员、营业收入、资产总额填报上一年度数据，无上一年度数据的新成立企业可不填报。</w:t>
      </w:r>
      <w:r/>
    </w:p>
    <w:p>
      <w:pPr>
        <w:ind w:firstLine="424"/>
        <w:spacing w:line="360" w:lineRule="auto"/>
        <w:rPr>
          <w:rFonts w:ascii="宋体" w:hAnsi="宋体" w:eastAsia="宋体"/>
          <w:sz w:val="24"/>
          <w:szCs w:val="24"/>
        </w:rPr>
      </w:pPr>
      <w:r>
        <w:rPr>
          <w:rFonts w:hint="eastAsia" w:ascii="宋体" w:hAnsi="宋体" w:eastAsia="宋体" w:cs="宋体"/>
          <w:sz w:val="24"/>
          <w:szCs w:val="24"/>
        </w:rPr>
        <w:t xml:space="preserve">备注2：投标人如不提供此声明函，价格将不做相应扣除。</w:t>
      </w:r>
      <w:r/>
    </w:p>
    <w:p>
      <w:pPr>
        <w:jc w:val="left"/>
        <w:widowControl/>
        <w:rPr>
          <w:rFonts w:ascii="宋体" w:hAnsi="宋体" w:eastAsia="宋体"/>
          <w:sz w:val="24"/>
          <w:szCs w:val="24"/>
        </w:rPr>
      </w:pPr>
      <w:r>
        <w:rPr>
          <w:rFonts w:hint="eastAsia" w:ascii="宋体" w:hAnsi="宋体" w:eastAsia="宋体"/>
          <w:sz w:val="24"/>
          <w:szCs w:val="24"/>
        </w:rPr>
        <w:br w:type="page" w:clear="all"/>
      </w:r>
      <w:r/>
    </w:p>
    <w:p>
      <w:pPr>
        <w:jc w:val="center"/>
        <w:spacing w:line="276" w:lineRule="auto"/>
        <w:rPr>
          <w:rFonts w:ascii="宋体" w:hAnsi="宋体" w:eastAsia="宋体" w:cs="Times New Roman"/>
          <w:sz w:val="32"/>
          <w:szCs w:val="32"/>
          <w:u w:val="single"/>
        </w:rPr>
        <w:outlineLvl w:val="1"/>
      </w:pPr>
      <w:r>
        <w:rPr>
          <w:rFonts w:hint="eastAsia" w:ascii="宋体" w:hAnsi="宋体" w:eastAsia="宋体" w:cs="黑体"/>
          <w:b/>
          <w:sz w:val="30"/>
          <w:szCs w:val="30"/>
        </w:rPr>
        <w:t xml:space="preserve"> </w:t>
      </w:r>
      <w:bookmarkStart w:id="134" w:name="_Toc197644589"/>
      <w:r>
        <w:rPr>
          <w:rFonts w:hint="eastAsia" w:ascii="宋体" w:hAnsi="宋体" w:eastAsia="宋体" w:cs="黑体"/>
          <w:b/>
          <w:sz w:val="32"/>
          <w:szCs w:val="32"/>
          <w:u w:val="single"/>
        </w:rPr>
        <w:t xml:space="preserve">十一、残疾人福利性单位声明函</w:t>
      </w:r>
      <w:bookmarkEnd w:id="134"/>
      <w:r/>
      <w:r/>
    </w:p>
    <w:p>
      <w:pPr>
        <w:spacing w:line="360" w:lineRule="auto"/>
        <w:rPr>
          <w:rFonts w:ascii="宋体" w:hAnsi="宋体" w:eastAsia="宋体" w:cs="宋体"/>
          <w:szCs w:val="21"/>
        </w:rPr>
      </w:pPr>
      <w:r>
        <w:rPr>
          <w:rFonts w:ascii="宋体" w:hAnsi="宋体" w:eastAsia="宋体" w:cs="宋体"/>
          <w:szCs w:val="21"/>
        </w:rPr>
      </w:r>
      <w:r/>
    </w:p>
    <w:p>
      <w:pPr>
        <w:ind w:firstLine="420"/>
        <w:spacing w:line="360" w:lineRule="auto"/>
        <w:rPr>
          <w:rFonts w:ascii="宋体" w:hAnsi="宋体" w:eastAsia="宋体" w:cs="Times New Roman"/>
          <w:sz w:val="24"/>
          <w:szCs w:val="24"/>
        </w:rPr>
      </w:pPr>
      <w:r/>
      <w:bookmarkStart w:id="135" w:name="_Hlk195801533"/>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项目（分包号：**）采购活动由本单位提供服务。</w:t>
      </w:r>
      <w:bookmarkEnd w:id="135"/>
      <w:r/>
      <w:r/>
    </w:p>
    <w:p>
      <w:pPr>
        <w:ind w:firstLine="480"/>
        <w:spacing w:line="360" w:lineRule="auto"/>
        <w:rPr>
          <w:rFonts w:ascii="宋体" w:hAnsi="宋体" w:eastAsia="宋体" w:cs="Times New Roman"/>
          <w:sz w:val="24"/>
          <w:szCs w:val="24"/>
        </w:rPr>
      </w:pPr>
      <w:r/>
      <w:bookmarkStart w:id="136" w:name="_Hlk195801544"/>
      <w:r>
        <w:rPr>
          <w:rFonts w:hint="eastAsia" w:ascii="宋体" w:hAnsi="宋体" w:eastAsia="宋体" w:cs="宋体"/>
          <w:sz w:val="24"/>
          <w:szCs w:val="24"/>
        </w:rPr>
        <w:t xml:space="preserve">本单位对上述声明的真实性负责。如有虚假，将依法承担相应责任。</w:t>
      </w:r>
      <w:bookmarkEnd w:id="136"/>
      <w:r/>
      <w:r/>
    </w:p>
    <w:p>
      <w:pPr>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sz w:val="24"/>
          <w:szCs w:val="24"/>
        </w:rPr>
      </w:pPr>
      <w:r>
        <w:rPr>
          <w:rFonts w:hint="eastAsia" w:ascii="宋体" w:hAnsi="宋体" w:eastAsia="宋体" w:cs="宋体"/>
          <w:sz w:val="24"/>
          <w:szCs w:val="24"/>
        </w:rPr>
        <w:t xml:space="preserve">备注：1、供应商如不提供此声明函，价格将不做相应扣除（如项目全面面向中小企业，则资格审查不通过）。</w:t>
      </w:r>
      <w:r/>
    </w:p>
    <w:p>
      <w:pPr>
        <w:ind w:firstLine="480"/>
        <w:spacing w:line="360" w:lineRule="auto"/>
        <w:rPr>
          <w:rFonts w:ascii="宋体" w:hAnsi="宋体" w:eastAsia="宋体" w:cs="Times New Roman"/>
          <w:sz w:val="24"/>
          <w:szCs w:val="24"/>
        </w:rPr>
      </w:pPr>
      <w:r>
        <w:rPr>
          <w:rFonts w:hint="eastAsia" w:ascii="宋体" w:hAnsi="宋体" w:eastAsia="宋体" w:cs="宋体"/>
          <w:sz w:val="24"/>
          <w:szCs w:val="24"/>
        </w:rPr>
        <w:t xml:space="preserve">2、中标人为残疾人福利单位的，此声明函将随中标结果同时公告，接受社会监督</w:t>
      </w:r>
      <w:r/>
    </w:p>
    <w:p>
      <w:pPr>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宋体"/>
          <w:sz w:val="24"/>
          <w:szCs w:val="24"/>
        </w:rPr>
      </w:pPr>
      <w:r>
        <w:rPr>
          <w:rFonts w:ascii="宋体" w:hAnsi="宋体" w:eastAsia="宋体" w:cs="仿宋_GB2312"/>
          <w:sz w:val="24"/>
          <w:szCs w:val="24"/>
        </w:rPr>
        <w:t xml:space="preserve">          </w:t>
      </w:r>
      <w:r>
        <w:rPr>
          <w:rFonts w:hint="eastAsia" w:ascii="宋体" w:hAnsi="宋体" w:eastAsia="宋体" w:cs="宋体"/>
          <w:sz w:val="24"/>
          <w:szCs w:val="24"/>
        </w:rPr>
        <w:t xml:space="preserve"> 供应商全称（加盖CA电子公章）：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  日  期：</w:t>
      </w:r>
      <w:r/>
    </w:p>
    <w:p>
      <w:pPr>
        <w:spacing w:line="360" w:lineRule="auto"/>
        <w:rPr>
          <w:rFonts w:ascii="宋体" w:hAnsi="宋体" w:eastAsia="宋体"/>
          <w:szCs w:val="21"/>
        </w:rPr>
      </w:pPr>
      <w:r>
        <w:rPr>
          <w:rFonts w:ascii="宋体" w:hAnsi="宋体" w:eastAsia="宋体"/>
          <w:szCs w:val="21"/>
        </w:rPr>
      </w:r>
      <w:r/>
    </w:p>
    <w:p>
      <w:pPr>
        <w:jc w:val="center"/>
        <w:spacing w:line="276" w:lineRule="auto"/>
        <w:rPr>
          <w:rFonts w:ascii="宋体" w:hAnsi="宋体" w:eastAsia="宋体" w:cs="黑体"/>
          <w:b/>
          <w:sz w:val="32"/>
          <w:szCs w:val="32"/>
          <w:u w:val="single"/>
        </w:rPr>
        <w:outlineLvl w:val="1"/>
      </w:pPr>
      <w:r>
        <w:rPr>
          <w:rFonts w:hint="eastAsia" w:ascii="宋体" w:hAnsi="宋体" w:eastAsia="宋体"/>
          <w:szCs w:val="21"/>
        </w:rPr>
        <w:br w:type="page" w:clear="all"/>
      </w:r>
      <w:r>
        <w:rPr>
          <w:rFonts w:hint="eastAsia" w:ascii="宋体" w:hAnsi="宋体" w:eastAsia="宋体" w:cs="黑体"/>
          <w:b/>
          <w:sz w:val="32"/>
          <w:szCs w:val="32"/>
          <w:u w:val="single"/>
        </w:rPr>
        <w:t xml:space="preserve">十二、开标一览表</w:t>
      </w:r>
      <w:r/>
    </w:p>
    <w:p>
      <w:pPr>
        <w:spacing w:line="276" w:lineRule="auto"/>
        <w:rPr>
          <w:rFonts w:ascii="宋体" w:hAnsi="宋体" w:eastAsia="宋体" w:cs="宋体"/>
          <w:szCs w:val="21"/>
        </w:rPr>
      </w:pPr>
      <w:r>
        <w:rPr>
          <w:rFonts w:ascii="宋体" w:hAnsi="宋体" w:eastAsia="宋体" w:cs="宋体"/>
          <w:szCs w:val="21"/>
        </w:rPr>
      </w:r>
      <w:r/>
    </w:p>
    <w:p>
      <w:pPr>
        <w:ind w:firstLine="5908"/>
        <w:jc w:val="left"/>
        <w:rPr>
          <w:rFonts w:ascii="宋体" w:hAnsi="宋体"/>
          <w:b/>
          <w:bCs/>
          <w:sz w:val="24"/>
        </w:rPr>
      </w:pPr>
      <w:r>
        <w:rPr>
          <w:rFonts w:hint="eastAsia" w:ascii="宋体" w:hAnsi="宋体"/>
          <w:b/>
          <w:bCs/>
          <w:sz w:val="24"/>
        </w:rPr>
        <w:t xml:space="preserve">货币单位：人民币元</w:t>
      </w:r>
      <w:r/>
    </w:p>
    <w:p>
      <w:pPr>
        <w:pStyle w:val="798"/>
        <w:jc w:val="both"/>
      </w:pPr>
      <w:r/>
      <w:r/>
    </w:p>
    <w:tbl>
      <w:tblPr>
        <w:tblStyle w:val="773"/>
        <w:tblpPr w:horzAnchor="page" w:tblpXSpec="center" w:vertAnchor="text" w:tblpY="165" w:leftFromText="180" w:topFromText="0" w:rightFromText="180" w:bottomFromText="0"/>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jc w:val="center"/>
          <w:trHeight w:val="965"/>
        </w:trPr>
        <w:tc>
          <w:tcPr>
            <w:tcBorders>
              <w:bottom w:val="single" w:color="auto" w:sz="4" w:space="0"/>
            </w:tcBorders>
            <w:tcW w:w="1506" w:type="dxa"/>
            <w:vAlign w:val="center"/>
            <w:textDirection w:val="lrTb"/>
            <w:noWrap/>
          </w:tcPr>
          <w:p>
            <w:pPr>
              <w:jc w:val="center"/>
              <w:rPr>
                <w:rFonts w:hAnsi="宋体" w:eastAsia="宋体"/>
                <w:sz w:val="24"/>
                <w:szCs w:val="24"/>
              </w:rPr>
            </w:pPr>
            <w:r>
              <w:rPr>
                <w:rFonts w:hint="eastAsia" w:hAnsi="宋体" w:eastAsia="宋体"/>
                <w:sz w:val="24"/>
                <w:szCs w:val="24"/>
              </w:rPr>
              <w:t xml:space="preserve">项目名称</w:t>
            </w:r>
            <w:r/>
          </w:p>
        </w:tc>
        <w:tc>
          <w:tcPr>
            <w:tcBorders>
              <w:bottom w:val="single" w:color="auto" w:sz="4" w:space="0"/>
            </w:tcBorders>
            <w:tcW w:w="8214" w:type="dxa"/>
            <w:vAlign w:val="center"/>
            <w:textDirection w:val="lrTb"/>
            <w:noWrap/>
          </w:tcPr>
          <w:p>
            <w:pPr>
              <w:rPr>
                <w:rFonts w:hAnsi="宋体" w:eastAsia="宋体"/>
                <w:sz w:val="24"/>
                <w:szCs w:val="24"/>
              </w:rPr>
            </w:pPr>
            <w:r>
              <w:rPr>
                <w:rFonts w:hint="eastAsia" w:hAnsi="宋体" w:cs="Times New Roman"/>
                <w:sz w:val="24"/>
                <w:szCs w:val="24"/>
              </w:rPr>
              <w:t xml:space="preserve">盐城市射阳生态环境局射阳县高新科技创业园大气环境监测监控能力建设项目</w:t>
            </w:r>
            <w:r/>
          </w:p>
        </w:tc>
      </w:tr>
      <w:tr>
        <w:trPr>
          <w:cantSplit/>
          <w:jc w:val="center"/>
          <w:trHeight w:val="920"/>
        </w:trPr>
        <w:tc>
          <w:tcPr>
            <w:gridSpan w:val="2"/>
            <w:tcW w:w="9720" w:type="dxa"/>
            <w:vAlign w:val="center"/>
            <w:textDirection w:val="lrTb"/>
            <w:noWrap/>
          </w:tcPr>
          <w:p>
            <w:pPr>
              <w:rPr>
                <w:rFonts w:hAnsi="宋体" w:eastAsia="宋体"/>
                <w:sz w:val="24"/>
                <w:szCs w:val="24"/>
              </w:rPr>
            </w:pPr>
            <w:r>
              <w:rPr>
                <w:rFonts w:hint="eastAsia" w:hAnsi="宋体" w:eastAsia="宋体"/>
                <w:sz w:val="24"/>
                <w:szCs w:val="24"/>
              </w:rPr>
              <w:t xml:space="preserve">投标报价（大写）：      </w:t>
            </w:r>
            <w:r>
              <w:rPr>
                <w:rFonts w:hint="eastAsia" w:hAnsi="宋体" w:eastAsia="宋体"/>
                <w:sz w:val="24"/>
                <w:szCs w:val="24"/>
                <w:lang w:val="en-US" w:eastAsia="zh-CN"/>
              </w:rPr>
              <w:t xml:space="preserve">                                       </w:t>
            </w:r>
            <w:r>
              <w:rPr>
                <w:rFonts w:hint="eastAsia" w:hAnsi="宋体" w:eastAsia="宋体"/>
                <w:sz w:val="24"/>
                <w:szCs w:val="24"/>
              </w:rPr>
              <w:t xml:space="preserve">     小写： </w:t>
            </w:r>
            <w:r/>
          </w:p>
        </w:tc>
      </w:tr>
      <w:tr>
        <w:trPr>
          <w:cantSplit/>
          <w:jc w:val="center"/>
          <w:trHeight w:val="780"/>
        </w:trPr>
        <w:tc>
          <w:tcPr>
            <w:gridSpan w:val="2"/>
            <w:tcW w:w="9720" w:type="dxa"/>
            <w:vAlign w:val="center"/>
            <w:textDirection w:val="lrTb"/>
            <w:noWrap/>
          </w:tcPr>
          <w:p>
            <w:pPr>
              <w:rPr>
                <w:rFonts w:hAnsi="宋体" w:eastAsia="宋体"/>
                <w:sz w:val="24"/>
                <w:szCs w:val="24"/>
              </w:rPr>
            </w:pPr>
            <w:r>
              <w:rPr>
                <w:rFonts w:hint="eastAsia" w:hAnsi="宋体" w:eastAsia="宋体"/>
                <w:sz w:val="24"/>
                <w:szCs w:val="24"/>
              </w:rPr>
              <w:t xml:space="preserve">合同履行期限：</w:t>
            </w:r>
            <w:r/>
          </w:p>
        </w:tc>
      </w:tr>
      <w:tr>
        <w:trPr>
          <w:cantSplit/>
          <w:jc w:val="center"/>
          <w:trHeight w:val="780"/>
        </w:trPr>
        <w:tc>
          <w:tcPr>
            <w:gridSpan w:val="2"/>
            <w:tcW w:w="9720" w:type="dxa"/>
            <w:vAlign w:val="center"/>
            <w:textDirection w:val="lrTb"/>
            <w:noWrap/>
          </w:tcPr>
          <w:p>
            <w:pPr>
              <w:rPr>
                <w:rFonts w:hint="default" w:hAnsi="宋体" w:eastAsia="宋体"/>
                <w:sz w:val="24"/>
                <w:szCs w:val="24"/>
                <w:lang w:val="en-US" w:eastAsia="zh-CN"/>
              </w:rPr>
            </w:pPr>
            <w:r>
              <w:rPr>
                <w:rFonts w:hint="eastAsia" w:hAnsi="宋体" w:eastAsia="宋体"/>
                <w:sz w:val="24"/>
                <w:szCs w:val="24"/>
                <w:lang w:val="en-US" w:eastAsia="zh-CN"/>
              </w:rPr>
              <w:t xml:space="preserve">核心产品品牌：</w:t>
            </w:r>
            <w:r/>
          </w:p>
        </w:tc>
      </w:tr>
    </w:tbl>
    <w:p>
      <w:pPr>
        <w:pStyle w:val="798"/>
        <w:jc w:val="both"/>
      </w:pPr>
      <w:r/>
      <w:r/>
    </w:p>
    <w:p>
      <w:pPr>
        <w:pStyle w:val="798"/>
        <w:jc w:val="both"/>
      </w:pPr>
      <w:r/>
      <w:r/>
    </w:p>
    <w:p>
      <w:pPr>
        <w:pStyle w:val="798"/>
        <w:jc w:val="both"/>
      </w:pPr>
      <w:r>
        <w:rPr>
          <w:rFonts w:hint="eastAsia"/>
        </w:rPr>
        <w:t xml:space="preserve">备注：</w:t>
      </w:r>
      <w:r/>
    </w:p>
    <w:p>
      <w:pPr>
        <w:pStyle w:val="798"/>
        <w:ind w:firstLine="480"/>
        <w:jc w:val="both"/>
        <w:spacing w:line="360" w:lineRule="auto"/>
      </w:pPr>
      <w:r>
        <w:rPr>
          <w:rFonts w:hint="eastAsia"/>
        </w:rPr>
        <w:t xml:space="preserve">1.投标报价采用总承包方式，“投标总报价” 包括但不限于应付职工薪酬费（含周末及节假日加班费）、交通费、保险费、税金、利润等政策性文件规定及合同包含的所有风险、责任等各项应有费用，同时还包含为完成本项目所必须的其他辅助工作的相关费用及招标文件要求的所有费用，不论其在本文件中是否提及，一次性包定。 </w:t>
      </w:r>
      <w:r/>
    </w:p>
    <w:p>
      <w:pPr>
        <w:pStyle w:val="798"/>
        <w:ind w:firstLine="480"/>
        <w:jc w:val="both"/>
        <w:spacing w:line="360" w:lineRule="auto"/>
      </w:pPr>
      <w:r/>
      <w:r/>
    </w:p>
    <w:p>
      <w:pPr>
        <w:pStyle w:val="798"/>
        <w:ind w:right="180" w:firstLine="360"/>
        <w:jc w:val="right"/>
        <w:spacing w:line="360" w:lineRule="auto"/>
      </w:pPr>
      <w:r>
        <w:rPr>
          <w:rFonts w:hint="eastAsia"/>
        </w:rPr>
        <w:t xml:space="preserve">企业名称（加盖CA电子公章）：</w:t>
      </w:r>
      <w:r/>
    </w:p>
    <w:p>
      <w:pPr>
        <w:pStyle w:val="798"/>
        <w:ind w:right="480" w:firstLine="5400"/>
        <w:jc w:val="both"/>
        <w:spacing w:line="360" w:lineRule="auto"/>
      </w:pPr>
      <w:r>
        <w:rPr>
          <w:rFonts w:hint="eastAsia"/>
        </w:rPr>
        <w:t xml:space="preserve">日 期：</w:t>
      </w:r>
      <w:r/>
    </w:p>
    <w:p>
      <w:pPr>
        <w:jc w:val="left"/>
        <w:widowControl/>
        <w:rPr>
          <w:rFonts w:ascii="宋体" w:hAnsi="宋体" w:eastAsia="宋体"/>
          <w:szCs w:val="21"/>
        </w:rPr>
      </w:pPr>
      <w:r>
        <w:rPr>
          <w:rFonts w:ascii="宋体" w:hAnsi="宋体" w:eastAsia="宋体"/>
          <w:szCs w:val="21"/>
        </w:rPr>
      </w:r>
      <w:r/>
    </w:p>
    <w:p>
      <w:pPr>
        <w:pStyle w:val="780"/>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jc w:val="center"/>
        <w:rPr>
          <w:rFonts w:hint="eastAsia" w:ascii="宋体" w:hAnsi="宋体" w:eastAsia="宋体" w:cs="黑体"/>
          <w:b/>
          <w:sz w:val="32"/>
          <w:szCs w:val="32"/>
          <w:u w:val="single"/>
        </w:rPr>
      </w:pPr>
      <w:r>
        <w:rPr>
          <w:rFonts w:hint="eastAsia" w:ascii="宋体" w:hAnsi="宋体" w:eastAsia="宋体" w:cs="黑体"/>
          <w:b/>
          <w:sz w:val="32"/>
          <w:szCs w:val="32"/>
          <w:u w:val="single"/>
        </w:rPr>
        <w:t xml:space="preserve">十三、投标分项报价表</w:t>
      </w:r>
      <w:r/>
    </w:p>
    <w:p>
      <w:pPr>
        <w:pStyle w:val="788"/>
        <w:rPr>
          <w:rFonts w:ascii="宋体" w:hAnsi="宋体" w:eastAsia="宋体"/>
          <w:szCs w:val="21"/>
          <w:highlight w:val="yellow"/>
        </w:rPr>
      </w:pPr>
      <w:r>
        <w:rPr>
          <w:rFonts w:ascii="宋体" w:hAnsi="宋体" w:eastAsia="宋体"/>
          <w:szCs w:val="21"/>
          <w:highlight w:val="yellow"/>
        </w:rPr>
      </w:r>
      <w:r/>
    </w:p>
    <w:p>
      <w:pPr>
        <w:pStyle w:val="788"/>
        <w:rPr>
          <w:rFonts w:ascii="宋体" w:hAnsi="宋体" w:eastAsia="宋体"/>
          <w:szCs w:val="21"/>
        </w:rPr>
      </w:pPr>
      <w:r>
        <w:rPr>
          <w:rFonts w:ascii="宋体" w:hAnsi="宋体" w:eastAsia="宋体"/>
          <w:szCs w:val="21"/>
        </w:rPr>
      </w:r>
      <w:r/>
    </w:p>
    <w:tbl>
      <w:tblPr>
        <w:tblStyle w:val="773"/>
        <w:tblW w:w="51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11"/>
        <w:gridCol w:w="2331"/>
        <w:gridCol w:w="1155"/>
        <w:gridCol w:w="1861"/>
        <w:gridCol w:w="1372"/>
        <w:gridCol w:w="1372"/>
      </w:tblGrid>
      <w:tr>
        <w:trPr>
          <w:jc w:val="center"/>
          <w:trHeight w:val="740"/>
          <w:tblHeader/>
        </w:trPr>
        <w:tc>
          <w:tcPr>
            <w:tcW w:w="404" w:type="pct"/>
            <w:vAlign w:val="center"/>
            <w:textDirection w:val="lrTb"/>
            <w:noWrap w:val="false"/>
          </w:tcPr>
          <w:p>
            <w:pPr>
              <w:pStyle w:val="987"/>
              <w:spacing w:line="400" w:lineRule="exact"/>
              <w:rPr>
                <w:rFonts w:eastAsia="宋体" w:cs="宋体"/>
                <w:b/>
                <w:sz w:val="24"/>
                <w:szCs w:val="24"/>
              </w:rPr>
            </w:pPr>
            <w:r>
              <w:rPr>
                <w:rFonts w:hint="eastAsia" w:eastAsia="宋体" w:cs="宋体"/>
                <w:b/>
                <w:sz w:val="24"/>
                <w:szCs w:val="24"/>
              </w:rPr>
              <w:t xml:space="preserve">序号</w:t>
            </w:r>
            <w:r/>
          </w:p>
        </w:tc>
        <w:tc>
          <w:tcPr>
            <w:tcW w:w="1324" w:type="pct"/>
            <w:vAlign w:val="center"/>
            <w:textDirection w:val="lrTb"/>
            <w:noWrap w:val="false"/>
          </w:tcPr>
          <w:p>
            <w:pPr>
              <w:pStyle w:val="987"/>
              <w:spacing w:line="400" w:lineRule="exact"/>
              <w:rPr>
                <w:rFonts w:eastAsia="宋体" w:cs="宋体"/>
                <w:b/>
                <w:sz w:val="24"/>
                <w:szCs w:val="24"/>
              </w:rPr>
            </w:pPr>
            <w:r>
              <w:rPr>
                <w:rFonts w:hint="eastAsia" w:eastAsia="宋体" w:cs="宋体"/>
                <w:b/>
                <w:sz w:val="24"/>
                <w:szCs w:val="24"/>
              </w:rPr>
              <w:t xml:space="preserve">标的名称</w:t>
            </w:r>
            <w:r/>
          </w:p>
        </w:tc>
        <w:tc>
          <w:tcPr>
            <w:tcW w:w="656" w:type="pct"/>
            <w:vAlign w:val="center"/>
            <w:textDirection w:val="lrTb"/>
            <w:noWrap w:val="false"/>
          </w:tcPr>
          <w:p>
            <w:pPr>
              <w:pStyle w:val="987"/>
              <w:spacing w:line="400" w:lineRule="exact"/>
              <w:rPr>
                <w:rFonts w:eastAsia="宋体" w:cs="宋体"/>
                <w:b/>
                <w:sz w:val="24"/>
                <w:szCs w:val="24"/>
              </w:rPr>
            </w:pPr>
            <w:r>
              <w:rPr>
                <w:rFonts w:hint="eastAsia" w:eastAsia="宋体" w:cs="宋体"/>
                <w:b/>
                <w:sz w:val="24"/>
                <w:szCs w:val="24"/>
              </w:rPr>
              <w:t xml:space="preserve">数量</w:t>
            </w:r>
            <w:r/>
          </w:p>
          <w:p>
            <w:pPr>
              <w:pStyle w:val="987"/>
              <w:spacing w:line="400" w:lineRule="exact"/>
              <w:rPr>
                <w:rFonts w:eastAsia="宋体" w:cs="宋体"/>
                <w:b/>
                <w:sz w:val="24"/>
                <w:szCs w:val="24"/>
              </w:rPr>
            </w:pPr>
            <w:r>
              <w:rPr>
                <w:rFonts w:hint="eastAsia" w:eastAsia="宋体" w:cs="宋体"/>
                <w:b/>
                <w:sz w:val="24"/>
                <w:szCs w:val="24"/>
              </w:rPr>
              <w:t xml:space="preserve">（台/套）</w:t>
            </w:r>
            <w:r/>
          </w:p>
        </w:tc>
        <w:tc>
          <w:tcPr>
            <w:tcW w:w="1057" w:type="pct"/>
            <w:vAlign w:val="center"/>
            <w:textDirection w:val="lrTb"/>
            <w:noWrap w:val="false"/>
          </w:tcPr>
          <w:p>
            <w:pPr>
              <w:pStyle w:val="987"/>
              <w:spacing w:line="400" w:lineRule="exact"/>
              <w:rPr>
                <w:rFonts w:eastAsia="宋体" w:cs="宋体"/>
                <w:b/>
                <w:sz w:val="24"/>
                <w:szCs w:val="24"/>
              </w:rPr>
            </w:pPr>
            <w:r>
              <w:rPr>
                <w:rFonts w:hint="eastAsia" w:eastAsia="宋体" w:cs="宋体"/>
                <w:b/>
                <w:sz w:val="24"/>
                <w:szCs w:val="24"/>
              </w:rPr>
              <w:t xml:space="preserve">品牌型号</w:t>
            </w:r>
            <w:r/>
          </w:p>
        </w:tc>
        <w:tc>
          <w:tcPr>
            <w:tcW w:w="779" w:type="pct"/>
            <w:textDirection w:val="lrTb"/>
            <w:noWrap w:val="false"/>
          </w:tcPr>
          <w:p>
            <w:pPr>
              <w:pStyle w:val="987"/>
              <w:spacing w:line="400" w:lineRule="exact"/>
              <w:rPr>
                <w:rFonts w:eastAsia="宋体" w:cs="宋体"/>
                <w:b/>
                <w:sz w:val="24"/>
                <w:szCs w:val="24"/>
              </w:rPr>
            </w:pPr>
            <w:r>
              <w:rPr>
                <w:rFonts w:hint="eastAsia" w:eastAsia="宋体" w:cs="宋体"/>
                <w:b/>
                <w:sz w:val="24"/>
                <w:szCs w:val="24"/>
              </w:rPr>
              <w:t xml:space="preserve">分项单价</w:t>
            </w:r>
            <w:r/>
          </w:p>
          <w:p>
            <w:pPr>
              <w:pStyle w:val="987"/>
              <w:spacing w:line="400" w:lineRule="exact"/>
              <w:rPr>
                <w:rFonts w:eastAsia="宋体" w:cs="宋体"/>
                <w:b/>
                <w:sz w:val="24"/>
                <w:szCs w:val="24"/>
              </w:rPr>
            </w:pPr>
            <w:r>
              <w:rPr>
                <w:rFonts w:hint="eastAsia" w:eastAsia="宋体" w:cs="宋体"/>
                <w:b/>
                <w:sz w:val="24"/>
                <w:szCs w:val="24"/>
              </w:rPr>
              <w:t xml:space="preserve">（元）</w:t>
            </w:r>
            <w:r/>
          </w:p>
        </w:tc>
        <w:tc>
          <w:tcPr>
            <w:tcW w:w="779" w:type="pct"/>
            <w:textDirection w:val="lrTb"/>
            <w:noWrap w:val="false"/>
          </w:tcPr>
          <w:p>
            <w:pPr>
              <w:pStyle w:val="987"/>
              <w:spacing w:line="400" w:lineRule="exact"/>
              <w:rPr>
                <w:rFonts w:eastAsia="宋体" w:cs="宋体"/>
                <w:b/>
                <w:sz w:val="24"/>
                <w:szCs w:val="24"/>
              </w:rPr>
            </w:pPr>
            <w:r>
              <w:rPr>
                <w:rFonts w:hint="eastAsia" w:eastAsia="宋体" w:cs="宋体"/>
                <w:b/>
                <w:sz w:val="24"/>
                <w:szCs w:val="24"/>
              </w:rPr>
              <w:t xml:space="preserve">分项总价</w:t>
            </w:r>
            <w:r/>
          </w:p>
          <w:p>
            <w:pPr>
              <w:pStyle w:val="987"/>
              <w:spacing w:line="400" w:lineRule="exact"/>
              <w:rPr>
                <w:rFonts w:eastAsia="宋体" w:cs="宋体"/>
                <w:b/>
                <w:sz w:val="24"/>
                <w:szCs w:val="24"/>
              </w:rPr>
            </w:pPr>
            <w:r>
              <w:rPr>
                <w:rFonts w:hint="eastAsia" w:eastAsia="宋体" w:cs="宋体"/>
                <w:b/>
                <w:sz w:val="24"/>
                <w:szCs w:val="24"/>
              </w:rPr>
              <w:t xml:space="preserve">（元）</w:t>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环境空气VOCs在线监测系统 （57种PAMS物质）</w:t>
            </w:r>
            <w:r>
              <w:rPr>
                <w:rFonts w:hint="eastAsia"/>
                <w:spacing w:val="8"/>
                <w:lang w:eastAsia="zh-CN"/>
              </w:rPr>
              <w:t xml:space="preserve">（核心产品）</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sz w:val="24"/>
                <w:szCs w:val="24"/>
              </w:rPr>
            </w:pPr>
            <w:r>
              <w:rPr>
                <w:rFonts w:eastAsia="宋体" w:cs="宋体"/>
                <w:bCs/>
                <w:sz w:val="24"/>
                <w:szCs w:val="24"/>
              </w:rPr>
            </w:r>
            <w:r/>
          </w:p>
        </w:tc>
        <w:tc>
          <w:tcPr>
            <w:tcW w:w="779" w:type="pct"/>
            <w:textDirection w:val="lrTb"/>
            <w:noWrap w:val="false"/>
          </w:tcPr>
          <w:p>
            <w:pPr>
              <w:pStyle w:val="987"/>
              <w:spacing w:line="400" w:lineRule="exact"/>
              <w:rPr>
                <w:rFonts w:eastAsia="宋体" w:cs="宋体"/>
                <w:bCs/>
                <w:sz w:val="24"/>
                <w:szCs w:val="24"/>
              </w:rPr>
            </w:pPr>
            <w:r>
              <w:rPr>
                <w:rFonts w:eastAsia="宋体" w:cs="宋体"/>
                <w:bCs/>
                <w:sz w:val="24"/>
                <w:szCs w:val="24"/>
              </w:rPr>
            </w:r>
            <w:r/>
          </w:p>
        </w:tc>
        <w:tc>
          <w:tcPr>
            <w:tcW w:w="779" w:type="pct"/>
            <w:textDirection w:val="lrTb"/>
            <w:noWrap w:val="false"/>
          </w:tcPr>
          <w:p>
            <w:pPr>
              <w:pStyle w:val="987"/>
              <w:spacing w:line="400" w:lineRule="exact"/>
              <w:rPr>
                <w:rFonts w:eastAsia="宋体" w:cs="宋体"/>
                <w:bCs/>
                <w:sz w:val="24"/>
                <w:szCs w:val="24"/>
              </w:rPr>
            </w:pPr>
            <w:r>
              <w:rPr>
                <w:rFonts w:eastAsia="宋体" w:cs="宋体"/>
                <w:bCs/>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二氧化硫分析仪</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3</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氮氧化物分析仪</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4</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臭氧分析仪</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5</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一氧化碳分析仪</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6</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PM2.5监测仪</w:t>
            </w:r>
            <w:r>
              <w:rPr>
                <w:rFonts w:hint="eastAsia"/>
                <w:spacing w:val="8"/>
                <w:lang w:eastAsia="zh-CN"/>
              </w:rPr>
              <w:t xml:space="preserve">（核心产品）</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7</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PM10监测仪</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8</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多气体动态校准仪</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9</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零气发生器</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c>
          <w:tcPr>
            <w:tcW w:w="779" w:type="pct"/>
            <w:textDirection w:val="lrTb"/>
            <w:noWrap w:val="false"/>
          </w:tcPr>
          <w:p>
            <w:pPr>
              <w:jc w:val="center"/>
              <w:spacing w:line="400" w:lineRule="exact"/>
              <w:rPr>
                <w:rFonts w:ascii="Times New Roman" w:hAnsi="Times New Roman" w:eastAsia="宋体" w:cs="宋体"/>
                <w:bCs/>
                <w:color w:val="000000"/>
                <w:sz w:val="24"/>
              </w:rPr>
            </w:pPr>
            <w:r>
              <w:rPr>
                <w:rFonts w:ascii="Times New Roman" w:hAnsi="Times New Roman" w:eastAsia="宋体" w:cs="宋体"/>
                <w:bCs/>
                <w:color w:val="000000"/>
                <w:sz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10</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氢气发生器</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11</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气象五参数</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12</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系统控制及数据采集单元</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13</w:t>
            </w:r>
            <w:r/>
          </w:p>
        </w:tc>
        <w:tc>
          <w:tcPr>
            <w:tcW w:w="1324" w:type="pct"/>
            <w:vAlign w:val="center"/>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采样装置</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14</w:t>
            </w:r>
            <w:r/>
          </w:p>
        </w:tc>
        <w:tc>
          <w:tcPr>
            <w:tcW w:w="1324" w:type="pct"/>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标准化站房（≥24平方米）</w:t>
            </w:r>
            <w:r/>
          </w:p>
        </w:tc>
        <w:tc>
          <w:tcPr>
            <w:tcW w:w="656" w:type="pct"/>
            <w:vAlign w:val="center"/>
            <w:textDirection w:val="lrTb"/>
            <w:noWrap w:val="false"/>
          </w:tcPr>
          <w:p>
            <w:pPr>
              <w:pStyle w:val="987"/>
              <w:spacing w:line="400" w:lineRule="exact"/>
              <w:rPr>
                <w:rFonts w:eastAsia="宋体" w:cs="宋体"/>
                <w:sz w:val="24"/>
                <w:szCs w:val="24"/>
              </w:rPr>
            </w:pPr>
            <w:r>
              <w:rPr>
                <w:rFonts w:eastAsia="宋体" w:cs="宋体"/>
                <w:sz w:val="24"/>
                <w:szCs w:val="24"/>
              </w:rPr>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15</w:t>
            </w:r>
            <w:r/>
          </w:p>
        </w:tc>
        <w:tc>
          <w:tcPr>
            <w:tcW w:w="1324" w:type="pct"/>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视频监控系统</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16</w:t>
            </w:r>
            <w:r/>
          </w:p>
        </w:tc>
        <w:tc>
          <w:tcPr>
            <w:tcW w:w="1324" w:type="pct"/>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机柜</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r>
        <w:trPr>
          <w:jc w:val="center"/>
          <w:trHeight w:val="454"/>
        </w:trPr>
        <w:tc>
          <w:tcPr>
            <w:tcW w:w="404"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17</w:t>
            </w:r>
            <w:r/>
          </w:p>
        </w:tc>
        <w:tc>
          <w:tcPr>
            <w:tcW w:w="1324" w:type="pct"/>
            <w:textDirection w:val="lrTb"/>
            <w:noWrap w:val="false"/>
          </w:tcPr>
          <w:p>
            <w:pPr>
              <w:jc w:val="left"/>
              <w:spacing w:line="400" w:lineRule="exact"/>
              <w:rPr>
                <w:rFonts w:ascii="Times New Roman" w:hAnsi="Times New Roman" w:eastAsia="宋体" w:cs="宋体"/>
                <w:sz w:val="24"/>
              </w:rPr>
            </w:pPr>
            <w:r>
              <w:rPr>
                <w:rFonts w:hint="eastAsia" w:ascii="Times New Roman" w:hAnsi="Times New Roman" w:eastAsia="宋体" w:cs="宋体"/>
                <w:sz w:val="24"/>
              </w:rPr>
              <w:t xml:space="preserve">各类标气、水、电、网络、防雷装置（出具防雷报告）、消防、办公桌椅、档案柜，文化建设等其他配套设施设备</w:t>
            </w:r>
            <w:r/>
          </w:p>
        </w:tc>
        <w:tc>
          <w:tcPr>
            <w:tcW w:w="656" w:type="pct"/>
            <w:vAlign w:val="center"/>
            <w:textDirection w:val="lrTb"/>
            <w:noWrap w:val="false"/>
          </w:tcPr>
          <w:p>
            <w:pPr>
              <w:pStyle w:val="987"/>
              <w:spacing w:line="400" w:lineRule="exact"/>
              <w:rPr>
                <w:rFonts w:eastAsia="宋体" w:cs="宋体"/>
                <w:sz w:val="24"/>
                <w:szCs w:val="24"/>
              </w:rPr>
            </w:pPr>
            <w:r>
              <w:rPr>
                <w:rFonts w:hint="eastAsia" w:eastAsia="宋体" w:cs="宋体"/>
                <w:sz w:val="24"/>
                <w:szCs w:val="24"/>
              </w:rPr>
              <w:t xml:space="preserve">2</w:t>
            </w:r>
            <w:r/>
          </w:p>
        </w:tc>
        <w:tc>
          <w:tcPr>
            <w:tcW w:w="1057" w:type="pct"/>
            <w:vAlign w:val="center"/>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c>
          <w:tcPr>
            <w:tcW w:w="779" w:type="pct"/>
            <w:textDirection w:val="lrTb"/>
            <w:noWrap w:val="false"/>
          </w:tcPr>
          <w:p>
            <w:pPr>
              <w:pStyle w:val="987"/>
              <w:spacing w:line="400" w:lineRule="exact"/>
              <w:rPr>
                <w:rFonts w:eastAsia="宋体" w:cs="宋体"/>
                <w:bCs/>
                <w:color w:val="000000"/>
                <w:sz w:val="24"/>
                <w:szCs w:val="24"/>
              </w:rPr>
            </w:pPr>
            <w:r>
              <w:rPr>
                <w:rFonts w:eastAsia="宋体" w:cs="宋体"/>
                <w:bCs/>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p>
    <w:p>
      <w:pPr>
        <w:ind w:firstLine="480"/>
      </w:pPr>
      <w:r>
        <w:t xml:space="preserve"> </w:t>
      </w:r>
      <w:r/>
    </w:p>
    <w:p>
      <w:pPr>
        <w:pStyle w:val="975"/>
        <w:ind w:firstLine="480"/>
      </w:pPr>
      <w:r/>
      <w:r/>
    </w:p>
    <w:p>
      <w:pPr>
        <w:ind w:firstLine="2240"/>
        <w:rPr>
          <w:rFonts w:ascii="宋体" w:hAnsi="宋体" w:eastAsia="宋体" w:cs="宋体"/>
          <w:color w:val="000000"/>
          <w:sz w:val="24"/>
          <w:szCs w:val="24"/>
        </w:rPr>
      </w:pPr>
      <w:r>
        <w:rPr>
          <w:rFonts w:ascii="宋体" w:hAnsi="宋体" w:eastAsia="宋体" w:cs="宋体"/>
          <w:color w:val="000000"/>
          <w:sz w:val="24"/>
          <w:szCs w:val="24"/>
        </w:rPr>
      </w:r>
      <w:r/>
    </w:p>
    <w:p>
      <w:pPr>
        <w:ind w:firstLine="3513"/>
      </w:pPr>
      <w:r>
        <w:rPr>
          <w:rFonts w:hint="eastAsia" w:ascii="宋体" w:hAnsi="宋体" w:eastAsia="宋体" w:cs="宋体"/>
          <w:color w:val="000000"/>
          <w:sz w:val="24"/>
          <w:szCs w:val="24"/>
        </w:rPr>
        <w:t xml:space="preserve">企业名称（加盖CA电子公章）：</w:t>
      </w:r>
      <w:r/>
    </w:p>
    <w:p>
      <w:pPr>
        <w:pStyle w:val="989"/>
        <w:jc w:val="both"/>
        <w:spacing w:beforeAutospacing="0" w:afterAutospacing="0"/>
        <w:rPr>
          <w:u w:val="single"/>
        </w:rPr>
      </w:pPr>
      <w:r>
        <w:rPr>
          <w:u w:val="single"/>
        </w:rPr>
      </w:r>
      <w:r/>
    </w:p>
    <w:p>
      <w:pPr>
        <w:pStyle w:val="989"/>
        <w:ind w:firstLine="5520"/>
        <w:jc w:val="both"/>
        <w:spacing w:beforeAutospacing="0" w:afterAutospacing="0"/>
        <w:rPr>
          <w:rFonts w:ascii="黑体" w:hAnsi="宋体" w:eastAsia="黑体" w:cs="黑体"/>
          <w:b/>
          <w:color w:val="000000"/>
          <w:sz w:val="32"/>
          <w:szCs w:val="32"/>
        </w:rPr>
      </w:pPr>
      <w:r>
        <w:rPr>
          <w:rFonts w:hint="eastAsia"/>
        </w:rPr>
        <w:t xml:space="preserve">年</w:t>
      </w:r>
      <w:r>
        <w:rPr>
          <w:rFonts w:hint="eastAsia"/>
          <w:lang w:val="en-US" w:eastAsia="zh-CN"/>
        </w:rPr>
        <w:t xml:space="preserve">        </w:t>
      </w:r>
      <w:r>
        <w:rPr>
          <w:rFonts w:hint="eastAsia"/>
        </w:rPr>
        <w:t xml:space="preserve">月</w:t>
      </w:r>
      <w:r>
        <w:rPr>
          <w:rFonts w:hint="eastAsia"/>
          <w:lang w:val="en-US" w:eastAsia="zh-CN"/>
        </w:rPr>
        <w:t xml:space="preserve">       </w:t>
      </w:r>
      <w:r>
        <w:rPr>
          <w:rFonts w:hint="eastAsia"/>
        </w:rPr>
        <w:t xml:space="preserve">日</w:t>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rPr>
          <w:rFonts w:ascii="宋体" w:hAnsi="宋体" w:eastAsia="宋体"/>
          <w:szCs w:val="21"/>
        </w:rPr>
      </w:r>
      <w:r/>
    </w:p>
    <w:p>
      <w:pPr>
        <w:pStyle w:val="788"/>
        <w:rPr>
          <w:rFonts w:ascii="宋体" w:hAnsi="宋体" w:eastAsia="宋体"/>
          <w:szCs w:val="21"/>
        </w:rPr>
      </w:pPr>
      <w:r/>
      <w:bookmarkStart w:id="152" w:name="_GoBack"/>
      <w:r/>
      <w:bookmarkEnd w:id="152"/>
      <w:r/>
      <w:r/>
    </w:p>
    <w:p>
      <w:pPr>
        <w:pStyle w:val="788"/>
        <w:rPr>
          <w:rFonts w:ascii="宋体" w:hAnsi="宋体" w:eastAsia="宋体"/>
          <w:szCs w:val="21"/>
        </w:rPr>
      </w:pPr>
      <w:r>
        <w:rPr>
          <w:rFonts w:ascii="宋体" w:hAnsi="宋体" w:eastAsia="宋体"/>
          <w:szCs w:val="21"/>
        </w:rPr>
      </w:r>
      <w:r/>
    </w:p>
    <w:p>
      <w:pPr>
        <w:jc w:val="center"/>
        <w:spacing w:line="276" w:lineRule="auto"/>
        <w:rPr>
          <w:rFonts w:ascii="宋体" w:hAnsi="宋体" w:eastAsia="宋体" w:cs="黑体"/>
          <w:b/>
          <w:sz w:val="32"/>
          <w:szCs w:val="32"/>
          <w:u w:val="single"/>
        </w:rPr>
        <w:outlineLvl w:val="1"/>
      </w:pPr>
      <w:r/>
      <w:bookmarkStart w:id="137" w:name="_Toc197644591"/>
      <w:r>
        <w:rPr>
          <w:rFonts w:hint="eastAsia" w:ascii="宋体" w:hAnsi="宋体" w:eastAsia="宋体" w:cs="黑体"/>
          <w:b/>
          <w:sz w:val="32"/>
          <w:szCs w:val="32"/>
          <w:u w:val="single"/>
        </w:rPr>
        <w:t xml:space="preserve">十</w:t>
      </w:r>
      <w:bookmarkEnd w:id="137"/>
      <w:r/>
      <w:bookmarkStart w:id="138" w:name="_Toc197644592"/>
      <w:r>
        <w:rPr>
          <w:rFonts w:hint="eastAsia" w:ascii="宋体" w:hAnsi="宋体" w:eastAsia="宋体" w:cs="黑体"/>
          <w:b/>
          <w:sz w:val="32"/>
          <w:szCs w:val="32"/>
          <w:u w:val="single"/>
        </w:rPr>
        <w:t xml:space="preserve">四、技术要求响应及偏离表</w:t>
      </w:r>
      <w:bookmarkEnd w:id="138"/>
      <w:r/>
      <w:r/>
    </w:p>
    <w:p>
      <w:pPr>
        <w:spacing w:line="360" w:lineRule="auto"/>
        <w:rPr>
          <w:rFonts w:ascii="宋体" w:hAnsi="宋体" w:eastAsia="宋体" w:cs="Times New Roman"/>
          <w:szCs w:val="21"/>
        </w:rPr>
      </w:pPr>
      <w:r>
        <w:rPr>
          <w:rFonts w:ascii="宋体" w:hAnsi="宋体" w:eastAsia="宋体" w:cs="Times New Roman"/>
          <w:szCs w:val="21"/>
        </w:rPr>
      </w:r>
      <w:r/>
    </w:p>
    <w:tbl>
      <w:tblPr>
        <w:tblStyle w:val="773"/>
        <w:tblW w:w="8692" w:type="dxa"/>
        <w:tblCellSpacing w:w="0" w:type="dxa"/>
        <w:tblInd w:w="-162" w:type="dxa"/>
        <w:tblLayout w:type="fixed"/>
        <w:tblCellMar>
          <w:left w:w="108" w:type="dxa"/>
          <w:top w:w="0" w:type="dxa"/>
          <w:right w:w="108" w:type="dxa"/>
          <w:bottom w:w="0" w:type="dxa"/>
        </w:tblCellMar>
        <w:tblLook w:val="04A0" w:firstRow="1" w:lastRow="0" w:firstColumn="1" w:lastColumn="0" w:noHBand="0" w:noVBand="1"/>
      </w:tblPr>
      <w:tblGrid>
        <w:gridCol w:w="710"/>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spacing w:line="276" w:lineRule="auto"/>
              <w:rPr>
                <w:rFonts w:ascii="宋体" w:hAnsi="宋体" w:eastAsia="宋体" w:cs="Times New Roman"/>
                <w:szCs w:val="21"/>
              </w:rPr>
            </w:pPr>
            <w:r>
              <w:rPr>
                <w:rFonts w:hint="eastAsia" w:ascii="宋体" w:hAnsi="宋体" w:eastAsia="宋体" w:cs="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jc w:val="center"/>
              <w:spacing w:line="276" w:lineRule="auto"/>
              <w:rPr>
                <w:rFonts w:ascii="宋体" w:hAnsi="宋体" w:eastAsia="宋体" w:cs="Times New Roman"/>
                <w:szCs w:val="21"/>
              </w:rPr>
            </w:pPr>
            <w:r>
              <w:rPr>
                <w:rFonts w:hint="eastAsia" w:ascii="宋体" w:hAnsi="宋体" w:eastAsia="宋体" w:cs="宋体"/>
                <w:szCs w:val="2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jc w:val="center"/>
              <w:spacing w:line="276" w:lineRule="auto"/>
              <w:rPr>
                <w:rFonts w:ascii="宋体" w:hAnsi="宋体" w:eastAsia="宋体" w:cs="Times New Roman"/>
                <w:szCs w:val="21"/>
              </w:rPr>
            </w:pPr>
            <w:r>
              <w:rPr>
                <w:rFonts w:hint="eastAsia" w:ascii="宋体" w:hAnsi="宋体" w:eastAsia="宋体" w:cs="宋体"/>
                <w:szCs w:val="2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spacing w:line="276" w:lineRule="auto"/>
              <w:rPr>
                <w:rFonts w:ascii="宋体" w:hAnsi="宋体" w:eastAsia="宋体" w:cs="Times New Roman"/>
                <w:szCs w:val="21"/>
              </w:rPr>
            </w:pPr>
            <w:r>
              <w:rPr>
                <w:rFonts w:hint="eastAsia" w:ascii="宋体" w:hAnsi="宋体" w:eastAsia="宋体" w:cs="宋体"/>
                <w:szCs w:val="2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spacing w:line="276" w:lineRule="auto"/>
              <w:rPr>
                <w:rFonts w:ascii="宋体" w:hAnsi="宋体" w:eastAsia="宋体" w:cs="Times New Roman"/>
                <w:szCs w:val="21"/>
              </w:rPr>
            </w:pPr>
            <w:r>
              <w:rPr>
                <w:rFonts w:hint="eastAsia" w:ascii="宋体" w:hAnsi="宋体" w:eastAsia="宋体" w:cs="宋体"/>
                <w:szCs w:val="21"/>
              </w:rPr>
              <w:t xml:space="preserve">证明</w:t>
            </w:r>
            <w:r/>
          </w:p>
          <w:p>
            <w:pPr>
              <w:jc w:val="center"/>
              <w:spacing w:line="276" w:lineRule="auto"/>
              <w:rPr>
                <w:rFonts w:ascii="宋体" w:hAnsi="宋体" w:eastAsia="宋体" w:cs="Times New Roman"/>
                <w:szCs w:val="21"/>
              </w:rPr>
            </w:pPr>
            <w:r>
              <w:rPr>
                <w:rFonts w:hint="eastAsia" w:ascii="宋体" w:hAnsi="宋体" w:eastAsia="宋体" w:cs="宋体"/>
                <w:szCs w:val="21"/>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98"/>
              <w:jc w:val="center"/>
              <w:rPr>
                <w:rFonts w:cs="Times New Roman"/>
                <w:color w:val="auto"/>
              </w:rPr>
            </w:pPr>
            <w:r>
              <w:rPr>
                <w:rFonts w:hint="eastAsia"/>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98"/>
              <w:rPr>
                <w:rFonts w:cs="Times New Roman"/>
                <w:color w:val="auto"/>
              </w:rPr>
            </w:pPr>
            <w:r>
              <w:rPr>
                <w:rFonts w:hint="eastAsia"/>
                <w:color w:val="auto"/>
              </w:rPr>
              <w:t xml:space="preserve">招标文件第四章项目需求中技术要求的内容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98"/>
              <w:jc w:val="center"/>
              <w:rPr>
                <w:rFonts w:cs="Times New Roman"/>
                <w:color w:val="auto"/>
              </w:rPr>
            </w:pPr>
            <w:r>
              <w:rPr>
                <w:rFonts w:hint="eastAsia"/>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98"/>
              <w:rPr>
                <w:rFonts w:cs="Times New Roman"/>
                <w:color w:val="auto"/>
              </w:rPr>
            </w:pPr>
            <w:r>
              <w:rPr>
                <w:rFonts w:cs="Times New Roman"/>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98"/>
              <w:jc w:val="center"/>
              <w:rPr>
                <w:rFonts w:cs="Times New Roman"/>
                <w:color w:val="auto"/>
              </w:rPr>
            </w:pPr>
            <w:r>
              <w:rPr>
                <w:rFonts w:hint="eastAsia"/>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798"/>
              <w:jc w:val="center"/>
              <w:rPr>
                <w:rFonts w:cs="Times New Roman"/>
                <w:color w:val="auto"/>
              </w:rPr>
            </w:pPr>
            <w:r>
              <w:rPr>
                <w:rFonts w:hint="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spacing w:line="276" w:lineRule="auto"/>
              <w:rPr>
                <w:rFonts w:ascii="宋体" w:hAnsi="宋体" w:eastAsia="宋体" w:cs="Times New Roman"/>
                <w:szCs w:val="21"/>
              </w:rPr>
            </w:pPr>
            <w:r>
              <w:rPr>
                <w:rFonts w:hint="eastAsia" w:ascii="宋体" w:hAnsi="宋体" w:eastAsia="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bl>
    <w:p>
      <w:pPr>
        <w:spacing w:line="360" w:lineRule="auto"/>
        <w:rPr>
          <w:rFonts w:ascii="宋体" w:hAnsi="宋体" w:eastAsia="宋体" w:cs="宋体"/>
          <w:szCs w:val="21"/>
        </w:rPr>
        <w:outlineLvl w:val="2"/>
      </w:pPr>
      <w:r>
        <w:rPr>
          <w:rFonts w:ascii="宋体" w:hAnsi="宋体" w:eastAsia="宋体" w:cs="宋体"/>
          <w:szCs w:val="21"/>
        </w:rPr>
      </w:r>
      <w:r/>
    </w:p>
    <w:p>
      <w:pPr>
        <w:spacing w:line="360" w:lineRule="auto"/>
        <w:rPr>
          <w:rFonts w:ascii="宋体" w:hAnsi="宋体" w:eastAsia="宋体" w:cs="Times New Roman"/>
          <w:szCs w:val="21"/>
        </w:rPr>
        <w:outlineLvl w:val="2"/>
      </w:pPr>
      <w:r>
        <w:rPr>
          <w:rFonts w:hint="eastAsia" w:ascii="宋体" w:hAnsi="宋体" w:eastAsia="宋体" w:cs="宋体"/>
          <w:szCs w:val="21"/>
        </w:rPr>
        <w:t xml:space="preserve">注：行数不够，可自行添加。</w:t>
      </w:r>
      <w:r/>
    </w:p>
    <w:p>
      <w:pPr>
        <w:spacing w:line="360" w:lineRule="auto"/>
        <w:rPr>
          <w:rFonts w:ascii="宋体" w:hAnsi="宋体" w:eastAsia="宋体" w:cs="Times New Roman"/>
          <w:szCs w:val="21"/>
        </w:rPr>
      </w:pPr>
      <w:r>
        <w:rPr>
          <w:rFonts w:ascii="宋体" w:hAnsi="宋体" w:eastAsia="宋体" w:cs="Times New Roman"/>
          <w:szCs w:val="21"/>
        </w:rPr>
      </w:r>
      <w:r/>
    </w:p>
    <w:p>
      <w:pPr>
        <w:jc w:val="left"/>
        <w:widowControl/>
        <w:rPr>
          <w:rFonts w:ascii="宋体" w:hAnsi="宋体" w:eastAsia="宋体"/>
          <w:szCs w:val="21"/>
        </w:rPr>
      </w:pPr>
      <w:r>
        <w:rPr>
          <w:rFonts w:hint="eastAsia" w:ascii="宋体" w:hAnsi="宋体" w:eastAsia="宋体"/>
          <w:szCs w:val="21"/>
        </w:rPr>
        <w:br w:type="page" w:clear="all"/>
      </w:r>
      <w:r/>
    </w:p>
    <w:p>
      <w:pPr>
        <w:jc w:val="center"/>
        <w:spacing w:line="276" w:lineRule="auto"/>
        <w:rPr>
          <w:rFonts w:ascii="宋体" w:hAnsi="宋体" w:eastAsia="宋体" w:cs="黑体"/>
          <w:b/>
          <w:sz w:val="30"/>
          <w:szCs w:val="30"/>
        </w:rPr>
        <w:outlineLvl w:val="1"/>
      </w:pPr>
      <w:r/>
      <w:bookmarkStart w:id="139" w:name="_Toc197644593"/>
      <w:r>
        <w:rPr>
          <w:rFonts w:hint="eastAsia" w:ascii="宋体" w:hAnsi="宋体" w:eastAsia="宋体" w:cs="黑体"/>
          <w:b/>
          <w:sz w:val="32"/>
          <w:szCs w:val="32"/>
          <w:u w:val="single"/>
        </w:rPr>
        <w:t xml:space="preserve">十五、商务要求响应及偏离表</w:t>
      </w:r>
      <w:bookmarkEnd w:id="139"/>
      <w:r/>
      <w:r/>
    </w:p>
    <w:p>
      <w:pPr>
        <w:spacing w:line="360" w:lineRule="auto"/>
        <w:rPr>
          <w:rFonts w:ascii="宋体" w:hAnsi="宋体" w:eastAsia="宋体" w:cs="Times New Roman"/>
          <w:szCs w:val="21"/>
        </w:rPr>
      </w:pPr>
      <w:r>
        <w:rPr>
          <w:rFonts w:ascii="宋体" w:hAnsi="宋体" w:eastAsia="宋体" w:cs="Times New Roman"/>
          <w:szCs w:val="21"/>
        </w:rPr>
      </w:r>
      <w:r/>
    </w:p>
    <w:tbl>
      <w:tblPr>
        <w:tblStyle w:val="77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spacing w:line="276" w:lineRule="auto"/>
              <w:rPr>
                <w:rFonts w:ascii="宋体" w:hAnsi="宋体" w:eastAsia="宋体" w:cs="Times New Roman"/>
                <w:szCs w:val="21"/>
              </w:rPr>
            </w:pPr>
            <w:r/>
            <w:bookmarkStart w:id="140" w:name="_Hlt26609391"/>
            <w:r/>
            <w:bookmarkStart w:id="141" w:name="_Hlt24879081"/>
            <w:r/>
            <w:bookmarkStart w:id="142" w:name="_Hlt26671343"/>
            <w:r/>
            <w:bookmarkStart w:id="143" w:name="_Hlt26782999"/>
            <w:r/>
            <w:bookmarkStart w:id="144" w:name="_Hlt26955056"/>
            <w:r/>
            <w:bookmarkStart w:id="145" w:name="_Hlt26955064"/>
            <w:r/>
            <w:bookmarkStart w:id="146" w:name="_Hlt26671372"/>
            <w:r/>
            <w:bookmarkStart w:id="147" w:name="_Hlt26580838"/>
            <w:r>
              <w:rPr>
                <w:rFonts w:hint="eastAsia" w:ascii="宋体" w:hAnsi="宋体" w:eastAsia="宋体" w:cs="宋体"/>
                <w:szCs w:val="21"/>
              </w:rPr>
              <w:t xml:space="preserve">序号</w:t>
            </w:r>
            <w:bookmarkEnd w:id="140"/>
            <w:r/>
            <w:bookmarkEnd w:id="141"/>
            <w:r/>
            <w:bookmarkEnd w:id="142"/>
            <w:r/>
            <w:bookmarkEnd w:id="143"/>
            <w:r/>
            <w:bookmarkEnd w:id="144"/>
            <w:r/>
            <w:bookmarkEnd w:id="145"/>
            <w:r/>
            <w:bookmarkEnd w:id="146"/>
            <w:r/>
            <w:bookmarkEnd w:id="147"/>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jc w:val="center"/>
              <w:spacing w:line="276" w:lineRule="auto"/>
              <w:rPr>
                <w:rFonts w:ascii="宋体" w:hAnsi="宋体" w:eastAsia="宋体" w:cs="Times New Roman"/>
                <w:szCs w:val="21"/>
              </w:rPr>
            </w:pPr>
            <w:r>
              <w:rPr>
                <w:rFonts w:hint="eastAsia" w:ascii="宋体" w:hAnsi="宋体" w:eastAsia="宋体" w:cs="宋体"/>
                <w:szCs w:val="2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jc w:val="center"/>
              <w:spacing w:line="276" w:lineRule="auto"/>
              <w:rPr>
                <w:rFonts w:ascii="宋体" w:hAnsi="宋体" w:eastAsia="宋体" w:cs="Times New Roman"/>
                <w:szCs w:val="21"/>
              </w:rPr>
            </w:pPr>
            <w:r>
              <w:rPr>
                <w:rFonts w:hint="eastAsia" w:ascii="宋体" w:hAnsi="宋体" w:eastAsia="宋体" w:cs="宋体"/>
                <w:szCs w:val="2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spacing w:line="276" w:lineRule="auto"/>
              <w:rPr>
                <w:rFonts w:ascii="宋体" w:hAnsi="宋体" w:eastAsia="宋体" w:cs="Times New Roman"/>
                <w:szCs w:val="21"/>
              </w:rPr>
            </w:pPr>
            <w:r>
              <w:rPr>
                <w:rFonts w:hint="eastAsia" w:ascii="宋体" w:hAnsi="宋体" w:eastAsia="宋体" w:cs="宋体"/>
                <w:szCs w:val="2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jc w:val="center"/>
              <w:spacing w:line="276" w:lineRule="auto"/>
              <w:rPr>
                <w:rFonts w:ascii="宋体" w:hAnsi="宋体" w:eastAsia="宋体" w:cs="Times New Roman"/>
                <w:szCs w:val="21"/>
              </w:rPr>
            </w:pPr>
            <w:r>
              <w:rPr>
                <w:rFonts w:hint="eastAsia" w:ascii="宋体" w:hAnsi="宋体" w:eastAsia="宋体" w:cs="宋体"/>
                <w:szCs w:val="21"/>
              </w:rPr>
              <w:t xml:space="preserve">证明</w:t>
            </w:r>
            <w:r/>
          </w:p>
          <w:p>
            <w:pPr>
              <w:jc w:val="center"/>
              <w:spacing w:line="276" w:lineRule="auto"/>
              <w:rPr>
                <w:rFonts w:ascii="宋体" w:hAnsi="宋体" w:eastAsia="宋体" w:cs="Times New Roman"/>
                <w:szCs w:val="21"/>
              </w:rPr>
            </w:pPr>
            <w:r>
              <w:rPr>
                <w:rFonts w:hint="eastAsia" w:ascii="宋体" w:hAnsi="宋体" w:eastAsia="宋体" w:cs="宋体"/>
                <w:szCs w:val="21"/>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spacing w:line="276" w:lineRule="auto"/>
              <w:rPr>
                <w:rFonts w:ascii="宋体" w:hAnsi="宋体" w:eastAsia="宋体" w:cs="Times New Roman"/>
                <w:szCs w:val="21"/>
              </w:rPr>
            </w:pPr>
            <w:r>
              <w:rPr>
                <w:rFonts w:hint="eastAsia" w:ascii="宋体" w:hAnsi="宋体" w:eastAsia="宋体" w:cs="Times New Roman"/>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spacing w:line="276" w:lineRule="auto"/>
              <w:rPr>
                <w:rFonts w:ascii="宋体" w:hAnsi="宋体" w:eastAsia="宋体" w:cs="Times New Roman"/>
                <w:szCs w:val="21"/>
              </w:rPr>
            </w:pPr>
            <w:r>
              <w:rPr>
                <w:rFonts w:hint="eastAsia" w:ascii="宋体" w:hAnsi="宋体" w:eastAsia="宋体" w:cs="宋体"/>
              </w:rPr>
              <w:t xml:space="preserve">招标</w:t>
            </w:r>
            <w:r>
              <w:rPr>
                <w:rFonts w:hint="eastAsia" w:ascii="宋体" w:hAnsi="宋体" w:cs="宋体"/>
              </w:rPr>
              <w:t xml:space="preserve">文件第四章项目需求中商务要求的内容</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spacing w:line="276" w:lineRule="auto"/>
              <w:rPr>
                <w:rFonts w:ascii="宋体" w:hAnsi="宋体" w:eastAsia="宋体" w:cs="Times New Roman"/>
                <w:szCs w:val="21"/>
              </w:rPr>
            </w:pPr>
            <w:r>
              <w:rPr>
                <w:rFonts w:hint="eastAsia" w:ascii="宋体" w:hAnsi="宋体" w:eastAsia="宋体" w:cs="Times New Roman"/>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spacing w:line="276" w:lineRule="auto"/>
              <w:rPr>
                <w:rFonts w:ascii="宋体" w:hAnsi="宋体" w:eastAsia="宋体" w:cs="Times New Roman"/>
                <w:szCs w:val="21"/>
              </w:rPr>
            </w:pPr>
            <w:r>
              <w:rPr>
                <w:rFonts w:hint="eastAsia" w:ascii="宋体" w:hAnsi="宋体" w:eastAsia="宋体" w:cs="Times New Roman"/>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spacing w:line="276" w:lineRule="auto"/>
              <w:rPr>
                <w:rFonts w:ascii="宋体" w:hAnsi="宋体" w:eastAsia="宋体" w:cs="Times New Roman"/>
                <w:szCs w:val="21"/>
              </w:rPr>
            </w:pPr>
            <w:r>
              <w:rPr>
                <w:rFonts w:ascii="宋体" w:hAnsi="宋体" w:eastAsia="宋体" w:cs="Times New Roman"/>
                <w:szCs w:val="21"/>
              </w:rPr>
            </w:r>
            <w:r/>
          </w:p>
        </w:tc>
      </w:tr>
    </w:tbl>
    <w:p>
      <w:pPr>
        <w:spacing w:line="360" w:lineRule="auto"/>
        <w:rPr>
          <w:rFonts w:ascii="宋体" w:hAnsi="宋体" w:eastAsia="宋体" w:cs="宋体"/>
          <w:szCs w:val="21"/>
        </w:rPr>
      </w:pPr>
      <w:r>
        <w:rPr>
          <w:rFonts w:ascii="宋体" w:hAnsi="宋体" w:eastAsia="宋体" w:cs="宋体"/>
          <w:szCs w:val="21"/>
        </w:rPr>
      </w:r>
      <w:r/>
    </w:p>
    <w:p>
      <w:pPr>
        <w:spacing w:line="360" w:lineRule="auto"/>
        <w:rPr>
          <w:rFonts w:ascii="宋体" w:hAnsi="宋体" w:eastAsia="宋体" w:cs="宋体"/>
          <w:szCs w:val="21"/>
        </w:rPr>
      </w:pPr>
      <w:r>
        <w:rPr>
          <w:rFonts w:hint="eastAsia" w:ascii="宋体" w:hAnsi="宋体" w:eastAsia="宋体" w:cs="宋体"/>
          <w:szCs w:val="21"/>
        </w:rPr>
        <w:t xml:space="preserve">注：行数不够，可自行添加。</w:t>
      </w:r>
      <w:r/>
    </w:p>
    <w:p>
      <w:pPr>
        <w:spacing w:line="360" w:lineRule="auto"/>
        <w:rPr>
          <w:rFonts w:ascii="宋体" w:hAnsi="宋体" w:eastAsia="宋体" w:cs="宋体"/>
          <w:szCs w:val="21"/>
        </w:rPr>
      </w:pPr>
      <w:r>
        <w:rPr>
          <w:rFonts w:ascii="宋体" w:hAnsi="宋体" w:eastAsia="宋体" w:cs="宋体"/>
          <w:szCs w:val="21"/>
        </w:rPr>
      </w:r>
      <w:r/>
    </w:p>
    <w:p>
      <w:pPr>
        <w:jc w:val="left"/>
        <w:widowControl/>
        <w:rPr>
          <w:rFonts w:ascii="宋体" w:hAnsi="宋体" w:cs="宋体"/>
          <w:sz w:val="28"/>
          <w:szCs w:val="28"/>
        </w:rPr>
      </w:pPr>
      <w:r>
        <w:rPr>
          <w:rFonts w:hint="eastAsia" w:ascii="宋体" w:hAnsi="宋体" w:eastAsia="宋体"/>
        </w:rPr>
        <w:br w:type="page" w:clear="all"/>
      </w:r>
      <w:bookmarkStart w:id="148" w:name="_Toc197644596"/>
      <w:r/>
      <w:r/>
    </w:p>
    <w:p>
      <w:pPr>
        <w:pStyle w:val="798"/>
        <w:jc w:val="center"/>
        <w:rPr>
          <w:b/>
          <w:sz w:val="32"/>
          <w:szCs w:val="32"/>
          <w:u w:val="single"/>
        </w:rPr>
      </w:pPr>
      <w:r>
        <w:rPr>
          <w:rFonts w:hint="eastAsia"/>
          <w:b/>
          <w:sz w:val="32"/>
          <w:szCs w:val="32"/>
          <w:u w:val="single"/>
        </w:rPr>
        <w:t xml:space="preserve">十六、</w:t>
      </w:r>
      <w:bookmarkStart w:id="149" w:name="OLE_LINK97"/>
      <w:r/>
      <w:bookmarkStart w:id="150" w:name="OLE_LINK96"/>
      <w:r>
        <w:rPr>
          <w:rFonts w:hint="eastAsia"/>
          <w:b/>
          <w:sz w:val="32"/>
          <w:szCs w:val="32"/>
          <w:u w:val="single"/>
        </w:rPr>
        <w:t xml:space="preserve">关于符合本国产品标准的声明函</w:t>
      </w:r>
      <w:bookmarkEnd w:id="149"/>
      <w:r/>
      <w:bookmarkEnd w:id="150"/>
      <w:r/>
      <w:r/>
    </w:p>
    <w:p>
      <w:pPr>
        <w:pStyle w:val="798"/>
        <w:ind w:firstLine="420"/>
        <w:jc w:val="both"/>
      </w:pPr>
      <w:r/>
      <w:r/>
    </w:p>
    <w:p>
      <w:pPr>
        <w:pStyle w:val="798"/>
        <w:ind w:firstLine="420"/>
        <w:jc w:val="both"/>
      </w:pPr>
      <w:r/>
      <w:r/>
    </w:p>
    <w:p>
      <w:pPr>
        <w:pStyle w:val="798"/>
        <w:ind w:firstLine="420"/>
        <w:jc w:val="both"/>
        <w:rPr>
          <w:sz w:val="24"/>
          <w:szCs w:val="24"/>
        </w:rPr>
      </w:pPr>
      <w:r>
        <w:rPr>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ind w:firstLine="420"/>
        <w:jc w:val="both"/>
        <w:spacing w:before="30" w:after="30"/>
        <w:rPr>
          <w:sz w:val="24"/>
          <w:szCs w:val="24"/>
        </w:rPr>
      </w:pPr>
      <w:r>
        <w:rPr>
          <w:sz w:val="24"/>
          <w:szCs w:val="24"/>
          <w:shd w:val="clear" w:color="auto" w:fill="ffffff"/>
        </w:rPr>
        <w:t xml:space="preserve">1.</w:t>
      </w:r>
      <w:r>
        <w:rPr>
          <w:sz w:val="24"/>
          <w:szCs w:val="24"/>
          <w:u w:val="single"/>
          <w:shd w:val="clear" w:color="auto" w:fill="ffffff"/>
        </w:rPr>
        <w:t xml:space="preserve">（产品名称1）</w:t>
      </w:r>
      <w:r>
        <w:rPr>
          <w:sz w:val="24"/>
          <w:szCs w:val="24"/>
          <w:shd w:val="clear" w:color="auto" w:fill="ffffff"/>
          <w:vertAlign w:val="superscript"/>
        </w:rPr>
        <w:t xml:space="preserve">1</w:t>
      </w:r>
      <w:r>
        <w:rPr>
          <w:sz w:val="24"/>
          <w:szCs w:val="24"/>
          <w:shd w:val="clear" w:color="auto" w:fill="ffffff"/>
        </w:rPr>
        <w:t xml:space="preserve">，生产厂为</w:t>
      </w:r>
      <w:r>
        <w:rPr>
          <w:sz w:val="24"/>
          <w:szCs w:val="24"/>
          <w:u w:val="single"/>
          <w:shd w:val="clear" w:color="auto" w:fill="ffffff"/>
        </w:rPr>
        <w:t xml:space="preserve">（厂名）</w:t>
      </w:r>
      <w:r>
        <w:rPr>
          <w:sz w:val="24"/>
          <w:szCs w:val="24"/>
          <w:shd w:val="clear" w:color="auto" w:fill="ffffff"/>
          <w:vertAlign w:val="superscript"/>
        </w:rPr>
        <w:t xml:space="preserve">2</w:t>
      </w:r>
      <w:r>
        <w:rPr>
          <w:sz w:val="24"/>
          <w:szCs w:val="24"/>
          <w:shd w:val="clear" w:color="auto" w:fill="ffffff"/>
        </w:rPr>
        <w:t xml:space="preserve">，厂址为</w:t>
      </w:r>
      <w:r>
        <w:rPr>
          <w:sz w:val="24"/>
          <w:szCs w:val="24"/>
          <w:u w:val="single"/>
          <w:shd w:val="clear" w:color="auto" w:fill="ffffff"/>
        </w:rPr>
        <w:t xml:space="preserve">（生产厂址）</w:t>
      </w:r>
      <w:r>
        <w:rPr>
          <w:sz w:val="24"/>
          <w:szCs w:val="24"/>
          <w:shd w:val="clear" w:color="auto" w:fill="ffffff"/>
        </w:rPr>
        <w:t xml:space="preserve">。</w:t>
      </w:r>
      <w:r>
        <w:rPr>
          <w:strike/>
          <w:sz w:val="24"/>
          <w:szCs w:val="24"/>
          <w:u w:val="single"/>
          <w:shd w:val="clear" w:color="auto" w:fill="ffffff"/>
        </w:rPr>
        <w:t xml:space="preserve"> （产品名称1）</w:t>
      </w:r>
      <w:r>
        <w:rPr>
          <w:sz w:val="24"/>
          <w:szCs w:val="24"/>
          <w:u w:val="single"/>
          <w:shd w:val="clear" w:color="auto" w:fill="ffffff"/>
        </w:rPr>
        <w:t xml:space="preserve"> </w:t>
      </w:r>
      <w:r>
        <w:rPr>
          <w:sz w:val="24"/>
          <w:szCs w:val="24"/>
          <w:shd w:val="clear" w:color="auto" w:fill="ffffff"/>
        </w:rPr>
        <w:t xml:space="preserve">的中国境内生产的组件成本占比≥</w:t>
      </w:r>
      <w:r>
        <w:rPr>
          <w:strike/>
          <w:sz w:val="24"/>
          <w:szCs w:val="24"/>
          <w:u w:val="single"/>
          <w:shd w:val="clear" w:color="auto" w:fill="ffffff"/>
        </w:rPr>
        <w:t xml:space="preserve">（规定比例）</w:t>
      </w:r>
      <w:r>
        <w:rPr>
          <w:strike/>
          <w:sz w:val="24"/>
          <w:szCs w:val="24"/>
          <w:shd w:val="clear" w:color="auto" w:fill="ffffff"/>
          <w:vertAlign w:val="superscript"/>
        </w:rPr>
        <w:t xml:space="preserve">3</w:t>
      </w:r>
      <w:r>
        <w:rPr>
          <w:sz w:val="24"/>
          <w:szCs w:val="24"/>
          <w:shd w:val="clear" w:color="auto" w:fill="ffffff"/>
        </w:rPr>
        <w:t xml:space="preserve">。</w:t>
      </w:r>
      <w:r>
        <w:rPr>
          <w:strike/>
          <w:sz w:val="24"/>
          <w:szCs w:val="24"/>
          <w:u w:val="single"/>
          <w:shd w:val="clear" w:color="auto" w:fill="ffffff"/>
        </w:rPr>
        <w:t xml:space="preserve">（产品名称1）</w:t>
      </w:r>
      <w:r>
        <w:rPr>
          <w:sz w:val="24"/>
          <w:szCs w:val="24"/>
          <w:shd w:val="clear" w:color="auto" w:fill="ffffff"/>
        </w:rPr>
        <w:t xml:space="preserve">的</w:t>
      </w:r>
      <w:r>
        <w:rPr>
          <w:strike/>
          <w:sz w:val="24"/>
          <w:szCs w:val="24"/>
          <w:u w:val="single"/>
          <w:shd w:val="clear" w:color="auto" w:fill="ffffff"/>
        </w:rPr>
        <w:t xml:space="preserve">（关键组件）</w:t>
      </w:r>
      <w:r>
        <w:rPr>
          <w:strike/>
          <w:sz w:val="24"/>
          <w:szCs w:val="24"/>
          <w:shd w:val="clear" w:color="auto" w:fill="ffffff"/>
          <w:vertAlign w:val="superscript"/>
        </w:rPr>
        <w:t xml:space="preserve">4</w:t>
      </w:r>
      <w:r>
        <w:rPr>
          <w:sz w:val="24"/>
          <w:szCs w:val="24"/>
          <w:shd w:val="clear" w:color="auto" w:fill="ffffff"/>
        </w:rPr>
        <w:t xml:space="preserve">在中国境内生产。</w:t>
      </w:r>
      <w:r>
        <w:rPr>
          <w:strike/>
          <w:sz w:val="24"/>
          <w:szCs w:val="24"/>
          <w:u w:val="single"/>
          <w:shd w:val="clear" w:color="auto" w:fill="ffffff"/>
        </w:rPr>
        <w:t xml:space="preserve">（产品名称1）</w:t>
      </w:r>
      <w:r>
        <w:rPr>
          <w:sz w:val="24"/>
          <w:szCs w:val="24"/>
          <w:shd w:val="clear" w:color="auto" w:fill="ffffff"/>
        </w:rPr>
        <w:t xml:space="preserve">的</w:t>
      </w:r>
      <w:r>
        <w:rPr>
          <w:strike/>
          <w:sz w:val="24"/>
          <w:szCs w:val="24"/>
          <w:u w:val="single"/>
          <w:shd w:val="clear" w:color="auto" w:fill="ffffff"/>
        </w:rPr>
        <w:t xml:space="preserve">（关键工序）</w:t>
      </w:r>
      <w:r>
        <w:rPr>
          <w:strike/>
          <w:sz w:val="24"/>
          <w:szCs w:val="24"/>
          <w:shd w:val="clear" w:color="auto" w:fill="ffffff"/>
          <w:vertAlign w:val="superscript"/>
        </w:rPr>
        <w:t xml:space="preserve">5</w:t>
      </w:r>
      <w:r>
        <w:rPr>
          <w:sz w:val="24"/>
          <w:szCs w:val="24"/>
          <w:shd w:val="clear" w:color="auto" w:fill="ffffff"/>
        </w:rPr>
        <w:t xml:space="preserve">在中国境内完成。</w:t>
      </w:r>
      <w:r/>
    </w:p>
    <w:p>
      <w:pPr>
        <w:pStyle w:val="798"/>
        <w:ind w:firstLine="420"/>
        <w:jc w:val="both"/>
        <w:spacing w:before="30" w:after="30"/>
        <w:rPr>
          <w:sz w:val="24"/>
          <w:szCs w:val="24"/>
        </w:rPr>
      </w:pPr>
      <w:r>
        <w:rPr>
          <w:sz w:val="24"/>
          <w:szCs w:val="24"/>
          <w:shd w:val="clear" w:color="auto" w:fill="ffffff"/>
        </w:rPr>
        <w:t xml:space="preserve">2.</w:t>
      </w:r>
      <w:r>
        <w:rPr>
          <w:sz w:val="24"/>
          <w:szCs w:val="24"/>
          <w:u w:val="single"/>
          <w:shd w:val="clear" w:color="auto" w:fill="ffffff"/>
        </w:rPr>
        <w:t xml:space="preserve">（产品名称2）</w:t>
      </w:r>
      <w:r>
        <w:rPr>
          <w:sz w:val="24"/>
          <w:szCs w:val="24"/>
          <w:shd w:val="clear" w:color="auto" w:fill="ffffff"/>
        </w:rPr>
        <w:t xml:space="preserve">，生产厂为</w:t>
      </w:r>
      <w:r>
        <w:rPr>
          <w:sz w:val="24"/>
          <w:szCs w:val="24"/>
          <w:u w:val="single"/>
          <w:shd w:val="clear" w:color="auto" w:fill="ffffff"/>
        </w:rPr>
        <w:t xml:space="preserve">（厂名）</w:t>
      </w:r>
      <w:r>
        <w:rPr>
          <w:sz w:val="24"/>
          <w:szCs w:val="24"/>
          <w:shd w:val="clear" w:color="auto" w:fill="ffffff"/>
        </w:rPr>
        <w:t xml:space="preserve">，厂址为</w:t>
      </w:r>
      <w:r>
        <w:rPr>
          <w:sz w:val="24"/>
          <w:szCs w:val="24"/>
          <w:u w:val="single"/>
          <w:shd w:val="clear" w:color="auto" w:fill="ffffff"/>
        </w:rPr>
        <w:t xml:space="preserve">（生产厂址）</w:t>
      </w:r>
      <w:r>
        <w:rPr>
          <w:sz w:val="24"/>
          <w:szCs w:val="24"/>
          <w:shd w:val="clear" w:color="auto" w:fill="ffffff"/>
        </w:rPr>
        <w:t xml:space="preserve">。</w:t>
      </w:r>
      <w:r>
        <w:rPr>
          <w:strike/>
          <w:sz w:val="24"/>
          <w:szCs w:val="24"/>
          <w:u w:val="single"/>
          <w:shd w:val="clear" w:color="auto" w:fill="ffffff"/>
        </w:rPr>
        <w:t xml:space="preserve">（产品名称2）</w:t>
      </w:r>
      <w:r>
        <w:rPr>
          <w:sz w:val="24"/>
          <w:szCs w:val="24"/>
          <w:shd w:val="clear" w:color="auto" w:fill="ffffff"/>
        </w:rPr>
        <w:t xml:space="preserve">的中国境内生产的组件成本占比≥</w:t>
      </w:r>
      <w:r>
        <w:rPr>
          <w:strike/>
          <w:sz w:val="24"/>
          <w:szCs w:val="24"/>
          <w:u w:val="single"/>
          <w:shd w:val="clear" w:color="auto" w:fill="ffffff"/>
        </w:rPr>
        <w:t xml:space="preserve">（规定比例）</w:t>
      </w:r>
      <w:r>
        <w:rPr>
          <w:sz w:val="24"/>
          <w:szCs w:val="24"/>
          <w:shd w:val="clear" w:color="auto" w:fill="ffffff"/>
        </w:rPr>
        <w:t xml:space="preserve">。</w:t>
      </w:r>
      <w:r>
        <w:rPr>
          <w:strike/>
          <w:sz w:val="24"/>
          <w:szCs w:val="24"/>
          <w:u w:val="single"/>
          <w:shd w:val="clear" w:color="auto" w:fill="ffffff"/>
        </w:rPr>
        <w:t xml:space="preserve">（产品名称2）</w:t>
      </w:r>
      <w:r>
        <w:rPr>
          <w:sz w:val="24"/>
          <w:szCs w:val="24"/>
          <w:shd w:val="clear" w:color="auto" w:fill="ffffff"/>
        </w:rPr>
        <w:t xml:space="preserve">的</w:t>
      </w:r>
      <w:r>
        <w:rPr>
          <w:strike/>
          <w:sz w:val="24"/>
          <w:szCs w:val="24"/>
          <w:u w:val="single"/>
          <w:shd w:val="clear" w:color="auto" w:fill="ffffff"/>
        </w:rPr>
        <w:t xml:space="preserve">（关键组件）</w:t>
      </w:r>
      <w:r>
        <w:rPr>
          <w:sz w:val="24"/>
          <w:szCs w:val="24"/>
          <w:shd w:val="clear" w:color="auto" w:fill="ffffff"/>
        </w:rPr>
        <w:t xml:space="preserve">在中国境内生产。</w:t>
      </w:r>
      <w:r>
        <w:rPr>
          <w:strike/>
          <w:sz w:val="24"/>
          <w:szCs w:val="24"/>
          <w:u w:val="single"/>
          <w:shd w:val="clear" w:color="auto" w:fill="ffffff"/>
        </w:rPr>
        <w:t xml:space="preserve">（产品名称1）</w:t>
      </w:r>
      <w:r>
        <w:rPr>
          <w:sz w:val="24"/>
          <w:szCs w:val="24"/>
          <w:shd w:val="clear" w:color="auto" w:fill="ffffff"/>
        </w:rPr>
        <w:t xml:space="preserve">的</w:t>
      </w:r>
      <w:r>
        <w:rPr>
          <w:strike/>
          <w:sz w:val="24"/>
          <w:szCs w:val="24"/>
          <w:u w:val="single"/>
          <w:shd w:val="clear" w:color="auto" w:fill="ffffff"/>
        </w:rPr>
        <w:t xml:space="preserve">（关键工序）</w:t>
      </w:r>
      <w:r>
        <w:rPr>
          <w:sz w:val="24"/>
          <w:szCs w:val="24"/>
          <w:shd w:val="clear" w:color="auto" w:fill="ffffff"/>
        </w:rPr>
        <w:t xml:space="preserve">在中国境内完成。</w:t>
      </w:r>
      <w:r/>
    </w:p>
    <w:p>
      <w:pPr>
        <w:pStyle w:val="798"/>
        <w:ind w:firstLine="420"/>
        <w:jc w:val="both"/>
        <w:spacing w:before="30" w:after="30"/>
        <w:rPr>
          <w:sz w:val="24"/>
          <w:szCs w:val="24"/>
        </w:rPr>
      </w:pPr>
      <w:r>
        <w:rPr>
          <w:sz w:val="24"/>
          <w:szCs w:val="24"/>
          <w:shd w:val="clear" w:color="auto" w:fill="ffffff"/>
        </w:rPr>
        <w:t xml:space="preserve">……</w:t>
      </w:r>
      <w:r/>
    </w:p>
    <w:p>
      <w:pPr>
        <w:pStyle w:val="798"/>
        <w:ind w:firstLine="420"/>
        <w:jc w:val="both"/>
        <w:spacing w:before="30" w:after="30"/>
        <w:rPr>
          <w:sz w:val="24"/>
          <w:szCs w:val="24"/>
        </w:rPr>
      </w:pPr>
      <w:r>
        <w:rPr>
          <w:sz w:val="24"/>
          <w:szCs w:val="24"/>
          <w:shd w:val="clear" w:color="auto" w:fill="ffffff"/>
        </w:rPr>
        <w:t xml:space="preserve">本公司（单位）对上述声明内容的真实性负责。如有虚假，愿承担相应法律责任。</w:t>
      </w:r>
      <w:r/>
    </w:p>
    <w:p>
      <w:pPr>
        <w:pStyle w:val="798"/>
        <w:jc w:val="both"/>
        <w:spacing w:before="30" w:after="30"/>
        <w:rPr>
          <w:sz w:val="24"/>
          <w:szCs w:val="24"/>
        </w:rPr>
      </w:pPr>
      <w:r>
        <w:rPr>
          <w:sz w:val="24"/>
          <w:szCs w:val="24"/>
        </w:rPr>
        <w:t xml:space="preserve"> </w:t>
      </w:r>
      <w:r/>
    </w:p>
    <w:p>
      <w:pPr>
        <w:pStyle w:val="798"/>
        <w:ind w:right="480" w:firstLine="3720"/>
        <w:jc w:val="both"/>
        <w:spacing w:before="30" w:after="30"/>
        <w:rPr>
          <w:sz w:val="24"/>
          <w:szCs w:val="24"/>
        </w:rPr>
      </w:pPr>
      <w:r>
        <w:rPr>
          <w:sz w:val="24"/>
          <w:szCs w:val="24"/>
          <w:shd w:val="clear" w:color="auto" w:fill="ffffff"/>
        </w:rPr>
        <w:t xml:space="preserve">公司（单位）名称（盖章）：　</w:t>
      </w:r>
      <w:r/>
    </w:p>
    <w:p>
      <w:pPr>
        <w:pStyle w:val="798"/>
        <w:jc w:val="center"/>
        <w:spacing w:before="30" w:after="30"/>
        <w:rPr>
          <w:sz w:val="24"/>
          <w:szCs w:val="24"/>
        </w:rPr>
      </w:pPr>
      <w:r>
        <w:rPr>
          <w:sz w:val="24"/>
          <w:szCs w:val="24"/>
          <w:shd w:val="clear" w:color="auto" w:fill="ffffff"/>
        </w:rPr>
        <w:t xml:space="preserve">                                日期：   年　  月　  日         </w:t>
      </w:r>
      <w:r/>
    </w:p>
    <w:p>
      <w:pPr>
        <w:pStyle w:val="798"/>
        <w:jc w:val="both"/>
        <w:spacing w:before="30" w:after="30"/>
        <w:rPr>
          <w:sz w:val="24"/>
          <w:szCs w:val="24"/>
        </w:rPr>
      </w:pPr>
      <w:r>
        <w:rPr>
          <w:sz w:val="24"/>
          <w:szCs w:val="24"/>
          <w:shd w:val="clear" w:color="auto" w:fill="ffffff"/>
        </w:rPr>
        <w:t xml:space="preserve">__________________</w:t>
      </w:r>
      <w:r/>
    </w:p>
    <w:p>
      <w:pPr>
        <w:pStyle w:val="798"/>
        <w:jc w:val="both"/>
        <w:spacing w:before="30" w:after="30"/>
        <w:rPr>
          <w:sz w:val="24"/>
          <w:szCs w:val="24"/>
        </w:rPr>
      </w:pPr>
      <w:r>
        <w:rPr>
          <w:sz w:val="24"/>
          <w:szCs w:val="24"/>
          <w:shd w:val="clear" w:color="auto" w:fill="ffffff"/>
        </w:rPr>
        <w:t xml:space="preserve">1.产品如有型号，请在“产品名称”栏一并填写。</w:t>
      </w:r>
      <w:r/>
    </w:p>
    <w:p>
      <w:pPr>
        <w:pStyle w:val="798"/>
        <w:jc w:val="both"/>
        <w:spacing w:before="30" w:after="30"/>
        <w:rPr>
          <w:sz w:val="24"/>
          <w:szCs w:val="24"/>
        </w:rPr>
      </w:pPr>
      <w:r>
        <w:rPr>
          <w:sz w:val="24"/>
          <w:szCs w:val="24"/>
          <w:shd w:val="clear" w:color="auto" w:fill="ffffff"/>
        </w:rPr>
        <w:t xml:space="preserve">2.生产厂名与厂址应与生产厂营业执照载明的相关信息保持一致。</w:t>
      </w:r>
      <w:r/>
    </w:p>
    <w:p>
      <w:pPr>
        <w:pStyle w:val="798"/>
        <w:jc w:val="both"/>
        <w:spacing w:before="30" w:after="30"/>
        <w:rPr>
          <w:sz w:val="24"/>
          <w:szCs w:val="24"/>
        </w:rPr>
      </w:pPr>
      <w:r>
        <w:rPr>
          <w:sz w:val="24"/>
          <w:szCs w:val="24"/>
          <w:shd w:val="clear" w:color="auto" w:fill="ffffff"/>
        </w:rPr>
        <w:t xml:space="preserve">3.该产品的中国境内生产的组件成本占比相关要求实施前，“规定比例”栏可不填，下同。</w:t>
      </w:r>
      <w:r/>
    </w:p>
    <w:p>
      <w:pPr>
        <w:pStyle w:val="798"/>
        <w:jc w:val="both"/>
        <w:spacing w:before="30" w:after="30"/>
        <w:rPr>
          <w:sz w:val="24"/>
          <w:szCs w:val="24"/>
        </w:rPr>
      </w:pPr>
      <w:r>
        <w:rPr>
          <w:sz w:val="24"/>
          <w:szCs w:val="24"/>
          <w:shd w:val="clear" w:color="auto" w:fill="ffffff"/>
        </w:rPr>
        <w:t xml:space="preserve">4.该产品的关键组件要求实施前，“关键组件”栏可不填，下同。</w:t>
      </w:r>
      <w:r/>
    </w:p>
    <w:p>
      <w:pPr>
        <w:pStyle w:val="798"/>
        <w:jc w:val="both"/>
        <w:spacing w:before="30" w:after="30"/>
        <w:rPr>
          <w:sz w:val="24"/>
          <w:szCs w:val="24"/>
        </w:rPr>
      </w:pPr>
      <w:r>
        <w:rPr>
          <w:sz w:val="24"/>
          <w:szCs w:val="24"/>
          <w:shd w:val="clear" w:color="auto" w:fill="ffffff"/>
        </w:rPr>
        <w:t xml:space="preserve">5.该产品的关键工序要求实施前，“关键工序”栏可不填，下同。</w:t>
      </w:r>
      <w:r/>
    </w:p>
    <w:p>
      <w:pPr>
        <w:pStyle w:val="798"/>
        <w:jc w:val="both"/>
        <w:spacing w:before="30" w:after="30"/>
        <w:rPr>
          <w:sz w:val="24"/>
          <w:szCs w:val="24"/>
        </w:rPr>
      </w:pPr>
      <w:r>
        <w:rPr>
          <w:sz w:val="24"/>
          <w:szCs w:val="24"/>
          <w:shd w:val="clear" w:color="auto" w:fill="ffffff"/>
        </w:rPr>
        <w:t xml:space="preserve">6.用</w:t>
      </w:r>
      <w:r>
        <w:rPr>
          <w:rFonts w:hint="eastAsia"/>
          <w:sz w:val="24"/>
          <w:szCs w:val="24"/>
          <w:shd w:val="clear" w:color="auto" w:fill="ffffff"/>
        </w:rPr>
        <w:t xml:space="preserve">横</w:t>
      </w:r>
      <w:r>
        <w:rPr>
          <w:sz w:val="24"/>
          <w:szCs w:val="24"/>
          <w:shd w:val="clear" w:color="auto" w:fill="ffffff"/>
        </w:rPr>
        <w:t xml:space="preserve">线划除的地方无需填写。</w:t>
      </w:r>
      <w:r/>
    </w:p>
    <w:p>
      <w:pPr>
        <w:pStyle w:val="798"/>
        <w:tabs>
          <w:tab w:val="left" w:pos="2160" w:leader="none"/>
        </w:tabs>
        <w:rPr>
          <w:color w:val="auto"/>
        </w:rPr>
      </w:pPr>
      <w:r>
        <w:rPr>
          <w:color w:val="auto"/>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pStyle w:val="788"/>
        <w:rPr>
          <w:rFonts w:ascii="宋体" w:hAnsi="宋体" w:cs="宋体"/>
          <w:sz w:val="32"/>
          <w:szCs w:val="32"/>
        </w:rPr>
      </w:pPr>
      <w:r>
        <w:rPr>
          <w:rFonts w:ascii="宋体" w:hAnsi="宋体" w:cs="宋体"/>
          <w:sz w:val="32"/>
          <w:szCs w:val="32"/>
        </w:rPr>
      </w:r>
      <w:r/>
    </w:p>
    <w:p>
      <w:pPr>
        <w:pStyle w:val="979"/>
        <w:ind w:firstLine="216"/>
        <w:jc w:val="center"/>
        <w:spacing w:line="553" w:lineRule="atLeast"/>
        <w:rPr>
          <w:rFonts w:ascii="宋体" w:hAnsi="宋体" w:eastAsia="宋体" w:cs="宋体"/>
          <w:bCs/>
          <w:color w:val="auto"/>
          <w:sz w:val="32"/>
          <w:szCs w:val="32"/>
          <w:u w:val="singl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color w:val="auto"/>
          <w:sz w:val="32"/>
          <w:szCs w:val="32"/>
          <w:u w:val="single"/>
        </w:rPr>
        <w:t xml:space="preserve">十七、评分标准要求提供的材料等</w:t>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eastAsia="宋体" w:cs="宋体"/>
          <w:bCs/>
          <w:color w:val="auto"/>
          <w:sz w:val="30"/>
          <w:szCs w:val="30"/>
        </w:rPr>
        <w:pBdr>
          <w:top w:val="none" w:color="000000" w:sz="0" w:space="0"/>
          <w:left w:val="none" w:color="000000" w:sz="0" w:space="0"/>
          <w:bottom w:val="none" w:color="000000" w:sz="0" w:space="0"/>
          <w:right w:val="none" w:color="000000" w:sz="0" w:space="0"/>
        </w:pBdr>
        <w:outlineLvl w:val="1"/>
      </w:pPr>
      <w:r>
        <w:rPr>
          <w:rFonts w:ascii="宋体" w:hAnsi="宋体" w:eastAsia="宋体" w:cs="宋体"/>
          <w:bCs/>
          <w:color w:val="auto"/>
          <w:sz w:val="30"/>
          <w:szCs w:val="30"/>
        </w:rPr>
      </w:r>
      <w:r/>
    </w:p>
    <w:p>
      <w:pPr>
        <w:pStyle w:val="979"/>
        <w:ind w:firstLine="216"/>
        <w:jc w:val="center"/>
        <w:spacing w:line="553" w:lineRule="atLeast"/>
        <w:rPr>
          <w:rFonts w:ascii="宋体" w:hAnsi="宋体" w:cs="宋体"/>
          <w:color w:val="auto"/>
          <w:sz w:val="32"/>
          <w:szCs w:val="32"/>
          <w:u w:val="singl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Cs/>
          <w:color w:val="auto"/>
          <w:sz w:val="32"/>
          <w:szCs w:val="32"/>
          <w:u w:val="single"/>
        </w:rPr>
        <w:t xml:space="preserve">十八、</w:t>
      </w:r>
      <w:r>
        <w:rPr>
          <w:rFonts w:hint="eastAsia" w:ascii="宋体" w:hAnsi="宋体" w:cs="宋体"/>
          <w:color w:val="auto"/>
          <w:sz w:val="32"/>
          <w:szCs w:val="32"/>
          <w:u w:val="single"/>
        </w:rPr>
        <w:t xml:space="preserve">其他材料（如有）</w:t>
      </w:r>
      <w:r/>
    </w:p>
    <w:p>
      <w:pPr>
        <w:pStyle w:val="979"/>
        <w:ind w:firstLine="216"/>
        <w:jc w:val="center"/>
        <w:spacing w:line="553" w:lineRule="atLeast"/>
        <w:rPr>
          <w:rFonts w:ascii="宋体" w:hAnsi="宋体" w:cs="宋体"/>
          <w:color w:val="auto"/>
          <w:sz w:val="32"/>
          <w:szCs w:val="32"/>
          <w:u w:val="singl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1" w:bottom="1417" w:left="1701" w:header="851" w:footer="680" w:gutter="0"/>
          <w:cols w:num="1" w:sep="0" w:space="0" w:equalWidth="1"/>
          <w:docGrid w:linePitch="360"/>
        </w:sectPr>
        <w:outlineLvl w:val="1"/>
      </w:pPr>
      <w:r>
        <w:rPr>
          <w:rFonts w:ascii="宋体" w:hAnsi="宋体" w:cs="宋体"/>
          <w:color w:val="auto"/>
          <w:sz w:val="32"/>
          <w:szCs w:val="32"/>
          <w:u w:val="single"/>
        </w:rPr>
      </w:r>
      <w:r/>
    </w:p>
    <w:p>
      <w:pPr>
        <w:jc w:val="center"/>
        <w:spacing w:line="499" w:lineRule="atLeast"/>
        <w:widowControl/>
        <w:rPr>
          <w:rFonts w:ascii="宋体" w:hAnsi="宋体" w:eastAsia="宋体" w:cs="宋体"/>
          <w:b/>
          <w:bCs/>
          <w:sz w:val="32"/>
          <w:szCs w:val="32"/>
          <w:u w:val="single"/>
        </w:rPr>
        <w:outlineLvl w:val="1"/>
      </w:pPr>
      <w:r>
        <w:rPr>
          <w:rFonts w:hint="eastAsia" w:ascii="宋体" w:hAnsi="宋体" w:eastAsia="宋体" w:cs="宋体"/>
          <w:b/>
          <w:bCs/>
          <w:sz w:val="32"/>
          <w:szCs w:val="32"/>
          <w:u w:val="single"/>
        </w:rPr>
        <w:t xml:space="preserve">十九、盐城市政府采购事前信用承诺书</w:t>
      </w:r>
      <w:bookmarkEnd w:id="148"/>
      <w:r/>
      <w:r/>
    </w:p>
    <w:p>
      <w:pPr>
        <w:pStyle w:val="780"/>
      </w:pPr>
      <w:r/>
      <w:r/>
    </w:p>
    <w:p>
      <w:pPr>
        <w:ind w:firstLine="480"/>
        <w:jc w:val="left"/>
        <w:spacing w:line="499" w:lineRule="atLeast"/>
        <w:widowControl/>
        <w:rPr>
          <w:rFonts w:ascii="宋体" w:hAnsi="宋体" w:eastAsia="宋体" w:cs="宋体"/>
          <w:sz w:val="24"/>
          <w:szCs w:val="24"/>
        </w:rPr>
      </w:pPr>
      <w:r>
        <w:rPr>
          <w:rFonts w:hint="eastAsia" w:ascii="宋体" w:hAnsi="宋体" w:eastAsia="宋体" w:cs="宋体"/>
          <w:sz w:val="24"/>
          <w:szCs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szCs w:val="24"/>
        </w:rPr>
      </w:pPr>
      <w:r>
        <w:rPr>
          <w:rFonts w:hint="eastAsia" w:ascii="宋体" w:hAnsi="宋体" w:eastAsia="宋体" w:cs="宋体"/>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szCs w:val="24"/>
        </w:rPr>
      </w:pPr>
      <w:r>
        <w:rPr>
          <w:rFonts w:hint="eastAsia" w:ascii="宋体" w:hAnsi="宋体" w:eastAsia="宋体" w:cs="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sz w:val="24"/>
          <w:szCs w:val="24"/>
        </w:rPr>
      </w:pPr>
      <w:r>
        <w:rPr>
          <w:rFonts w:hint="eastAsia" w:ascii="宋体" w:hAnsi="宋体" w:eastAsia="宋体" w:cs="宋体"/>
          <w:sz w:val="24"/>
          <w:szCs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sz w:val="24"/>
          <w:szCs w:val="24"/>
        </w:rPr>
      </w:pPr>
      <w:r>
        <w:rPr>
          <w:rFonts w:hint="eastAsia" w:ascii="宋体" w:hAnsi="宋体" w:eastAsia="宋体" w:cs="宋体"/>
          <w:sz w:val="24"/>
          <w:szCs w:val="24"/>
        </w:rPr>
        <w:t xml:space="preserve">（四）严格遵守即时信息公示规定，及时维护和更新维护和更新盐城市政府采购网中与本单位相关的信息；</w:t>
      </w:r>
      <w:r/>
    </w:p>
    <w:p>
      <w:pPr>
        <w:ind w:firstLine="480"/>
        <w:jc w:val="left"/>
        <w:spacing w:line="499" w:lineRule="atLeast"/>
        <w:widowControl/>
        <w:rPr>
          <w:rFonts w:ascii="宋体" w:hAnsi="宋体" w:eastAsia="宋体" w:cs="宋体"/>
          <w:sz w:val="24"/>
          <w:szCs w:val="24"/>
        </w:rPr>
      </w:pPr>
      <w:r>
        <w:rPr>
          <w:rFonts w:hint="eastAsia" w:ascii="宋体" w:hAnsi="宋体" w:eastAsia="宋体" w:cs="宋体"/>
          <w:sz w:val="24"/>
          <w:szCs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sz w:val="24"/>
          <w:szCs w:val="24"/>
        </w:rPr>
      </w:pPr>
      <w:r>
        <w:rPr>
          <w:rFonts w:hint="eastAsia" w:ascii="宋体" w:hAnsi="宋体" w:eastAsia="宋体" w:cs="宋体"/>
          <w:sz w:val="24"/>
          <w:szCs w:val="24"/>
        </w:rPr>
        <w:t xml:space="preserve">（六）自觉接受政府、行业组织、社会公众、新闻舆论的监督；</w:t>
      </w:r>
      <w:r/>
    </w:p>
    <w:p>
      <w:pPr>
        <w:ind w:firstLine="480"/>
        <w:jc w:val="left"/>
        <w:spacing w:line="499" w:lineRule="atLeast"/>
        <w:widowControl/>
        <w:rPr>
          <w:rFonts w:ascii="宋体" w:hAnsi="宋体" w:eastAsia="宋体" w:cs="宋体"/>
          <w:sz w:val="24"/>
          <w:szCs w:val="24"/>
        </w:rPr>
      </w:pPr>
      <w:r>
        <w:rPr>
          <w:rFonts w:hint="eastAsia" w:ascii="宋体" w:hAnsi="宋体" w:eastAsia="宋体" w:cs="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sz w:val="24"/>
          <w:szCs w:val="24"/>
        </w:rPr>
      </w:pPr>
      <w:r>
        <w:rPr>
          <w:rFonts w:hint="eastAsia" w:ascii="宋体" w:hAnsi="宋体" w:eastAsia="宋体" w:cs="宋体"/>
          <w:sz w:val="24"/>
          <w:szCs w:val="24"/>
        </w:rPr>
        <w:t xml:space="preserve">（八）本人已认真阅读了上述承诺，并向本单位员工作了宣传教育。</w:t>
      </w:r>
      <w:r/>
    </w:p>
    <w:p>
      <w:pPr>
        <w:ind w:firstLine="480"/>
        <w:jc w:val="left"/>
        <w:spacing w:line="499" w:lineRule="atLeast"/>
        <w:widowControl/>
        <w:rPr>
          <w:rFonts w:ascii="宋体" w:hAnsi="宋体" w:eastAsia="宋体" w:cs="宋体"/>
          <w:sz w:val="24"/>
          <w:szCs w:val="24"/>
        </w:rPr>
      </w:pPr>
      <w:r>
        <w:rPr>
          <w:rFonts w:hint="eastAsia" w:ascii="宋体" w:hAnsi="宋体" w:eastAsia="宋体" w:cs="宋体"/>
          <w:sz w:val="24"/>
          <w:szCs w:val="24"/>
        </w:rPr>
        <w:t xml:space="preserve">                  法定代表人签名：</w:t>
      </w:r>
      <w:r/>
    </w:p>
    <w:p>
      <w:pPr>
        <w:ind w:firstLine="480"/>
        <w:jc w:val="left"/>
        <w:spacing w:line="499" w:lineRule="atLeast"/>
        <w:widowControl/>
        <w:rPr>
          <w:rFonts w:ascii="宋体" w:hAnsi="宋体" w:eastAsia="宋体" w:cs="宋体"/>
          <w:sz w:val="24"/>
          <w:szCs w:val="24"/>
        </w:rPr>
      </w:pPr>
      <w:r>
        <w:rPr>
          <w:rFonts w:hint="eastAsia" w:ascii="宋体" w:hAnsi="宋体" w:eastAsia="宋体" w:cs="宋体"/>
          <w:sz w:val="24"/>
          <w:szCs w:val="24"/>
        </w:rPr>
        <w:t xml:space="preserve">     单位名称（盖章）：</w:t>
      </w:r>
      <w:r/>
    </w:p>
    <w:p>
      <w:pPr>
        <w:ind w:firstLine="480"/>
        <w:jc w:val="left"/>
        <w:spacing w:line="499" w:lineRule="atLeast"/>
        <w:widowControl/>
        <w:rPr>
          <w:rFonts w:ascii="宋体" w:hAnsi="宋体" w:eastAsia="宋体" w:cs="宋体"/>
          <w:sz w:val="24"/>
          <w:szCs w:val="24"/>
        </w:rPr>
      </w:pPr>
      <w:r>
        <w:rPr>
          <w:rFonts w:hint="eastAsia" w:ascii="宋体" w:hAnsi="宋体" w:eastAsia="宋体" w:cs="宋体"/>
          <w:sz w:val="24"/>
          <w:szCs w:val="24"/>
        </w:rPr>
        <w:t xml:space="preserve">年    月     日</w:t>
      </w:r>
      <w:r/>
    </w:p>
    <w:p>
      <w:pPr>
        <w:jc w:val="center"/>
        <w:spacing w:line="499" w:lineRule="atLeast"/>
        <w:widowControl/>
        <w:rPr>
          <w:rFonts w:ascii="宋体" w:hAnsi="宋体" w:eastAsia="宋体" w:cs="宋体"/>
          <w:sz w:val="24"/>
          <w:szCs w:val="24"/>
        </w:rPr>
      </w:pPr>
      <w:r>
        <w:rPr>
          <w:rFonts w:hint="eastAsia" w:ascii="宋体" w:hAnsi="宋体" w:eastAsia="宋体" w:cs="宋体"/>
          <w:sz w:val="24"/>
          <w:szCs w:val="24"/>
        </w:rPr>
        <w:br w:type="page" w:clear="all"/>
      </w:r>
      <w:r/>
    </w:p>
    <w:p>
      <w:pPr>
        <w:jc w:val="center"/>
        <w:spacing w:line="276" w:lineRule="auto"/>
        <w:rPr>
          <w:rFonts w:ascii="宋体" w:hAnsi="宋体" w:eastAsia="宋体" w:cs="宋体"/>
          <w:b/>
          <w:sz w:val="30"/>
          <w:szCs w:val="30"/>
        </w:rPr>
        <w:outlineLvl w:val="1"/>
      </w:pPr>
      <w:r/>
      <w:bookmarkStart w:id="151" w:name="_Toc197644597"/>
      <w:r>
        <w:rPr>
          <w:rFonts w:hint="eastAsia" w:ascii="宋体" w:hAnsi="宋体" w:eastAsia="宋体" w:cs="宋体"/>
          <w:b/>
          <w:sz w:val="30"/>
          <w:szCs w:val="30"/>
        </w:rPr>
        <w:t xml:space="preserve">质疑函范本</w:t>
      </w:r>
      <w:bookmarkEnd w:id="151"/>
      <w:r/>
      <w:r/>
    </w:p>
    <w:p>
      <w:pPr>
        <w:spacing w:before="290" w:line="276" w:lineRule="auto"/>
        <w:rPr>
          <w:rFonts w:ascii="宋体" w:hAnsi="宋体" w:eastAsia="宋体" w:cs="宋体"/>
          <w:sz w:val="24"/>
          <w:szCs w:val="24"/>
        </w:rPr>
        <w:outlineLvl w:val="1"/>
      </w:pPr>
      <w:r>
        <w:rPr>
          <w:rFonts w:hint="eastAsia" w:ascii="宋体" w:hAnsi="宋体" w:eastAsia="宋体" w:cs="宋体"/>
          <w:sz w:val="24"/>
          <w:szCs w:val="24"/>
        </w:rPr>
        <w:t xml:space="preserve">一、质疑供应商基本信息</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u w:val="single"/>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u w:val="single"/>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rPr>
        <w:outlineLvl w:val="1"/>
      </w:pPr>
      <w:r>
        <w:rPr>
          <w:rFonts w:hint="eastAsia" w:ascii="宋体" w:hAnsi="宋体" w:eastAsia="宋体" w:cs="宋体"/>
          <w:sz w:val="24"/>
          <w:szCs w:val="24"/>
        </w:rPr>
        <w:t xml:space="preserve">二、质疑项目基本情况</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u w:val="single"/>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rPr>
        <w:outlineLvl w:val="1"/>
      </w:pPr>
      <w:r>
        <w:rPr>
          <w:rFonts w:hint="eastAsia" w:ascii="宋体" w:hAnsi="宋体" w:eastAsia="宋体" w:cs="宋体"/>
          <w:sz w:val="24"/>
          <w:szCs w:val="24"/>
        </w:rPr>
        <w:t xml:space="preserve">三、质疑事项具体内容</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质疑事项2</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w:t>
      </w:r>
      <w:r/>
    </w:p>
    <w:p>
      <w:pPr>
        <w:spacing w:line="276" w:lineRule="auto"/>
        <w:rPr>
          <w:rFonts w:ascii="宋体" w:hAnsi="宋体" w:eastAsia="宋体" w:cs="宋体"/>
          <w:sz w:val="24"/>
          <w:szCs w:val="24"/>
        </w:rPr>
        <w:outlineLvl w:val="1"/>
      </w:pPr>
      <w:r>
        <w:rPr>
          <w:rFonts w:hint="eastAsia" w:ascii="宋体" w:hAnsi="宋体" w:eastAsia="宋体" w:cs="宋体"/>
          <w:sz w:val="24"/>
          <w:szCs w:val="24"/>
        </w:rPr>
        <w:t xml:space="preserve">四、与质疑事项相关的质疑请求</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spacing w:line="276" w:lineRule="auto"/>
        <w:rPr>
          <w:rFonts w:ascii="宋体" w:hAnsi="宋体" w:eastAsia="宋体" w:cs="宋体"/>
          <w:sz w:val="24"/>
          <w:szCs w:val="24"/>
        </w:rPr>
      </w:pPr>
      <w:r>
        <w:rPr>
          <w:rFonts w:hint="eastAsia" w:ascii="宋体" w:hAnsi="宋体" w:eastAsia="宋体" w:cs="宋体"/>
          <w:sz w:val="24"/>
          <w:szCs w:val="24"/>
        </w:rPr>
        <w:t xml:space="preserve">签字(签章)：                 公章：               日期：</w:t>
      </w:r>
      <w:r/>
    </w:p>
    <w:p>
      <w:pPr>
        <w:spacing w:line="276" w:lineRule="auto"/>
        <w:rPr>
          <w:rFonts w:ascii="宋体" w:hAnsi="宋体" w:eastAsia="宋体" w:cs="宋体"/>
          <w:sz w:val="24"/>
          <w:szCs w:val="24"/>
        </w:rPr>
      </w:pPr>
      <w:r>
        <w:rPr>
          <w:rFonts w:hint="eastAsia" w:ascii="宋体" w:hAnsi="宋体" w:eastAsia="宋体" w:cs="宋体"/>
          <w:b/>
          <w:sz w:val="24"/>
          <w:szCs w:val="24"/>
        </w:rPr>
        <w:t xml:space="preserve">质疑函制作说明：</w:t>
      </w:r>
      <w:r/>
    </w:p>
    <w:p>
      <w:pPr>
        <w:ind w:firstLine="480"/>
        <w:jc w:val="left"/>
        <w:spacing w:line="276" w:lineRule="auto"/>
        <w:widowControl/>
        <w:rPr>
          <w:rFonts w:ascii="宋体" w:hAnsi="宋体" w:eastAsia="宋体" w:cs="宋体"/>
          <w:sz w:val="24"/>
          <w:szCs w:val="24"/>
        </w:rPr>
        <w:outlineLvl w:val="2"/>
      </w:pPr>
      <w:r>
        <w:rPr>
          <w:rFonts w:hint="eastAsia" w:ascii="宋体" w:hAnsi="宋体" w:eastAsia="宋体" w:cs="宋体"/>
          <w:sz w:val="24"/>
          <w:szCs w:val="24"/>
        </w:rPr>
        <w:t xml:space="preserve">1.供应商提出质疑时，应提交质疑函和必要的证明材料。</w:t>
      </w:r>
      <w:r/>
    </w:p>
    <w:p>
      <w:pPr>
        <w:ind w:firstLine="480"/>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276" w:lineRule="auto"/>
        <w:widowControl/>
        <w:rPr>
          <w:rFonts w:ascii="宋体" w:hAnsi="宋体" w:eastAsia="宋体" w:cs="宋体"/>
          <w:sz w:val="24"/>
          <w:szCs w:val="24"/>
        </w:rPr>
        <w:outlineLvl w:val="2"/>
      </w:pPr>
      <w:r>
        <w:rPr>
          <w:rFonts w:hint="eastAsia" w:ascii="宋体" w:hAnsi="宋体" w:eastAsia="宋体" w:cs="宋体"/>
          <w:sz w:val="24"/>
          <w:szCs w:val="24"/>
        </w:rPr>
        <w:t xml:space="preserve">5.质疑函的质疑请求应与质疑事项相关。</w:t>
      </w:r>
      <w:r/>
    </w:p>
    <w:p>
      <w:pPr>
        <w:ind w:firstLine="480"/>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7" w:right="1701" w:bottom="1417" w:left="1701" w:header="851"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_x000B__x000C_">
    <w:panose1 w:val="020B0503020202020204"/>
  </w:font>
  <w:font w:name="Calibri">
    <w:panose1 w:val="020F0502020204030204"/>
  </w:font>
  <w:font w:name="Courier New">
    <w:panose1 w:val="02070309020205020404"/>
  </w:font>
  <w:font w:name="黑体">
    <w:panose1 w:val="02010609060101010101"/>
  </w:font>
  <w:font w:name="仿宋_GB2312">
    <w:panose1 w:val="020106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779"/>
                            <w:rPr>
                              <w:rFonts w:ascii="宋体" w:hAnsi="宋体" w:eastAsia="宋体"/>
                              <w:sz w:val="28"/>
                            </w:rPr>
                          </w:pPr>
                          <w:r>
                            <w:rPr>
                              <w:rFonts w:ascii="宋体" w:hAnsi="宋体" w:eastAsia="宋体"/>
                              <w:sz w:val="28"/>
                            </w:rPr>
                            <w:t xml:space="preserve">—</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76</w:t>
                          </w:r>
                          <w:r>
                            <w:rPr>
                              <w:rFonts w:ascii="宋体" w:hAnsi="宋体" w:eastAsia="宋体"/>
                              <w:sz w:val="28"/>
                            </w:rPr>
                            <w:fldChar w:fldCharType="end"/>
                          </w:r>
                          <w:r>
                            <w:rPr>
                              <w:rFonts w:ascii="宋体" w:hAnsi="宋体" w:eastAsia="宋体"/>
                              <w:sz w:val="28"/>
                            </w:rPr>
                            <w:t xml:space="preserve">—</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1.0pt;mso-position-vertical:absolute;width:144.0pt;height:144.0pt;mso-wrap-distance-left:9.0pt;mso-wrap-distance-top:0.0pt;mso-wrap-distance-right:9.0pt;mso-wrap-distance-bottom:0.0pt;v-text-anchor:top;visibility:visible;" filled="f" stroked="f" strokeweight="0.75pt">
              <v:textbox inset="0,0,0,0">
                <w:txbxContent>
                  <w:p>
                    <w:pPr>
                      <w:pStyle w:val="779"/>
                      <w:rPr>
                        <w:rFonts w:ascii="宋体" w:hAnsi="宋体" w:eastAsia="宋体"/>
                        <w:sz w:val="28"/>
                      </w:rPr>
                    </w:pPr>
                    <w:r>
                      <w:rPr>
                        <w:rFonts w:ascii="宋体" w:hAnsi="宋体" w:eastAsia="宋体"/>
                        <w:sz w:val="28"/>
                      </w:rPr>
                      <w:t xml:space="preserve">—</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76</w:t>
                    </w:r>
                    <w:r>
                      <w:rPr>
                        <w:rFonts w:ascii="宋体" w:hAnsi="宋体" w:eastAsia="宋体"/>
                        <w:sz w:val="28"/>
                      </w:rPr>
                      <w:fldChar w:fldCharType="end"/>
                    </w:r>
                    <w:r>
                      <w:rPr>
                        <w:rFonts w:ascii="宋体" w:hAnsi="宋体" w:eastAsia="宋体"/>
                        <w:sz w:val="28"/>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779"/>
                            <w:rPr>
                              <w:rFonts w:ascii="宋体" w:hAnsi="宋体" w:eastAsia="宋体"/>
                              <w:sz w:val="28"/>
                            </w:rPr>
                          </w:pPr>
                          <w:r>
                            <w:rPr>
                              <w:rFonts w:ascii="宋体" w:hAnsi="宋体" w:eastAsia="宋体"/>
                              <w:sz w:val="28"/>
                            </w:rPr>
                            <w:t xml:space="preserve">—</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8"/>
                            </w:rPr>
                            <w:t xml:space="preserve">—</w:t>
                          </w:r>
                          <w:r/>
                        </w:p>
                      </w:txbxContent>
                    </wps:txbx>
                    <wps:bodyPr vert="horz" wrap="none" lIns="203200" tIns="0" rIns="20320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outside;mso-position-vertical-relative:text;margin-top:1.0pt;mso-position-vertical:absolute;width:144.0pt;height:144.0pt;mso-wrap-distance-left:9.0pt;mso-wrap-distance-top:0.0pt;mso-wrap-distance-right:9.0pt;mso-wrap-distance-bottom:0.0pt;v-text-anchor:top;visibility:visible;" filled="f" stroked="f" strokeweight="0.75pt">
              <v:textbox inset="0,0,0,0">
                <w:txbxContent>
                  <w:p>
                    <w:pPr>
                      <w:pStyle w:val="779"/>
                      <w:rPr>
                        <w:rFonts w:ascii="宋体" w:hAnsi="宋体" w:eastAsia="宋体"/>
                        <w:sz w:val="28"/>
                      </w:rPr>
                    </w:pPr>
                    <w:r>
                      <w:rPr>
                        <w:rFonts w:ascii="宋体" w:hAnsi="宋体" w:eastAsia="宋体"/>
                        <w:sz w:val="28"/>
                      </w:rPr>
                      <w:t xml:space="preserve">—</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8"/>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9"/>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1.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750" w:hanging="75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ideographTraditional"/>
      <w:isLgl w:val="false"/>
      <w:suff w:val="nothing"/>
      <w:lvlText w:val="%1、"/>
      <w:lvlJc w:val="left"/>
      <w:pPr>
        <w:ind w:left="3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tab"/>
      <w:lvlText w:val="%1.%2"/>
      <w:lvlJc w:val="left"/>
      <w:pPr>
        <w:ind w:left="844" w:hanging="420"/>
      </w:pPr>
      <w:rPr>
        <w:rFonts w:hint="default"/>
      </w:rPr>
    </w:lvl>
    <w:lvl w:ilvl="2">
      <w:start w:val="1"/>
      <w:numFmt w:val="decimal"/>
      <w:isLgl/>
      <w:suff w:val="tab"/>
      <w:lvlText w:val="%1.%2.%3"/>
      <w:lvlJc w:val="left"/>
      <w:pPr>
        <w:ind w:left="1568" w:hanging="720"/>
      </w:pPr>
      <w:rPr>
        <w:rFonts w:hint="default"/>
      </w:rPr>
    </w:lvl>
    <w:lvl w:ilvl="3">
      <w:start w:val="1"/>
      <w:numFmt w:val="decimal"/>
      <w:isLgl/>
      <w:suff w:val="tab"/>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7">
    <w:multiLevelType w:val="hybridMultilevel"/>
    <w:lvl w:ilvl="0">
      <w:start w:val="1"/>
      <w:numFmt w:val="decimal"/>
      <w:isLgl w:val="false"/>
      <w:suff w:val="nothing"/>
      <w:lvlText w:val="（%1）"/>
      <w:lvlJc w:val="left"/>
      <w:pPr>
        <w:ind w:left="866" w:hanging="440"/>
      </w:pPr>
      <w:rPr>
        <w:rFonts w:hint="default"/>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8">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space"/>
      <w:lvlText w:val="%1.%2"/>
      <w:lvlJc w:val="left"/>
      <w:pPr>
        <w:ind w:left="844" w:hanging="420"/>
      </w:pPr>
      <w:rPr>
        <w:rFonts w:hint="default"/>
      </w:rPr>
    </w:lvl>
    <w:lvl w:ilvl="2">
      <w:start w:val="1"/>
      <w:numFmt w:val="decimal"/>
      <w:isLgl/>
      <w:suff w:val="space"/>
      <w:lvlText w:val="%1.%2.%3"/>
      <w:lvlJc w:val="left"/>
      <w:pPr>
        <w:ind w:left="1568" w:hanging="720"/>
      </w:pPr>
      <w:rPr>
        <w:rFonts w:hint="default"/>
      </w:rPr>
    </w:lvl>
    <w:lvl w:ilvl="3">
      <w:start w:val="1"/>
      <w:numFmt w:val="decimal"/>
      <w:isLgl/>
      <w:suff w:val="space"/>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9">
    <w:multiLevelType w:val="hybridMultilevel"/>
    <w:lvl w:ilvl="0">
      <w:start w:val="1"/>
      <w:numFmt w:val="decimal"/>
      <w:isLgl w:val="false"/>
      <w:suff w:val="nothing"/>
      <w:lvlText w:val="（%1）"/>
      <w:lvlJc w:val="left"/>
      <w:pPr>
        <w:ind w:left="866" w:hanging="440"/>
      </w:pPr>
      <w:rPr>
        <w:rFonts w:hint="default"/>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10">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1008" w:hanging="440"/>
      </w:pPr>
      <w:rPr>
        <w:rFonts w:hint="eastAsia"/>
      </w:rPr>
    </w:lvl>
    <w:lvl w:ilvl="1">
      <w:start w:val="1"/>
      <w:numFmt w:val="decimal"/>
      <w:isLgl/>
      <w:suff w:val="space"/>
      <w:lvlText w:val="%1.%2"/>
      <w:lvlJc w:val="left"/>
      <w:pPr>
        <w:ind w:left="844" w:hanging="420"/>
      </w:pPr>
      <w:rPr>
        <w:rFonts w:hint="default"/>
      </w:rPr>
    </w:lvl>
    <w:lvl w:ilvl="2">
      <w:start w:val="1"/>
      <w:numFmt w:val="decimal"/>
      <w:isLgl/>
      <w:suff w:val="space"/>
      <w:lvlText w:val="%1.%2.%3"/>
      <w:lvlJc w:val="left"/>
      <w:pPr>
        <w:ind w:left="1568" w:hanging="720"/>
      </w:pPr>
      <w:rPr>
        <w:rFonts w:hint="default"/>
      </w:rPr>
    </w:lvl>
    <w:lvl w:ilvl="3">
      <w:start w:val="1"/>
      <w:numFmt w:val="decimal"/>
      <w:isLgl/>
      <w:suff w:val="space"/>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num w:numId="1">
    <w:abstractNumId w:val="2"/>
  </w:num>
  <w:num w:numId="2">
    <w:abstractNumId w:val="10"/>
  </w:num>
  <w:num w:numId="3">
    <w:abstractNumId w:val="0"/>
  </w:num>
  <w:num w:numId="4">
    <w:abstractNumId w:val="6"/>
  </w:num>
  <w:num w:numId="5">
    <w:abstractNumId w:val="1"/>
  </w:num>
  <w:num w:numId="6">
    <w:abstractNumId w:val="11"/>
  </w:num>
  <w:num w:numId="7">
    <w:abstractNumId w:val="13"/>
  </w:num>
  <w:num w:numId="8">
    <w:abstractNumId w:val="9"/>
  </w:num>
  <w:num w:numId="9">
    <w:abstractNumId w:val="7"/>
  </w:num>
  <w:num w:numId="10">
    <w:abstractNumId w:val="12"/>
  </w:num>
  <w:num w:numId="11">
    <w:abstractNumId w:val="4"/>
  </w:num>
  <w:num w:numId="12">
    <w:abstractNumId w:val="5"/>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63">
    <w:name w:val="Heading 1"/>
    <w:basedOn w:val="762"/>
    <w:next w:val="762"/>
    <w:link w:val="954"/>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764">
    <w:name w:val="Heading 2"/>
    <w:basedOn w:val="762"/>
    <w:next w:val="762"/>
    <w:link w:val="983"/>
    <w:uiPriority w:val="0"/>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765">
    <w:name w:val="Heading 3"/>
    <w:basedOn w:val="762"/>
    <w:next w:val="762"/>
    <w:link w:val="986"/>
    <w:uiPriority w:val="9"/>
    <w:semiHidden/>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766">
    <w:name w:val="Heading 4"/>
    <w:basedOn w:val="762"/>
    <w:next w:val="762"/>
    <w:link w:val="957"/>
    <w:uiPriority w:val="9"/>
    <w:semiHidden/>
    <w:unhideWhenUsed/>
    <w:qFormat/>
    <w:pPr>
      <w:keepLines/>
      <w:keepNext/>
      <w:spacing w:before="80" w:after="40"/>
      <w:outlineLvl w:val="3"/>
    </w:pPr>
    <w:rPr>
      <w:rFonts w:cstheme="majorBidi"/>
      <w:color w:val="2f5597" w:themeColor="accent1" w:themeShade="BF"/>
      <w:sz w:val="28"/>
      <w:szCs w:val="28"/>
    </w:rPr>
  </w:style>
  <w:style w:type="paragraph" w:styleId="767">
    <w:name w:val="Heading 5"/>
    <w:basedOn w:val="762"/>
    <w:next w:val="762"/>
    <w:link w:val="958"/>
    <w:uiPriority w:val="9"/>
    <w:semiHidden/>
    <w:unhideWhenUsed/>
    <w:qFormat/>
    <w:pPr>
      <w:keepLines/>
      <w:keepNext/>
      <w:spacing w:before="80" w:after="40"/>
      <w:outlineLvl w:val="4"/>
    </w:pPr>
    <w:rPr>
      <w:rFonts w:cstheme="majorBidi"/>
      <w:color w:val="2f5597" w:themeColor="accent1" w:themeShade="BF"/>
      <w:sz w:val="24"/>
      <w:szCs w:val="24"/>
    </w:rPr>
  </w:style>
  <w:style w:type="paragraph" w:styleId="768">
    <w:name w:val="Heading 6"/>
    <w:basedOn w:val="762"/>
    <w:next w:val="762"/>
    <w:link w:val="985"/>
    <w:uiPriority w:val="9"/>
    <w:semiHidden/>
    <w:unhideWhenUsed/>
    <w:qFormat/>
    <w:pPr>
      <w:keepLines/>
      <w:keepNext/>
      <w:spacing w:before="40"/>
      <w:outlineLvl w:val="5"/>
    </w:pPr>
    <w:rPr>
      <w:rFonts w:cstheme="majorBidi"/>
      <w:b/>
      <w:bCs/>
      <w:color w:val="2f5597" w:themeColor="accent1" w:themeShade="BF"/>
    </w:rPr>
  </w:style>
  <w:style w:type="paragraph" w:styleId="769">
    <w:name w:val="Heading 7"/>
    <w:basedOn w:val="762"/>
    <w:next w:val="762"/>
    <w:link w:val="960"/>
    <w:uiPriority w:val="9"/>
    <w:semiHidden/>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70">
    <w:name w:val="Heading 8"/>
    <w:basedOn w:val="762"/>
    <w:next w:val="762"/>
    <w:link w:val="961"/>
    <w:uiPriority w:val="9"/>
    <w:semiHidden/>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71">
    <w:name w:val="Heading 9"/>
    <w:basedOn w:val="762"/>
    <w:next w:val="762"/>
    <w:link w:val="962"/>
    <w:uiPriority w:val="9"/>
    <w:semiHidden/>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unhideWhenUsed/>
    <w:qFormat/>
    <w:pPr>
      <w:ind w:left="1701"/>
      <w:spacing w:after="57"/>
    </w:pPr>
  </w:style>
  <w:style w:type="paragraph" w:styleId="775">
    <w:name w:val="Normal Indent"/>
    <w:basedOn w:val="762"/>
    <w:uiPriority w:val="99"/>
    <w:unhideWhenUsed/>
    <w:qFormat/>
    <w:pPr>
      <w:ind w:firstLine="420"/>
    </w:pPr>
  </w:style>
  <w:style w:type="paragraph" w:styleId="776">
    <w:name w:val="Caption"/>
    <w:basedOn w:val="762"/>
    <w:next w:val="76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77">
    <w:name w:val="annotation text"/>
    <w:basedOn w:val="762"/>
    <w:uiPriority w:val="0"/>
    <w:unhideWhenUsed/>
    <w:qFormat/>
    <w:pPr>
      <w:jc w:val="left"/>
    </w:pPr>
  </w:style>
  <w:style w:type="paragraph" w:styleId="778">
    <w:name w:val="Body Text"/>
    <w:basedOn w:val="762"/>
    <w:next w:val="779"/>
    <w:uiPriority w:val="0"/>
    <w:qFormat/>
    <w:rPr>
      <w:rFonts w:ascii="楷体_GB2312" w:hAnsi="Arial" w:eastAsia="楷体_GB2312"/>
      <w:sz w:val="28"/>
      <w:szCs w:val="20"/>
    </w:rPr>
  </w:style>
  <w:style w:type="paragraph" w:styleId="779">
    <w:name w:val="Footer"/>
    <w:basedOn w:val="762"/>
    <w:link w:val="973"/>
    <w:uiPriority w:val="99"/>
    <w:unhideWhenUsed/>
    <w:qFormat/>
    <w:pPr>
      <w:jc w:val="left"/>
      <w:tabs>
        <w:tab w:val="center" w:pos="4153" w:leader="none"/>
        <w:tab w:val="right" w:pos="8306" w:leader="none"/>
      </w:tabs>
    </w:pPr>
    <w:rPr>
      <w:sz w:val="18"/>
      <w:szCs w:val="18"/>
    </w:rPr>
  </w:style>
  <w:style w:type="paragraph" w:styleId="780">
    <w:name w:val="Body Text Indent"/>
    <w:basedOn w:val="762"/>
    <w:uiPriority w:val="0"/>
    <w:qFormat/>
    <w:pPr>
      <w:ind w:firstLine="600"/>
      <w:spacing w:line="360" w:lineRule="auto"/>
    </w:pPr>
    <w:rPr>
      <w:rFonts w:ascii="仿宋_GB2312" w:eastAsia="仿宋_GB2312"/>
      <w:sz w:val="30"/>
    </w:rPr>
  </w:style>
  <w:style w:type="paragraph" w:styleId="781">
    <w:name w:val="index 4"/>
    <w:basedOn w:val="762"/>
    <w:next w:val="762"/>
    <w:uiPriority w:val="0"/>
    <w:qFormat/>
    <w:pPr>
      <w:ind w:left="600"/>
    </w:pPr>
    <w:rPr>
      <w:rFonts w:ascii="Times New Roman" w:hAnsi="Times New Roman" w:eastAsia="宋体" w:cs="Times New Roman"/>
      <w:szCs w:val="24"/>
    </w:rPr>
  </w:style>
  <w:style w:type="paragraph" w:styleId="782">
    <w:name w:val="toc 5"/>
    <w:basedOn w:val="762"/>
    <w:next w:val="762"/>
    <w:uiPriority w:val="39"/>
    <w:unhideWhenUsed/>
    <w:qFormat/>
    <w:pPr>
      <w:ind w:left="1134"/>
      <w:spacing w:after="57"/>
    </w:pPr>
  </w:style>
  <w:style w:type="paragraph" w:styleId="783">
    <w:name w:val="toc 3"/>
    <w:basedOn w:val="762"/>
    <w:next w:val="762"/>
    <w:uiPriority w:val="39"/>
    <w:unhideWhenUsed/>
    <w:qFormat/>
    <w:pPr>
      <w:ind w:left="840"/>
    </w:pPr>
  </w:style>
  <w:style w:type="paragraph" w:styleId="784">
    <w:name w:val="Plain Text"/>
    <w:basedOn w:val="762"/>
    <w:uiPriority w:val="0"/>
    <w:qFormat/>
    <w:rPr>
      <w:rFonts w:hint="eastAsia" w:hAnsi="Courier New" w:eastAsia="宋体"/>
    </w:rPr>
  </w:style>
  <w:style w:type="paragraph" w:styleId="785">
    <w:name w:val="toc 8"/>
    <w:basedOn w:val="762"/>
    <w:next w:val="762"/>
    <w:uiPriority w:val="39"/>
    <w:unhideWhenUsed/>
    <w:qFormat/>
    <w:pPr>
      <w:ind w:left="1984"/>
      <w:spacing w:after="57"/>
    </w:pPr>
  </w:style>
  <w:style w:type="paragraph" w:styleId="786">
    <w:name w:val="endnote text"/>
    <w:basedOn w:val="762"/>
    <w:link w:val="953"/>
    <w:uiPriority w:val="99"/>
    <w:semiHidden/>
    <w:unhideWhenUsed/>
    <w:qFormat/>
    <w:rPr>
      <w:sz w:val="20"/>
    </w:rPr>
  </w:style>
  <w:style w:type="paragraph" w:styleId="787">
    <w:name w:val="Balloon Text"/>
    <w:basedOn w:val="762"/>
    <w:link w:val="990"/>
    <w:uiPriority w:val="99"/>
    <w:semiHidden/>
    <w:unhideWhenUsed/>
    <w:qFormat/>
    <w:rPr>
      <w:sz w:val="18"/>
      <w:szCs w:val="18"/>
    </w:rPr>
  </w:style>
  <w:style w:type="paragraph" w:styleId="788">
    <w:name w:val="envelope return"/>
    <w:basedOn w:val="762"/>
    <w:uiPriority w:val="0"/>
    <w:qFormat/>
    <w:rPr>
      <w:rFonts w:ascii="Arial" w:hAnsi="Arial"/>
    </w:rPr>
  </w:style>
  <w:style w:type="paragraph" w:styleId="789">
    <w:name w:val="Header"/>
    <w:basedOn w:val="762"/>
    <w:link w:val="972"/>
    <w:uiPriority w:val="99"/>
    <w:unhideWhenUsed/>
    <w:qFormat/>
    <w:pPr>
      <w:jc w:val="center"/>
      <w:tabs>
        <w:tab w:val="center" w:pos="4153" w:leader="none"/>
        <w:tab w:val="right" w:pos="8306" w:leader="none"/>
      </w:tabs>
    </w:pPr>
    <w:rPr>
      <w:sz w:val="18"/>
      <w:szCs w:val="18"/>
    </w:rPr>
  </w:style>
  <w:style w:type="paragraph" w:styleId="790">
    <w:name w:val="toc 1"/>
    <w:basedOn w:val="762"/>
    <w:next w:val="762"/>
    <w:uiPriority w:val="39"/>
    <w:unhideWhenUsed/>
    <w:qFormat/>
    <w:pPr>
      <w:spacing w:after="57"/>
    </w:pPr>
  </w:style>
  <w:style w:type="paragraph" w:styleId="791">
    <w:name w:val="toc 4"/>
    <w:basedOn w:val="762"/>
    <w:next w:val="762"/>
    <w:uiPriority w:val="39"/>
    <w:unhideWhenUsed/>
    <w:qFormat/>
    <w:pPr>
      <w:ind w:left="1260"/>
    </w:pPr>
  </w:style>
  <w:style w:type="paragraph" w:styleId="792">
    <w:name w:val="Subtitle"/>
    <w:basedOn w:val="762"/>
    <w:next w:val="762"/>
    <w:link w:val="964"/>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93">
    <w:name w:val="footnote text"/>
    <w:basedOn w:val="762"/>
    <w:link w:val="952"/>
    <w:uiPriority w:val="99"/>
    <w:semiHidden/>
    <w:unhideWhenUsed/>
    <w:qFormat/>
    <w:pPr>
      <w:spacing w:after="40"/>
    </w:pPr>
    <w:rPr>
      <w:sz w:val="18"/>
    </w:rPr>
  </w:style>
  <w:style w:type="paragraph" w:styleId="794">
    <w:name w:val="toc 6"/>
    <w:basedOn w:val="762"/>
    <w:next w:val="762"/>
    <w:uiPriority w:val="39"/>
    <w:unhideWhenUsed/>
    <w:qFormat/>
    <w:pPr>
      <w:ind w:left="1417"/>
      <w:spacing w:after="57"/>
    </w:pPr>
  </w:style>
  <w:style w:type="paragraph" w:styleId="795">
    <w:name w:val="table of figures"/>
    <w:basedOn w:val="762"/>
    <w:next w:val="762"/>
    <w:uiPriority w:val="99"/>
    <w:unhideWhenUsed/>
    <w:qFormat/>
  </w:style>
  <w:style w:type="paragraph" w:styleId="796">
    <w:name w:val="toc 2"/>
    <w:basedOn w:val="762"/>
    <w:next w:val="762"/>
    <w:uiPriority w:val="39"/>
    <w:unhideWhenUsed/>
    <w:qFormat/>
    <w:pPr>
      <w:ind w:left="420"/>
    </w:pPr>
  </w:style>
  <w:style w:type="paragraph" w:styleId="797">
    <w:name w:val="toc 9"/>
    <w:basedOn w:val="762"/>
    <w:next w:val="762"/>
    <w:uiPriority w:val="39"/>
    <w:unhideWhenUsed/>
    <w:qFormat/>
    <w:pPr>
      <w:ind w:left="2268"/>
      <w:spacing w:after="57"/>
    </w:pPr>
  </w:style>
  <w:style w:type="paragraph" w:styleId="798">
    <w:name w:val="Normal (Web)"/>
    <w:basedOn w:val="762"/>
    <w:uiPriority w:val="0"/>
    <w:qFormat/>
    <w:pPr>
      <w:jc w:val="left"/>
      <w:spacing w:line="276" w:lineRule="auto"/>
    </w:pPr>
    <w:rPr>
      <w:rFonts w:ascii="宋体" w:hAnsi="宋体" w:eastAsia="宋体" w:cs="宋体"/>
      <w:color w:val="000000"/>
      <w:szCs w:val="21"/>
    </w:rPr>
  </w:style>
  <w:style w:type="paragraph" w:styleId="799">
    <w:name w:val="Title"/>
    <w:basedOn w:val="762"/>
    <w:next w:val="762"/>
    <w:link w:val="963"/>
    <w:uiPriority w:val="10"/>
    <w:qFormat/>
    <w:pPr>
      <w:contextualSpacing/>
      <w:jc w:val="center"/>
      <w:spacing w:after="80"/>
    </w:pPr>
    <w:rPr>
      <w:rFonts w:asciiTheme="majorHAnsi" w:hAnsiTheme="majorHAnsi" w:eastAsiaTheme="majorEastAsia" w:cstheme="majorBidi"/>
      <w:spacing w:val="-10"/>
      <w:sz w:val="56"/>
      <w:szCs w:val="56"/>
    </w:rPr>
  </w:style>
  <w:style w:type="paragraph" w:styleId="800">
    <w:name w:val="Body Text First Indent"/>
    <w:basedOn w:val="778"/>
    <w:next w:val="762"/>
    <w:uiPriority w:val="0"/>
    <w:qFormat/>
    <w:pPr>
      <w:ind w:firstLine="420"/>
    </w:pPr>
    <w:rPr>
      <w:sz w:val="24"/>
    </w:rPr>
  </w:style>
  <w:style w:type="paragraph" w:styleId="801">
    <w:name w:val="Body Text First Indent 2"/>
    <w:basedOn w:val="780"/>
    <w:uiPriority w:val="0"/>
    <w:qFormat/>
    <w:pPr>
      <w:ind w:firstLine="420"/>
    </w:pPr>
    <w:rPr>
      <w:szCs w:val="20"/>
    </w:rPr>
  </w:style>
  <w:style w:type="table" w:styleId="802">
    <w:name w:val="Table Grid"/>
    <w:basedOn w:val="77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basedOn w:val="772"/>
    <w:uiPriority w:val="99"/>
    <w:semiHidden/>
    <w:unhideWhenUsed/>
    <w:qFormat/>
    <w:rPr>
      <w:vertAlign w:val="superscript"/>
    </w:rPr>
  </w:style>
  <w:style w:type="character" w:styleId="804">
    <w:name w:val="Hyperlink"/>
    <w:basedOn w:val="772"/>
    <w:uiPriority w:val="99"/>
    <w:unhideWhenUsed/>
    <w:qFormat/>
    <w:rPr>
      <w:color w:val="0563c1" w:themeColor="hyperlink"/>
      <w:u w:val="single"/>
      <w14:textFill>
        <w14:solidFill>
          <w14:schemeClr w14:val="hlink"/>
        </w14:solidFill>
      </w14:textFill>
    </w:rPr>
  </w:style>
  <w:style w:type="character" w:styleId="805">
    <w:name w:val="annotation reference"/>
    <w:uiPriority w:val="0"/>
    <w:unhideWhenUsed/>
    <w:qFormat/>
    <w:rPr>
      <w:sz w:val="21"/>
      <w:szCs w:val="21"/>
    </w:rPr>
  </w:style>
  <w:style w:type="character" w:styleId="806">
    <w:name w:val="footnote reference"/>
    <w:basedOn w:val="772"/>
    <w:uiPriority w:val="99"/>
    <w:unhideWhenUsed/>
    <w:qFormat/>
    <w:rPr>
      <w:vertAlign w:val="superscript"/>
    </w:rPr>
  </w:style>
  <w:style w:type="character" w:styleId="807" w:customStyle="1">
    <w:name w:val="Footnote Text Char"/>
    <w:uiPriority w:val="99"/>
    <w:rPr>
      <w:sz w:val="18"/>
    </w:rPr>
  </w:style>
  <w:style w:type="character" w:styleId="808" w:customStyle="1">
    <w:name w:val="Endnote Text Char"/>
    <w:uiPriority w:val="99"/>
    <w:qFormat/>
    <w:rPr>
      <w:sz w:val="20"/>
    </w:rPr>
  </w:style>
  <w:style w:type="paragraph" w:styleId="809" w:customStyle="1">
    <w:name w:val="TOC Heading"/>
    <w:uiPriority w:val="39"/>
    <w:unhideWhenUsed/>
    <w:rPr>
      <w:rFonts w:hint="default" w:ascii="Times New Roman" w:hAnsi="Times New Roman" w:eastAsia="宋体" w:cs="Times New Roman"/>
    </w:rPr>
  </w:style>
  <w:style w:type="character" w:styleId="810" w:customStyle="1">
    <w:name w:val="Heading 1 Char"/>
    <w:basedOn w:val="772"/>
    <w:uiPriority w:val="9"/>
    <w:qFormat/>
    <w:rPr>
      <w:rFonts w:ascii="Arial" w:hAnsi="Arial" w:eastAsia="Arial" w:cs="Arial"/>
      <w:sz w:val="40"/>
      <w:szCs w:val="40"/>
    </w:rPr>
  </w:style>
  <w:style w:type="character" w:styleId="811" w:customStyle="1">
    <w:name w:val="Heading 2 Char"/>
    <w:basedOn w:val="772"/>
    <w:uiPriority w:val="9"/>
    <w:qFormat/>
    <w:rPr>
      <w:rFonts w:ascii="Arial" w:hAnsi="Arial" w:eastAsia="Arial" w:cs="Arial"/>
      <w:sz w:val="34"/>
    </w:rPr>
  </w:style>
  <w:style w:type="character" w:styleId="812" w:customStyle="1">
    <w:name w:val="Heading 3 Char"/>
    <w:basedOn w:val="772"/>
    <w:uiPriority w:val="9"/>
    <w:qFormat/>
    <w:rPr>
      <w:rFonts w:ascii="Arial" w:hAnsi="Arial" w:eastAsia="Arial" w:cs="Arial"/>
      <w:sz w:val="30"/>
      <w:szCs w:val="30"/>
    </w:rPr>
  </w:style>
  <w:style w:type="character" w:styleId="813" w:customStyle="1">
    <w:name w:val="Heading 4 Char"/>
    <w:basedOn w:val="772"/>
    <w:uiPriority w:val="9"/>
    <w:qFormat/>
    <w:rPr>
      <w:rFonts w:ascii="Arial" w:hAnsi="Arial" w:eastAsia="Arial" w:cs="Arial"/>
      <w:b/>
      <w:bCs/>
      <w:sz w:val="26"/>
      <w:szCs w:val="26"/>
    </w:rPr>
  </w:style>
  <w:style w:type="character" w:styleId="814" w:customStyle="1">
    <w:name w:val="Heading 5 Char"/>
    <w:basedOn w:val="772"/>
    <w:uiPriority w:val="9"/>
    <w:qFormat/>
    <w:rPr>
      <w:rFonts w:ascii="Arial" w:hAnsi="Arial" w:eastAsia="Arial" w:cs="Arial"/>
      <w:b/>
      <w:bCs/>
      <w:sz w:val="24"/>
      <w:szCs w:val="24"/>
    </w:rPr>
  </w:style>
  <w:style w:type="character" w:styleId="815" w:customStyle="1">
    <w:name w:val="Heading 6 Char"/>
    <w:basedOn w:val="772"/>
    <w:uiPriority w:val="9"/>
    <w:qFormat/>
    <w:rPr>
      <w:rFonts w:ascii="Arial" w:hAnsi="Arial" w:eastAsia="Arial" w:cs="Arial"/>
      <w:b/>
      <w:bCs/>
      <w:sz w:val="22"/>
      <w:szCs w:val="22"/>
    </w:rPr>
  </w:style>
  <w:style w:type="character" w:styleId="816" w:customStyle="1">
    <w:name w:val="Heading 7 Char"/>
    <w:basedOn w:val="772"/>
    <w:uiPriority w:val="9"/>
    <w:qFormat/>
    <w:rPr>
      <w:rFonts w:ascii="Arial" w:hAnsi="Arial" w:eastAsia="Arial" w:cs="Arial"/>
      <w:b/>
      <w:bCs/>
      <w:i/>
      <w:iCs/>
      <w:sz w:val="22"/>
      <w:szCs w:val="22"/>
    </w:rPr>
  </w:style>
  <w:style w:type="character" w:styleId="817" w:customStyle="1">
    <w:name w:val="Heading 8 Char"/>
    <w:basedOn w:val="772"/>
    <w:uiPriority w:val="9"/>
    <w:qFormat/>
    <w:rPr>
      <w:rFonts w:ascii="Arial" w:hAnsi="Arial" w:eastAsia="Arial" w:cs="Arial"/>
      <w:i/>
      <w:iCs/>
      <w:sz w:val="22"/>
      <w:szCs w:val="22"/>
    </w:rPr>
  </w:style>
  <w:style w:type="character" w:styleId="818" w:customStyle="1">
    <w:name w:val="Heading 9 Char"/>
    <w:basedOn w:val="772"/>
    <w:uiPriority w:val="9"/>
    <w:qFormat/>
    <w:rPr>
      <w:rFonts w:ascii="Arial" w:hAnsi="Arial" w:eastAsia="Arial" w:cs="Arial"/>
      <w:i/>
      <w:iCs/>
      <w:sz w:val="21"/>
      <w:szCs w:val="21"/>
    </w:rPr>
  </w:style>
  <w:style w:type="paragraph" w:styleId="819">
    <w:name w:val="No Spacing"/>
    <w:uiPriority w:val="1"/>
    <w:qFormat/>
    <w:rPr>
      <w:rFonts w:hint="default" w:asciiTheme="minorHAnsi" w:hAnsiTheme="minorHAnsi" w:eastAsiaTheme="minorEastAsia" w:cstheme="minorBidi"/>
      <w:sz w:val="21"/>
      <w:szCs w:val="22"/>
      <w:lang w:val="en-US" w:eastAsia="zh-CN" w:bidi="ar-SA"/>
    </w:rPr>
  </w:style>
  <w:style w:type="character" w:styleId="820" w:customStyle="1">
    <w:name w:val="Title Char"/>
    <w:basedOn w:val="772"/>
    <w:uiPriority w:val="10"/>
    <w:qFormat/>
    <w:rPr>
      <w:sz w:val="48"/>
      <w:szCs w:val="48"/>
    </w:rPr>
  </w:style>
  <w:style w:type="character" w:styleId="821" w:customStyle="1">
    <w:name w:val="Subtitle Char"/>
    <w:basedOn w:val="772"/>
    <w:uiPriority w:val="11"/>
    <w:qFormat/>
    <w:rPr>
      <w:sz w:val="24"/>
      <w:szCs w:val="24"/>
    </w:rPr>
  </w:style>
  <w:style w:type="character" w:styleId="822" w:customStyle="1">
    <w:name w:val="Quote Char"/>
    <w:uiPriority w:val="29"/>
    <w:qFormat/>
    <w:rPr>
      <w:i/>
    </w:rPr>
  </w:style>
  <w:style w:type="character" w:styleId="823" w:customStyle="1">
    <w:name w:val="Intense Quote Char"/>
    <w:uiPriority w:val="30"/>
    <w:qFormat/>
    <w:rPr>
      <w:i/>
    </w:rPr>
  </w:style>
  <w:style w:type="character" w:styleId="824" w:customStyle="1">
    <w:name w:val="Header Char"/>
    <w:basedOn w:val="772"/>
    <w:uiPriority w:val="99"/>
    <w:qFormat/>
  </w:style>
  <w:style w:type="character" w:styleId="825" w:customStyle="1">
    <w:name w:val="Footer Char"/>
    <w:basedOn w:val="772"/>
    <w:uiPriority w:val="99"/>
    <w:qFormat/>
  </w:style>
  <w:style w:type="character" w:styleId="826" w:customStyle="1">
    <w:name w:val="Caption Char"/>
    <w:uiPriority w:val="99"/>
    <w:qFormat/>
  </w:style>
  <w:style w:type="table" w:styleId="827" w:customStyle="1">
    <w:name w:val="Table Grid Light"/>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7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7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7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7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7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Grid Table 3"/>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7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7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7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7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6" w:customStyle="1">
    <w:name w:val="Grid Table 4 - Accent 2"/>
    <w:basedOn w:val="77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7" w:customStyle="1">
    <w:name w:val="Grid Table 4 - Accent 3"/>
    <w:basedOn w:val="77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8" w:customStyle="1">
    <w:name w:val="Grid Table 4 - Accent 4"/>
    <w:basedOn w:val="77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9" w:customStyle="1">
    <w:name w:val="Grid Table 4 - Accent 5"/>
    <w:basedOn w:val="77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0" w:customStyle="1">
    <w:name w:val="Grid Table 4 - Accent 6"/>
    <w:basedOn w:val="77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1" w:customStyle="1">
    <w:name w:val="Grid Table 5 Dark"/>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3" w:customStyle="1">
    <w:name w:val="Grid Table 5 Dark - Accent 2"/>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4" w:customStyle="1">
    <w:name w:val="Grid Table 5 Dark - Accent 3"/>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5" w:customStyle="1">
    <w:name w:val="Grid Table 5 Dark- Accent 4"/>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6" w:customStyle="1">
    <w:name w:val="Grid Table 5 Dark - Accent 5"/>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7" w:customStyle="1">
    <w:name w:val="Grid Table 5 Dark - Accent 6"/>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8" w:customStyle="1">
    <w:name w:val="Grid Table 6 Colorful"/>
    <w:basedOn w:val="7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basedOn w:val="77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7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2" w:customStyle="1">
    <w:name w:val="Grid Table 6 Colorful - Accent 4"/>
    <w:basedOn w:val="7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7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4" w:customStyle="1">
    <w:name w:val="Grid Table 6 Colorful - Accent 6"/>
    <w:basedOn w:val="77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5" w:customStyle="1">
    <w:name w:val="Grid Table 7 Colorful"/>
    <w:basedOn w:val="7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7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7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7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7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7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7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basedOn w:val="77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7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7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7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7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7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7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9" w:customStyle="1">
    <w:name w:val="List Table 2"/>
    <w:basedOn w:val="7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7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1" w:customStyle="1">
    <w:name w:val="List Table 2 - Accent 2"/>
    <w:basedOn w:val="77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2" w:customStyle="1">
    <w:name w:val="List Table 2 - Accent 3"/>
    <w:basedOn w:val="77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3" w:customStyle="1">
    <w:name w:val="List Table 2 - Accent 4"/>
    <w:basedOn w:val="77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4" w:customStyle="1">
    <w:name w:val="List Table 2 - Accent 5"/>
    <w:basedOn w:val="77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5" w:customStyle="1">
    <w:name w:val="List Table 2 - Accent 6"/>
    <w:basedOn w:val="77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6" w:customStyle="1">
    <w:name w:val="List Table 3"/>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7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8" w:customStyle="1">
    <w:name w:val="List Table 3 - Accent 2"/>
    <w:basedOn w:val="7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7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7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7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3" w:customStyle="1">
    <w:name w:val="List Table 4"/>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7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5" w:customStyle="1">
    <w:name w:val="List Table 4 - Accent 2"/>
    <w:basedOn w:val="77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6" w:customStyle="1">
    <w:name w:val="List Table 4 - Accent 3"/>
    <w:basedOn w:val="77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7" w:customStyle="1">
    <w:name w:val="List Table 4 - Accent 4"/>
    <w:basedOn w:val="77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8" w:customStyle="1">
    <w:name w:val="List Table 4 - Accent 5"/>
    <w:basedOn w:val="77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9" w:customStyle="1">
    <w:name w:val="List Table 4 - Accent 6"/>
    <w:basedOn w:val="77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0" w:customStyle="1">
    <w:name w:val="List Table 5 Dark"/>
    <w:basedOn w:val="7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basedOn w:val="77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7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7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7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7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7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77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basedOn w:val="77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9" w:customStyle="1">
    <w:name w:val="List Table 6 Colorful - Accent 2"/>
    <w:basedOn w:val="77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0" w:customStyle="1">
    <w:name w:val="List Table 6 Colorful - Accent 3"/>
    <w:basedOn w:val="77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1" w:customStyle="1">
    <w:name w:val="List Table 6 Colorful - Accent 4"/>
    <w:basedOn w:val="77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2" w:customStyle="1">
    <w:name w:val="List Table 6 Colorful - Accent 5"/>
    <w:basedOn w:val="77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23" w:customStyle="1">
    <w:name w:val="List Table 6 Colorful - Accent 6"/>
    <w:basedOn w:val="77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4" w:customStyle="1">
    <w:name w:val="List Table 7 Colorful"/>
    <w:basedOn w:val="77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7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7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7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7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7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7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3" w:customStyle="1">
    <w:name w:val="Lined - Accent 2"/>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Lined - Accent 3"/>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Lined - Accent 4"/>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Lined - Accent 5"/>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7" w:customStyle="1">
    <w:name w:val="Lined - Accent 6"/>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amp; Lined - Accent"/>
    <w:basedOn w:val="7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7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0" w:customStyle="1">
    <w:name w:val="Bordered &amp; Lined - Accent 2"/>
    <w:basedOn w:val="77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1" w:customStyle="1">
    <w:name w:val="Bordered &amp; Lined - Accent 3"/>
    <w:basedOn w:val="77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2" w:customStyle="1">
    <w:name w:val="Bordered &amp; Lined - Accent 4"/>
    <w:basedOn w:val="77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3" w:customStyle="1">
    <w:name w:val="Bordered &amp; Lined - Accent 5"/>
    <w:basedOn w:val="77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4" w:customStyle="1">
    <w:name w:val="Bordered &amp; Lined - Accent 6"/>
    <w:basedOn w:val="77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5" w:customStyle="1">
    <w:name w:val="Bordered"/>
    <w:basedOn w:val="7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7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7" w:customStyle="1">
    <w:name w:val="Bordered - Accent 2"/>
    <w:basedOn w:val="7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8" w:customStyle="1">
    <w:name w:val="Bordered - Accent 3"/>
    <w:basedOn w:val="7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9" w:customStyle="1">
    <w:name w:val="Bordered - Accent 4"/>
    <w:basedOn w:val="7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0" w:customStyle="1">
    <w:name w:val="Bordered - Accent 5"/>
    <w:basedOn w:val="77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1" w:customStyle="1">
    <w:name w:val="Bordered - Accent 6"/>
    <w:basedOn w:val="7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2" w:customStyle="1">
    <w:name w:val="脚注文本 Char"/>
    <w:link w:val="793"/>
    <w:uiPriority w:val="99"/>
    <w:qFormat/>
    <w:rPr>
      <w:sz w:val="18"/>
    </w:rPr>
  </w:style>
  <w:style w:type="character" w:styleId="953" w:customStyle="1">
    <w:name w:val="尾注文本 Char"/>
    <w:link w:val="786"/>
    <w:uiPriority w:val="99"/>
    <w:qFormat/>
    <w:rPr>
      <w:sz w:val="20"/>
    </w:rPr>
  </w:style>
  <w:style w:type="character" w:styleId="954" w:customStyle="1">
    <w:name w:val="标题 1 Char"/>
    <w:basedOn w:val="772"/>
    <w:link w:val="763"/>
    <w:uiPriority w:val="9"/>
    <w:qFormat/>
    <w:rPr>
      <w:rFonts w:asciiTheme="majorHAnsi" w:hAnsiTheme="majorHAnsi" w:eastAsiaTheme="majorEastAsia" w:cstheme="majorBidi"/>
      <w:color w:val="2f5597" w:themeColor="accent1" w:themeShade="BF"/>
      <w:sz w:val="48"/>
      <w:szCs w:val="48"/>
    </w:rPr>
  </w:style>
  <w:style w:type="character" w:styleId="955" w:customStyle="1">
    <w:name w:val="标题 2 字符"/>
    <w:basedOn w:val="772"/>
    <w:link w:val="764"/>
    <w:uiPriority w:val="0"/>
    <w:qFormat/>
    <w:rPr>
      <w:rFonts w:asciiTheme="majorHAnsi" w:hAnsiTheme="majorHAnsi" w:eastAsiaTheme="majorEastAsia" w:cstheme="majorBidi"/>
      <w:color w:val="2f5597" w:themeColor="accent1" w:themeShade="BF"/>
      <w:sz w:val="40"/>
      <w:szCs w:val="40"/>
    </w:rPr>
  </w:style>
  <w:style w:type="character" w:styleId="956" w:customStyle="1">
    <w:name w:val="标题 3 字符"/>
    <w:basedOn w:val="772"/>
    <w:link w:val="765"/>
    <w:uiPriority w:val="9"/>
    <w:semiHidden/>
    <w:qFormat/>
    <w:rPr>
      <w:rFonts w:asciiTheme="majorHAnsi" w:hAnsiTheme="majorHAnsi" w:eastAsiaTheme="majorEastAsia" w:cstheme="majorBidi"/>
      <w:color w:val="2f5597" w:themeColor="accent1" w:themeShade="BF"/>
      <w:sz w:val="32"/>
      <w:szCs w:val="32"/>
    </w:rPr>
  </w:style>
  <w:style w:type="character" w:styleId="957" w:customStyle="1">
    <w:name w:val="标题 4 Char"/>
    <w:basedOn w:val="772"/>
    <w:link w:val="766"/>
    <w:uiPriority w:val="9"/>
    <w:semiHidden/>
    <w:qFormat/>
    <w:rPr>
      <w:rFonts w:cstheme="majorBidi"/>
      <w:color w:val="2f5597" w:themeColor="accent1" w:themeShade="BF"/>
      <w:sz w:val="28"/>
      <w:szCs w:val="28"/>
    </w:rPr>
  </w:style>
  <w:style w:type="character" w:styleId="958" w:customStyle="1">
    <w:name w:val="标题 5 Char"/>
    <w:basedOn w:val="772"/>
    <w:link w:val="767"/>
    <w:uiPriority w:val="9"/>
    <w:semiHidden/>
    <w:qFormat/>
    <w:rPr>
      <w:rFonts w:cstheme="majorBidi"/>
      <w:color w:val="2f5597" w:themeColor="accent1" w:themeShade="BF"/>
      <w:sz w:val="24"/>
      <w:szCs w:val="24"/>
    </w:rPr>
  </w:style>
  <w:style w:type="character" w:styleId="959" w:customStyle="1">
    <w:name w:val="标题 6 字符"/>
    <w:basedOn w:val="772"/>
    <w:link w:val="768"/>
    <w:uiPriority w:val="9"/>
    <w:semiHidden/>
    <w:qFormat/>
    <w:rPr>
      <w:rFonts w:cstheme="majorBidi"/>
      <w:b/>
      <w:bCs/>
      <w:color w:val="2f5597" w:themeColor="accent1" w:themeShade="BF"/>
    </w:rPr>
  </w:style>
  <w:style w:type="character" w:styleId="960" w:customStyle="1">
    <w:name w:val="标题 7 Char"/>
    <w:basedOn w:val="772"/>
    <w:link w:val="769"/>
    <w:uiPriority w:val="9"/>
    <w:semiHidden/>
    <w:qFormat/>
    <w:rPr>
      <w:rFonts w:cstheme="majorBidi"/>
      <w:b/>
      <w:bCs/>
      <w:color w:val="595959" w:themeColor="text1" w:themeTint="A6"/>
      <w14:textFill>
        <w14:solidFill>
          <w14:schemeClr w14:val="tx1">
            <w14:lumMod w14:val="65000"/>
            <w14:lumOff w14:val="35000"/>
          </w14:schemeClr>
        </w14:solidFill>
      </w14:textFill>
    </w:rPr>
  </w:style>
  <w:style w:type="character" w:styleId="961" w:customStyle="1">
    <w:name w:val="标题 8 Char"/>
    <w:basedOn w:val="772"/>
    <w:link w:val="770"/>
    <w:uiPriority w:val="9"/>
    <w:semiHidden/>
    <w:qFormat/>
    <w:rPr>
      <w:rFonts w:cstheme="majorBidi"/>
      <w:color w:val="595959" w:themeColor="text1" w:themeTint="A6"/>
      <w14:textFill>
        <w14:solidFill>
          <w14:schemeClr w14:val="tx1">
            <w14:lumMod w14:val="65000"/>
            <w14:lumOff w14:val="35000"/>
          </w14:schemeClr>
        </w14:solidFill>
      </w14:textFill>
    </w:rPr>
  </w:style>
  <w:style w:type="character" w:styleId="962" w:customStyle="1">
    <w:name w:val="标题 9 Char"/>
    <w:basedOn w:val="772"/>
    <w:link w:val="771"/>
    <w:uiPriority w:val="9"/>
    <w:semiHidden/>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963" w:customStyle="1">
    <w:name w:val="标题 Char"/>
    <w:basedOn w:val="772"/>
    <w:link w:val="799"/>
    <w:uiPriority w:val="10"/>
    <w:qFormat/>
    <w:rPr>
      <w:rFonts w:asciiTheme="majorHAnsi" w:hAnsiTheme="majorHAnsi" w:eastAsiaTheme="majorEastAsia" w:cstheme="majorBidi"/>
      <w:spacing w:val="-10"/>
      <w:sz w:val="56"/>
      <w:szCs w:val="56"/>
    </w:rPr>
  </w:style>
  <w:style w:type="character" w:styleId="964" w:customStyle="1">
    <w:name w:val="副标题 Char"/>
    <w:basedOn w:val="772"/>
    <w:link w:val="792"/>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965">
    <w:name w:val="Quote"/>
    <w:basedOn w:val="762"/>
    <w:next w:val="762"/>
    <w:link w:val="966"/>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966" w:customStyle="1">
    <w:name w:val="引用 Char"/>
    <w:basedOn w:val="772"/>
    <w:link w:val="965"/>
    <w:uiPriority w:val="29"/>
    <w:qFormat/>
    <w:rPr>
      <w:i/>
      <w:iCs/>
      <w:color w:val="404040" w:themeColor="text1" w:themeTint="BF"/>
      <w14:textFill>
        <w14:solidFill>
          <w14:schemeClr w14:val="tx1">
            <w14:lumMod w14:val="75000"/>
            <w14:lumOff w14:val="25000"/>
          </w14:schemeClr>
        </w14:solidFill>
      </w14:textFill>
    </w:rPr>
  </w:style>
  <w:style w:type="paragraph" w:styleId="967">
    <w:name w:val="List Paragraph"/>
    <w:basedOn w:val="762"/>
    <w:uiPriority w:val="34"/>
    <w:qFormat/>
    <w:pPr>
      <w:contextualSpacing/>
      <w:ind w:left="720"/>
    </w:pPr>
  </w:style>
  <w:style w:type="character" w:styleId="968" w:customStyle="1">
    <w:name w:val="明显强调1"/>
    <w:basedOn w:val="772"/>
    <w:uiPriority w:val="21"/>
    <w:qFormat/>
    <w:rPr>
      <w:i/>
      <w:iCs/>
      <w:color w:val="2f5597" w:themeColor="accent1" w:themeShade="BF"/>
    </w:rPr>
  </w:style>
  <w:style w:type="paragraph" w:styleId="969">
    <w:name w:val="Intense Quote"/>
    <w:basedOn w:val="762"/>
    <w:next w:val="762"/>
    <w:link w:val="970"/>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970" w:customStyle="1">
    <w:name w:val="明显引用 Char"/>
    <w:basedOn w:val="772"/>
    <w:link w:val="969"/>
    <w:uiPriority w:val="30"/>
    <w:qFormat/>
    <w:rPr>
      <w:i/>
      <w:iCs/>
      <w:color w:val="2f5597" w:themeColor="accent1" w:themeShade="BF"/>
    </w:rPr>
  </w:style>
  <w:style w:type="character" w:styleId="971" w:customStyle="1">
    <w:name w:val="明显参考1"/>
    <w:basedOn w:val="772"/>
    <w:uiPriority w:val="32"/>
    <w:qFormat/>
    <w:rPr>
      <w:b/>
      <w:bCs/>
      <w:smallCaps/>
      <w:color w:val="2f5597" w:themeColor="accent1" w:themeShade="BF"/>
      <w:spacing w:val="5"/>
    </w:rPr>
  </w:style>
  <w:style w:type="character" w:styleId="972" w:customStyle="1">
    <w:name w:val="页眉 Char"/>
    <w:basedOn w:val="772"/>
    <w:link w:val="789"/>
    <w:uiPriority w:val="99"/>
    <w:qFormat/>
    <w:rPr>
      <w:sz w:val="18"/>
      <w:szCs w:val="18"/>
    </w:rPr>
  </w:style>
  <w:style w:type="character" w:styleId="973" w:customStyle="1">
    <w:name w:val="页脚 Char"/>
    <w:basedOn w:val="772"/>
    <w:link w:val="779"/>
    <w:uiPriority w:val="99"/>
    <w:qFormat/>
    <w:rPr>
      <w:sz w:val="18"/>
      <w:szCs w:val="18"/>
    </w:rPr>
  </w:style>
  <w:style w:type="paragraph" w:styleId="974" w:customStyle="1">
    <w:name w:val="普通正文"/>
    <w:basedOn w:val="762"/>
    <w:uiPriority w:val="0"/>
    <w:qFormat/>
    <w:pPr>
      <w:ind w:firstLine="360"/>
      <w:jc w:val="left"/>
      <w:spacing w:before="120" w:after="120" w:line="360" w:lineRule="auto"/>
    </w:pPr>
    <w:rPr>
      <w:rFonts w:ascii="宋体" w:hAnsi="宋体" w:eastAsia="宋体" w:cs="宋体"/>
      <w:sz w:val="24"/>
      <w:szCs w:val="24"/>
    </w:rPr>
  </w:style>
  <w:style w:type="paragraph" w:styleId="975" w:customStyle="1">
    <w:name w:val="Default"/>
    <w:basedOn w:val="762"/>
    <w:uiPriority w:val="0"/>
    <w:semiHidden/>
    <w:qFormat/>
    <w:pPr>
      <w:jc w:val="left"/>
    </w:pPr>
    <w:rPr>
      <w:rFonts w:ascii="宋体" w:hAnsi="Calibri" w:cs="宋体"/>
      <w:color w:val="000000"/>
      <w:sz w:val="24"/>
      <w:szCs w:val="24"/>
    </w:rPr>
  </w:style>
  <w:style w:type="paragraph" w:styleId="976" w:customStyle="1">
    <w:name w:val="TOC 标题1"/>
    <w:basedOn w:val="763"/>
    <w:next w:val="762"/>
    <w:uiPriority w:val="39"/>
    <w:unhideWhenUsed/>
    <w:qFormat/>
    <w:pPr>
      <w:jc w:val="left"/>
      <w:spacing w:before="240" w:after="0" w:line="259" w:lineRule="auto"/>
      <w:widowControl/>
      <w:outlineLvl w:val="9"/>
    </w:pPr>
    <w:rPr>
      <w:sz w:val="32"/>
      <w:szCs w:val="32"/>
    </w:rPr>
  </w:style>
  <w:style w:type="paragraph" w:styleId="977" w:customStyle="1">
    <w:name w:val="Table Paragraph"/>
    <w:basedOn w:val="762"/>
    <w:uiPriority w:val="1"/>
    <w:qFormat/>
    <w:rPr>
      <w:rFonts w:ascii="宋体" w:hAnsi="宋体" w:eastAsia="宋体" w:cs="宋体"/>
      <w:lang w:val="zh-CN" w:bidi="zh-CN"/>
    </w:rPr>
  </w:style>
  <w:style w:type="paragraph" w:styleId="978" w:customStyle="1">
    <w:name w:val="Char"/>
    <w:basedOn w:val="762"/>
    <w:uiPriority w:val="0"/>
    <w:qFormat/>
    <w:pPr>
      <w:tabs>
        <w:tab w:val="left" w:pos="360" w:leader="none"/>
      </w:tabs>
    </w:pPr>
    <w:rPr>
      <w:sz w:val="24"/>
    </w:rPr>
  </w:style>
  <w:style w:type="paragraph" w:styleId="979" w:customStyle="1">
    <w:name w:val="标题 31"/>
    <w:basedOn w:val="762"/>
    <w:next w:val="762"/>
    <w:uiPriority w:val="0"/>
    <w:qFormat/>
    <w:pPr>
      <w:jc w:val="left"/>
      <w:spacing w:before="100" w:beforeAutospacing="1" w:after="100" w:afterAutospacing="1"/>
      <w:widowControl/>
      <w:outlineLvl w:val="2"/>
    </w:pPr>
    <w:rPr>
      <w:rFonts w:ascii="_x000B__x000C_" w:hAnsi="_x000B__x000C_"/>
      <w:b/>
      <w:color w:val="999999"/>
      <w:sz w:val="19"/>
      <w:szCs w:val="20"/>
    </w:rPr>
  </w:style>
  <w:style w:type="paragraph" w:styleId="980" w:customStyle="1">
    <w:name w:val="表格标题"/>
    <w:next w:val="762"/>
    <w:uiPriority w:val="0"/>
    <w:qFormat/>
    <w:pPr>
      <w:jc w:val="center"/>
      <w:spacing w:line="560" w:lineRule="exact"/>
    </w:pPr>
    <w:rPr>
      <w:rFonts w:hint="default" w:ascii="Times New Roman" w:hAnsi="Times New Roman" w:eastAsia="仿宋_GB2312" w:cs="仿宋_GB2312"/>
      <w:spacing w:val="-6"/>
      <w:sz w:val="32"/>
      <w:szCs w:val="32"/>
      <w:lang w:val="en-US" w:eastAsia="zh-CN" w:bidi="ar-SA"/>
    </w:rPr>
  </w:style>
  <w:style w:type="paragraph" w:styleId="981" w:customStyle="1">
    <w:name w:val="Table Text"/>
    <w:basedOn w:val="762"/>
    <w:uiPriority w:val="0"/>
    <w:semiHidden/>
    <w:qFormat/>
    <w:rPr>
      <w:rFonts w:ascii="宋体" w:hAnsi="宋体" w:eastAsia="宋体" w:cs="宋体"/>
      <w:sz w:val="28"/>
      <w:szCs w:val="28"/>
    </w:rPr>
  </w:style>
  <w:style w:type="table" w:styleId="982" w:customStyle="1">
    <w:name w:val="Table Normal"/>
    <w:uiPriority w:val="0"/>
    <w:semiHidden/>
    <w:unhideWhenUsed/>
    <w:qFormat/>
    <w:tblPr>
      <w:tblCellMar>
        <w:left w:w="0" w:type="dxa"/>
        <w:top w:w="0" w:type="dxa"/>
        <w:right w:w="0" w:type="dxa"/>
        <w:bottom w:w="0" w:type="dxa"/>
      </w:tblCellMar>
    </w:tblPr>
  </w:style>
  <w:style w:type="character" w:styleId="983" w:customStyle="1">
    <w:name w:val="标题 2 Char"/>
    <w:link w:val="764"/>
    <w:uiPriority w:val="0"/>
    <w:qFormat/>
    <w:rPr>
      <w:rFonts w:ascii="Times New Roman" w:hAnsi="Times New Roman" w:eastAsia="楷体_GB2312" w:cs="楷体_GB2312"/>
      <w:sz w:val="32"/>
      <w:szCs w:val="32"/>
    </w:rPr>
  </w:style>
  <w:style w:type="table" w:styleId="984"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character" w:styleId="985" w:customStyle="1">
    <w:name w:val="标题 6 Char"/>
    <w:link w:val="768"/>
    <w:uiPriority w:val="0"/>
    <w:qFormat/>
    <w:rPr>
      <w:rFonts w:ascii="Times New Roman" w:hAnsi="Times New Roman" w:eastAsia="仿宋_GB2312" w:cs="仿宋_GB2312"/>
      <w:sz w:val="32"/>
      <w:szCs w:val="32"/>
    </w:rPr>
  </w:style>
  <w:style w:type="character" w:styleId="986" w:customStyle="1">
    <w:name w:val="标题 3 Char"/>
    <w:link w:val="765"/>
    <w:uiPriority w:val="0"/>
    <w:qFormat/>
    <w:rPr>
      <w:rFonts w:ascii="Times New Roman" w:hAnsi="Times New Roman" w:eastAsia="仿宋_GB2312" w:cs="仿宋_GB2312"/>
      <w:sz w:val="32"/>
      <w:szCs w:val="32"/>
    </w:rPr>
  </w:style>
  <w:style w:type="paragraph" w:styleId="987" w:customStyle="1">
    <w:name w:val="表格"/>
    <w:basedOn w:val="762"/>
    <w:uiPriority w:val="0"/>
    <w:qFormat/>
    <w:pPr>
      <w:jc w:val="center"/>
    </w:pPr>
    <w:rPr>
      <w:rFonts w:ascii="Times New Roman" w:hAnsi="Times New Roman" w:eastAsia="楷体_GB2312" w:cs="Calibri"/>
      <w:spacing w:val="8"/>
      <w:szCs w:val="21"/>
    </w:rPr>
  </w:style>
  <w:style w:type="paragraph" w:styleId="988" w:customStyle="1">
    <w:name w:val="纯文本1"/>
    <w:basedOn w:val="762"/>
    <w:uiPriority w:val="0"/>
    <w:qFormat/>
    <w:rPr>
      <w:rFonts w:ascii="宋体" w:hAnsi="Courier New" w:eastAsia="楷体_GB2312"/>
      <w:sz w:val="28"/>
      <w:szCs w:val="20"/>
    </w:rPr>
  </w:style>
  <w:style w:type="paragraph" w:styleId="989" w:customStyle="1">
    <w:name w:val="普通(网站)1"/>
    <w:basedOn w:val="762"/>
    <w:uiPriority w:val="0"/>
    <w:qFormat/>
    <w:pPr>
      <w:jc w:val="left"/>
      <w:spacing w:beforeAutospacing="1" w:afterAutospacing="1"/>
    </w:pPr>
    <w:rPr>
      <w:rFonts w:cs="Times New Roman"/>
      <w:sz w:val="24"/>
    </w:rPr>
  </w:style>
  <w:style w:type="character" w:styleId="990" w:customStyle="1">
    <w:name w:val="批注框文本 Char"/>
    <w:basedOn w:val="772"/>
    <w:link w:val="787"/>
    <w:uiPriority w:val="99"/>
    <w:semiHidden/>
    <w:qFormat/>
    <w:rPr>
      <w:rFonts w:asciiTheme="minorHAnsi" w:hAnsiTheme="minorHAnsi" w:eastAsiaTheme="minorEastAsia" w:cstheme="minorBidi"/>
      <w:sz w:val="18"/>
      <w:szCs w:val="18"/>
    </w:rPr>
  </w:style>
  <w:style w:type="numbering" w:styleId="184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B0A4788-646D-4B70-B131-A78063D0608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江苏汉唐国际贸易集团有限公司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孙桂林</dc:creator>
  <cp:lastModifiedBy>汪青云</cp:lastModifiedBy>
  <cp:revision>6</cp:revision>
  <dcterms:created xsi:type="dcterms:W3CDTF">2026-09-07T01:31:00Z</dcterms:created>
  <dcterms:modified xsi:type="dcterms:W3CDTF">2026-09-21T10:12:56Z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eyJoZGlkIjoiYTcyMDk0ZWExNjNhM2NjZGY4MTgwZTE5YmQzNzVhMzAiLCJ1c2VySWQiOiIzNjMzNTM2NDAifQ==</vt:lpwstr>
  </property>
  <property fmtid="{D5CDD505-2E9C-101B-9397-08002B2CF9AE}" pid="3" name="KSOProductBuildVer">
    <vt:lpwstr>2052-11.1.0.14309</vt:lpwstr>
  </property>
  <property fmtid="{D5CDD505-2E9C-101B-9397-08002B2CF9AE}" pid="4" name="ICV">
    <vt:lpwstr>DEDB6695D4FA499C85B3D83BC7C20304_13</vt:lpwstr>
  </property>
</Properties>
</file>