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7022" w:leader="none"/>
        </w:tabs>
        <w:rPr>
          <w:rFonts w:ascii="宋体" w:hAnsi="宋体" w:cs="宋体"/>
          <w:bCs/>
          <w:spacing w:val="20"/>
          <w:sz w:val="72"/>
          <w:szCs w:val="72"/>
          <w:highlight w:val="none"/>
        </w:rPr>
      </w:pPr>
      <w:r>
        <w:rPr>
          <w:rFonts w:hint="eastAsia" w:ascii="宋体" w:hAnsi="宋体" w:cs="宋体"/>
          <w:bCs/>
          <w:spacing w:val="20"/>
          <w:sz w:val="72"/>
          <w:szCs w:val="72"/>
          <w:highlight w:val="none"/>
        </w:rPr>
        <w:tab/>
      </w:r>
      <w:r/>
    </w:p>
    <w:p>
      <w:pPr>
        <w:jc w:val="center"/>
        <w:rPr>
          <w:rFonts w:ascii="宋体" w:hAnsi="宋体" w:cs="宋体"/>
          <w:bCs/>
          <w:spacing w:val="20"/>
          <w:sz w:val="72"/>
          <w:szCs w:val="72"/>
          <w:highlight w:val="none"/>
        </w:rPr>
      </w:pPr>
      <w:r>
        <w:rPr>
          <w:rFonts w:hint="eastAsia" w:ascii="宋体" w:hAnsi="宋体" w:cs="宋体"/>
          <w:bCs/>
          <w:spacing w:val="20"/>
          <w:sz w:val="72"/>
          <w:szCs w:val="72"/>
          <w:highlight w:val="none"/>
        </w:rPr>
        <w:t xml:space="preserve">无锡市政府采购</w:t>
      </w:r>
      <w:r/>
    </w:p>
    <w:p>
      <w:pPr>
        <w:rPr>
          <w:rFonts w:ascii="宋体" w:hAnsi="宋体" w:cs="宋体"/>
          <w:bCs/>
          <w:sz w:val="30"/>
          <w:highlight w:val="none"/>
        </w:rPr>
      </w:pPr>
      <w:r>
        <w:rPr>
          <w:rFonts w:ascii="宋体" w:hAnsi="宋体" w:cs="宋体"/>
          <w:bCs/>
          <w:sz w:val="30"/>
          <w:highlight w:val="none"/>
        </w:rPr>
      </w:r>
      <w:r/>
    </w:p>
    <w:p>
      <w:pPr>
        <w:jc w:val="center"/>
        <w:tabs>
          <w:tab w:val="left" w:pos="9921" w:leader="none"/>
        </w:tabs>
        <w:rPr>
          <w:rFonts w:ascii="宋体" w:hAnsi="宋体" w:cs="宋体"/>
          <w:bCs/>
          <w:sz w:val="30"/>
          <w:highlight w:val="none"/>
        </w:rPr>
      </w:pPr>
      <w:r>
        <w:rPr>
          <w:rFonts w:hint="eastAsia" w:ascii="宋体" w:hAnsi="宋体" w:cs="宋体"/>
          <w:bCs/>
          <w:sz w:val="30"/>
          <w:highlight w:val="none"/>
        </w:rPr>
        <w:t xml:space="preserve">（全流程电子化）</w:t>
      </w:r>
      <w:r/>
    </w:p>
    <w:p>
      <w:pPr>
        <w:rPr>
          <w:rFonts w:ascii="宋体" w:hAnsi="宋体" w:cs="宋体"/>
          <w:bCs/>
          <w:sz w:val="30"/>
          <w:highlight w:val="none"/>
        </w:rPr>
      </w:pPr>
      <w:r>
        <w:rPr>
          <w:rFonts w:ascii="宋体" w:hAnsi="宋体" w:cs="宋体"/>
          <w:bCs/>
          <w:sz w:val="30"/>
          <w:highlight w:val="none"/>
        </w:rPr>
      </w:r>
      <w:r/>
    </w:p>
    <w:p>
      <w:pPr>
        <w:rPr>
          <w:rFonts w:ascii="宋体" w:hAnsi="宋体" w:cs="宋体"/>
          <w:bCs/>
          <w:sz w:val="30"/>
          <w:highlight w:val="none"/>
        </w:rPr>
      </w:pPr>
      <w:r>
        <w:rPr>
          <w:rFonts w:ascii="宋体" w:hAnsi="宋体" w:cs="宋体"/>
          <w:bCs/>
          <w:sz w:val="30"/>
          <w:highlight w:val="none"/>
        </w:rPr>
      </w:r>
      <w:r/>
    </w:p>
    <w:p>
      <w:pPr>
        <w:jc w:val="center"/>
        <w:rPr>
          <w:rFonts w:ascii="宋体" w:hAnsi="宋体" w:cs="宋体"/>
          <w:bCs/>
          <w:spacing w:val="20"/>
          <w:sz w:val="48"/>
          <w:szCs w:val="48"/>
          <w:highlight w:val="none"/>
        </w:rPr>
      </w:pPr>
      <w:r>
        <w:rPr>
          <w:rFonts w:hint="eastAsia" w:ascii="宋体" w:hAnsi="宋体" w:cs="宋体"/>
          <w:bCs/>
          <w:spacing w:val="20"/>
          <w:sz w:val="48"/>
          <w:szCs w:val="48"/>
          <w:highlight w:val="none"/>
        </w:rPr>
        <w:t xml:space="preserve">公开</w:t>
      </w:r>
      <w:r/>
    </w:p>
    <w:p>
      <w:pPr>
        <w:jc w:val="center"/>
        <w:rPr>
          <w:rFonts w:ascii="宋体" w:hAnsi="宋体" w:cs="宋体"/>
          <w:bCs/>
          <w:spacing w:val="20"/>
          <w:sz w:val="52"/>
          <w:szCs w:val="52"/>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宋体" w:hAnsi="宋体" w:cs="宋体"/>
          <w:bCs/>
          <w:spacing w:val="20"/>
          <w:sz w:val="52"/>
          <w:szCs w:val="52"/>
          <w:highlight w:val="none"/>
        </w:rPr>
        <w:t xml:space="preserve">招标文件</w:t>
      </w:r>
      <w:r/>
    </w:p>
    <w:p>
      <w:pPr>
        <w:ind w:firstLine="900"/>
        <w:rPr>
          <w:rFonts w:ascii="宋体" w:hAnsi="宋体" w:cs="宋体"/>
          <w:bCs/>
          <w:sz w:val="30"/>
          <w:szCs w:val="30"/>
          <w:highlight w:val="none"/>
        </w:rPr>
      </w:pPr>
      <w:r>
        <w:rPr>
          <w:rFonts w:ascii="宋体" w:hAnsi="宋体" w:cs="宋体"/>
          <w:bCs/>
          <w:sz w:val="30"/>
          <w:szCs w:val="30"/>
          <w:highlight w:val="none"/>
        </w:rPr>
      </w:r>
      <w:r/>
    </w:p>
    <w:p>
      <w:pPr>
        <w:rPr>
          <w:rFonts w:ascii="宋体" w:hAnsi="宋体" w:cs="宋体"/>
          <w:bCs/>
          <w:sz w:val="30"/>
          <w:szCs w:val="30"/>
          <w:highlight w:val="none"/>
        </w:rPr>
      </w:pPr>
      <w:r>
        <w:rPr>
          <w:rFonts w:ascii="宋体" w:hAnsi="宋体" w:cs="宋体"/>
          <w:bCs/>
          <w:sz w:val="30"/>
          <w:szCs w:val="30"/>
          <w:highlight w:val="none"/>
        </w:rPr>
      </w:r>
      <w:r/>
    </w:p>
    <w:p>
      <w:r/>
      <w:r/>
    </w:p>
    <w:p>
      <w:pPr>
        <w:ind w:firstLine="900"/>
        <w:rPr>
          <w:rFonts w:ascii="宋体" w:hAnsi="宋体" w:cs="宋体"/>
          <w:bCs/>
          <w:sz w:val="30"/>
          <w:szCs w:val="30"/>
          <w:highlight w:val="none"/>
        </w:rPr>
      </w:pPr>
      <w:r>
        <w:rPr>
          <w:rFonts w:ascii="宋体" w:hAnsi="宋体" w:cs="宋体"/>
          <w:bCs/>
          <w:sz w:val="30"/>
          <w:szCs w:val="30"/>
          <w:highlight w:val="none"/>
        </w:rPr>
      </w:r>
      <w:r/>
    </w:p>
    <w:p>
      <w:pPr>
        <w:ind w:firstLine="900"/>
        <w:spacing w:line="360" w:lineRule="auto"/>
        <w:tabs>
          <w:tab w:val="left" w:pos="210" w:leader="none"/>
        </w:tabs>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 xml:space="preserve">采购项目编号：</w:t>
      </w:r>
      <w:r>
        <w:rPr>
          <w:rFonts w:hint="eastAsia" w:ascii="宋体" w:hAnsi="宋体" w:cs="宋体"/>
          <w:bCs/>
          <w:sz w:val="30"/>
          <w:szCs w:val="30"/>
          <w:highlight w:val="none"/>
          <w:lang w:eastAsia="zh-CN"/>
        </w:rPr>
        <w:t xml:space="preserve">JSZC-320200-AWXT-G2026-0006</w:t>
      </w:r>
      <w:r/>
    </w:p>
    <w:p>
      <w:pPr>
        <w:ind w:firstLine="900"/>
        <w:jc w:val="left"/>
        <w:spacing w:line="360" w:lineRule="auto"/>
        <w:rPr>
          <w:rFonts w:ascii="宋体" w:hAnsi="宋体" w:cs="宋体"/>
          <w:bCs/>
          <w:sz w:val="30"/>
          <w:szCs w:val="30"/>
          <w:highlight w:val="none"/>
        </w:rPr>
      </w:pPr>
      <w:r>
        <w:rPr>
          <w:rFonts w:hint="eastAsia" w:ascii="宋体" w:hAnsi="宋体" w:cs="宋体"/>
          <w:bCs/>
          <w:sz w:val="30"/>
          <w:szCs w:val="30"/>
          <w:highlight w:val="none"/>
        </w:rPr>
        <w:t xml:space="preserve">采购项目名称：无锡市自然资源和规划局机房信息化设备维护项目（运维接续2026）</w:t>
      </w:r>
      <w:r/>
    </w:p>
    <w:p>
      <w:pPr>
        <w:ind w:firstLine="900"/>
        <w:spacing w:line="360" w:lineRule="auto"/>
        <w:tabs>
          <w:tab w:val="left" w:pos="210" w:leader="none"/>
        </w:tabs>
        <w:rPr>
          <w:rFonts w:ascii="宋体" w:hAnsi="宋体" w:cs="宋体"/>
          <w:bCs/>
          <w:sz w:val="30"/>
          <w:szCs w:val="30"/>
          <w:highlight w:val="none"/>
        </w:rPr>
      </w:pPr>
      <w:r>
        <w:rPr>
          <w:rFonts w:hint="eastAsia" w:ascii="宋体" w:hAnsi="宋体" w:cs="宋体"/>
          <w:bCs/>
          <w:sz w:val="30"/>
          <w:szCs w:val="30"/>
          <w:highlight w:val="none"/>
        </w:rPr>
        <w:t xml:space="preserve">采购人：无锡市自然资源和规划局</w:t>
      </w:r>
      <w:r/>
    </w:p>
    <w:p>
      <w:pPr>
        <w:ind w:firstLine="900"/>
        <w:jc w:val="left"/>
        <w:spacing w:line="360" w:lineRule="auto"/>
        <w:tabs>
          <w:tab w:val="left" w:pos="210" w:leader="none"/>
        </w:tabs>
        <w:rPr>
          <w:rFonts w:ascii="宋体" w:hAnsi="宋体" w:cs="宋体"/>
          <w:bCs/>
          <w:sz w:val="30"/>
          <w:szCs w:val="30"/>
          <w:highlight w:val="none"/>
        </w:rPr>
      </w:pPr>
      <w:r>
        <w:rPr>
          <w:rFonts w:hint="eastAsia" w:ascii="宋体" w:hAnsi="宋体" w:cs="宋体"/>
          <w:bCs/>
          <w:sz w:val="30"/>
          <w:szCs w:val="30"/>
          <w:highlight w:val="none"/>
        </w:rPr>
        <w:t xml:space="preserve">采购代理机构：江苏万享通咨询有限公司</w:t>
      </w:r>
      <w:r/>
    </w:p>
    <w:p>
      <w:pPr>
        <w:jc w:val="center"/>
        <w:rPr>
          <w:rFonts w:ascii="宋体" w:hAnsi="宋体" w:cs="宋体"/>
          <w:bCs/>
          <w:sz w:val="30"/>
          <w:szCs w:val="30"/>
          <w:highlight w:val="none"/>
        </w:rPr>
      </w:pPr>
      <w:r>
        <w:rPr>
          <w:rFonts w:hint="eastAsia" w:ascii="宋体" w:hAnsi="宋体" w:cs="宋体"/>
          <w:bCs/>
          <w:sz w:val="30"/>
          <w:szCs w:val="30"/>
          <w:highlight w:val="none"/>
        </w:rPr>
        <w:t xml:space="preserve">二〇二六年</w:t>
      </w:r>
      <w:r>
        <w:rPr>
          <w:rFonts w:hint="eastAsia" w:ascii="宋体" w:hAnsi="宋体" w:cs="宋体"/>
          <w:bCs/>
          <w:sz w:val="30"/>
          <w:szCs w:val="30"/>
          <w:highlight w:val="none"/>
          <w:lang w:val="en-US" w:eastAsia="zh-CN"/>
        </w:rPr>
        <w:t xml:space="preserve">九</w:t>
      </w:r>
      <w:r>
        <w:rPr>
          <w:rFonts w:hint="eastAsia" w:ascii="宋体" w:hAnsi="宋体" w:cs="宋体"/>
          <w:bCs/>
          <w:sz w:val="30"/>
          <w:szCs w:val="30"/>
          <w:highlight w:val="none"/>
        </w:rPr>
        <w:t xml:space="preserve">月</w:t>
      </w:r>
      <w:r/>
    </w:p>
    <w:p>
      <w:pPr>
        <w:jc w:val="center"/>
        <w:rPr>
          <w:rStyle w:val="947"/>
          <w:rFonts w:ascii="宋体" w:hAnsi="宋体" w:cs="宋体"/>
          <w:bCs/>
          <w:color w:val="auto"/>
          <w:sz w:val="48"/>
          <w:highlight w:val="none"/>
        </w:rPr>
        <w:sectPr>
          <w:headerReference w:type="default" r:id="rId9"/>
          <w:footerReference w:type="default" r:id="rId12"/>
          <w:footnotePr/>
          <w:endnotePr/>
          <w:type w:val="nextPage"/>
          <w:pgSz w:w="11906" w:h="16838" w:orient="portrait"/>
          <w:pgMar w:top="1985" w:right="1418" w:bottom="1871" w:left="1531" w:header="851" w:footer="992" w:gutter="0"/>
          <w:cols w:num="1" w:sep="0" w:space="720" w:equalWidth="1"/>
          <w:docGrid w:linePitch="360"/>
        </w:sectPr>
      </w:pPr>
      <w:r>
        <w:rPr>
          <w:rFonts w:ascii="宋体" w:hAnsi="宋体" w:cs="宋体"/>
          <w:bCs/>
          <w:color w:val="auto"/>
          <w:sz w:val="48"/>
          <w:highlight w:val="none"/>
        </w:rPr>
      </w:r>
      <w:r/>
    </w:p>
    <w:p>
      <w:pPr>
        <w:jc w:val="center"/>
        <w:rPr>
          <w:rStyle w:val="947"/>
          <w:rFonts w:ascii="宋体" w:hAnsi="宋体" w:cs="宋体"/>
          <w:bCs/>
          <w:color w:val="auto"/>
          <w:sz w:val="48"/>
          <w:highlight w:val="none"/>
        </w:rPr>
      </w:pPr>
      <w:r>
        <w:rPr>
          <w:rStyle w:val="947"/>
          <w:rFonts w:hint="eastAsia" w:ascii="宋体" w:hAnsi="宋体" w:cs="宋体"/>
          <w:bCs/>
          <w:color w:val="auto"/>
          <w:sz w:val="48"/>
          <w:highlight w:val="none"/>
        </w:rPr>
        <w:t xml:space="preserve">目录</w:t>
      </w:r>
      <w:r/>
    </w:p>
    <w:p>
      <w:pPr>
        <w:jc w:val="center"/>
        <w:rPr>
          <w:rFonts w:ascii="宋体" w:hAnsi="宋体" w:cs="宋体"/>
          <w:bCs/>
          <w:sz w:val="30"/>
          <w:highlight w:val="none"/>
        </w:rPr>
      </w:pPr>
      <w:r>
        <w:rPr>
          <w:rFonts w:ascii="宋体" w:hAnsi="宋体" w:cs="宋体"/>
          <w:bCs/>
          <w:sz w:val="30"/>
          <w:highlight w:val="none"/>
        </w:rPr>
      </w:r>
      <w:r/>
    </w:p>
    <w:p>
      <w:pPr>
        <w:pStyle w:val="773"/>
        <w:tabs>
          <w:tab w:val="right" w:pos="8957" w:leader="dot"/>
        </w:tabs>
        <w:rPr>
          <w:sz w:val="28"/>
          <w:szCs w:val="28"/>
          <w:highlight w:val="none"/>
        </w:rPr>
      </w:pPr>
      <w:r/>
      <w:bookmarkStart w:id="0" w:name="报价方须知前附表"/>
      <w:r/>
      <w:bookmarkEnd w:id="0"/>
      <w:r>
        <w:rPr>
          <w:rFonts w:hint="eastAsia" w:ascii="宋体" w:hAnsi="宋体" w:cs="宋体"/>
          <w:b/>
          <w:bCs/>
          <w:sz w:val="28"/>
          <w:szCs w:val="28"/>
          <w:highlight w:val="none"/>
        </w:rPr>
        <w:fldChar w:fldCharType="begin"/>
      </w:r>
      <w:r>
        <w:rPr>
          <w:rFonts w:hint="eastAsia" w:ascii="宋体" w:hAnsi="宋体" w:cs="宋体"/>
          <w:b/>
          <w:bCs/>
          <w:sz w:val="28"/>
          <w:szCs w:val="28"/>
          <w:highlight w:val="none"/>
        </w:rPr>
        <w:instrText xml:space="preserve">TOC \o "1-1" \h \u </w:instrText>
      </w:r>
      <w:r>
        <w:rPr>
          <w:rFonts w:hint="eastAsia" w:ascii="宋体" w:hAnsi="宋体" w:cs="宋体"/>
          <w:b/>
          <w:bCs/>
          <w:sz w:val="28"/>
          <w:szCs w:val="28"/>
          <w:highlight w:val="none"/>
        </w:rPr>
        <w:fldChar w:fldCharType="separate"/>
      </w: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_Toc22801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一.投标邀请函</w:t>
      </w:r>
      <w:r>
        <w:rPr>
          <w:sz w:val="28"/>
          <w:szCs w:val="28"/>
          <w:highlight w:val="none"/>
        </w:rPr>
        <w:tab/>
      </w:r>
      <w:r>
        <w:rPr>
          <w:sz w:val="28"/>
          <w:szCs w:val="28"/>
          <w:highlight w:val="none"/>
        </w:rPr>
        <w:fldChar w:fldCharType="begin"/>
      </w:r>
      <w:r>
        <w:rPr>
          <w:sz w:val="28"/>
          <w:szCs w:val="28"/>
          <w:highlight w:val="none"/>
        </w:rPr>
        <w:instrText xml:space="preserve"> PAGEREF _Toc22801 \h </w:instrText>
      </w:r>
      <w:r>
        <w:rPr>
          <w:sz w:val="28"/>
          <w:szCs w:val="28"/>
          <w:highlight w:val="none"/>
        </w:rPr>
        <w:fldChar w:fldCharType="separate"/>
      </w:r>
      <w:r>
        <w:rPr>
          <w:sz w:val="28"/>
          <w:szCs w:val="28"/>
          <w:highlight w:val="none"/>
        </w:rPr>
        <w:t xml:space="preserve">2</w:t>
      </w:r>
      <w:r>
        <w:rPr>
          <w:sz w:val="28"/>
          <w:szCs w:val="28"/>
          <w:highlight w:val="none"/>
        </w:rPr>
        <w:fldChar w:fldCharType="end"/>
      </w:r>
      <w:r>
        <w:rPr>
          <w:rFonts w:hint="eastAsia" w:ascii="宋体" w:hAnsi="宋体" w:cs="宋体"/>
          <w:bCs/>
          <w:sz w:val="28"/>
          <w:szCs w:val="28"/>
          <w:highlight w:val="none"/>
        </w:rPr>
        <w:fldChar w:fldCharType="end"/>
      </w:r>
      <w:r/>
    </w:p>
    <w:p>
      <w:pPr>
        <w:pStyle w:val="773"/>
        <w:tabs>
          <w:tab w:val="right" w:pos="8957" w:leader="dot"/>
        </w:tabs>
        <w:rPr>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_Toc9677 </w:instrText>
      </w:r>
      <w:r>
        <w:rPr>
          <w:rFonts w:hint="eastAsia" w:ascii="宋体" w:hAnsi="宋体" w:cs="宋体"/>
          <w:bCs/>
          <w:sz w:val="28"/>
          <w:szCs w:val="28"/>
          <w:highlight w:val="none"/>
        </w:rPr>
        <w:fldChar w:fldCharType="separate"/>
      </w:r>
      <w:r>
        <w:rPr>
          <w:rFonts w:hint="eastAsia" w:cs="宋体"/>
          <w:bCs/>
          <w:sz w:val="28"/>
          <w:szCs w:val="28"/>
          <w:highlight w:val="none"/>
        </w:rPr>
        <w:t xml:space="preserve">二.投标人须知</w:t>
      </w:r>
      <w:r>
        <w:rPr>
          <w:sz w:val="28"/>
          <w:szCs w:val="28"/>
          <w:highlight w:val="none"/>
        </w:rPr>
        <w:tab/>
      </w:r>
      <w:r>
        <w:rPr>
          <w:sz w:val="28"/>
          <w:szCs w:val="28"/>
          <w:highlight w:val="none"/>
        </w:rPr>
        <w:fldChar w:fldCharType="begin"/>
      </w:r>
      <w:r>
        <w:rPr>
          <w:sz w:val="28"/>
          <w:szCs w:val="28"/>
          <w:highlight w:val="none"/>
        </w:rPr>
        <w:instrText xml:space="preserve"> PAGEREF _Toc9677 \h </w:instrText>
      </w:r>
      <w:r>
        <w:rPr>
          <w:sz w:val="28"/>
          <w:szCs w:val="28"/>
          <w:highlight w:val="none"/>
        </w:rPr>
        <w:fldChar w:fldCharType="separate"/>
      </w:r>
      <w:r>
        <w:rPr>
          <w:sz w:val="28"/>
          <w:szCs w:val="28"/>
          <w:highlight w:val="none"/>
        </w:rPr>
        <w:t xml:space="preserve">7</w:t>
      </w:r>
      <w:r>
        <w:rPr>
          <w:sz w:val="28"/>
          <w:szCs w:val="28"/>
          <w:highlight w:val="none"/>
        </w:rPr>
        <w:fldChar w:fldCharType="end"/>
      </w:r>
      <w:r>
        <w:rPr>
          <w:rFonts w:hint="eastAsia" w:ascii="宋体" w:hAnsi="宋体" w:cs="宋体"/>
          <w:bCs/>
          <w:sz w:val="28"/>
          <w:szCs w:val="28"/>
          <w:highlight w:val="none"/>
        </w:rPr>
        <w:fldChar w:fldCharType="end"/>
      </w:r>
      <w:r/>
    </w:p>
    <w:p>
      <w:pPr>
        <w:pStyle w:val="773"/>
        <w:tabs>
          <w:tab w:val="right" w:pos="8957" w:leader="dot"/>
        </w:tabs>
        <w:rPr>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_Toc20069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三.</w:t>
      </w:r>
      <w:r>
        <w:rPr>
          <w:rFonts w:hint="eastAsia" w:ascii="宋体" w:hAnsi="宋体" w:cs="宋体"/>
          <w:sz w:val="28"/>
          <w:szCs w:val="28"/>
          <w:highlight w:val="none"/>
        </w:rPr>
        <w:t xml:space="preserve">采购需求</w:t>
      </w:r>
      <w:r>
        <w:rPr>
          <w:sz w:val="28"/>
          <w:szCs w:val="28"/>
          <w:highlight w:val="none"/>
        </w:rPr>
        <w:tab/>
      </w:r>
      <w:r>
        <w:rPr>
          <w:sz w:val="28"/>
          <w:szCs w:val="28"/>
          <w:highlight w:val="none"/>
        </w:rPr>
        <w:fldChar w:fldCharType="begin"/>
      </w:r>
      <w:r>
        <w:rPr>
          <w:sz w:val="28"/>
          <w:szCs w:val="28"/>
          <w:highlight w:val="none"/>
        </w:rPr>
        <w:instrText xml:space="preserve"> PAGEREF _Toc20069 \h </w:instrText>
      </w:r>
      <w:r>
        <w:rPr>
          <w:sz w:val="28"/>
          <w:szCs w:val="28"/>
          <w:highlight w:val="none"/>
        </w:rPr>
        <w:fldChar w:fldCharType="separate"/>
      </w:r>
      <w:r>
        <w:rPr>
          <w:sz w:val="28"/>
          <w:szCs w:val="28"/>
          <w:highlight w:val="none"/>
        </w:rPr>
        <w:t xml:space="preserve">22</w:t>
      </w:r>
      <w:r>
        <w:rPr>
          <w:sz w:val="28"/>
          <w:szCs w:val="28"/>
          <w:highlight w:val="none"/>
        </w:rPr>
        <w:fldChar w:fldCharType="end"/>
      </w:r>
      <w:r>
        <w:rPr>
          <w:rFonts w:hint="eastAsia" w:ascii="宋体" w:hAnsi="宋体" w:cs="宋体"/>
          <w:bCs/>
          <w:sz w:val="28"/>
          <w:szCs w:val="28"/>
          <w:highlight w:val="none"/>
        </w:rPr>
        <w:fldChar w:fldCharType="end"/>
      </w:r>
      <w:r/>
    </w:p>
    <w:p>
      <w:pPr>
        <w:pStyle w:val="773"/>
        <w:tabs>
          <w:tab w:val="right" w:pos="8957" w:leader="dot"/>
        </w:tabs>
        <w:rPr>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_Toc17254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lang w:val="en-US" w:eastAsia="zh-CN"/>
        </w:rPr>
        <w:t xml:space="preserve">四.合同条款</w:t>
      </w:r>
      <w:r>
        <w:rPr>
          <w:sz w:val="28"/>
          <w:szCs w:val="28"/>
          <w:highlight w:val="none"/>
        </w:rPr>
        <w:tab/>
      </w:r>
      <w:r>
        <w:rPr>
          <w:sz w:val="28"/>
          <w:szCs w:val="28"/>
          <w:highlight w:val="none"/>
        </w:rPr>
        <w:fldChar w:fldCharType="begin"/>
      </w:r>
      <w:r>
        <w:rPr>
          <w:sz w:val="28"/>
          <w:szCs w:val="28"/>
          <w:highlight w:val="none"/>
        </w:rPr>
        <w:instrText xml:space="preserve"> PAGEREF _Toc17254 \h </w:instrText>
      </w:r>
      <w:r>
        <w:rPr>
          <w:sz w:val="28"/>
          <w:szCs w:val="28"/>
          <w:highlight w:val="none"/>
        </w:rPr>
        <w:fldChar w:fldCharType="separate"/>
      </w:r>
      <w:r>
        <w:rPr>
          <w:sz w:val="28"/>
          <w:szCs w:val="28"/>
          <w:highlight w:val="none"/>
        </w:rPr>
        <w:t xml:space="preserve">49</w:t>
      </w:r>
      <w:r>
        <w:rPr>
          <w:sz w:val="28"/>
          <w:szCs w:val="28"/>
          <w:highlight w:val="none"/>
        </w:rPr>
        <w:fldChar w:fldCharType="end"/>
      </w:r>
      <w:r>
        <w:rPr>
          <w:rFonts w:hint="eastAsia" w:ascii="宋体" w:hAnsi="宋体" w:cs="宋体"/>
          <w:bCs/>
          <w:sz w:val="28"/>
          <w:szCs w:val="28"/>
          <w:highlight w:val="none"/>
        </w:rPr>
        <w:fldChar w:fldCharType="end"/>
      </w:r>
      <w:r/>
    </w:p>
    <w:p>
      <w:pPr>
        <w:pStyle w:val="773"/>
        <w:tabs>
          <w:tab w:val="right" w:pos="8957" w:leader="dot"/>
        </w:tabs>
        <w:rPr>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_Toc1657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lang w:val="en-US" w:eastAsia="zh-CN"/>
        </w:rPr>
        <w:t xml:space="preserve">五</w:t>
      </w:r>
      <w:r>
        <w:rPr>
          <w:rFonts w:hint="eastAsia" w:ascii="宋体" w:hAnsi="宋体" w:cs="宋体"/>
          <w:bCs/>
          <w:sz w:val="28"/>
          <w:szCs w:val="28"/>
          <w:highlight w:val="none"/>
        </w:rPr>
        <w:t xml:space="preserve">.附件</w:t>
      </w:r>
      <w:r>
        <w:rPr>
          <w:sz w:val="28"/>
          <w:szCs w:val="28"/>
          <w:highlight w:val="none"/>
        </w:rPr>
        <w:tab/>
      </w:r>
      <w:r>
        <w:rPr>
          <w:sz w:val="28"/>
          <w:szCs w:val="28"/>
          <w:highlight w:val="none"/>
        </w:rPr>
        <w:fldChar w:fldCharType="begin"/>
      </w:r>
      <w:r>
        <w:rPr>
          <w:sz w:val="28"/>
          <w:szCs w:val="28"/>
          <w:highlight w:val="none"/>
        </w:rPr>
        <w:instrText xml:space="preserve"> PAGEREF _Toc1657 \h </w:instrText>
      </w:r>
      <w:r>
        <w:rPr>
          <w:sz w:val="28"/>
          <w:szCs w:val="28"/>
          <w:highlight w:val="none"/>
        </w:rPr>
        <w:fldChar w:fldCharType="separate"/>
      </w:r>
      <w:r>
        <w:rPr>
          <w:sz w:val="28"/>
          <w:szCs w:val="28"/>
          <w:highlight w:val="none"/>
        </w:rPr>
        <w:t xml:space="preserve">55</w:t>
      </w:r>
      <w:r>
        <w:rPr>
          <w:sz w:val="28"/>
          <w:szCs w:val="28"/>
          <w:highlight w:val="none"/>
        </w:rPr>
        <w:fldChar w:fldCharType="end"/>
      </w:r>
      <w:r>
        <w:rPr>
          <w:rFonts w:hint="eastAsia" w:ascii="宋体" w:hAnsi="宋体" w:cs="宋体"/>
          <w:bCs/>
          <w:sz w:val="28"/>
          <w:szCs w:val="28"/>
          <w:highlight w:val="none"/>
        </w:rPr>
        <w:fldChar w:fldCharType="end"/>
      </w:r>
      <w:r/>
    </w:p>
    <w:p>
      <w:pPr>
        <w:spacing w:line="480" w:lineRule="auto"/>
        <w:rPr>
          <w:rFonts w:hint="default" w:ascii="宋体" w:hAnsi="宋体" w:eastAsia="宋体" w:cs="宋体"/>
          <w:b/>
          <w:bCs/>
          <w:sz w:val="28"/>
          <w:szCs w:val="28"/>
          <w:highlight w:val="none"/>
          <w:lang w:val="en-US" w:eastAsia="zh-CN"/>
        </w:rPr>
      </w:pPr>
      <w:r>
        <w:rPr>
          <w:rFonts w:hint="eastAsia" w:ascii="宋体" w:hAnsi="宋体" w:cs="宋体"/>
          <w:bCs/>
          <w:sz w:val="28"/>
          <w:szCs w:val="28"/>
          <w:highlight w:val="none"/>
        </w:rPr>
        <w:fldChar w:fldCharType="end"/>
      </w:r>
      <w:r/>
    </w:p>
    <w:p>
      <w:pPr>
        <w:jc w:val="center"/>
        <w:spacing w:line="360" w:lineRule="auto"/>
        <w:rPr>
          <w:rFonts w:ascii="宋体" w:hAnsi="宋体" w:cs="宋体"/>
          <w:bCs/>
          <w:sz w:val="28"/>
          <w:szCs w:val="28"/>
          <w:highlight w:val="none"/>
        </w:rPr>
        <w:outlineLvl w:val="0"/>
      </w:pPr>
      <w:r>
        <w:rPr>
          <w:rFonts w:hint="eastAsia" w:ascii="宋体" w:hAnsi="宋体" w:cs="宋体"/>
          <w:bCs/>
          <w:sz w:val="28"/>
          <w:szCs w:val="28"/>
          <w:highlight w:val="none"/>
        </w:rPr>
        <w:br w:type="page" w:clear="all"/>
      </w:r>
      <w:bookmarkStart w:id="1" w:name="_Toc2656"/>
      <w:r/>
      <w:bookmarkStart w:id="2" w:name="_Toc22801"/>
      <w:r>
        <w:rPr>
          <w:rFonts w:hint="eastAsia" w:ascii="宋体" w:hAnsi="宋体" w:cs="宋体"/>
          <w:bCs/>
          <w:sz w:val="28"/>
          <w:szCs w:val="28"/>
          <w:highlight w:val="none"/>
        </w:rPr>
        <w:t xml:space="preserve">一.投标邀请函</w:t>
      </w:r>
      <w:bookmarkEnd w:id="1"/>
      <w:r/>
      <w:bookmarkEnd w:id="2"/>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江苏万享通咨询有限公司受无锡市自然资源和规划局委托，对无锡市自然资源和规划局机房信息化设备维护项目（运维接续2026）进行公开招标采购，欢迎符合相关条件的供应商参加投标并提请注意下列相关事项：</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（一）</w:t>
      </w:r>
      <w:r>
        <w:rPr>
          <w:rFonts w:hint="eastAsia" w:ascii="宋体" w:hAnsi="宋体" w:cs="宋体"/>
          <w:sz w:val="24"/>
          <w:szCs w:val="24"/>
          <w:highlight w:val="none"/>
        </w:rPr>
        <w:t xml:space="preserve">招标项目信息</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1.项目名称：无锡市自然资源和规划局机房信息化设备维护项目（运维接续2026）</w:t>
      </w:r>
      <w:r/>
    </w:p>
    <w:p>
      <w:pPr>
        <w:ind w:firstLine="480"/>
        <w:jc w:val="left"/>
        <w:spacing w:line="360" w:lineRule="auto"/>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2.项目编号：</w:t>
      </w:r>
      <w:r>
        <w:rPr>
          <w:rFonts w:hint="eastAsia" w:ascii="宋体" w:hAnsi="宋体" w:cs="宋体"/>
          <w:sz w:val="24"/>
          <w:szCs w:val="24"/>
          <w:highlight w:val="none"/>
          <w:lang w:eastAsia="zh-CN"/>
        </w:rPr>
        <w:t xml:space="preserve">JSZC-320200-AWXT-G2026-0006</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3.合同履行期限：自2026年12月10日起至2027年12月9日止</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履行期限共1年</w:t>
      </w:r>
      <w:r>
        <w:rPr>
          <w:rFonts w:hint="eastAsia" w:ascii="宋体" w:hAnsi="宋体" w:cs="宋体"/>
          <w:sz w:val="24"/>
          <w:szCs w:val="24"/>
          <w:highlight w:val="none"/>
        </w:rPr>
        <w:t xml:space="preserve">。</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4.项目预算：149.83万元</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5.最高限价：149.83万元</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6.采购方式：公开招标</w:t>
      </w:r>
      <w:r/>
    </w:p>
    <w:p>
      <w:pPr>
        <w:ind w:firstLine="480"/>
        <w:jc w:val="left"/>
        <w:spacing w:line="360" w:lineRule="auto"/>
        <w:widowControl/>
        <w:tabs>
          <w:tab w:val="left" w:pos="8646" w:leader="none"/>
        </w:tabs>
        <w:rPr>
          <w:rFonts w:ascii="宋体" w:hAnsi="宋体" w:cs="宋体"/>
          <w:sz w:val="24"/>
          <w:szCs w:val="24"/>
          <w:highlight w:val="none"/>
        </w:rPr>
      </w:pPr>
      <w:r>
        <w:rPr>
          <w:rFonts w:hint="eastAsia" w:ascii="宋体" w:hAnsi="宋体" w:cs="宋体"/>
          <w:sz w:val="24"/>
          <w:szCs w:val="24"/>
          <w:highlight w:val="none"/>
        </w:rPr>
        <w:t xml:space="preserve">7.采购人：无锡市自然资源和规划局</w:t>
      </w:r>
      <w:r/>
    </w:p>
    <w:p>
      <w:pPr>
        <w:ind w:firstLine="480"/>
        <w:jc w:val="left"/>
        <w:spacing w:line="360" w:lineRule="auto"/>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8.本项目标的所属行业：软件和信息技术服务业；根据《中小企业划型标准规定》工信部联企业〔2011〕300号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9.本项目是否专门面向中小企业：是。</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10.本项目不接受联合体投标。</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（二）投标人资格要求</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3.具备采购人根据招标项目的特殊要求规定的以下特定资质：未被“信用中国”网站列入失信被执行人、重大税收违法案件当事人名单、政府采购严重违法失信行为记录名单。</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（三）供应商主体信息库注册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1.请有意参加本项目采购活动的供应商按以下流程进行操作：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（3）CA驱动下载：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技术服务电话：0510-81827781（服务时间：工作日 9:00-11:30，13:00-17:00）</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highlight w:val="none"/>
        </w:rPr>
        <w:fldChar w:fldCharType="begin"/>
      </w:r>
      <w:r>
        <w:rPr>
          <w:highlight w:val="none"/>
        </w:rPr>
        <w:instrText xml:space="preserve"> HYPERLINK "http://cz.wuxi.gov.cn/doc/2023/10/11/4080287.shtml" \t "_blank" </w:instrText>
      </w:r>
      <w:r>
        <w:rPr>
          <w:highlight w:val="none"/>
        </w:rPr>
        <w:fldChar w:fldCharType="separate"/>
      </w:r>
      <w:r>
        <w:rPr>
          <w:rFonts w:hint="eastAsia" w:ascii="宋体" w:hAnsi="宋体" w:cs="宋体"/>
          <w:sz w:val="24"/>
          <w:szCs w:val="24"/>
          <w:highlight w:val="none"/>
        </w:rPr>
        <w:t xml:space="preserve">“苏采云”系统供应商操作手册</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（四）完成项目报名，获取采购文件</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1.潜在投标供应商可在项目招标公告附件中查看公开招标文件，如确定投标，必须在苏采云平台（http://jszfcg.jsczt.cn/j</w:t>
      </w:r>
      <w:r>
        <w:rPr>
          <w:rFonts w:hint="eastAsia" w:ascii="宋体" w:hAnsi="宋体" w:cs="宋体"/>
          <w:bCs/>
          <w:sz w:val="24"/>
          <w:szCs w:val="24"/>
          <w:highlight w:val="none"/>
        </w:rPr>
        <w:t xml:space="preserve">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（五）公开答疑时间、地点</w:t>
      </w:r>
      <w:r/>
    </w:p>
    <w:p>
      <w:pPr>
        <w:ind w:firstLine="480"/>
        <w:jc w:val="left"/>
        <w:spacing w:line="360" w:lineRule="auto"/>
        <w:widowControl/>
        <w:rPr>
          <w:rFonts w:ascii="宋体" w:hAnsi="宋体" w:cs="宋体"/>
          <w:sz w:val="24"/>
          <w:szCs w:val="24"/>
          <w:highlight w:val="none"/>
        </w:rPr>
      </w:pPr>
      <w:r>
        <w:rPr>
          <w:rFonts w:hint="eastAsia" w:ascii="宋体" w:hAnsi="宋体" w:cs="宋体"/>
          <w:bCs/>
          <w:sz w:val="24"/>
          <w:szCs w:val="24"/>
          <w:highlight w:val="none"/>
        </w:rPr>
        <w:t xml:space="preserve">采购人、</w:t>
      </w:r>
      <w:r>
        <w:rPr>
          <w:rFonts w:hint="eastAsia" w:ascii="宋体" w:hAnsi="宋体" w:cs="宋体"/>
          <w:sz w:val="24"/>
          <w:szCs w:val="24"/>
          <w:highlight w:val="none"/>
        </w:rPr>
        <w:t xml:space="preserve">江苏万享通咨询有限公司</w:t>
      </w:r>
      <w:r>
        <w:rPr>
          <w:rFonts w:hint="eastAsia" w:ascii="宋体" w:hAnsi="宋体" w:cs="宋体"/>
          <w:bCs/>
          <w:sz w:val="24"/>
          <w:szCs w:val="24"/>
          <w:highlight w:val="none"/>
        </w:rPr>
        <w:t xml:space="preserve">将以线上不见面、电话咨询、传真等方式开展线上答疑服务。截至</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日17:00，</w:t>
      </w:r>
      <w:r>
        <w:rPr>
          <w:rFonts w:hint="eastAsia" w:ascii="宋体" w:hAnsi="宋体" w:cs="宋体"/>
          <w:bCs/>
          <w:sz w:val="24"/>
          <w:szCs w:val="24"/>
          <w:highlight w:val="none"/>
        </w:rPr>
        <w:t xml:space="preserve">有关单位对于招标文件的相关事项如有疑问可通过上述方式咨询；</w:t>
      </w:r>
      <w:r>
        <w:rPr>
          <w:rFonts w:hint="eastAsia" w:ascii="宋体" w:hAnsi="宋体" w:cs="宋体"/>
          <w:sz w:val="24"/>
          <w:szCs w:val="24"/>
          <w:highlight w:val="none"/>
        </w:rPr>
        <w:t xml:space="preserve">投标人如有需要对招标文件要求澄清的问题，请以书面形式</w:t>
      </w:r>
      <w:r>
        <w:rPr>
          <w:rFonts w:hint="eastAsia" w:ascii="宋体" w:hAnsi="宋体" w:cs="宋体"/>
          <w:b/>
          <w:bCs/>
          <w:sz w:val="24"/>
          <w:szCs w:val="24"/>
          <w:highlight w:val="none"/>
        </w:rPr>
        <w:t xml:space="preserve">（必须加盖投标人公章，也请务必留下联系方式，以便回复）</w:t>
      </w:r>
      <w:r>
        <w:rPr>
          <w:rFonts w:hint="eastAsia" w:ascii="宋体" w:hAnsi="宋体" w:cs="宋体"/>
          <w:sz w:val="24"/>
          <w:szCs w:val="24"/>
          <w:highlight w:val="none"/>
        </w:rPr>
        <w:t xml:space="preserve">提出“</w:t>
      </w:r>
      <w:r>
        <w:rPr>
          <w:rFonts w:hint="eastAsia" w:ascii="宋体" w:hAnsi="宋体" w:cs="宋体"/>
          <w:sz w:val="24"/>
          <w:szCs w:val="24"/>
          <w:highlight w:val="none"/>
          <w:lang w:eastAsia="zh-CN"/>
        </w:rPr>
        <w:t xml:space="preserve">JSZC-320200-AWXT-G2026-0006</w:t>
      </w:r>
      <w:r>
        <w:rPr>
          <w:rFonts w:hint="eastAsia" w:ascii="宋体" w:hAnsi="宋体" w:cs="宋体"/>
          <w:sz w:val="24"/>
          <w:szCs w:val="24"/>
          <w:highlight w:val="none"/>
        </w:rPr>
        <w:t xml:space="preserve">项目需澄清问题”</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并于答疑</w:t>
      </w:r>
      <w:r>
        <w:rPr>
          <w:rFonts w:hint="eastAsia" w:ascii="宋体" w:hAnsi="宋体" w:cs="宋体"/>
          <w:bCs/>
          <w:sz w:val="24"/>
          <w:szCs w:val="24"/>
          <w:highlight w:val="none"/>
        </w:rPr>
        <w:t xml:space="preserve">截止时间前</w:t>
      </w:r>
      <w:r>
        <w:rPr>
          <w:rFonts w:hint="eastAsia" w:ascii="宋体" w:hAnsi="宋体" w:cs="宋体"/>
          <w:sz w:val="24"/>
          <w:szCs w:val="24"/>
          <w:highlight w:val="none"/>
        </w:rPr>
        <w:t xml:space="preserve">传真给项目联系人</w:t>
      </w:r>
      <w:r>
        <w:rPr>
          <w:rFonts w:hint="eastAsia" w:ascii="宋体" w:hAnsi="宋体" w:cs="宋体"/>
          <w:bCs/>
          <w:sz w:val="24"/>
          <w:szCs w:val="24"/>
          <w:highlight w:val="none"/>
        </w:rPr>
        <w:t xml:space="preserve">。若未在法定时间内提出澄清，由此造成的损失及风险由投标人自行承担。</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（六）网上投标及开标、定标时间、地点</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网上投标截止时间：2026年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rPr>
        <w:t xml:space="preserve">日9:30（投标截止时间后的投标文件恕不接受）</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网上投标解密时间：2026年</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rPr>
        <w:t xml:space="preserve">日开启解密后半小时。</w:t>
      </w:r>
      <w:r/>
    </w:p>
    <w:p>
      <w:pPr>
        <w:ind w:firstLine="480"/>
        <w:jc w:val="left"/>
        <w:spacing w:line="360" w:lineRule="auto"/>
        <w:widowControl/>
        <w:rPr>
          <w:rFonts w:ascii="宋体" w:hAnsi="宋体" w:cs="宋体"/>
          <w:bCs/>
          <w:sz w:val="24"/>
          <w:szCs w:val="24"/>
          <w:highlight w:val="none"/>
        </w:rPr>
      </w:pPr>
      <w:r>
        <w:rPr>
          <w:rFonts w:hint="eastAsia" w:ascii="宋体" w:hAnsi="宋体" w:cs="宋体"/>
          <w:sz w:val="24"/>
          <w:szCs w:val="24"/>
          <w:highlight w:val="none"/>
        </w:rPr>
        <w:t xml:space="preserve">投标及开标地点：</w:t>
      </w:r>
      <w:bookmarkStart w:id="3" w:name="_Toc28359007"/>
      <w:r>
        <w:rPr>
          <w:rFonts w:hint="eastAsia" w:ascii="宋体" w:hAnsi="宋体" w:cs="宋体"/>
          <w:sz w:val="24"/>
          <w:szCs w:val="24"/>
          <w:highlight w:val="none"/>
        </w:rPr>
        <w:t xml:space="preserve">“苏采云”系统（网址：http://jszfcg.jsczt.cn/）</w:t>
      </w:r>
      <w:bookmarkEnd w:id="3"/>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定标时间：评标结束</w:t>
      </w:r>
      <w:r/>
    </w:p>
    <w:p>
      <w:pPr>
        <w:ind w:firstLine="480"/>
        <w:jc w:val="left"/>
        <w:spacing w:line="360" w:lineRule="auto"/>
        <w:widowControl/>
        <w:rPr>
          <w:rFonts w:ascii="宋体" w:hAnsi="宋体" w:cs="宋体"/>
          <w:sz w:val="24"/>
          <w:szCs w:val="24"/>
          <w:highlight w:val="none"/>
        </w:rPr>
      </w:pPr>
      <w:r>
        <w:rPr>
          <w:rFonts w:hint="eastAsia" w:ascii="宋体" w:hAnsi="宋体" w:cs="宋体"/>
          <w:bCs/>
          <w:sz w:val="24"/>
          <w:szCs w:val="24"/>
          <w:highlight w:val="none"/>
        </w:rPr>
        <w:t xml:space="preserve">定标地点：</w:t>
      </w:r>
      <w:r>
        <w:rPr>
          <w:rFonts w:hint="eastAsia" w:ascii="宋体" w:hAnsi="宋体" w:cs="宋体"/>
          <w:sz w:val="24"/>
          <w:szCs w:val="24"/>
          <w:highlight w:val="none"/>
        </w:rPr>
        <w:t xml:space="preserve">“江苏省政府采购（苏采云）平台”</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（七）投标有效期：开标之日起90天</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（八）采购方法：</w:t>
      </w:r>
      <w:r/>
    </w:p>
    <w:p>
      <w:pPr>
        <w:ind w:firstLine="480"/>
        <w:spacing w:line="360" w:lineRule="auto"/>
        <w:rPr>
          <w:rFonts w:ascii="宋体" w:hAnsi="宋体" w:cs="宋体"/>
          <w:bCs/>
          <w:sz w:val="24"/>
          <w:szCs w:val="24"/>
          <w:highlight w:val="none"/>
        </w:rPr>
      </w:pPr>
      <w:r>
        <w:rPr>
          <w:rFonts w:hint="eastAsia" w:ascii="宋体" w:hAnsi="宋体" w:cs="宋体"/>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（九）其他</w:t>
      </w:r>
      <w:r/>
    </w:p>
    <w:p>
      <w:pPr>
        <w:pStyle w:val="934"/>
        <w:ind w:firstLine="480"/>
        <w:spacing w:before="0" w:beforeAutospacing="0" w:after="0" w:afterAutospacing="0" w:line="460" w:lineRule="exact"/>
        <w:tabs>
          <w:tab w:val="left" w:pos="0" w:leader="none"/>
        </w:tabs>
        <w:rPr>
          <w:rFonts w:cs="宋体"/>
          <w:highlight w:val="none"/>
        </w:rPr>
      </w:pPr>
      <w:r>
        <w:rPr>
          <w:rFonts w:hint="eastAsia" w:cs="宋体"/>
          <w:highlight w:val="none"/>
          <w:lang w:val="zh-CN"/>
        </w:rPr>
        <w:t xml:space="preserve">有关本次采购活动程序方面的问题，可来人、来函（传真）或电话联系。</w:t>
      </w:r>
      <w:r/>
    </w:p>
    <w:p>
      <w:pPr>
        <w:pStyle w:val="934"/>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采购人：无锡市自然资源和规划局</w:t>
      </w:r>
      <w:r/>
    </w:p>
    <w:p>
      <w:pPr>
        <w:pStyle w:val="934"/>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联系地址：无锡市观山路199号10号楼</w:t>
      </w:r>
      <w:r/>
    </w:p>
    <w:p>
      <w:pPr>
        <w:pStyle w:val="934"/>
        <w:ind w:firstLine="480"/>
        <w:spacing w:before="0" w:beforeAutospacing="0" w:after="0" w:afterAutospacing="0" w:line="460" w:lineRule="exact"/>
        <w:tabs>
          <w:tab w:val="left" w:pos="0" w:leader="none"/>
        </w:tabs>
        <w:rPr>
          <w:rFonts w:cs="宋体"/>
          <w:highlight w:val="none"/>
        </w:rPr>
      </w:pPr>
      <w:r>
        <w:rPr>
          <w:rFonts w:hint="eastAsia" w:cs="宋体"/>
          <w:highlight w:val="none"/>
          <w:lang w:val="zh-CN"/>
        </w:rPr>
        <w:t xml:space="preserve">联系人：王元元</w:t>
      </w:r>
      <w:r>
        <w:rPr>
          <w:rFonts w:hint="eastAsia" w:cs="宋体"/>
          <w:highlight w:val="none"/>
        </w:rPr>
        <w:t xml:space="preserve"> </w:t>
      </w:r>
      <w:r/>
    </w:p>
    <w:p>
      <w:pPr>
        <w:pStyle w:val="934"/>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联系电话：0510-85726091 </w:t>
      </w:r>
      <w:r/>
    </w:p>
    <w:p>
      <w:pPr>
        <w:pStyle w:val="934"/>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采购代理机构：江苏万享通咨询有限公司</w:t>
      </w:r>
      <w:r/>
    </w:p>
    <w:p>
      <w:pPr>
        <w:pStyle w:val="934"/>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联系人：王乾、张娜娜、</w:t>
      </w:r>
      <w:r>
        <w:rPr>
          <w:rFonts w:hint="eastAsia" w:cs="宋体"/>
          <w:highlight w:val="none"/>
        </w:rPr>
        <w:t xml:space="preserve">徐嘉怡</w:t>
      </w:r>
      <w:r/>
    </w:p>
    <w:p>
      <w:pPr>
        <w:pStyle w:val="934"/>
        <w:ind w:firstLine="480"/>
        <w:spacing w:before="0" w:beforeAutospacing="0" w:after="0" w:afterAutospacing="0" w:line="460" w:lineRule="exact"/>
        <w:tabs>
          <w:tab w:val="left" w:pos="0" w:leader="none"/>
        </w:tabs>
        <w:rPr>
          <w:rFonts w:cs="宋体"/>
          <w:highlight w:val="none"/>
        </w:rPr>
      </w:pPr>
      <w:r>
        <w:rPr>
          <w:rFonts w:hint="eastAsia" w:cs="宋体"/>
          <w:highlight w:val="none"/>
          <w:lang w:val="zh-CN"/>
        </w:rPr>
        <w:t xml:space="preserve">联系电话：0510-83131355</w:t>
      </w:r>
      <w:r/>
    </w:p>
    <w:p>
      <w:pPr>
        <w:pStyle w:val="934"/>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电子邮件地址：</w:t>
      </w:r>
      <w:r>
        <w:rPr>
          <w:rFonts w:hint="eastAsia" w:cs="宋体"/>
          <w:highlight w:val="none"/>
        </w:rPr>
        <w:t xml:space="preserve">694999734</w:t>
      </w:r>
      <w:r>
        <w:rPr>
          <w:rFonts w:hint="eastAsia" w:cs="宋体"/>
          <w:highlight w:val="none"/>
          <w:lang w:val="zh-CN"/>
        </w:rPr>
        <w:t xml:space="preserve">@qq.com</w:t>
      </w:r>
      <w:r/>
    </w:p>
    <w:p>
      <w:pPr>
        <w:pStyle w:val="934"/>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联系地址：无锡市滨湖区鸿桥路879号15层</w:t>
      </w:r>
      <w:r/>
    </w:p>
    <w:p>
      <w:pPr>
        <w:pStyle w:val="934"/>
        <w:ind w:firstLine="480"/>
        <w:spacing w:before="0" w:beforeAutospacing="0" w:after="0" w:afterAutospacing="0" w:line="460" w:lineRule="exact"/>
        <w:tabs>
          <w:tab w:val="left" w:pos="0" w:leader="none"/>
        </w:tabs>
        <w:rPr>
          <w:rFonts w:cs="宋体"/>
          <w:highlight w:val="none"/>
          <w:lang w:val="zh-CN"/>
        </w:rPr>
      </w:pPr>
      <w:r>
        <w:rPr>
          <w:rFonts w:hint="eastAsia" w:cs="宋体"/>
          <w:highlight w:val="none"/>
          <w:lang w:val="zh-CN"/>
        </w:rPr>
        <w:t xml:space="preserve">邮政编码：214000</w:t>
      </w:r>
      <w:r/>
    </w:p>
    <w:p>
      <w:pPr>
        <w:pStyle w:val="934"/>
        <w:ind w:firstLine="480"/>
        <w:spacing w:before="0" w:beforeAutospacing="0" w:after="0" w:afterAutospacing="0" w:line="460" w:lineRule="exact"/>
        <w:tabs>
          <w:tab w:val="left" w:pos="0" w:leader="none"/>
        </w:tabs>
        <w:rPr>
          <w:rFonts w:cs="宋体"/>
          <w:bCs/>
          <w:highlight w:val="none"/>
        </w:rPr>
      </w:pPr>
      <w:r>
        <w:rPr>
          <w:rFonts w:hint="eastAsia" w:cs="宋体"/>
          <w:bCs/>
          <w:highlight w:val="none"/>
        </w:rPr>
        <w:t xml:space="preserve">（十）其他</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zh-CN"/>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zh-CN"/>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纸质投标文件：本项目为不见面开标，供应商无需递交纸质投标文件至现场，</w:t>
      </w: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后中标供应商向采购代理机构提供与电子投标文件完全一致的纸质投标文件（</w:t>
      </w: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份：一正、</w:t>
      </w:r>
      <w:r>
        <w:rPr>
          <w:rFonts w:hint="eastAsia" w:ascii="宋体" w:hAnsi="宋体" w:cs="宋体"/>
          <w:sz w:val="24"/>
          <w:szCs w:val="24"/>
          <w:highlight w:val="none"/>
        </w:rPr>
        <w:t xml:space="preserve">二</w:t>
      </w:r>
      <w:r>
        <w:rPr>
          <w:rFonts w:hint="eastAsia" w:ascii="宋体" w:hAnsi="宋体" w:cs="宋体"/>
          <w:sz w:val="24"/>
          <w:szCs w:val="24"/>
          <w:highlight w:val="none"/>
          <w:lang w:val="zh-CN"/>
        </w:rPr>
        <w:t xml:space="preserve">副）。</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val="zh-CN"/>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供应商请仔细阅读供应商注册流程和招标文件中关于电子开评标等相关事项，如有问题可发送邮件或电话咨询。</w:t>
      </w:r>
      <w:r/>
    </w:p>
    <w:p>
      <w:pPr>
        <w:pStyle w:val="934"/>
        <w:ind w:firstLine="560"/>
        <w:jc w:val="center"/>
        <w:spacing w:before="0" w:beforeAutospacing="0" w:after="0" w:afterAutospacing="0" w:line="460" w:lineRule="exact"/>
        <w:tabs>
          <w:tab w:val="left" w:pos="0" w:leader="none"/>
        </w:tabs>
        <w:rPr>
          <w:rFonts w:cs="宋体"/>
          <w:bCs/>
          <w:sz w:val="28"/>
          <w:szCs w:val="28"/>
          <w:highlight w:val="none"/>
        </w:rPr>
        <w:outlineLvl w:val="0"/>
      </w:pPr>
      <w:r>
        <w:rPr>
          <w:rFonts w:hint="eastAsia" w:cs="宋体"/>
          <w:bCs/>
          <w:sz w:val="28"/>
          <w:szCs w:val="28"/>
          <w:highlight w:val="none"/>
        </w:rPr>
        <w:br w:type="page" w:clear="all"/>
      </w:r>
      <w:bookmarkStart w:id="4" w:name="_Toc380"/>
      <w:r/>
      <w:bookmarkStart w:id="5" w:name="_Toc9677"/>
      <w:r>
        <w:rPr>
          <w:rFonts w:hint="eastAsia" w:cs="宋体"/>
          <w:bCs/>
          <w:sz w:val="28"/>
          <w:szCs w:val="28"/>
          <w:highlight w:val="none"/>
        </w:rPr>
        <w:t xml:space="preserve">二.投标人须知</w:t>
      </w:r>
      <w:bookmarkEnd w:id="4"/>
      <w:r/>
      <w:bookmarkEnd w:id="5"/>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（一）遵循原则：</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ind w:left="1200" w:hanging="7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（二）招标文件：</w:t>
      </w:r>
      <w:r/>
    </w:p>
    <w:p>
      <w:pPr>
        <w:ind w:firstLine="523"/>
        <w:spacing w:line="360" w:lineRule="auto"/>
        <w:tabs>
          <w:tab w:val="left" w:pos="-1260"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1.招标文件包括本文件目录所列全部内容，投标人应仔细阅读，并在投标文件中充分响应招标文件的所有要求。</w:t>
      </w:r>
      <w:r/>
    </w:p>
    <w:p>
      <w:pPr>
        <w:ind w:firstLine="523"/>
        <w:spacing w:line="360" w:lineRule="auto"/>
        <w:tabs>
          <w:tab w:val="left" w:pos="0"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2.招标文件中的“法定代表人”是指投标人的营业执照的“法定代表人”或相关部门的登记证明文件中的“负责人”。</w:t>
      </w:r>
      <w:r/>
    </w:p>
    <w:p>
      <w:pPr>
        <w:ind w:firstLine="523"/>
        <w:spacing w:line="360" w:lineRule="auto"/>
        <w:tabs>
          <w:tab w:val="left" w:pos="0"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3.投标供应商应在苏采云平台（http://jszfcg.jsczt.cn/jszc/login）下载招标文件及有关资料，按要求制作、上传投标文件，对招标文件各项内容做出实质性响应，否则投标无效。</w:t>
      </w:r>
      <w:r/>
    </w:p>
    <w:p>
      <w:pPr>
        <w:ind w:firstLine="523"/>
        <w:spacing w:line="360" w:lineRule="auto"/>
        <w:tabs>
          <w:tab w:val="left" w:pos="0" w:leader="none"/>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4.招标文件仅作为本次招投标使用。</w:t>
      </w:r>
      <w:r/>
    </w:p>
    <w:p>
      <w:pPr>
        <w:ind w:firstLine="480"/>
        <w:spacing w:line="360" w:lineRule="auto"/>
        <w:tabs>
          <w:tab w:val="left" w:pos="630" w:leader="none"/>
        </w:tabs>
        <w:rPr>
          <w:rFonts w:ascii="宋体" w:hAnsi="宋体" w:cs="宋体"/>
          <w:bCs/>
          <w:sz w:val="24"/>
          <w:szCs w:val="24"/>
          <w:highlight w:val="none"/>
        </w:rPr>
      </w:pPr>
      <w:r>
        <w:rPr>
          <w:rFonts w:hint="eastAsia" w:ascii="宋体" w:hAnsi="宋体" w:cs="宋体"/>
          <w:bCs/>
          <w:sz w:val="24"/>
          <w:szCs w:val="24"/>
          <w:highlight w:val="none"/>
        </w:rPr>
        <w:t xml:space="preserve">（三）招标文件的解释：</w:t>
      </w:r>
      <w:r/>
    </w:p>
    <w:p>
      <w:pPr>
        <w:ind w:left="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本文件的最终解释权归采购人。</w:t>
      </w:r>
      <w:r/>
    </w:p>
    <w:p>
      <w:pPr>
        <w:ind w:left="1200" w:hanging="72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（四）招标文件的补充或修正：</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1.江苏万享通咨询有限公司可在投标截止时间十五日前对招标文件进行必要的澄清或者修改，不足15日的，将顺延提交投标文件的截止时间。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2.如需对招标文件进行澄清或修正，江苏万享通咨询有限公司将在江苏政府采购网发布更正公告，该澄清或修正的内容为招标文件的组成部分。投标人应在投标截止时间前</w:t>
      </w:r>
      <w:r>
        <w:rPr>
          <w:rFonts w:hint="eastAsia" w:ascii="宋体" w:hAnsi="宋体" w:cs="宋体"/>
          <w:sz w:val="24"/>
          <w:szCs w:val="24"/>
          <w:highlight w:val="none"/>
        </w:rPr>
        <w:t xml:space="preserve">登录</w:t>
      </w:r>
      <w:r>
        <w:rPr>
          <w:rFonts w:hint="eastAsia" w:ascii="宋体" w:hAnsi="宋体" w:cs="宋体"/>
          <w:bCs/>
          <w:sz w:val="24"/>
          <w:szCs w:val="24"/>
          <w:highlight w:val="none"/>
        </w:rPr>
        <w:t xml:space="preserve">投标客户端</w:t>
      </w:r>
      <w:r>
        <w:rPr>
          <w:rFonts w:hint="eastAsia" w:ascii="宋体" w:hAnsi="宋体" w:cs="宋体"/>
          <w:sz w:val="24"/>
          <w:szCs w:val="24"/>
          <w:highlight w:val="none"/>
        </w:rPr>
        <w:t xml:space="preserve">或</w:t>
      </w:r>
      <w:r>
        <w:rPr>
          <w:rFonts w:hint="eastAsia" w:ascii="宋体" w:hAnsi="宋体" w:cs="宋体"/>
          <w:bCs/>
          <w:sz w:val="24"/>
          <w:szCs w:val="24"/>
          <w:highlight w:val="none"/>
        </w:rPr>
        <w:t xml:space="preserve">关注原招标公告媒体上发布的相关更正公告</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因投标人未尽注意义务，未及时更新上传投标文件</w:t>
      </w:r>
      <w:r>
        <w:rPr>
          <w:rFonts w:hint="eastAsia" w:ascii="宋体" w:hAnsi="宋体" w:cs="宋体"/>
          <w:sz w:val="24"/>
          <w:szCs w:val="24"/>
          <w:highlight w:val="none"/>
        </w:rPr>
        <w:t xml:space="preserve">或</w:t>
      </w:r>
      <w:r>
        <w:rPr>
          <w:rFonts w:hint="eastAsia" w:ascii="宋体" w:hAnsi="宋体" w:cs="宋体"/>
          <w:bCs/>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具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szCs w:val="24"/>
          <w:highlight w:val="none"/>
        </w:rPr>
        <w:t xml:space="preserve">政府采购供应商质疑函范本</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江苏万享通咨询有限公司将在收到符合上述要求的书面质疑后七个工作日内，对质疑内容作出答复。投标人在法定质疑期限外送达的质疑函或法定质疑期限内送达的质疑函不符合上述要求的均为无效质疑，江苏万享通咨询有限公司对无效质疑不予受理。</w:t>
      </w:r>
      <w:r/>
    </w:p>
    <w:p>
      <w:pPr>
        <w:ind w:left="1200" w:hanging="72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（五）质疑与投诉</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1.质疑的提出和答复、投诉的提起和处理须按《政府采购质疑和投诉办法》（中华人民共和国财政部令第94号）相关规定执行。</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2.质疑的提出</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2.1提出质疑的供应商应当是参与所质疑项目采购活动的供应商。</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2.4供应商提出质疑应当提交质疑函和必要的证明材料。质疑函应当包括下列内容：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（1）供应商的姓名或者名称、地址、邮编、联系人及联系电话；</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（2）质疑项目的名称、编号；</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（3）具体、明确的质疑事项和与质疑事项相关的请求；</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（4）事实依据；</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（5）必要的法律依据；</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（6）提出质疑的日期。</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2.7以联合体形式参加政府采购活动的，其投诉应当由组成联合体的所有供应商共同提出。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3.1采购人负责供应商质疑答复。</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3.2质疑函由采购人办理签收手续。</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3.3质疑函接收单位信息：</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接收单位：江苏万享通咨询有限公司</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地址：无锡市滨湖区鸿桥路879号15层</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邮编：214000</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联系人：王乾、张娜娜、徐嘉怡</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电话：0510-83131355</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3.4采购人应当在收到质疑函后7个工作日内作出答复，并以书面形式通知质疑供应商和其他有关供应商。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3.5采购人处理的其他要求按《政府采购质疑和投诉办法》（中华人民共和国财政部令第94号）相关规定执行。</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4.投诉的提起</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（1）投诉人和被投诉人的姓名或者名称、通讯地址、邮编、联系人及联系电话；</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（2）质疑和质疑答复情况说明及相关证明材料；</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（3）具体、明确的投诉事项和与投诉事项相关的投诉请求；</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（4）事实依据；</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（5）法律依据；</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（6）提起投诉的日期。</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4.4投诉人提起投诉应当符合下列条件：</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（1）提起投诉前已依法进行质疑；</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（2）投诉书内容符合本办法的规定；</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（3）在投诉有效期限内提起投诉；</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（4）同一投诉事项未经财政部门投诉处理；</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（5）财政部规定的其他条件。</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4.5供应商投诉的事项不得超出已质疑事项的范围，但基于质疑答复内容提出的投诉事项除外。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（六）投标文件的组成（</w:t>
      </w:r>
      <w:r>
        <w:rPr>
          <w:rFonts w:hint="eastAsia" w:ascii="宋体" w:hAnsi="宋体" w:cs="宋体"/>
          <w:b/>
          <w:bCs/>
          <w:sz w:val="24"/>
          <w:szCs w:val="24"/>
          <w:highlight w:val="none"/>
        </w:rPr>
        <w:t xml:space="preserve">相应内容上传至投标客户端</w:t>
      </w:r>
      <w:r>
        <w:rPr>
          <w:rFonts w:hint="eastAsia" w:ascii="宋体" w:hAnsi="宋体" w:cs="宋体"/>
          <w:bCs/>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资格、资信证明文件（</w:t>
      </w:r>
      <w:r>
        <w:rPr>
          <w:rFonts w:hint="eastAsia" w:ascii="宋体" w:hAnsi="宋体" w:cs="宋体"/>
          <w:b/>
          <w:bCs/>
          <w:sz w:val="24"/>
          <w:szCs w:val="24"/>
          <w:highlight w:val="none"/>
        </w:rPr>
        <w:t xml:space="preserve">扫描后上传，身份证应为正、反面</w:t>
      </w:r>
      <w:r>
        <w:rPr>
          <w:rFonts w:hint="eastAsia" w:ascii="宋体" w:hAnsi="宋体" w:cs="宋体"/>
          <w:bCs/>
          <w:sz w:val="24"/>
          <w:szCs w:val="24"/>
          <w:highlight w:val="none"/>
        </w:rPr>
        <w:t xml:space="preserve">）：</w:t>
      </w:r>
      <w:r/>
    </w:p>
    <w:p>
      <w:pPr>
        <w:pStyle w:val="1104"/>
        <w:numPr>
          <w:ilvl w:val="1"/>
          <w:numId w:val="3"/>
        </w:numPr>
        <w:ind w:left="0" w:firstLine="567"/>
        <w:spacing w:line="360" w:lineRule="auto"/>
        <w:tabs>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关于资格的声明函（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pStyle w:val="1104"/>
        <w:numPr>
          <w:ilvl w:val="1"/>
          <w:numId w:val="3"/>
        </w:numPr>
        <w:ind w:left="0" w:firstLine="567"/>
        <w:spacing w:line="360" w:lineRule="auto"/>
        <w:tabs>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具有独立承担民事责任能力的投标人营业执照或相关部门的登记证明文件（投标人如</w:t>
      </w:r>
      <w:r>
        <w:rPr>
          <w:rFonts w:hint="eastAsia" w:ascii="宋体" w:hAnsi="宋体" w:cs="宋体"/>
          <w:sz w:val="24"/>
          <w:szCs w:val="24"/>
          <w:highlight w:val="none"/>
        </w:rPr>
        <w:t xml:space="preserve">允许以分支机构身份参加投标的，提供投标人分支机构的营业执照</w:t>
      </w:r>
      <w:r>
        <w:rPr>
          <w:rFonts w:hint="eastAsia" w:ascii="宋体" w:hAnsi="宋体" w:cs="宋体"/>
          <w:bCs/>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投标人法定代表人授权委托书</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格式见附件，法定代表人亲自参加投标的除外</w:t>
      </w:r>
      <w:r>
        <w:rPr>
          <w:rFonts w:hint="eastAsia" w:ascii="宋体" w:hAnsi="宋体" w:cs="宋体"/>
          <w:sz w:val="24"/>
          <w:szCs w:val="24"/>
          <w:highlight w:val="none"/>
        </w:rPr>
        <w:t xml:space="preserve">）（投标人如允许以分支机构身份参加投标的，请自行将“法定代表人”更改为“负责人”，分支机构投标时涉及采购文件“法定代表人”要求的部分，其具体要求视同本条规定）；</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投标人法定代表人身份证；</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投标人法定代表人授权代表身份证（</w:t>
      </w:r>
      <w:r>
        <w:rPr>
          <w:rFonts w:hint="eastAsia" w:ascii="宋体" w:hAnsi="宋体" w:cs="宋体"/>
          <w:b/>
          <w:bCs/>
          <w:sz w:val="24"/>
          <w:szCs w:val="24"/>
          <w:highlight w:val="none"/>
        </w:rPr>
        <w:t xml:space="preserve">法定代表人亲自参加投标的除外</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投标人近一年中任意一个月份（不含投标当月）为其法定代表人授权代表缴纳社保的证明（</w:t>
      </w:r>
      <w:r>
        <w:rPr>
          <w:rFonts w:hint="eastAsia" w:ascii="宋体" w:hAnsi="宋体" w:cs="宋体"/>
          <w:b/>
          <w:bCs/>
          <w:sz w:val="24"/>
          <w:szCs w:val="24"/>
          <w:highlight w:val="none"/>
        </w:rPr>
        <w:t xml:space="preserve">由相关主管部门出具，新成立公司除外、法定代表人亲自参加投标的除外</w:t>
      </w:r>
      <w:r>
        <w:rPr>
          <w:rFonts w:hint="eastAsia" w:ascii="宋体" w:hAnsi="宋体" w:cs="宋体"/>
          <w:bCs/>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投标人近一年中任意一个月份（不含投标当月）的财务状况报告（资产负债表和利润表）或由会计师事务所出具的近两年（2024年或2025年）中任意一年度的审计报告和所附已审财务报告；</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投标人近一年中任意一个月份（不含投标当月）的依法缴纳税收的相关材料（提供相关主管部门证明或银行代扣证明）；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投标人近一年中任意一个月份（不含投标当月）的依法缴纳社会保障资金的相关材料（提供相关主管部门证明或银行代扣证明）；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承诺书（</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中小企业声明函（</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hAnsi="宋体" w:cs="宋体"/>
          <w:bCs/>
          <w:sz w:val="24"/>
          <w:szCs w:val="24"/>
          <w:highlight w:val="none"/>
        </w:rPr>
      </w:pPr>
      <w:r>
        <w:rPr>
          <w:rFonts w:hint="eastAsia" w:ascii="宋体" w:hAnsi="宋体" w:cs="宋体"/>
          <w:bCs/>
          <w:sz w:val="24"/>
          <w:szCs w:val="24"/>
          <w:highlight w:val="none"/>
        </w:rPr>
        <w:t xml:space="preserve">采购人要求的特定资质证明扫描件（</w:t>
      </w:r>
      <w:r>
        <w:rPr>
          <w:rFonts w:hint="eastAsia" w:ascii="宋体" w:hAnsi="宋体" w:cs="宋体"/>
          <w:b/>
          <w:bCs/>
          <w:sz w:val="24"/>
          <w:szCs w:val="24"/>
          <w:highlight w:val="none"/>
        </w:rPr>
        <w:t xml:space="preserve">详见“投标邀请函”－“投标人资格要求”之3中要求）</w:t>
      </w:r>
      <w:r>
        <w:rPr>
          <w:rFonts w:hint="eastAsia" w:ascii="宋体" w:hAnsi="宋体" w:cs="宋体"/>
          <w:bCs/>
          <w:sz w:val="24"/>
          <w:szCs w:val="24"/>
          <w:highlight w:val="none"/>
        </w:rPr>
        <w:t xml:space="preserve">。</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3.开标一览表（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4.报价明细表（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5.投标偏离表（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6.项目管理机构配备情况表（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7.项目负责人简历表（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8.投标单位情况表（</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w:t>
      </w:r>
      <w:r/>
    </w:p>
    <w:p>
      <w:pPr>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9.技术文件</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10.评分标准中对应的其他所需证明材料（如有自行添加）</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11.要求采购人提供的配合（如有自拟并自行添加）</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12.其他（报价人认为有必要提供的声明和文件，如有自拟并自行添加）</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上述1-9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（七）投标文件的制作：</w:t>
      </w:r>
      <w:r/>
    </w:p>
    <w:p>
      <w:pPr>
        <w:numPr>
          <w:ilvl w:val="0"/>
          <w:numId w:val="4"/>
        </w:numPr>
        <w:ind w:left="0"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所有文件、往来函件均应使用简体中文（规格、型号辅助符号例外）。</w:t>
      </w:r>
      <w:r/>
    </w:p>
    <w:p>
      <w:pPr>
        <w:numPr>
          <w:ilvl w:val="0"/>
          <w:numId w:val="4"/>
        </w:numPr>
        <w:ind w:left="0"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投标文件由投标人按要求如实填写，须有投标人（签章）、法定代表人或法定代表人授权代表签章，方为有效，未尽事宜可自行补充。</w:t>
      </w:r>
      <w:r/>
    </w:p>
    <w:p>
      <w:pPr>
        <w:numPr>
          <w:ilvl w:val="0"/>
          <w:numId w:val="4"/>
        </w:numPr>
        <w:ind w:left="0"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sz w:val="24"/>
          <w:szCs w:val="24"/>
          <w:highlight w:val="none"/>
          <w:lang w:val="zh-CN"/>
        </w:rPr>
        <w:t xml:space="preserve">如无特别说明，</w:t>
      </w:r>
      <w:r>
        <w:rPr>
          <w:rFonts w:hint="eastAsia" w:ascii="宋体" w:hAnsi="宋体" w:cs="宋体"/>
          <w:bCs/>
          <w:sz w:val="24"/>
          <w:szCs w:val="24"/>
          <w:highlight w:val="none"/>
        </w:rPr>
        <w:t xml:space="preserve">投标人报价一律以人民币为投标结算货币，结算单位为“元”。</w:t>
      </w:r>
      <w:r/>
    </w:p>
    <w:p>
      <w:pPr>
        <w:numPr>
          <w:ilvl w:val="0"/>
          <w:numId w:val="4"/>
        </w:numPr>
        <w:ind w:left="0"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投标费用自理。</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（八）网上投标</w:t>
      </w:r>
      <w:r/>
    </w:p>
    <w:p>
      <w:pPr>
        <w:numPr>
          <w:ilvl w:val="0"/>
          <w:numId w:val="5"/>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p>
    <w:p>
      <w:pPr>
        <w:numPr>
          <w:ilvl w:val="0"/>
          <w:numId w:val="5"/>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投标供应商应对CA数字证书妥善保管，如被他人盗用投标，后果自负。</w:t>
      </w:r>
      <w:r/>
    </w:p>
    <w:p>
      <w:pPr>
        <w:numPr>
          <w:ilvl w:val="0"/>
          <w:numId w:val="5"/>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投标供应商按招标文件规定的网上解密时间进行解密，如未按时解密后果自负。</w:t>
      </w:r>
      <w:r/>
    </w:p>
    <w:p>
      <w:pPr>
        <w:numPr>
          <w:ilvl w:val="0"/>
          <w:numId w:val="5"/>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投标供应商应当对招标文件提出的要求和条件作出实质性响应，并在电子投标系统逐条应答。</w:t>
      </w:r>
      <w:r/>
    </w:p>
    <w:p>
      <w:pPr>
        <w:numPr>
          <w:ilvl w:val="0"/>
          <w:numId w:val="5"/>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投标供应商应对要求提供的资格证明文件（如资质证书、资格证书）、技术资料（如白皮书、彩页、手册、检测报告等）扫描上传至投标系统。</w:t>
      </w:r>
      <w:r/>
    </w:p>
    <w:p>
      <w:pPr>
        <w:numPr>
          <w:ilvl w:val="0"/>
          <w:numId w:val="5"/>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投标供应商进行网上投标请参照《政府采购项目电子交易管理操作指南－供应商》。</w:t>
      </w:r>
      <w:r/>
    </w:p>
    <w:p>
      <w:pPr>
        <w:numPr>
          <w:ilvl w:val="0"/>
          <w:numId w:val="5"/>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因投标供应商原因造成投标文件未解密的，视为撤销其投标文件，部分投标文件未解密的，其他投标文件的开标可以继续进行。</w:t>
      </w:r>
      <w:r/>
    </w:p>
    <w:p>
      <w:pPr>
        <w:numPr>
          <w:ilvl w:val="0"/>
          <w:numId w:val="5"/>
        </w:numPr>
        <w:ind w:left="1" w:firstLine="523"/>
        <w:spacing w:line="360" w:lineRule="auto"/>
        <w:tabs>
          <w:tab w:val="left" w:pos="525" w:leader="none"/>
          <w:tab w:val="left" w:pos="945" w:leader="none"/>
        </w:tabs>
        <w:rPr>
          <w:rFonts w:ascii="宋体" w:hAnsi="宋体" w:cs="宋体"/>
          <w:b/>
          <w:sz w:val="24"/>
          <w:szCs w:val="24"/>
          <w:highlight w:val="none"/>
        </w:rPr>
      </w:pPr>
      <w:r>
        <w:rPr>
          <w:rFonts w:hint="eastAsia" w:ascii="宋体" w:hAnsi="宋体" w:cs="宋体"/>
          <w:b/>
          <w:sz w:val="24"/>
          <w:szCs w:val="24"/>
          <w:highlight w:val="none"/>
        </w:rPr>
        <w:t xml:space="preserve">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（九）无效投标文件的确认：</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投标人有下列情况之一者，投标文件无效：</w:t>
      </w:r>
      <w:r/>
    </w:p>
    <w:p>
      <w:pPr>
        <w:numPr>
          <w:ilvl w:val="0"/>
          <w:numId w:val="6"/>
        </w:numPr>
        <w:spacing w:line="360" w:lineRule="auto"/>
        <w:tabs>
          <w:tab w:val="left" w:pos="945" w:leader="none"/>
        </w:tabs>
        <w:rPr>
          <w:rFonts w:ascii="宋体" w:hAnsi="宋体" w:cs="宋体"/>
          <w:bCs/>
          <w:sz w:val="24"/>
          <w:szCs w:val="24"/>
          <w:highlight w:val="none"/>
        </w:rPr>
      </w:pPr>
      <w:r>
        <w:rPr>
          <w:rFonts w:hint="eastAsia" w:ascii="宋体" w:hAnsi="宋体" w:cs="宋体"/>
          <w:sz w:val="24"/>
          <w:szCs w:val="24"/>
          <w:highlight w:val="none"/>
        </w:rPr>
        <w:t xml:space="preserve">未按规定在江苏省政府采购（苏采云）平台注册的；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电子投标文件未按规定期限投标的，纸质投标文件（如有）未按规定的期限、地点送达的；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电子投标文件未按招标文件要求签章的；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投标人未按招标文件要求解密电子投标文件的；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投标人的法定代表人授权代表，无法定代表人授权委托书的；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不具备招标文件中规定的资格要求或未按招标文件规定的要求提供资格、资信证明文件的；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sz w:val="24"/>
          <w:szCs w:val="24"/>
          <w:highlight w:val="none"/>
        </w:rPr>
        <w:t xml:space="preserve">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szCs w:val="24"/>
          <w:highlight w:val="none"/>
        </w:rPr>
        <w:t xml:space="preserve">www.creditchina.gov.cn</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）、中国政府采购网（www.ccgp.gov.cn）列入失信被执行人、重大税收违法案件当事人名单、政府采购严重违法失信行为记录名单的；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投标文件未按招标文件规定的内容和要求填写的；没有在投标系统指定位置上传对应文件、材料的；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电子投标文件图片、字迹模糊不清、无法辨认的；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电子投标文件中技术文件暗标部分（如有）中出现该报价供应商单位名称、简称、人员姓名、Logo、商标、电话号码等任何标识标记及其他暗示性标志的；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电子投标文件中技术文件未按要求编制，编制粗糙、缺漏项、格式混乱、条理不清的；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投标文件中有招标文件未允许提供的选择性内容；</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不同投标人委托同一单位或者个人办理投标事宜的；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不同投标人的单位负责人为同一人或者存在直接控股、管理关系的；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项目（标段）投标总价超过本项目（标段）预算或最高限价的；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提供虚假材料的（包括工商营业执照、财务报表、资格证明文件等）；</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投标文件含有采购人不能接受的附加条件的；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（1）评审过程中出现下列情形之一的，评标委员会应当启动异常低价投标（响应）审查程序：</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①投标（响应）报价低于采购项目预算50%的，即投标（响应）报价&lt;采购项目预算×50%；</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③投标（响应）报价低于采购项目最高限价45%的，即投标（响应）报价&lt;采购项目最高限价×45%；</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④评标委员会认定的供应商报价过低、有可能影响产品质量或者不能诚信履约的其他情形。</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除单一来源采购项目外，为采购项目提供整体设计、规范编制或者项目管理、监理、检测等服务的；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投标文件内容不全或不符合招标文件中规定的其他实质性要求的；</w:t>
      </w:r>
      <w:r/>
    </w:p>
    <w:p>
      <w:pPr>
        <w:numPr>
          <w:ilvl w:val="0"/>
          <w:numId w:val="6"/>
        </w:numPr>
        <w:ind w:left="1"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法律法规和招标文件规定的其他无效情形。</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（十）开标、评标：</w:t>
      </w:r>
      <w:r/>
    </w:p>
    <w:p>
      <w:pPr>
        <w:numPr>
          <w:ilvl w:val="1"/>
          <w:numId w:val="7"/>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所有投标单位在招标文件规定的时间内解密各自投标文件；</w:t>
      </w:r>
      <w:r/>
    </w:p>
    <w:p>
      <w:pPr>
        <w:numPr>
          <w:ilvl w:val="1"/>
          <w:numId w:val="7"/>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7"/>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cs="宋体"/>
          <w:bCs/>
          <w:sz w:val="24"/>
          <w:szCs w:val="24"/>
          <w:highlight w:val="none"/>
        </w:rPr>
      </w:pPr>
      <w:r>
        <w:rPr>
          <w:rFonts w:hint="eastAsia" w:ascii="宋体" w:hAnsi="宋体" w:cs="宋体"/>
          <w:bCs/>
          <w:sz w:val="24"/>
          <w:szCs w:val="24"/>
          <w:highlight w:val="none"/>
        </w:rPr>
        <w:t xml:space="preserve">（1）投标文件中开标一览表（报价表）内容与投标文件中相应内容不一致的，以开标一览表（报价表）为准；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（2）大写金额和小写金额不一致的，以大写金额为准；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（3）单价金额小数点或者百分比有明显错位的，以开标一览表的总价为准，并修改单价；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（4）总价金额与按单价汇总金额不一致的，以单价金额计算结果为准。</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numPr>
          <w:ilvl w:val="1"/>
          <w:numId w:val="7"/>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电子投标文件与纸质投标文件（如有）不符的，以电子投标文件为准。</w:t>
      </w:r>
      <w:r/>
    </w:p>
    <w:p>
      <w:pPr>
        <w:numPr>
          <w:ilvl w:val="1"/>
          <w:numId w:val="7"/>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投标人未参加开标的，视同认可开标结果。</w:t>
      </w:r>
      <w:r/>
    </w:p>
    <w:p>
      <w:pPr>
        <w:numPr>
          <w:ilvl w:val="1"/>
          <w:numId w:val="7"/>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评标程序</w:t>
      </w:r>
      <w:r/>
    </w:p>
    <w:p>
      <w:pPr>
        <w:ind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评标工作由江苏万享通咨询有限公司负责组织，具体评标事务由依法组建的评标委员会负责。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资格性检查。采购人依据法律法规和招标文件的规定，对投标文件中的资格证明、投标（报价）承诺函等进行审查；通过“信用中国”网站（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失信被执行人、重大税收违法案件当事人名单、政府采购严重违法失信行为记录名单，</w:t>
      </w:r>
      <w:r>
        <w:rPr>
          <w:rFonts w:hint="eastAsia" w:ascii="宋体" w:hAnsi="宋体" w:cs="宋体"/>
          <w:bCs/>
          <w:sz w:val="24"/>
          <w:szCs w:val="24"/>
          <w:highlight w:val="none"/>
        </w:rPr>
        <w:t xml:space="preserve">以确定投标供应商是否具备投标资格。信用</w:t>
      </w:r>
      <w:r>
        <w:rPr>
          <w:rFonts w:hint="eastAsia" w:ascii="宋体" w:hAnsi="宋体" w:cs="宋体"/>
          <w:sz w:val="24"/>
          <w:szCs w:val="24"/>
          <w:highlight w:val="none"/>
        </w:rPr>
        <w:t xml:space="preserve">查询结果以网页打印的形式留存并归档。</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sz w:val="24"/>
          <w:szCs w:val="24"/>
          <w:highlight w:val="none"/>
        </w:rPr>
      </w:pPr>
      <w:r>
        <w:rPr>
          <w:rFonts w:hint="eastAsia" w:ascii="宋体" w:hAnsi="宋体" w:cs="宋体"/>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480" w:leader="none"/>
        </w:tabs>
        <w:rPr>
          <w:rFonts w:hint="eastAsia" w:ascii="宋体" w:hAnsi="宋体" w:cs="宋体"/>
          <w:b/>
          <w:sz w:val="24"/>
          <w:szCs w:val="24"/>
          <w:highlight w:val="none"/>
        </w:rPr>
      </w:pPr>
      <w:r/>
      <w:bookmarkStart w:id="6" w:name="_Toc116946315"/>
      <w:r/>
      <w:r/>
    </w:p>
    <w:p>
      <w:pPr>
        <w:jc w:val="center"/>
        <w:spacing w:line="360" w:lineRule="auto"/>
        <w:tabs>
          <w:tab w:val="left" w:pos="480" w:leader="none"/>
        </w:tabs>
        <w:rPr>
          <w:rFonts w:ascii="宋体" w:hAnsi="宋体" w:cs="宋体"/>
          <w:b/>
          <w:sz w:val="24"/>
          <w:szCs w:val="24"/>
          <w:highlight w:val="none"/>
        </w:rPr>
      </w:pPr>
      <w:r>
        <w:rPr>
          <w:rFonts w:hint="eastAsia" w:ascii="宋体" w:hAnsi="宋体" w:cs="宋体"/>
          <w:b/>
          <w:sz w:val="24"/>
          <w:szCs w:val="24"/>
          <w:highlight w:val="none"/>
        </w:rPr>
        <w:t xml:space="preserve">符合性审查表</w:t>
      </w:r>
      <w:bookmarkEnd w:id="6"/>
      <w:r/>
      <w:r/>
    </w:p>
    <w:tbl>
      <w:tblPr>
        <w:tblStyle w:val="763"/>
        <w:tblW w:w="951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626"/>
        <w:gridCol w:w="7361"/>
      </w:tblGrid>
      <w:tr>
        <w:trPr>
          <w:trHeight w:val="1123"/>
        </w:trPr>
        <w:tc>
          <w:tcPr>
            <w:tcW w:w="528"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626"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评审点要求概况</w:t>
            </w:r>
            <w:r/>
          </w:p>
        </w:tc>
        <w:tc>
          <w:tcPr>
            <w:tcW w:w="7361"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评审点具体描述</w:t>
            </w:r>
            <w:r/>
          </w:p>
        </w:tc>
      </w:tr>
      <w:tr>
        <w:trPr>
          <w:trHeight w:val="716"/>
        </w:trPr>
        <w:tc>
          <w:tcPr>
            <w:gridSpan w:val="3"/>
            <w:tcW w:w="9515" w:type="dxa"/>
            <w:vAlign w:val="center"/>
            <w:textDirection w:val="lrTb"/>
            <w:noWrap w:val="false"/>
          </w:tcPr>
          <w:p>
            <w:pPr>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（一）报价要求</w:t>
            </w:r>
            <w:r/>
          </w:p>
        </w:tc>
      </w:tr>
      <w:tr>
        <w:trPr>
          <w:trHeight w:val="746"/>
        </w:trPr>
        <w:tc>
          <w:tcPr>
            <w:tcW w:w="5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16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投标报价</w:t>
            </w:r>
            <w:r/>
          </w:p>
        </w:tc>
        <w:tc>
          <w:tcPr>
            <w:tcW w:w="7361"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投标报价是固定唯一价，且没有超过本项目预算金额或最高限价。</w:t>
            </w:r>
            <w:r/>
          </w:p>
        </w:tc>
      </w:tr>
      <w:tr>
        <w:trPr>
          <w:trHeight w:val="454"/>
        </w:trPr>
        <w:tc>
          <w:tcPr>
            <w:tcW w:w="5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W w:w="16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报价修正</w:t>
            </w:r>
            <w:r/>
          </w:p>
        </w:tc>
        <w:tc>
          <w:tcPr>
            <w:tcW w:w="7361"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如出现投标报价错误的，按照处理原则修正后的报价，投标供应商须按规定进行在线确认。</w:t>
            </w:r>
            <w:r/>
          </w:p>
        </w:tc>
      </w:tr>
      <w:tr>
        <w:trPr>
          <w:trHeight w:val="454"/>
        </w:trPr>
        <w:tc>
          <w:tcPr>
            <w:tcW w:w="5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W w:w="16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报价合理性</w:t>
            </w:r>
            <w:r/>
          </w:p>
        </w:tc>
        <w:tc>
          <w:tcPr>
            <w:tcW w:w="7361"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9515" w:type="dxa"/>
            <w:vAlign w:val="center"/>
            <w:textDirection w:val="lrTb"/>
            <w:noWrap w:val="false"/>
          </w:tcPr>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trHeight w:val="776"/>
        </w:trPr>
        <w:tc>
          <w:tcPr>
            <w:gridSpan w:val="3"/>
            <w:tcW w:w="951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
                <w:bCs/>
                <w:sz w:val="24"/>
                <w:szCs w:val="24"/>
                <w:highlight w:val="none"/>
              </w:rPr>
              <w:t xml:space="preserve">（二）商务要求</w:t>
            </w:r>
            <w:r/>
          </w:p>
        </w:tc>
      </w:tr>
      <w:tr>
        <w:trPr>
          <w:trHeight w:val="821"/>
        </w:trPr>
        <w:tc>
          <w:tcPr>
            <w:tcW w:w="5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16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投标有效期</w:t>
            </w:r>
            <w:r/>
          </w:p>
        </w:tc>
        <w:tc>
          <w:tcPr>
            <w:tcW w:w="7361"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投标有效期满足招标文件要求。</w:t>
            </w:r>
            <w:r/>
          </w:p>
        </w:tc>
      </w:tr>
      <w:tr>
        <w:trPr>
          <w:trHeight w:val="454"/>
        </w:trPr>
        <w:tc>
          <w:tcPr>
            <w:tcW w:w="5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W w:w="16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投标文件的签署和盖章</w:t>
            </w:r>
            <w:r/>
          </w:p>
        </w:tc>
        <w:tc>
          <w:tcPr>
            <w:tcW w:w="7361"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投标文件符合招标文件的签署和签章要求。</w:t>
            </w:r>
            <w:r/>
          </w:p>
        </w:tc>
      </w:tr>
      <w:tr>
        <w:trPr>
          <w:trHeight w:val="913"/>
        </w:trPr>
        <w:tc>
          <w:tcPr>
            <w:tcW w:w="5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W w:w="16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投标文件内容</w:t>
            </w:r>
            <w:r/>
          </w:p>
        </w:tc>
        <w:tc>
          <w:tcPr>
            <w:tcW w:w="7361"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p>
        </w:tc>
        <w:tc>
          <w:tcPr>
            <w:tcW w:w="16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附加条件</w:t>
            </w:r>
            <w:r/>
          </w:p>
        </w:tc>
        <w:tc>
          <w:tcPr>
            <w:tcW w:w="7361"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p>
        </w:tc>
        <w:tc>
          <w:tcPr>
            <w:tcW w:w="16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无效情形</w:t>
            </w:r>
            <w:r/>
          </w:p>
        </w:tc>
        <w:tc>
          <w:tcPr>
            <w:tcW w:w="7361"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投标文件中未有法律法规和招标文件规定的其他无效情形。</w:t>
            </w:r>
            <w:r/>
          </w:p>
        </w:tc>
      </w:tr>
      <w:tr>
        <w:trPr>
          <w:trHeight w:val="337"/>
        </w:trPr>
        <w:tc>
          <w:tcPr>
            <w:gridSpan w:val="3"/>
            <w:tcW w:w="9515"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b/>
                <w:bCs/>
                <w:sz w:val="24"/>
                <w:szCs w:val="24"/>
                <w:highlight w:val="none"/>
              </w:rPr>
              <w:t xml:space="preserve">（三）技术要求</w:t>
            </w:r>
            <w:r/>
          </w:p>
        </w:tc>
      </w:tr>
      <w:tr>
        <w:trPr>
          <w:trHeight w:val="327"/>
        </w:trPr>
        <w:tc>
          <w:tcPr>
            <w:tcW w:w="528"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1626"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投标方案</w:t>
            </w:r>
            <w:r/>
          </w:p>
        </w:tc>
        <w:tc>
          <w:tcPr>
            <w:tcW w:w="7361" w:type="dxa"/>
            <w:vAlign w:val="center"/>
            <w:textDirection w:val="lrTb"/>
            <w:noWrap w:val="false"/>
          </w:tcPr>
          <w:p>
            <w:pPr>
              <w:spacing w:line="360" w:lineRule="auto"/>
              <w:rPr>
                <w:rFonts w:ascii="宋体" w:hAnsi="宋体" w:cs="宋体"/>
                <w:sz w:val="24"/>
                <w:szCs w:val="24"/>
                <w:highlight w:val="none"/>
              </w:rPr>
            </w:pPr>
            <w:r>
              <w:rPr>
                <w:rFonts w:hint="eastAsia" w:ascii="宋体" w:hAnsi="宋体" w:cs="宋体"/>
                <w:sz w:val="24"/>
                <w:szCs w:val="24"/>
                <w:highlight w:val="none"/>
              </w:rPr>
              <w:t xml:space="preserve">投标供应商提供的投标方案及报价方案固定。</w:t>
            </w:r>
            <w:r/>
          </w:p>
        </w:tc>
      </w:tr>
      <w:tr>
        <w:trPr>
          <w:trHeight w:val="697"/>
        </w:trPr>
        <w:tc>
          <w:tcPr>
            <w:gridSpan w:val="3"/>
            <w:tcW w:w="9515" w:type="dxa"/>
            <w:vAlign w:val="center"/>
            <w:textDirection w:val="lrTb"/>
            <w:noWrap w:val="false"/>
          </w:tcPr>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pStyle w:val="766"/>
        <w:rPr>
          <w:rFonts w:ascii="宋体" w:hAnsi="宋体" w:eastAsia="宋体" w:cs="宋体"/>
          <w:highlight w:val="none"/>
        </w:rPr>
      </w:pPr>
      <w:r>
        <w:rPr>
          <w:rFonts w:ascii="宋体" w:hAnsi="宋体" w:eastAsia="宋体" w:cs="宋体"/>
          <w:highlight w:val="none"/>
        </w:rPr>
      </w:r>
      <w:r/>
    </w:p>
    <w:p>
      <w:pPr>
        <w:numPr>
          <w:ilvl w:val="0"/>
          <w:numId w:val="8"/>
        </w:numPr>
        <w:ind w:left="0" w:firstLine="523"/>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rFonts w:ascii="宋体" w:hAnsi="宋体" w:cs="宋体"/>
          <w:bCs/>
          <w:sz w:val="24"/>
          <w:szCs w:val="24"/>
          <w:highlight w:val="none"/>
        </w:rPr>
      </w:pPr>
      <w:r>
        <w:rPr>
          <w:rFonts w:hint="eastAsia" w:ascii="宋体" w:hAnsi="宋体" w:cs="宋体"/>
          <w:bCs/>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cs="宋体"/>
          <w:bCs/>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评标方法</w:t>
      </w:r>
      <w:r/>
    </w:p>
    <w:p>
      <w:pPr>
        <w:ind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投标人通过初审的，方可进入</w:t>
      </w:r>
      <w:r>
        <w:rPr>
          <w:rFonts w:hint="eastAsia" w:ascii="宋体" w:hAnsi="宋体" w:cs="宋体"/>
          <w:bCs/>
          <w:sz w:val="24"/>
          <w:highlight w:val="none"/>
        </w:rPr>
        <w:t xml:space="preserve">比较与评价程序</w:t>
      </w:r>
      <w:r>
        <w:rPr>
          <w:rFonts w:hint="eastAsia" w:ascii="宋体" w:hAnsi="宋体" w:cs="宋体"/>
          <w:bCs/>
          <w:sz w:val="24"/>
          <w:szCs w:val="24"/>
          <w:highlight w:val="none"/>
        </w:rPr>
        <w:t xml:space="preserve">。</w:t>
      </w:r>
      <w:r/>
    </w:p>
    <w:p>
      <w:pPr>
        <w:ind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highlight w:val="none"/>
        </w:rPr>
        <w:t xml:space="preserve">比较与评价</w:t>
      </w:r>
      <w:r>
        <w:rPr>
          <w:rFonts w:hint="eastAsia" w:ascii="宋体" w:hAnsi="宋体" w:cs="宋体"/>
          <w:bCs/>
          <w:sz w:val="24"/>
          <w:szCs w:val="24"/>
          <w:highlight w:val="none"/>
        </w:rPr>
        <w:t xml:space="preserve">采用综合评分法。</w:t>
      </w:r>
      <w:r/>
    </w:p>
    <w:p>
      <w:pPr>
        <w:ind w:firstLine="523"/>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7"/>
        </w:numPr>
        <w:ind w:left="1" w:firstLine="523"/>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评分标准</w:t>
      </w:r>
      <w:r/>
    </w:p>
    <w:p>
      <w:pPr>
        <w:ind w:left="524"/>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详见附件。</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评标委员会根据招标文件规定的评标方法和评标标准进行评审，按招标文件的要求依法确定中标供应商。江苏万享通咨询有限公司将在江苏政府采购网发布中标公告。如有质疑，应在法定质疑期限内，即中标公告期限届满之日起7个工作日内，以书面形式（原件）送达江苏万享通咨询有限公司，并且针对同一采购程序环节的质疑，须在法定质疑期内一次性提出。质疑函的质疑事项应具体、明确，并具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szCs w:val="24"/>
          <w:highlight w:val="none"/>
        </w:rPr>
        <w:t xml:space="preserve">政府采购供应商质疑函范本</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江苏万享通咨询有限公司将在收到符合上述要求的书面质疑后七个工作日内，对质疑内容作出答复。投标供应商在法定质疑期限外送达的质疑函或法定质疑期限内送达的质疑函不符合上述要求的均为无效质疑，江苏万享通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523"/>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江苏万享通咨询有限公司向中标供应商发出中标通知书。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投标供应商电子投标文件将作为电子档案保存。</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（十二）废标的确认：</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符合专业条件的投标人或者对招标文件作出实质性响应的投标人不足三家；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因重大变故，采购任务取消。</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与招标采购单位、其他投标人恶意串通的；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向招标采购单位行贿或者提供其他不正当利益的；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拒绝有关部门监督检查或者提供虚假情况的。</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投标人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（十四）签订</w:t>
      </w:r>
      <w:r>
        <w:rPr>
          <w:rFonts w:hint="eastAsia" w:ascii="宋体" w:hAnsi="宋体" w:cs="宋体"/>
          <w:b/>
          <w:sz w:val="24"/>
          <w:szCs w:val="24"/>
          <w:highlight w:val="none"/>
        </w:rPr>
        <w:t xml:space="preserve">、履行</w:t>
      </w:r>
      <w:r>
        <w:rPr>
          <w:rFonts w:hint="eastAsia" w:ascii="宋体" w:hAnsi="宋体" w:cs="宋体"/>
          <w:bCs/>
          <w:sz w:val="24"/>
          <w:szCs w:val="24"/>
          <w:highlight w:val="none"/>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采购人应当自中标通知书发出之日起三十日内，按照招标文件和中标供应商投标文件的约定，在</w:t>
      </w:r>
      <w:r>
        <w:rPr>
          <w:rFonts w:hint="eastAsia" w:ascii="宋体" w:hAnsi="宋体" w:cs="宋体"/>
          <w:sz w:val="24"/>
          <w:highlight w:val="none"/>
        </w:rPr>
        <w:t xml:space="preserve">江苏万享通咨询有限公司</w:t>
      </w:r>
      <w:r>
        <w:rPr>
          <w:rFonts w:hint="eastAsia" w:ascii="宋体" w:hAnsi="宋体" w:cs="宋体"/>
          <w:bCs/>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sz w:val="24"/>
          <w:highlight w:val="none"/>
        </w:rPr>
        <w:t xml:space="preserve">江苏万享通咨询有限公司</w:t>
      </w:r>
      <w:r>
        <w:rPr>
          <w:rFonts w:hint="eastAsia" w:ascii="宋体" w:hAnsi="宋体" w:cs="宋体"/>
          <w:bCs/>
          <w:sz w:val="24"/>
          <w:szCs w:val="24"/>
          <w:highlight w:val="none"/>
        </w:rPr>
        <w:t xml:space="preserve">见证部分详见招标文件合同书（格式条款），见证后的格式条款不得作任何修改。</w:t>
      </w:r>
      <w:r/>
    </w:p>
    <w:p>
      <w:pPr>
        <w:numPr>
          <w:ilvl w:val="0"/>
          <w:numId w:val="13"/>
        </w:numPr>
        <w:ind w:left="-105" w:firstLine="525"/>
        <w:spacing w:line="360" w:lineRule="auto"/>
        <w:tabs>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中标方非因不可抗力未履行招、投标文件和合同规定的义务，一经查实，</w:t>
      </w:r>
      <w:r>
        <w:rPr>
          <w:rFonts w:hint="eastAsia" w:ascii="宋体" w:hAnsi="宋体" w:cs="宋体"/>
          <w:sz w:val="24"/>
          <w:highlight w:val="none"/>
        </w:rPr>
        <w:t xml:space="preserve">江苏万享通咨询有限公司</w:t>
      </w:r>
      <w:r>
        <w:rPr>
          <w:rFonts w:hint="eastAsia" w:ascii="宋体" w:hAnsi="宋体" w:cs="宋体"/>
          <w:bCs/>
          <w:sz w:val="24"/>
          <w:szCs w:val="24"/>
          <w:highlight w:val="none"/>
        </w:rPr>
        <w:t xml:space="preserve">将根据具体情况提请政府采购管理部门作出相应处理。</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（十五）注意事项：</w:t>
      </w:r>
      <w:r/>
    </w:p>
    <w:p>
      <w:pPr>
        <w:ind w:firstLine="480"/>
        <w:spacing w:line="360" w:lineRule="auto"/>
        <w:tabs>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spacing w:line="360" w:lineRule="auto"/>
        <w:tabs>
          <w:tab w:val="left" w:pos="73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中标后无正当理由不与采购人签订合同的；</w:t>
      </w:r>
      <w:r/>
    </w:p>
    <w:p>
      <w:pPr>
        <w:numPr>
          <w:ilvl w:val="3"/>
          <w:numId w:val="7"/>
        </w:numPr>
        <w:ind w:left="0" w:firstLine="523"/>
        <w:spacing w:line="360" w:lineRule="auto"/>
        <w:tabs>
          <w:tab w:val="left" w:pos="73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将中标项目转让给他人，或者在投标文件中未说明，且未经过采购人同意，将中标项目分包给他人的；</w:t>
      </w:r>
      <w:r/>
    </w:p>
    <w:p>
      <w:pPr>
        <w:numPr>
          <w:ilvl w:val="3"/>
          <w:numId w:val="7"/>
        </w:numPr>
        <w:ind w:left="0" w:firstLine="523"/>
        <w:spacing w:line="360" w:lineRule="auto"/>
        <w:tabs>
          <w:tab w:val="left" w:pos="735" w:leader="none"/>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拒绝履行合同义务的。</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（十六）中标服务费：</w:t>
      </w:r>
      <w:r/>
    </w:p>
    <w:p>
      <w:pPr>
        <w:ind w:firstLine="480"/>
        <w:spacing w:line="360" w:lineRule="auto"/>
        <w:tabs>
          <w:tab w:val="left" w:pos="1140" w:leader="none"/>
        </w:tabs>
        <w:rPr>
          <w:rFonts w:hint="eastAsia" w:ascii="宋体" w:hAnsi="宋体" w:cs="宋体"/>
          <w:sz w:val="24"/>
          <w:highlight w:val="none"/>
        </w:rPr>
      </w:pPr>
      <w:r>
        <w:rPr>
          <w:rFonts w:hint="eastAsia" w:ascii="宋体" w:hAnsi="宋体" w:cs="宋体"/>
          <w:sz w:val="24"/>
          <w:highlight w:val="none"/>
        </w:rPr>
        <w:t xml:space="preserve">1.本项目招标代理服务费由中标人支付(本年度部门预算中未单独安排招标代理服务费)。</w:t>
      </w:r>
      <w:r/>
    </w:p>
    <w:p>
      <w:pPr>
        <w:ind w:firstLine="480"/>
        <w:spacing w:line="360" w:lineRule="auto"/>
        <w:tabs>
          <w:tab w:val="left" w:pos="1140" w:leader="none"/>
        </w:tabs>
        <w:rPr>
          <w:rFonts w:hint="eastAsia" w:ascii="宋体" w:hAnsi="宋体" w:cs="宋体"/>
          <w:sz w:val="24"/>
          <w:highlight w:val="none"/>
        </w:rPr>
      </w:pPr>
      <w:r>
        <w:rPr>
          <w:rFonts w:hint="eastAsia" w:ascii="宋体" w:hAnsi="宋体" w:cs="宋体"/>
          <w:sz w:val="24"/>
          <w:highlight w:val="none"/>
        </w:rPr>
        <w:t xml:space="preserve">2.计费标准依据国家计委《招标代理服务费收费管理暂行办法》(计价格﹝2002﹞1980号文件规定，本项目招标代理服务费以中标金额为计费基础，按差额定率累进法计算:100万元以下费率为1.5%，100万</w:t>
      </w:r>
      <w:r>
        <w:rPr>
          <w:rFonts w:hint="eastAsia" w:ascii="宋体" w:hAnsi="宋体" w:cs="宋体"/>
          <w:sz w:val="24"/>
          <w:highlight w:val="none"/>
          <w:lang w:val="en-US" w:eastAsia="zh-CN"/>
        </w:rPr>
        <w:t xml:space="preserve">元</w:t>
      </w:r>
      <w:r>
        <w:rPr>
          <w:rFonts w:hint="eastAsia" w:ascii="宋体" w:hAnsi="宋体" w:cs="宋体"/>
          <w:sz w:val="24"/>
          <w:highlight w:val="none"/>
        </w:rPr>
        <w:t xml:space="preserve">一500</w:t>
      </w:r>
      <w:r>
        <w:rPr>
          <w:rFonts w:hint="eastAsia" w:ascii="宋体" w:hAnsi="宋体" w:cs="宋体"/>
          <w:sz w:val="24"/>
          <w:highlight w:val="none"/>
          <w:lang w:eastAsia="zh-CN"/>
        </w:rPr>
        <w:t xml:space="preserve">万元</w:t>
      </w:r>
      <w:r>
        <w:rPr>
          <w:rFonts w:hint="eastAsia" w:ascii="宋体" w:hAnsi="宋体" w:cs="宋体"/>
          <w:sz w:val="24"/>
          <w:highlight w:val="none"/>
        </w:rPr>
        <w:t xml:space="preserve">费率为0.8%。</w:t>
      </w:r>
      <w:r/>
    </w:p>
    <w:p>
      <w:pPr>
        <w:ind w:firstLine="480"/>
        <w:spacing w:line="360" w:lineRule="auto"/>
        <w:tabs>
          <w:tab w:val="left" w:pos="1140" w:leader="none"/>
        </w:tabs>
        <w:rPr>
          <w:rFonts w:hint="eastAsia" w:ascii="宋体" w:hAnsi="宋体" w:cs="宋体"/>
          <w:sz w:val="24"/>
          <w:highlight w:val="none"/>
        </w:rPr>
      </w:pPr>
      <w:r>
        <w:rPr>
          <w:rFonts w:hint="eastAsia" w:ascii="宋体" w:hAnsi="宋体" w:cs="宋体"/>
          <w:sz w:val="24"/>
          <w:highlight w:val="none"/>
        </w:rPr>
        <w:t xml:space="preserve">3.投标人在投标报价时，应综合考虑招标代理服务费因素，将该费用</w:t>
      </w:r>
      <w:r>
        <w:rPr>
          <w:rFonts w:hint="eastAsia" w:ascii="宋体" w:hAnsi="宋体" w:cs="宋体"/>
          <w:sz w:val="24"/>
          <w:highlight w:val="none"/>
          <w:lang w:eastAsia="zh-CN"/>
        </w:rPr>
        <w:t xml:space="preserve">包含</w:t>
      </w:r>
      <w:r>
        <w:rPr>
          <w:rFonts w:hint="eastAsia" w:ascii="宋体" w:hAnsi="宋体" w:cs="宋体"/>
          <w:sz w:val="24"/>
          <w:highlight w:val="none"/>
        </w:rPr>
        <w:t xml:space="preserve">在总报价中，采购人不再另行支付。</w:t>
      </w:r>
      <w:r/>
    </w:p>
    <w:p>
      <w:pPr>
        <w:ind w:firstLine="480"/>
        <w:spacing w:line="360" w:lineRule="auto"/>
        <w:tabs>
          <w:tab w:val="left" w:pos="1140" w:leader="none"/>
        </w:tabs>
        <w:rPr>
          <w:rFonts w:hint="eastAsia" w:ascii="宋体" w:hAnsi="宋体" w:cs="宋体"/>
          <w:sz w:val="24"/>
          <w:highlight w:val="none"/>
        </w:rPr>
      </w:pPr>
      <w:r>
        <w:rPr>
          <w:rFonts w:hint="eastAsia" w:ascii="宋体" w:hAnsi="宋体" w:cs="宋体"/>
          <w:sz w:val="24"/>
          <w:highlight w:val="none"/>
        </w:rPr>
        <w:t xml:space="preserve">4.中标结果公告中，将一并公开本次招标代理服务费的收取金额及收取方式，接受社会监督。</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宋体" w:hAnsi="宋体" w:cs="宋体"/>
          <w:bCs/>
          <w:sz w:val="30"/>
          <w:szCs w:val="30"/>
          <w:highlight w:val="none"/>
        </w:rPr>
        <w:outlineLvl w:val="0"/>
      </w:pPr>
      <w:r>
        <w:rPr>
          <w:rFonts w:hint="eastAsia" w:ascii="宋体" w:hAnsi="宋体" w:cs="宋体"/>
          <w:bCs/>
          <w:sz w:val="30"/>
          <w:szCs w:val="30"/>
          <w:highlight w:val="none"/>
        </w:rPr>
        <w:br w:type="page" w:clear="all"/>
      </w:r>
      <w:bookmarkStart w:id="7" w:name="_Toc2291"/>
      <w:r/>
      <w:bookmarkStart w:id="8" w:name="_Toc20069"/>
      <w:r>
        <w:rPr>
          <w:rFonts w:hint="eastAsia" w:ascii="宋体" w:hAnsi="宋体" w:cs="宋体"/>
          <w:bCs/>
          <w:sz w:val="30"/>
          <w:szCs w:val="30"/>
          <w:highlight w:val="none"/>
        </w:rPr>
        <w:t xml:space="preserve">三.</w:t>
      </w:r>
      <w:bookmarkEnd w:id="7"/>
      <w:r>
        <w:rPr>
          <w:rFonts w:hint="eastAsia" w:ascii="宋体" w:hAnsi="宋体" w:cs="宋体"/>
          <w:b/>
          <w:sz w:val="30"/>
          <w:szCs w:val="30"/>
          <w:highlight w:val="none"/>
        </w:rPr>
        <w:t xml:space="preserve">采购需求</w:t>
      </w:r>
      <w:bookmarkEnd w:id="8"/>
      <w:r/>
      <w:r/>
    </w:p>
    <w:p>
      <w:pPr>
        <w:ind w:firstLine="480"/>
        <w:spacing w:after="5" w:line="360" w:lineRule="auto"/>
        <w:rPr>
          <w:rFonts w:ascii="宋体" w:hAnsi="宋体" w:cs="宋体"/>
          <w:sz w:val="24"/>
          <w:szCs w:val="24"/>
          <w:highlight w:val="none"/>
        </w:rPr>
      </w:pPr>
      <w:r/>
      <w:bookmarkStart w:id="9" w:name="_Toc5531"/>
      <w:r>
        <w:rPr>
          <w:rFonts w:hint="eastAsia" w:ascii="宋体" w:hAnsi="宋体" w:cs="宋体"/>
          <w:sz w:val="24"/>
          <w:szCs w:val="24"/>
          <w:highlight w:val="none"/>
        </w:rPr>
        <w:t xml:space="preserve">投标人所投内容必须满足以下要求，不得有负偏离。</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（一）项目技术要求：</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1.项目概况</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本项目维保清单内的设备是在不同时间段内购置的，目前信息系统的软、硬件设备主要分布在本部机房和弱电间内，设备类型包括服务器、磁盘阵列、安全设备、交换机、虚拟化平台、UPS、精密空调等，为单位信息系统的运行提供信息基础保障。本次要求在1年服务期内，提供维护清单内的设备质保、安全设备特征库升级、信息系统运行保障（维护清单内设备及终端PC等）、网络安全服务、智能监测与预警等服务，确保采购单位设备和各项系统7*24小时正常运行。</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采购单位现有“自然资源规划一体化平台（信息安全等级保护备案三级）”、“电子政务云平台”、“不动产登记信息管理平台（信息安全等级保护备案三级）”等重要信息系统，网络分为业务专网和政务外网。机房位于运河东路199号12楼，现有办公区两处，分别位于运河东路199号和市民中心10号楼，两处办公区现有电脑终端约500台、打印机外设等约180台。</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2.技术要求</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中标供应商提供采购单位所有的现正在使用的机房信息化软硬件产品(具体清单见附件一)及维护期内采购单位新增计算机软硬件产品的一年维护及技术支持，确保采购单位设备和各项系统7*24小时正常运行。</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2.1 总体要求如下：</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中标供应商硬件维护、保修的范围包括对清单所列硬件产品，在维护期内当设备发生故障后，均由中标供应商提供专业工程师上门免费维修及备件更换服务；</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中标供应商必须协助采购单位完成数据中心关联的网络系统、容灾系统、安全系统等整体规划，并在维护期内不断加以补充与完善；</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中标供应商必须协助采购单位完成维护期内业务应用系统的升级改造，协助软件开发单位严格按照相关管理要求进行部署；</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中标供应商软件维护的范围包括采购单位机房内的设备操作系统、数据库系统等，出现问题均由中标供应商负责恢复至正常状态；</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中标供应商保证采购单位计算机信息系统全年7*24小时安全、稳定、高效运行。在接到采购单位故障报修电话后，中标供应商维护工程师在采购单位工作时间必须立即响应并在10分钟内</w:t>
      </w:r>
      <w:r>
        <w:rPr>
          <w:rFonts w:hint="eastAsia" w:ascii="宋体" w:hAnsi="宋体" w:cs="宋体"/>
          <w:sz w:val="24"/>
          <w:szCs w:val="24"/>
          <w:highlight w:val="none"/>
          <w:lang w:eastAsia="zh-CN"/>
        </w:rPr>
        <w:t xml:space="preserve">到达</w:t>
      </w:r>
      <w:r>
        <w:rPr>
          <w:rFonts w:hint="eastAsia" w:ascii="宋体" w:hAnsi="宋体" w:cs="宋体"/>
          <w:sz w:val="24"/>
          <w:szCs w:val="24"/>
          <w:highlight w:val="none"/>
        </w:rPr>
        <w:t xml:space="preserve">故障现场排查原因</w:t>
      </w:r>
      <w:r>
        <w:rPr>
          <w:rFonts w:hint="eastAsia" w:ascii="宋体" w:hAnsi="宋体" w:cs="宋体"/>
          <w:sz w:val="24"/>
          <w:szCs w:val="24"/>
          <w:highlight w:val="none"/>
          <w:lang w:eastAsia="zh-CN"/>
        </w:rPr>
        <w:t xml:space="preserve">，在</w:t>
      </w:r>
      <w:r>
        <w:rPr>
          <w:rFonts w:hint="eastAsia" w:ascii="宋体" w:hAnsi="宋体" w:cs="宋体"/>
          <w:sz w:val="24"/>
          <w:szCs w:val="24"/>
          <w:highlight w:val="none"/>
        </w:rPr>
        <w:t xml:space="preserve">非工作时间接到采购单位故障报修电话后应立即响应并在60分钟内到达现场排查原因；如到达现场维护人员无法解决的，即刻派相关技术专家到现场解决，并要求1小时内到达现场，到达现场后2小时内恢复，保证系统能够正常运行；如仍无法解决的，应提供同等性能的备机以确保采购单位信息系统的正常运行；返修设备需在15日内（服务期结束时间小于15日的相应顺延）返回并替换备机，如返修设备未及时返回的，备机将不予退还并转移为采购单位的日常备品备件，原维修设备在1个月内仍未返回的，采购单位保留追回设备的权利；</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中标供应商需根据维护清单的设备，在供应商单位建立备品备件库，以满足本项目的维修需要；</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中标供应商需为维护清单内带有特征库升级的安全设备提供升级服务，确保维护期内所有特征库保持最新，以满足网络安全的防护需要；</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中标供应商需在一年维护期内，针对信息系统提供基线核查、漏洞扫描、人工渗透测试等安全服务，并出具相应安全报告，协助处理报告中提出的安全问题；</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上门服务的维护工程师须具备一定的技术响应能力，并具有中级及以上职称、3年及以上工作经验。具体要求不低于：终端及外设系统故障问题处理人员须具有终端电脑类工程师认证证书，网络系统故障问题处理人员须具有HCNP等中级网络工程师认证证书，服务器虚拟化系统故障问题处理人员须具有VCP虚拟化认证工程师证书，数据库系统故障问题处理人员须具有OCP/OCM数据库认证工程师证书；</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中标供应商需提供不同专业系统管理经验丰富的运维服务工程师进行周期性维护和故障响应服务，专业领域不仅限</w:t>
      </w:r>
      <w:r>
        <w:rPr>
          <w:rFonts w:hint="eastAsia" w:ascii="宋体" w:hAnsi="宋体" w:cs="宋体"/>
          <w:sz w:val="24"/>
          <w:szCs w:val="24"/>
          <w:highlight w:val="none"/>
        </w:rPr>
        <w:t xml:space="preserve">于网络系统、服务器系统、虚拟化系统、存储系统、信息安全系统、容灾系统及机房各类基础智能化系统等。要求提供规定响应时间的现场技术支持与服务，同时发生多项故障时需提供多人现场响应服务，以便及时处理各项系统运行中的各种日常问题。运维服务工程师需负责采购单位文华路办公区及机房、市民中心办公区、市民中心机房等所有的网络系统、服务器系统、虚拟化系统、存储系统、信息安全系统、容灾系统、视频会议系统、UPS不间断电源系统、精密空调系统、环境监控等系统问题处理工作；中标供应商需针对本项目配备项目经理1名，负责项目的总体协调；</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中标供应商在本项目合同规定维护期内的法定节假日，应根据采购单位的要求安排工程师进行应急保障，做好紧急情况处理工作；</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必须对维护范围内的系统和设备根据采购单位要求进行定期现场巡检（巡检内容见下述详细服务内容）；及时发现采购单位数据中心信息系统存在的隐患与安全漏洞，向采购单位提出书面报告，并协助采购单位解决存在的问题与隐患。以上巡检均需提供巡检单并由采购单位确认巡检结果，作为服务评定结果的依据；</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中标供应商在签订合同后，须在一个月内根据采购单位各系统实际情况，针对每个系统编写人员岗位操作手册及与之对应的系统应急预案，并要求每半年进行一次模拟应急演练测试工作，中标供应商应在模拟演练测试过程中做好系统的各项保障工作。</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2.2 详细服务内容：</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2.2.1 信息资产建档</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对采购单位有关信息资产情况不定期进行全面梳理，生成相应的资产统计表、机柜图和系统档案。根据采购单位资产变动情况及时更新、重新统计，确保系统运行维护服务的全面、准确。</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建档内容包括：</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（1）硬件设备品牌、型号、数量、序列号、服务编号、保修日期，BIOS版本，ESM FIRMWARE版本，RAID卡型号，RAID卡firmware版本，RAID卡硬盘配置信息等。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（2）软件产品型号、OS版本和SERVICE PACKAGE情况，数据库版本，应用软件版本，数据及日志大小，存放情况，备份情况。</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（3）网络结构拓扑图、路由信息、IP地址、网络设备配置等信息。</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（4）综合布线系统结构图、机柜图。</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（5）机房环境设备（如专用空调、UPS等）信息。</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（6）数据备份策略和实施计划。</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（7）硬件设备维修记录。</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2.2.2 机房设备维护服务</w:t>
      </w:r>
      <w:r/>
    </w:p>
    <w:p>
      <w:pPr>
        <w:numPr>
          <w:ilvl w:val="1"/>
          <w:numId w:val="14"/>
        </w:numPr>
        <w:spacing w:line="360" w:lineRule="auto"/>
        <w:tabs>
          <w:tab w:val="left" w:pos="1344" w:leader="none"/>
        </w:tabs>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存储设备、PC服务器</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中标供应商维护工程师在全年每个工作日进行现场巡检，每季度派遣具有存储设备、PC服务器维护经验的资深认证工程师对采购单位的存储设备、PC服务器进行全面现场巡检，确认设备运行状态，检查系统错误记录，排除潜在隐患，以确保业务系统能正常稳定运行。</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检查的主要内容包括：</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（1）主机系统硬件各部分检查，实时监控主机电源、风扇的使用情况及主机机箱内部温度，监控主机网卡、阵列卡等硬件状态。定期进行RAID一致性校验，防止潜在的硬盘故障。</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（2）操作系统的检查。</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（3）服务器硬件健康检查、系统性能检查及优化：CPU性能、内存使用情况、硬盘运行状态、硬盘利用情况、系统进程、主机性能、文件系统、主机HA运行状况。</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（4）监控备份服务进程、备份情况（起止时间、是否成功、出错告警）。</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（5）监控记录存储设备及相关联的光纤交换机的设备状态、端口状态、传输速度，以及存储的性能（如高速缓存、光纤通道等）。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（6）对设备运行整体性能检查和评估，提出存储设备扩容及优化的建议；</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（7）协助采购单位进行系统软硬件升级和功能扩展。</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（8）提供定期上门巡检报告。</w:t>
      </w:r>
      <w:r/>
    </w:p>
    <w:p>
      <w:pPr>
        <w:numPr>
          <w:ilvl w:val="1"/>
          <w:numId w:val="14"/>
        </w:numPr>
        <w:spacing w:line="360" w:lineRule="auto"/>
        <w:tabs>
          <w:tab w:val="left" w:pos="1344" w:leader="none"/>
        </w:tabs>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安全设备</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安全设备包括交换平台、网闸、负载均衡、漏洞扫描、防火墙（包括UTM、应用防火墙）、入侵检测、日志审计、数据库审计、堡垒机等。中标供应商维护工程师在全年每个工作日进行现场巡检，每季度派遣具有安全设备维护经验的资深认证工程师，对采购单位的安全设备进行全面检测，确认设备运行状态，检查系统错误记录，排除潜在隐患，以确保安全设备能正常稳定运行。并对相关的关键安全设备提供原厂质保服务。检查的主要内容包括：</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（1）对设备进行全面检测，包括安全设备的运行状态的监控，对各种安全设备的日志检查，对重点事件进行记录等。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（2）定期进行漏洞扫描、入侵检测、日志审计、数据库审计等，对安全事件的产生原因进行判断，及时发现问题并提出解决方案，加强系统防护，防患于未然。</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（3）对设备的运行数据（配置、性能、故障等）进行记录，形成报表进行统计分析，便于进行系统的分析和故障的提前预知。</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（4）提供定期上门巡检报告。</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中标供应商需根据维护清单的具有特征库升级的安全设备，确保维护期内所有特征库保持原厂最新和证书续费，以满足网络安全的防护需要</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如遇到原厂已不支持升级，可提供同等功能软硬件设备服务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。设备原厂升级清单如下：</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830"/>
        <w:gridCol w:w="3808"/>
        <w:gridCol w:w="828"/>
        <w:gridCol w:w="889"/>
      </w:tblGrid>
      <w:tr>
        <w:trPr>
          <w:trHeight w:val="20"/>
        </w:trPr>
        <w:tc>
          <w:tcPr>
            <w:shd w:val="clear" w:color="auto" w:fill="auto"/>
            <w:tcW w:w="44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序号</w:t>
            </w:r>
            <w:r/>
          </w:p>
        </w:tc>
        <w:tc>
          <w:tcPr>
            <w:shd w:val="clear" w:color="auto" w:fill="auto"/>
            <w:tcW w:w="154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软件名称</w:t>
            </w:r>
            <w:r/>
          </w:p>
        </w:tc>
        <w:tc>
          <w:tcPr>
            <w:shd w:val="clear" w:color="auto" w:fill="auto"/>
            <w:tcW w:w="2075"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品牌型号</w:t>
            </w:r>
            <w:r/>
          </w:p>
        </w:tc>
        <w:tc>
          <w:tcPr>
            <w:shd w:val="clear" w:color="auto" w:fill="auto"/>
            <w:tcW w:w="45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数量</w:t>
            </w:r>
            <w:r/>
          </w:p>
        </w:tc>
        <w:tc>
          <w:tcPr>
            <w:shd w:val="clear" w:color="auto" w:fill="auto"/>
            <w:tcW w:w="48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单位</w:t>
            </w:r>
            <w:r/>
          </w:p>
        </w:tc>
      </w:tr>
      <w:tr>
        <w:trPr>
          <w:trHeight w:val="20"/>
        </w:trPr>
        <w:tc>
          <w:tcPr>
            <w:shd w:val="clear" w:color="auto" w:fill="auto"/>
            <w:tcW w:w="44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154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虚拟化安全防护系统</w:t>
            </w:r>
            <w:r/>
          </w:p>
        </w:tc>
        <w:tc>
          <w:tcPr>
            <w:shd w:val="clear" w:color="auto" w:fill="auto"/>
            <w:tcW w:w="2075"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网神VMS7.0-CPU-ARS</w:t>
            </w:r>
            <w:r/>
          </w:p>
        </w:tc>
        <w:tc>
          <w:tcPr>
            <w:shd w:val="clear" w:color="auto" w:fill="auto"/>
            <w:tcW w:w="45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48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套</w:t>
            </w:r>
            <w:r/>
          </w:p>
        </w:tc>
      </w:tr>
      <w:tr>
        <w:trPr>
          <w:trHeight w:val="20"/>
        </w:trPr>
        <w:tc>
          <w:tcPr>
            <w:shd w:val="clear" w:color="auto" w:fill="auto"/>
            <w:tcW w:w="44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shd w:val="clear" w:color="auto" w:fill="auto"/>
            <w:tcW w:w="154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市民中心UTM安全网关</w:t>
            </w:r>
            <w:r/>
          </w:p>
        </w:tc>
        <w:tc>
          <w:tcPr>
            <w:shd w:val="clear" w:color="auto" w:fill="auto"/>
            <w:tcW w:w="2075"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山石网科 SG-6000 E2800</w:t>
            </w:r>
            <w:r/>
          </w:p>
        </w:tc>
        <w:tc>
          <w:tcPr>
            <w:shd w:val="clear" w:color="auto" w:fill="auto"/>
            <w:tcW w:w="45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48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台</w:t>
            </w:r>
            <w:r/>
          </w:p>
        </w:tc>
      </w:tr>
      <w:tr>
        <w:trPr>
          <w:trHeight w:val="20"/>
        </w:trPr>
        <w:tc>
          <w:tcPr>
            <w:shd w:val="clear" w:color="auto" w:fill="auto"/>
            <w:tcW w:w="44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shd w:val="clear" w:color="auto" w:fill="auto"/>
            <w:tcW w:w="154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漏扫设备</w:t>
            </w:r>
            <w:r/>
          </w:p>
        </w:tc>
        <w:tc>
          <w:tcPr>
            <w:shd w:val="clear" w:color="auto" w:fill="auto"/>
            <w:tcW w:w="2075"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绿盟RSAS NX3-X-C</w:t>
            </w:r>
            <w:r/>
          </w:p>
        </w:tc>
        <w:tc>
          <w:tcPr>
            <w:shd w:val="clear" w:color="auto" w:fill="auto"/>
            <w:tcW w:w="45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48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台</w:t>
            </w:r>
            <w:r/>
          </w:p>
        </w:tc>
      </w:tr>
      <w:tr>
        <w:trPr>
          <w:trHeight w:val="20"/>
        </w:trPr>
        <w:tc>
          <w:tcPr>
            <w:shd w:val="clear" w:color="auto" w:fill="auto"/>
            <w:tcW w:w="44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p>
        </w:tc>
        <w:tc>
          <w:tcPr>
            <w:shd w:val="clear" w:color="auto" w:fill="auto"/>
            <w:tcW w:w="154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下属汇聚防火墙-主</w:t>
            </w:r>
            <w:r/>
          </w:p>
        </w:tc>
        <w:tc>
          <w:tcPr>
            <w:shd w:val="clear" w:color="auto" w:fill="auto"/>
            <w:tcW w:w="2075"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网御V6000-F6200P</w:t>
            </w:r>
            <w:r/>
          </w:p>
        </w:tc>
        <w:tc>
          <w:tcPr>
            <w:shd w:val="clear" w:color="auto" w:fill="auto"/>
            <w:tcW w:w="45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48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台</w:t>
            </w:r>
            <w:r/>
          </w:p>
        </w:tc>
      </w:tr>
      <w:tr>
        <w:trPr>
          <w:trHeight w:val="20"/>
        </w:trPr>
        <w:tc>
          <w:tcPr>
            <w:shd w:val="clear" w:color="auto" w:fill="auto"/>
            <w:tcW w:w="44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p>
        </w:tc>
        <w:tc>
          <w:tcPr>
            <w:shd w:val="clear" w:color="auto" w:fill="auto"/>
            <w:tcW w:w="154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防病毒软件</w:t>
            </w:r>
            <w:r/>
          </w:p>
        </w:tc>
        <w:tc>
          <w:tcPr>
            <w:shd w:val="clear" w:color="auto" w:fill="auto"/>
            <w:tcW w:w="2075"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360天擎终端安全管理系统</w:t>
            </w:r>
            <w:r/>
          </w:p>
        </w:tc>
        <w:tc>
          <w:tcPr>
            <w:shd w:val="clear" w:color="auto" w:fill="auto"/>
            <w:tcW w:w="45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48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套</w:t>
            </w:r>
            <w:r/>
          </w:p>
        </w:tc>
      </w:tr>
      <w:tr>
        <w:trPr>
          <w:trHeight w:val="20"/>
        </w:trPr>
        <w:tc>
          <w:tcPr>
            <w:shd w:val="clear" w:color="auto" w:fill="auto"/>
            <w:tcW w:w="44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p>
        </w:tc>
        <w:tc>
          <w:tcPr>
            <w:shd w:val="clear" w:color="auto" w:fill="auto"/>
            <w:tcW w:w="154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外网ips-主 </w:t>
            </w:r>
            <w:r/>
          </w:p>
        </w:tc>
        <w:tc>
          <w:tcPr>
            <w:shd w:val="clear" w:color="auto" w:fill="auto"/>
            <w:tcW w:w="2075"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网御Leadsec-6800 IPS</w:t>
            </w:r>
            <w:r/>
          </w:p>
        </w:tc>
        <w:tc>
          <w:tcPr>
            <w:shd w:val="clear" w:color="auto" w:fill="auto"/>
            <w:tcW w:w="45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48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台</w:t>
            </w:r>
            <w:r/>
          </w:p>
        </w:tc>
      </w:tr>
      <w:tr>
        <w:trPr>
          <w:trHeight w:val="20"/>
        </w:trPr>
        <w:tc>
          <w:tcPr>
            <w:shd w:val="clear" w:color="auto" w:fill="auto"/>
            <w:tcW w:w="44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7</w:t>
            </w:r>
            <w:r/>
          </w:p>
        </w:tc>
        <w:tc>
          <w:tcPr>
            <w:shd w:val="clear" w:color="auto" w:fill="auto"/>
            <w:tcW w:w="154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备份云平台</w:t>
            </w:r>
            <w:r/>
          </w:p>
        </w:tc>
        <w:tc>
          <w:tcPr>
            <w:shd w:val="clear" w:color="auto" w:fill="auto"/>
            <w:tcW w:w="2075" w:type="pct"/>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爱数AnyBackupCloud</w:t>
            </w:r>
            <w:r/>
          </w:p>
        </w:tc>
        <w:tc>
          <w:tcPr>
            <w:shd w:val="clear" w:color="auto" w:fill="auto"/>
            <w:tcW w:w="451"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shd w:val="clear" w:color="auto" w:fill="auto"/>
            <w:tcW w:w="485" w:type="pct"/>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套</w:t>
            </w:r>
            <w:r/>
          </w:p>
        </w:tc>
      </w:tr>
    </w:tbl>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网络设备（含网络）</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中标供应商维护工程师在全年每个工作日进行现场巡检，每季度派遣具有网络设备维护经验的资深认证工程师，对采购单位的网络设备进行全面检测，从网络的连通性、网络的性能、网络的监控管理等方面对网络系统进行管理。确认设备运行状态，检查系统错误记录，排除潜在隐患，保障交换机、路由器等网络设备的正常运转，保证网络的实时连通和可用。检查的主要内容包括：</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（1）对设备进行全面检测，包括硬件运行状态（如电源、风扇、模块等）、系统运行状态（如交换机的端口是否可以正常使用，网络的转发和路由是否正常进行、交换机的性能检测等）、日志检查等。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（2）提供机房和办公环境的网络布局、网络接入和故障排除服务。包括：网络环境布局的设计，网络接入服务及相关设备的安装调试服务，提供IP地址的分配、配置服务等。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（3）对网络进行整体性能评估，针对网络的利用率进行优化并提出网络扩容和优化的建议；</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（3）对设备的运行数据（配置、性能、故障等）进行记录，形成报表进行统计分析，便于进行网络系统的分析和故障的提前预知；</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（4）提供定期上门巡检报告。</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其他机房设备</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机房规模为32个机柜，中标供应商维护工程师负责在全年每周1天进行UPS不间断电源系统、精密空调系统、环境监控系统等现场巡检、每季度派遣具有设备维护经验的资深认证工程师，对采购单位的本部机房内的设备进行现场全面检测，确认设备运行状态，检查系统错误记录，排除潜在隐患，以确保安全设备能正常稳定运行。巡检检查的主要内容包括：</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（1）对设备进行全面检测，包括设备硬件各部分的检查，运行状态的监控等；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（2）设备运行性能检查及优化；</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（3）提供定期上门巡检报告。</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2.2.3 软件维护服务</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2.2.3.1 服务范围</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提供设备上运行的各类软件的维护，如操作系统（Linux、windows、Redhat、统信UOS、麒麟等）、办公软件（Office、WPS、永中Office等）、数据库（Oracle、SQL、神舟通用等）、安全应用软件（防病毒软件、IT运维管理系统、容灾备份系统等）等。服务范围如下：</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2.2.3.2 服务要求</w:t>
      </w:r>
      <w:r/>
    </w:p>
    <w:p>
      <w:pPr>
        <w:numPr>
          <w:ilvl w:val="1"/>
          <w:numId w:val="14"/>
        </w:numPr>
        <w:spacing w:line="360" w:lineRule="auto"/>
        <w:tabs>
          <w:tab w:val="left" w:pos="1344" w:leader="none"/>
        </w:tabs>
        <w:rPr>
          <w:rFonts w:ascii="宋体" w:hAnsi="宋体" w:cs="宋体"/>
          <w:sz w:val="24"/>
          <w:szCs w:val="24"/>
          <w:highlight w:val="none"/>
        </w:rPr>
      </w:pPr>
      <w:r>
        <w:rPr>
          <w:rFonts w:hint="eastAsia" w:ascii="宋体" w:hAnsi="宋体" w:cs="宋体"/>
          <w:sz w:val="24"/>
          <w:szCs w:val="24"/>
          <w:highlight w:val="none"/>
        </w:rPr>
        <w:t xml:space="preserve">操作系统</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中标供应商根据采购单位工作人员要求安装相应版本操作系统，定期检查操作系统环境，分析操作系统日志，查看各类关键JOB执行结果，避免故障隐患；由中标供应商根据实施情况提出升级建议，采购单位同意后完成操作系统小版本升级，提供现场支持服务；定期检查各文件系统的利用率情况，根据数据增长量预估决定是否要增加其容量。</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维护工程师在全年每个工作日进行负责对操作系统及安全管理软件进行现场巡检、故障解决、病毒查杀等。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如果系统运行出现异常，中标供应商对操作系统进行系统性能调整、补丁升级和系统优化，提高系统效率和安全性。巡检检查完毕后，中标供应商将巡检报告、故障处理报告提交给采购单位。</w:t>
      </w:r>
      <w:r/>
    </w:p>
    <w:p>
      <w:pPr>
        <w:numPr>
          <w:ilvl w:val="0"/>
          <w:numId w:val="15"/>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数据库</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中标供应商维护工程师全年每周两天通过主动式性能管理了解“自然资源规划一体化平台”、“电子政务云平台”、“不动产登记信息管理平台”等系统数据库的日常运行状态，快速发现、诊断和识别数据库的性能问题发生在什么地方，有针对性地进行性能优化。同时，密切注意数据库系统的变化，及时找出性能瓶颈，主动预防可能发生的问题，确保应用系统高效运行。并提供巡检报告。</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（1）数据库现场安装、升级服务</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中标供应商有相关工作经验和资格认证的资深数据库认证工程师，提供各种数据库版本的现场服务，包括数据库软件安装、数据库双机集群配置、数据库软件升级的规划和实施等。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（2）数据库健康检查服务</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数据库健康检查主要涉及以下四个方面：</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系统和数据库的可用性</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系统和数据库的完整性</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系统、数据库和应用的性能</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系统备份和恢复方案的评估</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数据库健康检查由具有相关工作经验的资深认证工程师完成，采用适当的步骤完成内容丰富的检查表，检查前向采购单位提供所有检查表及检查方法、方案，经采购单位确认后前来实施。通过对系统结果及运行架构进行高层面的评测，得出采购单位数据库的整体运行情况，指出系统运作流程中的潜在风险区域，通过改善系统环境的稳定性来降低潜在的系统宕机时间。应在检查后5个工作日内向采购单位提供全面建议报告。</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通常进行的检查内容包括：</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检查数据库的结构、初始化参数、主要配置文件</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检查并分析系统日志及跟踪文件</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检查影响数据库性能的其他参数及设置</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检查系统和数据库是否需要应用最新的补丁集</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检查数据库空间的使用情况及规划管理</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检查数据库备份的完整性</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监控数据库的性能,确认系统的资源需求</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（3）数据库性能评估及优化调整服务</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数据库性能优化调整的内容主要包括：</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数据库性能的监控和调整</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数据库安全及用户的管理</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系统资源的监控及管理</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数据库的备份和恢复</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数据库空间管理</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DBA的工作职责及日常数据库系统的维护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数据库性能评估由具有相关工作经验的资深认证工程师完成，采用适当的步骤完成内容丰富的信息采集，评估优化方案必须经采购单位同意。评估的方式主要有以下几种：</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分析用户的应用类型和用户行为</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评价并修改数据库的参数设置</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评价并调整数据库的数据分布</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评价应用对硬件和数据库系统的使用情况</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利用先进的性能调整工具实施数据库的性能调整</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通过评估后在5个工作日内向采购单位提供全面评估报告。评估报告应包括以下内容：</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针对数据库文件分布的变化提出建议</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使用经过检测的工具、脚本</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系统测评相应的软件功能</w:t>
      </w:r>
      <w:r/>
    </w:p>
    <w:p>
      <w:pPr>
        <w:numPr>
          <w:ilvl w:val="0"/>
          <w:numId w:val="16"/>
        </w:numPr>
        <w:ind w:left="0"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确认系统中已存在或潜在的问题</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在系统瓶颈出现之前发现它们，并了解它们对性能的影响</w:t>
      </w:r>
      <w:r/>
    </w:p>
    <w:p>
      <w:pPr>
        <w:numPr>
          <w:ilvl w:val="0"/>
          <w:numId w:val="17"/>
        </w:numPr>
        <w:spacing w:line="560" w:lineRule="exact"/>
        <w:rPr>
          <w:rFonts w:ascii="宋体" w:hAnsi="宋体" w:cs="宋体"/>
          <w:sz w:val="24"/>
          <w:szCs w:val="24"/>
          <w:highlight w:val="none"/>
        </w:rPr>
      </w:pPr>
      <w:r>
        <w:rPr>
          <w:rFonts w:hint="eastAsia" w:ascii="宋体" w:hAnsi="宋体" w:cs="宋体"/>
          <w:sz w:val="24"/>
          <w:szCs w:val="24"/>
          <w:highlight w:val="none"/>
        </w:rPr>
        <w:t xml:space="preserve">防病毒软件</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中标供应商维护工程师在全年每个工作日提供杀毒软件服务器端的安装和维护服务。主要包括：</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（1）杀毒软件服务器端的升级、管理、日志等服务.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（2）杀毒软件用户端的部署、策略管理服务。</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（3）响应杀毒软件用户端的上门服务请求。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（4）每月定期杀毒软件用户端的现场回访服务。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（5）服务器及系统等应急现场杀毒技术支持。</w:t>
      </w:r>
      <w:r/>
    </w:p>
    <w:p>
      <w:pPr>
        <w:numPr>
          <w:ilvl w:val="0"/>
          <w:numId w:val="17"/>
        </w:numPr>
        <w:spacing w:line="560" w:lineRule="exact"/>
        <w:rPr>
          <w:rFonts w:ascii="宋体" w:hAnsi="宋体" w:cs="宋体"/>
          <w:sz w:val="24"/>
          <w:szCs w:val="24"/>
          <w:highlight w:val="none"/>
        </w:rPr>
      </w:pPr>
      <w:r>
        <w:rPr>
          <w:rFonts w:hint="eastAsia" w:ascii="宋体" w:hAnsi="宋体" w:cs="宋体"/>
          <w:sz w:val="24"/>
          <w:szCs w:val="24"/>
          <w:highlight w:val="none"/>
        </w:rPr>
        <w:t xml:space="preserve">IT运维管理软件</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按照采购单位要求，中标供应商维护工程师在全年每个工作日提供软件的维护、升级、配置、调试等服务。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中标供应商运维服务人员需熟练掌握采购单位安装的IT运维管理软件的管理操作功能，并使用该软件定期对采购单位的信息系统软硬件环境进行日常监控维护。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（1）监控PC服务器、存储设备、网络设备、安全设备等主机的运行状态；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（2）监控网络链路的连接和运行状态；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（3）监控Oracle数据库的运行状态；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（4）发现故障提示和报警信息，应及时记录、反馈问题，并尽快解决；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（5）提供系统巡检监控日志。</w:t>
      </w:r>
      <w:r/>
    </w:p>
    <w:p>
      <w:pPr>
        <w:numPr>
          <w:ilvl w:val="0"/>
          <w:numId w:val="17"/>
        </w:numPr>
        <w:spacing w:line="560" w:lineRule="exact"/>
        <w:rPr>
          <w:rFonts w:ascii="宋体" w:hAnsi="宋体" w:cs="宋体"/>
          <w:sz w:val="24"/>
          <w:szCs w:val="24"/>
          <w:highlight w:val="none"/>
        </w:rPr>
      </w:pPr>
      <w:r>
        <w:rPr>
          <w:rFonts w:hint="eastAsia" w:ascii="宋体" w:hAnsi="宋体" w:cs="宋体"/>
          <w:sz w:val="24"/>
          <w:szCs w:val="24"/>
          <w:highlight w:val="none"/>
        </w:rPr>
        <w:t xml:space="preserve">容灾备份系统</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中标供应商维护工程师在全年每个工作日对采购单位的爱数备份系统进行现场例行巡检，以确保在故障发生时，灾备系统能正常进行数据恢复。</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（1）检查和分析系统日志，特别是备份资源运行状态的日志，备份涉及的文件系统情况，根据数据增长量预估决定是否要增加其容量。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（2）定期检查数据备份计划和执行情况（包括爱数备份软件、备份一体机及锡山分局备份存储等），进行数据备份恢复测试，并根据实际情况协助采购单位优化备份策略。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（3）配合采购单位做好每半年一次的容灾备份演练工作。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（4）对检查中发现的问题进行分析和诊断，并及时解决问题。</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（5）提供系统巡检服务报告。</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附件一：</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425"/>
        <w:gridCol w:w="2714"/>
        <w:gridCol w:w="3315"/>
        <w:gridCol w:w="893"/>
      </w:tblGrid>
      <w:tr>
        <w:trPr>
          <w:trHeight w:val="20"/>
        </w:trPr>
        <w:tc>
          <w:tcPr>
            <w:shd w:val="clear" w:color="auto" w:fill="auto"/>
            <w:tcW w:w="450" w:type="pct"/>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序号</w:t>
            </w:r>
            <w:r/>
          </w:p>
        </w:tc>
        <w:tc>
          <w:tcPr>
            <w:shd w:val="clear" w:color="auto" w:fill="auto"/>
            <w:tcW w:w="777" w:type="pct"/>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设备类别</w:t>
            </w:r>
            <w:r/>
          </w:p>
        </w:tc>
        <w:tc>
          <w:tcPr>
            <w:shd w:val="clear" w:color="auto" w:fill="auto"/>
            <w:tcW w:w="1479" w:type="pct"/>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设备名称</w:t>
            </w:r>
            <w:r/>
          </w:p>
        </w:tc>
        <w:tc>
          <w:tcPr>
            <w:shd w:val="clear" w:color="auto" w:fill="auto"/>
            <w:tcW w:w="1807" w:type="pct"/>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品牌型号</w:t>
            </w:r>
            <w:r/>
          </w:p>
        </w:tc>
        <w:tc>
          <w:tcPr>
            <w:shd w:val="clear" w:color="auto" w:fill="auto"/>
            <w:tcW w:w="485" w:type="pct"/>
            <w:vAlign w:val="center"/>
            <w:textDirection w:val="lrTb"/>
            <w:noWrap/>
          </w:tcPr>
          <w:p>
            <w:pPr>
              <w:jc w:val="center"/>
              <w:rPr>
                <w:rFonts w:ascii="宋体" w:hAnsi="宋体" w:cs="宋体"/>
                <w:b/>
                <w:szCs w:val="21"/>
                <w:highlight w:val="none"/>
              </w:rPr>
            </w:pPr>
            <w:r>
              <w:rPr>
                <w:rFonts w:hint="eastAsia" w:ascii="宋体" w:hAnsi="宋体" w:cs="宋体"/>
                <w:b/>
                <w:szCs w:val="21"/>
                <w:highlight w:val="none"/>
              </w:rPr>
              <w:t xml:space="preserve">数量</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内网核心交换机-主</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华为12708</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内网核心交换机-备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华为12708</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曙光光纤交换机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博科BR-310-0008</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曙光光纤交换机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博科BR-310-0008</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外网核心交换机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楼层交换机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楼层交换机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楼层交换机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楼层交换机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楼层交换机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楼层交换机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楼层交换机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楼层交换机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服务器接入交换机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迪普LSW5602</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服务器接入交换机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迪普LSW5602</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SAN交换机模块</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博科DS300B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SAN交换机模块</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博科DS300B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光纤交换机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HDS 300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光纤交换机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HDS 300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29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外网核心级联交换机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思科4506</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EMC光纤交换机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DS-300B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EMC光纤交换机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DS-300B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国产服务器交换机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政务网曙光集群交换机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EMC光纤交换机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DS-300B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EMC光纤交换机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DS-300B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下属分局交换机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新区及下属交换机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39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外联单位交换机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土地视频监控交换机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外联单位级联交换机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华为5700-52C-SI</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浪潮 S5350-24TD-AC</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浪潮 S5350-24TD-AC</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浪潮 S5350-24TD-AC</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浪潮 S5350-24TD-AC</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网络系统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OA信创交换机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浪潮 S5350-24TD-AC</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至规划信息中心网闸</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网神3600 G5000-TG12</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外网防火墙-主</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网御Power V6000-F7310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49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外网防火墙-备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网御Power V6000-F7310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外网ips-主</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网御Leadsec-6800IPS</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外网ips-备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网御Leadsec-6800IPS</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下属汇聚防火墙-主</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网御V6000-F6200P</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下属汇聚防火墙-备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网御V6000-F6200P</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hint="eastAsia" w:ascii="宋体" w:hAnsi="宋体" w:eastAsia="宋体" w:cs="宋体"/>
                <w:szCs w:val="21"/>
                <w:highlight w:val="none"/>
                <w:lang w:eastAsia="zh-CN"/>
              </w:rPr>
            </w:pPr>
            <w:r>
              <w:rPr>
                <w:rFonts w:hint="eastAsia" w:ascii="宋体" w:hAnsi="宋体" w:cs="宋体"/>
                <w:sz w:val="20"/>
                <w:highlight w:val="none"/>
                <w:lang w:bidi="ar"/>
              </w:rPr>
              <w:t xml:space="preserve">未知威胁发现设备</w:t>
            </w:r>
            <w:r>
              <w:rPr>
                <w:rFonts w:hint="eastAsia" w:ascii="宋体" w:hAnsi="宋体" w:cs="宋体"/>
                <w:sz w:val="20"/>
                <w:highlight w:val="none"/>
                <w:lang w:eastAsia="zh-CN" w:bidi="ar"/>
              </w:rPr>
              <w:t xml:space="preserve">（</w:t>
            </w:r>
            <w:r>
              <w:rPr>
                <w:rFonts w:hint="eastAsia" w:ascii="宋体" w:hAnsi="宋体" w:cs="宋体"/>
                <w:sz w:val="20"/>
                <w:highlight w:val="none"/>
                <w:lang w:val="en-US" w:eastAsia="zh-CN" w:bidi="ar"/>
              </w:rPr>
              <w:t xml:space="preserve">如原厂不支持升级，可采用同等功能设备提供相应安全服务</w:t>
            </w:r>
            <w:r>
              <w:rPr>
                <w:rFonts w:hint="eastAsia" w:ascii="宋体" w:hAnsi="宋体" w:cs="宋体"/>
                <w:sz w:val="20"/>
                <w:highlight w:val="none"/>
                <w:lang w:eastAsia="zh-CN" w:bidi="ar"/>
              </w:rPr>
              <w:t xml:space="preserve">）</w:t>
            </w:r>
            <w:r/>
          </w:p>
        </w:tc>
        <w:tc>
          <w:tcPr>
            <w:shd w:val="clear" w:color="auto" w:fill="auto"/>
            <w:tcW w:w="1807" w:type="pct"/>
            <w:vAlign w:val="center"/>
            <w:textDirection w:val="lrTb"/>
            <w:noWrap/>
          </w:tcPr>
          <w:p>
            <w:pPr>
              <w:jc w:val="center"/>
              <w:rPr>
                <w:rFonts w:hint="eastAsia" w:ascii="宋体" w:hAnsi="宋体" w:eastAsia="宋体" w:cs="宋体"/>
                <w:szCs w:val="21"/>
                <w:highlight w:val="none"/>
                <w:lang w:eastAsia="zh-CN"/>
              </w:rPr>
            </w:pPr>
            <w:r>
              <w:rPr>
                <w:rFonts w:hint="eastAsia" w:ascii="宋体" w:hAnsi="宋体" w:cs="宋体"/>
                <w:sz w:val="20"/>
                <w:highlight w:val="none"/>
                <w:lang w:bidi="ar"/>
              </w:rPr>
              <w:t xml:space="preserve">亚信TDA EE 1300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漏扫设备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绿盟RSAS NX3-X-C</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防勒索软件</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美创NANJ-100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土地视频监控交换设备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网御SIS-3000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内网核心防火墙-主</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网神3600 NSG5500-TY20PW</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59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内网核心防火墙-备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网神3600 NSG5500-TY20PW</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省厅视频会议防火墙</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网神3600 NSG3500-TE20PW</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市民中心UTM安全网关</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山石网科 SG-6000 E2800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市民中心UTM安全网关</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山石网科 SG-6000 E2800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安恒数据库审计</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明御DAS-DBAuditor</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网御星云日志审计</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网御RS-300JP</w:t>
            </w:r>
            <w:r/>
          </w:p>
        </w:tc>
        <w:tc>
          <w:tcPr>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不动产至房屋中心网闸</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网神3600 G5000</w:t>
            </w:r>
            <w:r/>
          </w:p>
        </w:tc>
        <w:tc>
          <w:tcPr>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外网应用区网络审计</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启明TSOC- SA1800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外网数据区防火墙-主</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网神3600 NSG3500-TE20PW</w:t>
            </w:r>
            <w:r/>
          </w:p>
        </w:tc>
        <w:tc>
          <w:tcPr>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外网数据区防火墙-备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网神3600 NSG3500-TE20PW</w:t>
            </w:r>
            <w:r/>
          </w:p>
        </w:tc>
        <w:tc>
          <w:tcPr>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69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天行网安数据交换区UAS-主</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天行网安DTP1089</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天行网安数据交换区网闸-主</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天行网安DTP1089-G</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天行网安数据交换区TAS-主</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天行网安DTP1089</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天行网安数据交换区UAS-备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天行网安DTP1089</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天行网安数据交换区网闸-备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天行网安DTP1089-G</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天行网安数据交换区TAS-备</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天行网安DTP1089</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网关</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天清汉马SAG-6000-3100UD</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安全系统</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外联单位防火墙</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华为USG5000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数据保全服务器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DELL R730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数据保全服务器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DELL R730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79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时钟服务器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K806卫星同步时钟</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中天不动产数据库</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DELL R930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中天不动产数据库</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DELL R930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曙光服务器1</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曙光I620-G20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曙光服务器2</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曙光I620-G20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虚拟化服务器138</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DELL R910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虚拟化服务器139</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DELL R910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四全一体化服务器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DELL EMC R940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内网准入服务器  </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DELL R420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四全数据库服务器</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DELL R820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89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四全数据库服务器</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DELL R820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中天数据库服务器</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DELL R930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激扬档案服务器</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IBM X3650 M3</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CA在线更新系统</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意源IdeaBank Cerupdate</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CA身份认证</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意源IdeaBank SAP1000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CA身份认证备机</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意源IdeaBank SAP1000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盖章服务器</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意源IdeaBank TrusEss</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虚拟化服务器142</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DELL R920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虚拟化服务器141</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DELL R920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虚拟化服务器143</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DELL R920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99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虚拟化服务器145</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DELL R920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OA应用服务器</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DELL R930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中天数据库服务器</w:t>
            </w:r>
            <w:r/>
          </w:p>
        </w:tc>
        <w:tc>
          <w:tcPr>
            <w:shd w:val="clear" w:color="auto" w:fill="auto"/>
            <w:tcW w:w="1807" w:type="pct"/>
            <w:vAlign w:val="center"/>
            <w:textDirection w:val="lrTb"/>
            <w:noWrap w:val="false"/>
          </w:tcPr>
          <w:p>
            <w:pPr>
              <w:jc w:val="center"/>
              <w:rPr>
                <w:rFonts w:ascii="宋体" w:hAnsi="宋体" w:cs="宋体"/>
                <w:szCs w:val="21"/>
                <w:highlight w:val="none"/>
              </w:rPr>
            </w:pPr>
            <w:r>
              <w:rPr>
                <w:rFonts w:hint="eastAsia" w:ascii="宋体" w:hAnsi="宋体" w:cs="宋体"/>
                <w:sz w:val="20"/>
                <w:highlight w:val="none"/>
                <w:lang w:bidi="ar"/>
              </w:rPr>
              <w:t xml:space="preserve">DELL R930</w:t>
            </w:r>
            <w:r/>
          </w:p>
        </w:tc>
        <w:tc>
          <w:tcPr>
            <w:shd w:val="clear" w:color="auto" w:fill="auto"/>
            <w:tcW w:w="485"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不动产签名验签服务器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IdeaBank SAP1000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不动产电子签章服务器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IdeaBank SAP1000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大华视频服务器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DH-DSS-N8000S2</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大华视频网关</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DH-AGS-B8101S3C</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视频会议服务器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宝利通 RMX500C</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虚拟化服务器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HDS D51B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虚拟化服务器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HDS D51B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109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虚拟化服务器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HDS D51B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虚拟化服务器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HDS D51B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虚拟化服务器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HDS D51B</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119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OA信创服务器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清华同方 K620-M1</w:t>
            </w:r>
            <w:r/>
          </w:p>
        </w:tc>
        <w:tc>
          <w:tcPr>
            <w:shd w:val="clear" w:color="auto" w:fill="auto"/>
            <w:tcW w:w="485" w:type="pct"/>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EMC双活备存储控制器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Vplex Metro</w:t>
            </w:r>
            <w:r/>
          </w:p>
        </w:tc>
        <w:tc>
          <w:tcPr>
            <w:shd w:val="clear" w:color="auto" w:fill="auto"/>
            <w:tcW w:w="485" w:type="pct"/>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曙光存储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曙光DS600-G20</w:t>
            </w:r>
            <w:r/>
          </w:p>
        </w:tc>
        <w:tc>
          <w:tcPr>
            <w:shd w:val="clear" w:color="auto" w:fill="auto"/>
            <w:tcW w:w="485" w:type="pct"/>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存储扩容</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DAE 3.5寸扩展柜、15块600G 15K硬盘</w:t>
            </w:r>
            <w:r/>
          </w:p>
        </w:tc>
        <w:tc>
          <w:tcPr>
            <w:shd w:val="clear" w:color="auto" w:fill="auto"/>
            <w:tcW w:w="485" w:type="pct"/>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存储系统1扩容</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VNX5500 UPG，1个DAE 3.5寸扩展柜，10块 900G 10K 3.5英寸SAS硬盘，5块 2TB 7.2K转3.5英寸 NLSAS硬盘</w:t>
            </w:r>
            <w:r/>
          </w:p>
        </w:tc>
        <w:tc>
          <w:tcPr>
            <w:shd w:val="clear" w:color="auto" w:fill="auto"/>
            <w:tcW w:w="485" w:type="pct"/>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存储系统2扩容</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VNX5600 UPG，1个DAE 2.5寸扩展柜，15块 900G 10K SAS硬盘，5块 2TB 7.2K转 NLSAS硬盘</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129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爱数备份一体机</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爱数VX1200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EMC存储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VNX5600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备份存储扩容</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VNX5600 UPG</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存储管理系统扩容</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VPLEX UPG</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EMC存储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VNX5500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EMC双活主存储控制器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EMC Vplex</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不动产OGG数据库存储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联想 Storage V3500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视频UNIVIEW</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Uniview</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存储设备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虚拟化存储</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HDS VSP G200</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应用软件（安全设备）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服务器端病毒防护系统扩容</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360天擎</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139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应用软件（安全设备）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虚拟化安全防护系统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网神VMS7.0-CPU-ARS</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应用软件（安全设备）</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防病毒软件</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360天擎终端安全管理系统</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爱数软件</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爱数AnyBackup企业版</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爱数云管理平台</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爱数AnyBackupCloud云平台</w:t>
            </w:r>
            <w:r/>
          </w:p>
        </w:tc>
        <w:tc>
          <w:tcPr>
            <w:shd w:val="clear" w:color="auto" w:fill="auto"/>
            <w:tcW w:w="48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综合运维管理平台</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恒维 铂金版</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数据库系统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神州通用V7.0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数据库系统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神州通用V7.0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数据库系统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神州通用V7.0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147</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数据库系统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神州通用V7.0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148</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数据库系统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神州通用V7.0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149</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应用软件</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数据库系统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神州通用V7.0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150</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机房环境</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机房环境监控系统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金榜智能KingWeb3.0</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1套</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151</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机房环境</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精密空调1</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艾特网能CM035DA</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152</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机房环境</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精密空调2</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艾特网能CM035DA</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153</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机房环境</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KVM管理系统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蓝宝AR1016-S</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154</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机房环境</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气体灭火控制系统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安宇</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155</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机房环境</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UPS不间断电源系统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艾默生UL33-0600L</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shd w:val="clear" w:color="auto" w:fill="auto"/>
            <w:tcW w:w="45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156</w:t>
            </w:r>
            <w:r/>
          </w:p>
        </w:tc>
        <w:tc>
          <w:tcPr>
            <w:shd w:val="clear" w:color="auto" w:fill="auto"/>
            <w:tcW w:w="77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机房环境</w:t>
            </w:r>
            <w:r/>
          </w:p>
        </w:tc>
        <w:tc>
          <w:tcPr>
            <w:shd w:val="clear" w:color="auto" w:fill="auto"/>
            <w:tcW w:w="1479"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UPS不间断电源系统</w:t>
            </w:r>
            <w:r/>
          </w:p>
        </w:tc>
        <w:tc>
          <w:tcPr>
            <w:shd w:val="clear" w:color="auto" w:fill="auto"/>
            <w:tcW w:w="1807" w:type="pct"/>
            <w:vAlign w:val="center"/>
            <w:textDirection w:val="lrTb"/>
            <w:noWrap/>
          </w:tcPr>
          <w:p>
            <w:pPr>
              <w:jc w:val="center"/>
              <w:rPr>
                <w:rFonts w:ascii="宋体" w:hAnsi="宋体" w:cs="宋体"/>
                <w:szCs w:val="21"/>
                <w:highlight w:val="none"/>
              </w:rPr>
            </w:pPr>
            <w:r>
              <w:rPr>
                <w:rFonts w:hint="eastAsia" w:ascii="宋体" w:hAnsi="宋体" w:cs="宋体"/>
                <w:sz w:val="20"/>
                <w:highlight w:val="none"/>
                <w:lang w:bidi="ar"/>
              </w:rPr>
              <w:t xml:space="preserve">艾默生UL33-0600L</w:t>
            </w:r>
            <w:r/>
          </w:p>
        </w:tc>
        <w:tc>
          <w:tcPr>
            <w:shd w:val="clear" w:color="auto" w:fill="auto"/>
            <w:tcW w:w="82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1台</w:t>
            </w:r>
            <w:r/>
          </w:p>
        </w:tc>
      </w:tr>
      <w:tr>
        <w:trPr>
          <w:trHeight w:val="20"/>
        </w:trPr>
        <w:tc>
          <w:tcPr>
            <w:gridSpan w:val="5"/>
            <w:shd w:val="clear" w:color="auto" w:fill="auto"/>
            <w:tcW w:w="5000" w:type="pct"/>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备注：其中核心交换机、市民中心UTM安全网关、天行网安数据交换区设备、下属汇聚防火墙、土地视频监控交换设备、外网防火墙、外网IPS、备份一体机、综合运维管理平台须提供原厂质保函原件（入场维护后一周内提供，否则不支付项目预付款）。</w:t>
            </w:r>
            <w:r/>
          </w:p>
        </w:tc>
      </w:tr>
    </w:tbl>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2.2.4网络安全技术服务</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（1）安全服务目标</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为防范化解采购单位网络安全风险，提升网络安全防护能力，确保不发生较大及以上网络安全事件，按照“谁主管、谁负责；谁运营、谁负责”的原则，依法落实网络安全技术措施，现拟购买第三方专业网络安全机构进行网络安全监测、维护等工作，保障各系统不出现安全问题和降低被安全通报的可能。</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通过对采购单位互联网及内部系统进行周期性网络安全服务，能够应对当前复杂的网络安全形势，提升采购单位系统的安全防护能力与服务质量，建立长效的安全保障机制，保证信息系统的正常运行，建立、健全网络安全事件预防和应急处置工作机制，从而能够有效保障各项公共服务的正常开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要求根据安全技术服务的技术要求，提供安全服务的配套工具。</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（2）服务时间</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和本项目整体维保时间一致：自2026年12月10日起至2027年12月9日止</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履行期限共1年</w:t>
      </w:r>
      <w:r>
        <w:rPr>
          <w:rFonts w:hint="eastAsia" w:ascii="宋体" w:hAnsi="宋体" w:cs="宋体"/>
          <w:sz w:val="24"/>
          <w:szCs w:val="24"/>
          <w:highlight w:val="none"/>
        </w:rPr>
        <w:t xml:space="preserve">。</w:t>
      </w:r>
      <w:r/>
    </w:p>
    <w:p>
      <w:pPr>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（3）安全服务内容</w:t>
      </w:r>
      <w:r/>
    </w:p>
    <w:tbl>
      <w:tblPr>
        <w:tblStyle w:val="76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822"/>
        <w:gridCol w:w="5467"/>
        <w:gridCol w:w="1061"/>
      </w:tblGrid>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序号</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服务类型</w:t>
            </w:r>
            <w:r/>
          </w:p>
        </w:tc>
        <w:tc>
          <w:tcPr>
            <w:tcW w:w="5465"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服务描述</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备注</w:t>
            </w:r>
            <w:r/>
          </w:p>
        </w:tc>
      </w:tr>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1</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资产发现服务</w:t>
            </w:r>
            <w:r/>
          </w:p>
        </w:tc>
        <w:tc>
          <w:tcPr>
            <w:tcW w:w="5465" w:type="dxa"/>
            <w:vAlign w:val="center"/>
            <w:textDirection w:val="lrTb"/>
            <w:noWrap w:val="false"/>
          </w:tcPr>
          <w:p>
            <w:pPr>
              <w:rPr>
                <w:rFonts w:ascii="宋体" w:hAnsi="宋体" w:cs="宋体"/>
                <w:sz w:val="18"/>
                <w:szCs w:val="18"/>
                <w:highlight w:val="none"/>
              </w:rPr>
            </w:pPr>
            <w:r>
              <w:rPr>
                <w:rFonts w:hint="eastAsia" w:ascii="宋体" w:hAnsi="宋体" w:cs="宋体"/>
                <w:sz w:val="18"/>
                <w:szCs w:val="18"/>
                <w:highlight w:val="none"/>
              </w:rPr>
              <w:t xml:space="preserve">基于网络扫描、搜索引擎、互联网基础数据引擎主动探测用户在互联网上暴露的资产，可以形成明确的资产清单，帮助用户发现自己的未知资产。</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1次/年</w:t>
            </w:r>
            <w:r/>
          </w:p>
        </w:tc>
      </w:tr>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2</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漏洞验证服务</w:t>
            </w:r>
            <w:r/>
          </w:p>
        </w:tc>
        <w:tc>
          <w:tcPr>
            <w:tcW w:w="5465" w:type="dxa"/>
            <w:vAlign w:val="center"/>
            <w:textDirection w:val="lrTb"/>
            <w:noWrap w:val="false"/>
          </w:tcPr>
          <w:p>
            <w:pPr>
              <w:rPr>
                <w:rFonts w:ascii="宋体" w:hAnsi="宋体" w:cs="宋体"/>
                <w:sz w:val="18"/>
                <w:szCs w:val="18"/>
                <w:highlight w:val="none"/>
              </w:rPr>
            </w:pPr>
            <w:r>
              <w:rPr>
                <w:rFonts w:hint="eastAsia" w:ascii="宋体" w:hAnsi="宋体" w:cs="宋体"/>
                <w:sz w:val="18"/>
                <w:szCs w:val="18"/>
                <w:highlight w:val="none"/>
              </w:rPr>
              <w:t xml:space="preserve">根据网络安全扫描工具生成的报告，对所有有效授权资产的扫描结果进行人工验证，明确漏洞信息真实存在，由专业技术人员出具验证报告。</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4次/年</w:t>
            </w:r>
            <w:r/>
          </w:p>
        </w:tc>
      </w:tr>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3</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渗透测试服务</w:t>
            </w:r>
            <w:r/>
          </w:p>
        </w:tc>
        <w:tc>
          <w:tcPr>
            <w:tcW w:w="5465" w:type="dxa"/>
            <w:vAlign w:val="center"/>
            <w:textDirection w:val="lrTb"/>
            <w:noWrap w:val="false"/>
          </w:tcPr>
          <w:p>
            <w:pPr>
              <w:rPr>
                <w:rFonts w:ascii="宋体" w:hAnsi="宋体" w:cs="宋体"/>
                <w:sz w:val="18"/>
                <w:szCs w:val="18"/>
                <w:highlight w:val="none"/>
              </w:rPr>
            </w:pPr>
            <w:r>
              <w:rPr>
                <w:rFonts w:hint="eastAsia" w:ascii="宋体" w:hAnsi="宋体" w:cs="宋体"/>
                <w:sz w:val="18"/>
                <w:szCs w:val="18"/>
                <w:highlight w:val="none"/>
              </w:rPr>
              <w:t xml:space="preserve">针对单位的互联网资产通过渗透测试评估系统安全风险状况，发现系统安全漏洞，并针对安全风险提出修复建议，提升系统安全性。通过模拟真实的黑客攻击发现现有平台在整体安全防御体系中有哪些缺失的部分，并且检测已有安全产品及安全策略是否能够实时防御安全攻击。针对发现的安全防御体系中存在安全风险，提出安全解决方案，完整现有防御体系，优化安全策略。</w:t>
            </w:r>
            <w:r/>
          </w:p>
          <w:p>
            <w:pPr>
              <w:rPr>
                <w:rFonts w:ascii="宋体" w:hAnsi="宋体" w:cs="宋体"/>
                <w:sz w:val="18"/>
                <w:szCs w:val="18"/>
                <w:highlight w:val="none"/>
              </w:rPr>
            </w:pPr>
            <w:r>
              <w:rPr>
                <w:rFonts w:hint="eastAsia" w:ascii="宋体" w:hAnsi="宋体" w:cs="宋体"/>
                <w:sz w:val="18"/>
                <w:szCs w:val="18"/>
                <w:highlight w:val="none"/>
              </w:rPr>
              <w:t xml:space="preserve">渗透系统：主要包括“自然资源规划一体化平台”、“电子政务云平台”、“不动产登记信息管理平台”等，以及采购人提供的专网、政务外网、互联网资产清单。</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4次/年</w:t>
            </w:r>
            <w:r/>
          </w:p>
        </w:tc>
      </w:tr>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4</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全流量分析服务</w:t>
            </w:r>
            <w:r/>
          </w:p>
        </w:tc>
        <w:tc>
          <w:tcPr>
            <w:tcW w:w="5465" w:type="dxa"/>
            <w:vAlign w:val="center"/>
            <w:textDirection w:val="lrTb"/>
            <w:noWrap w:val="false"/>
          </w:tcPr>
          <w:p>
            <w:pPr>
              <w:rPr>
                <w:rFonts w:ascii="宋体" w:hAnsi="宋体" w:cs="宋体"/>
                <w:sz w:val="18"/>
                <w:szCs w:val="18"/>
                <w:highlight w:val="none"/>
              </w:rPr>
            </w:pPr>
            <w:r>
              <w:rPr>
                <w:rFonts w:hint="eastAsia" w:ascii="宋体" w:hAnsi="宋体" w:cs="宋体"/>
                <w:sz w:val="18"/>
                <w:szCs w:val="18"/>
                <w:highlight w:val="none"/>
              </w:rPr>
              <w:t xml:space="preserve">针对信息系统使用专业流量分析设备，通过采集网络边界、终端、服务器、存储和移动办公等环节的流量和安全日志，结合收集来自于全球的海量威胁情报，监测分析全网资产安全状况，及时发现内外部的各种已知和未知的安全威胁与风险，实现风险真正的可知可视可控。并根据分析结果形成安全状况报告，协助管理员解决系统所存在的未知安全风险。</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1次/年</w:t>
            </w:r>
            <w:r/>
          </w:p>
        </w:tc>
      </w:tr>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5</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应急演练服务</w:t>
            </w:r>
            <w:r/>
          </w:p>
        </w:tc>
        <w:tc>
          <w:tcPr>
            <w:tcW w:w="5465" w:type="dxa"/>
            <w:vAlign w:val="center"/>
            <w:textDirection w:val="lrTb"/>
            <w:noWrap w:val="false"/>
          </w:tcPr>
          <w:p>
            <w:pPr>
              <w:rPr>
                <w:rFonts w:ascii="宋体" w:hAnsi="宋体" w:cs="宋体"/>
                <w:sz w:val="18"/>
                <w:szCs w:val="18"/>
                <w:highlight w:val="none"/>
              </w:rPr>
            </w:pPr>
            <w:r>
              <w:rPr>
                <w:rFonts w:hint="eastAsia" w:ascii="宋体" w:hAnsi="宋体" w:cs="宋体"/>
                <w:sz w:val="18"/>
                <w:szCs w:val="18"/>
                <w:highlight w:val="none"/>
              </w:rPr>
              <w:t xml:space="preserve">为检验本单位应急预案的有效性、应急准备的完善性、应急响应能力的适应性和应急人员的协同性而进行的一种模拟应急响应的实践活动；模拟安全事件发生并响应处理的整个流程。</w:t>
            </w:r>
            <w:r/>
          </w:p>
          <w:p>
            <w:pPr>
              <w:rPr>
                <w:rFonts w:ascii="宋体" w:hAnsi="宋体" w:cs="宋体"/>
                <w:sz w:val="18"/>
                <w:szCs w:val="18"/>
                <w:highlight w:val="none"/>
              </w:rPr>
            </w:pPr>
            <w:r>
              <w:rPr>
                <w:rFonts w:hint="eastAsia" w:ascii="宋体" w:hAnsi="宋体" w:cs="宋体"/>
                <w:sz w:val="18"/>
                <w:szCs w:val="18"/>
                <w:highlight w:val="none"/>
              </w:rPr>
              <w:t xml:space="preserve">全局范围内（含江阴、宜兴），3个场景如：DDOS攻击、勒索病毒爆发、网页被篡改等。</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1次/年（包含3个场景）</w:t>
            </w:r>
            <w:r/>
          </w:p>
        </w:tc>
      </w:tr>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6</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网络安全咨询服务和风险评估服务</w:t>
            </w:r>
            <w:r/>
          </w:p>
        </w:tc>
        <w:tc>
          <w:tcPr>
            <w:tcW w:w="5465" w:type="dxa"/>
            <w:vAlign w:val="center"/>
            <w:textDirection w:val="lrTb"/>
            <w:noWrap w:val="false"/>
          </w:tcPr>
          <w:p>
            <w:pPr>
              <w:rPr>
                <w:rFonts w:ascii="宋体" w:hAnsi="宋体" w:cs="宋体"/>
                <w:sz w:val="18"/>
                <w:szCs w:val="18"/>
                <w:highlight w:val="none"/>
              </w:rPr>
            </w:pPr>
            <w:r>
              <w:rPr>
                <w:rFonts w:hint="eastAsia" w:ascii="宋体" w:hAnsi="宋体" w:cs="宋体"/>
                <w:sz w:val="18"/>
                <w:szCs w:val="18"/>
                <w:highlight w:val="none"/>
              </w:rPr>
              <w:t xml:space="preserve">针对各级网络安全主管部门提出的各类安全自查、安全整改提供技术资料；针对现有信息化建设方面在网络安全方面存在的隐患和改良建议；参照网络安全等级保护基本要求、行业相关网络安全要求和网络安全法等相关法律法规文件要求，完善安全技术体系和管理体系，协助用户网络安全工作正常开展</w:t>
            </w:r>
            <w:r>
              <w:rPr>
                <w:rFonts w:hint="eastAsia" w:ascii="宋体" w:hAnsi="宋体" w:cs="宋体"/>
                <w:sz w:val="18"/>
                <w:szCs w:val="18"/>
                <w:highlight w:val="none"/>
                <w:lang w:eastAsia="zh-CN"/>
              </w:rPr>
              <w:t xml:space="preserve">；</w:t>
            </w:r>
            <w:r>
              <w:rPr>
                <w:rFonts w:hint="eastAsia" w:ascii="宋体" w:hAnsi="宋体" w:cs="宋体"/>
                <w:sz w:val="18"/>
                <w:szCs w:val="18"/>
                <w:highlight w:val="none"/>
                <w:lang w:val="en-US" w:eastAsia="zh-CN"/>
              </w:rPr>
              <w:t xml:space="preserve">针</w:t>
            </w:r>
            <w:r>
              <w:rPr>
                <w:rFonts w:hint="eastAsia" w:ascii="宋体" w:hAnsi="宋体" w:cs="宋体"/>
                <w:sz w:val="18"/>
                <w:szCs w:val="18"/>
                <w:highlight w:val="none"/>
              </w:rPr>
              <w:t xml:space="preserve">对信息系统提供风险评估服务，风险评估服务流程应包含资产识别、脆弱性分析、威胁分析、已有安全措施分析、风险分析等阶段。</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全年</w:t>
            </w:r>
            <w:r/>
          </w:p>
        </w:tc>
      </w:tr>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7</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网络安全培训</w:t>
            </w:r>
            <w:r/>
          </w:p>
        </w:tc>
        <w:tc>
          <w:tcPr>
            <w:tcW w:w="5465" w:type="dxa"/>
            <w:vAlign w:val="center"/>
            <w:textDirection w:val="lrTb"/>
            <w:noWrap w:val="false"/>
          </w:tcPr>
          <w:p>
            <w:pPr>
              <w:rPr>
                <w:rFonts w:ascii="宋体" w:hAnsi="宋体" w:cs="宋体"/>
                <w:sz w:val="18"/>
                <w:szCs w:val="18"/>
                <w:highlight w:val="none"/>
              </w:rPr>
            </w:pPr>
            <w:r>
              <w:rPr>
                <w:rFonts w:hint="eastAsia" w:ascii="宋体" w:hAnsi="宋体" w:cs="宋体"/>
                <w:sz w:val="18"/>
                <w:szCs w:val="18"/>
                <w:highlight w:val="none"/>
              </w:rPr>
              <w:t xml:space="preserve">为进一步提高各级组织网络安全意识和应急处置能力,增强网络安全防范意识,更好地应对网络安全事故,确保全局意识形态工作，安排专业安服工程师对各级组织开展网络安全培训，培训人数不限。</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2次/年</w:t>
            </w:r>
            <w:r/>
          </w:p>
        </w:tc>
      </w:tr>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8</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应急响应服务</w:t>
            </w:r>
            <w:r/>
          </w:p>
        </w:tc>
        <w:tc>
          <w:tcPr>
            <w:tcW w:w="5465" w:type="dxa"/>
            <w:vAlign w:val="center"/>
            <w:textDirection w:val="lrTb"/>
            <w:noWrap w:val="false"/>
          </w:tcPr>
          <w:p>
            <w:pPr>
              <w:rPr>
                <w:rFonts w:ascii="宋体" w:hAnsi="宋体" w:cs="宋体"/>
                <w:sz w:val="18"/>
                <w:szCs w:val="18"/>
                <w:highlight w:val="none"/>
              </w:rPr>
            </w:pPr>
            <w:r>
              <w:rPr>
                <w:rFonts w:hint="eastAsia" w:ascii="宋体" w:hAnsi="宋体" w:cs="宋体"/>
                <w:sz w:val="18"/>
                <w:szCs w:val="18"/>
                <w:highlight w:val="none"/>
              </w:rPr>
              <w:t xml:space="preserve">在用户发生确切的安全事件时，15分钟内电话或远程应急响应，实施人员及时采取行动限制事件扩散和影响的范围，限制潜在的损失与破坏服务基础上，实施人员1小时内到达现场，协助客户检查所有受影响的系统，在准确判断安全事件原因的基础上，提出基于安全事件整体安全解决方案，排除系统安全风险并协助追查事件来源、提出解决方案、协助后续处置。</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全年</w:t>
            </w:r>
            <w:r/>
          </w:p>
        </w:tc>
      </w:tr>
      <w:tr>
        <w:trPr>
          <w:jc w:val="center"/>
          <w:trHeight w:val="20"/>
        </w:trPr>
        <w:tc>
          <w:tcPr>
            <w:tcW w:w="823"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9</w:t>
            </w:r>
            <w:r/>
          </w:p>
        </w:tc>
        <w:tc>
          <w:tcPr>
            <w:tcW w:w="1821"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通报预警服务</w:t>
            </w:r>
            <w:r/>
          </w:p>
        </w:tc>
        <w:tc>
          <w:tcPr>
            <w:tcW w:w="5465" w:type="dxa"/>
            <w:vAlign w:val="center"/>
            <w:textDirection w:val="lrTb"/>
            <w:noWrap w:val="false"/>
          </w:tcPr>
          <w:p>
            <w:pPr>
              <w:rPr>
                <w:rFonts w:ascii="宋体" w:hAnsi="宋体" w:cs="宋体"/>
                <w:sz w:val="18"/>
                <w:szCs w:val="18"/>
                <w:highlight w:val="none"/>
              </w:rPr>
            </w:pPr>
            <w:r>
              <w:rPr>
                <w:rFonts w:hint="eastAsia" w:ascii="宋体" w:hAnsi="宋体" w:cs="宋体"/>
                <w:sz w:val="18"/>
                <w:szCs w:val="18"/>
                <w:highlight w:val="none"/>
              </w:rPr>
              <w:t xml:space="preserve">定期及在突发重大安全事件后以邮件形式向全区所有单位推送行业内安全事件、重大舆情信息、重要系统漏洞及补丁信息等。</w:t>
            </w:r>
            <w:r/>
          </w:p>
        </w:tc>
        <w:tc>
          <w:tcPr>
            <w:tcW w:w="1060"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全年</w:t>
            </w:r>
            <w:r/>
          </w:p>
        </w:tc>
      </w:tr>
    </w:tbl>
    <w:p>
      <w:pPr>
        <w:ind w:firstLine="482"/>
        <w:spacing w:after="5" w:line="360" w:lineRule="auto"/>
        <w:rPr>
          <w:rFonts w:ascii="宋体" w:hAnsi="宋体" w:cs="宋体"/>
          <w:b/>
          <w:sz w:val="24"/>
          <w:szCs w:val="24"/>
          <w:highlight w:val="none"/>
        </w:rPr>
      </w:pPr>
      <w:r>
        <w:rPr>
          <w:rFonts w:hint="eastAsia" w:ascii="宋体" w:hAnsi="宋体" w:cs="宋体"/>
          <w:b/>
          <w:sz w:val="24"/>
          <w:szCs w:val="24"/>
          <w:highlight w:val="none"/>
        </w:rPr>
        <w:t xml:space="preserve">2.2.5智能监测与预警服务</w:t>
      </w:r>
      <w:r/>
    </w:p>
    <w:p>
      <w:pPr>
        <w:ind w:firstLine="482"/>
        <w:spacing w:after="5" w:line="360" w:lineRule="auto"/>
        <w:rPr>
          <w:rFonts w:ascii="宋体" w:hAnsi="宋体" w:cs="宋体"/>
          <w:b/>
          <w:sz w:val="24"/>
          <w:szCs w:val="24"/>
          <w:highlight w:val="none"/>
        </w:rPr>
      </w:pPr>
      <w:r>
        <w:rPr>
          <w:rFonts w:hint="eastAsia" w:ascii="宋体" w:hAnsi="宋体" w:cs="宋体"/>
          <w:b/>
          <w:sz w:val="24"/>
          <w:szCs w:val="24"/>
          <w:highlight w:val="none"/>
        </w:rPr>
        <w:t xml:space="preserve">（1）服务目标</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通过对采购单位的软硬件系统进行监测与预警，及时发现问题并处理，确保系统运行稳定。</w:t>
      </w:r>
      <w:r/>
    </w:p>
    <w:p>
      <w:pPr>
        <w:ind w:firstLine="482"/>
        <w:spacing w:after="5" w:line="360" w:lineRule="auto"/>
        <w:rPr>
          <w:rFonts w:ascii="宋体" w:hAnsi="宋体" w:cs="宋体"/>
          <w:b/>
          <w:sz w:val="24"/>
          <w:szCs w:val="24"/>
          <w:highlight w:val="none"/>
        </w:rPr>
      </w:pPr>
      <w:r>
        <w:rPr>
          <w:rFonts w:hint="eastAsia" w:ascii="宋体" w:hAnsi="宋体" w:cs="宋体"/>
          <w:b/>
          <w:sz w:val="24"/>
          <w:szCs w:val="24"/>
          <w:highlight w:val="none"/>
        </w:rPr>
        <w:t xml:space="preserve">（2）服务内容</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针对采购单位信息系统的现状情况，同时根据系统监测的要求，将对现有系统进行实时监测与预警，及时了解系统运行状态，将问题处理在萌芽中。</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本次智能监测与预警服务内容如下：</w:t>
      </w:r>
      <w:r/>
    </w:p>
    <w:tbl>
      <w:tblPr>
        <w:tblStyle w:val="76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695"/>
        <w:gridCol w:w="6638"/>
      </w:tblGrid>
      <w:tr>
        <w:trPr>
          <w:trHeight w:val="20"/>
        </w:trPr>
        <w:tc>
          <w:tcPr>
            <w:shd w:val="clear" w:color="auto" w:fill="auto"/>
            <w:tcW w:w="45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shd w:val="clear" w:color="auto" w:fill="auto"/>
            <w:tcW w:w="92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服务大类</w:t>
            </w:r>
            <w:r/>
          </w:p>
        </w:tc>
        <w:tc>
          <w:tcPr>
            <w:shd w:val="clear" w:color="auto" w:fill="auto"/>
            <w:tcW w:w="361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描述</w:t>
            </w:r>
            <w:r/>
          </w:p>
        </w:tc>
      </w:tr>
      <w:tr>
        <w:trPr>
          <w:trHeight w:val="20"/>
        </w:trPr>
        <w:tc>
          <w:tcPr>
            <w:shd w:val="clear" w:color="auto" w:fill="auto"/>
            <w:tcW w:w="45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W w:w="92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服务器运行监控和预警服务</w:t>
            </w:r>
            <w:r/>
          </w:p>
        </w:tc>
        <w:tc>
          <w:tcPr>
            <w:shd w:val="clear" w:color="auto" w:fill="auto"/>
            <w:tcW w:w="361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1、实时监控服务器系统（进程、重要文件、系统日志、系统登录、漏洞补丁等）</w:t>
            </w:r>
            <w:r/>
          </w:p>
          <w:p>
            <w:pPr>
              <w:spacing w:line="360" w:lineRule="auto"/>
              <w:rPr>
                <w:rFonts w:ascii="宋体" w:hAnsi="宋体" w:cs="宋体"/>
                <w:szCs w:val="21"/>
                <w:highlight w:val="none"/>
              </w:rPr>
            </w:pPr>
            <w:r>
              <w:rPr>
                <w:rFonts w:hint="eastAsia" w:ascii="宋体" w:hAnsi="宋体" w:cs="宋体"/>
                <w:szCs w:val="21"/>
                <w:highlight w:val="none"/>
              </w:rPr>
              <w:t xml:space="preserve">2、实时监控数据和历史数据的对比分析和预警</w:t>
            </w:r>
            <w:r/>
          </w:p>
        </w:tc>
      </w:tr>
      <w:tr>
        <w:trPr>
          <w:trHeight w:val="20"/>
        </w:trPr>
        <w:tc>
          <w:tcPr>
            <w:shd w:val="clear" w:color="auto" w:fill="auto"/>
            <w:tcW w:w="45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shd w:val="clear" w:color="auto" w:fill="auto"/>
            <w:tcW w:w="92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网络运行监控和预警服务</w:t>
            </w:r>
            <w:r/>
          </w:p>
        </w:tc>
        <w:tc>
          <w:tcPr>
            <w:shd w:val="clear" w:color="auto" w:fill="auto"/>
            <w:tcW w:w="361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1、实时监控网络设备日志</w:t>
            </w:r>
            <w:r/>
          </w:p>
          <w:p>
            <w:pPr>
              <w:spacing w:line="360" w:lineRule="auto"/>
              <w:rPr>
                <w:rFonts w:ascii="宋体" w:hAnsi="宋体" w:cs="宋体"/>
                <w:szCs w:val="21"/>
                <w:highlight w:val="none"/>
              </w:rPr>
            </w:pPr>
            <w:r>
              <w:rPr>
                <w:rFonts w:hint="eastAsia" w:ascii="宋体" w:hAnsi="宋体" w:cs="宋体"/>
                <w:szCs w:val="21"/>
                <w:highlight w:val="none"/>
              </w:rPr>
              <w:t xml:space="preserve">2、实时监控数据和历史数据的对比分析及预警。</w:t>
            </w:r>
            <w:r/>
          </w:p>
        </w:tc>
      </w:tr>
      <w:tr>
        <w:trPr>
          <w:trHeight w:val="20"/>
        </w:trPr>
        <w:tc>
          <w:tcPr>
            <w:shd w:val="clear" w:color="auto" w:fill="auto"/>
            <w:tcW w:w="45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shd w:val="clear" w:color="auto" w:fill="auto"/>
            <w:tcW w:w="92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网络安全设备监控和预警服务</w:t>
            </w:r>
            <w:r/>
          </w:p>
        </w:tc>
        <w:tc>
          <w:tcPr>
            <w:shd w:val="clear" w:color="auto" w:fill="auto"/>
            <w:tcW w:w="361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1、实时监控网络安全系统日志</w:t>
            </w:r>
            <w:r/>
          </w:p>
          <w:p>
            <w:pPr>
              <w:spacing w:line="360" w:lineRule="auto"/>
              <w:rPr>
                <w:rFonts w:ascii="宋体" w:hAnsi="宋体" w:cs="宋体"/>
                <w:szCs w:val="21"/>
                <w:highlight w:val="none"/>
              </w:rPr>
            </w:pPr>
            <w:r>
              <w:rPr>
                <w:rFonts w:hint="eastAsia" w:ascii="宋体" w:hAnsi="宋体" w:cs="宋体"/>
                <w:szCs w:val="21"/>
                <w:highlight w:val="none"/>
              </w:rPr>
              <w:t xml:space="preserve">2、实时监控数据和历史数据的对比分析及预警。</w:t>
            </w:r>
            <w:r/>
          </w:p>
        </w:tc>
      </w:tr>
      <w:tr>
        <w:trPr>
          <w:trHeight w:val="20"/>
        </w:trPr>
        <w:tc>
          <w:tcPr>
            <w:shd w:val="clear" w:color="auto" w:fill="auto"/>
            <w:tcW w:w="45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shd w:val="clear" w:color="auto" w:fill="auto"/>
            <w:tcW w:w="92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互联网业务软件监控和预警服务</w:t>
            </w:r>
            <w:r/>
          </w:p>
        </w:tc>
        <w:tc>
          <w:tcPr>
            <w:shd w:val="clear" w:color="auto" w:fill="auto"/>
            <w:tcW w:w="361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1、实时监控互联网业务响应和互联网网络出口</w:t>
            </w:r>
            <w:r/>
          </w:p>
          <w:p>
            <w:pPr>
              <w:spacing w:line="360" w:lineRule="auto"/>
              <w:rPr>
                <w:rFonts w:ascii="宋体" w:hAnsi="宋体" w:cs="宋体"/>
                <w:szCs w:val="21"/>
                <w:highlight w:val="none"/>
              </w:rPr>
            </w:pPr>
            <w:r>
              <w:rPr>
                <w:rFonts w:hint="eastAsia" w:ascii="宋体" w:hAnsi="宋体" w:cs="宋体"/>
                <w:szCs w:val="21"/>
                <w:highlight w:val="none"/>
              </w:rPr>
              <w:t xml:space="preserve">2、实时报警和监控数据阈值调优</w:t>
            </w:r>
            <w:r/>
          </w:p>
          <w:p>
            <w:pPr>
              <w:spacing w:line="360" w:lineRule="auto"/>
              <w:rPr>
                <w:rFonts w:ascii="宋体" w:hAnsi="宋体" w:cs="宋体"/>
                <w:szCs w:val="21"/>
                <w:highlight w:val="none"/>
              </w:rPr>
            </w:pPr>
            <w:r>
              <w:rPr>
                <w:rFonts w:hint="eastAsia" w:ascii="宋体" w:hAnsi="宋体" w:cs="宋体"/>
                <w:szCs w:val="21"/>
                <w:highlight w:val="none"/>
              </w:rPr>
              <w:t xml:space="preserve">3、实时监控互联网业务程序文件完整性</w:t>
            </w:r>
            <w:r/>
          </w:p>
          <w:p>
            <w:pPr>
              <w:spacing w:line="360" w:lineRule="auto"/>
              <w:rPr>
                <w:rFonts w:ascii="宋体" w:hAnsi="宋体" w:cs="宋体"/>
                <w:szCs w:val="21"/>
                <w:highlight w:val="none"/>
              </w:rPr>
            </w:pPr>
            <w:r>
              <w:rPr>
                <w:rFonts w:hint="eastAsia" w:ascii="宋体" w:hAnsi="宋体" w:cs="宋体"/>
                <w:szCs w:val="21"/>
                <w:highlight w:val="none"/>
              </w:rPr>
              <w:t xml:space="preserve">4、实时监控互联网业务程序业务响应的对比分析及预警。</w:t>
            </w:r>
            <w:r/>
          </w:p>
        </w:tc>
      </w:tr>
      <w:tr>
        <w:trPr>
          <w:trHeight w:val="20"/>
        </w:trPr>
        <w:tc>
          <w:tcPr>
            <w:shd w:val="clear" w:color="auto" w:fill="auto"/>
            <w:tcW w:w="45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shd w:val="clear" w:color="auto" w:fill="auto"/>
            <w:tcW w:w="92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业务系统监控和预警服务</w:t>
            </w:r>
            <w:r/>
          </w:p>
        </w:tc>
        <w:tc>
          <w:tcPr>
            <w:shd w:val="clear" w:color="auto" w:fill="auto"/>
            <w:tcW w:w="361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1、实时监控互联网业务响应，</w:t>
            </w:r>
            <w:r/>
          </w:p>
          <w:p>
            <w:pPr>
              <w:spacing w:line="360" w:lineRule="auto"/>
              <w:rPr>
                <w:rFonts w:ascii="宋体" w:hAnsi="宋体" w:cs="宋体"/>
                <w:szCs w:val="21"/>
                <w:highlight w:val="none"/>
              </w:rPr>
            </w:pPr>
            <w:r>
              <w:rPr>
                <w:rFonts w:hint="eastAsia" w:ascii="宋体" w:hAnsi="宋体" w:cs="宋体"/>
                <w:szCs w:val="21"/>
                <w:highlight w:val="none"/>
              </w:rPr>
              <w:t xml:space="preserve">2、实时报警和监控数据阈值调优</w:t>
            </w:r>
            <w:r/>
          </w:p>
          <w:p>
            <w:pPr>
              <w:spacing w:line="360" w:lineRule="auto"/>
              <w:rPr>
                <w:rFonts w:ascii="宋体" w:hAnsi="宋体" w:cs="宋体"/>
                <w:szCs w:val="21"/>
                <w:highlight w:val="none"/>
              </w:rPr>
            </w:pPr>
            <w:r>
              <w:rPr>
                <w:rFonts w:hint="eastAsia" w:ascii="宋体" w:hAnsi="宋体" w:cs="宋体"/>
                <w:szCs w:val="21"/>
                <w:highlight w:val="none"/>
              </w:rPr>
              <w:t xml:space="preserve">3、实时监控业务系统健康状态，包括响应、进程、吞吐量、会话数、日志、程序文件等</w:t>
            </w:r>
            <w:r/>
          </w:p>
          <w:p>
            <w:pPr>
              <w:spacing w:line="360" w:lineRule="auto"/>
              <w:rPr>
                <w:rFonts w:ascii="宋体" w:hAnsi="宋体" w:cs="宋体"/>
                <w:szCs w:val="21"/>
                <w:highlight w:val="none"/>
              </w:rPr>
            </w:pPr>
            <w:r>
              <w:rPr>
                <w:rFonts w:hint="eastAsia" w:ascii="宋体" w:hAnsi="宋体" w:cs="宋体"/>
                <w:szCs w:val="21"/>
                <w:highlight w:val="none"/>
              </w:rPr>
              <w:t xml:space="preserve">4、实时监控数据和历史数据的对比分析及预警。</w:t>
            </w:r>
            <w:r/>
          </w:p>
        </w:tc>
      </w:tr>
      <w:tr>
        <w:trPr>
          <w:trHeight w:val="20"/>
        </w:trPr>
        <w:tc>
          <w:tcPr>
            <w:shd w:val="clear" w:color="auto" w:fill="auto"/>
            <w:tcW w:w="45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shd w:val="clear" w:color="auto" w:fill="auto"/>
            <w:tcW w:w="92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数据库监控和预警服务</w:t>
            </w:r>
            <w:r/>
          </w:p>
        </w:tc>
        <w:tc>
          <w:tcPr>
            <w:shd w:val="clear" w:color="auto" w:fill="auto"/>
            <w:tcW w:w="361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1、实时监控数据库的日志、非法登录、漏洞补丁、高级巡检等</w:t>
            </w:r>
            <w:r/>
          </w:p>
          <w:p>
            <w:pPr>
              <w:spacing w:line="360" w:lineRule="auto"/>
              <w:rPr>
                <w:rFonts w:ascii="宋体" w:hAnsi="宋体" w:cs="宋体"/>
                <w:szCs w:val="21"/>
                <w:highlight w:val="none"/>
              </w:rPr>
            </w:pPr>
            <w:r>
              <w:rPr>
                <w:rFonts w:hint="eastAsia" w:ascii="宋体" w:hAnsi="宋体" w:cs="宋体"/>
                <w:szCs w:val="21"/>
                <w:highlight w:val="none"/>
              </w:rPr>
              <w:t xml:space="preserve">2、实时监控和分析数据库系统日志</w:t>
            </w:r>
            <w:r/>
          </w:p>
          <w:p>
            <w:pPr>
              <w:spacing w:line="360" w:lineRule="auto"/>
              <w:rPr>
                <w:rFonts w:ascii="宋体" w:hAnsi="宋体" w:cs="宋体"/>
                <w:szCs w:val="21"/>
                <w:highlight w:val="none"/>
              </w:rPr>
            </w:pPr>
            <w:r>
              <w:rPr>
                <w:rFonts w:hint="eastAsia" w:ascii="宋体" w:hAnsi="宋体" w:cs="宋体"/>
                <w:szCs w:val="21"/>
                <w:highlight w:val="none"/>
              </w:rPr>
              <w:t xml:space="preserve">3、实时监控数据和历史数据的对比分析及预警。</w:t>
            </w:r>
            <w:r/>
          </w:p>
        </w:tc>
      </w:tr>
      <w:tr>
        <w:trPr>
          <w:trHeight w:val="20"/>
        </w:trPr>
        <w:tc>
          <w:tcPr>
            <w:shd w:val="clear" w:color="auto" w:fill="auto"/>
            <w:tcW w:w="45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shd w:val="clear" w:color="auto" w:fill="auto"/>
            <w:tcW w:w="92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备份系统监控和预警服务</w:t>
            </w:r>
            <w:r/>
          </w:p>
        </w:tc>
        <w:tc>
          <w:tcPr>
            <w:shd w:val="clear" w:color="auto" w:fill="auto"/>
            <w:tcW w:w="361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1、实时监控备份系统运行、备份状态和备份空间</w:t>
            </w:r>
            <w:r/>
          </w:p>
          <w:p>
            <w:pPr>
              <w:spacing w:line="360" w:lineRule="auto"/>
              <w:rPr>
                <w:rFonts w:ascii="宋体" w:hAnsi="宋体" w:cs="宋体"/>
                <w:szCs w:val="21"/>
                <w:highlight w:val="none"/>
              </w:rPr>
            </w:pPr>
            <w:r>
              <w:rPr>
                <w:rFonts w:hint="eastAsia" w:ascii="宋体" w:hAnsi="宋体" w:cs="宋体"/>
                <w:szCs w:val="21"/>
                <w:highlight w:val="none"/>
              </w:rPr>
              <w:t xml:space="preserve">2、实时监控报警和监控数据阈值调优 </w:t>
            </w:r>
            <w:r/>
          </w:p>
        </w:tc>
      </w:tr>
      <w:tr>
        <w:trPr>
          <w:trHeight w:val="20"/>
        </w:trPr>
        <w:tc>
          <w:tcPr>
            <w:shd w:val="clear" w:color="auto" w:fill="auto"/>
            <w:tcW w:w="458"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shd w:val="clear" w:color="auto" w:fill="auto"/>
            <w:tcW w:w="92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预警消息服务</w:t>
            </w:r>
            <w:r/>
          </w:p>
        </w:tc>
        <w:tc>
          <w:tcPr>
            <w:shd w:val="clear" w:color="auto" w:fill="auto"/>
            <w:tcW w:w="361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1、智能报警短信提醒服务</w:t>
            </w:r>
            <w:r/>
          </w:p>
          <w:p>
            <w:pPr>
              <w:spacing w:line="360" w:lineRule="auto"/>
              <w:rPr>
                <w:rFonts w:ascii="宋体" w:hAnsi="宋体" w:cs="宋体"/>
                <w:szCs w:val="21"/>
                <w:highlight w:val="none"/>
              </w:rPr>
            </w:pPr>
            <w:r>
              <w:rPr>
                <w:rFonts w:hint="eastAsia" w:ascii="宋体" w:hAnsi="宋体" w:cs="宋体"/>
                <w:szCs w:val="21"/>
                <w:highlight w:val="none"/>
              </w:rPr>
              <w:t xml:space="preserve">2、智能报警电话提醒服务</w:t>
            </w:r>
            <w:r/>
          </w:p>
        </w:tc>
      </w:tr>
    </w:tbl>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为满足相关智能监测与预警服务的要求，要求根据投标人自有配套工具产生的基础数据以及安全管理平台的辅助分析，来进行持续常态化的安全服务，相关安全服务配套工具平台的技术要求如下：</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工作台功能</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平台主页面能够展示总体概括信息，如平台使用统计，待办统计，预警列表，待办列表，重要消息展示各类系统消息处理中心。可快捷穿透办理代待办任务（事件），可穿透展示系统所有消息通知。</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支持考勤管理功能，提供用户登录后自动签到、签退功能，系统会自动判断用户是否在工作时间内迟到、早退；提供用户申请请假、出差、考勤补录等审批功能，管理员可对运维人员申请进行审核并批复。</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资产管理</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针对资产的信息化管理，比如软件版本号、逻辑位置、维保信息、合同信息等，同时对资产的申请、入库、使用、交接、维修、报废进行全生命周期的管理，并且对资产更新提供数据支撑和汇总功能，可形成相应的台账；能够实现资产盘点，任务信息包含编号、名称、资产类型、办理人、状态等。</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巡检管理</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任务引擎根据巡检设置、频率参数、节假日等模块的设置，周期性生成待办巡检任务；巡检管理员可在此模块，完成巡检表单里各个巡检项的巡检工作；巡检管理员完成巡检任务后，提交巡检结果，发起巡检审核流程；巡检管理员可以选择设置好的巡检模板，自主发起巡检任务。与当前登录巡检管理人员相关的，巡检记录的查看与处置。</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绩效考评</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执行绩效考评任务的功能模块。绩效考评员可根据考评规则，对运维单位，进行周期性的考评扣分。绩效考评的设置模块，设置考评计划，绑定执行频率。</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服务管理</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服务级别管理，根据服务级别重要程度判定是否需要立即处置或在一定期限内结束处置。</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通过流程管理设计服务处理流程；</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由运维人员、管理人员等提出服务申请或系统其他模块自动生成服务流程，对所需服务或流程经信息部门主管人员审批确认后流转至现场运维负责人，由运维负责人进行审批派单，派送至相关负责人员，负责人员在实施服务过程中的服务情况和问题进行记录，并对完成情况进行反馈，最终服务发起者对服务进行评价。</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报警管理</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报警管理包括报警处置、历史报警查询。报警处置支持查询、忽略和转服务。报警信息通过与业务系统相关联，快速定位故障及影响范围。根据配置的报警策略及时将告警信息通过短信或电话的形式推送到相关人员。</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绩效考评</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执行绩效考评任务功能。绩效考评员可根据考评规则，对运维单位，进行周期性的考评扣分。绩效考评的设置模块，设置考评计划，绑定执行频率。</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计划管理</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对巡检计划、策略和制度体系的评审修订周期、密码更新周期等制度规定的计划节点进行统一管理。</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可视化</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大屏展示内容可依照具体情况进行调整；</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结合各设备实时运行状态数据展示，将一定统计时间内的各类告警、数据汇总等以图表等方式集中在监控中心展示，系统运行情况一目了然；</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用户可以通过监控中心的可视化展示，方便快捷地获取整个系统的健康状态情况；</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图形化展示每日实时各类事件占比、在处置事件/问题数量、实时性能及运行数据、月度系统运行曲线及基线、信息告警等。</w:t>
      </w:r>
      <w:r/>
    </w:p>
    <w:p>
      <w:pPr>
        <w:numPr>
          <w:ilvl w:val="0"/>
          <w:numId w:val="18"/>
        </w:numPr>
        <w:ind w:left="981" w:firstLine="4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智能运维与智能分析</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智能采集</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对服务器、交换机、路由器、安全设备、网络流量等进行采集、监控；</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支持多种类型数据的采集，包括日志、端口、进程及插件等。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在“进程”数据采集中，支持对service、采集方式、命令行、采集周期相关功能的设置；</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智能分析</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智能分析模块对采集到的基础数据实现展示，同时支持多种类型与功能的展示：</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支持多种类型指标的数据展示，包括CPU、内存、磁盘、网络、系统、进程、日志，即时了解设备运行状态；</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支持对监控图表的多种操作，包括分享图表、克隆图表、删除图表；</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支持监控图表之间任意拖动实现图表之间重新排序，以满足监控整体需求；</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智能报警</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支持对报警策略的设置，包括生效节点、排除节点、级别、统计周期、触发条件等；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触发条件支持“常用”和“与条件”；同时支持多种算法，包括连续发生、最大值、最小值、平均值、求和、数据上报中断等；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支持报警升级功能，超过一定时间未处理报警时，将支持重新设置故障等级并发送给运维人员；</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支持在规定时间内给运维人员最多发送几次报警的功能；</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支持查询未恢复报警的历史信息，同时显示的信息内容包括发生时间、策略名称、级别及通知结果及操作等</w:t>
      </w:r>
      <w:r/>
    </w:p>
    <w:p>
      <w:pPr>
        <w:numPr>
          <w:ilvl w:val="0"/>
          <w:numId w:val="18"/>
        </w:numPr>
        <w:spacing w:line="560" w:lineRule="exact"/>
        <w:rPr>
          <w:rFonts w:ascii="宋体" w:hAnsi="宋体" w:cs="宋体"/>
          <w:sz w:val="24"/>
          <w:szCs w:val="24"/>
          <w:highlight w:val="none"/>
        </w:rPr>
      </w:pPr>
      <w:r>
        <w:rPr>
          <w:rFonts w:hint="eastAsia" w:ascii="宋体" w:hAnsi="宋体" w:cs="宋体"/>
          <w:sz w:val="24"/>
          <w:szCs w:val="24"/>
          <w:highlight w:val="none"/>
        </w:rPr>
        <w:t xml:space="preserve">国产化产品监控运维支持</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平台能够支持国产化设备，包括国产服务器、国产操作系统、国产数据库、国产中间件等，对资源进行采集、分析与报警，实现对国产化设备的管理。</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1.2.6 运维平台工具使用</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为保证维护服务质量，中标供应商在运维过程中需提供标准化、体系化、流程化的运维平台工具，用于提高日常运维的服务质量和服务效率，可实现如下管理功能：</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安全策略和制度体系化管理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展示管理策略和制度体系；</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通过计划管理设置定期评审修订的周期，并实现到期告警；</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评审修订过程通过流程管理履行发布审批手续，最终以版本控制方式进行发布登记。</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对照等保要求进行各项子制度和规定的分类匹配核查。</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制度管理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展示信息系统管理制度，通过计划管理设置定期评审修订的周期，支持制度的评审修订并显示该制度的修订次数。</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机房出入管理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实现对出入机房的人员的申请审批，审批内容包括申请人员身份、进入事由、进入区域、进入时间及时长、是否有专人陪同；审批通过后，对相应人员进行门禁系统授权，申请人员方可进出。超过申请时长，门禁系统授权失效，超时离开报警、提供延长出入时间申请。</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对超时离开纳入绩效考评。</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审计员随机抽查监控、门禁记录、纸质机房出入登记表与系统审批记录，通过比对确认落实情况，并纳入绩效考评。</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项目管理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实现各项目相关管理流程中的招投标文件、设计方案、合同、清单、过程文档、应收付款、变更文件、项目阶段性成果、项目交付档案等资料进行线上归档；</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各项目资料文档可根据关键词或分类等在系统查询。</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风险管理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能够通过新增或导入风险评估规则，对信息资产进行风险识别，并对识别结果进行上报审核。风险识别规则库保存历史版本方便备查。</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密码管理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实现密码的集中管理，设立专门的系统密码管理员，仅其拥有该模块操作权限，其不参与任何实际的运维操作，仅负责密码集中管理。统一由密码管理员更新维护堡垒机上各权限账号密码。</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集中存储的密码加密存储，仅密码管理员可见。每次更新，对于平台产生一条更新记录，便于审计员核查及测评审查需要。同时每次更新，衍生相关设备和堡垒机的维护服务申请审批流程。</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通过计划管理设置密码更新周期，提前进行告警。通过后台策略设置控制密码长度、复杂度。</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同一密码在一定时间内不可重复使用。</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外来设备及介质接入管理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实现对外部设备或介质接入受控网络访问系统进行申请审批；</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申请审批内容包括：拟接入设备或介质类型、规格、特征码/序列号、接入事由、接入位置、接入时间及时长等。</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审批通过后形成变更事件，由专人在相关准入系统授权许可后，方能接入；</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超出授权时长自动报警，同时停止接入授权。</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流程管理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根据用户需求进行流程及流程表单进行设计。设计好的表单可以进行集中管理，显示内容包括表单id、表单名称、状态、操作人以及操作时间，并支持按表单名称条件进行筛选。</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支持对表单的相关模型的管理，显示内容包括模型key、模型名称、模型类别、版本、是否发布、创建时间以及更新时间，并支持按流程key、流程名称和模型类别等条件进行筛选。</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支持对表单的相关模型的对应流程的管理，显示内容包括流程定义名称、模型定义KEY、流程定义分类、版本、状态以及表单KEY，并支持按流程定义KEY、流程定义名称和流程定义分类条件进行筛选。</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支持对发起并执行的表单实例的管理，显示内容包含包括流程实例ID、流程定义名称、流程定义KEY、版本、开始时间以及结束时间，并支持按流程实例KEY、流程定义名称、业务主键和实例状态条件进行筛选。</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人员管理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实现对人员录用、调岗、离岗和请假等人员角色调整按流程进行申请和审批；</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与人员角色调整有关的录用函、调度函、请假说明和销假等信息进行归档记录；</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通过审批后，将消息推送至权限管理相关负责人，负责人对人员角色调整当事人的各类权限进行统一更改。</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通过计划管理对人员进行定期培训和考核，并将安全基础知识、岗位操作规程等培训内容、培训人员相关信息及考核情况进行归档备案，考核结果可作为人员管理的评价指标。</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知识管理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汇总最新的策略和制度、风险评估报告、拓扑图、设备设施日常操作维护手册以及不断增加运维过程中遇到的已经解决的并经审核的处理解决指南，方便现场运维人员的日常工作参考。</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对于新发现问题，运维管理团队在问题解决后进行审核整理，会将处理办法纳入知识库，形成知识类文件并不断完善。</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档案管理 </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可实现各项目相关管理流程中的招投标文件、设计方案、合同、清单、过程文档、应收付款、变更文件、项目阶段性成果、项目交付档案等资料进行线上归档；各项目资料文档可根据关键词或分类等在系统查询。</w:t>
      </w:r>
      <w:r/>
    </w:p>
    <w:p>
      <w:pPr>
        <w:numPr>
          <w:ilvl w:val="0"/>
          <w:numId w:val="20"/>
        </w:numPr>
        <w:spacing w:line="360" w:lineRule="auto"/>
        <w:rPr>
          <w:rFonts w:ascii="宋体" w:hAnsi="宋体" w:cs="宋体"/>
          <w:sz w:val="24"/>
          <w:szCs w:val="24"/>
          <w:highlight w:val="none"/>
        </w:rPr>
      </w:pPr>
      <w:r>
        <w:rPr>
          <w:rFonts w:hint="eastAsia" w:ascii="宋体" w:hAnsi="宋体" w:cs="宋体"/>
          <w:sz w:val="24"/>
          <w:szCs w:val="24"/>
          <w:highlight w:val="none"/>
        </w:rPr>
        <w:t xml:space="preserve">系统管理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创建维护平台的操作使用人员账户信息，并匹配相关权限； </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修改并展示现场运维人员、技术支持团队、公司运维管理团队和信息安全管理中心管理人员四类系统用户的人员权限和人员职责；</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根据系统用户的工作目标、工作境况和工作性质制定符合其工作特点的权责分配，权责不同，应用系统时可浏览操作的内容不同，并实现权责统一管理；</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可与日常管理模块中人员权限申请审批关联进行权限分配、回收；</w:t>
      </w:r>
      <w:r/>
    </w:p>
    <w:p>
      <w:pPr>
        <w:numPr>
          <w:ilvl w:val="0"/>
          <w:numId w:val="19"/>
        </w:numPr>
        <w:ind w:left="900"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权限依照各个模块设计，便于对权限进行统一修改，包含权限新增、权限修改，依照角色的权限配置等功能。</w:t>
      </w:r>
      <w:r/>
    </w:p>
    <w:p>
      <w:pPr>
        <w:ind w:firstLine="482"/>
        <w:spacing w:after="5" w:line="360" w:lineRule="auto"/>
        <w:rPr>
          <w:rFonts w:ascii="宋体" w:hAnsi="宋体" w:cs="宋体"/>
          <w:b/>
          <w:sz w:val="24"/>
          <w:szCs w:val="24"/>
          <w:highlight w:val="none"/>
        </w:rPr>
      </w:pPr>
      <w:r>
        <w:rPr>
          <w:rFonts w:hint="eastAsia" w:ascii="宋体" w:hAnsi="宋体" w:cs="宋体"/>
          <w:b/>
          <w:sz w:val="24"/>
          <w:szCs w:val="24"/>
          <w:highlight w:val="none"/>
        </w:rPr>
        <w:t xml:space="preserve">2.3 服务质量要求：</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（1）保证采购单位设备365天*24小时安全、稳定、高效运行。对于采购单位系统出现的任何软、硬件故障，中标供应商必须在规定的时间内加以解决，否则承担采购单位由此造成的损失。</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2）为保证维护服务质量，中标供应商必须为本项目作出独立的针对性投资，必须做出备件投资、人力投资、技术培训投资，投资成本必须体现并已经包含在维护报价中，拒绝不顾质量的恶意竞标行为。中标供应商应根据采购单位实际情况配备有关设备备件（如硬盘、内存等），以保证出现紧急故障情况时可快速调配使用。备用机是为发生紧急情况时可以应急替换使用，所有权归中标供应商,但硬盘在维护结束后应无偿送交采购单位按照保密规定销毁处置。</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3）故障处理速度和质量要求：对于维护范围内的故障，中标供应商应在故障发生后立即响应，并尽快加以解决；对于非维护范围内的故障，中标供应商应在故障发生后积极配合其他服务商尽快加以解决。维保期间，采购单位在进行硬件设备更新、升级、系统迁移等操作时，中标供应商须积极提供现场技术支持服务；如遇重大保障任务时，中标供应商需派驻专人进行现场保障服务。</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（4）针对所有维保设备，中标供应商须建立详细档案并在日常巡检维护中同步更新。同时，应制定、整理、完善应急预案及典型案例，培训、协助采购单位技术人员不断提高应急保障能力。</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（5）中标供应商提供的软件及其他服务不得侵害第三方的知识产权。</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6）为保证系统维护质量和维护效率，中标供应商提供上门维护服务的有相关工作经验的工程师应相对固定，入场维护三日内需提供项目组人员清单，并提供项目组人员资质证书进行备案，每次故障响应时，采购单位有权核实人员信息。中标供应商需要更换维护人员，应提前一个月以书面形式向采购单位提出人员变更申请，说明人员的离职原因、离职人员的安全保密措施、变更人员资质及身份证明材料等。采购单位有特殊需要时，中标供应商应加派服务人员。服务人员需遵守采购单位的各项管理规范及管理制度，如有违反将影响服务评定结果。</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7）中标供应商不得向第三方透露在运维期间获得和知晓的采购单位的系统数据、技术资料信息及属于第三方但中标供应商负有保密义务的信息，中标供应商人员泄密行为视为公司行为。须签订一份保密协议作为项目合同的补充。</w:t>
      </w:r>
      <w:r/>
    </w:p>
    <w:p>
      <w:pPr>
        <w:ind w:firstLine="482"/>
        <w:spacing w:after="5" w:line="360" w:lineRule="auto"/>
        <w:rPr>
          <w:rFonts w:ascii="宋体" w:hAnsi="宋体" w:cs="宋体"/>
          <w:b/>
          <w:sz w:val="24"/>
          <w:szCs w:val="24"/>
          <w:highlight w:val="none"/>
        </w:rPr>
      </w:pPr>
      <w:r>
        <w:rPr>
          <w:rFonts w:hint="eastAsia" w:ascii="宋体" w:hAnsi="宋体" w:cs="宋体"/>
          <w:b/>
          <w:sz w:val="24"/>
          <w:szCs w:val="24"/>
          <w:highlight w:val="none"/>
        </w:rPr>
        <w:t xml:space="preserve">2.4 服务质量考核：</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采购单位服务期结束一周内，根据《无锡市自然资源和规划局信息系统运维商评分表》对维保供应商进行服务质量考核，考核结果≥90分为合格；低于90分的，每10分（不足10分按10分计算）服务期顺延2个月（服务要求参照本项目招标文件总体要求），顺延期满后，重新进行服务质量考核，考核结果≥90分为合格，如仍低于90分的，继续按以上要求进行顺延，直至服务质量考核合格为止。（上述为合同不可缺少部分）</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《无锡市自然资源和规划局信息系统运维商评分表》（满分100分）</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266"/>
        <w:gridCol w:w="6960"/>
      </w:tblGrid>
      <w:tr>
        <w:trPr/>
        <w:tc>
          <w:tcPr>
            <w:shd w:val="clear" w:color="auto" w:fill="auto"/>
            <w:tcW w:w="516"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考核项目</w:t>
            </w:r>
            <w:r/>
          </w:p>
        </w:tc>
        <w:tc>
          <w:tcPr>
            <w:shd w:val="clear" w:color="auto" w:fill="auto"/>
            <w:tcW w:w="690"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考核内容</w:t>
            </w:r>
            <w:r/>
          </w:p>
        </w:tc>
        <w:tc>
          <w:tcPr>
            <w:shd w:val="clear" w:color="auto" w:fill="auto"/>
            <w:tcW w:w="3794"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评分细则</w:t>
            </w:r>
            <w:r/>
          </w:p>
        </w:tc>
      </w:tr>
      <w:tr>
        <w:trPr/>
        <w:tc>
          <w:tcPr>
            <w:shd w:val="clear" w:color="auto" w:fill="auto"/>
            <w:tcW w:w="516" w:type="pct"/>
            <w:vAlign w:val="center"/>
            <w:vMerge w:val="restart"/>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服务质量</w:t>
            </w:r>
            <w:r/>
          </w:p>
        </w:tc>
        <w:tc>
          <w:tcPr>
            <w:shd w:val="clear" w:color="auto" w:fill="auto"/>
            <w:tcW w:w="690"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响应及到达现场时间</w:t>
            </w:r>
            <w:r/>
          </w:p>
        </w:tc>
        <w:tc>
          <w:tcPr>
            <w:shd w:val="clear" w:color="auto" w:fill="auto"/>
            <w:tcW w:w="3794" w:type="pct"/>
            <w:vAlign w:val="center"/>
            <w:textDirection w:val="lrTb"/>
            <w:noWrap w:val="false"/>
          </w:tcPr>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1、对采购人出现的软硬件故障，维保单位应10分钟内派技术人员到现场解决（以采购人电话接通时间、微信、短信的回复时间、书面通知的签字时间为准），10分钟内未到现场的，每次扣2分。</w:t>
            </w:r>
            <w:r/>
          </w:p>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2、现场维护人员无法解决的，维保单位应1小时内派技术专家到现场解决（以采购人电话接通时间、微信、短信的回复时间、书面通知的签字时间为准），1小时内未到现场，每次扣5分。</w:t>
            </w:r>
            <w:r/>
          </w:p>
        </w:tc>
      </w:tr>
      <w:tr>
        <w:trPr/>
        <w:tc>
          <w:tcPr>
            <w:shd w:val="clear" w:color="auto" w:fill="auto"/>
            <w:tcW w:w="516" w:type="pct"/>
            <w:vAlign w:val="center"/>
            <w:vMerge w:val="continue"/>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ascii="宋体" w:hAnsi="宋体" w:cs="宋体"/>
                <w:szCs w:val="21"/>
                <w:highlight w:val="none"/>
              </w:rPr>
            </w:r>
            <w:r/>
          </w:p>
        </w:tc>
        <w:tc>
          <w:tcPr>
            <w:shd w:val="clear" w:color="auto" w:fill="auto"/>
            <w:tcW w:w="690"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人员响应落实</w:t>
            </w:r>
            <w:r/>
          </w:p>
        </w:tc>
        <w:tc>
          <w:tcPr>
            <w:shd w:val="clear" w:color="auto" w:fill="auto"/>
            <w:tcW w:w="3794" w:type="pct"/>
            <w:vAlign w:val="center"/>
            <w:textDirection w:val="lrTb"/>
            <w:noWrap w:val="false"/>
          </w:tcPr>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1、维保单位提供上门服务的维护工程师，未按照备案的项目组固定人员名单落实的，每次扣2分。</w:t>
            </w:r>
            <w:r/>
          </w:p>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2、维保单位提供上门服务的维护工程师，按照被维护系统类别，不具备相应维护能力的（参照技术要求中总体要求），每次扣2分。</w:t>
            </w:r>
            <w:r/>
          </w:p>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（因外界不可抗力因素情况导致无法及时响应的，须向采购人汇报并填写情况说明）</w:t>
            </w:r>
            <w:r/>
          </w:p>
        </w:tc>
      </w:tr>
      <w:tr>
        <w:trPr/>
        <w:tc>
          <w:tcPr>
            <w:shd w:val="clear" w:color="auto" w:fill="auto"/>
            <w:tcW w:w="516" w:type="pct"/>
            <w:vAlign w:val="center"/>
            <w:vMerge w:val="continue"/>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ascii="宋体" w:hAnsi="宋体" w:cs="宋体"/>
                <w:szCs w:val="21"/>
                <w:highlight w:val="none"/>
              </w:rPr>
            </w:r>
            <w:r/>
          </w:p>
        </w:tc>
        <w:tc>
          <w:tcPr>
            <w:shd w:val="clear" w:color="auto" w:fill="auto"/>
            <w:tcW w:w="690"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维保计划落实</w:t>
            </w:r>
            <w:r/>
          </w:p>
        </w:tc>
        <w:tc>
          <w:tcPr>
            <w:shd w:val="clear" w:color="auto" w:fill="auto"/>
            <w:tcW w:w="3794" w:type="pct"/>
            <w:vAlign w:val="center"/>
            <w:textDirection w:val="lrTb"/>
            <w:noWrap w:val="false"/>
          </w:tcPr>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1、维保单位应在合同签署后5个工作日内，制定相关符合招标文件要求的维保计划，并提交至采购人评审，未按时提交并通过审核的，扣10分；</w:t>
            </w:r>
            <w:r/>
          </w:p>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2、采购单位根据维保计划，监督计划落实，维保单位未落实维保计划内容，每次扣5分。</w:t>
            </w:r>
            <w:r/>
          </w:p>
        </w:tc>
      </w:tr>
      <w:tr>
        <w:trPr/>
        <w:tc>
          <w:tcPr>
            <w:shd w:val="clear" w:color="auto" w:fill="auto"/>
            <w:tcW w:w="516" w:type="pct"/>
            <w:vAlign w:val="center"/>
            <w:vMerge w:val="continue"/>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ascii="宋体" w:hAnsi="宋体" w:cs="宋体"/>
                <w:szCs w:val="21"/>
                <w:highlight w:val="none"/>
              </w:rPr>
            </w:r>
            <w:r/>
          </w:p>
        </w:tc>
        <w:tc>
          <w:tcPr>
            <w:shd w:val="clear" w:color="auto" w:fill="auto"/>
            <w:tcW w:w="690"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安全规范维保</w:t>
            </w:r>
            <w:r/>
          </w:p>
        </w:tc>
        <w:tc>
          <w:tcPr>
            <w:shd w:val="clear" w:color="auto" w:fill="auto"/>
            <w:tcW w:w="3794" w:type="pct"/>
            <w:vAlign w:val="center"/>
            <w:textDirection w:val="lrTb"/>
            <w:noWrap w:val="false"/>
          </w:tcPr>
          <w:p>
            <w:pPr>
              <w:jc w:val="left"/>
              <w:spacing w:line="360" w:lineRule="auto"/>
              <w:tabs>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1、维保单位人员应根据日常巡检结果如实填写巡检报告，并交由采购人机房管理人员签字确认，未落实签字确认流程的，每次扣2分。</w:t>
            </w:r>
            <w:r/>
          </w:p>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2、维保单位人员对信息系统核心数据库巡检，应按照采购人要求填写巡检申请，审批通过后进行巡检，未经审批流程进行巡检，每次扣5分；未在巡检当日填写巡检报告交至采购人签字确认的，每次扣2分；</w:t>
            </w:r>
            <w:r/>
          </w:p>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3、维保单位巡检人员在对数据库、存储、中间件、服务器等设备巡检时发现异常必须在第一时间告知采购人人员，因未及时告知采购人，导致未能及时处理，造成业务中断，扣10分。</w:t>
            </w:r>
            <w:r/>
          </w:p>
          <w:p>
            <w:pPr>
              <w:jc w:val="left"/>
              <w:spacing w:line="360" w:lineRule="auto"/>
              <w:tabs>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4、维保单位人员对机房内设备进行配置修改前，应按照采购人要求填写申请，审批通过后方能进行修改，未经审批流程进行修改的，每次扣5分；如因维保单位人员擅自修改，导致采购单位业务系统停用、暂停情况，每次扣10分。</w:t>
            </w:r>
            <w:r/>
          </w:p>
        </w:tc>
      </w:tr>
      <w:tr>
        <w:trPr/>
        <w:tc>
          <w:tcPr>
            <w:shd w:val="clear" w:color="auto" w:fill="auto"/>
            <w:tcW w:w="516" w:type="pct"/>
            <w:vAlign w:val="center"/>
            <w:vMerge w:val="continue"/>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ascii="宋体" w:hAnsi="宋体" w:cs="宋体"/>
                <w:szCs w:val="21"/>
                <w:highlight w:val="none"/>
              </w:rPr>
            </w:r>
            <w:r/>
          </w:p>
        </w:tc>
        <w:tc>
          <w:tcPr>
            <w:shd w:val="clear" w:color="auto" w:fill="auto"/>
            <w:tcW w:w="690"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故障修复响应</w:t>
            </w:r>
            <w:r/>
          </w:p>
        </w:tc>
        <w:tc>
          <w:tcPr>
            <w:shd w:val="clear" w:color="auto" w:fill="auto"/>
            <w:tcW w:w="3794" w:type="pct"/>
            <w:vAlign w:val="center"/>
            <w:textDirection w:val="lrTb"/>
            <w:noWrap w:val="false"/>
          </w:tcPr>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业务软件系统发生问题，现场维护人员应配合采购人解决故障，如未按照采购人要求去执行，扣2分；</w:t>
            </w:r>
            <w:r/>
          </w:p>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维护范围内硬件系统发生问题，须在2小时内恢复，保证系统能够正常运行；如在响应4小时后仍无法解决的，应提供同等性能的备机以确保采购单位信息系统的正常运行，无法提供备机的，扣10分；</w:t>
            </w:r>
            <w:r/>
          </w:p>
        </w:tc>
      </w:tr>
      <w:tr>
        <w:trPr/>
        <w:tc>
          <w:tcPr>
            <w:shd w:val="clear" w:color="auto" w:fill="auto"/>
            <w:tcW w:w="516"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安全生产</w:t>
            </w:r>
            <w:r/>
          </w:p>
        </w:tc>
        <w:tc>
          <w:tcPr>
            <w:shd w:val="clear" w:color="auto" w:fill="auto"/>
            <w:tcW w:w="690" w:type="pct"/>
            <w:vAlign w:val="center"/>
            <w:textDirection w:val="lrTb"/>
            <w:noWrap w:val="false"/>
          </w:tcPr>
          <w:p>
            <w:pPr>
              <w:jc w:val="cente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安全事件</w:t>
            </w:r>
            <w:r/>
          </w:p>
        </w:tc>
        <w:tc>
          <w:tcPr>
            <w:shd w:val="clear" w:color="auto" w:fill="auto"/>
            <w:tcW w:w="3794" w:type="pct"/>
            <w:vAlign w:val="center"/>
            <w:textDirection w:val="lrTb"/>
            <w:noWrap w:val="false"/>
          </w:tcPr>
          <w:p>
            <w:pPr>
              <w:spacing w:line="360" w:lineRule="auto"/>
              <w:tabs>
                <w:tab w:val="left" w:pos="525" w:leader="none"/>
                <w:tab w:val="left" w:pos="630" w:leader="none"/>
                <w:tab w:val="left" w:pos="1050" w:leader="none"/>
              </w:tabs>
              <w:rPr>
                <w:rFonts w:ascii="宋体" w:hAnsi="宋体" w:cs="宋体"/>
                <w:szCs w:val="21"/>
                <w:highlight w:val="none"/>
              </w:rPr>
            </w:pPr>
            <w:r>
              <w:rPr>
                <w:rFonts w:hint="eastAsia" w:ascii="宋体" w:hAnsi="宋体" w:cs="宋体"/>
                <w:szCs w:val="21"/>
                <w:highlight w:val="none"/>
              </w:rPr>
              <w:t xml:space="preserve">维保单位未经采购人授权擅自操作，造成业务数据泄漏引起重大后果的，本次考核不得分，必要时采购单位可追究其司法责任；</w:t>
            </w:r>
            <w:r/>
          </w:p>
        </w:tc>
      </w:tr>
    </w:tbl>
    <w:p>
      <w:pPr>
        <w:ind w:firstLine="482"/>
        <w:spacing w:after="5" w:line="360" w:lineRule="auto"/>
        <w:rPr>
          <w:rFonts w:ascii="宋体" w:hAnsi="宋体" w:cs="宋体"/>
          <w:b/>
          <w:sz w:val="24"/>
          <w:szCs w:val="24"/>
          <w:highlight w:val="none"/>
        </w:rPr>
      </w:pPr>
      <w:r>
        <w:rPr>
          <w:rFonts w:hint="eastAsia" w:ascii="宋体" w:hAnsi="宋体" w:cs="宋体"/>
          <w:b/>
          <w:sz w:val="24"/>
          <w:szCs w:val="24"/>
          <w:highlight w:val="none"/>
        </w:rPr>
        <w:t xml:space="preserve">2.5 网络安全责任条款：</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（1）中标供应商应建立相对独立的管理技术团队、政务信息平台，团队人员应为中标供应商正式员工，并指定网络安全负责人。</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（2）中标供应商不得转包、分包合同任务；确需分包的，应报经采购人同意，并在分包合同中明确相应的网络安全责任和义务，但不得将合同任务主体和关键部分分包。</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（3）外包活动中产生的政务数据、系统运行数据及收集的个人信息等数据资产归采购人所有。</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（4）中标供应商应严格按照采购人要求收集、使用、存储、处理数据和个人信息，保证采购人对政务数据的访问、利用、支配。</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5）中标供应商应严格将政务数据与其他数据分开存储、处理，未经采购人单位同意，不得变更数据用途、用法，不得访问、修改、公开、披露、利用、转让、销毁、私自留存或向第三方提供；合同终止时中标供应商要按照采购人要求及时处理数据。</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（6）中标供应商应当按照《中华人民共和国数据安全法》《中华人民共和国个人信息保护法》等法律法规及相关政策规定的要求，加强个人信息保护。</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（7）中标供应商应严格按照规定采购相关产品和服务，应当优先采用安全可信的软硬件产品；涉及密码的，应当符合国家密码管理规定。</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（8）中标供应商要建立健全网络和数据安全保护机制，发现的网络安全漏洞和其他风险隐患应及时向采购人报告；未经采购人或相关部门同意，不得公开或向第三方提供。</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（9）中标供应商发生业务转型、合并重组、投资并购等重大事项，或者管理技术团队人员发生重大变化，应提前向采购人报告。</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10）如中标供应商建设运维的政务信息平台注册用户超过100万，人或涉及人民群众出行、教育、求职、医疗、缴费等重要业务，中标供应商每年必须要向采购人提交网络安全报告，报告至少包括网络安全管理、数据安全管理、平台关键软硬件供应链安全、技术团队变化等情况。</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（11）中标供应商应积极配合相关部门开展网络安全检查、测评、审计等监督管理工作，应如实完整提供外包网络安全管理情况，不得拒绝、隐匿、瞒报。</w:t>
      </w:r>
      <w:r/>
    </w:p>
    <w:p>
      <w:pPr>
        <w:ind w:firstLine="480"/>
        <w:spacing w:after="5" w:line="360" w:lineRule="auto"/>
        <w:rPr>
          <w:rFonts w:ascii="宋体" w:hAnsi="宋体" w:cs="宋体"/>
          <w:sz w:val="24"/>
          <w:szCs w:val="24"/>
          <w:highlight w:val="none"/>
        </w:rPr>
      </w:pPr>
      <w:r>
        <w:rPr>
          <w:rFonts w:hint="eastAsia" w:ascii="宋体" w:hAnsi="宋体" w:cs="宋体"/>
          <w:sz w:val="24"/>
          <w:szCs w:val="24"/>
          <w:highlight w:val="none"/>
        </w:rPr>
        <w:t xml:space="preserve">（12）中标供应商应落实网络安全相关法律法规要求。</w:t>
      </w:r>
      <w:r/>
    </w:p>
    <w:p>
      <w:pPr>
        <w:ind w:firstLine="480"/>
        <w:spacing w:after="5" w:line="360" w:lineRule="auto"/>
        <w:rPr>
          <w:rFonts w:ascii="宋体" w:hAnsi="宋体" w:cs="宋体"/>
          <w:sz w:val="24"/>
          <w:szCs w:val="24"/>
          <w:highlight w:val="none"/>
        </w:rPr>
      </w:pPr>
      <w:r>
        <w:rPr>
          <w:rFonts w:ascii="宋体" w:hAnsi="宋体" w:cs="宋体"/>
          <w:sz w:val="24"/>
          <w:szCs w:val="24"/>
          <w:highlight w:val="none"/>
        </w:rPr>
      </w:r>
      <w:r/>
    </w:p>
    <w:p>
      <w:pPr>
        <w:keepNext/>
        <w:spacing w:line="360" w:lineRule="auto"/>
        <w:tabs>
          <w:tab w:val="left" w:pos="360" w:leader="none"/>
        </w:tabs>
        <w:rPr>
          <w:rFonts w:ascii="宋体" w:hAnsi="宋体" w:cs="宋体"/>
          <w:b/>
          <w:bCs/>
          <w:sz w:val="24"/>
          <w:szCs w:val="24"/>
          <w:highlight w:val="none"/>
        </w:rPr>
        <w:outlineLvl w:val="1"/>
      </w:pPr>
      <w:r>
        <w:rPr>
          <w:rFonts w:hint="eastAsia" w:ascii="宋体" w:hAnsi="宋体" w:cs="宋体"/>
          <w:b/>
          <w:bCs/>
          <w:sz w:val="24"/>
          <w:szCs w:val="24"/>
          <w:highlight w:val="none"/>
        </w:rPr>
        <w:t xml:space="preserve">付款方式</w:t>
      </w:r>
      <w:r/>
    </w:p>
    <w:p>
      <w:pPr>
        <w:ind w:firstLine="480"/>
        <w:spacing w:line="360" w:lineRule="auto"/>
        <w:tabs>
          <w:tab w:val="left" w:pos="945"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合同签订后拿到发票后十五日内支付合同价款的40%；服务期结束一周内组织年度服务质量考核，合格（评分≥90分）后组织项目验收，项目验收通过后支付剩余服务费用。</w:t>
      </w:r>
      <w:r/>
    </w:p>
    <w:p>
      <w:pPr>
        <w:rPr>
          <w:rFonts w:ascii="宋体" w:hAnsi="宋体" w:cs="宋体"/>
          <w:bCs/>
          <w:sz w:val="30"/>
          <w:szCs w:val="30"/>
          <w:highlight w:val="none"/>
        </w:rPr>
      </w:pPr>
      <w:r>
        <w:rPr>
          <w:rFonts w:hint="eastAsia" w:ascii="宋体" w:hAnsi="宋体" w:cs="宋体"/>
          <w:bCs/>
          <w:sz w:val="30"/>
          <w:szCs w:val="30"/>
          <w:highlight w:val="none"/>
        </w:rPr>
        <w:br w:type="page" w:clear="all"/>
      </w:r>
      <w:bookmarkEnd w:id="9"/>
      <w:r/>
    </w:p>
    <w:p>
      <w:pPr>
        <w:jc w:val="center"/>
        <w:rPr>
          <w:rFonts w:hint="default" w:ascii="宋体" w:hAnsi="宋体" w:cs="宋体"/>
          <w:bCs/>
          <w:sz w:val="28"/>
          <w:szCs w:val="28"/>
          <w:highlight w:val="none"/>
          <w:lang w:val="en-US" w:eastAsia="zh-CN"/>
        </w:rPr>
        <w:outlineLvl w:val="0"/>
      </w:pPr>
      <w:r/>
      <w:bookmarkStart w:id="10" w:name="_Toc17254"/>
      <w:r/>
      <w:bookmarkStart w:id="11" w:name="_Toc4558"/>
      <w:r>
        <w:rPr>
          <w:rFonts w:hint="eastAsia" w:ascii="宋体" w:hAnsi="宋体" w:cs="宋体"/>
          <w:bCs/>
          <w:sz w:val="28"/>
          <w:szCs w:val="28"/>
          <w:highlight w:val="none"/>
          <w:lang w:val="en-US" w:eastAsia="zh-CN"/>
        </w:rPr>
        <w:t xml:space="preserve">四.合同条款</w:t>
      </w:r>
      <w:bookmarkEnd w:id="10"/>
      <w:r/>
      <w:r/>
    </w:p>
    <w:p>
      <w:pPr>
        <w:jc w:val="center"/>
        <w:spacing w:line="360" w:lineRule="auto"/>
        <w:rPr>
          <w:rFonts w:hint="eastAsia" w:ascii="宋体" w:hAnsi="宋体" w:eastAsia="宋体" w:cs="宋体"/>
          <w:bCs/>
          <w:color w:val="000000"/>
          <w:sz w:val="52"/>
          <w:szCs w:val="52"/>
          <w:highlight w:val="none"/>
          <w:lang w:bidi="en-US"/>
        </w:rPr>
      </w:pPr>
      <w:r>
        <w:rPr>
          <w:rFonts w:hint="eastAsia" w:ascii="宋体" w:hAnsi="宋体" w:eastAsia="宋体" w:cs="宋体"/>
          <w:bCs/>
          <w:color w:val="000000"/>
          <w:sz w:val="52"/>
          <w:szCs w:val="52"/>
          <w:highlight w:val="none"/>
          <w:lang w:bidi="en-US"/>
        </w:rPr>
      </w:r>
      <w:r/>
    </w:p>
    <w:p>
      <w:pPr>
        <w:jc w:val="center"/>
        <w:spacing w:line="360" w:lineRule="auto"/>
        <w:rPr>
          <w:rFonts w:hint="eastAsia" w:ascii="宋体" w:hAnsi="宋体" w:eastAsia="宋体" w:cs="宋体"/>
          <w:bCs/>
          <w:color w:val="000000"/>
          <w:sz w:val="52"/>
          <w:szCs w:val="52"/>
          <w:highlight w:val="none"/>
          <w:lang w:bidi="en-US"/>
        </w:rPr>
      </w:pPr>
      <w:r>
        <w:rPr>
          <w:rFonts w:hint="eastAsia" w:ascii="宋体" w:hAnsi="宋体" w:eastAsia="宋体" w:cs="宋体"/>
          <w:bCs/>
          <w:color w:val="000000"/>
          <w:sz w:val="52"/>
          <w:szCs w:val="52"/>
          <w:highlight w:val="none"/>
          <w:lang w:bidi="en-US"/>
        </w:rPr>
      </w:r>
      <w:r/>
    </w:p>
    <w:p>
      <w:pPr>
        <w:jc w:val="center"/>
        <w:spacing w:line="360" w:lineRule="auto"/>
        <w:rPr>
          <w:rFonts w:hint="eastAsia" w:ascii="宋体" w:hAnsi="宋体" w:eastAsia="宋体" w:cs="宋体"/>
          <w:bCs/>
          <w:sz w:val="52"/>
          <w:szCs w:val="52"/>
          <w:highlight w:val="none"/>
          <w:lang w:bidi="en-US"/>
        </w:rPr>
      </w:pPr>
      <w:r>
        <w:rPr>
          <w:rFonts w:hint="eastAsia" w:ascii="宋体" w:hAnsi="宋体" w:eastAsia="宋体" w:cs="宋体"/>
          <w:bCs/>
          <w:color w:val="000000"/>
          <w:sz w:val="52"/>
          <w:szCs w:val="52"/>
          <w:highlight w:val="none"/>
          <w:lang w:bidi="en-US"/>
        </w:rPr>
        <w:t xml:space="preserve">无锡市自然资源和规划局机房信息化设备维护项目（运维接续2026）</w:t>
      </w:r>
      <w:r/>
    </w:p>
    <w:p>
      <w:pPr>
        <w:jc w:val="center"/>
        <w:spacing w:line="360" w:lineRule="auto"/>
        <w:rPr>
          <w:rFonts w:hint="eastAsia" w:ascii="宋体" w:hAnsi="宋体" w:eastAsia="宋体" w:cs="宋体"/>
          <w:bCs/>
          <w:sz w:val="52"/>
          <w:szCs w:val="52"/>
          <w:highlight w:val="none"/>
          <w:lang w:bidi="en-US"/>
        </w:rPr>
      </w:pPr>
      <w:r>
        <w:rPr>
          <w:rFonts w:hint="eastAsia" w:ascii="宋体" w:hAnsi="宋体" w:eastAsia="宋体" w:cs="宋体"/>
          <w:bCs/>
          <w:sz w:val="52"/>
          <w:szCs w:val="52"/>
          <w:highlight w:val="none"/>
          <w:lang w:bidi="en-US"/>
        </w:rPr>
        <w:t xml:space="preserve">合同书</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960"/>
        <w:jc w:val="left"/>
        <w:spacing w:line="360" w:lineRule="auto"/>
        <w:rPr>
          <w:rFonts w:hint="eastAsia" w:ascii="宋体" w:hAnsi="宋体" w:eastAsia="宋体" w:cs="宋体"/>
          <w:bCs/>
          <w:color w:val="000000"/>
          <w:sz w:val="32"/>
          <w:szCs w:val="32"/>
          <w:highlight w:val="none"/>
          <w:lang w:bidi="en-US"/>
        </w:rPr>
      </w:pPr>
      <w:r>
        <w:rPr>
          <w:rFonts w:hint="eastAsia" w:ascii="宋体" w:hAnsi="宋体" w:eastAsia="宋体" w:cs="宋体"/>
          <w:bCs/>
          <w:color w:val="000000"/>
          <w:sz w:val="32"/>
          <w:szCs w:val="32"/>
          <w:highlight w:val="none"/>
          <w:lang w:bidi="en-US"/>
        </w:rPr>
        <w:t xml:space="preserve">项目编号：</w:t>
      </w:r>
      <w:r>
        <w:rPr>
          <w:rFonts w:hint="eastAsia" w:ascii="宋体" w:hAnsi="宋体" w:eastAsia="宋体" w:cs="宋体"/>
          <w:bCs/>
          <w:color w:val="000000"/>
          <w:sz w:val="24"/>
          <w:szCs w:val="24"/>
          <w:highlight w:val="none"/>
          <w:u w:val="single"/>
          <w:lang w:bidi="en-US"/>
        </w:rPr>
        <w:t xml:space="preserve">                </w:t>
      </w:r>
      <w:r/>
    </w:p>
    <w:p>
      <w:pPr>
        <w:ind w:firstLine="960"/>
        <w:jc w:val="left"/>
        <w:spacing w:line="360" w:lineRule="auto"/>
        <w:rPr>
          <w:rFonts w:hint="eastAsia" w:ascii="宋体" w:hAnsi="宋体" w:eastAsia="宋体" w:cs="宋体"/>
          <w:sz w:val="32"/>
          <w:szCs w:val="32"/>
          <w:highlight w:val="none"/>
          <w:lang w:bidi="en-US"/>
        </w:rPr>
      </w:pPr>
      <w:r>
        <w:rPr>
          <w:rFonts w:hint="eastAsia" w:ascii="宋体" w:hAnsi="宋体" w:eastAsia="宋体" w:cs="宋体"/>
          <w:sz w:val="32"/>
          <w:szCs w:val="32"/>
          <w:highlight w:val="none"/>
          <w:lang w:bidi="en-US"/>
        </w:rPr>
        <w:t xml:space="preserve">甲    方：</w:t>
      </w:r>
      <w:r>
        <w:rPr>
          <w:rFonts w:hint="eastAsia" w:ascii="宋体" w:hAnsi="宋体" w:eastAsia="宋体" w:cs="宋体"/>
          <w:bCs/>
          <w:color w:val="000000"/>
          <w:sz w:val="32"/>
          <w:szCs w:val="32"/>
          <w:highlight w:val="none"/>
          <w:u w:val="single"/>
          <w:lang w:bidi="en-US"/>
        </w:rPr>
        <w:t xml:space="preserve">无锡市自然资源和规划局</w:t>
      </w:r>
      <w:r/>
    </w:p>
    <w:p>
      <w:pPr>
        <w:ind w:firstLine="960"/>
        <w:jc w:val="left"/>
        <w:spacing w:line="360" w:lineRule="auto"/>
        <w:rPr>
          <w:rFonts w:hint="eastAsia" w:ascii="宋体" w:hAnsi="宋体" w:eastAsia="宋体" w:cs="宋体"/>
          <w:sz w:val="28"/>
          <w:szCs w:val="28"/>
          <w:highlight w:val="none"/>
          <w:lang w:bidi="en-US"/>
        </w:rPr>
      </w:pPr>
      <w:r>
        <w:rPr>
          <w:rFonts w:hint="eastAsia" w:ascii="宋体" w:hAnsi="宋体" w:eastAsia="宋体" w:cs="宋体"/>
          <w:sz w:val="32"/>
          <w:szCs w:val="32"/>
          <w:highlight w:val="none"/>
          <w:lang w:bidi="en-US"/>
        </w:rPr>
        <w:t xml:space="preserve">乙    方：</w:t>
      </w:r>
      <w:r>
        <w:rPr>
          <w:rFonts w:hint="eastAsia" w:ascii="宋体" w:hAnsi="宋体" w:eastAsia="宋体" w:cs="宋体"/>
          <w:bCs/>
          <w:color w:val="000000"/>
          <w:sz w:val="24"/>
          <w:szCs w:val="24"/>
          <w:highlight w:val="none"/>
          <w:u w:val="single"/>
          <w:lang w:bidi="en-US"/>
        </w:rPr>
        <w:t xml:space="preserve">                </w:t>
      </w:r>
      <w:r/>
    </w:p>
    <w:p>
      <w:pPr>
        <w:ind w:firstLine="960"/>
        <w:jc w:val="left"/>
        <w:spacing w:line="360" w:lineRule="auto"/>
        <w:rPr>
          <w:rFonts w:hint="eastAsia" w:ascii="宋体" w:hAnsi="宋体" w:eastAsia="宋体" w:cs="宋体"/>
          <w:bCs/>
          <w:color w:val="000000"/>
          <w:sz w:val="32"/>
          <w:szCs w:val="32"/>
          <w:highlight w:val="none"/>
          <w:lang w:bidi="en-US"/>
        </w:rPr>
      </w:pPr>
      <w:r>
        <w:rPr>
          <w:rFonts w:hint="eastAsia" w:ascii="宋体" w:hAnsi="宋体" w:eastAsia="宋体" w:cs="宋体"/>
          <w:bCs/>
          <w:color w:val="000000"/>
          <w:sz w:val="32"/>
          <w:szCs w:val="32"/>
          <w:highlight w:val="none"/>
          <w:lang w:bidi="en-US"/>
        </w:rPr>
        <w:t xml:space="preserve">签订地点：</w:t>
      </w:r>
      <w:r>
        <w:rPr>
          <w:rFonts w:hint="eastAsia" w:ascii="宋体" w:hAnsi="宋体" w:eastAsia="宋体" w:cs="宋体"/>
          <w:bCs/>
          <w:color w:val="000000"/>
          <w:sz w:val="24"/>
          <w:szCs w:val="24"/>
          <w:highlight w:val="none"/>
          <w:u w:val="single"/>
          <w:lang w:bidi="en-US"/>
        </w:rPr>
        <w:t xml:space="preserve">                </w:t>
      </w:r>
      <w:r/>
    </w:p>
    <w:p>
      <w:pPr>
        <w:ind w:firstLine="960"/>
        <w:spacing w:line="360" w:lineRule="auto"/>
        <w:rPr>
          <w:rFonts w:hint="eastAsia" w:ascii="宋体" w:hAnsi="宋体" w:eastAsia="宋体" w:cs="宋体"/>
          <w:sz w:val="32"/>
          <w:szCs w:val="32"/>
          <w:highlight w:val="none"/>
        </w:rPr>
        <w:sectPr>
          <w:footerReference w:type="default" r:id="rId13"/>
          <w:footnotePr/>
          <w:endnotePr/>
          <w:type w:val="nextPage"/>
          <w:pgSz w:w="11906" w:h="16838" w:orient="portrait"/>
          <w:pgMar w:top="1985" w:right="1418" w:bottom="1871" w:left="1531" w:header="851" w:footer="992" w:gutter="0"/>
          <w:pgNumType w:start="1"/>
          <w:cols w:num="1" w:sep="0" w:space="720" w:equalWidth="1"/>
          <w:docGrid w:linePitch="360"/>
        </w:sectPr>
      </w:pPr>
      <w:r>
        <w:rPr>
          <w:rFonts w:hint="eastAsia" w:ascii="宋体" w:hAnsi="宋体" w:eastAsia="宋体" w:cs="宋体"/>
          <w:bCs/>
          <w:color w:val="000000"/>
          <w:sz w:val="32"/>
          <w:szCs w:val="32"/>
          <w:highlight w:val="none"/>
          <w:lang w:bidi="en-US"/>
        </w:rPr>
        <w:t xml:space="preserve">签订日期：____年____月___日</w:t>
      </w:r>
      <w:r/>
    </w:p>
    <w:p>
      <w:pPr>
        <w:ind w:firstLine="562"/>
        <w:spacing w:line="5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甲方（采购人）：无锡市自然资源和规划局</w:t>
      </w:r>
      <w:r/>
    </w:p>
    <w:p>
      <w:pPr>
        <w:ind w:firstLine="562"/>
        <w:spacing w:line="5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地址：</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t xml:space="preserve">                      </w:t>
      </w:r>
      <w:r/>
    </w:p>
    <w:p>
      <w:pPr>
        <w:ind w:firstLine="562"/>
        <w:spacing w:line="5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乙方（中标方）：</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t xml:space="preserve">                </w:t>
      </w:r>
      <w:r/>
    </w:p>
    <w:p>
      <w:pPr>
        <w:ind w:firstLine="562"/>
        <w:spacing w:line="56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地址：</w:t>
      </w:r>
      <w:r>
        <w:rPr>
          <w:rFonts w:hint="eastAsia" w:ascii="宋体" w:hAnsi="宋体" w:eastAsia="宋体" w:cs="宋体"/>
          <w:b/>
          <w:bCs/>
          <w:sz w:val="28"/>
          <w:szCs w:val="28"/>
          <w:highlight w:val="none"/>
          <w:u w:val="single"/>
        </w:rPr>
        <w:t xml:space="preserve">                                </w:t>
      </w:r>
      <w:r>
        <w:rPr>
          <w:rFonts w:hint="eastAsia" w:ascii="宋体" w:hAnsi="宋体" w:eastAsia="宋体" w:cs="宋体"/>
          <w:b/>
          <w:bCs/>
          <w:sz w:val="28"/>
          <w:szCs w:val="28"/>
          <w:highlight w:val="none"/>
        </w:rPr>
        <w:t xml:space="preserve">                       </w:t>
      </w:r>
      <w:r/>
    </w:p>
    <w:p>
      <w:pPr>
        <w:ind w:firstLine="560"/>
        <w:jc w:val="left"/>
        <w:spacing w:line="560" w:lineRule="exact"/>
        <w:rPr>
          <w:rFonts w:hint="eastAsia" w:ascii="宋体" w:hAnsi="宋体" w:eastAsia="宋体" w:cs="宋体"/>
          <w:bCs/>
          <w:color w:val="000000"/>
          <w:sz w:val="28"/>
          <w:szCs w:val="28"/>
          <w:highlight w:val="none"/>
          <w:u w:val="single"/>
          <w:lang w:bidi="en-US"/>
        </w:rPr>
      </w:pPr>
      <w:r>
        <w:rPr>
          <w:rFonts w:hint="eastAsia" w:ascii="宋体" w:hAnsi="宋体" w:eastAsia="宋体" w:cs="宋体"/>
          <w:color w:val="000000"/>
          <w:sz w:val="28"/>
          <w:szCs w:val="28"/>
          <w:highlight w:val="none"/>
          <w:lang w:bidi="en-US"/>
        </w:rPr>
        <w:t xml:space="preserve">为明确双方的权利、义务，经协商一致，根据《中华人民共和国政府采购法》《中华人民共和国民法典》等有关政府采购法规，甲乙双方按照政府采购项目编号（  ）的__________项目（项目编号：________________________）公开招标采购结果及采购文件的要求，并遵循诚实、诚信、公平和自愿原则订立本合同。</w:t>
      </w:r>
      <w:r/>
    </w:p>
    <w:p>
      <w:pPr>
        <w:ind w:firstLine="562"/>
        <w:spacing w:line="560" w:lineRule="exact"/>
        <w:rPr>
          <w:rFonts w:hint="eastAsia" w:ascii="宋体" w:hAnsi="宋体" w:eastAsia="宋体" w:cs="宋体"/>
          <w:color w:val="000000"/>
          <w:sz w:val="28"/>
          <w:szCs w:val="28"/>
          <w:highlight w:val="none"/>
          <w:u w:val="single"/>
          <w:lang w:bidi="en-US"/>
        </w:rPr>
      </w:pPr>
      <w:r>
        <w:rPr>
          <w:rFonts w:hint="eastAsia" w:ascii="宋体" w:hAnsi="宋体" w:eastAsia="宋体" w:cs="宋体"/>
          <w:b/>
          <w:color w:val="000000"/>
          <w:sz w:val="28"/>
          <w:szCs w:val="28"/>
          <w:highlight w:val="none"/>
          <w:lang w:bidi="en-US"/>
        </w:rPr>
        <w:t xml:space="preserve">一、</w:t>
      </w:r>
      <w:r>
        <w:rPr>
          <w:rFonts w:hint="eastAsia" w:ascii="宋体" w:hAnsi="宋体" w:eastAsia="宋体" w:cs="宋体"/>
          <w:b/>
          <w:bCs/>
          <w:color w:val="000000"/>
          <w:sz w:val="28"/>
          <w:szCs w:val="28"/>
          <w:highlight w:val="none"/>
          <w:lang w:bidi="en-US"/>
        </w:rPr>
        <w:t xml:space="preserve">采购标的</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1.服务项目名称：无锡市自然资源和规划局机房信息化设备维护项目（运维接续2026）</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2.服务内容：要求在1年服务期内，提供维护清单内的设备质保、安全设备特征库升级、信息系统运行保障（维护清单内设备及终端PC等）、网络安全服务、智能监测与预警等服务，确保采购单位设备和各项系统7*24小时正常运行。</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3.服务期限：2026年12月10日-2027年12月9日</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4.补充条款：</w:t>
      </w:r>
      <w:r>
        <w:rPr>
          <w:rFonts w:hint="eastAsia" w:ascii="宋体" w:hAnsi="宋体" w:eastAsia="宋体" w:cs="宋体"/>
          <w:sz w:val="28"/>
          <w:szCs w:val="28"/>
          <w:highlight w:val="none"/>
          <w:u w:val="single"/>
        </w:rPr>
        <w:t xml:space="preserve">       /         </w:t>
      </w:r>
      <w:r>
        <w:rPr>
          <w:rFonts w:hint="eastAsia" w:ascii="宋体" w:hAnsi="宋体" w:eastAsia="宋体" w:cs="宋体"/>
          <w:sz w:val="28"/>
          <w:szCs w:val="28"/>
          <w:highlight w:val="none"/>
        </w:rPr>
        <w:t xml:space="preserve">。</w:t>
      </w:r>
      <w:r/>
    </w:p>
    <w:p>
      <w:pPr>
        <w:ind w:firstLine="562"/>
        <w:spacing w:line="560" w:lineRule="exac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二、中标总金额：含税价（大写）</w:t>
      </w:r>
      <w:r>
        <w:rPr>
          <w:rFonts w:hint="eastAsia" w:ascii="宋体" w:hAnsi="宋体" w:eastAsia="宋体" w:cs="宋体"/>
          <w:bCs/>
          <w:sz w:val="28"/>
          <w:szCs w:val="28"/>
          <w:highlight w:val="none"/>
          <w:u w:val="single"/>
        </w:rPr>
        <w:t xml:space="preserve">           </w:t>
      </w:r>
      <w:r>
        <w:rPr>
          <w:rFonts w:hint="eastAsia" w:ascii="宋体" w:hAnsi="宋体" w:eastAsia="宋体" w:cs="宋体"/>
          <w:b/>
          <w:sz w:val="28"/>
          <w:szCs w:val="28"/>
          <w:highlight w:val="none"/>
        </w:rPr>
        <w:t xml:space="preserve"> ；</w:t>
      </w:r>
      <w:r>
        <w:rPr>
          <w:rFonts w:hint="eastAsia" w:ascii="宋体" w:hAnsi="宋体" w:eastAsia="宋体" w:cs="宋体"/>
          <w:b/>
          <w:color w:val="000000"/>
          <w:sz w:val="28"/>
          <w:szCs w:val="28"/>
          <w:highlight w:val="none"/>
          <w:lang w:bidi="en-US"/>
        </w:rPr>
        <w:t xml:space="preserve">（小写）</w:t>
      </w:r>
      <w:r>
        <w:rPr>
          <w:rFonts w:hint="eastAsia" w:ascii="宋体" w:hAnsi="宋体" w:eastAsia="宋体" w:cs="宋体"/>
          <w:bCs/>
          <w:sz w:val="28"/>
          <w:szCs w:val="28"/>
          <w:highlight w:val="none"/>
          <w:u w:val="single"/>
        </w:rPr>
        <w:t xml:space="preserve">        </w:t>
      </w:r>
      <w:r>
        <w:rPr>
          <w:rFonts w:hint="eastAsia" w:ascii="宋体" w:hAnsi="宋体" w:eastAsia="宋体" w:cs="宋体"/>
          <w:b/>
          <w:color w:val="000000"/>
          <w:sz w:val="28"/>
          <w:szCs w:val="28"/>
          <w:highlight w:val="none"/>
          <w:lang w:bidi="en-US"/>
        </w:rPr>
        <w:t xml:space="preserve"> 。</w:t>
      </w:r>
      <w:r/>
    </w:p>
    <w:p>
      <w:pPr>
        <w:numPr>
          <w:ilvl w:val="0"/>
          <w:numId w:val="21"/>
        </w:numPr>
        <w:ind w:firstLine="613"/>
        <w:spacing w:line="560" w:lineRule="exact"/>
        <w:tabs>
          <w:tab w:val="left" w:pos="210" w:leader="none"/>
          <w:tab w:val="left" w:pos="840" w:leader="none"/>
          <w:tab w:val="left" w:pos="1260" w:leader="none"/>
        </w:tabs>
        <w:rPr>
          <w:rFonts w:hint="eastAsia" w:ascii="宋体" w:hAnsi="宋体" w:eastAsia="宋体" w:cs="宋体"/>
          <w:color w:val="000000"/>
          <w:sz w:val="24"/>
          <w:szCs w:val="24"/>
          <w:highlight w:val="none"/>
          <w:lang w:bidi="en-US"/>
        </w:rPr>
      </w:pPr>
      <w:r/>
      <w:bookmarkStart w:id="12" w:name="OLE_LINK1"/>
      <w:r>
        <w:rPr>
          <w:rFonts w:hint="eastAsia" w:ascii="宋体" w:hAnsi="宋体" w:eastAsia="宋体" w:cs="宋体"/>
          <w:b/>
          <w:color w:val="000000"/>
          <w:sz w:val="28"/>
          <w:szCs w:val="28"/>
          <w:highlight w:val="none"/>
          <w:lang w:bidi="en-US"/>
        </w:rPr>
        <w:t xml:space="preserve">质量和成果要求及验收标准</w:t>
      </w:r>
      <w:bookmarkEnd w:id="12"/>
      <w:r>
        <w:rPr>
          <w:rFonts w:hint="eastAsia" w:ascii="宋体" w:hAnsi="宋体" w:eastAsia="宋体" w:cs="宋体"/>
          <w:b/>
          <w:color w:val="000000"/>
          <w:sz w:val="28"/>
          <w:szCs w:val="28"/>
          <w:highlight w:val="none"/>
          <w:lang w:bidi="en-US"/>
        </w:rPr>
        <w:t xml:space="preserve">：</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1.乙方本项目所有交付成果，需完全符合国家、行业现行发布的相关强制标准、规范及法律法规要求，无违反强制性条款的内容。</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2.乙方所有交付物不得侵犯任何第三方的知识产权、合法权益，若出现相关纠纷由乙方全额承担对应责任。</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3.甲方将根据《年度服务质量考核表》（考核评分≥90分视为合格）进行综合评定。</w:t>
      </w:r>
      <w:r/>
    </w:p>
    <w:p>
      <w:pPr>
        <w:ind w:firstLine="562"/>
        <w:spacing w:line="560" w:lineRule="exact"/>
        <w:tabs>
          <w:tab w:val="left" w:pos="210" w:leader="none"/>
          <w:tab w:val="left" w:pos="840" w:leader="none"/>
          <w:tab w:val="left" w:pos="1260" w:leader="none"/>
        </w:tabs>
        <w:rPr>
          <w:rFonts w:hint="eastAsia" w:ascii="宋体" w:hAnsi="宋体" w:eastAsia="宋体" w:cs="宋体"/>
          <w:b/>
          <w:color w:val="000000"/>
          <w:sz w:val="24"/>
          <w:szCs w:val="24"/>
          <w:highlight w:val="none"/>
          <w:lang w:bidi="en-US"/>
        </w:rPr>
      </w:pPr>
      <w:r>
        <w:rPr>
          <w:rFonts w:hint="eastAsia" w:ascii="宋体" w:hAnsi="宋体" w:eastAsia="宋体" w:cs="宋体"/>
          <w:b/>
          <w:color w:val="000000"/>
          <w:sz w:val="28"/>
          <w:szCs w:val="28"/>
          <w:highlight w:val="none"/>
          <w:lang w:bidi="en-US"/>
        </w:rPr>
        <w:t xml:space="preserve">四、完工期或服务期：</w:t>
      </w:r>
      <w:r>
        <w:rPr>
          <w:rFonts w:hint="eastAsia" w:ascii="宋体" w:hAnsi="宋体" w:eastAsia="宋体" w:cs="宋体"/>
          <w:color w:val="000000"/>
          <w:sz w:val="28"/>
          <w:szCs w:val="28"/>
          <w:highlight w:val="none"/>
          <w:lang w:bidi="en-US"/>
        </w:rPr>
        <w:t xml:space="preserve"> 2027年12月9日 </w:t>
      </w:r>
      <w:r/>
    </w:p>
    <w:p>
      <w:pPr>
        <w:ind w:firstLine="613"/>
        <w:spacing w:line="560" w:lineRule="exact"/>
        <w:tabs>
          <w:tab w:val="left" w:pos="210" w:leader="none"/>
          <w:tab w:val="left" w:pos="840" w:leader="none"/>
          <w:tab w:val="left" w:pos="1260" w:leader="none"/>
        </w:tabs>
        <w:rPr>
          <w:rFonts w:hint="eastAsia" w:ascii="宋体" w:hAnsi="宋体" w:eastAsia="宋体" w:cs="宋体"/>
          <w:color w:val="000000"/>
          <w:sz w:val="24"/>
          <w:szCs w:val="24"/>
          <w:highlight w:val="none"/>
          <w:lang w:bidi="en-US"/>
        </w:rPr>
      </w:pPr>
      <w:r>
        <w:rPr>
          <w:rFonts w:hint="eastAsia" w:ascii="宋体" w:hAnsi="宋体" w:eastAsia="宋体" w:cs="宋体"/>
          <w:b/>
          <w:color w:val="000000"/>
          <w:sz w:val="28"/>
          <w:szCs w:val="28"/>
          <w:highlight w:val="none"/>
          <w:lang w:bidi="en-US"/>
        </w:rPr>
        <w:t xml:space="preserve">五、地点和方式：</w:t>
      </w:r>
      <w:r>
        <w:rPr>
          <w:rFonts w:hint="eastAsia" w:ascii="宋体" w:hAnsi="宋体" w:eastAsia="宋体" w:cs="宋体"/>
          <w:color w:val="000000"/>
          <w:sz w:val="28"/>
          <w:szCs w:val="28"/>
          <w:highlight w:val="none"/>
          <w:lang w:bidi="en-US"/>
        </w:rPr>
        <w:t xml:space="preserve"> 文华路199号机房  </w:t>
      </w:r>
      <w:r>
        <w:rPr>
          <w:rFonts w:hint="eastAsia" w:ascii="宋体" w:hAnsi="宋体" w:eastAsia="宋体" w:cs="宋体"/>
          <w:color w:val="000000"/>
          <w:sz w:val="24"/>
          <w:szCs w:val="24"/>
          <w:highlight w:val="none"/>
          <w:lang w:bidi="en-US"/>
        </w:rPr>
        <w:t xml:space="preserve">             </w:t>
      </w:r>
      <w:r/>
    </w:p>
    <w:p>
      <w:pPr>
        <w:ind w:firstLine="613"/>
        <w:spacing w:line="560" w:lineRule="exact"/>
        <w:tabs>
          <w:tab w:val="left" w:pos="210" w:leader="none"/>
          <w:tab w:val="left" w:pos="840" w:leader="none"/>
          <w:tab w:val="left" w:pos="1260" w:leader="none"/>
        </w:tabs>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六、付款时间及方式：</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合同签订后，甲方收到乙方发票后15日内，甲方向乙方支付合同金额40%的首付款；</w:t>
      </w:r>
      <w:r>
        <w:rPr>
          <w:rFonts w:hint="eastAsia" w:ascii="宋体" w:hAnsi="宋体" w:eastAsia="宋体" w:cs="宋体"/>
          <w:bCs/>
          <w:sz w:val="28"/>
          <w:szCs w:val="28"/>
          <w:highlight w:val="none"/>
        </w:rPr>
        <w:t xml:space="preserve">服务期结束一周内组织年度服务质量考核，合格（评分≥90分）后组织项目验收，项目验收通过后</w:t>
      </w:r>
      <w:r>
        <w:rPr>
          <w:rFonts w:hint="eastAsia" w:ascii="宋体" w:hAnsi="宋体" w:eastAsia="宋体" w:cs="宋体"/>
          <w:color w:val="000000"/>
          <w:sz w:val="28"/>
          <w:szCs w:val="28"/>
          <w:highlight w:val="none"/>
          <w:lang w:bidi="en-US"/>
        </w:rPr>
        <w:t xml:space="preserve">，甲方向乙方支付合同金额的60%；</w:t>
      </w:r>
      <w:r/>
    </w:p>
    <w:p>
      <w:pPr>
        <w:numPr>
          <w:ilvl w:val="0"/>
          <w:numId w:val="22"/>
        </w:numPr>
        <w:ind w:left="480" w:firstLine="0"/>
        <w:spacing w:after="120" w:line="560" w:lineRule="exact"/>
        <w:rPr>
          <w:rFonts w:hint="eastAsia" w:ascii="宋体" w:hAnsi="宋体" w:eastAsia="宋体" w:cs="宋体"/>
          <w:b/>
          <w:bCs/>
          <w:color w:val="000000"/>
          <w:sz w:val="24"/>
          <w:szCs w:val="24"/>
          <w:highlight w:val="none"/>
          <w:lang w:bidi="en-US"/>
        </w:rPr>
      </w:pPr>
      <w:r>
        <w:rPr>
          <w:rFonts w:hint="eastAsia" w:ascii="宋体" w:hAnsi="宋体" w:eastAsia="宋体" w:cs="宋体"/>
          <w:b/>
          <w:bCs/>
          <w:color w:val="000000"/>
          <w:sz w:val="24"/>
          <w:szCs w:val="24"/>
          <w:highlight w:val="none"/>
          <w:lang w:bidi="en-US"/>
        </w:rPr>
        <w:t xml:space="preserve">验收</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甲方根据国家有关规定、招标文件、乙方的投标文件以及合同约定的内容和验收标准进行验收。验收合格作为支付合同款的依据。如有质疑，以相关质量技术检验检测机构的检验结果为准，如产生检验费用，则该费用由过失方承担。</w:t>
      </w:r>
      <w:r/>
    </w:p>
    <w:p>
      <w:pPr>
        <w:ind w:firstLine="562"/>
        <w:spacing w:line="560" w:lineRule="exac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八、成果和版权归属</w:t>
      </w:r>
      <w:r/>
    </w:p>
    <w:p>
      <w:pPr>
        <w:ind w:firstLine="560"/>
        <w:jc w:val="left"/>
        <w:spacing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乙方受甲方委托完成的成果版权及其他权利均归甲方。未经甲方允许，乙方不得将成果、版权或其他权利向第三方转让，亦不得用于本合同以外的目的或用途。</w:t>
      </w:r>
      <w:r/>
    </w:p>
    <w:p>
      <w:pPr>
        <w:ind w:firstLine="562"/>
        <w:spacing w:line="560" w:lineRule="exac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九、售后服务：</w:t>
      </w:r>
      <w:r>
        <w:rPr>
          <w:rFonts w:hint="eastAsia" w:ascii="宋体" w:hAnsi="宋体" w:eastAsia="宋体" w:cs="宋体"/>
          <w:sz w:val="28"/>
          <w:szCs w:val="28"/>
          <w:highlight w:val="none"/>
          <w:u w:val="single"/>
        </w:rPr>
        <w:t xml:space="preserve">      /        </w:t>
      </w:r>
      <w:r>
        <w:rPr>
          <w:rFonts w:hint="eastAsia" w:ascii="宋体" w:hAnsi="宋体" w:eastAsia="宋体" w:cs="宋体"/>
          <w:b/>
          <w:color w:val="000000"/>
          <w:sz w:val="28"/>
          <w:szCs w:val="28"/>
          <w:highlight w:val="none"/>
          <w:lang w:bidi="en-US"/>
        </w:rPr>
        <w:t xml:space="preserve">。</w:t>
      </w:r>
      <w:r/>
    </w:p>
    <w:p>
      <w:pPr>
        <w:ind w:firstLine="562"/>
        <w:spacing w:line="560" w:lineRule="exac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十、双方责任与协作事项</w:t>
      </w:r>
      <w:r/>
    </w:p>
    <w:p>
      <w:pPr>
        <w:ind w:firstLine="560"/>
        <w:spacing w:line="560" w:lineRule="exact"/>
        <w:tabs>
          <w:tab w:val="left" w:pos="210" w:leader="none"/>
          <w:tab w:val="left" w:pos="840" w:leader="none"/>
          <w:tab w:val="left" w:pos="1260"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（一）甲方权利和义务</w:t>
      </w:r>
      <w:r/>
    </w:p>
    <w:p>
      <w:pPr>
        <w:ind w:firstLine="560"/>
        <w:spacing w:line="560" w:lineRule="exact"/>
        <w:tabs>
          <w:tab w:val="left" w:pos="210" w:leader="none"/>
          <w:tab w:val="left" w:pos="840" w:leader="none"/>
          <w:tab w:val="left" w:pos="1260"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1.甲方有权对乙方的服务内容和服务质量进行监督和考核，并根据考核的结果要求乙方改进；</w:t>
      </w:r>
      <w:r/>
    </w:p>
    <w:p>
      <w:pPr>
        <w:ind w:firstLine="560"/>
        <w:spacing w:line="560" w:lineRule="exact"/>
        <w:tabs>
          <w:tab w:val="left" w:pos="210" w:leader="none"/>
          <w:tab w:val="left" w:pos="840" w:leader="none"/>
          <w:tab w:val="left" w:pos="1260"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2.甲方根据国家有关规定、招标文件、乙方的投标文件以及合同约定的内容和验收标准进行验收；</w:t>
      </w:r>
      <w:r/>
    </w:p>
    <w:p>
      <w:pPr>
        <w:ind w:firstLine="560"/>
        <w:spacing w:line="560" w:lineRule="exact"/>
        <w:tabs>
          <w:tab w:val="left" w:pos="210" w:leader="none"/>
          <w:tab w:val="left" w:pos="840" w:leader="none"/>
          <w:tab w:val="left" w:pos="1260"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3.甲方应正当行使权利、履行义务，保证本合同的顺利履行。</w:t>
      </w:r>
      <w:r/>
    </w:p>
    <w:p>
      <w:pPr>
        <w:ind w:firstLine="560"/>
        <w:spacing w:line="560" w:lineRule="exact"/>
        <w:tabs>
          <w:tab w:val="left" w:pos="210" w:leader="none"/>
          <w:tab w:val="left" w:pos="840" w:leader="none"/>
          <w:tab w:val="left" w:pos="1260"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（二）乙方权利和义务</w:t>
      </w:r>
      <w:r/>
    </w:p>
    <w:p>
      <w:pPr>
        <w:ind w:firstLine="560"/>
        <w:spacing w:line="560" w:lineRule="exact"/>
        <w:tabs>
          <w:tab w:val="left" w:pos="210" w:leader="none"/>
          <w:tab w:val="left" w:pos="840" w:leader="none"/>
          <w:tab w:val="left" w:pos="1260"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1.乙方应严格按照本项目《招标文件》规定的服务内容、技术要求开展日常维护及故障处置工作；</w:t>
      </w:r>
      <w:r/>
    </w:p>
    <w:p>
      <w:pPr>
        <w:ind w:firstLine="560"/>
        <w:spacing w:line="560" w:lineRule="exact"/>
        <w:tabs>
          <w:tab w:val="left" w:pos="210" w:leader="none"/>
          <w:tab w:val="left" w:pos="840" w:leader="none"/>
          <w:tab w:val="left" w:pos="1260"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2.乙方须与甲方签订《网络安全责任书》及《保密协议》；</w:t>
      </w:r>
      <w:r/>
    </w:p>
    <w:p>
      <w:pPr>
        <w:ind w:firstLine="560"/>
        <w:spacing w:line="560" w:lineRule="exact"/>
        <w:tabs>
          <w:tab w:val="left" w:pos="210" w:leader="none"/>
          <w:tab w:val="left" w:pos="840" w:leader="none"/>
          <w:tab w:val="left" w:pos="1260"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3.乙方为甲方相关人员提供现场系统维护相关知识和技能培训，并定期向甲方汇报工作进展，及时提交项目成果。</w:t>
      </w:r>
      <w:r/>
    </w:p>
    <w:p>
      <w:pPr>
        <w:ind w:firstLine="562"/>
        <w:spacing w:line="560" w:lineRule="exac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十一、违约责任</w:t>
      </w:r>
      <w:r/>
    </w:p>
    <w:p>
      <w:pPr>
        <w:spacing w:after="120"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4"/>
          <w:szCs w:val="24"/>
          <w:highlight w:val="none"/>
          <w:lang w:bidi="en-US"/>
        </w:rPr>
        <w:t xml:space="preserve">   </w:t>
      </w:r>
      <w:r>
        <w:rPr>
          <w:rFonts w:hint="eastAsia" w:ascii="宋体" w:hAnsi="宋体" w:eastAsia="宋体" w:cs="宋体"/>
          <w:color w:val="000000"/>
          <w:sz w:val="28"/>
          <w:szCs w:val="28"/>
          <w:highlight w:val="none"/>
          <w:lang w:bidi="en-US"/>
        </w:rPr>
        <w:t xml:space="preserve"> 1.甲乙双方应正当行使权利、履行义务，保证本合同的顺利履行。任何一方不及时、充分履行合同义务的，应当承担违约责任；给对方造成损失的，应赔偿对方由此所遭受的直接和间接经济损失。</w:t>
      </w:r>
      <w:r/>
    </w:p>
    <w:p>
      <w:pPr>
        <w:ind w:firstLine="560"/>
        <w:spacing w:after="120"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2.由于乙方工作的错误或遗漏造成本项目成果质量不符合要求的，乙方除负责及时采取有效补救措施外，还需要赔偿由此导致的甲方的全部损失。</w:t>
      </w:r>
      <w:r/>
    </w:p>
    <w:p>
      <w:pPr>
        <w:ind w:firstLine="560"/>
        <w:spacing w:after="120"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3.本合同履行期间，乙方未能按合同约定的日期（含协商延缓的日期）提交成果并得到甲方认可的（经过甲方书面同意的延缓除外），甲方有权要求乙方支付该阶段合同价款每日6‰的逾期违约金，逾期违约金总额不超过合同总价款的 30%，乙方逾期超过15日的，甲方有权解除合同并不支付任何费用，已经支付的费用乙方须全额退回，乙方还需赔偿由此导致甲方的全部损失。</w:t>
      </w:r>
      <w:r/>
    </w:p>
    <w:p>
      <w:pPr>
        <w:ind w:firstLine="560"/>
        <w:spacing w:after="120" w:line="56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4.若乙方提交的成果未达到审查、验收通过要求或提供成果的内容虚假、不符合实际或不提供成果，则视为乙方根本违约，甲方有权解除合同，乙方应退还已经收到的全部费用、承担合同总金额20%的违约金并赔偿由此给甲方造成的全部损失。</w:t>
      </w:r>
      <w:r/>
    </w:p>
    <w:p>
      <w:pPr>
        <w:ind w:firstLine="560"/>
        <w:spacing w:after="120" w:line="560" w:lineRule="exact"/>
        <w:rPr>
          <w:rFonts w:hint="eastAsia" w:ascii="宋体" w:hAnsi="宋体" w:eastAsia="宋体" w:cs="宋体"/>
          <w:bCs/>
          <w:color w:val="000000"/>
          <w:sz w:val="28"/>
          <w:szCs w:val="28"/>
          <w:highlight w:val="none"/>
          <w:lang w:bidi="en-US"/>
        </w:rPr>
      </w:pPr>
      <w:r>
        <w:rPr>
          <w:rFonts w:hint="eastAsia" w:ascii="宋体" w:hAnsi="宋体" w:eastAsia="宋体" w:cs="宋体"/>
          <w:color w:val="000000"/>
          <w:sz w:val="28"/>
          <w:szCs w:val="28"/>
          <w:highlight w:val="none"/>
          <w:lang w:bidi="en-US"/>
        </w:rPr>
        <w:t xml:space="preserve">5.甲方无正当理由逾期付款时，应以逾期付款金额为基数，按照同期LPR利率计算逾期付款期间应支付的违约金。</w:t>
      </w:r>
      <w:r/>
    </w:p>
    <w:p>
      <w:pPr>
        <w:ind w:firstLine="560"/>
        <w:spacing w:line="560" w:lineRule="exact"/>
        <w:tabs>
          <w:tab w:val="left" w:pos="210" w:leader="none"/>
          <w:tab w:val="left" w:pos="420" w:leader="none"/>
          <w:tab w:val="left" w:pos="1155" w:leader="none"/>
        </w:tabs>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6.如遭遇不可抗力事件，遭遇不可抗力的一方应尽快以书面形式将不可抗力的情况和原因通知另一方，并积极采取措施防止损失扩大。因不可抗力造成的损失，甲乙双方按照法律规定处理。招标文件及合同中所述之“不可抗力”系指不可预见、不可避免、不可克服的事件，包括但不限于：战争、洪水、台风、地震及其他法律法规规定的事件。</w:t>
      </w:r>
      <w:r/>
    </w:p>
    <w:p>
      <w:pPr>
        <w:contextualSpacing/>
        <w:ind w:firstLine="562"/>
        <w:jc w:val="left"/>
        <w:spacing w:after="156" w:line="560" w:lineRule="exac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十二、保密条款</w:t>
      </w:r>
      <w:r/>
    </w:p>
    <w:p>
      <w:pPr>
        <w:ind w:firstLine="560"/>
        <w:spacing w:line="560" w:lineRule="exact"/>
        <w:tabs>
          <w:tab w:val="left" w:pos="210" w:leader="none"/>
          <w:tab w:val="left" w:pos="420" w:leader="none"/>
          <w:tab w:val="left" w:pos="1155" w:leader="none"/>
        </w:tabs>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一）乙方应遵守国家有关保密的法律法规和行业规定，并对甲方提供的资料负有保密义务。未经甲方同意，不得将合同履行过程中获得的政府、公民等各种信息和资料提供给其他单位和个人，不得自行发布、发表相关成果；乙方不得将合同成果作为其它用途。乙方须对执行业务过程中知悉的甲方商业秘密严加保密。除非相关准则另有规定，或经甲方同意，乙方不得将其知悉的商业秘密对外泄露。如发生以上情况的，乙方须立即采取措施弥补，并承担违约责任。</w:t>
      </w:r>
      <w:r/>
    </w:p>
    <w:p>
      <w:pPr>
        <w:ind w:firstLine="560"/>
        <w:spacing w:line="560" w:lineRule="exact"/>
        <w:tabs>
          <w:tab w:val="left" w:pos="210" w:leader="none"/>
          <w:tab w:val="left" w:pos="420" w:leader="none"/>
          <w:tab w:val="left" w:pos="1155" w:leader="none"/>
        </w:tabs>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（二）本合同项目所有成果的所有权、使用权和著作权归属甲方，乙方的使用必须由甲方授权。</w:t>
      </w:r>
      <w:r/>
    </w:p>
    <w:p>
      <w:pPr>
        <w:ind w:firstLine="560"/>
        <w:spacing w:line="560" w:lineRule="exact"/>
        <w:tabs>
          <w:tab w:val="left" w:pos="210" w:leader="none"/>
          <w:tab w:val="left" w:pos="420" w:leader="none"/>
          <w:tab w:val="left" w:pos="1155" w:leader="none"/>
        </w:tabs>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（三）项目完成后，乙方须将档案原件、档案数字化信息及所有计算机的硬盘全部移交给甲方，不得擅自复制或留存，并办理移交手续。</w:t>
      </w:r>
      <w:r/>
    </w:p>
    <w:p>
      <w:pPr>
        <w:ind w:firstLine="562"/>
        <w:jc w:val="left"/>
        <w:spacing w:line="560" w:lineRule="exac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十三、解决争议的方式</w:t>
      </w:r>
      <w:r/>
    </w:p>
    <w:p>
      <w:pPr>
        <w:ind w:firstLine="560"/>
        <w:spacing w:line="560" w:lineRule="exact"/>
        <w:tabs>
          <w:tab w:val="left" w:pos="210" w:leader="none"/>
          <w:tab w:val="left" w:pos="420" w:leader="none"/>
          <w:tab w:val="left" w:pos="1155" w:leader="none"/>
        </w:tabs>
        <w:rPr>
          <w:rFonts w:hint="eastAsia" w:ascii="宋体" w:hAnsi="宋体" w:eastAsia="宋体" w:cs="宋体"/>
          <w:color w:val="000000"/>
          <w:sz w:val="28"/>
          <w:szCs w:val="28"/>
          <w:highlight w:val="none"/>
          <w:lang w:val="zh-CN" w:bidi="en-US"/>
        </w:rPr>
      </w:pPr>
      <w:r>
        <w:rPr>
          <w:rFonts w:hint="eastAsia" w:ascii="宋体" w:hAnsi="宋体" w:eastAsia="宋体" w:cs="宋体"/>
          <w:color w:val="000000"/>
          <w:sz w:val="28"/>
          <w:szCs w:val="28"/>
          <w:highlight w:val="none"/>
          <w:lang w:val="zh-CN" w:bidi="en-US"/>
        </w:rPr>
        <w:t xml:space="preserve">1</w:t>
      </w:r>
      <w:r>
        <w:rPr>
          <w:rFonts w:hint="eastAsia" w:ascii="宋体" w:hAnsi="宋体" w:eastAsia="宋体" w:cs="宋体"/>
          <w:color w:val="000000"/>
          <w:sz w:val="28"/>
          <w:szCs w:val="28"/>
          <w:highlight w:val="none"/>
          <w:lang w:bidi="en-US"/>
        </w:rPr>
        <w:t xml:space="preserve">.</w:t>
      </w:r>
      <w:r>
        <w:rPr>
          <w:rFonts w:hint="eastAsia" w:ascii="宋体" w:hAnsi="宋体" w:eastAsia="宋体" w:cs="宋体"/>
          <w:color w:val="000000"/>
          <w:sz w:val="28"/>
          <w:szCs w:val="28"/>
          <w:highlight w:val="none"/>
          <w:lang w:val="zh-CN" w:bidi="en-US"/>
        </w:rPr>
        <w:t xml:space="preserve">合同签订后甲乙双方即直接产生权利与义务的关系，合同执行过程中出现的问题应按照合同约定、法律法规的规定办理。在合同履行过程中，双方如有争议，由甲乙双方协商处理，若协商不成，向无锡仲裁委员会申请仲裁方式处理：</w:t>
      </w:r>
      <w:r/>
    </w:p>
    <w:p>
      <w:pPr>
        <w:ind w:firstLine="560"/>
        <w:spacing w:line="560" w:lineRule="exact"/>
        <w:tabs>
          <w:tab w:val="left" w:pos="210" w:leader="none"/>
          <w:tab w:val="left" w:pos="420" w:leader="none"/>
          <w:tab w:val="left" w:pos="1155" w:leader="none"/>
        </w:tabs>
        <w:rPr>
          <w:rFonts w:hint="eastAsia" w:ascii="宋体" w:hAnsi="宋体" w:eastAsia="宋体" w:cs="宋体"/>
          <w:color w:val="000000"/>
          <w:sz w:val="28"/>
          <w:szCs w:val="28"/>
          <w:highlight w:val="none"/>
          <w:lang w:val="zh-CN" w:bidi="en-US"/>
        </w:rPr>
      </w:pPr>
      <w:r>
        <w:rPr>
          <w:rFonts w:hint="eastAsia" w:ascii="宋体" w:hAnsi="宋体" w:eastAsia="宋体" w:cs="宋体"/>
          <w:color w:val="000000"/>
          <w:sz w:val="28"/>
          <w:szCs w:val="28"/>
          <w:highlight w:val="none"/>
          <w:lang w:val="zh-CN" w:bidi="en-US"/>
        </w:rPr>
        <w:t xml:space="preserve">2</w:t>
      </w:r>
      <w:r>
        <w:rPr>
          <w:rFonts w:hint="eastAsia" w:ascii="宋体" w:hAnsi="宋体" w:eastAsia="宋体" w:cs="宋体"/>
          <w:color w:val="000000"/>
          <w:sz w:val="28"/>
          <w:szCs w:val="28"/>
          <w:highlight w:val="none"/>
          <w:lang w:bidi="en-US"/>
        </w:rPr>
        <w:t xml:space="preserve">.</w:t>
      </w:r>
      <w:r>
        <w:rPr>
          <w:rFonts w:hint="eastAsia" w:ascii="宋体" w:hAnsi="宋体" w:eastAsia="宋体" w:cs="宋体"/>
          <w:color w:val="000000"/>
          <w:sz w:val="28"/>
          <w:szCs w:val="28"/>
          <w:highlight w:val="none"/>
          <w:lang w:val="zh-CN" w:bidi="en-US"/>
        </w:rPr>
        <w:t xml:space="preserve">合同在执行过程中出现的未尽事宜，双方在不违背本合同和采购文件的原则下协商解决，协商结果以书面形式签订补充协议，且补充协议与本合同具有同等效力；</w:t>
      </w:r>
      <w:r/>
    </w:p>
    <w:p>
      <w:pPr>
        <w:ind w:firstLine="560"/>
        <w:spacing w:line="560" w:lineRule="exact"/>
        <w:tabs>
          <w:tab w:val="left" w:pos="210" w:leader="none"/>
          <w:tab w:val="left" w:pos="420" w:leader="none"/>
          <w:tab w:val="left" w:pos="1155" w:leader="none"/>
        </w:tabs>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val="zh-CN" w:bidi="en-US"/>
        </w:rPr>
        <w:t xml:space="preserve">3</w:t>
      </w:r>
      <w:r>
        <w:rPr>
          <w:rFonts w:hint="eastAsia" w:ascii="宋体" w:hAnsi="宋体" w:eastAsia="宋体" w:cs="宋体"/>
          <w:color w:val="000000"/>
          <w:sz w:val="28"/>
          <w:szCs w:val="28"/>
          <w:highlight w:val="none"/>
          <w:lang w:bidi="en-US"/>
        </w:rPr>
        <w:t xml:space="preserve">.</w:t>
      </w:r>
      <w:r>
        <w:rPr>
          <w:rFonts w:hint="eastAsia" w:ascii="宋体" w:hAnsi="宋体" w:eastAsia="宋体" w:cs="宋体"/>
          <w:color w:val="000000"/>
          <w:sz w:val="28"/>
          <w:szCs w:val="28"/>
          <w:highlight w:val="none"/>
          <w:lang w:val="zh-CN" w:bidi="en-US"/>
        </w:rPr>
        <w:t xml:space="preserve">合同中未有约定的按照有关的法律法规以及国家行业标准或技术文件规定予以解决</w:t>
      </w:r>
      <w:r>
        <w:rPr>
          <w:rFonts w:hint="eastAsia" w:ascii="宋体" w:hAnsi="宋体" w:eastAsia="宋体" w:cs="宋体"/>
          <w:color w:val="000000"/>
          <w:sz w:val="28"/>
          <w:szCs w:val="28"/>
          <w:highlight w:val="none"/>
          <w:lang w:bidi="en-US"/>
        </w:rPr>
        <w:t xml:space="preserve">。</w:t>
      </w:r>
      <w:r/>
    </w:p>
    <w:p>
      <w:pPr>
        <w:ind w:firstLine="562"/>
        <w:jc w:val="left"/>
        <w:spacing w:line="560" w:lineRule="exac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十四、其他事项：      </w:t>
      </w:r>
      <w:r/>
    </w:p>
    <w:p>
      <w:pPr>
        <w:ind w:firstLine="562"/>
        <w:jc w:val="left"/>
        <w:spacing w:line="560" w:lineRule="exact"/>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十五、合同不可分割部分</w:t>
      </w:r>
      <w:r/>
    </w:p>
    <w:p>
      <w:pPr>
        <w:ind w:firstLine="560"/>
        <w:spacing w:line="56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招标文件、投标文件、合同条款及中标通知书，乙方在投标、评标过程中所作其它有关承诺、声明、书面澄清等均</w:t>
      </w:r>
      <w:r>
        <w:rPr>
          <w:rFonts w:hint="eastAsia" w:ascii="宋体" w:hAnsi="宋体" w:cs="宋体"/>
          <w:bCs/>
          <w:color w:val="000000"/>
          <w:sz w:val="28"/>
          <w:szCs w:val="28"/>
          <w:highlight w:val="none"/>
          <w:lang w:eastAsia="zh-CN" w:bidi="en-US"/>
        </w:rPr>
        <w:t xml:space="preserve">为本</w:t>
      </w:r>
      <w:r>
        <w:rPr>
          <w:rFonts w:hint="eastAsia" w:ascii="宋体" w:hAnsi="宋体" w:eastAsia="宋体" w:cs="宋体"/>
          <w:bCs/>
          <w:color w:val="000000"/>
          <w:sz w:val="28"/>
          <w:szCs w:val="28"/>
          <w:highlight w:val="none"/>
          <w:lang w:bidi="en-US"/>
        </w:rPr>
        <w:t xml:space="preserve">合同不可分割的部分，与本合同具有同等法律效力。</w:t>
      </w:r>
      <w:r/>
    </w:p>
    <w:p>
      <w:pPr>
        <w:ind w:firstLine="613"/>
        <w:spacing w:line="560" w:lineRule="exact"/>
        <w:tabs>
          <w:tab w:val="left" w:pos="210" w:leader="none"/>
          <w:tab w:val="left" w:pos="840" w:leader="none"/>
          <w:tab w:val="left" w:pos="1155" w:leader="none"/>
        </w:tabs>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十六、合同备案</w:t>
      </w:r>
      <w:r/>
    </w:p>
    <w:p>
      <w:pPr>
        <w:ind w:firstLine="560"/>
        <w:spacing w:line="56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合同一式【】份，具有同等法律效力，甲乙双方各执【】份。</w:t>
      </w:r>
      <w:r/>
    </w:p>
    <w:p>
      <w:pPr>
        <w:ind w:firstLine="613"/>
        <w:spacing w:line="560" w:lineRule="exact"/>
        <w:tabs>
          <w:tab w:val="left" w:pos="210" w:leader="none"/>
          <w:tab w:val="left" w:pos="840" w:leader="none"/>
          <w:tab w:val="left" w:pos="1155" w:leader="none"/>
        </w:tabs>
        <w:rPr>
          <w:rFonts w:hint="eastAsia" w:ascii="宋体" w:hAnsi="宋体" w:eastAsia="宋体" w:cs="宋体"/>
          <w:b/>
          <w:color w:val="000000"/>
          <w:sz w:val="28"/>
          <w:szCs w:val="28"/>
          <w:highlight w:val="none"/>
          <w:lang w:bidi="en-US"/>
        </w:rPr>
      </w:pPr>
      <w:r>
        <w:rPr>
          <w:rFonts w:hint="eastAsia" w:ascii="宋体" w:hAnsi="宋体" w:eastAsia="宋体" w:cs="宋体"/>
          <w:b/>
          <w:color w:val="000000"/>
          <w:sz w:val="28"/>
          <w:szCs w:val="28"/>
          <w:highlight w:val="none"/>
          <w:lang w:bidi="en-US"/>
        </w:rPr>
        <w:t xml:space="preserve">十七、合同生效</w:t>
      </w:r>
      <w:r/>
    </w:p>
    <w:p>
      <w:pPr>
        <w:ind w:firstLine="560"/>
        <w:spacing w:line="56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本合同由甲乙双方授权代表签字并加盖公章或合同章后生效。</w:t>
      </w:r>
      <w:r/>
    </w:p>
    <w:p>
      <w:pPr>
        <w:jc w:val="left"/>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lang w:bidi="en-US"/>
        </w:rPr>
      </w:pPr>
      <w:r>
        <w:rPr>
          <w:rFonts w:hint="eastAsia" w:ascii="宋体" w:hAnsi="宋体" w:eastAsia="宋体" w:cs="宋体"/>
          <w:bCs/>
          <w:color w:val="000000"/>
          <w:sz w:val="24"/>
          <w:szCs w:val="24"/>
          <w:highlight w:val="none"/>
          <w:lang w:bidi="en-US"/>
        </w:rPr>
      </w:r>
      <w:r/>
    </w:p>
    <w:p>
      <w:pPr>
        <w:jc w:val="left"/>
        <w:spacing w:line="440" w:lineRule="exact"/>
        <w:tabs>
          <w:tab w:val="left" w:pos="210" w:leader="none"/>
          <w:tab w:val="left" w:pos="840" w:leader="none"/>
          <w:tab w:val="left" w:pos="1155" w:leader="none"/>
        </w:tabs>
        <w:rPr>
          <w:rFonts w:hint="eastAsia" w:ascii="宋体" w:hAnsi="宋体" w:eastAsia="宋体" w:cs="宋体"/>
          <w:bCs/>
          <w:color w:val="000000"/>
          <w:sz w:val="24"/>
          <w:szCs w:val="24"/>
          <w:highlight w:val="none"/>
          <w:lang w:bidi="en-US"/>
        </w:rPr>
      </w:pPr>
      <w:r/>
      <w:bookmarkStart w:id="16" w:name="_GoBack"/>
      <w:r/>
      <w:bookmarkEnd w:id="16"/>
      <w:r/>
      <w:r/>
    </w:p>
    <w:p>
      <w:pPr>
        <w:ind w:firstLine="560"/>
        <w:spacing w:line="44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以下无正文。</w:t>
      </w:r>
      <w:r/>
    </w:p>
    <w:tbl>
      <w:tblPr>
        <w:tblStyle w:val="763"/>
        <w:tblW w:w="0" w:type="auto"/>
        <w:tblInd w:w="-147" w:type="dxa"/>
        <w:tblLayout w:type="autofit"/>
        <w:tblCellMar>
          <w:left w:w="108" w:type="dxa"/>
          <w:top w:w="0" w:type="dxa"/>
          <w:right w:w="108" w:type="dxa"/>
          <w:bottom w:w="0" w:type="dxa"/>
        </w:tblCellMar>
        <w:tblLook w:val="04A0" w:firstRow="1" w:lastRow="0" w:firstColumn="1" w:lastColumn="0" w:noHBand="0" w:noVBand="1"/>
      </w:tblPr>
      <w:tblGrid>
        <w:gridCol w:w="4395"/>
        <w:gridCol w:w="4048"/>
      </w:tblGrid>
      <w:tr>
        <w:trPr/>
        <w:tc>
          <w:tcPr>
            <w:tcW w:w="4395" w:type="dxa"/>
            <w:textDirection w:val="lrTb"/>
            <w:noWrap w:val="false"/>
          </w:tcPr>
          <w:p>
            <w:pPr>
              <w:ind w:firstLine="560"/>
              <w:spacing w:line="44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甲方（采购人）：________（盖章）</w:t>
            </w:r>
            <w:r/>
          </w:p>
        </w:tc>
        <w:tc>
          <w:tcPr>
            <w:tcW w:w="4048" w:type="dxa"/>
            <w:textDirection w:val="lrTb"/>
            <w:noWrap w:val="false"/>
          </w:tcPr>
          <w:p>
            <w:pPr>
              <w:ind w:firstLine="560"/>
              <w:spacing w:line="44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乙方（中标方）：__________（盖章）</w:t>
            </w:r>
            <w:r/>
          </w:p>
          <w:p>
            <w:pPr>
              <w:ind w:firstLine="560"/>
              <w:spacing w:line="44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r>
            <w:r/>
          </w:p>
        </w:tc>
      </w:tr>
      <w:tr>
        <w:trPr/>
        <w:tc>
          <w:tcPr>
            <w:tcW w:w="4395" w:type="dxa"/>
            <w:textDirection w:val="lrTb"/>
            <w:noWrap w:val="false"/>
          </w:tcPr>
          <w:p>
            <w:pPr>
              <w:ind w:firstLine="560"/>
              <w:spacing w:line="44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法定（授权）代表人：                  </w:t>
            </w:r>
            <w:r/>
          </w:p>
        </w:tc>
        <w:tc>
          <w:tcPr>
            <w:tcW w:w="4048" w:type="dxa"/>
            <w:textDirection w:val="lrTb"/>
            <w:noWrap w:val="false"/>
          </w:tcPr>
          <w:p>
            <w:pPr>
              <w:ind w:firstLine="560"/>
              <w:spacing w:line="44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  法定（授权）代表人：                   </w:t>
            </w:r>
            <w:r/>
          </w:p>
          <w:p>
            <w:pPr>
              <w:ind w:firstLine="560"/>
              <w:spacing w:line="44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r>
            <w:r/>
          </w:p>
        </w:tc>
      </w:tr>
      <w:tr>
        <w:trPr/>
        <w:tc>
          <w:tcPr>
            <w:tcW w:w="4395" w:type="dxa"/>
            <w:textDirection w:val="lrTb"/>
            <w:noWrap w:val="false"/>
          </w:tcPr>
          <w:p>
            <w:pPr>
              <w:ind w:firstLine="560"/>
              <w:spacing w:line="44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        年    月      日     </w:t>
            </w:r>
            <w:r/>
          </w:p>
        </w:tc>
        <w:tc>
          <w:tcPr>
            <w:tcW w:w="4048" w:type="dxa"/>
            <w:textDirection w:val="lrTb"/>
            <w:noWrap w:val="false"/>
          </w:tcPr>
          <w:p>
            <w:pPr>
              <w:ind w:firstLine="560"/>
              <w:spacing w:line="440" w:lineRule="exact"/>
              <w:tabs>
                <w:tab w:val="left" w:pos="210" w:leader="none"/>
                <w:tab w:val="left" w:pos="420" w:leader="none"/>
                <w:tab w:val="left" w:pos="1155" w:leader="none"/>
              </w:tabs>
              <w:rPr>
                <w:rFonts w:hint="eastAsia" w:ascii="宋体" w:hAnsi="宋体" w:eastAsia="宋体" w:cs="宋体"/>
                <w:bCs/>
                <w:color w:val="000000"/>
                <w:sz w:val="28"/>
                <w:szCs w:val="28"/>
                <w:highlight w:val="none"/>
                <w:lang w:bidi="en-US"/>
              </w:rPr>
            </w:pPr>
            <w:r>
              <w:rPr>
                <w:rFonts w:hint="eastAsia" w:ascii="宋体" w:hAnsi="宋体" w:eastAsia="宋体" w:cs="宋体"/>
                <w:bCs/>
                <w:color w:val="000000"/>
                <w:sz w:val="28"/>
                <w:szCs w:val="28"/>
                <w:highlight w:val="none"/>
                <w:lang w:bidi="en-US"/>
              </w:rPr>
              <w:t xml:space="preserve">        年   月      日</w:t>
            </w:r>
            <w:r/>
          </w:p>
        </w:tc>
      </w:tr>
    </w:tbl>
    <w:p>
      <w:pPr>
        <w:ind w:left="0" w:firstLine="24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r>
      <w:r/>
    </w:p>
    <w:p>
      <w:pPr>
        <w:ind w:left="0" w:firstLine="24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r>
      <w:r/>
    </w:p>
    <w:p>
      <w:pPr>
        <w:ind w:left="0" w:firstLine="240"/>
        <w:spacing w:line="360" w:lineRule="auto"/>
        <w:rPr>
          <w:rFonts w:hint="eastAsia" w:ascii="宋体" w:hAnsi="宋体" w:eastAsia="宋体" w:cs="宋体"/>
          <w:sz w:val="24"/>
          <w:szCs w:val="28"/>
          <w:highlight w:val="none"/>
        </w:rPr>
      </w:pPr>
      <w:r>
        <w:rPr>
          <w:rFonts w:hint="eastAsia" w:ascii="宋体" w:hAnsi="宋体" w:eastAsia="宋体" w:cs="宋体"/>
          <w:color w:val="000000"/>
          <w:sz w:val="24"/>
          <w:szCs w:val="28"/>
          <w:highlight w:val="none"/>
        </w:rPr>
        <w:t xml:space="preserve">见证方：江苏万享通咨询有限公司（盖章）                                                                     </w:t>
      </w:r>
      <w:r>
        <w:rPr>
          <w:rFonts w:hint="eastAsia" w:ascii="宋体" w:hAnsi="宋体" w:eastAsia="宋体" w:cs="宋体"/>
          <w:sz w:val="24"/>
          <w:szCs w:val="28"/>
          <w:highlight w:val="none"/>
        </w:rPr>
        <w:t xml:space="preserve">      </w:t>
      </w:r>
      <w:r/>
    </w:p>
    <w:p>
      <w:pPr>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      年    月   日</w:t>
      </w:r>
      <w:r/>
    </w:p>
    <w:p>
      <w:pPr>
        <w:jc w:val="left"/>
        <w:spacing w:line="440" w:lineRule="exact"/>
        <w:rPr>
          <w:rFonts w:hint="eastAsia" w:ascii="宋体" w:hAnsi="宋体" w:cs="宋体"/>
          <w:bCs/>
          <w:color w:val="000000"/>
          <w:sz w:val="24"/>
          <w:szCs w:val="24"/>
          <w:highlight w:val="none"/>
          <w:u w:val="single"/>
          <w:lang w:bidi="en-US"/>
        </w:rPr>
      </w:pPr>
      <w:r>
        <w:rPr>
          <w:rFonts w:hint="eastAsia" w:ascii="宋体" w:hAnsi="宋体" w:cs="宋体"/>
          <w:bCs/>
          <w:color w:val="000000"/>
          <w:sz w:val="24"/>
          <w:szCs w:val="24"/>
          <w:highlight w:val="none"/>
          <w:u w:val="single"/>
          <w:lang w:bidi="en-US"/>
        </w:rPr>
      </w:r>
      <w:r/>
    </w:p>
    <w:p>
      <w:pPr>
        <w:jc w:val="left"/>
        <w:widowControl/>
        <w:rPr>
          <w:highlight w:val="none"/>
        </w:rPr>
      </w:pPr>
      <w:r>
        <w:rPr>
          <w:highlight w:val="none"/>
        </w:rPr>
      </w:r>
      <w:r/>
    </w:p>
    <w:p>
      <w:pPr>
        <w:jc w:val="center"/>
        <w:rPr>
          <w:rFonts w:ascii="宋体" w:hAnsi="宋体" w:cs="宋体"/>
          <w:bCs/>
          <w:sz w:val="28"/>
          <w:szCs w:val="28"/>
          <w:highlight w:val="none"/>
        </w:rPr>
        <w:outlineLvl w:val="0"/>
      </w:pPr>
      <w:r/>
      <w:bookmarkStart w:id="13" w:name="_Toc1657"/>
      <w:r>
        <w:rPr>
          <w:rFonts w:hint="eastAsia" w:ascii="宋体" w:hAnsi="宋体" w:cs="宋体"/>
          <w:bCs/>
          <w:sz w:val="28"/>
          <w:szCs w:val="28"/>
          <w:highlight w:val="none"/>
          <w:lang w:val="en-US" w:eastAsia="zh-CN"/>
        </w:rPr>
        <w:t xml:space="preserve">五</w:t>
      </w:r>
      <w:r>
        <w:rPr>
          <w:rFonts w:hint="eastAsia" w:ascii="宋体" w:hAnsi="宋体" w:cs="宋体"/>
          <w:bCs/>
          <w:sz w:val="28"/>
          <w:szCs w:val="28"/>
          <w:highlight w:val="none"/>
        </w:rPr>
        <w:t xml:space="preserve">.附件</w:t>
      </w:r>
      <w:bookmarkEnd w:id="11"/>
      <w:r/>
      <w:bookmarkEnd w:id="13"/>
      <w:r/>
      <w:r/>
    </w:p>
    <w:p>
      <w:pPr>
        <w:ind w:firstLine="480"/>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附件一：评分标准</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评分标准：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（一）评分项目及分值（总分100分）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1.投标报价         （25分）</w:t>
      </w:r>
      <w:r/>
    </w:p>
    <w:p>
      <w:pPr>
        <w:ind w:firstLine="482"/>
        <w:spacing w:line="360" w:lineRule="auto"/>
        <w:rPr>
          <w:rFonts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bCs/>
          <w:sz w:val="24"/>
          <w:szCs w:val="24"/>
          <w:highlight w:val="none"/>
        </w:rPr>
        <w:t xml:space="preserve">项目人员配置情况 </w:t>
      </w:r>
      <w:r>
        <w:rPr>
          <w:rFonts w:hint="eastAsia" w:ascii="宋体" w:hAnsi="宋体" w:cs="宋体"/>
          <w:b/>
          <w:sz w:val="24"/>
          <w:highlight w:val="none"/>
        </w:rPr>
        <w:t xml:space="preserve">（15分） </w:t>
      </w:r>
      <w:r/>
    </w:p>
    <w:p>
      <w:pPr>
        <w:ind w:firstLine="482"/>
        <w:spacing w:line="360" w:lineRule="auto"/>
        <w:rPr>
          <w:rFonts w:ascii="宋体" w:hAnsi="宋体" w:cs="宋体"/>
          <w:b/>
          <w:sz w:val="24"/>
          <w:highlight w:val="none"/>
        </w:rPr>
      </w:pPr>
      <w:r>
        <w:rPr>
          <w:rFonts w:hint="eastAsia" w:ascii="宋体" w:hAnsi="宋体" w:cs="宋体"/>
          <w:b/>
          <w:bCs/>
          <w:sz w:val="24"/>
          <w:szCs w:val="24"/>
          <w:highlight w:val="none"/>
        </w:rPr>
        <w:t xml:space="preserve">3.投标人综合情况   （6分）</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4.服务能力         （4分）</w:t>
      </w:r>
      <w:r/>
    </w:p>
    <w:p>
      <w:pPr>
        <w:ind w:firstLine="482"/>
        <w:spacing w:line="360" w:lineRule="auto"/>
        <w:rPr>
          <w:rFonts w:ascii="宋体" w:hAnsi="宋体" w:cs="宋体"/>
          <w:b/>
          <w:sz w:val="24"/>
          <w:highlight w:val="none"/>
        </w:rPr>
      </w:pPr>
      <w:r>
        <w:rPr>
          <w:rFonts w:hint="eastAsia" w:ascii="宋体" w:hAnsi="宋体" w:cs="宋体"/>
          <w:b/>
          <w:bCs/>
          <w:sz w:val="24"/>
          <w:szCs w:val="24"/>
          <w:highlight w:val="none"/>
        </w:rPr>
        <w:t xml:space="preserve">5.项目方案         （50分）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（二）各项目评分标准</w:t>
      </w:r>
      <w:r/>
    </w:p>
    <w:p>
      <w:pPr>
        <w:ind w:firstLine="482"/>
        <w:spacing w:line="360" w:lineRule="auto"/>
        <w:rPr>
          <w:rFonts w:ascii="宋体" w:hAnsi="宋体" w:cs="宋体"/>
          <w:sz w:val="24"/>
          <w:szCs w:val="22"/>
          <w:highlight w:val="none"/>
        </w:rPr>
      </w:pPr>
      <w:r>
        <w:rPr>
          <w:rFonts w:hint="eastAsia" w:ascii="宋体" w:hAnsi="宋体" w:cs="宋体"/>
          <w:b/>
          <w:bCs/>
          <w:sz w:val="24"/>
          <w:szCs w:val="22"/>
          <w:highlight w:val="none"/>
        </w:rPr>
        <w:t xml:space="preserve">1、价格分（25分）</w:t>
      </w:r>
      <w:r/>
    </w:p>
    <w:p>
      <w:pPr>
        <w:ind w:firstLine="480"/>
        <w:spacing w:line="360" w:lineRule="auto"/>
        <w:tabs>
          <w:tab w:val="left" w:pos="945" w:leader="none"/>
        </w:tabs>
        <w:rPr>
          <w:rFonts w:ascii="宋体" w:hAnsi="宋体" w:cs="宋体"/>
          <w:bCs/>
          <w:sz w:val="24"/>
          <w:highlight w:val="none"/>
          <w:lang w:val="zh-CN"/>
        </w:rPr>
      </w:pPr>
      <w:r>
        <w:rPr>
          <w:rFonts w:hint="eastAsia" w:ascii="宋体" w:hAnsi="宋体" w:cs="宋体"/>
          <w:bCs/>
          <w:sz w:val="24"/>
          <w:highlight w:val="none"/>
          <w:lang w:val="zh-CN"/>
        </w:rPr>
        <w:t xml:space="preserve">价格分采用低价优先法计算，即满足采购文件要求且报价最低的投标报价为评标基准价（落实政府采购政策进行价格调整的，以调整后的投标价格计算），满分</w:t>
      </w:r>
      <w:r>
        <w:rPr>
          <w:rFonts w:hint="eastAsia" w:ascii="宋体" w:hAnsi="宋体" w:cs="宋体"/>
          <w:bCs/>
          <w:sz w:val="24"/>
          <w:highlight w:val="none"/>
        </w:rPr>
        <w:t xml:space="preserve">25</w:t>
      </w:r>
      <w:r>
        <w:rPr>
          <w:rFonts w:hint="eastAsia" w:ascii="宋体" w:hAnsi="宋体" w:cs="宋体"/>
          <w:bCs/>
          <w:sz w:val="24"/>
          <w:highlight w:val="none"/>
          <w:lang w:val="zh-CN"/>
        </w:rPr>
        <w:t xml:space="preserve">分。其他投标供应商的价格分统一按照下列公式计算：</w:t>
      </w:r>
      <w:r/>
    </w:p>
    <w:p>
      <w:pPr>
        <w:ind w:firstLine="480"/>
        <w:spacing w:line="360" w:lineRule="auto"/>
        <w:tabs>
          <w:tab w:val="left" w:pos="945" w:leader="none"/>
        </w:tabs>
        <w:rPr>
          <w:rFonts w:ascii="宋体" w:hAnsi="宋体" w:cs="宋体"/>
          <w:bCs/>
          <w:sz w:val="24"/>
          <w:highlight w:val="none"/>
          <w:lang w:val="zh-CN"/>
        </w:rPr>
      </w:pPr>
      <w:r>
        <w:rPr>
          <w:rFonts w:hint="eastAsia" w:ascii="宋体" w:hAnsi="宋体" w:cs="宋体"/>
          <w:bCs/>
          <w:sz w:val="24"/>
          <w:highlight w:val="none"/>
          <w:lang w:val="zh-CN"/>
        </w:rPr>
        <w:t xml:space="preserve">投标报价得分=（评标基准价／投标报价）×价格权值×100，结果保留两位小数。</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关于价格扣除详见本章第二部分“一、落实政府采购政策的价格调整”。</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2、项目人员配置情况（15分）：</w:t>
      </w:r>
      <w:r>
        <w:rPr>
          <w:rFonts w:hint="eastAsia" w:ascii="宋体" w:hAnsi="宋体" w:cs="宋体"/>
          <w:bCs/>
          <w:sz w:val="24"/>
          <w:szCs w:val="24"/>
          <w:highlight w:val="none"/>
        </w:rPr>
        <w:t xml:space="preserve">考察投标人为本项目配备的人员情况，人员以填列的《项目人员配置清单》为准（格式见附件），并按评分标准要求提供相应证明材料及表格要求提供所填人员社保证明（须提供投标人为以上人员缴纳的开标前近三个月内任意一个月的社保证明材料扫描件），否则不得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2.1  项目经理（5分）：投标人为本项目配备一名项目经理，该项目经理具有：</w:t>
      </w:r>
      <w:r>
        <w:rPr>
          <w:rFonts w:hint="eastAsia" w:ascii="宋体" w:hAnsi="宋体" w:cs="宋体"/>
          <w:color w:val="000000"/>
          <w:sz w:val="24"/>
          <w:szCs w:val="24"/>
          <w:highlight w:val="none"/>
        </w:rPr>
        <w:t xml:space="preserve">电子信息工程高级工程师证书</w:t>
      </w:r>
      <w:r>
        <w:rPr>
          <w:rFonts w:hint="eastAsia" w:ascii="宋体" w:hAnsi="宋体" w:cs="宋体"/>
          <w:sz w:val="24"/>
          <w:szCs w:val="22"/>
          <w:highlight w:val="none"/>
        </w:rPr>
        <w:t xml:space="preserve">的得1分</w:t>
      </w:r>
      <w:r>
        <w:rPr>
          <w:rFonts w:hint="eastAsia" w:ascii="宋体" w:hAnsi="宋体" w:cs="宋体"/>
          <w:color w:val="000000"/>
          <w:sz w:val="24"/>
          <w:szCs w:val="24"/>
          <w:highlight w:val="none"/>
        </w:rPr>
        <w:t xml:space="preserve">、</w:t>
      </w:r>
      <w:r>
        <w:rPr>
          <w:rFonts w:hint="eastAsia" w:ascii="宋体" w:hAnsi="宋体" w:cs="宋体"/>
          <w:color w:val="000000"/>
          <w:sz w:val="24"/>
          <w:szCs w:val="22"/>
          <w:highlight w:val="none"/>
        </w:rPr>
        <w:t xml:space="preserve">注册信息安全工程师（CISP）证书</w:t>
      </w:r>
      <w:r>
        <w:rPr>
          <w:rFonts w:hint="eastAsia" w:ascii="宋体" w:hAnsi="宋体" w:cs="宋体"/>
          <w:sz w:val="24"/>
          <w:szCs w:val="22"/>
          <w:highlight w:val="none"/>
        </w:rPr>
        <w:t xml:space="preserve">的得1分</w:t>
      </w:r>
      <w:r>
        <w:rPr>
          <w:rFonts w:hint="eastAsia" w:ascii="宋体" w:hAnsi="宋体" w:cs="宋体"/>
          <w:color w:val="000000"/>
          <w:sz w:val="24"/>
          <w:szCs w:val="22"/>
          <w:highlight w:val="none"/>
        </w:rPr>
        <w:t xml:space="preserve">、信息安全保障人员（CISAW应急服务）证书</w:t>
      </w:r>
      <w:r>
        <w:rPr>
          <w:rFonts w:hint="eastAsia" w:ascii="宋体" w:hAnsi="宋体" w:cs="宋体"/>
          <w:sz w:val="24"/>
          <w:szCs w:val="22"/>
          <w:highlight w:val="none"/>
        </w:rPr>
        <w:t xml:space="preserve">的得1分</w:t>
      </w:r>
      <w:r>
        <w:rPr>
          <w:rFonts w:hint="eastAsia" w:ascii="宋体" w:hAnsi="宋体" w:cs="宋体"/>
          <w:color w:val="000000"/>
          <w:sz w:val="24"/>
          <w:szCs w:val="22"/>
          <w:highlight w:val="none"/>
        </w:rPr>
        <w:t xml:space="preserve">、网络工程师（高级）证书</w:t>
      </w:r>
      <w:r>
        <w:rPr>
          <w:rFonts w:hint="eastAsia" w:ascii="宋体" w:hAnsi="宋体" w:cs="宋体"/>
          <w:sz w:val="24"/>
          <w:szCs w:val="22"/>
          <w:highlight w:val="none"/>
        </w:rPr>
        <w:t xml:space="preserve">的得1分、注册信息安全培训讲师(CISI)证书的得1分；须提供相应有效证书证明材料扫描件加盖电子章。</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2.2  项目技术负责人（4分）：投标人为本项目配备一名技术负责人（与项目经理不能是同一人），该项目技术负责人具有：信息安全保障人员（CISAW应急服务）证书的得1分、注册信息安全人员（CISP）证书的得1分、数据安全官（DSO）证书的得1分、IT运维工程师（高级）证书的得1分；须提供相应有效证书证明材料扫描件加盖电子章。</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2.3  其他项目成员（6分）：除项目经理、项目技术负责人外，项目组其他成员具有：信息安全保障人员（CISAW安全运维）证书的得1分，服务器虚拟化工程师（VCP）证书的得1分，高级数据库管理工程师证书的得1分，数据安全评估师证书（DSA）的得1分，IT运维工程师（高级）证书的得1分，数据安全官（DSO）证书的得1分；须提供相应有效证书证明材料扫描件加盖电子章，同一个人具有多种证书的只计算一次，同一种证书也只计算一次，均不重复得分。</w:t>
      </w:r>
      <w:r/>
    </w:p>
    <w:p>
      <w:pPr>
        <w:ind w:left="482"/>
        <w:spacing w:line="500" w:lineRule="exact"/>
        <w:tabs>
          <w:tab w:val="left" w:pos="525" w:leader="none"/>
          <w:tab w:val="left" w:pos="945" w:leader="none"/>
          <w:tab w:val="left" w:pos="1155" w:leader="none"/>
          <w:tab w:val="left" w:pos="3823" w:leader="none"/>
        </w:tabs>
        <w:rPr>
          <w:rFonts w:ascii="宋体" w:hAnsi="宋体" w:cs="宋体"/>
          <w:b/>
          <w:bCs/>
          <w:sz w:val="24"/>
          <w:szCs w:val="24"/>
          <w:highlight w:val="none"/>
        </w:rPr>
      </w:pPr>
      <w:r>
        <w:rPr>
          <w:rFonts w:hint="eastAsia" w:ascii="宋体" w:hAnsi="宋体" w:cs="宋体"/>
          <w:b/>
          <w:bCs/>
          <w:sz w:val="24"/>
          <w:szCs w:val="24"/>
          <w:highlight w:val="none"/>
        </w:rPr>
        <w:t xml:space="preserve">3、投标人综合情况（6分）：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3.1  业绩（3分）：投标人自2023年1月1日以来（以合同签订时间为准）具有与本项目类似项目成功案例的，每有一个得1分，最高3分；须提供相应有效合同扫描件加盖电子章。</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3.2  体系认证（3分）：投标人具有有效的：质量管理体系认证证书的得1分、信息技术服务管理体系认证证书的得1分、信息安全管理体系认证证书的得1分；须提供相应有效认证证书扫描件并加盖电子章。</w:t>
      </w:r>
      <w:r/>
    </w:p>
    <w:p>
      <w:pPr>
        <w:ind w:left="482"/>
        <w:spacing w:line="500" w:lineRule="exact"/>
        <w:tabs>
          <w:tab w:val="left" w:pos="525" w:leader="none"/>
          <w:tab w:val="left" w:pos="945" w:leader="none"/>
          <w:tab w:val="left" w:pos="1155" w:leader="none"/>
          <w:tab w:val="left" w:pos="3823" w:leader="none"/>
        </w:tabs>
        <w:rPr>
          <w:rFonts w:ascii="宋体" w:hAnsi="宋体" w:cs="宋体"/>
          <w:b/>
          <w:bCs/>
          <w:sz w:val="24"/>
          <w:szCs w:val="24"/>
          <w:highlight w:val="none"/>
        </w:rPr>
      </w:pPr>
      <w:r>
        <w:rPr>
          <w:rFonts w:hint="eastAsia" w:ascii="宋体" w:hAnsi="宋体" w:cs="宋体"/>
          <w:b/>
          <w:bCs/>
          <w:sz w:val="24"/>
          <w:szCs w:val="24"/>
          <w:highlight w:val="none"/>
        </w:rPr>
        <w:t xml:space="preserve">4、服务能力（4分）：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4.1  运维工具平台自有服务能力（2分）：投标人具有智能监测和预警平台、网络安全管理运维服务平台的软件著作权登记证书的，每有上述一种软件著作权登记证书的得1分，最高2分；须提供相应有效软件著作权登记证书扫描件并加盖电子章。</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4.2  智能监测和预警平台兼容性能力（2分）：投标人提供服务的自有平台能够和安超、华云等国产云操作系统相适配及兼容的得1分；能够兼容国产申威环境，在国产统信服务器操作系统上运行稳定的得1分。须提供相应产品兼容性认证证书扫描件并加盖电子章。</w:t>
      </w:r>
      <w:r/>
    </w:p>
    <w:p>
      <w:pPr>
        <w:ind w:left="482"/>
        <w:spacing w:line="500" w:lineRule="exact"/>
        <w:tabs>
          <w:tab w:val="left" w:pos="525" w:leader="none"/>
          <w:tab w:val="left" w:pos="945" w:leader="none"/>
          <w:tab w:val="left" w:pos="1155" w:leader="none"/>
          <w:tab w:val="left" w:pos="3823" w:leader="none"/>
        </w:tabs>
        <w:rPr>
          <w:rFonts w:ascii="宋体" w:hAnsi="宋体" w:cs="宋体"/>
          <w:b/>
          <w:bCs/>
          <w:sz w:val="24"/>
          <w:szCs w:val="24"/>
          <w:highlight w:val="none"/>
        </w:rPr>
      </w:pPr>
      <w:r>
        <w:rPr>
          <w:rFonts w:hint="eastAsia" w:ascii="宋体" w:hAnsi="宋体" w:cs="宋体"/>
          <w:b/>
          <w:bCs/>
          <w:sz w:val="24"/>
          <w:szCs w:val="24"/>
          <w:highlight w:val="none"/>
        </w:rPr>
        <w:t xml:space="preserve">5、项目方案（50分）：无方案不得分。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5.1  对现有机房运维服务背景、整体机房运行情况熟悉与理解（8分）：根据实际情况提供机房机柜及设备详细布置图并进行方案描述，熟悉维护单位业务系统软件业务流向，提供自然资源规划一体化平台业务系统关联硬件的业务视图并进行方案描述、提供不动产登记信息管理平台业务系统关联硬件的业务视图并进行方案描述、提供电子政务云平台系统关联硬件的业务视图并进行方案描述。</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图纸提供完整，方案清晰、合理、详细、全面、针对性强、可行性强的，得8分；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图纸提供较为完整，方案较清晰、较合理、较详细、较全面、针对性较强、可行性较强的，得7分；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未提供图纸，方案清晰度、合理性、详细性、全面性、针对性、可行性均一般的，得6分；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只提供了基本方案，方案基本满足要求的，得5分。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5.2  运维管理及作业指导方案（8分）：结合现有机房内人员、设备、资料台账运维管理服务的要求，能够提供更加科学合理及可操作性的ITSS运维管理流程和制度、数据库管理员作业指导书、网络管理员作业指导书。</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方案清晰、合理、详细、全面、针对性强、可行性强的，得8分；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方案较清晰、较合理、较详细、较全面、针对性较强、可行性较强的，得7分；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方案清晰度、合理性、详细性、全面性、针对性、可行性均一般的，得6分；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只提供了基本方案，方案基本满足要求的，得5分。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5.3  设备管理服务方案（8分）：根据机房基础设备和业务系统设备的用途、功能、属性等信息，梳理清晰、准确的设备信息资源台账和日常巡检单，并提供更加科学合理的设备运维管理服务方案。</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方案清晰、合理、详细、全面、针对性强、可行性强的，得8分；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方案较清晰、较合理、较详细、较全面、针对性较强、可行性较强的，得7分；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方案清晰度、合理性、详细性、全面性、针对性、可行性均一般的，得6分；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只提供了基本方案，方案基本满足要求的，得5分。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5.4  业务核心系统服务内容及运维方案（8分）：包括核心数据库运维服务内容及运维方案、存储双活系统服务内容及运维方案、机房双活网络系统服务内容及运维方案、系统监控服务内容及运维方案、信息系统应急方案。</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方案清晰、合理、详细、全面、针对性强、可行性强的，得8分；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方案较清晰、较合理、较详细、较全面、针对性较强、可行性较强的，得7分；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方案清晰度、合理性、详细性、全面性、针对性、可行性均一般的，得6分；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只提供了基本方案，方案基本满足要求的，得5分。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5.5  应急方案（6分）：根据现有机房内部综合布线架构和设备之间物理连接状态，梳理清晰、准确的各系统区域网络及安全设备连接资源台账，并提供更加合理科学的应急处理程序和分类突发事件应急处理措施方案。</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方案清晰、合理、详细、全面、针对性强、可行性强的，得6分；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方案较清晰、较合理、较详细、较全面、针对性较强、可行性较强的，得5分；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方案清晰度、合理性、详细性、全面性、针对性、可行性均一般的，得4分；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只提供了基本方案，方案基本满足要求的，得3分。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5.6  机房内部主要设备运维方案（6分）：结合UPS不间断电源系统、精密空调系统、环境监控系统等设备运行状态，能够提供详细的设备运行情况分析描述（如照片、设备面板信息或软件界面信息），并根据现状分析描述提供针对性的系统运维服务方案。</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方案清晰、合理、详细、全面、针对性强、可行性强的，得6分；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方案较清晰、较合理、较详细、较全面、针对性较强、可行性较强的，得5分；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方案清晰度、合理性、详细性、全面性、针对性、可行性均一般的，得4分；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只提供了基本方案，方案基本满足要求的，得3分。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5.7  核心系统应急事件措施及演练方案（6分）：结合现有机房核心系统软硬件设施，提供包含服务器应急处理措施、网络系统应急演练方案、数据库应急演练方案、机房基础环境设施演练方案。</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方案清晰、合理、详细、全面、针对性强、可行性强的，得6分；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方案较清晰、较合理、较详细、较全面、针对性较强、可行性较强的，得5分；</w:t>
      </w:r>
      <w:r/>
    </w:p>
    <w:p>
      <w:pPr>
        <w:ind w:firstLine="480"/>
        <w:spacing w:line="500" w:lineRule="exact"/>
        <w:rPr>
          <w:rFonts w:ascii="宋体" w:hAnsi="宋体" w:cs="宋体"/>
          <w:sz w:val="24"/>
          <w:szCs w:val="22"/>
          <w:highlight w:val="none"/>
        </w:rPr>
      </w:pPr>
      <w:r>
        <w:rPr>
          <w:rFonts w:hint="eastAsia" w:ascii="宋体" w:hAnsi="宋体" w:cs="宋体"/>
          <w:sz w:val="24"/>
          <w:szCs w:val="22"/>
          <w:highlight w:val="none"/>
        </w:rPr>
        <w:t xml:space="preserve">方案清晰度、合理性、详细性、全面性、针对性、可行性均一般的，得4分；</w:t>
      </w:r>
      <w:r/>
    </w:p>
    <w:p>
      <w:pPr>
        <w:ind w:firstLine="480"/>
        <w:spacing w:line="500" w:lineRule="exact"/>
        <w:rPr>
          <w:rFonts w:ascii="宋体" w:hAnsi="宋体" w:cs="宋体"/>
          <w:sz w:val="24"/>
          <w:szCs w:val="24"/>
          <w:highlight w:val="none"/>
        </w:rPr>
      </w:pPr>
      <w:r>
        <w:rPr>
          <w:rFonts w:hint="eastAsia" w:ascii="宋体" w:hAnsi="宋体" w:cs="宋体"/>
          <w:sz w:val="24"/>
          <w:szCs w:val="22"/>
          <w:highlight w:val="none"/>
        </w:rPr>
        <w:t xml:space="preserve">只提供了基本方案，方案基本满足要求的，得3分。</w:t>
      </w:r>
      <w:r/>
    </w:p>
    <w:p>
      <w:pPr>
        <w:ind w:firstLine="482"/>
        <w:jc w:val="left"/>
        <w:spacing w:line="360" w:lineRule="auto"/>
        <w:tabs>
          <w:tab w:val="left" w:pos="1401" w:leader="none"/>
        </w:tabs>
        <w:rPr>
          <w:rFonts w:ascii="宋体" w:hAnsi="宋体" w:cs="宋体"/>
          <w:b/>
          <w:bCs/>
          <w:sz w:val="24"/>
          <w:szCs w:val="24"/>
          <w:highlight w:val="none"/>
          <w:shd w:val="clear" w:color="auto" w:fill="ffffff"/>
        </w:rPr>
      </w:pPr>
      <w:r>
        <w:rPr>
          <w:rFonts w:hint="eastAsia" w:ascii="宋体" w:hAnsi="宋体" w:cs="宋体"/>
          <w:b/>
          <w:sz w:val="24"/>
          <w:szCs w:val="24"/>
          <w:highlight w:val="none"/>
        </w:rPr>
        <w:t xml:space="preserve">未列入本评分细则的其他条件不作为评分内容。</w:t>
      </w:r>
      <w:r/>
    </w:p>
    <w:p>
      <w:pPr>
        <w:ind w:firstLine="482"/>
        <w:spacing w:line="360" w:lineRule="auto"/>
        <w:rPr>
          <w:rFonts w:ascii="宋体" w:hAnsi="宋体" w:cs="宋体"/>
          <w:bCs/>
          <w:sz w:val="24"/>
          <w:szCs w:val="24"/>
          <w:highlight w:val="none"/>
        </w:rPr>
      </w:pPr>
      <w:r>
        <w:rPr>
          <w:rFonts w:hint="eastAsia" w:ascii="宋体" w:hAnsi="宋体" w:cs="宋体"/>
          <w:bCs/>
          <w:sz w:val="24"/>
          <w:szCs w:val="24"/>
          <w:highlight w:val="none"/>
        </w:rPr>
        <w:br w:type="page" w:clear="all"/>
      </w:r>
      <w:r/>
    </w:p>
    <w:p>
      <w:pPr>
        <w:ind w:firstLine="482"/>
        <w:jc w:val="left"/>
        <w:spacing w:line="360" w:lineRule="auto"/>
        <w:tabs>
          <w:tab w:val="left" w:pos="1401" w:leader="none"/>
        </w:tabs>
        <w:rPr>
          <w:rFonts w:ascii="宋体" w:hAnsi="宋体" w:cs="宋体"/>
          <w:bCs/>
          <w:sz w:val="24"/>
          <w:szCs w:val="24"/>
          <w:highlight w:val="none"/>
        </w:rPr>
      </w:pPr>
      <w:r>
        <w:rPr>
          <w:rFonts w:hint="eastAsia" w:ascii="宋体" w:hAnsi="宋体" w:cs="宋体"/>
          <w:bCs/>
          <w:sz w:val="24"/>
          <w:szCs w:val="24"/>
          <w:highlight w:val="none"/>
        </w:rPr>
        <w:t xml:space="preserve">附件二：投标文件格式</w:t>
      </w:r>
      <w:r/>
    </w:p>
    <w:p>
      <w:pPr>
        <w:rPr>
          <w:rFonts w:ascii="宋体" w:hAnsi="宋体" w:cs="宋体"/>
          <w:bCs/>
          <w:sz w:val="32"/>
          <w:highlight w:val="none"/>
        </w:rPr>
      </w:pPr>
      <w:r>
        <w:rPr>
          <w:rFonts w:ascii="宋体" w:hAnsi="宋体" w:cs="宋体"/>
          <w:bCs/>
          <w:sz w:val="32"/>
          <w:highlight w:val="none"/>
        </w:rPr>
      </w:r>
      <w:r/>
    </w:p>
    <w:p>
      <w:pPr>
        <w:pStyle w:val="958"/>
        <w:rPr>
          <w:rFonts w:ascii="宋体" w:hAnsi="宋体" w:eastAsia="宋体" w:cs="宋体"/>
          <w:sz w:val="32"/>
          <w:highlight w:val="none"/>
        </w:rPr>
      </w:pPr>
      <w:r>
        <w:rPr>
          <w:rFonts w:ascii="宋体" w:hAnsi="宋体" w:eastAsia="宋体" w:cs="宋体"/>
          <w:sz w:val="32"/>
          <w:highlight w:val="none"/>
        </w:rPr>
      </w:r>
      <w:r/>
    </w:p>
    <w:p>
      <w:pPr>
        <w:pStyle w:val="958"/>
        <w:rPr>
          <w:rFonts w:ascii="宋体" w:hAnsi="宋体" w:eastAsia="宋体" w:cs="宋体"/>
          <w:sz w:val="32"/>
          <w:highlight w:val="none"/>
        </w:rPr>
      </w:pPr>
      <w:r>
        <w:rPr>
          <w:rFonts w:ascii="宋体" w:hAnsi="宋体" w:eastAsia="宋体" w:cs="宋体"/>
          <w:sz w:val="32"/>
          <w:highlight w:val="none"/>
        </w:rPr>
      </w:r>
      <w:r/>
    </w:p>
    <w:p>
      <w:pPr>
        <w:pStyle w:val="958"/>
        <w:rPr>
          <w:rFonts w:ascii="宋体" w:hAnsi="宋体" w:eastAsia="宋体" w:cs="宋体"/>
          <w:sz w:val="32"/>
          <w:highlight w:val="none"/>
        </w:rPr>
      </w:pPr>
      <w:r>
        <w:rPr>
          <w:rFonts w:ascii="宋体" w:hAnsi="宋体" w:eastAsia="宋体" w:cs="宋体"/>
          <w:sz w:val="32"/>
          <w:highlight w:val="none"/>
        </w:rPr>
      </w:r>
      <w:r/>
    </w:p>
    <w:p>
      <w:pPr>
        <w:pStyle w:val="958"/>
        <w:rPr>
          <w:rFonts w:ascii="宋体" w:hAnsi="宋体" w:eastAsia="宋体" w:cs="宋体"/>
          <w:sz w:val="32"/>
          <w:highlight w:val="none"/>
        </w:rPr>
      </w:pPr>
      <w:r>
        <w:rPr>
          <w:rFonts w:ascii="宋体" w:hAnsi="宋体" w:eastAsia="宋体" w:cs="宋体"/>
          <w:sz w:val="32"/>
          <w:highlight w:val="none"/>
        </w:rPr>
      </w:r>
      <w:r/>
    </w:p>
    <w:p>
      <w:pPr>
        <w:pStyle w:val="958"/>
        <w:rPr>
          <w:rFonts w:ascii="宋体" w:hAnsi="宋体" w:eastAsia="宋体" w:cs="宋体"/>
          <w:sz w:val="32"/>
          <w:highlight w:val="none"/>
        </w:rPr>
      </w:pPr>
      <w:r>
        <w:rPr>
          <w:rFonts w:ascii="宋体" w:hAnsi="宋体" w:eastAsia="宋体" w:cs="宋体"/>
          <w:sz w:val="32"/>
          <w:highlight w:val="none"/>
        </w:rPr>
      </w:r>
      <w:r/>
    </w:p>
    <w:p>
      <w:pPr>
        <w:pStyle w:val="958"/>
        <w:rPr>
          <w:rFonts w:ascii="宋体" w:hAnsi="宋体" w:eastAsia="宋体" w:cs="宋体"/>
          <w:sz w:val="32"/>
          <w:highlight w:val="none"/>
        </w:rPr>
      </w:pPr>
      <w:r>
        <w:rPr>
          <w:rFonts w:ascii="宋体" w:hAnsi="宋体" w:eastAsia="宋体" w:cs="宋体"/>
          <w:sz w:val="32"/>
          <w:highlight w:val="none"/>
        </w:rPr>
      </w:r>
      <w:r/>
    </w:p>
    <w:p>
      <w:pPr>
        <w:rPr>
          <w:rFonts w:ascii="宋体" w:hAnsi="宋体" w:cs="宋体"/>
          <w:bCs/>
          <w:sz w:val="32"/>
          <w:highlight w:val="none"/>
        </w:rPr>
      </w:pPr>
      <w:r>
        <w:rPr>
          <w:rFonts w:ascii="宋体" w:hAnsi="宋体" w:cs="宋体"/>
          <w:bCs/>
          <w:sz w:val="32"/>
          <w:highlight w:val="none"/>
        </w:rPr>
      </w:r>
      <w:r/>
    </w:p>
    <w:p>
      <w:pPr>
        <w:jc w:val="center"/>
        <w:rPr>
          <w:rFonts w:ascii="宋体" w:hAnsi="宋体" w:cs="宋体"/>
          <w:bCs/>
          <w:sz w:val="52"/>
          <w:szCs w:val="52"/>
          <w:highlight w:val="none"/>
        </w:rPr>
      </w:pPr>
      <w:r>
        <w:rPr>
          <w:rFonts w:hint="eastAsia" w:ascii="宋体" w:hAnsi="宋体" w:cs="宋体"/>
          <w:bCs/>
          <w:sz w:val="52"/>
          <w:szCs w:val="52"/>
          <w:highlight w:val="none"/>
        </w:rPr>
        <w:t xml:space="preserve">投</w:t>
      </w:r>
      <w:r/>
    </w:p>
    <w:p>
      <w:pPr>
        <w:jc w:val="center"/>
        <w:rPr>
          <w:rFonts w:ascii="宋体" w:hAnsi="宋体" w:cs="宋体"/>
          <w:bCs/>
          <w:sz w:val="72"/>
          <w:highlight w:val="none"/>
        </w:rPr>
      </w:pPr>
      <w:r>
        <w:rPr>
          <w:rFonts w:ascii="宋体" w:hAnsi="宋体" w:cs="宋体"/>
          <w:bCs/>
          <w:sz w:val="72"/>
          <w:highlight w:val="none"/>
        </w:rPr>
      </w:r>
      <w:r/>
    </w:p>
    <w:p>
      <w:pPr>
        <w:jc w:val="center"/>
        <w:rPr>
          <w:rFonts w:ascii="宋体" w:hAnsi="宋体" w:cs="宋体"/>
          <w:bCs/>
          <w:sz w:val="52"/>
          <w:szCs w:val="52"/>
          <w:highlight w:val="none"/>
        </w:rPr>
      </w:pPr>
      <w:r>
        <w:rPr>
          <w:rFonts w:hint="eastAsia" w:ascii="宋体" w:hAnsi="宋体" w:cs="宋体"/>
          <w:bCs/>
          <w:sz w:val="52"/>
          <w:szCs w:val="52"/>
          <w:highlight w:val="none"/>
        </w:rPr>
        <w:t xml:space="preserve">标</w:t>
      </w:r>
      <w:r/>
    </w:p>
    <w:p>
      <w:pPr>
        <w:jc w:val="center"/>
        <w:rPr>
          <w:rFonts w:ascii="宋体" w:hAnsi="宋体" w:cs="宋体"/>
          <w:bCs/>
          <w:sz w:val="72"/>
          <w:highlight w:val="none"/>
        </w:rPr>
      </w:pPr>
      <w:r>
        <w:rPr>
          <w:rFonts w:ascii="宋体" w:hAnsi="宋体" w:cs="宋体"/>
          <w:bCs/>
          <w:sz w:val="72"/>
          <w:highlight w:val="none"/>
        </w:rPr>
      </w:r>
      <w:r/>
    </w:p>
    <w:p>
      <w:pPr>
        <w:jc w:val="center"/>
        <w:rPr>
          <w:rFonts w:ascii="宋体" w:hAnsi="宋体" w:cs="宋体"/>
          <w:bCs/>
          <w:sz w:val="52"/>
          <w:szCs w:val="52"/>
          <w:highlight w:val="none"/>
        </w:rPr>
      </w:pPr>
      <w:r>
        <w:rPr>
          <w:rFonts w:hint="eastAsia" w:ascii="宋体" w:hAnsi="宋体" w:cs="宋体"/>
          <w:bCs/>
          <w:sz w:val="52"/>
          <w:szCs w:val="52"/>
          <w:highlight w:val="none"/>
        </w:rPr>
        <w:t xml:space="preserve">文</w:t>
      </w:r>
      <w:r/>
    </w:p>
    <w:p>
      <w:pPr>
        <w:jc w:val="center"/>
        <w:rPr>
          <w:rFonts w:ascii="宋体" w:hAnsi="宋体" w:cs="宋体"/>
          <w:bCs/>
          <w:sz w:val="52"/>
          <w:szCs w:val="52"/>
          <w:highlight w:val="none"/>
        </w:rPr>
      </w:pPr>
      <w:r>
        <w:rPr>
          <w:rFonts w:ascii="宋体" w:hAnsi="宋体" w:cs="宋体"/>
          <w:bCs/>
          <w:sz w:val="52"/>
          <w:szCs w:val="52"/>
          <w:highlight w:val="none"/>
        </w:rPr>
      </w:r>
      <w:r/>
    </w:p>
    <w:p>
      <w:pPr>
        <w:jc w:val="center"/>
        <w:rPr>
          <w:rFonts w:ascii="宋体" w:hAnsi="宋体" w:cs="宋体"/>
          <w:bCs/>
          <w:sz w:val="52"/>
          <w:szCs w:val="52"/>
          <w:highlight w:val="none"/>
        </w:rPr>
      </w:pPr>
      <w:r>
        <w:rPr>
          <w:rFonts w:hint="eastAsia" w:ascii="宋体" w:hAnsi="宋体" w:cs="宋体"/>
          <w:bCs/>
          <w:sz w:val="52"/>
          <w:szCs w:val="52"/>
          <w:highlight w:val="none"/>
        </w:rPr>
        <w:t xml:space="preserve">件</w:t>
      </w:r>
      <w:r/>
    </w:p>
    <w:p>
      <w:pPr>
        <w:rPr>
          <w:rFonts w:ascii="宋体" w:hAnsi="宋体" w:cs="宋体"/>
          <w:bCs/>
          <w:sz w:val="72"/>
          <w:highlight w:val="none"/>
        </w:rPr>
      </w:pPr>
      <w:r>
        <w:rPr>
          <w:rFonts w:ascii="宋体" w:hAnsi="宋体" w:cs="宋体"/>
          <w:bCs/>
          <w:sz w:val="72"/>
          <w:highlight w:val="none"/>
        </w:rPr>
      </w:r>
      <w:r/>
    </w:p>
    <w:p>
      <w:pPr>
        <w:rPr>
          <w:rFonts w:ascii="宋体" w:hAnsi="宋体" w:cs="宋体"/>
          <w:bCs/>
          <w:sz w:val="28"/>
          <w:highlight w:val="none"/>
        </w:rPr>
      </w:pPr>
      <w:r>
        <w:rPr>
          <w:rFonts w:ascii="宋体" w:hAnsi="宋体" w:cs="宋体"/>
          <w:bCs/>
          <w:sz w:val="28"/>
          <w:highlight w:val="none"/>
        </w:rPr>
      </w:r>
      <w:r/>
    </w:p>
    <w:p>
      <w:pPr>
        <w:ind w:firstLine="560"/>
        <w:rPr>
          <w:rFonts w:hint="eastAsia" w:ascii="宋体" w:hAnsi="宋体" w:eastAsia="宋体" w:cs="宋体"/>
          <w:bCs/>
          <w:sz w:val="28"/>
          <w:szCs w:val="28"/>
          <w:highlight w:val="none"/>
          <w:lang w:eastAsia="zh-CN"/>
        </w:rPr>
      </w:pPr>
      <w:r>
        <w:rPr>
          <w:rFonts w:hint="eastAsia" w:ascii="宋体" w:hAnsi="宋体" w:cs="宋体"/>
          <w:bCs/>
          <w:sz w:val="28"/>
          <w:szCs w:val="28"/>
          <w:highlight w:val="none"/>
        </w:rPr>
        <w:t xml:space="preserve">采购项目编号：</w:t>
      </w:r>
      <w:r>
        <w:rPr>
          <w:rFonts w:hint="eastAsia" w:ascii="宋体" w:hAnsi="宋体" w:cs="宋体"/>
          <w:bCs/>
          <w:sz w:val="28"/>
          <w:szCs w:val="28"/>
          <w:highlight w:val="none"/>
          <w:lang w:eastAsia="zh-CN"/>
        </w:rPr>
        <w:t xml:space="preserve">JSZC-320200-AWXT-G2026-0006</w:t>
      </w:r>
      <w:r/>
    </w:p>
    <w:p>
      <w:pPr>
        <w:ind w:firstLine="560"/>
        <w:rPr>
          <w:rFonts w:ascii="宋体" w:hAnsi="宋体" w:cs="宋体"/>
          <w:bCs/>
          <w:sz w:val="28"/>
          <w:szCs w:val="28"/>
          <w:highlight w:val="none"/>
        </w:rPr>
      </w:pPr>
      <w:r>
        <w:rPr>
          <w:rFonts w:hint="eastAsia" w:ascii="宋体" w:hAnsi="宋体" w:cs="宋体"/>
          <w:bCs/>
          <w:sz w:val="28"/>
          <w:szCs w:val="28"/>
          <w:highlight w:val="none"/>
        </w:rPr>
        <w:t xml:space="preserve">采购项目名称：无锡市自然资源和规划局机房信息化设备维护项目（运维接续2026）</w:t>
      </w:r>
      <w:r/>
    </w:p>
    <w:p>
      <w:pPr>
        <w:ind w:firstLine="560"/>
        <w:rPr>
          <w:rFonts w:ascii="宋体" w:hAnsi="宋体" w:cs="宋体"/>
          <w:bCs/>
          <w:sz w:val="28"/>
          <w:szCs w:val="28"/>
          <w:highlight w:val="none"/>
        </w:rPr>
      </w:pPr>
      <w:r>
        <w:rPr>
          <w:rFonts w:hint="eastAsia" w:ascii="宋体" w:hAnsi="宋体" w:cs="宋体"/>
          <w:bCs/>
          <w:sz w:val="28"/>
          <w:szCs w:val="28"/>
          <w:highlight w:val="none"/>
        </w:rPr>
        <w:t xml:space="preserve">投标人：</w:t>
      </w:r>
      <w:r/>
    </w:p>
    <w:p>
      <w:pPr>
        <w:rPr>
          <w:rFonts w:ascii="宋体" w:hAnsi="宋体" w:cs="宋体"/>
          <w:bCs/>
          <w:sz w:val="32"/>
          <w:highlight w:val="none"/>
        </w:rPr>
      </w:pPr>
      <w:r>
        <w:rPr>
          <w:rFonts w:ascii="宋体" w:hAnsi="宋体" w:cs="宋体"/>
          <w:bCs/>
          <w:sz w:val="32"/>
          <w:highlight w:val="none"/>
        </w:rPr>
      </w:r>
      <w:r/>
    </w:p>
    <w:p>
      <w:pPr>
        <w:jc w:val="center"/>
        <w:rPr>
          <w:rFonts w:ascii="宋体" w:hAnsi="宋体" w:cs="宋体"/>
          <w:bCs/>
          <w:sz w:val="36"/>
          <w:szCs w:val="36"/>
          <w:highlight w:val="none"/>
        </w:rPr>
      </w:pPr>
      <w:r>
        <w:rPr>
          <w:rFonts w:hint="eastAsia" w:ascii="宋体" w:hAnsi="宋体" w:cs="宋体"/>
          <w:bCs/>
          <w:sz w:val="36"/>
          <w:szCs w:val="36"/>
          <w:highlight w:val="none"/>
        </w:rPr>
        <w:t xml:space="preserve">二〇二六年  月  日</w:t>
      </w:r>
      <w:r/>
    </w:p>
    <w:p>
      <w:pPr>
        <w:rPr>
          <w:rFonts w:ascii="宋体" w:hAnsi="宋体" w:cs="宋体"/>
          <w:bCs/>
          <w:sz w:val="24"/>
          <w:szCs w:val="24"/>
          <w:highlight w:val="none"/>
        </w:rPr>
      </w:pPr>
      <w:r/>
      <w:bookmarkStart w:id="14" w:name="一．报价函（格式）"/>
      <w:r/>
      <w:bookmarkEnd w:id="14"/>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（一）投标函（格式）：</w:t>
      </w:r>
      <w:r/>
    </w:p>
    <w:p>
      <w:pPr>
        <w:jc w:val="center"/>
        <w:spacing w:line="360" w:lineRule="auto"/>
        <w:rPr>
          <w:rFonts w:ascii="宋体" w:hAnsi="宋体" w:cs="宋体"/>
          <w:bCs/>
          <w:sz w:val="24"/>
          <w:szCs w:val="24"/>
          <w:highlight w:val="none"/>
        </w:rPr>
      </w:pPr>
      <w:r>
        <w:rPr>
          <w:rFonts w:hint="eastAsia" w:ascii="宋体" w:hAnsi="宋体" w:cs="宋体"/>
          <w:bCs/>
          <w:sz w:val="28"/>
          <w:szCs w:val="28"/>
          <w:highlight w:val="none"/>
        </w:rPr>
        <w:t xml:space="preserve">投标函</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致无锡市自然资源和规划局：</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lang w:eastAsia="zh-CN"/>
        </w:rPr>
        <w:t xml:space="preserve">JSZC-320200-AWXT-G2026-0006</w:t>
      </w:r>
      <w:r>
        <w:rPr>
          <w:rFonts w:hint="eastAsia" w:ascii="宋体" w:hAnsi="宋体" w:cs="宋体"/>
          <w:bCs/>
          <w:sz w:val="24"/>
          <w:szCs w:val="24"/>
          <w:highlight w:val="none"/>
        </w:rPr>
        <w:t xml:space="preserve">招标文件，经仔细阅读和研究，我方决定参加此项目的投标。</w:t>
      </w:r>
      <w:r/>
    </w:p>
    <w:p>
      <w:pPr>
        <w:ind w:firstLine="525"/>
        <w:spacing w:line="360" w:lineRule="auto"/>
        <w:tabs>
          <w:tab w:val="left" w:pos="315" w:leader="none"/>
          <w:tab w:val="left" w:pos="840" w:leader="none"/>
          <w:tab w:val="left" w:pos="945" w:leader="none"/>
          <w:tab w:val="left" w:pos="1050" w:leader="none"/>
          <w:tab w:val="left" w:pos="1260" w:leader="none"/>
        </w:tabs>
        <w:rPr>
          <w:rFonts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p>
    <w:p>
      <w:pPr>
        <w:ind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48"/>
          <w:bCs/>
          <w:highlight w:val="none"/>
        </w:rPr>
      </w:pPr>
      <w:r>
        <w:rPr>
          <w:rFonts w:hint="eastAsia" w:ascii="宋体" w:hAnsi="宋体" w:cs="宋体"/>
          <w:bCs/>
          <w:sz w:val="24"/>
          <w:szCs w:val="24"/>
          <w:highlight w:val="none"/>
        </w:rPr>
        <w:t xml:space="preserve">二、我方愿意提供江苏万享通咨询有限公司在招标文件中要求的文件、资料。</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四、如果我方的投标文件被接受，我方将履行招标文件中规定的每一项要求，按期、按质、按量，完成交货任务。</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五、我方认为贵局有权决定中标者。</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六、我方愿意遵守《中华人民共和国政府采购法》，并按照《中华人民共和国民法典》、财政部《政府采购货物和服务招标投标管理办法》</w:t>
      </w:r>
      <w:r>
        <w:rPr>
          <w:rFonts w:hint="eastAsia" w:ascii="宋体" w:hAnsi="宋体" w:cs="宋体"/>
          <w:sz w:val="24"/>
          <w:szCs w:val="24"/>
          <w:highlight w:val="none"/>
        </w:rPr>
        <w:t xml:space="preserve">和</w:t>
      </w:r>
      <w:r>
        <w:rPr>
          <w:rFonts w:hint="eastAsia" w:ascii="宋体" w:hAnsi="宋体" w:cs="宋体"/>
          <w:bCs/>
          <w:sz w:val="24"/>
          <w:szCs w:val="24"/>
          <w:highlight w:val="none"/>
        </w:rPr>
        <w:t xml:space="preserve">合同条款履行自己的全部责任。</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七、我方认可并遵守招标文件的所有规定，放弃对招标文件提出质疑的权利。</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八、我方愿意按招标文件的规定上传《投标（报价）承诺函》。如我方在投标截止期后撤回投标及中标后拒绝遵守投标承诺或拒绝在规定的时间内与采购人签订合同，则接受政府采购监督管理部门的处理。</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九、如果我方被确定为中标供应商，我方愿意</w:t>
      </w:r>
      <w:r>
        <w:rPr>
          <w:rFonts w:hint="eastAsia" w:ascii="宋体" w:hAnsi="宋体" w:cs="宋体"/>
          <w:sz w:val="24"/>
          <w:szCs w:val="24"/>
          <w:highlight w:val="none"/>
        </w:rPr>
        <w:t xml:space="preserve">向</w:t>
      </w:r>
      <w:r>
        <w:rPr>
          <w:rFonts w:hint="eastAsia" w:ascii="宋体" w:hAnsi="宋体" w:cs="宋体"/>
          <w:bCs/>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ind w:firstLine="523"/>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十、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投标人（盖章）：</w:t>
      </w:r>
      <w:r/>
    </w:p>
    <w:p>
      <w:pPr>
        <w:ind w:firstLine="480"/>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ind w:firstLine="480"/>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电话：                              传真：</w:t>
      </w:r>
      <w:r/>
    </w:p>
    <w:p>
      <w:pPr>
        <w:ind w:firstLine="480"/>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通讯地址：                          邮编：</w:t>
      </w:r>
      <w:r/>
    </w:p>
    <w:p>
      <w:pPr>
        <w:rPr>
          <w:rFonts w:ascii="宋体" w:hAnsi="宋体" w:cs="宋体"/>
          <w:bCs/>
          <w:sz w:val="28"/>
          <w:szCs w:val="28"/>
          <w:highlight w:val="none"/>
        </w:rPr>
      </w:pP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（二）（投标人）关于资格的声明函（格式）：</w:t>
      </w:r>
      <w:r/>
    </w:p>
    <w:p>
      <w:pPr>
        <w:spacing w:line="360" w:lineRule="auto"/>
        <w:rPr>
          <w:rFonts w:ascii="宋体" w:hAnsi="宋体" w:cs="宋体"/>
          <w:bCs/>
          <w:sz w:val="36"/>
          <w:highlight w:val="none"/>
        </w:rPr>
      </w:pPr>
      <w:r>
        <w:rPr>
          <w:rFonts w:ascii="宋体" w:hAnsi="宋体" w:cs="宋体"/>
          <w:bCs/>
          <w:sz w:val="36"/>
          <w:highlight w:val="none"/>
        </w:rPr>
      </w:r>
      <w:r/>
    </w:p>
    <w:p>
      <w:pPr>
        <w:jc w:val="center"/>
        <w:rPr>
          <w:rFonts w:ascii="宋体" w:hAnsi="宋体" w:cs="宋体"/>
          <w:bCs/>
          <w:sz w:val="28"/>
          <w:szCs w:val="28"/>
          <w:highlight w:val="none"/>
        </w:rPr>
      </w:pPr>
      <w:r/>
      <w:bookmarkStart w:id="15" w:name="报价方关于资格的声明函（格式）"/>
      <w:r/>
      <w:bookmarkEnd w:id="15"/>
      <w:r>
        <w:rPr>
          <w:rFonts w:hint="eastAsia" w:ascii="宋体" w:hAnsi="宋体" w:cs="宋体"/>
          <w:bCs/>
          <w:sz w:val="28"/>
          <w:szCs w:val="28"/>
          <w:highlight w:val="none"/>
        </w:rPr>
        <w:t xml:space="preserve">关于资格的声明函</w:t>
      </w:r>
      <w:r/>
    </w:p>
    <w:p>
      <w:pPr>
        <w:jc w:val="center"/>
        <w:rPr>
          <w:rFonts w:ascii="宋体" w:hAnsi="宋体" w:cs="宋体"/>
          <w:bCs/>
          <w:sz w:val="32"/>
          <w:highlight w:val="none"/>
        </w:rPr>
      </w:pPr>
      <w:r>
        <w:rPr>
          <w:rFonts w:ascii="宋体" w:hAnsi="宋体" w:cs="宋体"/>
          <w:bCs/>
          <w:sz w:val="32"/>
          <w:highlight w:val="none"/>
        </w:rPr>
      </w:r>
      <w:r/>
    </w:p>
    <w:p>
      <w:pPr>
        <w:jc w:val="cente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采购项目编号：</w:t>
      </w:r>
      <w:r/>
    </w:p>
    <w:p>
      <w:pPr>
        <w:jc w:val="center"/>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日期：</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无锡市自然资源和规划局：</w:t>
      </w:r>
      <w:r/>
    </w:p>
    <w:p>
      <w:pPr>
        <w:spacing w:line="480" w:lineRule="auto"/>
        <w:rPr>
          <w:rFonts w:ascii="宋体" w:hAnsi="宋体" w:cs="宋体"/>
          <w:bCs/>
          <w:sz w:val="24"/>
          <w:szCs w:val="24"/>
          <w:highlight w:val="none"/>
        </w:rPr>
      </w:pPr>
      <w:r>
        <w:rPr>
          <w:rFonts w:ascii="宋体" w:hAnsi="宋体" w:cs="宋体"/>
          <w:bCs/>
          <w:sz w:val="24"/>
          <w:szCs w:val="24"/>
          <w:highlight w:val="none"/>
        </w:rPr>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我公司（单位）参加本次项目（</w:t>
      </w:r>
      <w:r>
        <w:rPr>
          <w:rFonts w:hint="eastAsia" w:ascii="宋体" w:hAnsi="宋体" w:cs="宋体"/>
          <w:bCs/>
          <w:sz w:val="24"/>
          <w:szCs w:val="24"/>
          <w:highlight w:val="none"/>
          <w:lang w:eastAsia="zh-CN"/>
        </w:rPr>
        <w:t xml:space="preserve">JSZC-320200-AWXT-G2026-0006</w:t>
      </w:r>
      <w:r>
        <w:rPr>
          <w:rFonts w:hint="eastAsia" w:ascii="宋体" w:hAnsi="宋体" w:cs="宋体"/>
          <w:bCs/>
          <w:sz w:val="24"/>
          <w:szCs w:val="24"/>
          <w:highlight w:val="none"/>
        </w:rPr>
        <w:t xml:space="preserve">）政府采购活动前三年内，在经营活动中没有重大违法记录，我公司（单位）愿针对本次项目（</w:t>
      </w:r>
      <w:r>
        <w:rPr>
          <w:rFonts w:hint="eastAsia" w:ascii="宋体" w:hAnsi="宋体" w:cs="宋体"/>
          <w:bCs/>
          <w:sz w:val="24"/>
          <w:szCs w:val="24"/>
          <w:highlight w:val="none"/>
          <w:lang w:eastAsia="zh-CN"/>
        </w:rPr>
        <w:t xml:space="preserve">JSZC-320200-AWXT-G2026-0006</w:t>
      </w:r>
      <w:r>
        <w:rPr>
          <w:rFonts w:hint="eastAsia" w:ascii="宋体" w:hAnsi="宋体" w:cs="宋体"/>
          <w:bCs/>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hAnsi="宋体" w:cs="宋体"/>
          <w:bCs/>
          <w:sz w:val="24"/>
          <w:szCs w:val="24"/>
          <w:highlight w:val="none"/>
        </w:rPr>
      </w:pPr>
      <w:r>
        <w:rPr>
          <w:rFonts w:ascii="宋体" w:hAnsi="宋体" w:cs="宋体"/>
          <w:bCs/>
          <w:sz w:val="24"/>
          <w:szCs w:val="24"/>
          <w:highlight w:val="none"/>
        </w:rPr>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投标人（盖章）：</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ind w:firstLine="480"/>
        <w:rPr>
          <w:rFonts w:ascii="宋体" w:hAnsi="宋体" w:cs="宋体"/>
          <w:bCs/>
          <w:sz w:val="24"/>
          <w:szCs w:val="24"/>
          <w:highlight w:val="none"/>
        </w:rPr>
      </w:pPr>
      <w:r>
        <w:rPr>
          <w:rFonts w:ascii="宋体" w:hAnsi="宋体" w:cs="宋体"/>
          <w:bCs/>
          <w:sz w:val="24"/>
          <w:szCs w:val="24"/>
          <w:highlight w:val="none"/>
        </w:rPr>
      </w:r>
      <w:r/>
    </w:p>
    <w:p>
      <w:pPr>
        <w:ind w:firstLine="480"/>
        <w:rPr>
          <w:rFonts w:ascii="宋体" w:hAnsi="宋体" w:cs="宋体"/>
          <w:bCs/>
          <w:sz w:val="24"/>
          <w:szCs w:val="24"/>
          <w:highlight w:val="none"/>
        </w:rPr>
      </w:pPr>
      <w:r>
        <w:rPr>
          <w:rFonts w:ascii="宋体" w:hAnsi="宋体" w:cs="宋体"/>
          <w:bCs/>
          <w:sz w:val="24"/>
          <w:szCs w:val="24"/>
          <w:highlight w:val="none"/>
        </w:rPr>
      </w:r>
      <w:r/>
    </w:p>
    <w:p>
      <w:pPr>
        <w:ind w:firstLine="480"/>
        <w:rPr>
          <w:rFonts w:ascii="宋体" w:hAnsi="宋体" w:cs="宋体"/>
          <w:bCs/>
          <w:sz w:val="24"/>
          <w:szCs w:val="24"/>
          <w:highlight w:val="none"/>
        </w:rPr>
      </w:pPr>
      <w:r>
        <w:rPr>
          <w:rFonts w:ascii="宋体" w:hAnsi="宋体" w:cs="宋体"/>
          <w:bCs/>
          <w:sz w:val="24"/>
          <w:szCs w:val="24"/>
          <w:highlight w:val="none"/>
        </w:rPr>
      </w:r>
      <w:r/>
    </w:p>
    <w:p>
      <w:pPr>
        <w:ind w:firstLine="480"/>
        <w:rPr>
          <w:rFonts w:ascii="宋体" w:hAnsi="宋体" w:cs="宋体"/>
          <w:bCs/>
          <w:sz w:val="24"/>
          <w:szCs w:val="24"/>
          <w:highlight w:val="none"/>
        </w:rPr>
      </w:pPr>
      <w:r>
        <w:rPr>
          <w:rFonts w:ascii="宋体" w:hAnsi="宋体" w:cs="宋体"/>
          <w:bCs/>
          <w:sz w:val="24"/>
          <w:szCs w:val="24"/>
          <w:highlight w:val="none"/>
        </w:rPr>
      </w:r>
      <w:r/>
    </w:p>
    <w:p>
      <w:pPr>
        <w:ind w:firstLine="420"/>
        <w:rPr>
          <w:rFonts w:ascii="宋体" w:hAnsi="宋体" w:cs="宋体"/>
          <w:bCs/>
          <w:sz w:val="24"/>
          <w:szCs w:val="24"/>
          <w:highlight w:val="none"/>
        </w:rPr>
      </w:pPr>
      <w:r>
        <w:rPr>
          <w:rFonts w:hint="eastAsia" w:ascii="宋体" w:hAnsi="宋体" w:cs="宋体"/>
          <w:highlight w:val="none"/>
        </w:rPr>
        <w:t xml:space="preserve">备注：上述所称“重大违法记录”，是指供应商因违法经营受到刑事处罚或者责令停产停业、吊销许可证或者执照、较大数额罚款等行政处罚。</w:t>
      </w:r>
      <w:r/>
    </w:p>
    <w:p>
      <w:pPr>
        <w:ind w:firstLine="480"/>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8"/>
          <w:szCs w:val="28"/>
          <w:highlight w:val="none"/>
        </w:rPr>
      </w:pP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（三）（投标人）法定代表人授权委托书（格式）：</w:t>
      </w:r>
      <w:r/>
    </w:p>
    <w:p>
      <w:pPr>
        <w:rPr>
          <w:rFonts w:ascii="宋体" w:hAnsi="宋体" w:cs="宋体"/>
          <w:bCs/>
          <w:sz w:val="28"/>
          <w:szCs w:val="28"/>
          <w:highlight w:val="none"/>
        </w:rPr>
      </w:pPr>
      <w:r>
        <w:rPr>
          <w:rFonts w:ascii="宋体" w:hAnsi="宋体" w:cs="宋体"/>
          <w:bCs/>
          <w:sz w:val="28"/>
          <w:szCs w:val="28"/>
          <w:highlight w:val="none"/>
        </w:rPr>
      </w:r>
      <w:r/>
    </w:p>
    <w:p>
      <w:pPr>
        <w:jc w:val="center"/>
        <w:rPr>
          <w:rFonts w:ascii="宋体" w:hAnsi="宋体" w:cs="宋体"/>
          <w:bCs/>
          <w:sz w:val="28"/>
          <w:szCs w:val="28"/>
          <w:highlight w:val="none"/>
        </w:rPr>
      </w:pPr>
      <w:r>
        <w:rPr>
          <w:rFonts w:hint="eastAsia" w:ascii="宋体" w:hAnsi="宋体" w:cs="宋体"/>
          <w:bCs/>
          <w:sz w:val="28"/>
          <w:szCs w:val="28"/>
          <w:highlight w:val="none"/>
        </w:rPr>
        <w:t xml:space="preserve">法定代表人授权委托书</w:t>
      </w:r>
      <w:r/>
    </w:p>
    <w:p>
      <w:pPr>
        <w:jc w:val="center"/>
        <w:spacing w:line="360" w:lineRule="auto"/>
        <w:rPr>
          <w:rFonts w:ascii="宋体" w:hAnsi="宋体" w:cs="宋体"/>
          <w:bCs/>
          <w:sz w:val="36"/>
          <w:highlight w:val="none"/>
        </w:rPr>
      </w:pPr>
      <w:r>
        <w:rPr>
          <w:rFonts w:ascii="宋体" w:hAnsi="宋体" w:cs="宋体"/>
          <w:bCs/>
          <w:sz w:val="36"/>
          <w:highlight w:val="none"/>
        </w:rPr>
      </w:r>
      <w:r/>
    </w:p>
    <w:p>
      <w:pPr>
        <w:jc w:val="cente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采购项目编号：</w:t>
      </w:r>
      <w:r/>
    </w:p>
    <w:p>
      <w:pPr>
        <w:jc w:val="cente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日期：</w:t>
      </w:r>
      <w:r/>
    </w:p>
    <w:p>
      <w:pPr>
        <w:spacing w:line="600" w:lineRule="exact"/>
        <w:rPr>
          <w:rFonts w:ascii="宋体" w:hAnsi="宋体" w:cs="宋体"/>
          <w:bCs/>
          <w:sz w:val="24"/>
          <w:szCs w:val="24"/>
          <w:highlight w:val="none"/>
        </w:rPr>
      </w:pPr>
      <w:r>
        <w:rPr>
          <w:rFonts w:hint="eastAsia" w:ascii="宋体" w:hAnsi="宋体" w:cs="宋体"/>
          <w:bCs/>
          <w:sz w:val="24"/>
          <w:szCs w:val="24"/>
          <w:highlight w:val="none"/>
        </w:rPr>
        <w:t xml:space="preserve">无锡市自然资源和规划局：</w:t>
      </w:r>
      <w:r/>
    </w:p>
    <w:p>
      <w:pPr>
        <w:ind w:firstLine="480"/>
        <w:spacing w:line="600" w:lineRule="exact"/>
        <w:rPr>
          <w:rFonts w:ascii="宋体" w:hAnsi="宋体" w:cs="宋体"/>
          <w:bCs/>
          <w:sz w:val="24"/>
          <w:szCs w:val="24"/>
          <w:highlight w:val="none"/>
        </w:rPr>
      </w:pPr>
      <w:r>
        <w:rPr>
          <w:rFonts w:hint="eastAsia" w:ascii="宋体" w:hAnsi="宋体" w:cs="宋体"/>
          <w:bCs/>
          <w:sz w:val="24"/>
          <w:szCs w:val="24"/>
          <w:highlight w:val="none"/>
        </w:rPr>
        <w:t xml:space="preserve">系中华人民共和国合法公司（单位），特授权代表我公司（单位）全权办理针对本项目（</w:t>
      </w:r>
      <w:r>
        <w:rPr>
          <w:rFonts w:hint="eastAsia" w:ascii="宋体" w:hAnsi="宋体" w:cs="宋体"/>
          <w:bCs/>
          <w:sz w:val="24"/>
          <w:szCs w:val="24"/>
          <w:highlight w:val="none"/>
          <w:lang w:eastAsia="zh-CN"/>
        </w:rPr>
        <w:t xml:space="preserve">JSZC-320200-AWXT-G2026-0006</w:t>
      </w:r>
      <w:r>
        <w:rPr>
          <w:rFonts w:hint="eastAsia" w:ascii="宋体" w:hAnsi="宋体" w:cs="宋体"/>
          <w:bCs/>
          <w:sz w:val="24"/>
          <w:szCs w:val="24"/>
          <w:highlight w:val="none"/>
        </w:rPr>
        <w:t xml:space="preserve">）的投标、参与开标、评标、签约等具体工作，并签署全部有关的文件、协议及合同。</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我公司（单位）对被授权代表的签名负全部责任。</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被授权代表情况：</w:t>
      </w:r>
      <w:r/>
    </w:p>
    <w:p>
      <w:pPr>
        <w:ind w:firstLine="525"/>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姓名：          性别：           电话：</w:t>
      </w:r>
      <w:r/>
    </w:p>
    <w:p>
      <w:pPr>
        <w:ind w:firstLine="3240"/>
        <w:spacing w:line="580" w:lineRule="exact"/>
        <w:rPr>
          <w:rFonts w:ascii="宋体" w:hAnsi="宋体" w:cs="宋体"/>
          <w:bCs/>
          <w:sz w:val="24"/>
          <w:szCs w:val="24"/>
          <w:highlight w:val="none"/>
        </w:rPr>
      </w:pPr>
      <w:r>
        <w:rPr>
          <w:rFonts w:ascii="宋体" w:hAnsi="宋体" w:cs="宋体"/>
          <w:bCs/>
          <w:sz w:val="24"/>
          <w:szCs w:val="24"/>
          <w:highlight w:val="none"/>
        </w:rPr>
      </w:r>
      <w:r/>
    </w:p>
    <w:p>
      <w:pPr>
        <w:ind w:firstLine="3240"/>
        <w:spacing w:line="580" w:lineRule="exact"/>
        <w:rPr>
          <w:rFonts w:ascii="宋体" w:hAnsi="宋体" w:cs="宋体"/>
          <w:bCs/>
          <w:sz w:val="24"/>
          <w:szCs w:val="24"/>
          <w:highlight w:val="none"/>
        </w:rPr>
      </w:pPr>
      <w:r>
        <w:rPr>
          <w:rFonts w:ascii="宋体" w:hAnsi="宋体" w:cs="宋体"/>
          <w:bCs/>
          <w:sz w:val="24"/>
          <w:szCs w:val="24"/>
          <w:highlight w:val="none"/>
        </w:rPr>
      </w:r>
      <w:r/>
    </w:p>
    <w:p>
      <w:pPr>
        <w:ind w:firstLine="41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40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ind w:firstLine="480"/>
        <w:spacing w:line="480" w:lineRule="auto"/>
        <w:rPr>
          <w:rFonts w:ascii="宋体" w:hAnsi="宋体" w:cs="宋体"/>
          <w:bCs/>
          <w:sz w:val="28"/>
          <w:szCs w:val="28"/>
          <w:highlight w:val="none"/>
        </w:rPr>
      </w:pP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（四）（投标人）中小企业声明函（格式）：</w:t>
      </w:r>
      <w:r/>
    </w:p>
    <w:p>
      <w:pPr>
        <w:ind w:firstLine="560"/>
        <w:jc w:val="center"/>
        <w:spacing w:line="480" w:lineRule="auto"/>
        <w:rPr>
          <w:rFonts w:ascii="宋体" w:hAnsi="宋体" w:cs="宋体"/>
          <w:bCs/>
          <w:sz w:val="28"/>
          <w:szCs w:val="28"/>
          <w:highlight w:val="none"/>
        </w:rPr>
      </w:pPr>
      <w:r>
        <w:rPr>
          <w:rFonts w:hint="eastAsia" w:ascii="宋体" w:hAnsi="宋体" w:cs="宋体"/>
          <w:bCs/>
          <w:sz w:val="28"/>
          <w:szCs w:val="28"/>
          <w:highlight w:val="none"/>
        </w:rPr>
        <w:t xml:space="preserve">中小企业声明函（服务）</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本公司（联合体）郑重声明，根据《政府采购促进中小企业发展管理办法》（财库﹝2020﹞46 号）的规定，本公司（联合体）参加</w:t>
      </w:r>
      <w:r>
        <w:rPr>
          <w:rFonts w:hint="eastAsia" w:ascii="宋体" w:hAnsi="宋体" w:cs="宋体"/>
          <w:bCs/>
          <w:sz w:val="24"/>
          <w:szCs w:val="24"/>
          <w:highlight w:val="none"/>
          <w:u w:val="single"/>
        </w:rPr>
        <w:t xml:space="preserve">（单位名称）</w:t>
      </w:r>
      <w:r>
        <w:rPr>
          <w:rFonts w:hint="eastAsia" w:ascii="宋体" w:hAnsi="宋体" w:cs="宋体"/>
          <w:bCs/>
          <w:sz w:val="24"/>
          <w:szCs w:val="24"/>
          <w:highlight w:val="none"/>
        </w:rPr>
        <w:t xml:space="preserve">的</w:t>
      </w:r>
      <w:r>
        <w:rPr>
          <w:rFonts w:hint="eastAsia" w:ascii="宋体" w:hAnsi="宋体" w:cs="宋体"/>
          <w:bCs/>
          <w:sz w:val="24"/>
          <w:szCs w:val="24"/>
          <w:highlight w:val="none"/>
          <w:u w:val="single"/>
        </w:rPr>
        <w:t xml:space="preserve">（项目名称）</w:t>
      </w:r>
      <w:r>
        <w:rPr>
          <w:rFonts w:hint="eastAsia" w:ascii="宋体" w:hAnsi="宋体" w:cs="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 承建（承接）企业为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 小型企业、微型企业）</w:t>
      </w:r>
      <w:r>
        <w:rPr>
          <w:rFonts w:hint="eastAsia" w:ascii="宋体" w:hAnsi="宋体" w:cs="宋体"/>
          <w:bCs/>
          <w:sz w:val="24"/>
          <w:szCs w:val="24"/>
          <w:highlight w:val="none"/>
        </w:rPr>
        <w:t xml:space="preserve">；</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 承建（承接）企业为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 小型企业、微型企业）</w:t>
      </w:r>
      <w:r>
        <w:rPr>
          <w:rFonts w:hint="eastAsia" w:ascii="宋体" w:hAnsi="宋体" w:cs="宋体"/>
          <w:bCs/>
          <w:sz w:val="24"/>
          <w:szCs w:val="24"/>
          <w:highlight w:val="none"/>
        </w:rPr>
        <w:t xml:space="preserve">；</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bCs/>
          <w:sz w:val="24"/>
          <w:szCs w:val="24"/>
          <w:highlight w:val="none"/>
        </w:rPr>
      </w:pPr>
      <w:r>
        <w:rPr>
          <w:rFonts w:ascii="宋体" w:hAnsi="宋体" w:cs="宋体"/>
          <w:bCs/>
          <w:sz w:val="24"/>
          <w:szCs w:val="24"/>
          <w:highlight w:val="none"/>
        </w:rPr>
      </w:r>
      <w:r/>
    </w:p>
    <w:p>
      <w:pPr>
        <w:ind w:firstLine="480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企业名称（盖章）：</w:t>
      </w:r>
      <w:r/>
    </w:p>
    <w:p>
      <w:pPr>
        <w:ind w:firstLine="480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日      期：</w:t>
      </w:r>
      <w:r/>
    </w:p>
    <w:p>
      <w:pPr>
        <w:spacing w:line="360" w:lineRule="auto"/>
        <w:rPr>
          <w:rFonts w:ascii="宋体" w:hAnsi="宋体" w:cs="宋体"/>
          <w:bCs/>
          <w:sz w:val="24"/>
          <w:szCs w:val="24"/>
          <w:highlight w:val="none"/>
        </w:rPr>
      </w:pPr>
      <w:r>
        <w:rPr>
          <w:rFonts w:ascii="宋体" w:hAnsi="宋体" w:cs="宋体"/>
          <w:bCs/>
          <w:sz w:val="24"/>
          <w:szCs w:val="24"/>
          <w:highlight w:val="none"/>
        </w:rPr>
      </w:r>
      <w:r/>
    </w:p>
    <w:p>
      <w:pPr>
        <w:rPr>
          <w:rFonts w:ascii="宋体" w:hAnsi="宋体" w:cs="宋体"/>
          <w:highlight w:val="none"/>
        </w:rPr>
      </w:pPr>
      <w:r>
        <w:rPr>
          <w:rFonts w:hint="eastAsia" w:ascii="宋体" w:hAnsi="宋体" w:cs="宋体"/>
          <w:highlight w:val="none"/>
        </w:rPr>
        <w:t xml:space="preserve">注：1.从业人员、营业收入、资产总额填报上一年度数据，无上一年度数据的新成立企业可不填报。</w:t>
      </w:r>
      <w:r/>
    </w:p>
    <w:p>
      <w:pPr>
        <w:ind w:firstLine="420"/>
        <w:rPr>
          <w:rFonts w:ascii="宋体" w:hAnsi="宋体" w:cs="宋体"/>
          <w:highlight w:val="none"/>
        </w:rPr>
      </w:pPr>
      <w:r>
        <w:rPr>
          <w:rFonts w:hint="eastAsia" w:ascii="宋体" w:hAnsi="宋体" w:cs="宋体"/>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jc w:val="left"/>
        <w:spacing w:line="480" w:lineRule="auto"/>
        <w:rPr>
          <w:rFonts w:ascii="宋体" w:hAnsi="宋体" w:cs="宋体"/>
          <w:bCs/>
          <w:sz w:val="24"/>
          <w:szCs w:val="24"/>
          <w:highlight w:val="none"/>
        </w:rPr>
      </w:pPr>
      <w:r>
        <w:rPr>
          <w:rFonts w:hint="eastAsia" w:ascii="宋体" w:hAnsi="宋体" w:cs="宋体"/>
          <w:highlight w:val="none"/>
        </w:rPr>
        <w:t xml:space="preserve">3.投标时本表附在《明细报价表》之后（如有）。</w:t>
      </w: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（五）（投标人）残疾人福利性单位声明函（格式）：</w:t>
      </w:r>
      <w:r/>
    </w:p>
    <w:p>
      <w:pPr>
        <w:jc w:val="center"/>
        <w:spacing w:line="480" w:lineRule="auto"/>
        <w:rPr>
          <w:rFonts w:ascii="宋体" w:hAnsi="宋体" w:cs="宋体"/>
          <w:bCs/>
          <w:sz w:val="28"/>
          <w:szCs w:val="28"/>
          <w:highlight w:val="none"/>
        </w:rPr>
      </w:pPr>
      <w:r>
        <w:rPr>
          <w:rFonts w:hint="eastAsia" w:ascii="宋体" w:hAnsi="宋体" w:cs="宋体"/>
          <w:bCs/>
          <w:sz w:val="28"/>
          <w:szCs w:val="28"/>
          <w:highlight w:val="none"/>
        </w:rPr>
        <w:t xml:space="preserve">残疾人福利性单位声明函</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ind w:firstLine="480"/>
        <w:spacing w:line="580" w:lineRule="exact"/>
        <w:rPr>
          <w:rFonts w:ascii="宋体" w:hAnsi="宋体" w:cs="宋体"/>
          <w:bCs/>
          <w:sz w:val="24"/>
          <w:szCs w:val="24"/>
          <w:highlight w:val="none"/>
        </w:rPr>
      </w:pPr>
      <w:r>
        <w:rPr>
          <w:rFonts w:ascii="宋体" w:hAnsi="宋体" w:cs="宋体"/>
          <w:bCs/>
          <w:sz w:val="24"/>
          <w:szCs w:val="24"/>
          <w:highlight w:val="none"/>
        </w:rPr>
      </w:r>
      <w:r/>
    </w:p>
    <w:p>
      <w:pPr>
        <w:ind w:firstLine="480"/>
        <w:spacing w:line="580" w:lineRule="exact"/>
        <w:rPr>
          <w:rFonts w:ascii="宋体" w:hAnsi="宋体" w:cs="宋体"/>
          <w:bCs/>
          <w:sz w:val="24"/>
          <w:szCs w:val="24"/>
          <w:highlight w:val="none"/>
        </w:rPr>
      </w:pPr>
      <w:r>
        <w:rPr>
          <w:rFonts w:ascii="宋体" w:hAnsi="宋体" w:cs="宋体"/>
          <w:bCs/>
          <w:sz w:val="24"/>
          <w:szCs w:val="24"/>
          <w:highlight w:val="none"/>
        </w:rPr>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480"/>
        <w:spacing w:line="580" w:lineRule="exact"/>
        <w:rPr>
          <w:rFonts w:ascii="宋体" w:hAnsi="宋体" w:cs="宋体"/>
          <w:bCs/>
          <w:sz w:val="24"/>
          <w:szCs w:val="24"/>
          <w:highlight w:val="none"/>
        </w:rPr>
      </w:pPr>
      <w:r>
        <w:rPr>
          <w:rFonts w:hint="eastAsia" w:ascii="宋体" w:hAnsi="宋体" w:cs="宋体"/>
          <w:bCs/>
          <w:sz w:val="24"/>
          <w:szCs w:val="24"/>
          <w:highlight w:val="none"/>
        </w:rPr>
        <w:t xml:space="preserve">日  期：</w:t>
      </w:r>
      <w:r/>
    </w:p>
    <w:p>
      <w:pPr>
        <w:ind w:firstLine="480"/>
        <w:rPr>
          <w:rFonts w:ascii="宋体" w:hAnsi="宋体" w:cs="宋体"/>
          <w:bCs/>
          <w:sz w:val="24"/>
          <w:szCs w:val="24"/>
          <w:highlight w:val="none"/>
        </w:rPr>
      </w:pP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（六）承诺书（格式）：</w:t>
      </w:r>
      <w:r/>
    </w:p>
    <w:p>
      <w:pPr>
        <w:jc w:val="center"/>
        <w:rPr>
          <w:rFonts w:ascii="宋体" w:hAnsi="宋体" w:cs="宋体"/>
          <w:bCs/>
          <w:sz w:val="28"/>
          <w:szCs w:val="28"/>
          <w:highlight w:val="none"/>
        </w:rPr>
      </w:pPr>
      <w:r>
        <w:rPr>
          <w:rFonts w:hint="eastAsia" w:ascii="宋体" w:hAnsi="宋体" w:cs="宋体"/>
          <w:bCs/>
          <w:sz w:val="28"/>
          <w:szCs w:val="28"/>
          <w:highlight w:val="none"/>
        </w:rPr>
        <w:t xml:space="preserve">承诺书</w:t>
      </w:r>
      <w:r/>
    </w:p>
    <w:p>
      <w:pPr>
        <w:jc w:val="center"/>
        <w:rPr>
          <w:rFonts w:ascii="宋体" w:hAnsi="宋体" w:cs="宋体"/>
          <w:bCs/>
          <w:sz w:val="28"/>
          <w:szCs w:val="28"/>
          <w:highlight w:val="none"/>
        </w:rPr>
      </w:pPr>
      <w:r>
        <w:rPr>
          <w:rFonts w:ascii="宋体" w:hAnsi="宋体" w:cs="宋体"/>
          <w:bCs/>
          <w:sz w:val="28"/>
          <w:szCs w:val="28"/>
          <w:highlight w:val="none"/>
        </w:rPr>
      </w:r>
      <w:r/>
    </w:p>
    <w:p>
      <w:pPr>
        <w:spacing w:line="480" w:lineRule="auto"/>
        <w:rPr>
          <w:rFonts w:ascii="宋体" w:hAnsi="宋体" w:cs="宋体"/>
          <w:sz w:val="24"/>
          <w:szCs w:val="24"/>
          <w:highlight w:val="none"/>
        </w:rPr>
      </w:pPr>
      <w:r>
        <w:rPr>
          <w:rFonts w:hint="eastAsia" w:ascii="宋体" w:hAnsi="宋体" w:cs="宋体"/>
          <w:sz w:val="24"/>
          <w:szCs w:val="24"/>
          <w:highlight w:val="none"/>
        </w:rPr>
        <w:t xml:space="preserve">（投标人名称）针</w:t>
      </w:r>
      <w:r>
        <w:rPr>
          <w:rFonts w:hint="eastAsia" w:ascii="宋体" w:hAnsi="宋体" w:cs="宋体"/>
          <w:bCs/>
          <w:sz w:val="24"/>
          <w:szCs w:val="24"/>
          <w:highlight w:val="none"/>
        </w:rPr>
        <w:t xml:space="preserve">对本项目（</w:t>
      </w:r>
      <w:r>
        <w:rPr>
          <w:rFonts w:hint="eastAsia" w:ascii="宋体" w:hAnsi="宋体" w:cs="宋体"/>
          <w:bCs/>
          <w:sz w:val="24"/>
          <w:szCs w:val="24"/>
          <w:highlight w:val="none"/>
          <w:lang w:eastAsia="zh-CN"/>
        </w:rPr>
        <w:t xml:space="preserve">JSZC-320200-AWXT-G2026-0006</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在此承诺：</w:t>
      </w:r>
      <w:r/>
    </w:p>
    <w:p>
      <w:pPr>
        <w:spacing w:line="48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对本项目（</w:t>
      </w:r>
      <w:r>
        <w:rPr>
          <w:rFonts w:hint="eastAsia" w:ascii="宋体" w:hAnsi="宋体" w:cs="宋体"/>
          <w:bCs/>
          <w:sz w:val="24"/>
          <w:szCs w:val="24"/>
          <w:highlight w:val="none"/>
          <w:lang w:eastAsia="zh-CN"/>
        </w:rPr>
        <w:t xml:space="preserve">JSZC-320200-AWXT-G2026-0006</w:t>
      </w:r>
      <w:r>
        <w:rPr>
          <w:rFonts w:hint="eastAsia" w:ascii="宋体" w:hAnsi="宋体" w:cs="宋体"/>
          <w:bCs/>
          <w:sz w:val="24"/>
          <w:szCs w:val="24"/>
          <w:highlight w:val="none"/>
        </w:rPr>
        <w:t xml:space="preserve">）所提供的服务符合招标文件要求；</w:t>
      </w:r>
      <w:r/>
    </w:p>
    <w:p>
      <w:pPr>
        <w:ind w:firstLine="465"/>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2.本公司（单位）</w:t>
      </w:r>
      <w:r>
        <w:rPr>
          <w:rFonts w:hint="eastAsia" w:ascii="宋体" w:hAnsi="宋体" w:cs="宋体"/>
          <w:bCs/>
          <w:sz w:val="24"/>
          <w:szCs w:val="24"/>
          <w:highlight w:val="none"/>
        </w:rPr>
        <w:t xml:space="preserve">具备履行合同所必需的人员、设备和专业技术能力；</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t>
      </w:r>
      <w:r>
        <w:rPr>
          <w:highlight w:val="none"/>
        </w:rPr>
        <w:fldChar w:fldCharType="begin"/>
      </w:r>
      <w:r>
        <w:rPr>
          <w:highlight w:val="none"/>
        </w:rPr>
        <w:instrText xml:space="preserve"> HYPERLINK "http://www.creditchina.gov.cn" </w:instrText>
      </w:r>
      <w:r>
        <w:rPr>
          <w:highlight w:val="none"/>
        </w:rPr>
        <w:fldChar w:fldCharType="separate"/>
      </w:r>
      <w:r>
        <w:rPr>
          <w:rStyle w:val="949"/>
          <w:rFonts w:hint="eastAsia" w:ascii="宋体" w:hAnsi="宋体" w:cs="宋体"/>
          <w:bCs/>
          <w:color w:val="auto"/>
          <w:sz w:val="24"/>
          <w:szCs w:val="24"/>
          <w:highlight w:val="none"/>
        </w:rPr>
        <w:t xml:space="preserve">www.creditchina.gov.cn</w:t>
      </w:r>
      <w:r>
        <w:rPr>
          <w:rStyle w:val="949"/>
          <w:rFonts w:hint="eastAsia" w:ascii="宋体" w:hAnsi="宋体" w:cs="宋体"/>
          <w:bCs/>
          <w:color w:val="auto"/>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中国政府采购网（www.ccgp.gov.cn）列入失信被执行人、重大税收违法案件当事人名单、政府采购严重违法失信行为记录名单</w:t>
      </w:r>
      <w:r>
        <w:rPr>
          <w:rFonts w:hint="eastAsia" w:ascii="宋体" w:hAnsi="宋体" w:cs="宋体"/>
          <w:bCs/>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4.本公司（单位）保证中标后合同签订前，将按招标文件要求及所投投标文件中作出的相应承诺将相关人员及时配置到位。</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7.</w:t>
      </w:r>
      <w:r/>
    </w:p>
    <w:p>
      <w:pPr>
        <w:ind w:firstLine="465"/>
        <w:spacing w:line="360" w:lineRule="auto"/>
        <w:tabs>
          <w:tab w:val="left" w:pos="945" w:leader="none"/>
        </w:tabs>
        <w:rPr>
          <w:rFonts w:ascii="宋体" w:hAnsi="宋体" w:cs="宋体"/>
          <w:sz w:val="24"/>
          <w:szCs w:val="24"/>
          <w:highlight w:val="none"/>
        </w:rPr>
      </w:pPr>
      <w:r>
        <w:rPr>
          <w:rFonts w:hint="eastAsia" w:ascii="宋体" w:hAnsi="宋体" w:cs="宋体"/>
          <w:sz w:val="24"/>
          <w:szCs w:val="24"/>
          <w:highlight w:val="none"/>
        </w:rPr>
        <w:t xml:space="preserve">8.</w:t>
      </w:r>
      <w:r/>
    </w:p>
    <w:p>
      <w:pPr>
        <w:ind w:firstLine="96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w:t>
      </w:r>
      <w:r/>
    </w:p>
    <w:p>
      <w:pPr>
        <w:ind w:firstLine="96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spacing w:line="480" w:lineRule="auto"/>
        <w:rPr>
          <w:rFonts w:ascii="宋体" w:hAnsi="宋体" w:cs="宋体"/>
          <w:bCs/>
          <w:sz w:val="24"/>
          <w:szCs w:val="24"/>
          <w:highlight w:val="none"/>
        </w:rPr>
      </w:pPr>
      <w:r>
        <w:rPr>
          <w:rFonts w:ascii="宋体" w:hAnsi="宋体" w:cs="宋体"/>
          <w:bCs/>
          <w:sz w:val="24"/>
          <w:szCs w:val="24"/>
          <w:highlight w:val="none"/>
        </w:rPr>
      </w:r>
      <w:r/>
    </w:p>
    <w:p>
      <w:pPr>
        <w:ind w:firstLine="3720"/>
        <w:spacing w:line="480" w:lineRule="auto"/>
        <w:rPr>
          <w:rFonts w:ascii="宋体" w:hAnsi="宋体" w:cs="宋体"/>
          <w:bCs/>
          <w:sz w:val="24"/>
          <w:szCs w:val="24"/>
          <w:highlight w:val="none"/>
        </w:rPr>
      </w:pP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（盖章）：</w:t>
      </w:r>
      <w:r/>
    </w:p>
    <w:p>
      <w:pPr>
        <w:ind w:firstLine="480"/>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ind w:firstLine="480"/>
        <w:spacing w:line="480" w:lineRule="auto"/>
        <w:rPr>
          <w:rFonts w:ascii="宋体" w:hAnsi="宋体" w:cs="宋体"/>
          <w:bCs/>
          <w:sz w:val="24"/>
          <w:szCs w:val="24"/>
          <w:highlight w:val="none"/>
        </w:rPr>
      </w:pPr>
      <w:r>
        <w:rPr>
          <w:rFonts w:ascii="宋体" w:hAnsi="宋体" w:cs="宋体"/>
          <w:bCs/>
          <w:sz w:val="24"/>
          <w:szCs w:val="24"/>
          <w:highlight w:val="none"/>
        </w:rPr>
      </w:r>
      <w:r/>
    </w:p>
    <w:p>
      <w:pPr>
        <w:ind w:firstLine="420"/>
        <w:spacing w:line="480" w:lineRule="auto"/>
        <w:rPr>
          <w:rFonts w:ascii="宋体" w:hAnsi="宋体" w:cs="宋体"/>
          <w:bCs/>
          <w:sz w:val="24"/>
          <w:szCs w:val="24"/>
          <w:highlight w:val="none"/>
        </w:rPr>
      </w:pPr>
      <w:r>
        <w:rPr>
          <w:rFonts w:hint="eastAsia" w:ascii="宋体" w:hAnsi="宋体" w:cs="宋体"/>
          <w:bCs/>
          <w:szCs w:val="21"/>
          <w:highlight w:val="none"/>
        </w:rPr>
        <w:t xml:space="preserve">注：以上内容由投标单位根据采购要求可自行完善。</w:t>
      </w:r>
      <w:r/>
    </w:p>
    <w:p>
      <w:pPr>
        <w:ind w:firstLine="480"/>
        <w:rPr>
          <w:rFonts w:ascii="宋体" w:hAnsi="宋体" w:cs="宋体"/>
          <w:bCs/>
          <w:sz w:val="24"/>
          <w:szCs w:val="24"/>
          <w:highlight w:val="none"/>
        </w:rPr>
      </w:pPr>
      <w:r>
        <w:rPr>
          <w:rFonts w:ascii="宋体" w:hAnsi="宋体" w:cs="宋体"/>
          <w:bCs/>
          <w:sz w:val="24"/>
          <w:szCs w:val="24"/>
          <w:highlight w:val="none"/>
        </w:rPr>
      </w:r>
      <w:r/>
    </w:p>
    <w:p>
      <w:pPr>
        <w:jc w:val="left"/>
        <w:rPr>
          <w:rFonts w:ascii="宋体" w:hAnsi="宋体" w:cs="宋体"/>
          <w:bCs/>
          <w:sz w:val="28"/>
          <w:szCs w:val="28"/>
          <w:highlight w:val="none"/>
        </w:rPr>
      </w:pP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（七）开标一览表（格式）：</w:t>
      </w:r>
      <w:r/>
    </w:p>
    <w:p>
      <w:pPr>
        <w:jc w:val="center"/>
        <w:rPr>
          <w:rFonts w:ascii="宋体" w:hAnsi="宋体" w:cs="宋体"/>
          <w:bCs/>
          <w:sz w:val="28"/>
          <w:szCs w:val="28"/>
          <w:highlight w:val="none"/>
        </w:rPr>
      </w:pPr>
      <w:r>
        <w:rPr>
          <w:rFonts w:hint="eastAsia" w:ascii="宋体" w:hAnsi="宋体" w:cs="宋体"/>
          <w:bCs/>
          <w:sz w:val="28"/>
          <w:szCs w:val="28"/>
          <w:highlight w:val="none"/>
        </w:rPr>
        <w:t xml:space="preserve">开标一览表</w:t>
      </w:r>
      <w:r/>
    </w:p>
    <w:p>
      <w:pPr>
        <w:spacing w:line="300" w:lineRule="auto"/>
        <w:rPr>
          <w:rFonts w:ascii="宋体" w:hAnsi="宋体" w:cs="宋体"/>
          <w:highlight w:val="none"/>
        </w:rPr>
      </w:pPr>
      <w:r>
        <w:rPr>
          <w:rFonts w:ascii="宋体" w:hAnsi="宋体" w:cs="宋体"/>
          <w:highlight w:val="none"/>
        </w:rPr>
      </w:r>
      <w:r/>
    </w:p>
    <w:p>
      <w:pPr>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投标人名称（盖章）                     采购项目编号：</w:t>
      </w:r>
      <w:r>
        <w:rPr>
          <w:rFonts w:hint="eastAsia" w:ascii="宋体" w:hAnsi="宋体" w:cs="宋体"/>
          <w:bCs/>
          <w:sz w:val="24"/>
          <w:szCs w:val="24"/>
          <w:highlight w:val="none"/>
          <w:lang w:eastAsia="zh-CN"/>
        </w:rPr>
        <w:t xml:space="preserve">JSZC-320200-AWXT-G2026-0006</w:t>
      </w:r>
      <w:r/>
    </w:p>
    <w:tbl>
      <w:tblPr>
        <w:tblStyle w:val="763"/>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9"/>
        <w:gridCol w:w="6081"/>
      </w:tblGrid>
      <w:tr>
        <w:trPr>
          <w:cantSplit/>
          <w:jc w:val="center"/>
          <w:trHeight w:val="567"/>
        </w:trPr>
        <w:tc>
          <w:tcPr>
            <w:tcW w:w="3999" w:type="dxa"/>
            <w:vAlign w:val="center"/>
            <w:textDirection w:val="lrTb"/>
            <w:noWrap/>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项目名称</w:t>
            </w:r>
            <w:r/>
          </w:p>
        </w:tc>
        <w:tc>
          <w:tcPr>
            <w:tcW w:w="6081" w:type="dxa"/>
            <w:vAlign w:val="center"/>
            <w:textDirection w:val="lrTb"/>
            <w:noWrap/>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投标报价</w:t>
            </w:r>
            <w:r/>
          </w:p>
        </w:tc>
      </w:tr>
      <w:tr>
        <w:trPr>
          <w:cantSplit/>
          <w:jc w:val="center"/>
          <w:trHeight w:val="1229"/>
        </w:trPr>
        <w:tc>
          <w:tcPr>
            <w:tcW w:w="3999" w:type="dxa"/>
            <w:vAlign w:val="center"/>
            <w:textDirection w:val="lrTb"/>
            <w:noWrap/>
          </w:tcPr>
          <w:p>
            <w:pPr>
              <w:pStyle w:val="1105"/>
              <w:jc w:val="center"/>
              <w:spacing w:line="400" w:lineRule="exact"/>
              <w:rPr>
                <w:rFonts w:hAnsi="宋体" w:cs="宋体"/>
                <w:bCs/>
                <w:szCs w:val="24"/>
                <w:highlight w:val="none"/>
              </w:rPr>
            </w:pPr>
            <w:r>
              <w:rPr>
                <w:rFonts w:hint="eastAsia" w:hAnsi="宋体" w:cs="宋体"/>
                <w:bCs/>
                <w:szCs w:val="24"/>
                <w:highlight w:val="none"/>
              </w:rPr>
              <w:t xml:space="preserve">无锡市自然资源和规划局机房信息化设备维护项目（运维接续2026）</w:t>
            </w:r>
            <w:r/>
          </w:p>
        </w:tc>
        <w:tc>
          <w:tcPr>
            <w:tcW w:w="6081" w:type="dxa"/>
            <w:vAlign w:val="center"/>
            <w:textDirection w:val="lrTb"/>
            <w:noWrap/>
          </w:tcPr>
          <w:p>
            <w:pPr>
              <w:pStyle w:val="1105"/>
              <w:spacing w:line="360" w:lineRule="auto"/>
              <w:rPr>
                <w:rFonts w:hAnsi="宋体" w:cs="宋体"/>
                <w:bCs/>
                <w:szCs w:val="24"/>
                <w:highlight w:val="none"/>
              </w:rPr>
            </w:pPr>
            <w:r>
              <w:rPr>
                <w:rFonts w:hint="eastAsia" w:hAnsi="宋体" w:cs="宋体"/>
                <w:bCs/>
                <w:szCs w:val="24"/>
                <w:highlight w:val="none"/>
              </w:rPr>
              <w:t xml:space="preserve">投标</w:t>
            </w:r>
            <w:r>
              <w:rPr>
                <w:rFonts w:hint="eastAsia" w:hAnsi="宋体" w:cs="宋体"/>
                <w:bCs/>
                <w:szCs w:val="21"/>
                <w:highlight w:val="none"/>
              </w:rPr>
              <w:t xml:space="preserve">总</w:t>
            </w:r>
            <w:r>
              <w:rPr>
                <w:rFonts w:hint="eastAsia" w:hAnsi="宋体" w:cs="宋体"/>
                <w:bCs/>
                <w:szCs w:val="24"/>
                <w:highlight w:val="none"/>
              </w:rPr>
              <w:t xml:space="preserve">报价（小写）：</w:t>
            </w:r>
            <w:r>
              <w:rPr>
                <w:rFonts w:hint="eastAsia" w:hAnsi="宋体" w:cs="宋体"/>
                <w:bCs/>
                <w:szCs w:val="24"/>
                <w:highlight w:val="none"/>
                <w:u w:val="single"/>
              </w:rPr>
              <w:t xml:space="preserve">           </w:t>
            </w:r>
            <w:r>
              <w:rPr>
                <w:rFonts w:hint="eastAsia" w:hAnsi="宋体" w:cs="宋体"/>
                <w:bCs/>
                <w:szCs w:val="24"/>
                <w:highlight w:val="none"/>
              </w:rPr>
              <w:t xml:space="preserve">元</w:t>
            </w:r>
            <w:r/>
          </w:p>
          <w:p>
            <w:pPr>
              <w:pStyle w:val="1105"/>
              <w:spacing w:line="360" w:lineRule="auto"/>
              <w:rPr>
                <w:rFonts w:hAnsi="宋体" w:cs="宋体"/>
                <w:bCs/>
                <w:highlight w:val="none"/>
              </w:rPr>
            </w:pPr>
            <w:r>
              <w:rPr>
                <w:rFonts w:hint="eastAsia" w:hAnsi="宋体" w:cs="宋体"/>
                <w:bCs/>
                <w:szCs w:val="24"/>
                <w:highlight w:val="none"/>
              </w:rPr>
              <w:t xml:space="preserve">投标</w:t>
            </w:r>
            <w:r>
              <w:rPr>
                <w:rFonts w:hint="eastAsia" w:hAnsi="宋体" w:cs="宋体"/>
                <w:bCs/>
                <w:szCs w:val="21"/>
                <w:highlight w:val="none"/>
              </w:rPr>
              <w:t xml:space="preserve">总</w:t>
            </w:r>
            <w:r>
              <w:rPr>
                <w:rFonts w:hint="eastAsia" w:hAnsi="宋体" w:cs="宋体"/>
                <w:bCs/>
                <w:szCs w:val="24"/>
                <w:highlight w:val="none"/>
              </w:rPr>
              <w:t xml:space="preserve">报价（大写）：</w:t>
            </w:r>
            <w:r>
              <w:rPr>
                <w:rFonts w:hint="eastAsia" w:hAnsi="宋体" w:cs="宋体"/>
                <w:bCs/>
                <w:szCs w:val="24"/>
                <w:highlight w:val="none"/>
                <w:u w:val="single"/>
              </w:rPr>
              <w:t xml:space="preserve">  </w:t>
            </w:r>
            <w:r>
              <w:rPr>
                <w:rFonts w:hint="eastAsia" w:hAnsi="宋体" w:cs="宋体"/>
                <w:bCs/>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sz w:val="24"/>
                <w:highlight w:val="none"/>
              </w:rPr>
            </w:pPr>
            <w:r>
              <w:rPr>
                <w:rFonts w:hint="eastAsia" w:ascii="宋体" w:hAnsi="宋体" w:cs="宋体"/>
                <w:sz w:val="24"/>
                <w:highlight w:val="none"/>
              </w:rPr>
              <w:t xml:space="preserve">服务期：</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sz w:val="24"/>
                <w:highlight w:val="none"/>
              </w:rPr>
            </w:pPr>
            <w:r>
              <w:rPr>
                <w:rFonts w:hint="eastAsia" w:ascii="宋体" w:hAnsi="宋体" w:cs="宋体"/>
                <w:sz w:val="24"/>
                <w:highlight w:val="none"/>
              </w:rPr>
              <w:t xml:space="preserve">项目负责人：</w:t>
            </w:r>
            <w:r/>
          </w:p>
        </w:tc>
      </w:tr>
    </w:tbl>
    <w:p>
      <w:pPr>
        <w:spacing w:before="5"/>
        <w:rPr>
          <w:rFonts w:ascii="宋体" w:hAnsi="宋体" w:cs="宋体"/>
          <w:b/>
          <w:bCs/>
          <w:sz w:val="24"/>
          <w:szCs w:val="24"/>
          <w:highlight w:val="none"/>
        </w:rPr>
      </w:pPr>
      <w:r>
        <w:rPr>
          <w:rFonts w:ascii="宋体" w:hAnsi="宋体" w:cs="宋体"/>
          <w:b/>
          <w:bCs/>
          <w:sz w:val="24"/>
          <w:szCs w:val="24"/>
          <w:highlight w:val="none"/>
        </w:rPr>
      </w:r>
      <w:r/>
    </w:p>
    <w:p>
      <w:pPr>
        <w:spacing w:before="5"/>
        <w:rPr>
          <w:rFonts w:ascii="宋体" w:hAnsi="宋体" w:cs="宋体"/>
          <w:b/>
          <w:bCs/>
          <w:sz w:val="24"/>
          <w:szCs w:val="24"/>
          <w:highlight w:val="none"/>
        </w:rPr>
      </w:pPr>
      <w:r>
        <w:rPr>
          <w:rFonts w:hint="eastAsia" w:ascii="宋体" w:hAnsi="宋体" w:cs="宋体"/>
          <w:b/>
          <w:bCs/>
          <w:sz w:val="24"/>
          <w:szCs w:val="24"/>
          <w:highlight w:val="none"/>
        </w:rPr>
        <w:t xml:space="preserve">法定代表人或法定代表人授权代表签字或盖章：</w:t>
      </w:r>
      <w:r/>
    </w:p>
    <w:p>
      <w:pPr>
        <w:spacing w:line="400" w:lineRule="exact"/>
        <w:rPr>
          <w:rFonts w:ascii="宋体" w:hAnsi="宋体" w:cs="宋体"/>
          <w:bCs/>
          <w:sz w:val="32"/>
          <w:highlight w:val="none"/>
        </w:rPr>
      </w:pPr>
      <w:r>
        <w:rPr>
          <w:rFonts w:ascii="宋体" w:hAnsi="宋体" w:cs="宋体"/>
          <w:bCs/>
          <w:sz w:val="32"/>
          <w:highlight w:val="none"/>
        </w:rPr>
      </w:r>
      <w:r/>
    </w:p>
    <w:p>
      <w:pPr>
        <w:spacing w:line="500" w:lineRule="exact"/>
        <w:rPr>
          <w:rFonts w:ascii="宋体" w:hAnsi="宋体" w:cs="宋体"/>
          <w:b/>
          <w:bCs/>
          <w:sz w:val="24"/>
          <w:highlight w:val="none"/>
        </w:rPr>
      </w:pPr>
      <w:r>
        <w:rPr>
          <w:rFonts w:hint="eastAsia" w:ascii="宋体" w:hAnsi="宋体" w:cs="宋体"/>
          <w:b/>
          <w:bCs/>
          <w:sz w:val="24"/>
          <w:highlight w:val="none"/>
        </w:rPr>
        <w:t xml:space="preserve">填写说明：</w:t>
      </w:r>
      <w:r/>
    </w:p>
    <w:p>
      <w:pPr>
        <w:spacing w:line="500" w:lineRule="exact"/>
        <w:rPr>
          <w:rFonts w:ascii="宋体" w:hAnsi="宋体" w:cs="宋体"/>
          <w:b/>
          <w:bCs/>
          <w:sz w:val="24"/>
          <w:highlight w:val="none"/>
        </w:rPr>
      </w:pPr>
      <w:r>
        <w:rPr>
          <w:rFonts w:hint="eastAsia" w:ascii="宋体" w:hAnsi="宋体" w:cs="宋体"/>
          <w:b/>
          <w:bCs/>
          <w:sz w:val="24"/>
          <w:highlight w:val="none"/>
        </w:rPr>
        <w:t xml:space="preserve">1.评标时一律按开标一览表中内容为准，开标一览表中必须盖章或签字。</w:t>
      </w:r>
      <w:r/>
    </w:p>
    <w:p>
      <w:pPr>
        <w:spacing w:line="500" w:lineRule="exact"/>
        <w:rPr>
          <w:rFonts w:ascii="宋体" w:hAnsi="宋体" w:cs="宋体"/>
          <w:b/>
          <w:sz w:val="24"/>
          <w:highlight w:val="none"/>
        </w:rPr>
      </w:pPr>
      <w:r>
        <w:rPr>
          <w:rFonts w:hint="eastAsia" w:ascii="宋体" w:hAnsi="宋体" w:cs="宋体"/>
          <w:b/>
          <w:bCs/>
          <w:sz w:val="24"/>
          <w:highlight w:val="none"/>
        </w:rPr>
        <w:t xml:space="preserve">2.供应商的投标报价的总额应是供应商在报价文件中提出的各项支付金额的总和，也应是完成投标文件所列采购需求的全部费用。</w:t>
      </w:r>
      <w:r/>
    </w:p>
    <w:p>
      <w:pPr>
        <w:rPr>
          <w:rFonts w:ascii="宋体" w:hAnsi="宋体" w:cs="宋体"/>
          <w:bCs/>
          <w:sz w:val="28"/>
          <w:szCs w:val="28"/>
          <w:highlight w:val="none"/>
        </w:rPr>
      </w:pP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（八）报价明细表（格式）：</w:t>
      </w:r>
      <w:r/>
    </w:p>
    <w:p>
      <w:pPr>
        <w:jc w:val="center"/>
        <w:spacing w:line="480" w:lineRule="auto"/>
        <w:rPr>
          <w:rFonts w:ascii="宋体" w:hAnsi="宋体" w:cs="宋体"/>
          <w:bCs/>
          <w:sz w:val="28"/>
          <w:szCs w:val="28"/>
          <w:highlight w:val="none"/>
        </w:rPr>
      </w:pPr>
      <w:r>
        <w:rPr>
          <w:rFonts w:hint="eastAsia" w:ascii="宋体" w:hAnsi="宋体" w:cs="宋体"/>
          <w:bCs/>
          <w:sz w:val="28"/>
          <w:szCs w:val="28"/>
          <w:highlight w:val="none"/>
        </w:rPr>
        <w:t xml:space="preserve">报价明细表</w:t>
      </w:r>
      <w:r/>
    </w:p>
    <w:tbl>
      <w:tblPr>
        <w:tblStyle w:val="763"/>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2321"/>
        <w:gridCol w:w="976"/>
        <w:gridCol w:w="1247"/>
        <w:gridCol w:w="1382"/>
        <w:gridCol w:w="1742"/>
        <w:gridCol w:w="1128"/>
      </w:tblGrid>
      <w:tr>
        <w:trPr>
          <w:trHeight w:val="595"/>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tcW w:w="232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名称</w:t>
            </w:r>
            <w:r/>
          </w:p>
        </w:tc>
        <w:tc>
          <w:tcPr>
            <w:tcW w:w="976"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数量</w:t>
            </w:r>
            <w:r/>
          </w:p>
        </w:tc>
        <w:tc>
          <w:tcPr>
            <w:tcW w:w="1247"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单位</w:t>
            </w:r>
            <w:r/>
          </w:p>
        </w:tc>
        <w:tc>
          <w:tcPr>
            <w:tcW w:w="138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单价（元）</w:t>
            </w:r>
            <w:r/>
          </w:p>
        </w:tc>
        <w:tc>
          <w:tcPr>
            <w:tcW w:w="174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总价</w:t>
            </w:r>
            <w:r/>
          </w:p>
          <w:p>
            <w:pPr>
              <w:jc w:val="center"/>
              <w:rPr>
                <w:rFonts w:ascii="宋体" w:hAnsi="宋体" w:cs="宋体"/>
                <w:bCs/>
                <w:sz w:val="24"/>
                <w:szCs w:val="24"/>
                <w:highlight w:val="none"/>
              </w:rPr>
            </w:pPr>
            <w:r>
              <w:rPr>
                <w:rFonts w:hint="eastAsia" w:ascii="宋体" w:hAnsi="宋体" w:cs="宋体"/>
                <w:bCs/>
                <w:sz w:val="24"/>
                <w:szCs w:val="24"/>
                <w:highlight w:val="none"/>
              </w:rPr>
              <w:t xml:space="preserve">（元/年）</w:t>
            </w:r>
            <w:r/>
          </w:p>
        </w:tc>
        <w:tc>
          <w:tcPr>
            <w:tcW w:w="1128"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备注</w:t>
            </w:r>
            <w:r/>
          </w:p>
        </w:tc>
      </w:tr>
      <w:tr>
        <w:trPr>
          <w:trHeight w:val="427"/>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1</w:t>
            </w:r>
            <w:r/>
          </w:p>
        </w:tc>
        <w:tc>
          <w:tcPr>
            <w:tcW w:w="2322" w:type="dxa"/>
            <w:vAlign w:val="center"/>
            <w:textDirection w:val="lrTb"/>
            <w:noWrap w:val="false"/>
          </w:tcPr>
          <w:p>
            <w:pPr>
              <w:jc w:val="left"/>
              <w:rPr>
                <w:rFonts w:ascii="宋体" w:hAnsi="宋体" w:cs="宋体"/>
                <w:bCs/>
                <w:sz w:val="24"/>
                <w:szCs w:val="24"/>
                <w:highlight w:val="none"/>
              </w:rPr>
            </w:pPr>
            <w:r>
              <w:rPr>
                <w:rFonts w:ascii="宋体" w:hAnsi="宋体" w:cs="宋体"/>
                <w:bCs/>
                <w:sz w:val="24"/>
                <w:szCs w:val="24"/>
                <w:highlight w:val="none"/>
              </w:rPr>
            </w:r>
            <w:r/>
          </w:p>
        </w:tc>
        <w:tc>
          <w:tcPr>
            <w:tcW w:w="976"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247"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38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74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12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448"/>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2</w:t>
            </w:r>
            <w:r/>
          </w:p>
        </w:tc>
        <w:tc>
          <w:tcPr>
            <w:tcW w:w="2322" w:type="dxa"/>
            <w:vAlign w:val="center"/>
            <w:textDirection w:val="lrTb"/>
            <w:noWrap w:val="false"/>
          </w:tcPr>
          <w:p>
            <w:pPr>
              <w:jc w:val="left"/>
              <w:rPr>
                <w:rFonts w:ascii="宋体" w:hAnsi="宋体" w:cs="宋体"/>
                <w:bCs/>
                <w:sz w:val="24"/>
                <w:szCs w:val="24"/>
                <w:highlight w:val="none"/>
              </w:rPr>
            </w:pPr>
            <w:r>
              <w:rPr>
                <w:rFonts w:ascii="宋体" w:hAnsi="宋体" w:cs="宋体"/>
                <w:bCs/>
                <w:sz w:val="24"/>
                <w:szCs w:val="24"/>
                <w:highlight w:val="none"/>
              </w:rPr>
            </w:r>
            <w:r/>
          </w:p>
        </w:tc>
        <w:tc>
          <w:tcPr>
            <w:tcW w:w="976"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247"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38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74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12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493"/>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3</w:t>
            </w:r>
            <w:r/>
          </w:p>
        </w:tc>
        <w:tc>
          <w:tcPr>
            <w:tcW w:w="2322" w:type="dxa"/>
            <w:vAlign w:val="center"/>
            <w:textDirection w:val="lrTb"/>
            <w:noWrap w:val="false"/>
          </w:tcPr>
          <w:p>
            <w:pPr>
              <w:jc w:val="left"/>
              <w:rPr>
                <w:rFonts w:ascii="宋体" w:hAnsi="宋体" w:cs="宋体"/>
                <w:bCs/>
                <w:sz w:val="24"/>
                <w:szCs w:val="24"/>
                <w:highlight w:val="none"/>
              </w:rPr>
            </w:pPr>
            <w:r>
              <w:rPr>
                <w:rFonts w:ascii="宋体" w:hAnsi="宋体" w:cs="宋体"/>
                <w:bCs/>
                <w:sz w:val="24"/>
                <w:szCs w:val="24"/>
                <w:highlight w:val="none"/>
              </w:rPr>
            </w:r>
            <w:r/>
          </w:p>
        </w:tc>
        <w:tc>
          <w:tcPr>
            <w:tcW w:w="976"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247"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38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74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12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588"/>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4</w:t>
            </w:r>
            <w:r/>
          </w:p>
        </w:tc>
        <w:tc>
          <w:tcPr>
            <w:tcW w:w="2322" w:type="dxa"/>
            <w:vAlign w:val="center"/>
            <w:textDirection w:val="lrTb"/>
            <w:noWrap w:val="false"/>
          </w:tcPr>
          <w:p>
            <w:pPr>
              <w:jc w:val="left"/>
              <w:rPr>
                <w:rFonts w:ascii="宋体" w:hAnsi="宋体" w:cs="宋体"/>
                <w:bCs/>
                <w:sz w:val="24"/>
                <w:szCs w:val="24"/>
                <w:highlight w:val="none"/>
              </w:rPr>
            </w:pPr>
            <w:r>
              <w:rPr>
                <w:rFonts w:ascii="宋体" w:hAnsi="宋体" w:cs="宋体"/>
                <w:bCs/>
                <w:sz w:val="24"/>
                <w:szCs w:val="24"/>
                <w:highlight w:val="none"/>
              </w:rPr>
            </w:r>
            <w:r/>
          </w:p>
        </w:tc>
        <w:tc>
          <w:tcPr>
            <w:tcW w:w="976"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247"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38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74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12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583"/>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5</w:t>
            </w:r>
            <w:r/>
          </w:p>
        </w:tc>
        <w:tc>
          <w:tcPr>
            <w:tcW w:w="2322" w:type="dxa"/>
            <w:vAlign w:val="center"/>
            <w:textDirection w:val="lrTb"/>
            <w:noWrap w:val="false"/>
          </w:tcPr>
          <w:p>
            <w:pPr>
              <w:jc w:val="left"/>
              <w:rPr>
                <w:rFonts w:ascii="宋体" w:hAnsi="宋体" w:cs="宋体"/>
                <w:bCs/>
                <w:sz w:val="24"/>
                <w:szCs w:val="24"/>
                <w:highlight w:val="none"/>
              </w:rPr>
            </w:pPr>
            <w:r>
              <w:rPr>
                <w:rFonts w:ascii="宋体" w:hAnsi="宋体" w:cs="宋体"/>
                <w:bCs/>
                <w:sz w:val="24"/>
                <w:szCs w:val="24"/>
                <w:highlight w:val="none"/>
              </w:rPr>
            </w:r>
            <w:r/>
          </w:p>
        </w:tc>
        <w:tc>
          <w:tcPr>
            <w:tcW w:w="976"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247"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38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74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12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544"/>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6</w:t>
            </w:r>
            <w:r/>
          </w:p>
        </w:tc>
        <w:tc>
          <w:tcPr>
            <w:tcW w:w="2322" w:type="dxa"/>
            <w:vAlign w:val="center"/>
            <w:textDirection w:val="lrTb"/>
            <w:noWrap w:val="false"/>
          </w:tcPr>
          <w:p>
            <w:pPr>
              <w:jc w:val="left"/>
              <w:rPr>
                <w:rFonts w:ascii="宋体" w:hAnsi="宋体" w:cs="宋体"/>
                <w:bCs/>
                <w:sz w:val="24"/>
                <w:szCs w:val="24"/>
                <w:highlight w:val="none"/>
              </w:rPr>
            </w:pPr>
            <w:r>
              <w:rPr>
                <w:rFonts w:ascii="宋体" w:hAnsi="宋体" w:cs="宋体"/>
                <w:bCs/>
                <w:sz w:val="24"/>
                <w:szCs w:val="24"/>
                <w:highlight w:val="none"/>
              </w:rPr>
            </w:r>
            <w:r/>
          </w:p>
        </w:tc>
        <w:tc>
          <w:tcPr>
            <w:tcW w:w="976"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247"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38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74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12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548"/>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7</w:t>
            </w:r>
            <w:r/>
          </w:p>
        </w:tc>
        <w:tc>
          <w:tcPr>
            <w:tcW w:w="2322" w:type="dxa"/>
            <w:vAlign w:val="center"/>
            <w:textDirection w:val="lrTb"/>
            <w:noWrap w:val="false"/>
          </w:tcPr>
          <w:p>
            <w:pPr>
              <w:jc w:val="left"/>
              <w:rPr>
                <w:rFonts w:ascii="宋体" w:hAnsi="宋体" w:cs="宋体"/>
                <w:bCs/>
                <w:sz w:val="24"/>
                <w:szCs w:val="24"/>
                <w:highlight w:val="none"/>
              </w:rPr>
            </w:pPr>
            <w:r>
              <w:rPr>
                <w:rFonts w:ascii="宋体" w:hAnsi="宋体" w:cs="宋体"/>
                <w:bCs/>
                <w:sz w:val="24"/>
                <w:szCs w:val="24"/>
                <w:highlight w:val="none"/>
              </w:rPr>
            </w:r>
            <w:r/>
          </w:p>
        </w:tc>
        <w:tc>
          <w:tcPr>
            <w:tcW w:w="976"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247"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38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74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12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519"/>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 …</w:t>
            </w:r>
            <w:r/>
          </w:p>
        </w:tc>
        <w:tc>
          <w:tcPr>
            <w:tcW w:w="2322" w:type="dxa"/>
            <w:vAlign w:val="center"/>
            <w:textDirection w:val="lrTb"/>
            <w:noWrap w:val="false"/>
          </w:tcPr>
          <w:p>
            <w:pPr>
              <w:jc w:val="left"/>
              <w:rPr>
                <w:rFonts w:ascii="宋体" w:hAnsi="宋体" w:cs="宋体"/>
                <w:bCs/>
                <w:sz w:val="24"/>
                <w:szCs w:val="24"/>
                <w:highlight w:val="none"/>
              </w:rPr>
            </w:pPr>
            <w:r>
              <w:rPr>
                <w:rFonts w:ascii="宋体" w:hAnsi="宋体" w:cs="宋体"/>
                <w:bCs/>
                <w:sz w:val="24"/>
                <w:szCs w:val="24"/>
                <w:highlight w:val="none"/>
              </w:rPr>
            </w:r>
            <w:r/>
          </w:p>
        </w:tc>
        <w:tc>
          <w:tcPr>
            <w:tcW w:w="976"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247"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38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74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128"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511"/>
        </w:trPr>
        <w:tc>
          <w:tcPr>
            <w:tcW w:w="1145"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合计：</w:t>
            </w:r>
            <w:r/>
          </w:p>
        </w:tc>
        <w:tc>
          <w:tcPr>
            <w:tcW w:w="232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976"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247"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38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742" w:type="dxa"/>
            <w:vAlign w:val="center"/>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c>
          <w:tcPr>
            <w:tcW w:w="1128" w:type="dxa"/>
            <w:textDirection w:val="lrTb"/>
            <w:noWrap w:val="false"/>
          </w:tcPr>
          <w:p>
            <w:pPr>
              <w:jc w:val="center"/>
              <w:rPr>
                <w:rFonts w:ascii="宋体" w:hAnsi="宋体" w:cs="宋体"/>
                <w:bCs/>
                <w:sz w:val="24"/>
                <w:szCs w:val="24"/>
                <w:highlight w:val="none"/>
              </w:rPr>
            </w:pPr>
            <w:r>
              <w:rPr>
                <w:rFonts w:ascii="宋体" w:hAnsi="宋体" w:cs="宋体"/>
                <w:bCs/>
                <w:sz w:val="24"/>
                <w:szCs w:val="24"/>
                <w:highlight w:val="none"/>
              </w:rPr>
            </w:r>
            <w:r/>
          </w:p>
        </w:tc>
      </w:tr>
    </w:tbl>
    <w:p>
      <w:pPr>
        <w:spacing w:line="360" w:lineRule="auto"/>
        <w:rPr>
          <w:rFonts w:ascii="宋体" w:hAnsi="宋体" w:cs="宋体"/>
          <w:sz w:val="24"/>
          <w:szCs w:val="24"/>
          <w:highlight w:val="none"/>
        </w:rPr>
      </w:pPr>
      <w:r>
        <w:rPr>
          <w:rFonts w:hint="eastAsia" w:ascii="宋体" w:hAnsi="宋体" w:cs="宋体"/>
          <w:bCs/>
          <w:sz w:val="24"/>
          <w:highlight w:val="none"/>
        </w:rPr>
        <w:t xml:space="preserve">注：（1）</w:t>
      </w:r>
      <w:r>
        <w:rPr>
          <w:rFonts w:hint="eastAsia" w:ascii="宋体" w:hAnsi="宋体" w:cs="宋体"/>
          <w:sz w:val="24"/>
          <w:szCs w:val="24"/>
          <w:highlight w:val="none"/>
        </w:rPr>
        <w:t xml:space="preserve">供应商应当根据“采购需求（或项目要求和有关说明）”的内容在上表中自行填写，表格不够可自行延长。</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（2）上述报价表由报价单位参照，不限于此，可根据采购需求自行添加条目进行投报。上述表格如有不尽之处，投标人可自行添加相应内容并填写完善。</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（3）供应商报价时应充分考虑服务期内所有可能影响报价的因素，一旦报价结束最终中标（成交），总价包定，不予调整。如发生漏、缺、少项，都将被认为是中标（成交）供应商的报价让利行为，损失自负。</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（4）“报价明细表”中“合计”金额应当与“开标一览表”中“投标总报价”金额一致。</w:t>
      </w:r>
      <w:r/>
    </w:p>
    <w:p>
      <w:pPr>
        <w:spacing w:line="480" w:lineRule="auto"/>
        <w:rPr>
          <w:rFonts w:ascii="宋体" w:hAnsi="宋体" w:cs="宋体"/>
          <w:bCs/>
          <w:sz w:val="24"/>
          <w:highlight w:val="none"/>
        </w:rPr>
      </w:pPr>
      <w:r>
        <w:rPr>
          <w:rFonts w:ascii="宋体" w:hAnsi="宋体" w:cs="宋体"/>
          <w:bCs/>
          <w:sz w:val="24"/>
          <w:highlight w:val="none"/>
        </w:rPr>
      </w:r>
      <w:r/>
    </w:p>
    <w:p>
      <w:pPr>
        <w:spacing w:line="480" w:lineRule="auto"/>
        <w:rPr>
          <w:rFonts w:ascii="宋体" w:hAnsi="宋体" w:cs="宋体"/>
          <w:bCs/>
          <w:sz w:val="24"/>
          <w:highlight w:val="none"/>
        </w:rPr>
      </w:pPr>
      <w:r>
        <w:rPr>
          <w:rFonts w:hint="eastAsia" w:ascii="宋体" w:hAnsi="宋体" w:cs="宋体"/>
          <w:bCs/>
          <w:sz w:val="24"/>
          <w:highlight w:val="none"/>
        </w:rPr>
        <w:t xml:space="preserve">供应商（盖章）：</w:t>
      </w:r>
      <w:r/>
    </w:p>
    <w:p>
      <w:pPr>
        <w:spacing w:line="480" w:lineRule="auto"/>
        <w:rPr>
          <w:rFonts w:ascii="宋体" w:hAnsi="宋体" w:cs="宋体"/>
          <w:sz w:val="24"/>
          <w:szCs w:val="24"/>
          <w:highlight w:val="none"/>
        </w:rPr>
      </w:pPr>
      <w:r>
        <w:rPr>
          <w:rFonts w:hint="eastAsia" w:ascii="宋体" w:hAnsi="宋体" w:cs="宋体"/>
          <w:bCs/>
          <w:sz w:val="24"/>
          <w:highlight w:val="none"/>
        </w:rPr>
        <w:t xml:space="preserve">法定代表人或授权代表签字或盖章：</w:t>
      </w:r>
      <w:r/>
    </w:p>
    <w:p>
      <w:pPr>
        <w:jc w:val="left"/>
        <w:spacing w:line="480" w:lineRule="auto"/>
        <w:rPr>
          <w:rFonts w:ascii="宋体" w:hAnsi="宋体" w:cs="宋体"/>
          <w:sz w:val="24"/>
          <w:szCs w:val="24"/>
          <w:highlight w:val="none"/>
        </w:rPr>
      </w:pPr>
      <w:r>
        <w:rPr>
          <w:rFonts w:hint="eastAsia" w:ascii="宋体" w:hAnsi="宋体" w:cs="宋体"/>
          <w:bCs/>
          <w:sz w:val="24"/>
          <w:highlight w:val="none"/>
        </w:rPr>
        <w:t xml:space="preserve">日期：</w:t>
      </w: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（九）投标偏离表（格式）：</w:t>
      </w:r>
      <w:r/>
    </w:p>
    <w:p>
      <w:pPr>
        <w:ind w:firstLine="490"/>
        <w:jc w:val="center"/>
        <w:rPr>
          <w:rFonts w:ascii="宋体" w:hAnsi="宋体" w:cs="宋体"/>
          <w:bCs/>
          <w:sz w:val="28"/>
          <w:szCs w:val="28"/>
          <w:highlight w:val="none"/>
        </w:rPr>
      </w:pPr>
      <w:r>
        <w:rPr>
          <w:rFonts w:hint="eastAsia" w:ascii="宋体" w:hAnsi="宋体" w:cs="宋体"/>
          <w:bCs/>
          <w:sz w:val="28"/>
          <w:szCs w:val="28"/>
          <w:highlight w:val="none"/>
        </w:rPr>
        <w:t xml:space="preserve">投标偏离表</w:t>
      </w:r>
      <w:r/>
    </w:p>
    <w:p>
      <w:pPr>
        <w:jc w:val="center"/>
        <w:spacing w:line="400" w:lineRule="exact"/>
        <w:rPr>
          <w:rFonts w:ascii="宋体" w:hAnsi="宋体" w:cs="宋体"/>
          <w:bCs/>
          <w:sz w:val="28"/>
          <w:szCs w:val="28"/>
          <w:highlight w:val="none"/>
        </w:rPr>
      </w:pPr>
      <w:r>
        <w:rPr>
          <w:rFonts w:ascii="宋体" w:hAnsi="宋体" w:cs="宋体"/>
          <w:bCs/>
          <w:sz w:val="28"/>
          <w:szCs w:val="28"/>
          <w:highlight w:val="none"/>
        </w:rPr>
      </w:r>
      <w:r/>
    </w:p>
    <w:p>
      <w:pPr>
        <w:spacing w:line="40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投标人名称（盖章）         采购项目编号：</w:t>
      </w:r>
      <w:r>
        <w:rPr>
          <w:rFonts w:hint="eastAsia" w:ascii="宋体" w:hAnsi="宋体" w:cs="宋体"/>
          <w:bCs/>
          <w:sz w:val="24"/>
          <w:szCs w:val="24"/>
          <w:highlight w:val="none"/>
          <w:lang w:eastAsia="zh-CN"/>
        </w:rPr>
        <w:t xml:space="preserve">JSZC-320200-AWXT-G2026-0006</w:t>
      </w:r>
      <w:r/>
    </w:p>
    <w:tbl>
      <w:tblPr>
        <w:tblStyle w:val="763"/>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
                <w:bCs/>
                <w:sz w:val="24"/>
                <w:szCs w:val="24"/>
                <w:highlight w:val="none"/>
              </w:rPr>
            </w:pPr>
            <w:r>
              <w:rPr>
                <w:rFonts w:hint="eastAsia" w:ascii="宋体" w:hAnsi="宋体" w:cs="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hAnsi="宋体" w:cs="宋体"/>
                <w:bCs/>
                <w:highlight w:val="none"/>
              </w:rPr>
            </w:pPr>
            <w:r>
              <w:rPr>
                <w:rFonts w:ascii="宋体" w:hAnsi="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hAnsi="宋体" w:cs="宋体"/>
                <w:bCs/>
                <w:highlight w:val="none"/>
              </w:rPr>
            </w:pPr>
            <w:r>
              <w:rPr>
                <w:rFonts w:ascii="宋体" w:hAnsi="宋体" w:cs="宋体"/>
                <w:bCs/>
                <w:highlight w:val="none"/>
              </w:rPr>
            </w:r>
            <w:r/>
          </w:p>
        </w:tc>
      </w:tr>
    </w:tbl>
    <w:p>
      <w:pPr>
        <w:rPr>
          <w:rFonts w:ascii="宋体" w:hAnsi="宋体" w:cs="宋体"/>
          <w:b/>
          <w:sz w:val="24"/>
          <w:szCs w:val="24"/>
          <w:highlight w:val="none"/>
        </w:rPr>
      </w:pPr>
      <w:r>
        <w:rPr>
          <w:rFonts w:ascii="宋体" w:hAnsi="宋体" w:cs="宋体"/>
          <w:b/>
          <w:sz w:val="24"/>
          <w:szCs w:val="24"/>
          <w:highlight w:val="none"/>
        </w:rPr>
      </w:r>
      <w:r/>
    </w:p>
    <w:p>
      <w:pPr>
        <w:rPr>
          <w:rFonts w:ascii="宋体" w:hAnsi="宋体" w:cs="宋体"/>
          <w:b/>
          <w:bCs/>
          <w:sz w:val="24"/>
          <w:szCs w:val="24"/>
          <w:highlight w:val="none"/>
        </w:rPr>
      </w:pPr>
      <w:r>
        <w:rPr>
          <w:rFonts w:hint="eastAsia" w:ascii="宋体" w:hAnsi="宋体" w:cs="宋体"/>
          <w:b/>
          <w:bCs/>
          <w:sz w:val="24"/>
          <w:szCs w:val="24"/>
          <w:highlight w:val="none"/>
        </w:rPr>
        <w:t xml:space="preserve">法定代表人或法定代表人授权代表签字或盖章：</w:t>
      </w:r>
      <w:r/>
    </w:p>
    <w:p>
      <w:pPr>
        <w:rPr>
          <w:rFonts w:ascii="宋体" w:hAnsi="宋体" w:cs="宋体"/>
          <w:bCs/>
          <w:sz w:val="30"/>
          <w:highlight w:val="none"/>
        </w:rPr>
      </w:pPr>
      <w:r>
        <w:rPr>
          <w:rFonts w:ascii="宋体" w:hAnsi="宋体" w:cs="宋体"/>
          <w:bCs/>
          <w:sz w:val="30"/>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注：（1）本表不得删除；</w:t>
      </w:r>
      <w:r/>
    </w:p>
    <w:p>
      <w:pPr>
        <w:rPr>
          <w:rFonts w:ascii="宋体" w:hAnsi="宋体" w:cs="宋体"/>
          <w:bCs/>
          <w:sz w:val="24"/>
          <w:szCs w:val="24"/>
          <w:highlight w:val="none"/>
        </w:rPr>
      </w:pPr>
      <w:r>
        <w:rPr>
          <w:rFonts w:hint="eastAsia" w:ascii="宋体" w:hAnsi="宋体" w:cs="宋体"/>
          <w:bCs/>
          <w:sz w:val="24"/>
          <w:szCs w:val="24"/>
          <w:highlight w:val="none"/>
        </w:rPr>
        <w:t xml:space="preserve">（2）如无任何服务偏离，请于本表“偏离说明”中注明“无偏离”；</w:t>
      </w:r>
      <w:r/>
    </w:p>
    <w:p>
      <w:pPr>
        <w:rPr>
          <w:rFonts w:ascii="宋体" w:hAnsi="宋体" w:cs="宋体"/>
          <w:bCs/>
          <w:sz w:val="24"/>
          <w:szCs w:val="24"/>
          <w:highlight w:val="none"/>
        </w:rPr>
      </w:pPr>
      <w:r>
        <w:rPr>
          <w:rFonts w:hint="eastAsia" w:ascii="宋体" w:hAnsi="宋体" w:cs="宋体"/>
          <w:bCs/>
          <w:sz w:val="24"/>
          <w:szCs w:val="24"/>
          <w:highlight w:val="none"/>
        </w:rPr>
        <w:t xml:space="preserve">   （3）如有服务偏离项，请于本表中列明偏离内容，如需要可自行延长，其余无偏离内容无需赘述。</w:t>
      </w:r>
      <w:r/>
    </w:p>
    <w:p>
      <w:pPr>
        <w:ind w:firstLine="420"/>
        <w:rPr>
          <w:rFonts w:ascii="宋体" w:hAnsi="宋体" w:cs="宋体"/>
          <w:bCs/>
          <w:sz w:val="24"/>
          <w:szCs w:val="24"/>
          <w:highlight w:val="none"/>
        </w:rPr>
      </w:pPr>
      <w:r>
        <w:rPr>
          <w:rFonts w:ascii="宋体" w:hAnsi="宋体" w:cs="宋体"/>
          <w:bCs/>
          <w:sz w:val="24"/>
          <w:szCs w:val="24"/>
          <w:highlight w:val="none"/>
        </w:rPr>
      </w:r>
      <w:r/>
    </w:p>
    <w:p>
      <w:pPr>
        <w:ind w:firstLine="420"/>
        <w:rPr>
          <w:rFonts w:ascii="宋体" w:hAnsi="宋体" w:cs="宋体"/>
          <w:bCs/>
          <w:sz w:val="24"/>
          <w:szCs w:val="24"/>
          <w:highlight w:val="none"/>
        </w:rPr>
      </w:pPr>
      <w:r>
        <w:rPr>
          <w:rFonts w:ascii="宋体" w:hAnsi="宋体" w:cs="宋体"/>
          <w:bCs/>
          <w:sz w:val="24"/>
          <w:szCs w:val="24"/>
          <w:highlight w:val="none"/>
        </w:rPr>
      </w:r>
      <w:r/>
    </w:p>
    <w:p>
      <w:pPr>
        <w:jc w:val="left"/>
        <w:rPr>
          <w:rFonts w:ascii="宋体" w:hAnsi="宋体" w:cs="宋体"/>
          <w:bCs/>
          <w:sz w:val="24"/>
          <w:szCs w:val="24"/>
          <w:highlight w:val="none"/>
        </w:rPr>
      </w:pP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（十）项目管理机构配备情况表（格式）</w:t>
      </w:r>
      <w:r/>
    </w:p>
    <w:p>
      <w:pPr>
        <w:jc w:val="center"/>
        <w:rPr>
          <w:rFonts w:ascii="宋体" w:hAnsi="宋体" w:cs="宋体"/>
          <w:bCs/>
          <w:sz w:val="24"/>
          <w:szCs w:val="24"/>
          <w:highlight w:val="none"/>
        </w:rPr>
      </w:pPr>
      <w:r>
        <w:rPr>
          <w:rFonts w:ascii="宋体" w:hAnsi="宋体" w:cs="宋体"/>
          <w:bCs/>
          <w:sz w:val="24"/>
          <w:szCs w:val="24"/>
          <w:highlight w:val="none"/>
        </w:rPr>
      </w:r>
      <w:r/>
    </w:p>
    <w:p>
      <w:pPr>
        <w:jc w:val="center"/>
        <w:rPr>
          <w:rFonts w:ascii="宋体" w:hAnsi="宋体" w:cs="宋体"/>
          <w:bCs/>
          <w:sz w:val="24"/>
          <w:szCs w:val="24"/>
          <w:highlight w:val="none"/>
        </w:rPr>
      </w:pPr>
      <w:r>
        <w:rPr>
          <w:rFonts w:hint="eastAsia" w:ascii="宋体" w:hAnsi="宋体" w:cs="宋体"/>
          <w:bCs/>
          <w:sz w:val="24"/>
          <w:szCs w:val="24"/>
          <w:highlight w:val="none"/>
        </w:rPr>
        <w:t xml:space="preserve">项目管理机构配备情况表</w:t>
      </w:r>
      <w:r/>
    </w:p>
    <w:p>
      <w:pPr>
        <w:pStyle w:val="940"/>
        <w:ind w:firstLine="210"/>
        <w:rPr>
          <w:rFonts w:ascii="宋体" w:hAnsi="宋体" w:eastAsia="宋体" w:cs="宋体"/>
          <w:highlight w:val="none"/>
        </w:rPr>
      </w:pPr>
      <w:r>
        <w:rPr>
          <w:rFonts w:ascii="宋体" w:hAnsi="宋体" w:eastAsia="宋体" w:cs="宋体"/>
          <w:highlight w:val="none"/>
        </w:rPr>
      </w:r>
      <w:r/>
    </w:p>
    <w:p>
      <w:pPr>
        <w:spacing w:line="360" w:lineRule="auto"/>
        <w:rPr>
          <w:rFonts w:ascii="宋体" w:hAnsi="宋体" w:cs="宋体"/>
          <w:bCs/>
          <w:szCs w:val="21"/>
          <w:highlight w:val="none"/>
        </w:rPr>
      </w:pPr>
      <w:r>
        <w:rPr>
          <w:rFonts w:hint="eastAsia" w:ascii="宋体" w:hAnsi="宋体" w:cs="宋体"/>
          <w:bCs/>
          <w:sz w:val="24"/>
          <w:szCs w:val="24"/>
          <w:highlight w:val="none"/>
        </w:rPr>
        <w:t xml:space="preserve">供应商名称（盖章）                                       项目编号： </w:t>
      </w:r>
      <w:r/>
    </w:p>
    <w:tbl>
      <w:tblPr>
        <w:tblStyle w:val="763"/>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spacing w:val="20"/>
                <w:sz w:val="24"/>
                <w:highlight w:val="none"/>
              </w:rPr>
            </w:pPr>
            <w:r>
              <w:rPr>
                <w:rFonts w:hint="eastAsia" w:ascii="宋体" w:hAnsi="宋体" w:cs="宋体"/>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spacing w:val="20"/>
                <w:sz w:val="24"/>
                <w:highlight w:val="none"/>
              </w:rPr>
            </w:pPr>
            <w:r>
              <w:rPr>
                <w:rFonts w:hint="eastAsia" w:ascii="宋体" w:hAnsi="宋体" w:cs="宋体"/>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spacing w:val="20"/>
                <w:sz w:val="24"/>
                <w:highlight w:val="none"/>
              </w:rPr>
            </w:pPr>
            <w:r>
              <w:rPr>
                <w:rFonts w:hint="eastAsia" w:ascii="宋体" w:hAnsi="宋体" w:cs="宋体"/>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spacing w:val="20"/>
                <w:sz w:val="24"/>
                <w:highlight w:val="none"/>
              </w:rPr>
            </w:pPr>
            <w:r>
              <w:rPr>
                <w:rFonts w:hint="eastAsia" w:ascii="宋体" w:hAnsi="宋体" w:cs="宋体"/>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spacing w:val="20"/>
                <w:sz w:val="24"/>
                <w:highlight w:val="none"/>
              </w:rPr>
            </w:pPr>
            <w:r>
              <w:rPr>
                <w:rFonts w:hint="eastAsia" w:ascii="宋体" w:hAnsi="宋体" w:cs="宋体"/>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spacing w:val="20"/>
                <w:sz w:val="24"/>
                <w:highlight w:val="none"/>
              </w:rPr>
            </w:pPr>
            <w:r>
              <w:rPr>
                <w:rFonts w:hint="eastAsia" w:ascii="宋体" w:hAnsi="宋体" w:cs="宋体"/>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spacing w:val="20"/>
                <w:sz w:val="24"/>
                <w:highlight w:val="none"/>
              </w:rPr>
            </w:pPr>
            <w:r>
              <w:rPr>
                <w:rFonts w:hint="eastAsia" w:ascii="宋体" w:hAnsi="宋体" w:cs="宋体"/>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spacing w:val="20"/>
                <w:sz w:val="24"/>
                <w:highlight w:val="none"/>
              </w:rPr>
            </w:pPr>
            <w:r>
              <w:rPr>
                <w:rFonts w:hint="eastAsia" w:ascii="宋体" w:hAnsi="宋体" w:cs="宋体"/>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spacing w:val="20"/>
                <w:sz w:val="24"/>
                <w:highlight w:val="none"/>
              </w:rPr>
            </w:pPr>
            <w:r>
              <w:rPr>
                <w:rFonts w:hint="eastAsia" w:ascii="宋体" w:hAnsi="宋体" w:cs="宋体"/>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7</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8</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9</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 …</w:t>
            </w:r>
            <w:r/>
          </w:p>
        </w:tc>
        <w:tc>
          <w:tcPr>
            <w:tcW w:w="104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30"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709"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47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236"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1857"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c>
          <w:tcPr>
            <w:tcW w:w="932" w:type="dxa"/>
            <w:vAlign w:val="center"/>
            <w:textDirection w:val="lrTb"/>
            <w:noWrap/>
          </w:tcPr>
          <w:p>
            <w:pPr>
              <w:jc w:val="center"/>
              <w:spacing w:line="360" w:lineRule="auto"/>
              <w:rPr>
                <w:rFonts w:ascii="宋体" w:hAnsi="宋体" w:cs="宋体"/>
                <w:sz w:val="24"/>
                <w:szCs w:val="24"/>
                <w:highlight w:val="none"/>
              </w:rPr>
            </w:pPr>
            <w:r>
              <w:rPr>
                <w:rFonts w:ascii="宋体" w:hAnsi="宋体" w:cs="宋体"/>
                <w:sz w:val="24"/>
                <w:szCs w:val="24"/>
                <w:highlight w:val="none"/>
              </w:rPr>
            </w:r>
            <w:r/>
          </w:p>
        </w:tc>
      </w:tr>
    </w:tbl>
    <w:p>
      <w:pPr>
        <w:spacing w:line="480" w:lineRule="auto"/>
        <w:rPr>
          <w:rFonts w:ascii="宋体" w:hAnsi="宋体" w:cs="宋体"/>
          <w:bCs/>
          <w:sz w:val="24"/>
          <w:highlight w:val="none"/>
        </w:rPr>
      </w:pPr>
      <w:r>
        <w:rPr>
          <w:rFonts w:ascii="宋体" w:hAnsi="宋体" w:cs="宋体"/>
          <w:bCs/>
          <w:sz w:val="24"/>
          <w:highlight w:val="none"/>
        </w:rPr>
      </w:r>
      <w:r/>
    </w:p>
    <w:p>
      <w:pPr>
        <w:spacing w:line="480" w:lineRule="auto"/>
        <w:rPr>
          <w:rFonts w:ascii="宋体" w:hAnsi="宋体" w:cs="宋体"/>
          <w:bCs/>
          <w:sz w:val="24"/>
          <w:highlight w:val="none"/>
        </w:rPr>
      </w:pPr>
      <w:r>
        <w:rPr>
          <w:rFonts w:hint="eastAsia" w:ascii="宋体" w:hAnsi="宋体" w:cs="宋体"/>
          <w:bCs/>
          <w:sz w:val="24"/>
          <w:highlight w:val="none"/>
        </w:rPr>
        <w:t xml:space="preserve">法定代表人或法定代表人授权代表签字或盖章：</w:t>
      </w:r>
      <w:r/>
    </w:p>
    <w:p>
      <w:pPr>
        <w:spacing w:line="480" w:lineRule="auto"/>
        <w:rPr>
          <w:rFonts w:ascii="宋体" w:hAnsi="宋体" w:cs="宋体"/>
          <w:bCs/>
          <w:sz w:val="24"/>
          <w:highlight w:val="none"/>
        </w:rPr>
      </w:pPr>
      <w:r>
        <w:rPr>
          <w:rFonts w:ascii="宋体" w:hAnsi="宋体" w:cs="宋体"/>
          <w:bCs/>
          <w:sz w:val="24"/>
          <w:highlight w:val="none"/>
        </w:rPr>
      </w:r>
      <w:r/>
    </w:p>
    <w:p>
      <w:pPr>
        <w:spacing w:line="480" w:lineRule="auto"/>
        <w:rPr>
          <w:rFonts w:ascii="宋体" w:hAnsi="宋体" w:cs="宋体"/>
          <w:bCs/>
          <w:szCs w:val="21"/>
          <w:highlight w:val="none"/>
        </w:rPr>
      </w:pPr>
      <w:r>
        <w:rPr>
          <w:rFonts w:hint="eastAsia" w:ascii="宋体" w:hAnsi="宋体" w:cs="宋体"/>
          <w:bCs/>
          <w:szCs w:val="21"/>
          <w:highlight w:val="none"/>
        </w:rPr>
        <w:t xml:space="preserve">注：1、上表可自行延长。</w:t>
      </w:r>
      <w:r/>
    </w:p>
    <w:p>
      <w:pPr>
        <w:spacing w:line="480" w:lineRule="auto"/>
        <w:rPr>
          <w:rFonts w:ascii="宋体" w:hAnsi="宋体" w:cs="宋体"/>
          <w:bCs/>
          <w:szCs w:val="21"/>
          <w:highlight w:val="none"/>
        </w:rPr>
      </w:pPr>
      <w:r>
        <w:rPr>
          <w:rFonts w:hint="eastAsia" w:ascii="宋体" w:hAnsi="宋体" w:cs="宋体"/>
          <w:bCs/>
          <w:szCs w:val="21"/>
          <w:highlight w:val="none"/>
        </w:rPr>
        <w:t xml:space="preserve">2.请附相关资格证明（如有）扫描件</w:t>
      </w:r>
      <w:r/>
    </w:p>
    <w:p>
      <w:pPr>
        <w:jc w:val="left"/>
        <w:spacing w:line="460" w:lineRule="exact"/>
        <w:rPr>
          <w:rFonts w:ascii="宋体" w:hAnsi="宋体" w:cs="宋体"/>
          <w:bCs/>
          <w:sz w:val="24"/>
          <w:szCs w:val="24"/>
          <w:highlight w:val="none"/>
        </w:rPr>
      </w:pPr>
      <w:r>
        <w:rPr>
          <w:rFonts w:hint="eastAsia" w:ascii="宋体" w:hAnsi="宋体" w:cs="宋体"/>
          <w:bCs/>
          <w:szCs w:val="21"/>
          <w:highlight w:val="none"/>
        </w:rPr>
        <w:br w:type="page" w:clear="all"/>
      </w:r>
      <w:r>
        <w:rPr>
          <w:rFonts w:hint="eastAsia" w:ascii="宋体" w:hAnsi="宋体" w:cs="宋体"/>
          <w:bCs/>
          <w:sz w:val="24"/>
          <w:szCs w:val="24"/>
          <w:highlight w:val="none"/>
        </w:rPr>
        <w:t xml:space="preserve">（十一）项目负责人简历表（格式）</w:t>
      </w:r>
      <w:r/>
    </w:p>
    <w:p>
      <w:pPr>
        <w:jc w:val="center"/>
        <w:rPr>
          <w:rFonts w:ascii="宋体" w:hAnsi="宋体" w:cs="宋体"/>
          <w:bCs/>
          <w:sz w:val="28"/>
          <w:szCs w:val="28"/>
          <w:highlight w:val="none"/>
        </w:rPr>
      </w:pPr>
      <w:r>
        <w:rPr>
          <w:rFonts w:hint="eastAsia" w:ascii="宋体" w:hAnsi="宋体" w:cs="宋体"/>
          <w:bCs/>
          <w:sz w:val="28"/>
          <w:szCs w:val="28"/>
          <w:highlight w:val="none"/>
        </w:rPr>
        <w:t xml:space="preserve">项目负责人简历表</w:t>
      </w:r>
      <w:r/>
    </w:p>
    <w:p>
      <w:pPr>
        <w:pStyle w:val="1106"/>
        <w:rPr>
          <w:rFonts w:cs="宋体"/>
          <w:bCs w:val="0"/>
          <w:color w:val="auto"/>
          <w:highlight w:val="none"/>
        </w:rPr>
      </w:pPr>
      <w:r>
        <w:rPr>
          <w:rFonts w:cs="宋体"/>
          <w:bCs w:val="0"/>
          <w:color w:val="auto"/>
          <w:highlight w:val="none"/>
        </w:rPr>
      </w:r>
      <w:r/>
    </w:p>
    <w:p>
      <w:pPr>
        <w:pStyle w:val="1106"/>
        <w:jc w:val="both"/>
        <w:rPr>
          <w:rFonts w:cs="宋体"/>
          <w:bCs w:val="0"/>
          <w:color w:val="auto"/>
          <w:highlight w:val="none"/>
        </w:rPr>
      </w:pPr>
      <w:r>
        <w:rPr>
          <w:rFonts w:hint="eastAsia" w:cs="宋体"/>
          <w:bCs w:val="0"/>
          <w:color w:val="auto"/>
          <w:highlight w:val="none"/>
        </w:rPr>
        <w:t xml:space="preserve">投标供应商名称（盖章）                             采购项目编号：       </w:t>
      </w:r>
      <w:r/>
    </w:p>
    <w:tbl>
      <w:tblPr>
        <w:tblStyle w:val="76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1851" w:type="dxa"/>
            <w:vAlign w:val="center"/>
            <w:textDirection w:val="lrTb"/>
            <w:noWrap/>
          </w:tcPr>
          <w:p>
            <w:pPr>
              <w:pStyle w:val="877"/>
              <w:ind w:firstLine="0"/>
              <w:jc w:val="center"/>
              <w:rPr>
                <w:rFonts w:ascii="宋体" w:hAnsi="宋体" w:cs="宋体"/>
                <w:sz w:val="24"/>
                <w:highlight w:val="none"/>
              </w:rPr>
            </w:pPr>
            <w:r>
              <w:rPr>
                <w:rFonts w:hint="eastAsia" w:ascii="宋体" w:hAnsi="宋体" w:cs="宋体"/>
                <w:sz w:val="24"/>
                <w:highlight w:val="none"/>
              </w:rPr>
              <w:t xml:space="preserve">姓名</w:t>
            </w:r>
            <w:r/>
          </w:p>
        </w:tc>
        <w:tc>
          <w:tcPr>
            <w:tcW w:w="2394" w:type="dxa"/>
            <w:vAlign w:val="center"/>
            <w:textDirection w:val="lrTb"/>
            <w:noWrap/>
          </w:tcPr>
          <w:p>
            <w:pPr>
              <w:pStyle w:val="877"/>
              <w:ind w:firstLine="480"/>
              <w:jc w:val="center"/>
              <w:rPr>
                <w:rFonts w:ascii="宋体" w:hAnsi="宋体" w:cs="宋体"/>
                <w:sz w:val="24"/>
                <w:highlight w:val="none"/>
              </w:rPr>
            </w:pPr>
            <w:r>
              <w:rPr>
                <w:rFonts w:ascii="宋体" w:hAnsi="宋体" w:cs="宋体"/>
                <w:sz w:val="24"/>
                <w:highlight w:val="none"/>
              </w:rPr>
            </w:r>
            <w:r/>
          </w:p>
        </w:tc>
        <w:tc>
          <w:tcPr>
            <w:tcW w:w="1083" w:type="dxa"/>
            <w:vAlign w:val="center"/>
            <w:textDirection w:val="lrTb"/>
            <w:noWrap/>
          </w:tcPr>
          <w:p>
            <w:pPr>
              <w:pStyle w:val="877"/>
              <w:ind w:firstLine="0"/>
              <w:jc w:val="center"/>
              <w:rPr>
                <w:rFonts w:ascii="宋体" w:hAnsi="宋体" w:cs="宋体"/>
                <w:sz w:val="24"/>
                <w:highlight w:val="none"/>
              </w:rPr>
            </w:pPr>
            <w:r>
              <w:rPr>
                <w:rFonts w:hint="eastAsia" w:ascii="宋体" w:hAnsi="宋体" w:cs="宋体"/>
                <w:sz w:val="24"/>
                <w:highlight w:val="none"/>
              </w:rPr>
              <w:t xml:space="preserve">性别</w:t>
            </w:r>
            <w:r/>
          </w:p>
        </w:tc>
        <w:tc>
          <w:tcPr>
            <w:gridSpan w:val="2"/>
            <w:tcW w:w="3612" w:type="dxa"/>
            <w:vAlign w:val="center"/>
            <w:textDirection w:val="lrTb"/>
            <w:noWrap/>
          </w:tcPr>
          <w:p>
            <w:pPr>
              <w:pStyle w:val="877"/>
              <w:ind w:firstLine="480"/>
              <w:jc w:val="center"/>
              <w:rPr>
                <w:rFonts w:ascii="宋体" w:hAnsi="宋体" w:cs="宋体"/>
                <w:sz w:val="24"/>
                <w:highlight w:val="none"/>
              </w:rPr>
            </w:pPr>
            <w:r>
              <w:rPr>
                <w:rFonts w:ascii="宋体" w:hAnsi="宋体" w:cs="宋体"/>
                <w:sz w:val="24"/>
                <w:highlight w:val="none"/>
              </w:rPr>
            </w:r>
            <w:r/>
          </w:p>
        </w:tc>
      </w:tr>
      <w:tr>
        <w:trPr>
          <w:jc w:val="center"/>
          <w:trHeight w:val="645"/>
        </w:trPr>
        <w:tc>
          <w:tcPr>
            <w:tcW w:w="77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1851" w:type="dxa"/>
            <w:vAlign w:val="center"/>
            <w:textDirection w:val="lrTb"/>
            <w:noWrap/>
          </w:tcPr>
          <w:p>
            <w:pPr>
              <w:pStyle w:val="877"/>
              <w:ind w:firstLine="0"/>
              <w:jc w:val="center"/>
              <w:rPr>
                <w:rFonts w:ascii="宋体" w:hAnsi="宋体" w:cs="宋体"/>
                <w:sz w:val="24"/>
                <w:highlight w:val="none"/>
              </w:rPr>
            </w:pPr>
            <w:r>
              <w:rPr>
                <w:rFonts w:hint="eastAsia" w:ascii="宋体" w:hAnsi="宋体" w:cs="宋体"/>
                <w:sz w:val="24"/>
                <w:highlight w:val="none"/>
              </w:rPr>
              <w:t xml:space="preserve">身份证号码</w:t>
            </w:r>
            <w:r/>
          </w:p>
        </w:tc>
        <w:tc>
          <w:tcPr>
            <w:gridSpan w:val="2"/>
            <w:tcW w:w="3477" w:type="dxa"/>
            <w:vAlign w:val="center"/>
            <w:textDirection w:val="lrTb"/>
            <w:noWrap/>
          </w:tcPr>
          <w:p>
            <w:pPr>
              <w:pStyle w:val="877"/>
              <w:ind w:firstLine="480"/>
              <w:jc w:val="center"/>
              <w:rPr>
                <w:rFonts w:ascii="宋体" w:hAnsi="宋体" w:cs="宋体"/>
                <w:sz w:val="24"/>
                <w:highlight w:val="none"/>
              </w:rPr>
            </w:pPr>
            <w:r>
              <w:rPr>
                <w:rFonts w:ascii="宋体" w:hAnsi="宋体" w:cs="宋体"/>
                <w:sz w:val="24"/>
                <w:highlight w:val="none"/>
              </w:rPr>
            </w:r>
            <w:r/>
          </w:p>
        </w:tc>
        <w:tc>
          <w:tcPr>
            <w:tcW w:w="1254" w:type="dxa"/>
            <w:vAlign w:val="center"/>
            <w:textDirection w:val="lrTb"/>
            <w:noWrap/>
          </w:tcPr>
          <w:p>
            <w:pPr>
              <w:pStyle w:val="877"/>
              <w:ind w:firstLine="0"/>
              <w:jc w:val="center"/>
              <w:rPr>
                <w:rFonts w:ascii="宋体" w:hAnsi="宋体" w:cs="宋体"/>
                <w:sz w:val="24"/>
                <w:highlight w:val="none"/>
              </w:rPr>
            </w:pPr>
            <w:r>
              <w:rPr>
                <w:rFonts w:hint="eastAsia" w:ascii="宋体" w:hAnsi="宋体" w:cs="宋体"/>
                <w:sz w:val="24"/>
                <w:highlight w:val="none"/>
              </w:rPr>
              <w:t xml:space="preserve">出生年月</w:t>
            </w:r>
            <w:r/>
          </w:p>
        </w:tc>
        <w:tc>
          <w:tcPr>
            <w:tcW w:w="2358" w:type="dxa"/>
            <w:vAlign w:val="center"/>
            <w:textDirection w:val="lrTb"/>
            <w:noWrap/>
          </w:tcPr>
          <w:p>
            <w:pPr>
              <w:pStyle w:val="877"/>
              <w:ind w:firstLine="480"/>
              <w:jc w:val="center"/>
              <w:rPr>
                <w:rFonts w:ascii="宋体" w:hAnsi="宋体" w:cs="宋体"/>
                <w:sz w:val="24"/>
                <w:highlight w:val="none"/>
              </w:rPr>
            </w:pPr>
            <w:r>
              <w:rPr>
                <w:rFonts w:hint="eastAsia" w:ascii="宋体" w:hAnsi="宋体" w:cs="宋体"/>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gridSpan w:val="5"/>
            <w:tcW w:w="8940" w:type="dxa"/>
            <w:vAlign w:val="center"/>
            <w:textDirection w:val="lrTb"/>
            <w:noWrap/>
          </w:tcPr>
          <w:p>
            <w:pPr>
              <w:pStyle w:val="877"/>
              <w:ind w:firstLine="0"/>
              <w:rPr>
                <w:rFonts w:ascii="宋体" w:hAnsi="宋体" w:cs="宋体"/>
                <w:sz w:val="24"/>
                <w:highlight w:val="none"/>
              </w:rPr>
            </w:pPr>
            <w:r>
              <w:rPr>
                <w:rFonts w:hint="eastAsia" w:ascii="宋体" w:hAnsi="宋体" w:cs="宋体"/>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gridSpan w:val="5"/>
            <w:tcW w:w="8940" w:type="dxa"/>
            <w:textDirection w:val="lrTb"/>
            <w:noWrap/>
          </w:tcPr>
          <w:p>
            <w:pPr>
              <w:pStyle w:val="877"/>
              <w:ind w:firstLine="0"/>
              <w:jc w:val="left"/>
              <w:rPr>
                <w:rFonts w:ascii="宋体" w:hAnsi="宋体" w:cs="宋体"/>
                <w:sz w:val="24"/>
                <w:highlight w:val="none"/>
              </w:rPr>
            </w:pPr>
            <w:r>
              <w:rPr>
                <w:rFonts w:hint="eastAsia" w:ascii="宋体" w:hAnsi="宋体" w:cs="宋体"/>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5</w:t>
            </w:r>
            <w:r/>
          </w:p>
        </w:tc>
        <w:tc>
          <w:tcPr>
            <w:gridSpan w:val="5"/>
            <w:tcW w:w="8940" w:type="dxa"/>
            <w:vAlign w:val="center"/>
            <w:textDirection w:val="lrTb"/>
            <w:noWrap/>
          </w:tcPr>
          <w:p>
            <w:pPr>
              <w:pStyle w:val="877"/>
              <w:ind w:firstLine="0"/>
              <w:jc w:val="left"/>
              <w:rPr>
                <w:rFonts w:ascii="宋体" w:hAnsi="宋体" w:cs="宋体"/>
                <w:sz w:val="24"/>
                <w:highlight w:val="none"/>
              </w:rPr>
            </w:pPr>
            <w:r>
              <w:rPr>
                <w:rFonts w:hint="eastAsia" w:ascii="宋体" w:hAnsi="宋体" w:cs="宋体"/>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6</w:t>
            </w:r>
            <w:r/>
          </w:p>
        </w:tc>
        <w:tc>
          <w:tcPr>
            <w:gridSpan w:val="5"/>
            <w:tcW w:w="8940" w:type="dxa"/>
            <w:vAlign w:val="center"/>
            <w:textDirection w:val="lrTb"/>
            <w:noWrap/>
          </w:tcPr>
          <w:p>
            <w:pPr>
              <w:pStyle w:val="877"/>
              <w:ind w:firstLine="0"/>
              <w:jc w:val="left"/>
              <w:rPr>
                <w:rFonts w:ascii="宋体" w:hAnsi="宋体" w:cs="宋体"/>
                <w:sz w:val="24"/>
                <w:highlight w:val="none"/>
              </w:rPr>
            </w:pPr>
            <w:r>
              <w:rPr>
                <w:rFonts w:hint="eastAsia" w:ascii="宋体" w:hAnsi="宋体" w:cs="宋体"/>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7</w:t>
            </w:r>
            <w:r/>
          </w:p>
        </w:tc>
        <w:tc>
          <w:tcPr>
            <w:gridSpan w:val="5"/>
            <w:tcW w:w="8940" w:type="dxa"/>
            <w:textDirection w:val="lrTb"/>
            <w:noWrap/>
          </w:tcPr>
          <w:p>
            <w:pPr>
              <w:pStyle w:val="877"/>
              <w:ind w:firstLine="0"/>
              <w:jc w:val="left"/>
              <w:rPr>
                <w:rFonts w:ascii="宋体" w:hAnsi="宋体" w:cs="宋体"/>
                <w:sz w:val="24"/>
                <w:highlight w:val="none"/>
              </w:rPr>
            </w:pPr>
            <w:r>
              <w:rPr>
                <w:rFonts w:hint="eastAsia" w:ascii="宋体" w:hAnsi="宋体" w:cs="宋体"/>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8</w:t>
            </w:r>
            <w:r/>
          </w:p>
        </w:tc>
        <w:tc>
          <w:tcPr>
            <w:gridSpan w:val="5"/>
            <w:tcW w:w="8940" w:type="dxa"/>
            <w:vAlign w:val="center"/>
            <w:textDirection w:val="lrTb"/>
            <w:noWrap/>
          </w:tcPr>
          <w:p>
            <w:pPr>
              <w:pStyle w:val="877"/>
              <w:ind w:firstLine="0"/>
              <w:jc w:val="left"/>
              <w:rPr>
                <w:rFonts w:ascii="宋体" w:hAnsi="宋体" w:cs="宋体"/>
                <w:sz w:val="24"/>
                <w:highlight w:val="none"/>
              </w:rPr>
            </w:pPr>
            <w:r>
              <w:rPr>
                <w:rFonts w:hint="eastAsia" w:ascii="宋体" w:hAnsi="宋体" w:cs="宋体"/>
                <w:sz w:val="24"/>
                <w:highlight w:val="none"/>
              </w:rPr>
              <w:t xml:space="preserve">其他需要说明的情况</w:t>
            </w:r>
            <w:r/>
          </w:p>
        </w:tc>
      </w:tr>
    </w:tbl>
    <w:p>
      <w:pPr>
        <w:ind w:firstLine="3120"/>
        <w:spacing w:line="360" w:lineRule="auto"/>
        <w:rPr>
          <w:rFonts w:ascii="宋体" w:hAnsi="宋体" w:cs="宋体"/>
          <w:b/>
          <w:bCs/>
          <w:sz w:val="24"/>
          <w:highlight w:val="none"/>
        </w:rPr>
      </w:pPr>
      <w:r>
        <w:rPr>
          <w:rFonts w:ascii="宋体" w:hAnsi="宋体" w:cs="宋体"/>
          <w:b/>
          <w:bCs/>
          <w:sz w:val="24"/>
          <w:highlight w:val="none"/>
        </w:rPr>
      </w:r>
      <w:r/>
    </w:p>
    <w:p>
      <w:pPr>
        <w:ind w:firstLine="3600"/>
        <w:spacing w:line="360" w:lineRule="auto"/>
        <w:rPr>
          <w:rFonts w:ascii="宋体" w:hAnsi="宋体" w:cs="宋体"/>
          <w:bCs/>
          <w:szCs w:val="21"/>
          <w:highlight w:val="none"/>
        </w:rPr>
      </w:pPr>
      <w:r>
        <w:rPr>
          <w:rFonts w:hint="eastAsia" w:ascii="宋体" w:hAnsi="宋体" w:cs="宋体"/>
          <w:b/>
          <w:bCs/>
          <w:sz w:val="24"/>
          <w:highlight w:val="none"/>
        </w:rPr>
        <w:t xml:space="preserve">法定代表人或法定代表人授权代表签字或盖章：</w:t>
      </w:r>
      <w:r/>
    </w:p>
    <w:p>
      <w:pPr>
        <w:ind w:firstLine="240"/>
        <w:spacing w:line="360" w:lineRule="auto"/>
        <w:rPr>
          <w:rFonts w:ascii="宋体" w:hAnsi="宋体" w:cs="宋体"/>
          <w:sz w:val="24"/>
          <w:highlight w:val="none"/>
        </w:rPr>
      </w:pPr>
      <w:r>
        <w:rPr>
          <w:rFonts w:hint="eastAsia" w:ascii="宋体" w:hAnsi="宋体" w:cs="宋体"/>
          <w:bCs/>
          <w:sz w:val="24"/>
          <w:highlight w:val="none"/>
        </w:rPr>
        <w:t xml:space="preserve">注：请附身份证、相关资格证明（如有）扫描件。</w:t>
      </w:r>
      <w:r/>
    </w:p>
    <w:p>
      <w:pPr>
        <w:jc w:val="left"/>
        <w:spacing w:line="460" w:lineRule="exact"/>
        <w:rPr>
          <w:rFonts w:ascii="宋体" w:hAnsi="宋体" w:cs="宋体"/>
          <w:bCs/>
          <w:sz w:val="24"/>
          <w:highlight w:val="none"/>
        </w:rPr>
      </w:pPr>
      <w:r>
        <w:rPr>
          <w:rFonts w:hint="eastAsia" w:ascii="宋体" w:hAnsi="宋体" w:cs="宋体"/>
          <w:bCs/>
          <w:sz w:val="24"/>
          <w:szCs w:val="24"/>
          <w:highlight w:val="none"/>
        </w:rPr>
        <w:br w:type="page" w:clear="all"/>
      </w:r>
      <w:r>
        <w:rPr>
          <w:rFonts w:hint="eastAsia" w:ascii="宋体" w:hAnsi="宋体" w:cs="宋体"/>
          <w:bCs/>
          <w:sz w:val="24"/>
          <w:szCs w:val="24"/>
          <w:highlight w:val="none"/>
        </w:rPr>
        <w:t xml:space="preserve">（十二）投标人基本情况声明</w:t>
      </w:r>
      <w:r/>
    </w:p>
    <w:p>
      <w:pPr>
        <w:jc w:val="center"/>
        <w:spacing w:line="460" w:lineRule="exact"/>
        <w:rPr>
          <w:rFonts w:ascii="宋体" w:hAnsi="宋体" w:cs="宋体"/>
          <w:sz w:val="24"/>
          <w:highlight w:val="none"/>
        </w:rPr>
      </w:pPr>
      <w:r>
        <w:rPr>
          <w:rFonts w:hint="eastAsia" w:ascii="宋体" w:hAnsi="宋体" w:cs="宋体"/>
          <w:sz w:val="24"/>
          <w:highlight w:val="none"/>
        </w:rPr>
        <w:t xml:space="preserve">（内容写不完的栏目可相应扩展）</w:t>
      </w:r>
      <w:r/>
    </w:p>
    <w:p>
      <w:pPr>
        <w:pStyle w:val="877"/>
        <w:ind w:firstLine="480"/>
        <w:rPr>
          <w:rFonts w:ascii="宋体" w:hAnsi="宋体" w:cs="宋体"/>
          <w:sz w:val="24"/>
          <w:highlight w:val="none"/>
        </w:rPr>
      </w:pPr>
      <w:r>
        <w:rPr>
          <w:rFonts w:hint="eastAsia" w:ascii="宋体" w:hAnsi="宋体" w:cs="宋体"/>
          <w:sz w:val="24"/>
          <w:highlight w:val="none"/>
        </w:rPr>
        <w:t xml:space="preserve">投标人情况表1</w:t>
      </w:r>
      <w:r/>
    </w:p>
    <w:p>
      <w:pPr>
        <w:pStyle w:val="877"/>
        <w:ind w:firstLine="480"/>
        <w:rPr>
          <w:rFonts w:ascii="宋体" w:hAnsi="宋体" w:cs="宋体"/>
          <w:sz w:val="24"/>
          <w:highlight w:val="none"/>
        </w:rPr>
      </w:pPr>
      <w:r>
        <w:rPr>
          <w:rFonts w:hint="eastAsia" w:ascii="宋体" w:hAnsi="宋体" w:cs="宋体"/>
          <w:sz w:val="24"/>
          <w:highlight w:val="none"/>
        </w:rPr>
        <w:t xml:space="preserve">单位名称（盖章）</w:t>
      </w:r>
      <w:r/>
    </w:p>
    <w:tbl>
      <w:tblPr>
        <w:tblStyle w:val="7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jc w:val="center"/>
          <w:trHeight w:val="23"/>
        </w:trPr>
        <w:tc>
          <w:tcPr>
            <w:tcW w:w="25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法定代表人</w:t>
            </w:r>
            <w:r/>
          </w:p>
        </w:tc>
        <w:tc>
          <w:tcPr>
            <w:gridSpan w:val="2"/>
            <w:tcW w:w="2259"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c>
          <w:tcPr>
            <w:tcW w:w="1757"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成立日期</w:t>
            </w:r>
            <w:r/>
          </w:p>
        </w:tc>
        <w:tc>
          <w:tcPr>
            <w:tcW w:w="2601"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r>
      <w:tr>
        <w:trPr>
          <w:jc w:val="center"/>
          <w:trHeight w:val="23"/>
        </w:trPr>
        <w:tc>
          <w:tcPr>
            <w:tcW w:w="25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企业地址</w:t>
            </w:r>
            <w:r/>
          </w:p>
        </w:tc>
        <w:tc>
          <w:tcPr>
            <w:gridSpan w:val="2"/>
            <w:tcW w:w="2259"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c>
          <w:tcPr>
            <w:tcW w:w="1757"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注册资本</w:t>
            </w:r>
            <w:r/>
          </w:p>
        </w:tc>
        <w:tc>
          <w:tcPr>
            <w:tcW w:w="2601"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万元</w:t>
            </w:r>
            <w:r/>
          </w:p>
        </w:tc>
      </w:tr>
      <w:tr>
        <w:trPr>
          <w:jc w:val="center"/>
          <w:trHeight w:val="23"/>
        </w:trPr>
        <w:tc>
          <w:tcPr>
            <w:tcW w:w="25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经营范围</w:t>
            </w:r>
            <w:r/>
          </w:p>
        </w:tc>
        <w:tc>
          <w:tcPr>
            <w:gridSpan w:val="4"/>
            <w:tcW w:w="6617"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r>
      <w:tr>
        <w:trPr>
          <w:jc w:val="center"/>
          <w:trHeight w:val="23"/>
        </w:trPr>
        <w:tc>
          <w:tcPr>
            <w:tcW w:w="25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职工人数</w:t>
            </w:r>
            <w:r/>
          </w:p>
        </w:tc>
        <w:tc>
          <w:tcPr>
            <w:tcW w:w="2110"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c>
          <w:tcPr>
            <w:gridSpan w:val="3"/>
            <w:tcW w:w="4507"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其中：</w:t>
            </w:r>
            <w:r/>
          </w:p>
          <w:p>
            <w:pPr>
              <w:pStyle w:val="877"/>
              <w:ind w:left="478" w:firstLine="0"/>
              <w:spacing w:line="400" w:lineRule="exact"/>
              <w:rPr>
                <w:rFonts w:ascii="宋体" w:hAnsi="宋体" w:cs="宋体"/>
                <w:sz w:val="24"/>
                <w:highlight w:val="none"/>
              </w:rPr>
            </w:pPr>
            <w:r>
              <w:rPr>
                <w:rFonts w:hint="eastAsia" w:ascii="宋体" w:hAnsi="宋体" w:cs="宋体"/>
                <w:sz w:val="24"/>
                <w:highlight w:val="none"/>
              </w:rPr>
              <w:t xml:space="preserve">中级职称人数、</w:t>
            </w:r>
            <w:r/>
          </w:p>
          <w:p>
            <w:pPr>
              <w:pStyle w:val="877"/>
              <w:ind w:left="478" w:firstLine="0"/>
              <w:spacing w:line="400" w:lineRule="exact"/>
              <w:rPr>
                <w:rFonts w:ascii="宋体" w:hAnsi="宋体" w:cs="宋体"/>
                <w:sz w:val="24"/>
                <w:highlight w:val="none"/>
              </w:rPr>
            </w:pPr>
            <w:r>
              <w:rPr>
                <w:rFonts w:hint="eastAsia" w:ascii="宋体" w:hAnsi="宋体" w:cs="宋体"/>
                <w:sz w:val="24"/>
                <w:highlight w:val="none"/>
              </w:rPr>
              <w:t xml:space="preserve">高级职称人数</w:t>
            </w:r>
            <w:r/>
          </w:p>
        </w:tc>
      </w:tr>
      <w:tr>
        <w:trPr>
          <w:jc w:val="center"/>
          <w:trHeight w:val="23"/>
        </w:trPr>
        <w:tc>
          <w:tcPr>
            <w:tcW w:w="25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2025年12月资产总额</w:t>
            </w:r>
            <w:r/>
          </w:p>
        </w:tc>
        <w:tc>
          <w:tcPr>
            <w:tcW w:w="21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  万元</w:t>
            </w:r>
            <w:r/>
          </w:p>
        </w:tc>
        <w:tc>
          <w:tcPr>
            <w:gridSpan w:val="2"/>
            <w:tcW w:w="1906"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净资产</w:t>
            </w:r>
            <w:r/>
          </w:p>
        </w:tc>
        <w:tc>
          <w:tcPr>
            <w:tcW w:w="2601"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万元</w:t>
            </w:r>
            <w:r/>
          </w:p>
        </w:tc>
      </w:tr>
      <w:tr>
        <w:trPr>
          <w:jc w:val="center"/>
          <w:trHeight w:val="23"/>
        </w:trPr>
        <w:tc>
          <w:tcPr>
            <w:tcW w:w="25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2025年12月股东权益</w:t>
            </w:r>
            <w:r/>
          </w:p>
        </w:tc>
        <w:tc>
          <w:tcPr>
            <w:tcW w:w="21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 万元</w:t>
            </w:r>
            <w:r/>
          </w:p>
        </w:tc>
        <w:tc>
          <w:tcPr>
            <w:gridSpan w:val="2"/>
            <w:tcW w:w="1906"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2025年业务收入</w:t>
            </w:r>
            <w:r/>
          </w:p>
        </w:tc>
        <w:tc>
          <w:tcPr>
            <w:tcW w:w="2601"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万元</w:t>
            </w:r>
            <w:r/>
          </w:p>
        </w:tc>
      </w:tr>
      <w:tr>
        <w:trPr>
          <w:jc w:val="center"/>
          <w:trHeight w:val="23"/>
        </w:trPr>
        <w:tc>
          <w:tcPr>
            <w:tcW w:w="25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2025年实现利润</w:t>
            </w:r>
            <w:r/>
          </w:p>
        </w:tc>
        <w:tc>
          <w:tcPr>
            <w:tcW w:w="21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万元</w:t>
            </w:r>
            <w:r/>
          </w:p>
        </w:tc>
        <w:tc>
          <w:tcPr>
            <w:gridSpan w:val="2"/>
            <w:tcW w:w="1906"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c>
          <w:tcPr>
            <w:tcW w:w="2601"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r>
      <w:tr>
        <w:trPr>
          <w:jc w:val="center"/>
          <w:trHeight w:val="23"/>
        </w:trPr>
        <w:tc>
          <w:tcPr>
            <w:tcW w:w="25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办公面积</w:t>
            </w:r>
            <w:r/>
          </w:p>
          <w:p>
            <w:pPr>
              <w:pStyle w:val="877"/>
              <w:ind w:firstLine="0"/>
              <w:spacing w:line="400" w:lineRule="exact"/>
              <w:rPr>
                <w:rFonts w:ascii="宋体" w:hAnsi="宋体" w:cs="宋体"/>
                <w:sz w:val="24"/>
                <w:highlight w:val="none"/>
              </w:rPr>
            </w:pPr>
            <w:r>
              <w:rPr>
                <w:rFonts w:ascii="宋体" w:hAnsi="宋体" w:cs="宋体"/>
                <w:sz w:val="24"/>
                <w:highlight w:val="none"/>
              </w:rPr>
            </w:r>
            <w:r/>
          </w:p>
        </w:tc>
        <w:tc>
          <w:tcPr>
            <w:tcW w:w="2110"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平方米</w:t>
            </w:r>
            <w:r/>
          </w:p>
        </w:tc>
        <w:tc>
          <w:tcPr>
            <w:gridSpan w:val="2"/>
            <w:tcW w:w="1906"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其中：</w:t>
            </w:r>
            <w:r/>
          </w:p>
        </w:tc>
        <w:tc>
          <w:tcPr>
            <w:tcW w:w="2601"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自有面积    平方米</w:t>
            </w:r>
            <w:r/>
          </w:p>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承租面积    平方米</w:t>
            </w:r>
            <w:r/>
          </w:p>
        </w:tc>
      </w:tr>
      <w:tr>
        <w:trPr>
          <w:jc w:val="center"/>
          <w:trHeight w:val="23"/>
        </w:trPr>
        <w:tc>
          <w:tcPr>
            <w:gridSpan w:val="2"/>
            <w:tcW w:w="4620" w:type="dxa"/>
            <w:vAlign w:val="center"/>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单位简历及内设机构情况</w:t>
            </w:r>
            <w:r/>
          </w:p>
        </w:tc>
        <w:tc>
          <w:tcPr>
            <w:gridSpan w:val="3"/>
            <w:tcW w:w="4507"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r>
      <w:tr>
        <w:trPr>
          <w:jc w:val="center"/>
          <w:trHeight w:val="23"/>
        </w:trPr>
        <w:tc>
          <w:tcPr>
            <w:gridSpan w:val="2"/>
            <w:tcW w:w="4620" w:type="dxa"/>
            <w:vAlign w:val="center"/>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单位优势及特长</w:t>
            </w:r>
            <w:r/>
          </w:p>
        </w:tc>
        <w:tc>
          <w:tcPr>
            <w:gridSpan w:val="3"/>
            <w:tcW w:w="4507"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r>
      <w:tr>
        <w:trPr>
          <w:jc w:val="center"/>
          <w:trHeight w:val="23"/>
        </w:trPr>
        <w:tc>
          <w:tcPr>
            <w:gridSpan w:val="2"/>
            <w:tcW w:w="4620" w:type="dxa"/>
            <w:vAlign w:val="center"/>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近三年来完成或正在履行的重大合同情况</w:t>
            </w:r>
            <w:r/>
          </w:p>
        </w:tc>
        <w:tc>
          <w:tcPr>
            <w:gridSpan w:val="3"/>
            <w:tcW w:w="4507"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r>
      <w:tr>
        <w:trPr>
          <w:jc w:val="center"/>
          <w:trHeight w:val="23"/>
        </w:trPr>
        <w:tc>
          <w:tcPr>
            <w:gridSpan w:val="2"/>
            <w:tcW w:w="4620" w:type="dxa"/>
            <w:vAlign w:val="center"/>
            <w:textDirection w:val="lrTb"/>
            <w:noWrap/>
          </w:tcPr>
          <w:p>
            <w:pPr>
              <w:pStyle w:val="877"/>
              <w:ind w:firstLine="0"/>
              <w:spacing w:line="400" w:lineRule="exact"/>
              <w:rPr>
                <w:rFonts w:ascii="宋体" w:hAnsi="宋体" w:cs="宋体"/>
                <w:sz w:val="24"/>
                <w:highlight w:val="none"/>
              </w:rPr>
            </w:pPr>
            <w:r>
              <w:rPr>
                <w:rFonts w:hint="eastAsia" w:ascii="宋体" w:hAnsi="宋体" w:cs="宋体"/>
                <w:bCs/>
                <w:sz w:val="24"/>
                <w:highlight w:val="none"/>
              </w:rPr>
              <w:t xml:space="preserve">近三年来受行业主管部门考核评价及业主评价意见</w:t>
            </w:r>
            <w:r/>
          </w:p>
        </w:tc>
        <w:tc>
          <w:tcPr>
            <w:gridSpan w:val="3"/>
            <w:tcW w:w="4507"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r>
      <w:tr>
        <w:trPr>
          <w:jc w:val="center"/>
          <w:trHeight w:val="23"/>
        </w:trPr>
        <w:tc>
          <w:tcPr>
            <w:gridSpan w:val="2"/>
            <w:tcW w:w="4620" w:type="dxa"/>
            <w:vAlign w:val="center"/>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最近3年内有无因违纪或其他原因被投诉或起诉的情况及说明</w:t>
            </w:r>
            <w:r/>
          </w:p>
        </w:tc>
        <w:tc>
          <w:tcPr>
            <w:gridSpan w:val="3"/>
            <w:tcW w:w="4507" w:type="dxa"/>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（包括解决方式和结果）</w:t>
            </w:r>
            <w:r/>
          </w:p>
        </w:tc>
      </w:tr>
      <w:tr>
        <w:trPr>
          <w:jc w:val="center"/>
          <w:trHeight w:val="23"/>
        </w:trPr>
        <w:tc>
          <w:tcPr>
            <w:gridSpan w:val="2"/>
            <w:tcW w:w="4620" w:type="dxa"/>
            <w:vAlign w:val="center"/>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最近3年内主要负责人有无因经济犯罪被司法机关追究的情况及说明</w:t>
            </w:r>
            <w:r/>
          </w:p>
        </w:tc>
        <w:tc>
          <w:tcPr>
            <w:gridSpan w:val="3"/>
            <w:tcW w:w="4507" w:type="dxa"/>
            <w:textDirection w:val="lrTb"/>
            <w:noWrap/>
          </w:tcPr>
          <w:p>
            <w:pPr>
              <w:spacing w:line="360" w:lineRule="auto"/>
              <w:rPr>
                <w:rFonts w:ascii="宋体" w:hAnsi="宋体" w:cs="宋体"/>
                <w:sz w:val="24"/>
                <w:highlight w:val="none"/>
              </w:rPr>
            </w:pPr>
            <w:r>
              <w:rPr>
                <w:rFonts w:ascii="宋体" w:hAnsi="宋体" w:cs="宋体"/>
                <w:sz w:val="24"/>
                <w:highlight w:val="none"/>
              </w:rPr>
            </w:r>
            <w:r/>
          </w:p>
        </w:tc>
      </w:tr>
      <w:tr>
        <w:trPr>
          <w:jc w:val="center"/>
          <w:trHeight w:val="23"/>
        </w:trPr>
        <w:tc>
          <w:tcPr>
            <w:gridSpan w:val="2"/>
            <w:tcW w:w="4620" w:type="dxa"/>
            <w:vAlign w:val="center"/>
            <w:textDirection w:val="lrTb"/>
            <w:noWrap/>
          </w:tcPr>
          <w:p>
            <w:pPr>
              <w:pStyle w:val="877"/>
              <w:ind w:firstLine="0"/>
              <w:spacing w:line="400" w:lineRule="exact"/>
              <w:rPr>
                <w:rFonts w:ascii="宋体" w:hAnsi="宋体" w:cs="宋体"/>
                <w:sz w:val="24"/>
                <w:highlight w:val="none"/>
              </w:rPr>
            </w:pPr>
            <w:r>
              <w:rPr>
                <w:rFonts w:hint="eastAsia" w:ascii="宋体" w:hAnsi="宋体" w:cs="宋体"/>
                <w:sz w:val="24"/>
                <w:highlight w:val="none"/>
              </w:rPr>
              <w:t xml:space="preserve">其他需要说明的情况</w:t>
            </w:r>
            <w:r/>
          </w:p>
        </w:tc>
        <w:tc>
          <w:tcPr>
            <w:gridSpan w:val="3"/>
            <w:tcW w:w="4507" w:type="dxa"/>
            <w:textDirection w:val="lrTb"/>
            <w:noWrap/>
          </w:tcPr>
          <w:p>
            <w:pPr>
              <w:pStyle w:val="877"/>
              <w:ind w:firstLine="0"/>
              <w:spacing w:line="400" w:lineRule="exact"/>
              <w:rPr>
                <w:rFonts w:ascii="宋体" w:hAnsi="宋体" w:cs="宋体"/>
                <w:sz w:val="24"/>
                <w:highlight w:val="none"/>
              </w:rPr>
            </w:pPr>
            <w:r>
              <w:rPr>
                <w:rFonts w:ascii="宋体" w:hAnsi="宋体" w:cs="宋体"/>
                <w:sz w:val="24"/>
                <w:highlight w:val="none"/>
              </w:rPr>
            </w:r>
            <w:r/>
          </w:p>
        </w:tc>
      </w:tr>
    </w:tbl>
    <w:p>
      <w:pPr>
        <w:pStyle w:val="877"/>
        <w:ind w:firstLine="480"/>
        <w:rPr>
          <w:rFonts w:ascii="宋体" w:hAnsi="宋体" w:cs="宋体"/>
          <w:sz w:val="24"/>
          <w:highlight w:val="none"/>
        </w:rPr>
      </w:pPr>
      <w:r>
        <w:rPr>
          <w:rFonts w:ascii="宋体" w:hAnsi="宋体" w:cs="宋体"/>
          <w:sz w:val="24"/>
          <w:highlight w:val="none"/>
        </w:rPr>
      </w:r>
      <w:r/>
    </w:p>
    <w:p>
      <w:pPr>
        <w:pStyle w:val="877"/>
        <w:ind w:firstLine="480"/>
        <w:rPr>
          <w:rFonts w:ascii="宋体" w:hAnsi="宋体" w:cs="宋体"/>
          <w:sz w:val="24"/>
          <w:highlight w:val="none"/>
        </w:rPr>
      </w:pPr>
      <w:r>
        <w:rPr>
          <w:rFonts w:hint="eastAsia" w:ascii="宋体" w:hAnsi="宋体" w:cs="宋体"/>
          <w:sz w:val="24"/>
          <w:highlight w:val="none"/>
        </w:rPr>
        <w:t xml:space="preserve">注：本表可以扩展。</w:t>
      </w:r>
      <w:r/>
    </w:p>
    <w:p>
      <w:pPr>
        <w:ind w:firstLine="480"/>
        <w:spacing w:line="360" w:lineRule="auto"/>
        <w:rPr>
          <w:rFonts w:ascii="宋体" w:hAnsi="宋体" w:cs="宋体"/>
          <w:sz w:val="24"/>
          <w:szCs w:val="24"/>
          <w:highlight w:val="none"/>
        </w:rPr>
      </w:pPr>
      <w:r>
        <w:rPr>
          <w:rFonts w:hint="eastAsia" w:ascii="宋体" w:hAnsi="宋体" w:cs="宋体"/>
          <w:sz w:val="24"/>
          <w:highlight w:val="none"/>
        </w:rPr>
        <w:t xml:space="preserve">法定代表人或授权代表签字或盖章：</w:t>
      </w:r>
      <w:r/>
    </w:p>
    <w:p>
      <w:pPr>
        <w:jc w:val="center"/>
        <w:spacing w:line="480" w:lineRule="auto"/>
        <w:rPr>
          <w:rFonts w:ascii="宋体" w:hAnsi="宋体" w:cs="宋体"/>
          <w:sz w:val="24"/>
          <w:szCs w:val="24"/>
          <w:highlight w:val="none"/>
        </w:rPr>
      </w:pPr>
      <w:r>
        <w:rPr>
          <w:rFonts w:hint="eastAsia" w:ascii="宋体" w:hAnsi="宋体" w:cs="宋体"/>
          <w:bCs/>
          <w:szCs w:val="21"/>
          <w:highlight w:val="none"/>
        </w:rPr>
        <w:br w:type="page" w:clear="all"/>
      </w:r>
      <w:r>
        <w:rPr>
          <w:rFonts w:hint="eastAsia" w:ascii="宋体" w:hAnsi="宋体" w:cs="宋体"/>
          <w:bCs/>
          <w:sz w:val="24"/>
          <w:szCs w:val="24"/>
          <w:highlight w:val="none"/>
        </w:rPr>
        <w:t xml:space="preserve">（十三）关于符合本国产品标准的声明函</w:t>
      </w:r>
      <w:r/>
    </w:p>
    <w:p>
      <w:pPr>
        <w:ind w:firstLine="420"/>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1.</w:t>
      </w:r>
      <w:r>
        <w:rPr>
          <w:rFonts w:hint="eastAsia" w:ascii="宋体" w:hAnsi="宋体" w:cs="宋体"/>
          <w:color w:val="000000"/>
          <w:sz w:val="24"/>
          <w:szCs w:val="24"/>
          <w:highlight w:val="none"/>
          <w:u w:val="single"/>
          <w:shd w:val="clear" w:color="auto" w:fill="ffffff"/>
        </w:rPr>
        <w:t xml:space="preserve">（产品名称1）</w:t>
      </w:r>
      <w:r>
        <w:rPr>
          <w:rFonts w:hint="eastAsia" w:ascii="宋体" w:hAnsi="宋体" w:cs="宋体"/>
          <w:color w:val="000000"/>
          <w:sz w:val="24"/>
          <w:szCs w:val="24"/>
          <w:highlight w:val="none"/>
          <w:shd w:val="clear" w:color="auto" w:fill="ffffff"/>
          <w:vertAlign w:val="superscript"/>
        </w:rPr>
        <w:t xml:space="preserve">1</w:t>
      </w:r>
      <w:r>
        <w:rPr>
          <w:rFonts w:hint="eastAsia" w:ascii="宋体" w:hAnsi="宋体" w:cs="宋体"/>
          <w:color w:val="000000"/>
          <w:sz w:val="24"/>
          <w:szCs w:val="24"/>
          <w:highlight w:val="none"/>
          <w:shd w:val="clear" w:color="auto" w:fill="ffffff"/>
        </w:rPr>
        <w:t xml:space="preserve">，生产厂为</w:t>
      </w:r>
      <w:r>
        <w:rPr>
          <w:rFonts w:hint="eastAsia" w:ascii="宋体" w:hAnsi="宋体" w:cs="宋体"/>
          <w:color w:val="000000"/>
          <w:sz w:val="24"/>
          <w:szCs w:val="24"/>
          <w:highlight w:val="none"/>
          <w:u w:val="single"/>
          <w:shd w:val="clear" w:color="auto" w:fill="ffffff"/>
        </w:rPr>
        <w:t xml:space="preserve">（厂名）</w:t>
      </w:r>
      <w:r>
        <w:rPr>
          <w:rFonts w:hint="eastAsia" w:ascii="宋体" w:hAnsi="宋体" w:cs="宋体"/>
          <w:color w:val="000000"/>
          <w:sz w:val="24"/>
          <w:szCs w:val="24"/>
          <w:highlight w:val="none"/>
          <w:shd w:val="clear" w:color="auto" w:fill="ffffff"/>
          <w:vertAlign w:val="superscript"/>
        </w:rPr>
        <w:t xml:space="preserve">2</w:t>
      </w:r>
      <w:r>
        <w:rPr>
          <w:rFonts w:hint="eastAsia" w:ascii="宋体" w:hAnsi="宋体" w:cs="宋体"/>
          <w:color w:val="000000"/>
          <w:sz w:val="24"/>
          <w:szCs w:val="24"/>
          <w:highlight w:val="none"/>
          <w:shd w:val="clear" w:color="auto" w:fill="ffffff"/>
        </w:rPr>
        <w:t xml:space="preserve">，厂址为</w:t>
      </w:r>
      <w:r>
        <w:rPr>
          <w:rFonts w:hint="eastAsia" w:ascii="宋体" w:hAnsi="宋体" w:cs="宋体"/>
          <w:color w:val="000000"/>
          <w:sz w:val="24"/>
          <w:szCs w:val="24"/>
          <w:highlight w:val="none"/>
          <w:u w:val="single"/>
          <w:shd w:val="clear" w:color="auto" w:fill="ffffff"/>
        </w:rPr>
        <w:t xml:space="preserve">（生产厂址）</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的中国境内生产的组件成本占比≥</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vertAlign w:val="superscript"/>
        </w:rPr>
        <w:t xml:space="preserve">3</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vertAlign w:val="superscript"/>
        </w:rPr>
        <w:t xml:space="preserve">4</w:t>
      </w:r>
      <w:r>
        <w:rPr>
          <w:rFonts w:hint="eastAsia" w:ascii="宋体" w:hAnsi="宋体" w:cs="宋体"/>
          <w:color w:val="000000"/>
          <w:sz w:val="24"/>
          <w:szCs w:val="24"/>
          <w:highlight w:val="none"/>
          <w:shd w:val="clear" w:color="auto" w:fill="ffffff"/>
        </w:rPr>
        <w:t xml:space="preserve">在中国境内生产。</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vertAlign w:val="superscript"/>
        </w:rPr>
        <w:t xml:space="preserve">5</w:t>
      </w:r>
      <w:r>
        <w:rPr>
          <w:rFonts w:hint="eastAsia" w:ascii="宋体" w:hAnsi="宋体" w:cs="宋体"/>
          <w:color w:val="000000"/>
          <w:sz w:val="24"/>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2.</w:t>
      </w:r>
      <w:r>
        <w:rPr>
          <w:rFonts w:hint="eastAsia" w:ascii="宋体" w:hAnsi="宋体" w:cs="宋体"/>
          <w:color w:val="000000"/>
          <w:sz w:val="24"/>
          <w:szCs w:val="24"/>
          <w:highlight w:val="none"/>
          <w:u w:val="single"/>
          <w:shd w:val="clear" w:color="auto" w:fill="ffffff"/>
        </w:rPr>
        <w:t xml:space="preserve">（产品名称2）</w:t>
      </w:r>
      <w:r>
        <w:rPr>
          <w:rFonts w:hint="eastAsia" w:ascii="宋体" w:hAnsi="宋体" w:cs="宋体"/>
          <w:color w:val="000000"/>
          <w:sz w:val="24"/>
          <w:szCs w:val="24"/>
          <w:highlight w:val="none"/>
          <w:shd w:val="clear" w:color="auto" w:fill="ffffff"/>
        </w:rPr>
        <w:t xml:space="preserve">，生产厂为</w:t>
      </w:r>
      <w:r>
        <w:rPr>
          <w:rFonts w:hint="eastAsia" w:ascii="宋体" w:hAnsi="宋体" w:cs="宋体"/>
          <w:color w:val="000000"/>
          <w:sz w:val="24"/>
          <w:szCs w:val="24"/>
          <w:highlight w:val="none"/>
          <w:u w:val="single"/>
          <w:shd w:val="clear" w:color="auto" w:fill="ffffff"/>
        </w:rPr>
        <w:t xml:space="preserve">（厂名）</w:t>
      </w:r>
      <w:r>
        <w:rPr>
          <w:rFonts w:hint="eastAsia" w:ascii="宋体" w:hAnsi="宋体" w:cs="宋体"/>
          <w:color w:val="000000"/>
          <w:sz w:val="24"/>
          <w:szCs w:val="24"/>
          <w:highlight w:val="none"/>
          <w:shd w:val="clear" w:color="auto" w:fill="ffffff"/>
        </w:rPr>
        <w:t xml:space="preserve">，厂址为</w:t>
      </w:r>
      <w:r>
        <w:rPr>
          <w:rFonts w:hint="eastAsia" w:ascii="宋体" w:hAnsi="宋体" w:cs="宋体"/>
          <w:color w:val="000000"/>
          <w:sz w:val="24"/>
          <w:szCs w:val="24"/>
          <w:highlight w:val="none"/>
          <w:u w:val="single"/>
          <w:shd w:val="clear" w:color="auto" w:fill="ffffff"/>
        </w:rPr>
        <w:t xml:space="preserve">（生产厂址）</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的中国境内生产的组件成本占比≥</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在中国境内生产。</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w:t>
      </w:r>
      <w:r/>
    </w:p>
    <w:p>
      <w:pPr>
        <w:ind w:firstLine="420"/>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 </w:t>
      </w:r>
      <w:r/>
    </w:p>
    <w:p>
      <w:pPr>
        <w:jc w:val="righ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           日期：      年   月   日         </w:t>
      </w:r>
      <w:r/>
    </w:p>
    <w:p>
      <w:pPr>
        <w:jc w:val="left"/>
        <w:spacing w:before="30" w:after="30" w:line="0" w:lineRule="atLeas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 </w:t>
      </w:r>
      <w:r/>
    </w:p>
    <w:p>
      <w:pPr>
        <w:jc w:val="left"/>
        <w:spacing w:before="30" w:after="30" w:line="0" w:lineRule="atLeast"/>
        <w:shd w:val="clear" w:color="auto" w:fill="ffffff"/>
        <w:widowControl/>
        <w:rPr>
          <w:rFonts w:ascii="宋体" w:hAnsi="宋体" w:cs="宋体"/>
          <w:sz w:val="24"/>
          <w:szCs w:val="24"/>
          <w:highlight w:val="none"/>
        </w:rPr>
      </w:pPr>
      <w:r>
        <w:rPr>
          <w:rFonts w:hint="eastAsia" w:ascii="宋体" w:hAnsi="宋体" w:cs="宋体"/>
          <w:sz w:val="24"/>
          <w:szCs w:val="24"/>
          <w:highlight w:val="none"/>
        </w:rPr>
        <w:t xml:space="preserve"> </w:t>
      </w:r>
      <w:r/>
    </w:p>
    <w:p>
      <w:pPr>
        <w:jc w:val="left"/>
        <w:spacing w:before="30" w:after="30" w:line="0" w:lineRule="atLeast"/>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_________________</w:t>
      </w:r>
      <w:r/>
    </w:p>
    <w:p>
      <w:pPr>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sz w:val="24"/>
          <w:szCs w:val="24"/>
          <w:highlight w:val="none"/>
        </w:rPr>
      </w:pPr>
      <w:r>
        <w:rPr>
          <w:rFonts w:hint="eastAsia" w:ascii="宋体" w:hAnsi="宋体" w:cs="宋体"/>
          <w:color w:val="000000"/>
          <w:sz w:val="24"/>
          <w:szCs w:val="24"/>
          <w:highlight w:val="none"/>
          <w:shd w:val="clear" w:color="auto" w:fill="ffffff"/>
        </w:rPr>
        <w:t xml:space="preserve">6.《声明函》中标注“</w:t>
      </w:r>
      <w:r>
        <w:rPr>
          <w:rFonts w:hint="eastAsia" w:ascii="宋体" w:hAnsi="宋体" w:cs="宋体"/>
          <w:color w:val="000000"/>
          <w:sz w:val="24"/>
          <w:szCs w:val="24"/>
          <w:highlight w:val="none"/>
          <w:u w:val="single"/>
          <w:shd w:val="clear" w:color="auto" w:fill="ffffff"/>
        </w:rPr>
        <w:t xml:space="preserve">  /  </w:t>
      </w:r>
      <w:r>
        <w:rPr>
          <w:rFonts w:hint="eastAsia" w:ascii="宋体" w:hAnsi="宋体" w:cs="宋体"/>
          <w:color w:val="000000"/>
          <w:sz w:val="24"/>
          <w:szCs w:val="24"/>
          <w:highlight w:val="none"/>
          <w:shd w:val="clear" w:color="auto" w:fill="ffffff"/>
        </w:rPr>
        <w:t xml:space="preserve">”的地方无需填写。</w:t>
      </w:r>
      <w:r/>
    </w:p>
    <w:p>
      <w:pPr>
        <w:rPr>
          <w:rFonts w:ascii="宋体" w:hAnsi="宋体" w:cs="宋体"/>
          <w:bCs/>
          <w:szCs w:val="21"/>
          <w:highlight w:val="none"/>
        </w:rPr>
      </w:pPr>
      <w:r>
        <w:rPr>
          <w:rFonts w:hint="eastAsia" w:ascii="宋体" w:hAnsi="宋体" w:cs="宋体"/>
          <w:bCs/>
          <w:szCs w:val="21"/>
          <w:highlight w:val="none"/>
        </w:rPr>
        <w:br w:type="page" w:clear="all"/>
      </w:r>
      <w:r/>
    </w:p>
    <w:p>
      <w:pPr>
        <w:ind w:firstLine="480"/>
        <w:spacing w:line="360" w:lineRule="auto"/>
        <w:rPr>
          <w:rFonts w:ascii="宋体" w:hAnsi="宋体" w:cs="宋体"/>
          <w:sz w:val="24"/>
          <w:szCs w:val="24"/>
          <w:highlight w:val="none"/>
        </w:rPr>
      </w:pPr>
      <w:r>
        <w:rPr>
          <w:rFonts w:hint="eastAsia" w:ascii="宋体" w:hAnsi="宋体" w:cs="宋体"/>
          <w:bCs/>
          <w:sz w:val="24"/>
          <w:szCs w:val="24"/>
          <w:highlight w:val="none"/>
        </w:rPr>
        <w:t xml:space="preserve">（十四）技术方案（格式自拟）</w:t>
      </w:r>
      <w:r/>
    </w:p>
    <w:p>
      <w:pPr>
        <w:ind w:firstLine="480"/>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技术方案</w:t>
      </w:r>
      <w:r/>
    </w:p>
    <w:p>
      <w:pPr>
        <w:pStyle w:val="1104"/>
        <w:ind w:firstLine="0"/>
        <w:spacing w:line="360" w:lineRule="auto"/>
        <w:rPr>
          <w:rFonts w:ascii="宋体" w:hAnsi="宋体" w:cs="宋体"/>
          <w:sz w:val="24"/>
          <w:highlight w:val="none"/>
        </w:rPr>
      </w:pPr>
      <w:r>
        <w:rPr>
          <w:rFonts w:hint="eastAsia" w:ascii="宋体" w:hAnsi="宋体" w:cs="宋体"/>
          <w:sz w:val="24"/>
          <w:highlight w:val="none"/>
        </w:rPr>
        <w:t xml:space="preserve">投标供应商应按评分点编制完整的服务方案，以便评审。</w:t>
      </w:r>
      <w:r/>
    </w:p>
    <w:sectPr>
      <w:headerReference w:type="default" r:id="rId10"/>
      <w:headerReference w:type="first" r:id="rId11"/>
      <w:footerReference w:type="default" r:id="rId14"/>
      <w:footnotePr/>
      <w:endnotePr/>
      <w:type w:val="nextPage"/>
      <w:pgSz w:w="11906" w:h="16838" w:orient="portrait"/>
      <w:pgMar w:top="1440" w:right="1080" w:bottom="1440" w:left="1080" w:header="1077"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黑体_GBK">
    <w:panose1 w:val="020B0503020202020204"/>
  </w:font>
  <w:font w:name="方正仿宋_GBK">
    <w:panose1 w:val="020B0503020202020204"/>
  </w:font>
  <w:font w:name="Cambria">
    <w:panose1 w:val="02040503050406030204"/>
  </w:font>
  <w:font w:name="楷体_GB2312">
    <w:panose1 w:val="02010609060101010101"/>
  </w:font>
  <w:font w:name="Courier New">
    <w:panose1 w:val="02070309020205020404"/>
  </w:font>
  <w:font w:name="Tahoma">
    <w:panose1 w:val="020B0604030504040204"/>
  </w:font>
  <w:font w:name="黑体">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eastAsia="Times New Roman"/>
        <w:color w:val="000000"/>
        <w:sz w:val="18"/>
        <w:szCs w:val="18"/>
        <w:lang w:eastAsia="en-US" w:bidi="en-US"/>
      </w:rPr>
    </w:pPr>
    <w:r>
      <w:rPr>
        <w:rFonts w:eastAsia="Times New Roman"/>
        <w:color w:val="000000"/>
        <w:sz w:val="18"/>
        <w:szCs w:val="18"/>
        <w:lang w:eastAsia="en-US" w:bidi="en-US"/>
      </w:rPr>
    </w:r>
    <w:r/>
  </w:p>
  <w:p>
    <w:pPr>
      <w:rPr>
        <w:rFonts w:eastAsia="Times New Roman"/>
        <w:color w:val="000000"/>
        <w:sz w:val="18"/>
        <w:szCs w:val="18"/>
        <w:lang w:eastAsia="en-US" w:bidi="en-US"/>
      </w:rPr>
    </w:pPr>
    <w:r>
      <w:rPr>
        <w:rFonts w:eastAsia="Times New Roman"/>
        <w:color w:val="000000"/>
        <w:sz w:val="18"/>
        <w:szCs w:val="18"/>
        <w:lang w:eastAsia="en-US" w:bidi="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fldSimple w:instr="PAGE \* MERGEFORMAT">
      <w:r>
        <w:t xml:space="preserve">1</w:t>
      </w:r>
    </w:fldSimple>
    <w:r/>
    <w:r/>
  </w:p>
  <w:p>
    <w:pPr>
      <w:pStyle w:val="771"/>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fldSimple w:instr="PAGE \* MERGEFORMAT">
      <w:r>
        <w:t xml:space="preserve">1</w:t>
      </w:r>
    </w:fldSimple>
    <w:r/>
    <w:r/>
  </w:p>
  <w:p>
    <w:pPr>
      <w:pStyle w:val="77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rFonts w:hint="eastAsia" w:ascii="宋体" w:hAnsi="宋体"/>
      </w:rPr>
      <w:t xml:space="preserve">                            无锡市自然资源和规划局机房信息化设备维护项目（运维接续2026）公开招标文件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rFonts w:hint="eastAsia" w:ascii="宋体" w:hAnsi="宋体"/>
      </w:rPr>
      <w:t xml:space="preserve">******无锡市自然资源和规划局机房信息化设备维护项目（运维接续2026）公开招标文件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89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7"/>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88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1">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4">
    <w:multiLevelType w:val="hybridMultilevel"/>
    <w:lvl w:ilvl="0">
      <w:start w:val="1"/>
      <w:numFmt w:val="bullet"/>
      <w:isLgl w:val="false"/>
      <w:suff w:val="tab"/>
      <w:lvlText w:val=""/>
      <w:lvlJc w:val="left"/>
      <w:pPr>
        <w:ind w:left="1060" w:hanging="420"/>
      </w:pPr>
      <w:rPr>
        <w:rFonts w:hint="default" w:ascii="Wingdings" w:hAnsi="Wingdings"/>
      </w:rPr>
    </w:lvl>
    <w:lvl w:ilvl="1">
      <w:start w:val="1"/>
      <w:numFmt w:val="bullet"/>
      <w:isLgl w:val="false"/>
      <w:suff w:val="tab"/>
      <w:lvlText w:val=""/>
      <w:lvlJc w:val="left"/>
      <w:pPr>
        <w:ind w:left="1480" w:hanging="420"/>
      </w:pPr>
      <w:rPr>
        <w:rFonts w:hint="default" w:ascii="Wingdings" w:hAnsi="Wingdings"/>
      </w:rPr>
    </w:lvl>
    <w:lvl w:ilvl="2">
      <w:start w:val="1"/>
      <w:numFmt w:val="bullet"/>
      <w:isLgl w:val="false"/>
      <w:suff w:val="tab"/>
      <w:lvlText w:val=""/>
      <w:lvlJc w:val="left"/>
      <w:pPr>
        <w:ind w:left="1900" w:hanging="420"/>
      </w:pPr>
      <w:rPr>
        <w:rFonts w:hint="default" w:ascii="Wingdings" w:hAnsi="Wingdings"/>
      </w:rPr>
    </w:lvl>
    <w:lvl w:ilvl="3">
      <w:start w:val="1"/>
      <w:numFmt w:val="bullet"/>
      <w:isLgl w:val="false"/>
      <w:suff w:val="tab"/>
      <w:lvlText w:val=""/>
      <w:lvlJc w:val="left"/>
      <w:pPr>
        <w:ind w:left="2320" w:hanging="420"/>
      </w:pPr>
      <w:rPr>
        <w:rFonts w:hint="default" w:ascii="Wingdings" w:hAnsi="Wingdings"/>
      </w:rPr>
    </w:lvl>
    <w:lvl w:ilvl="4">
      <w:start w:val="1"/>
      <w:numFmt w:val="bullet"/>
      <w:isLgl w:val="false"/>
      <w:suff w:val="tab"/>
      <w:lvlText w:val=""/>
      <w:lvlJc w:val="left"/>
      <w:pPr>
        <w:ind w:left="2740" w:hanging="420"/>
      </w:pPr>
      <w:rPr>
        <w:rFonts w:hint="default" w:ascii="Wingdings" w:hAnsi="Wingdings"/>
      </w:rPr>
    </w:lvl>
    <w:lvl w:ilvl="5">
      <w:start w:val="1"/>
      <w:numFmt w:val="bullet"/>
      <w:isLgl w:val="false"/>
      <w:suff w:val="tab"/>
      <w:lvlText w:val=""/>
      <w:lvlJc w:val="left"/>
      <w:pPr>
        <w:ind w:left="3160" w:hanging="420"/>
      </w:pPr>
      <w:rPr>
        <w:rFonts w:hint="default" w:ascii="Wingdings" w:hAnsi="Wingdings"/>
      </w:rPr>
    </w:lvl>
    <w:lvl w:ilvl="6">
      <w:start w:val="1"/>
      <w:numFmt w:val="bullet"/>
      <w:isLgl w:val="false"/>
      <w:suff w:val="tab"/>
      <w:lvlText w:val=""/>
      <w:lvlJc w:val="left"/>
      <w:pPr>
        <w:ind w:left="3580" w:hanging="420"/>
      </w:pPr>
      <w:rPr>
        <w:rFonts w:hint="default" w:ascii="Wingdings" w:hAnsi="Wingdings"/>
      </w:rPr>
    </w:lvl>
    <w:lvl w:ilvl="7">
      <w:start w:val="1"/>
      <w:numFmt w:val="bullet"/>
      <w:isLgl w:val="false"/>
      <w:suff w:val="tab"/>
      <w:lvlText w:val=""/>
      <w:lvlJc w:val="left"/>
      <w:pPr>
        <w:ind w:left="4000" w:hanging="420"/>
      </w:pPr>
      <w:rPr>
        <w:rFonts w:hint="default" w:ascii="Wingdings" w:hAnsi="Wingdings"/>
      </w:rPr>
    </w:lvl>
    <w:lvl w:ilvl="8">
      <w:start w:val="1"/>
      <w:numFmt w:val="bullet"/>
      <w:isLgl w:val="false"/>
      <w:suff w:val="tab"/>
      <w:lvlText w:val=""/>
      <w:lvlJc w:val="left"/>
      <w:pPr>
        <w:ind w:left="4420" w:hanging="420"/>
      </w:pPr>
      <w:rPr>
        <w:rFonts w:hint="default" w:ascii="Wingdings" w:hAnsi="Wingdings"/>
      </w:rPr>
    </w:lvl>
  </w:abstractNum>
  <w:abstractNum w:abstractNumId="15">
    <w:multiLevelType w:val="hybridMultilevel"/>
    <w:lvl w:ilvl="0">
      <w:start w:val="1"/>
      <w:numFmt w:val="bullet"/>
      <w:isLgl w:val="false"/>
      <w:suff w:val="tab"/>
      <w:lvlText w:val=""/>
      <w:lvlJc w:val="left"/>
      <w:pPr>
        <w:ind w:left="1060" w:hanging="420"/>
      </w:pPr>
      <w:rPr>
        <w:rFonts w:hint="default" w:ascii="Wingdings" w:hAnsi="Wingdings"/>
      </w:rPr>
    </w:lvl>
    <w:lvl w:ilvl="1">
      <w:start w:val="1"/>
      <w:numFmt w:val="bullet"/>
      <w:isLgl w:val="false"/>
      <w:suff w:val="tab"/>
      <w:lvlText w:val=""/>
      <w:lvlJc w:val="left"/>
      <w:pPr>
        <w:ind w:left="1480" w:hanging="420"/>
      </w:pPr>
      <w:rPr>
        <w:rFonts w:hint="default" w:ascii="Wingdings" w:hAnsi="Wingdings"/>
      </w:rPr>
    </w:lvl>
    <w:lvl w:ilvl="2">
      <w:start w:val="1"/>
      <w:numFmt w:val="bullet"/>
      <w:isLgl w:val="false"/>
      <w:suff w:val="tab"/>
      <w:lvlText w:val=""/>
      <w:lvlJc w:val="left"/>
      <w:pPr>
        <w:ind w:left="1900" w:hanging="420"/>
      </w:pPr>
      <w:rPr>
        <w:rFonts w:hint="default" w:ascii="Wingdings" w:hAnsi="Wingdings"/>
      </w:rPr>
    </w:lvl>
    <w:lvl w:ilvl="3">
      <w:start w:val="1"/>
      <w:numFmt w:val="bullet"/>
      <w:isLgl w:val="false"/>
      <w:suff w:val="tab"/>
      <w:lvlText w:val=""/>
      <w:lvlJc w:val="left"/>
      <w:pPr>
        <w:ind w:left="2320" w:hanging="420"/>
      </w:pPr>
      <w:rPr>
        <w:rFonts w:hint="default" w:ascii="Wingdings" w:hAnsi="Wingdings"/>
      </w:rPr>
    </w:lvl>
    <w:lvl w:ilvl="4">
      <w:start w:val="1"/>
      <w:numFmt w:val="bullet"/>
      <w:isLgl w:val="false"/>
      <w:suff w:val="tab"/>
      <w:lvlText w:val=""/>
      <w:lvlJc w:val="left"/>
      <w:pPr>
        <w:ind w:left="2740" w:hanging="420"/>
      </w:pPr>
      <w:rPr>
        <w:rFonts w:hint="default" w:ascii="Wingdings" w:hAnsi="Wingdings"/>
      </w:rPr>
    </w:lvl>
    <w:lvl w:ilvl="5">
      <w:start w:val="1"/>
      <w:numFmt w:val="bullet"/>
      <w:isLgl w:val="false"/>
      <w:suff w:val="tab"/>
      <w:lvlText w:val=""/>
      <w:lvlJc w:val="left"/>
      <w:pPr>
        <w:ind w:left="3160" w:hanging="420"/>
      </w:pPr>
      <w:rPr>
        <w:rFonts w:hint="default" w:ascii="Wingdings" w:hAnsi="Wingdings"/>
      </w:rPr>
    </w:lvl>
    <w:lvl w:ilvl="6">
      <w:start w:val="1"/>
      <w:numFmt w:val="bullet"/>
      <w:isLgl w:val="false"/>
      <w:suff w:val="tab"/>
      <w:lvlText w:val=""/>
      <w:lvlJc w:val="left"/>
      <w:pPr>
        <w:ind w:left="3580" w:hanging="420"/>
      </w:pPr>
      <w:rPr>
        <w:rFonts w:hint="default" w:ascii="Wingdings" w:hAnsi="Wingdings"/>
      </w:rPr>
    </w:lvl>
    <w:lvl w:ilvl="7">
      <w:start w:val="1"/>
      <w:numFmt w:val="bullet"/>
      <w:isLgl w:val="false"/>
      <w:suff w:val="tab"/>
      <w:lvlText w:val=""/>
      <w:lvlJc w:val="left"/>
      <w:pPr>
        <w:ind w:left="4000" w:hanging="420"/>
      </w:pPr>
      <w:rPr>
        <w:rFonts w:hint="default" w:ascii="Wingdings" w:hAnsi="Wingdings"/>
      </w:rPr>
    </w:lvl>
    <w:lvl w:ilvl="8">
      <w:start w:val="1"/>
      <w:numFmt w:val="bullet"/>
      <w:isLgl w:val="false"/>
      <w:suff w:val="tab"/>
      <w:lvlText w:val=""/>
      <w:lvlJc w:val="left"/>
      <w:pPr>
        <w:ind w:left="4420" w:hanging="420"/>
      </w:pPr>
      <w:rPr>
        <w:rFonts w:hint="default" w:ascii="Wingdings" w:hAnsi="Wingdings"/>
      </w:rPr>
    </w:lvl>
  </w:abstractNum>
  <w:abstractNum w:abstractNumId="16">
    <w:multiLevelType w:val="hybridMultilevel"/>
    <w:lvl w:ilvl="0">
      <w:start w:val="1"/>
      <w:numFmt w:val="bullet"/>
      <w:isLgl w:val="false"/>
      <w:suff w:val="tab"/>
      <w:lvlText w:val=""/>
      <w:lvlJc w:val="left"/>
      <w:pPr>
        <w:ind w:left="1060" w:hanging="420"/>
      </w:pPr>
      <w:rPr>
        <w:rFonts w:hint="default" w:ascii="Wingdings" w:hAnsi="Wingdings"/>
      </w:rPr>
    </w:lvl>
    <w:lvl w:ilvl="1">
      <w:start w:val="1"/>
      <w:numFmt w:val="bullet"/>
      <w:isLgl w:val="false"/>
      <w:suff w:val="tab"/>
      <w:lvlText w:val=""/>
      <w:lvlJc w:val="left"/>
      <w:pPr>
        <w:ind w:left="1480" w:hanging="420"/>
      </w:pPr>
      <w:rPr>
        <w:rFonts w:hint="default" w:ascii="Wingdings" w:hAnsi="Wingdings"/>
      </w:rPr>
    </w:lvl>
    <w:lvl w:ilvl="2">
      <w:start w:val="1"/>
      <w:numFmt w:val="bullet"/>
      <w:isLgl w:val="false"/>
      <w:suff w:val="tab"/>
      <w:lvlText w:val=""/>
      <w:lvlJc w:val="left"/>
      <w:pPr>
        <w:ind w:left="1900" w:hanging="420"/>
      </w:pPr>
      <w:rPr>
        <w:rFonts w:hint="default" w:ascii="Wingdings" w:hAnsi="Wingdings"/>
      </w:rPr>
    </w:lvl>
    <w:lvl w:ilvl="3">
      <w:start w:val="1"/>
      <w:numFmt w:val="bullet"/>
      <w:isLgl w:val="false"/>
      <w:suff w:val="tab"/>
      <w:lvlText w:val=""/>
      <w:lvlJc w:val="left"/>
      <w:pPr>
        <w:ind w:left="2320" w:hanging="420"/>
      </w:pPr>
      <w:rPr>
        <w:rFonts w:hint="default" w:ascii="Wingdings" w:hAnsi="Wingdings"/>
      </w:rPr>
    </w:lvl>
    <w:lvl w:ilvl="4">
      <w:start w:val="1"/>
      <w:numFmt w:val="bullet"/>
      <w:isLgl w:val="false"/>
      <w:suff w:val="tab"/>
      <w:lvlText w:val=""/>
      <w:lvlJc w:val="left"/>
      <w:pPr>
        <w:ind w:left="2740" w:hanging="420"/>
      </w:pPr>
      <w:rPr>
        <w:rFonts w:hint="default" w:ascii="Wingdings" w:hAnsi="Wingdings"/>
      </w:rPr>
    </w:lvl>
    <w:lvl w:ilvl="5">
      <w:start w:val="1"/>
      <w:numFmt w:val="bullet"/>
      <w:isLgl w:val="false"/>
      <w:suff w:val="tab"/>
      <w:lvlText w:val=""/>
      <w:lvlJc w:val="left"/>
      <w:pPr>
        <w:ind w:left="3160" w:hanging="420"/>
      </w:pPr>
      <w:rPr>
        <w:rFonts w:hint="default" w:ascii="Wingdings" w:hAnsi="Wingdings"/>
      </w:rPr>
    </w:lvl>
    <w:lvl w:ilvl="6">
      <w:start w:val="1"/>
      <w:numFmt w:val="bullet"/>
      <w:isLgl w:val="false"/>
      <w:suff w:val="tab"/>
      <w:lvlText w:val=""/>
      <w:lvlJc w:val="left"/>
      <w:pPr>
        <w:ind w:left="3580" w:hanging="420"/>
      </w:pPr>
      <w:rPr>
        <w:rFonts w:hint="default" w:ascii="Wingdings" w:hAnsi="Wingdings"/>
      </w:rPr>
    </w:lvl>
    <w:lvl w:ilvl="7">
      <w:start w:val="1"/>
      <w:numFmt w:val="bullet"/>
      <w:isLgl w:val="false"/>
      <w:suff w:val="tab"/>
      <w:lvlText w:val=""/>
      <w:lvlJc w:val="left"/>
      <w:pPr>
        <w:ind w:left="4000" w:hanging="420"/>
      </w:pPr>
      <w:rPr>
        <w:rFonts w:hint="default" w:ascii="Wingdings" w:hAnsi="Wingdings"/>
      </w:rPr>
    </w:lvl>
    <w:lvl w:ilvl="8">
      <w:start w:val="1"/>
      <w:numFmt w:val="bullet"/>
      <w:isLgl w:val="false"/>
      <w:suff w:val="tab"/>
      <w:lvlText w:val=""/>
      <w:lvlJc w:val="left"/>
      <w:pPr>
        <w:ind w:left="4420" w:hanging="420"/>
      </w:pPr>
      <w:rPr>
        <w:rFonts w:hint="default" w:ascii="Wingdings" w:hAnsi="Wingdings"/>
      </w:rPr>
    </w:lvl>
  </w:abstractNum>
  <w:abstractNum w:abstractNumId="1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8">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9">
    <w:multiLevelType w:val="hybridMultilevel"/>
    <w:lvl w:ilvl="0">
      <w:start w:val="1"/>
      <w:numFmt w:val="decimal"/>
      <w:isLgl w:val="false"/>
      <w:suff w:val="tab"/>
      <w:lvlText w:val="%1、"/>
      <w:lvlJc w:val="left"/>
      <w:pPr>
        <w:ind w:left="720" w:hanging="720"/>
        <w:tabs>
          <w:tab w:val="left" w:pos="7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upperLetter"/>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isLgl w:val="false"/>
      <w:suff w:val="tab"/>
      <w:lvlText w:val="%1."/>
      <w:lvlJc w:val="left"/>
      <w:pPr>
        <w:ind w:left="1060" w:hanging="420"/>
      </w:pPr>
    </w:lvl>
    <w:lvl w:ilvl="1">
      <w:start w:val="1"/>
      <w:numFmt w:val="lowerLetter"/>
      <w:isLgl w:val="false"/>
      <w:suff w:val="tab"/>
      <w:lvlText w:val="%2)"/>
      <w:lvlJc w:val="left"/>
      <w:pPr>
        <w:ind w:left="1480" w:hanging="420"/>
      </w:pPr>
    </w:lvl>
    <w:lvl w:ilvl="2">
      <w:start w:val="1"/>
      <w:numFmt w:val="lowerRoman"/>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isLgl w:val="false"/>
      <w:suff w:val="tab"/>
      <w:lvlText w:val="%5)"/>
      <w:lvlJc w:val="left"/>
      <w:pPr>
        <w:ind w:left="2740" w:hanging="420"/>
      </w:pPr>
    </w:lvl>
    <w:lvl w:ilvl="5">
      <w:start w:val="1"/>
      <w:numFmt w:val="lowerRoman"/>
      <w:isLgl w:val="false"/>
      <w:suff w:val="tab"/>
      <w:lvlText w:val="%6."/>
      <w:lvlJc w:val="right"/>
      <w:pPr>
        <w:ind w:left="3160" w:hanging="420"/>
      </w:pPr>
    </w:lvl>
    <w:lvl w:ilvl="6">
      <w:start w:val="1"/>
      <w:numFmt w:val="decimal"/>
      <w:isLgl w:val="false"/>
      <w:suff w:val="tab"/>
      <w:lvlText w:val="%7."/>
      <w:lvlJc w:val="left"/>
      <w:pPr>
        <w:ind w:left="3580" w:hanging="420"/>
      </w:pPr>
    </w:lvl>
    <w:lvl w:ilvl="7">
      <w:start w:val="1"/>
      <w:numFmt w:val="lowerLetter"/>
      <w:isLgl w:val="false"/>
      <w:suff w:val="tab"/>
      <w:lvlText w:val="%8)"/>
      <w:lvlJc w:val="left"/>
      <w:pPr>
        <w:ind w:left="4000" w:hanging="420"/>
      </w:pPr>
    </w:lvl>
    <w:lvl w:ilvl="8">
      <w:start w:val="1"/>
      <w:numFmt w:val="lowerRoman"/>
      <w:isLgl w:val="false"/>
      <w:suff w:val="tab"/>
      <w:lvlText w:val="%9."/>
      <w:lvlJc w:val="right"/>
      <w:pPr>
        <w:ind w:left="4420" w:hanging="420"/>
      </w:pPr>
    </w:lvl>
  </w:abstractNum>
  <w:abstractNum w:abstractNumId="2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7"/>
  </w:num>
  <w:num w:numId="2">
    <w:abstractNumId w:val="4"/>
  </w:num>
  <w:num w:numId="3">
    <w:abstractNumId w:val="17"/>
  </w:num>
  <w:num w:numId="4">
    <w:abstractNumId w:val="2"/>
  </w:num>
  <w:num w:numId="5">
    <w:abstractNumId w:val="1"/>
  </w:num>
  <w:num w:numId="6">
    <w:abstractNumId w:val="9"/>
  </w:num>
  <w:num w:numId="7">
    <w:abstractNumId w:val="11"/>
  </w:num>
  <w:num w:numId="8">
    <w:abstractNumId w:val="21"/>
  </w:num>
  <w:num w:numId="9">
    <w:abstractNumId w:val="8"/>
  </w:num>
  <w:num w:numId="10">
    <w:abstractNumId w:val="0"/>
  </w:num>
  <w:num w:numId="11">
    <w:abstractNumId w:val="12"/>
  </w:num>
  <w:num w:numId="12">
    <w:abstractNumId w:val="18"/>
  </w:num>
  <w:num w:numId="13">
    <w:abstractNumId w:val="3"/>
  </w:num>
  <w:num w:numId="14">
    <w:abstractNumId w:val="19"/>
  </w:num>
  <w:num w:numId="15">
    <w:abstractNumId w:val="10"/>
  </w:num>
  <w:num w:numId="16">
    <w:abstractNumId w:val="16"/>
  </w:num>
  <w:num w:numId="17">
    <w:abstractNumId w:val="14"/>
  </w:num>
  <w:num w:numId="18">
    <w:abstractNumId w:val="20"/>
  </w:num>
  <w:num w:numId="19">
    <w:abstractNumId w:val="15"/>
  </w:num>
  <w:num w:numId="20">
    <w:abstractNumId w:val="13"/>
  </w:num>
  <w:num w:numId="21">
    <w:abstractNumId w:val="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5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spacing w:after="57"/>
    </w:pPr>
  </w:style>
  <w:style w:type="paragraph" w:styleId="765">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Body Text"/>
    <w:basedOn w:val="752"/>
    <w:uiPriority w:val="99"/>
    <w:qFormat/>
    <w:rPr>
      <w:rFonts w:ascii="华文中宋" w:eastAsia="华文中宋"/>
      <w:bCs/>
      <w:sz w:val="28"/>
    </w:rPr>
  </w:style>
  <w:style w:type="paragraph" w:styleId="767">
    <w:name w:val="toc 5"/>
    <w:basedOn w:val="752"/>
    <w:next w:val="752"/>
    <w:uiPriority w:val="39"/>
    <w:unhideWhenUsed/>
    <w:qFormat/>
    <w:pPr>
      <w:ind w:left="1134"/>
      <w:spacing w:after="57"/>
    </w:pPr>
  </w:style>
  <w:style w:type="paragraph" w:styleId="768">
    <w:name w:val="toc 3"/>
    <w:basedOn w:val="752"/>
    <w:next w:val="752"/>
    <w:uiPriority w:val="39"/>
    <w:unhideWhenUsed/>
    <w:qFormat/>
    <w:pPr>
      <w:ind w:left="567"/>
      <w:spacing w:after="57"/>
    </w:pPr>
  </w:style>
  <w:style w:type="paragraph" w:styleId="769">
    <w:name w:val="toc 8"/>
    <w:basedOn w:val="752"/>
    <w:next w:val="752"/>
    <w:uiPriority w:val="39"/>
    <w:unhideWhenUsed/>
    <w:qFormat/>
    <w:pPr>
      <w:ind w:left="1984"/>
      <w:spacing w:after="57"/>
    </w:pPr>
  </w:style>
  <w:style w:type="paragraph" w:styleId="770">
    <w:name w:val="endnote text"/>
    <w:basedOn w:val="752"/>
    <w:uiPriority w:val="99"/>
    <w:semiHidden/>
    <w:unhideWhenUsed/>
    <w:qFormat/>
    <w:rPr>
      <w:sz w:val="20"/>
    </w:rPr>
  </w:style>
  <w:style w:type="paragraph" w:styleId="771">
    <w:name w:val="Footer"/>
    <w:basedOn w:val="752"/>
    <w:uiPriority w:val="99"/>
    <w:unhideWhenUsed/>
    <w:qFormat/>
    <w:pPr>
      <w:tabs>
        <w:tab w:val="center" w:pos="7143" w:leader="none"/>
        <w:tab w:val="right" w:pos="14287" w:leader="none"/>
      </w:tabs>
    </w:pPr>
  </w:style>
  <w:style w:type="paragraph" w:styleId="772">
    <w:name w:val="Header"/>
    <w:basedOn w:val="752"/>
    <w:uiPriority w:val="99"/>
    <w:unhideWhenUsed/>
    <w:qFormat/>
    <w:pPr>
      <w:tabs>
        <w:tab w:val="center" w:pos="7143" w:leader="none"/>
        <w:tab w:val="right" w:pos="14287" w:leader="none"/>
      </w:tabs>
    </w:pPr>
  </w:style>
  <w:style w:type="paragraph" w:styleId="773">
    <w:name w:val="toc 1"/>
    <w:basedOn w:val="752"/>
    <w:next w:val="752"/>
    <w:uiPriority w:val="39"/>
    <w:unhideWhenUsed/>
    <w:qFormat/>
    <w:pPr>
      <w:spacing w:after="57"/>
    </w:pPr>
  </w:style>
  <w:style w:type="paragraph" w:styleId="774">
    <w:name w:val="toc 4"/>
    <w:basedOn w:val="752"/>
    <w:next w:val="752"/>
    <w:uiPriority w:val="39"/>
    <w:unhideWhenUsed/>
    <w:qFormat/>
    <w:pPr>
      <w:ind w:left="850"/>
      <w:spacing w:after="57"/>
    </w:pPr>
  </w:style>
  <w:style w:type="paragraph" w:styleId="775">
    <w:name w:val="Subtitle"/>
    <w:basedOn w:val="752"/>
    <w:next w:val="752"/>
    <w:uiPriority w:val="11"/>
    <w:qFormat/>
    <w:pPr>
      <w:spacing w:before="200" w:after="200"/>
    </w:pPr>
    <w:rPr>
      <w:sz w:val="24"/>
      <w:szCs w:val="24"/>
    </w:rPr>
  </w:style>
  <w:style w:type="paragraph" w:styleId="776">
    <w:name w:val="footnote text"/>
    <w:basedOn w:val="752"/>
    <w:uiPriority w:val="99"/>
    <w:semiHidden/>
    <w:unhideWhenUsed/>
    <w:qFormat/>
    <w:pPr>
      <w:spacing w:after="40"/>
    </w:pPr>
    <w:rPr>
      <w:sz w:val="18"/>
    </w:rPr>
  </w:style>
  <w:style w:type="paragraph" w:styleId="777">
    <w:name w:val="toc 6"/>
    <w:basedOn w:val="752"/>
    <w:next w:val="752"/>
    <w:uiPriority w:val="39"/>
    <w:unhideWhenUsed/>
    <w:qFormat/>
    <w:pPr>
      <w:ind w:left="1417"/>
      <w:spacing w:after="57"/>
    </w:pPr>
  </w:style>
  <w:style w:type="paragraph" w:styleId="778">
    <w:name w:val="table of figures"/>
    <w:basedOn w:val="752"/>
    <w:next w:val="752"/>
    <w:uiPriority w:val="99"/>
    <w:unhideWhenUsed/>
    <w:qFormat/>
  </w:style>
  <w:style w:type="paragraph" w:styleId="779">
    <w:name w:val="toc 2"/>
    <w:basedOn w:val="752"/>
    <w:next w:val="752"/>
    <w:uiPriority w:val="39"/>
    <w:unhideWhenUsed/>
    <w:qFormat/>
    <w:pPr>
      <w:ind w:left="283"/>
      <w:spacing w:after="57"/>
    </w:pPr>
  </w:style>
  <w:style w:type="paragraph" w:styleId="780">
    <w:name w:val="toc 9"/>
    <w:basedOn w:val="752"/>
    <w:next w:val="752"/>
    <w:uiPriority w:val="39"/>
    <w:unhideWhenUsed/>
    <w:qFormat/>
    <w:pPr>
      <w:ind w:left="2268"/>
      <w:spacing w:after="57"/>
    </w:pPr>
  </w:style>
  <w:style w:type="paragraph" w:styleId="781">
    <w:name w:val="Normal (Web)"/>
    <w:basedOn w:val="752"/>
    <w:uiPriority w:val="0"/>
    <w:qFormat/>
    <w:pPr>
      <w:jc w:val="left"/>
      <w:spacing w:before="100" w:beforeAutospacing="1" w:after="100" w:afterAutospacing="1"/>
    </w:pPr>
    <w:rPr>
      <w:sz w:val="24"/>
    </w:rPr>
  </w:style>
  <w:style w:type="paragraph" w:styleId="782">
    <w:name w:val="Title"/>
    <w:basedOn w:val="752"/>
    <w:next w:val="752"/>
    <w:uiPriority w:val="10"/>
    <w:qFormat/>
    <w:pPr>
      <w:contextualSpacing/>
      <w:spacing w:before="300" w:after="200"/>
    </w:pPr>
    <w:rPr>
      <w:sz w:val="48"/>
      <w:szCs w:val="48"/>
    </w:rPr>
  </w:style>
  <w:style w:type="paragraph" w:styleId="783">
    <w:name w:val="Body Text First Indent"/>
    <w:basedOn w:val="766"/>
    <w:uiPriority w:val="0"/>
    <w:unhideWhenUsed/>
    <w:qFormat/>
    <w:pPr>
      <w:ind w:firstLine="420"/>
      <w:spacing w:after="120"/>
    </w:pPr>
    <w:rPr>
      <w:rFonts w:ascii="Times New Roman" w:eastAsia="宋体"/>
      <w:bCs w:val="0"/>
      <w:sz w:val="20"/>
      <w:lang w:bidi="mn-Mong-CN"/>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paragraph" w:styleId="788" w:customStyle="1">
    <w:name w:val="TOC Heading1"/>
    <w:next w:val="752"/>
    <w:uiPriority w:val="0"/>
    <w:qFormat/>
    <w:rPr>
      <w:rFonts w:ascii="Times New Roman" w:hAnsi="Times New Roman" w:eastAsia="宋体" w:cs="Times New Roman"/>
      <w:sz w:val="32"/>
      <w:lang w:val="en-US" w:eastAsia="zh-CN" w:bidi="ar-SA"/>
    </w:rPr>
  </w:style>
  <w:style w:type="paragraph" w:styleId="789" w:customStyle="1">
    <w:name w:val="TOC 标题1"/>
    <w:uiPriority w:val="39"/>
    <w:unhideWhenUsed/>
    <w:qFormat/>
    <w:rPr>
      <w:rFonts w:ascii="Times New Roman" w:hAnsi="Times New Roman" w:eastAsia="宋体" w:cs="Times New Roman"/>
      <w:lang w:val="en-US" w:eastAsia="zh-CN" w:bidi="ar-SA"/>
    </w:rPr>
  </w:style>
  <w:style w:type="paragraph" w:styleId="790" w:customStyle="1">
    <w:name w:val="标题 112"/>
    <w:basedOn w:val="752"/>
    <w:next w:val="752"/>
    <w:link w:val="801"/>
    <w:uiPriority w:val="9"/>
    <w:qFormat/>
    <w:pPr>
      <w:keepLines/>
      <w:keepNext/>
      <w:spacing w:before="480" w:after="200"/>
      <w:outlineLvl w:val="0"/>
    </w:pPr>
    <w:rPr>
      <w:rFonts w:ascii="Arial" w:hAnsi="Arial" w:eastAsia="Arial" w:cs="Arial"/>
      <w:sz w:val="40"/>
      <w:szCs w:val="40"/>
    </w:rPr>
  </w:style>
  <w:style w:type="paragraph" w:styleId="791" w:customStyle="1">
    <w:name w:val="标题 212"/>
    <w:basedOn w:val="752"/>
    <w:next w:val="752"/>
    <w:link w:val="802"/>
    <w:uiPriority w:val="9"/>
    <w:unhideWhenUsed/>
    <w:qFormat/>
    <w:pPr>
      <w:keepLines/>
      <w:keepNext/>
      <w:spacing w:before="360" w:after="200"/>
      <w:outlineLvl w:val="1"/>
    </w:pPr>
    <w:rPr>
      <w:rFonts w:ascii="Arial" w:hAnsi="Arial" w:eastAsia="Arial" w:cs="Arial"/>
      <w:sz w:val="34"/>
    </w:rPr>
  </w:style>
  <w:style w:type="paragraph" w:styleId="792" w:customStyle="1">
    <w:name w:val="标题 312"/>
    <w:basedOn w:val="752"/>
    <w:next w:val="752"/>
    <w:link w:val="803"/>
    <w:uiPriority w:val="9"/>
    <w:unhideWhenUsed/>
    <w:qFormat/>
    <w:pPr>
      <w:keepLines/>
      <w:keepNext/>
      <w:spacing w:before="320" w:after="200"/>
      <w:outlineLvl w:val="2"/>
    </w:pPr>
    <w:rPr>
      <w:rFonts w:ascii="Arial" w:hAnsi="Arial" w:eastAsia="Arial" w:cs="Arial"/>
      <w:sz w:val="30"/>
      <w:szCs w:val="30"/>
    </w:rPr>
  </w:style>
  <w:style w:type="paragraph" w:styleId="793" w:customStyle="1">
    <w:name w:val="标题 412"/>
    <w:basedOn w:val="752"/>
    <w:next w:val="752"/>
    <w:link w:val="804"/>
    <w:uiPriority w:val="9"/>
    <w:unhideWhenUsed/>
    <w:qFormat/>
    <w:pPr>
      <w:keepLines/>
      <w:keepNext/>
      <w:spacing w:before="320" w:after="200"/>
      <w:outlineLvl w:val="3"/>
    </w:pPr>
    <w:rPr>
      <w:rFonts w:ascii="Arial" w:hAnsi="Arial" w:eastAsia="Arial" w:cs="Arial"/>
      <w:b/>
      <w:bCs/>
      <w:sz w:val="26"/>
      <w:szCs w:val="26"/>
    </w:rPr>
  </w:style>
  <w:style w:type="paragraph" w:styleId="794" w:customStyle="1">
    <w:name w:val="标题 512"/>
    <w:basedOn w:val="752"/>
    <w:next w:val="752"/>
    <w:link w:val="805"/>
    <w:uiPriority w:val="9"/>
    <w:unhideWhenUsed/>
    <w:qFormat/>
    <w:pPr>
      <w:keepLines/>
      <w:keepNext/>
      <w:spacing w:before="320" w:after="200"/>
      <w:outlineLvl w:val="4"/>
    </w:pPr>
    <w:rPr>
      <w:rFonts w:ascii="Arial" w:hAnsi="Arial" w:eastAsia="Arial" w:cs="Arial"/>
      <w:b/>
      <w:bCs/>
      <w:sz w:val="24"/>
      <w:szCs w:val="24"/>
    </w:rPr>
  </w:style>
  <w:style w:type="paragraph" w:styleId="795" w:customStyle="1">
    <w:name w:val="标题 611"/>
    <w:basedOn w:val="752"/>
    <w:next w:val="752"/>
    <w:link w:val="806"/>
    <w:uiPriority w:val="9"/>
    <w:unhideWhenUsed/>
    <w:qFormat/>
    <w:pPr>
      <w:keepLines/>
      <w:keepNext/>
      <w:spacing w:before="320" w:after="200"/>
      <w:outlineLvl w:val="5"/>
    </w:pPr>
    <w:rPr>
      <w:rFonts w:ascii="Arial" w:hAnsi="Arial" w:eastAsia="Arial" w:cs="Arial"/>
      <w:b/>
      <w:bCs/>
      <w:sz w:val="22"/>
      <w:szCs w:val="22"/>
    </w:rPr>
  </w:style>
  <w:style w:type="paragraph" w:styleId="796" w:customStyle="1">
    <w:name w:val="标题 711"/>
    <w:basedOn w:val="752"/>
    <w:next w:val="752"/>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97" w:customStyle="1">
    <w:name w:val="标题 811"/>
    <w:basedOn w:val="752"/>
    <w:next w:val="752"/>
    <w:link w:val="808"/>
    <w:uiPriority w:val="9"/>
    <w:unhideWhenUsed/>
    <w:qFormat/>
    <w:pPr>
      <w:keepLines/>
      <w:keepNext/>
      <w:spacing w:before="320" w:after="200"/>
      <w:outlineLvl w:val="7"/>
    </w:pPr>
    <w:rPr>
      <w:rFonts w:ascii="Arial" w:hAnsi="Arial" w:eastAsia="Arial" w:cs="Arial"/>
      <w:i/>
      <w:iCs/>
      <w:sz w:val="22"/>
      <w:szCs w:val="22"/>
    </w:rPr>
  </w:style>
  <w:style w:type="paragraph" w:styleId="798" w:customStyle="1">
    <w:name w:val="标题 911"/>
    <w:basedOn w:val="752"/>
    <w:next w:val="752"/>
    <w:link w:val="809"/>
    <w:uiPriority w:val="9"/>
    <w:unhideWhenUsed/>
    <w:qFormat/>
    <w:pPr>
      <w:keepLines/>
      <w:keepNext/>
      <w:spacing w:before="320" w:after="200"/>
      <w:outlineLvl w:val="8"/>
    </w:pPr>
    <w:rPr>
      <w:rFonts w:ascii="Arial" w:hAnsi="Arial" w:eastAsia="Arial" w:cs="Arial"/>
      <w:i/>
      <w:iCs/>
      <w:szCs w:val="21"/>
    </w:rPr>
  </w:style>
  <w:style w:type="character" w:styleId="799" w:customStyle="1">
    <w:name w:val="默认段落字体12"/>
    <w:uiPriority w:val="1"/>
    <w:unhideWhenUsed/>
    <w:qFormat/>
  </w:style>
  <w:style w:type="table" w:styleId="800" w:customStyle="1">
    <w:name w:val="普通表格12"/>
    <w:uiPriority w:val="99"/>
    <w:unhideWhenUsed/>
    <w:qFormat/>
    <w:tblPr>
      <w:tblCellMar>
        <w:left w:w="0" w:type="dxa"/>
        <w:top w:w="0" w:type="dxa"/>
        <w:right w:w="0" w:type="dxa"/>
        <w:bottom w:w="0" w:type="dxa"/>
      </w:tblCellMar>
    </w:tblPr>
  </w:style>
  <w:style w:type="character" w:styleId="801" w:customStyle="1">
    <w:name w:val="Heading 1 Char"/>
    <w:link w:val="790"/>
    <w:uiPriority w:val="9"/>
    <w:qFormat/>
    <w:rPr>
      <w:rFonts w:ascii="Arial" w:hAnsi="Arial" w:eastAsia="Arial" w:cs="Arial"/>
      <w:sz w:val="40"/>
      <w:szCs w:val="40"/>
    </w:rPr>
  </w:style>
  <w:style w:type="character" w:styleId="802" w:customStyle="1">
    <w:name w:val="Heading 2 Char"/>
    <w:link w:val="791"/>
    <w:uiPriority w:val="9"/>
    <w:qFormat/>
    <w:rPr>
      <w:rFonts w:ascii="Arial" w:hAnsi="Arial" w:eastAsia="Arial" w:cs="Arial"/>
      <w:sz w:val="34"/>
    </w:rPr>
  </w:style>
  <w:style w:type="character" w:styleId="803" w:customStyle="1">
    <w:name w:val="Heading 3 Char"/>
    <w:link w:val="792"/>
    <w:uiPriority w:val="9"/>
    <w:qFormat/>
    <w:rPr>
      <w:rFonts w:ascii="Arial" w:hAnsi="Arial" w:eastAsia="Arial" w:cs="Arial"/>
      <w:sz w:val="30"/>
      <w:szCs w:val="30"/>
    </w:rPr>
  </w:style>
  <w:style w:type="character" w:styleId="804" w:customStyle="1">
    <w:name w:val="Heading 4 Char"/>
    <w:link w:val="793"/>
    <w:uiPriority w:val="9"/>
    <w:qFormat/>
    <w:rPr>
      <w:rFonts w:ascii="Arial" w:hAnsi="Arial" w:eastAsia="Arial" w:cs="Arial"/>
      <w:b/>
      <w:bCs/>
      <w:sz w:val="26"/>
      <w:szCs w:val="26"/>
    </w:rPr>
  </w:style>
  <w:style w:type="character" w:styleId="805" w:customStyle="1">
    <w:name w:val="Heading 5 Char"/>
    <w:link w:val="794"/>
    <w:uiPriority w:val="9"/>
    <w:qFormat/>
    <w:rPr>
      <w:rFonts w:ascii="Arial" w:hAnsi="Arial" w:eastAsia="Arial" w:cs="Arial"/>
      <w:b/>
      <w:bCs/>
      <w:sz w:val="24"/>
      <w:szCs w:val="24"/>
    </w:rPr>
  </w:style>
  <w:style w:type="character" w:styleId="806" w:customStyle="1">
    <w:name w:val="Heading 6 Char"/>
    <w:link w:val="795"/>
    <w:uiPriority w:val="9"/>
    <w:qFormat/>
    <w:rPr>
      <w:rFonts w:ascii="Arial" w:hAnsi="Arial" w:eastAsia="Arial" w:cs="Arial"/>
      <w:b/>
      <w:bCs/>
      <w:sz w:val="22"/>
      <w:szCs w:val="22"/>
    </w:rPr>
  </w:style>
  <w:style w:type="character" w:styleId="807" w:customStyle="1">
    <w:name w:val="Heading 7 Char"/>
    <w:link w:val="796"/>
    <w:uiPriority w:val="9"/>
    <w:qFormat/>
    <w:rPr>
      <w:rFonts w:ascii="Arial" w:hAnsi="Arial" w:eastAsia="Arial" w:cs="Arial"/>
      <w:b/>
      <w:bCs/>
      <w:i/>
      <w:iCs/>
      <w:sz w:val="22"/>
      <w:szCs w:val="22"/>
    </w:rPr>
  </w:style>
  <w:style w:type="character" w:styleId="808" w:customStyle="1">
    <w:name w:val="Heading 8 Char"/>
    <w:link w:val="797"/>
    <w:uiPriority w:val="9"/>
    <w:qFormat/>
    <w:rPr>
      <w:rFonts w:ascii="Arial" w:hAnsi="Arial" w:eastAsia="Arial" w:cs="Arial"/>
      <w:i/>
      <w:iCs/>
      <w:sz w:val="22"/>
      <w:szCs w:val="22"/>
    </w:rPr>
  </w:style>
  <w:style w:type="character" w:styleId="809" w:customStyle="1">
    <w:name w:val="Heading 9 Char"/>
    <w:link w:val="798"/>
    <w:uiPriority w:val="9"/>
    <w:qFormat/>
    <w:rPr>
      <w:rFonts w:ascii="Arial" w:hAnsi="Arial" w:eastAsia="Arial" w:cs="Arial"/>
      <w:i/>
      <w:iCs/>
      <w:sz w:val="21"/>
      <w:szCs w:val="21"/>
    </w:rPr>
  </w:style>
  <w:style w:type="paragraph" w:styleId="810" w:customStyle="1">
    <w:name w:val="目录 712"/>
    <w:basedOn w:val="752"/>
    <w:next w:val="752"/>
    <w:uiPriority w:val="39"/>
    <w:unhideWhenUsed/>
    <w:qFormat/>
    <w:pPr>
      <w:ind w:left="1701"/>
      <w:spacing w:after="57"/>
    </w:pPr>
  </w:style>
  <w:style w:type="paragraph" w:styleId="811" w:customStyle="1">
    <w:name w:val="题注11"/>
    <w:basedOn w:val="752"/>
    <w:next w:val="752"/>
    <w:uiPriority w:val="35"/>
    <w:unhideWhenUsed/>
    <w:qFormat/>
    <w:pPr>
      <w:spacing w:line="276" w:lineRule="auto"/>
    </w:pPr>
    <w:rPr>
      <w:b/>
      <w:bCs/>
      <w:color w:val="4f81bd"/>
      <w:sz w:val="18"/>
      <w:szCs w:val="18"/>
    </w:rPr>
  </w:style>
  <w:style w:type="paragraph" w:styleId="812" w:customStyle="1">
    <w:name w:val="目录 512"/>
    <w:basedOn w:val="752"/>
    <w:next w:val="752"/>
    <w:uiPriority w:val="39"/>
    <w:unhideWhenUsed/>
    <w:qFormat/>
    <w:pPr>
      <w:ind w:left="1134"/>
      <w:spacing w:after="57"/>
    </w:pPr>
  </w:style>
  <w:style w:type="paragraph" w:styleId="813" w:customStyle="1">
    <w:name w:val="目录 312"/>
    <w:basedOn w:val="752"/>
    <w:next w:val="752"/>
    <w:uiPriority w:val="39"/>
    <w:unhideWhenUsed/>
    <w:qFormat/>
    <w:pPr>
      <w:ind w:left="567"/>
      <w:spacing w:after="57"/>
    </w:pPr>
  </w:style>
  <w:style w:type="paragraph" w:styleId="814" w:customStyle="1">
    <w:name w:val="目录 812"/>
    <w:basedOn w:val="752"/>
    <w:next w:val="752"/>
    <w:uiPriority w:val="39"/>
    <w:unhideWhenUsed/>
    <w:qFormat/>
    <w:pPr>
      <w:ind w:left="1984"/>
      <w:spacing w:after="57"/>
    </w:pPr>
  </w:style>
  <w:style w:type="paragraph" w:styleId="815" w:customStyle="1">
    <w:name w:val="尾注文本12"/>
    <w:basedOn w:val="752"/>
    <w:uiPriority w:val="99"/>
    <w:unhideWhenUsed/>
    <w:qFormat/>
    <w:rPr>
      <w:sz w:val="20"/>
    </w:rPr>
  </w:style>
  <w:style w:type="paragraph" w:styleId="816" w:customStyle="1">
    <w:name w:val="页脚13"/>
    <w:basedOn w:val="752"/>
    <w:uiPriority w:val="99"/>
    <w:unhideWhenUsed/>
    <w:qFormat/>
    <w:pPr>
      <w:tabs>
        <w:tab w:val="center" w:pos="7143" w:leader="none"/>
        <w:tab w:val="right" w:pos="14287" w:leader="none"/>
      </w:tabs>
    </w:pPr>
  </w:style>
  <w:style w:type="paragraph" w:styleId="817" w:customStyle="1">
    <w:name w:val="页眉12"/>
    <w:basedOn w:val="752"/>
    <w:uiPriority w:val="99"/>
    <w:unhideWhenUsed/>
    <w:qFormat/>
    <w:pPr>
      <w:tabs>
        <w:tab w:val="center" w:pos="7143" w:leader="none"/>
        <w:tab w:val="right" w:pos="14287" w:leader="none"/>
      </w:tabs>
    </w:pPr>
  </w:style>
  <w:style w:type="paragraph" w:styleId="818" w:customStyle="1">
    <w:name w:val="目录 112"/>
    <w:basedOn w:val="752"/>
    <w:next w:val="752"/>
    <w:uiPriority w:val="39"/>
    <w:unhideWhenUsed/>
    <w:qFormat/>
    <w:pPr>
      <w:spacing w:after="57"/>
    </w:pPr>
  </w:style>
  <w:style w:type="paragraph" w:styleId="819" w:customStyle="1">
    <w:name w:val="目录 412"/>
    <w:basedOn w:val="752"/>
    <w:next w:val="752"/>
    <w:uiPriority w:val="39"/>
    <w:unhideWhenUsed/>
    <w:qFormat/>
    <w:pPr>
      <w:ind w:left="850"/>
      <w:spacing w:after="57"/>
    </w:pPr>
  </w:style>
  <w:style w:type="paragraph" w:styleId="820" w:customStyle="1">
    <w:name w:val="副标题12"/>
    <w:basedOn w:val="752"/>
    <w:next w:val="752"/>
    <w:uiPriority w:val="11"/>
    <w:qFormat/>
    <w:pPr>
      <w:spacing w:before="200" w:after="200"/>
    </w:pPr>
    <w:rPr>
      <w:sz w:val="24"/>
      <w:szCs w:val="24"/>
    </w:rPr>
  </w:style>
  <w:style w:type="paragraph" w:styleId="821" w:customStyle="1">
    <w:name w:val="脚注文本12"/>
    <w:basedOn w:val="752"/>
    <w:uiPriority w:val="99"/>
    <w:unhideWhenUsed/>
    <w:qFormat/>
    <w:pPr>
      <w:spacing w:after="40"/>
    </w:pPr>
    <w:rPr>
      <w:sz w:val="18"/>
    </w:rPr>
  </w:style>
  <w:style w:type="paragraph" w:styleId="822" w:customStyle="1">
    <w:name w:val="目录 612"/>
    <w:basedOn w:val="752"/>
    <w:next w:val="752"/>
    <w:uiPriority w:val="39"/>
    <w:unhideWhenUsed/>
    <w:qFormat/>
    <w:pPr>
      <w:ind w:left="1417"/>
      <w:spacing w:after="57"/>
    </w:pPr>
  </w:style>
  <w:style w:type="paragraph" w:styleId="823" w:customStyle="1">
    <w:name w:val="图表目录12"/>
    <w:basedOn w:val="752"/>
    <w:next w:val="752"/>
    <w:uiPriority w:val="99"/>
    <w:unhideWhenUsed/>
    <w:qFormat/>
  </w:style>
  <w:style w:type="paragraph" w:styleId="824" w:customStyle="1">
    <w:name w:val="目录 212"/>
    <w:basedOn w:val="752"/>
    <w:next w:val="752"/>
    <w:uiPriority w:val="39"/>
    <w:unhideWhenUsed/>
    <w:qFormat/>
    <w:pPr>
      <w:ind w:left="283"/>
      <w:spacing w:after="57"/>
    </w:pPr>
  </w:style>
  <w:style w:type="paragraph" w:styleId="825" w:customStyle="1">
    <w:name w:val="目录 912"/>
    <w:basedOn w:val="752"/>
    <w:next w:val="752"/>
    <w:uiPriority w:val="39"/>
    <w:unhideWhenUsed/>
    <w:qFormat/>
    <w:pPr>
      <w:ind w:left="2268"/>
      <w:spacing w:after="57"/>
    </w:pPr>
  </w:style>
  <w:style w:type="paragraph" w:styleId="826" w:customStyle="1">
    <w:name w:val="标题12"/>
    <w:basedOn w:val="752"/>
    <w:next w:val="752"/>
    <w:uiPriority w:val="10"/>
    <w:qFormat/>
    <w:pPr>
      <w:contextualSpacing/>
      <w:spacing w:before="300" w:after="200"/>
    </w:pPr>
    <w:rPr>
      <w:sz w:val="48"/>
      <w:szCs w:val="48"/>
    </w:rPr>
  </w:style>
  <w:style w:type="table" w:styleId="827" w:customStyle="1">
    <w:name w:val="网格型12"/>
    <w:uiPriority w:val="59"/>
    <w:qFormat/>
    <w:tblPr>
      <w:tblCellMar>
        <w:left w:w="0" w:type="dxa"/>
        <w:top w:w="0" w:type="dxa"/>
        <w:right w:w="0" w:type="dxa"/>
        <w:bottom w:w="0" w:type="dxa"/>
      </w:tblCellMar>
    </w:tblPr>
  </w:style>
  <w:style w:type="character" w:styleId="828" w:customStyle="1">
    <w:name w:val="尾注引用12"/>
    <w:uiPriority w:val="99"/>
    <w:unhideWhenUsed/>
    <w:qFormat/>
    <w:rPr>
      <w:vertAlign w:val="superscript"/>
    </w:rPr>
  </w:style>
  <w:style w:type="character" w:styleId="829" w:customStyle="1">
    <w:name w:val="超链接12"/>
    <w:uiPriority w:val="99"/>
    <w:unhideWhenUsed/>
    <w:qFormat/>
    <w:rPr>
      <w:color w:val="0000ff"/>
      <w:u w:val="single"/>
    </w:rPr>
  </w:style>
  <w:style w:type="character" w:styleId="830" w:customStyle="1">
    <w:name w:val="脚注引用12"/>
    <w:uiPriority w:val="99"/>
    <w:unhideWhenUsed/>
    <w:qFormat/>
    <w:rPr>
      <w:vertAlign w:val="superscript"/>
    </w:rPr>
  </w:style>
  <w:style w:type="character" w:styleId="831" w:customStyle="1">
    <w:name w:val="font01"/>
    <w:uiPriority w:val="0"/>
    <w:qFormat/>
    <w:rPr>
      <w:rFonts w:ascii="Tahoma" w:hAnsi="Tahoma" w:eastAsia="Tahoma" w:cs="Tahoma"/>
      <w:color w:val="333333"/>
      <w:sz w:val="20"/>
      <w:szCs w:val="20"/>
      <w:u w:val="none"/>
    </w:rPr>
  </w:style>
  <w:style w:type="paragraph" w:styleId="832" w:customStyle="1">
    <w:name w:val="TOC 标题112"/>
    <w:uiPriority w:val="39"/>
    <w:unhideWhenUsed/>
    <w:qFormat/>
    <w:rPr>
      <w:rFonts w:ascii="Times New Roman" w:hAnsi="Times New Roman" w:eastAsia="宋体" w:cs="Times New Roman"/>
      <w:lang w:val="en-US" w:eastAsia="zh-CN" w:bidi="ar-SA"/>
    </w:rPr>
  </w:style>
  <w:style w:type="paragraph" w:styleId="833" w:customStyle="1">
    <w:name w:val="标题 111"/>
    <w:basedOn w:val="752"/>
    <w:next w:val="752"/>
    <w:link w:val="834"/>
    <w:uiPriority w:val="9"/>
    <w:qFormat/>
    <w:pPr>
      <w:keepLines/>
      <w:keepNext/>
      <w:spacing w:before="480" w:after="200"/>
      <w:outlineLvl w:val="0"/>
    </w:pPr>
    <w:rPr>
      <w:rFonts w:ascii="Arial" w:hAnsi="Arial" w:eastAsia="Arial" w:cs="Arial"/>
      <w:sz w:val="40"/>
      <w:szCs w:val="40"/>
    </w:rPr>
  </w:style>
  <w:style w:type="character" w:styleId="834" w:customStyle="1">
    <w:name w:val="标题 1 Char1"/>
    <w:link w:val="833"/>
    <w:uiPriority w:val="9"/>
    <w:qFormat/>
    <w:rPr>
      <w:rFonts w:ascii="Arial" w:hAnsi="Arial" w:eastAsia="Arial" w:cs="Arial"/>
      <w:sz w:val="40"/>
      <w:szCs w:val="40"/>
    </w:rPr>
  </w:style>
  <w:style w:type="paragraph" w:styleId="835" w:customStyle="1">
    <w:name w:val="标题 211"/>
    <w:basedOn w:val="752"/>
    <w:next w:val="752"/>
    <w:link w:val="836"/>
    <w:uiPriority w:val="9"/>
    <w:unhideWhenUsed/>
    <w:qFormat/>
    <w:pPr>
      <w:keepLines/>
      <w:keepNext/>
      <w:spacing w:before="360" w:after="200"/>
      <w:outlineLvl w:val="1"/>
    </w:pPr>
    <w:rPr>
      <w:rFonts w:ascii="Arial" w:hAnsi="Arial" w:eastAsia="Arial" w:cs="Arial"/>
      <w:sz w:val="34"/>
    </w:rPr>
  </w:style>
  <w:style w:type="character" w:styleId="836" w:customStyle="1">
    <w:name w:val="标题 2 Char1"/>
    <w:link w:val="835"/>
    <w:uiPriority w:val="9"/>
    <w:qFormat/>
    <w:rPr>
      <w:rFonts w:ascii="Arial" w:hAnsi="Arial" w:eastAsia="Arial" w:cs="Arial"/>
      <w:sz w:val="34"/>
    </w:rPr>
  </w:style>
  <w:style w:type="paragraph" w:styleId="837" w:customStyle="1">
    <w:name w:val="标题 311"/>
    <w:basedOn w:val="752"/>
    <w:next w:val="752"/>
    <w:link w:val="838"/>
    <w:uiPriority w:val="9"/>
    <w:unhideWhenUsed/>
    <w:qFormat/>
    <w:pPr>
      <w:keepLines/>
      <w:keepNext/>
      <w:spacing w:before="320" w:after="200"/>
      <w:outlineLvl w:val="2"/>
    </w:pPr>
    <w:rPr>
      <w:rFonts w:ascii="Arial" w:hAnsi="Arial" w:eastAsia="Arial" w:cs="Arial"/>
      <w:sz w:val="30"/>
      <w:szCs w:val="30"/>
    </w:rPr>
  </w:style>
  <w:style w:type="character" w:styleId="838" w:customStyle="1">
    <w:name w:val="标题 3 Char1"/>
    <w:link w:val="837"/>
    <w:uiPriority w:val="9"/>
    <w:qFormat/>
    <w:rPr>
      <w:rFonts w:ascii="Arial" w:hAnsi="Arial" w:eastAsia="Arial" w:cs="Arial"/>
      <w:sz w:val="30"/>
      <w:szCs w:val="30"/>
    </w:rPr>
  </w:style>
  <w:style w:type="paragraph" w:styleId="839" w:customStyle="1">
    <w:name w:val="标题 411"/>
    <w:basedOn w:val="752"/>
    <w:next w:val="752"/>
    <w:link w:val="840"/>
    <w:uiPriority w:val="9"/>
    <w:unhideWhenUsed/>
    <w:qFormat/>
    <w:pPr>
      <w:keepLines/>
      <w:keepNext/>
      <w:spacing w:before="320" w:after="200"/>
      <w:outlineLvl w:val="3"/>
    </w:pPr>
    <w:rPr>
      <w:rFonts w:ascii="Arial" w:hAnsi="Arial" w:eastAsia="Arial" w:cs="Arial"/>
      <w:b/>
      <w:bCs/>
      <w:sz w:val="26"/>
      <w:szCs w:val="26"/>
    </w:rPr>
  </w:style>
  <w:style w:type="character" w:styleId="840" w:customStyle="1">
    <w:name w:val="标题 4 Char1"/>
    <w:link w:val="839"/>
    <w:uiPriority w:val="9"/>
    <w:qFormat/>
    <w:rPr>
      <w:rFonts w:ascii="Arial" w:hAnsi="Arial" w:eastAsia="Arial" w:cs="Arial"/>
      <w:b/>
      <w:bCs/>
      <w:sz w:val="26"/>
      <w:szCs w:val="26"/>
    </w:rPr>
  </w:style>
  <w:style w:type="paragraph" w:styleId="841" w:customStyle="1">
    <w:name w:val="标题 511"/>
    <w:basedOn w:val="752"/>
    <w:next w:val="752"/>
    <w:link w:val="842"/>
    <w:uiPriority w:val="9"/>
    <w:unhideWhenUsed/>
    <w:qFormat/>
    <w:pPr>
      <w:keepLines/>
      <w:keepNext/>
      <w:spacing w:before="320" w:after="200"/>
      <w:outlineLvl w:val="4"/>
    </w:pPr>
    <w:rPr>
      <w:rFonts w:ascii="Arial" w:hAnsi="Arial" w:eastAsia="Arial" w:cs="Arial"/>
      <w:b/>
      <w:bCs/>
      <w:sz w:val="24"/>
      <w:szCs w:val="24"/>
    </w:rPr>
  </w:style>
  <w:style w:type="character" w:styleId="842" w:customStyle="1">
    <w:name w:val="标题 5 Char1"/>
    <w:link w:val="841"/>
    <w:uiPriority w:val="9"/>
    <w:qFormat/>
    <w:rPr>
      <w:rFonts w:ascii="Arial" w:hAnsi="Arial" w:eastAsia="Arial" w:cs="Arial"/>
      <w:b/>
      <w:bCs/>
      <w:sz w:val="24"/>
      <w:szCs w:val="24"/>
    </w:rPr>
  </w:style>
  <w:style w:type="paragraph" w:styleId="843" w:customStyle="1">
    <w:name w:val="标题 61"/>
    <w:basedOn w:val="752"/>
    <w:next w:val="752"/>
    <w:link w:val="844"/>
    <w:uiPriority w:val="9"/>
    <w:unhideWhenUsed/>
    <w:qFormat/>
    <w:pPr>
      <w:keepLines/>
      <w:keepNext/>
      <w:spacing w:before="320" w:after="200"/>
      <w:outlineLvl w:val="5"/>
    </w:pPr>
    <w:rPr>
      <w:rFonts w:ascii="Arial" w:hAnsi="Arial" w:eastAsia="Arial" w:cs="Arial"/>
      <w:b/>
      <w:bCs/>
      <w:sz w:val="22"/>
      <w:szCs w:val="22"/>
    </w:rPr>
  </w:style>
  <w:style w:type="character" w:styleId="844" w:customStyle="1">
    <w:name w:val="标题 6 Char"/>
    <w:link w:val="843"/>
    <w:uiPriority w:val="9"/>
    <w:qFormat/>
    <w:rPr>
      <w:rFonts w:ascii="Arial" w:hAnsi="Arial" w:eastAsia="Arial" w:cs="Arial"/>
      <w:b/>
      <w:bCs/>
      <w:sz w:val="22"/>
      <w:szCs w:val="22"/>
    </w:rPr>
  </w:style>
  <w:style w:type="paragraph" w:styleId="845" w:customStyle="1">
    <w:name w:val="标题 71"/>
    <w:basedOn w:val="752"/>
    <w:next w:val="752"/>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customStyle="1">
    <w:name w:val="标题 7 Char"/>
    <w:link w:val="845"/>
    <w:uiPriority w:val="9"/>
    <w:qFormat/>
    <w:rPr>
      <w:rFonts w:ascii="Arial" w:hAnsi="Arial" w:eastAsia="Arial" w:cs="Arial"/>
      <w:b/>
      <w:bCs/>
      <w:i/>
      <w:iCs/>
      <w:sz w:val="22"/>
      <w:szCs w:val="22"/>
    </w:rPr>
  </w:style>
  <w:style w:type="paragraph" w:styleId="847" w:customStyle="1">
    <w:name w:val="标题 81"/>
    <w:basedOn w:val="752"/>
    <w:next w:val="752"/>
    <w:link w:val="848"/>
    <w:uiPriority w:val="9"/>
    <w:unhideWhenUsed/>
    <w:qFormat/>
    <w:pPr>
      <w:keepLines/>
      <w:keepNext/>
      <w:spacing w:before="320" w:after="200"/>
      <w:outlineLvl w:val="7"/>
    </w:pPr>
    <w:rPr>
      <w:rFonts w:ascii="Arial" w:hAnsi="Arial" w:eastAsia="Arial" w:cs="Arial"/>
      <w:i/>
      <w:iCs/>
      <w:sz w:val="22"/>
      <w:szCs w:val="22"/>
    </w:rPr>
  </w:style>
  <w:style w:type="character" w:styleId="848" w:customStyle="1">
    <w:name w:val="标题 8 Char"/>
    <w:link w:val="847"/>
    <w:uiPriority w:val="9"/>
    <w:qFormat/>
    <w:rPr>
      <w:rFonts w:ascii="Arial" w:hAnsi="Arial" w:eastAsia="Arial" w:cs="Arial"/>
      <w:i/>
      <w:iCs/>
      <w:sz w:val="22"/>
      <w:szCs w:val="22"/>
    </w:rPr>
  </w:style>
  <w:style w:type="paragraph" w:styleId="849" w:customStyle="1">
    <w:name w:val="标题 91"/>
    <w:basedOn w:val="752"/>
    <w:next w:val="752"/>
    <w:link w:val="850"/>
    <w:uiPriority w:val="9"/>
    <w:unhideWhenUsed/>
    <w:qFormat/>
    <w:pPr>
      <w:keepLines/>
      <w:keepNext/>
      <w:spacing w:before="320" w:after="200"/>
      <w:outlineLvl w:val="8"/>
    </w:pPr>
    <w:rPr>
      <w:rFonts w:ascii="Arial" w:hAnsi="Arial" w:eastAsia="Arial" w:cs="Arial"/>
      <w:i/>
      <w:iCs/>
      <w:szCs w:val="21"/>
    </w:rPr>
  </w:style>
  <w:style w:type="character" w:styleId="850" w:customStyle="1">
    <w:name w:val="标题 9 Char"/>
    <w:link w:val="849"/>
    <w:uiPriority w:val="9"/>
    <w:qFormat/>
    <w:rPr>
      <w:rFonts w:ascii="Arial" w:hAnsi="Arial" w:eastAsia="Arial" w:cs="Arial"/>
      <w:i/>
      <w:iCs/>
      <w:sz w:val="21"/>
      <w:szCs w:val="21"/>
    </w:rPr>
  </w:style>
  <w:style w:type="character" w:styleId="851" w:customStyle="1">
    <w:name w:val="默认段落字体11"/>
    <w:uiPriority w:val="1"/>
    <w:unhideWhenUsed/>
    <w:qFormat/>
  </w:style>
  <w:style w:type="table" w:styleId="852" w:customStyle="1">
    <w:name w:val="普通表格11"/>
    <w:uiPriority w:val="99"/>
    <w:unhideWhenUsed/>
    <w:qFormat/>
    <w:tblPr>
      <w:tblCellMar>
        <w:left w:w="0" w:type="dxa"/>
        <w:top w:w="0" w:type="dxa"/>
        <w:right w:w="0" w:type="dxa"/>
        <w:bottom w:w="0" w:type="dxa"/>
      </w:tblCellMar>
    </w:tblPr>
  </w:style>
  <w:style w:type="paragraph" w:styleId="853" w:customStyle="1">
    <w:name w:val="目录 711"/>
    <w:basedOn w:val="752"/>
    <w:next w:val="752"/>
    <w:uiPriority w:val="39"/>
    <w:unhideWhenUsed/>
    <w:qFormat/>
    <w:pPr>
      <w:ind w:left="1701"/>
      <w:spacing w:after="57"/>
    </w:pPr>
  </w:style>
  <w:style w:type="paragraph" w:styleId="854" w:customStyle="1">
    <w:name w:val="正文缩进111"/>
    <w:basedOn w:val="752"/>
    <w:uiPriority w:val="0"/>
    <w:qFormat/>
    <w:pPr>
      <w:ind w:firstLine="420"/>
      <w:jc w:val="left"/>
      <w:widowControl/>
    </w:pPr>
    <w:rPr>
      <w:sz w:val="20"/>
    </w:rPr>
  </w:style>
  <w:style w:type="paragraph" w:styleId="855" w:customStyle="1">
    <w:name w:val="题注1"/>
    <w:basedOn w:val="752"/>
    <w:next w:val="752"/>
    <w:uiPriority w:val="35"/>
    <w:unhideWhenUsed/>
    <w:qFormat/>
    <w:pPr>
      <w:spacing w:line="276" w:lineRule="auto"/>
    </w:pPr>
    <w:rPr>
      <w:b/>
      <w:bCs/>
      <w:color w:val="4f81bd"/>
      <w:sz w:val="18"/>
      <w:szCs w:val="18"/>
    </w:rPr>
  </w:style>
  <w:style w:type="paragraph" w:styleId="856" w:customStyle="1">
    <w:name w:val="目录 511"/>
    <w:basedOn w:val="752"/>
    <w:next w:val="752"/>
    <w:uiPriority w:val="39"/>
    <w:unhideWhenUsed/>
    <w:qFormat/>
    <w:pPr>
      <w:ind w:left="1134"/>
      <w:spacing w:after="57"/>
    </w:pPr>
  </w:style>
  <w:style w:type="paragraph" w:styleId="857" w:customStyle="1">
    <w:name w:val="目录 311"/>
    <w:basedOn w:val="752"/>
    <w:next w:val="752"/>
    <w:uiPriority w:val="39"/>
    <w:unhideWhenUsed/>
    <w:qFormat/>
    <w:pPr>
      <w:ind w:left="567"/>
      <w:spacing w:after="57"/>
    </w:pPr>
  </w:style>
  <w:style w:type="paragraph" w:styleId="858" w:customStyle="1">
    <w:name w:val="纯文本12"/>
    <w:basedOn w:val="752"/>
    <w:uiPriority w:val="0"/>
    <w:qFormat/>
    <w:rPr>
      <w:rFonts w:hint="eastAsia" w:ascii="宋体" w:hAnsi="Courier New"/>
      <w:szCs w:val="21"/>
    </w:rPr>
  </w:style>
  <w:style w:type="paragraph" w:styleId="859" w:customStyle="1">
    <w:name w:val="目录 811"/>
    <w:basedOn w:val="752"/>
    <w:next w:val="752"/>
    <w:uiPriority w:val="39"/>
    <w:unhideWhenUsed/>
    <w:qFormat/>
    <w:pPr>
      <w:ind w:left="1984"/>
      <w:spacing w:after="57"/>
    </w:pPr>
  </w:style>
  <w:style w:type="paragraph" w:styleId="860" w:customStyle="1">
    <w:name w:val="尾注文本11"/>
    <w:basedOn w:val="752"/>
    <w:uiPriority w:val="99"/>
    <w:unhideWhenUsed/>
    <w:qFormat/>
    <w:rPr>
      <w:sz w:val="20"/>
    </w:rPr>
  </w:style>
  <w:style w:type="paragraph" w:styleId="861" w:customStyle="1">
    <w:name w:val="页脚12"/>
    <w:basedOn w:val="752"/>
    <w:uiPriority w:val="99"/>
    <w:unhideWhenUsed/>
    <w:qFormat/>
    <w:pPr>
      <w:tabs>
        <w:tab w:val="center" w:pos="7143" w:leader="none"/>
        <w:tab w:val="right" w:pos="14287" w:leader="none"/>
      </w:tabs>
    </w:pPr>
  </w:style>
  <w:style w:type="paragraph" w:styleId="862" w:customStyle="1">
    <w:name w:val="页眉11"/>
    <w:basedOn w:val="752"/>
    <w:uiPriority w:val="99"/>
    <w:unhideWhenUsed/>
    <w:qFormat/>
    <w:pPr>
      <w:tabs>
        <w:tab w:val="center" w:pos="7143" w:leader="none"/>
        <w:tab w:val="right" w:pos="14287" w:leader="none"/>
      </w:tabs>
    </w:pPr>
  </w:style>
  <w:style w:type="paragraph" w:styleId="863" w:customStyle="1">
    <w:name w:val="目录 111"/>
    <w:basedOn w:val="752"/>
    <w:next w:val="752"/>
    <w:uiPriority w:val="39"/>
    <w:unhideWhenUsed/>
    <w:qFormat/>
    <w:pPr>
      <w:spacing w:after="57"/>
    </w:pPr>
  </w:style>
  <w:style w:type="paragraph" w:styleId="864" w:customStyle="1">
    <w:name w:val="目录 411"/>
    <w:basedOn w:val="752"/>
    <w:next w:val="752"/>
    <w:uiPriority w:val="39"/>
    <w:unhideWhenUsed/>
    <w:qFormat/>
    <w:pPr>
      <w:ind w:left="850"/>
      <w:spacing w:after="57"/>
    </w:pPr>
  </w:style>
  <w:style w:type="paragraph" w:styleId="865" w:customStyle="1">
    <w:name w:val="副标题11"/>
    <w:basedOn w:val="752"/>
    <w:next w:val="752"/>
    <w:uiPriority w:val="11"/>
    <w:qFormat/>
    <w:pPr>
      <w:spacing w:before="200" w:after="200"/>
    </w:pPr>
    <w:rPr>
      <w:sz w:val="24"/>
      <w:szCs w:val="24"/>
    </w:rPr>
  </w:style>
  <w:style w:type="paragraph" w:styleId="866" w:customStyle="1">
    <w:name w:val="脚注文本11"/>
    <w:basedOn w:val="752"/>
    <w:uiPriority w:val="99"/>
    <w:unhideWhenUsed/>
    <w:qFormat/>
    <w:pPr>
      <w:spacing w:after="40"/>
    </w:pPr>
    <w:rPr>
      <w:sz w:val="18"/>
    </w:rPr>
  </w:style>
  <w:style w:type="paragraph" w:styleId="867" w:customStyle="1">
    <w:name w:val="目录 611"/>
    <w:basedOn w:val="752"/>
    <w:next w:val="752"/>
    <w:uiPriority w:val="39"/>
    <w:unhideWhenUsed/>
    <w:qFormat/>
    <w:pPr>
      <w:ind w:left="1417"/>
      <w:spacing w:after="57"/>
    </w:pPr>
  </w:style>
  <w:style w:type="paragraph" w:styleId="868" w:customStyle="1">
    <w:name w:val="图表目录11"/>
    <w:basedOn w:val="752"/>
    <w:next w:val="752"/>
    <w:uiPriority w:val="99"/>
    <w:unhideWhenUsed/>
    <w:qFormat/>
  </w:style>
  <w:style w:type="paragraph" w:styleId="869" w:customStyle="1">
    <w:name w:val="目录 211"/>
    <w:basedOn w:val="752"/>
    <w:next w:val="752"/>
    <w:uiPriority w:val="39"/>
    <w:unhideWhenUsed/>
    <w:qFormat/>
    <w:pPr>
      <w:ind w:left="283"/>
      <w:spacing w:after="57"/>
    </w:pPr>
  </w:style>
  <w:style w:type="paragraph" w:styleId="870" w:customStyle="1">
    <w:name w:val="目录 911"/>
    <w:basedOn w:val="752"/>
    <w:next w:val="752"/>
    <w:uiPriority w:val="39"/>
    <w:unhideWhenUsed/>
    <w:qFormat/>
    <w:pPr>
      <w:ind w:left="2268"/>
      <w:spacing w:after="57"/>
    </w:pPr>
  </w:style>
  <w:style w:type="paragraph" w:styleId="871" w:customStyle="1">
    <w:name w:val="普通(网站)11"/>
    <w:basedOn w:val="752"/>
    <w:uiPriority w:val="99"/>
    <w:unhideWhenUsed/>
    <w:qFormat/>
    <w:rPr>
      <w:sz w:val="24"/>
    </w:rPr>
  </w:style>
  <w:style w:type="paragraph" w:styleId="872" w:customStyle="1">
    <w:name w:val="标题11"/>
    <w:basedOn w:val="752"/>
    <w:next w:val="752"/>
    <w:uiPriority w:val="10"/>
    <w:qFormat/>
    <w:pPr>
      <w:contextualSpacing/>
      <w:spacing w:before="300" w:after="200"/>
    </w:pPr>
    <w:rPr>
      <w:sz w:val="48"/>
      <w:szCs w:val="48"/>
    </w:rPr>
  </w:style>
  <w:style w:type="table" w:styleId="873" w:customStyle="1">
    <w:name w:val="网格型11"/>
    <w:uiPriority w:val="59"/>
    <w:qFormat/>
    <w:tblPr>
      <w:tblCellMar>
        <w:left w:w="0" w:type="dxa"/>
        <w:top w:w="0" w:type="dxa"/>
        <w:right w:w="0" w:type="dxa"/>
        <w:bottom w:w="0" w:type="dxa"/>
      </w:tblCellMar>
    </w:tblPr>
  </w:style>
  <w:style w:type="character" w:styleId="874" w:customStyle="1">
    <w:name w:val="尾注引用11"/>
    <w:uiPriority w:val="99"/>
    <w:unhideWhenUsed/>
    <w:qFormat/>
    <w:rPr>
      <w:vertAlign w:val="superscript"/>
    </w:rPr>
  </w:style>
  <w:style w:type="character" w:styleId="875" w:customStyle="1">
    <w:name w:val="超链接11"/>
    <w:uiPriority w:val="99"/>
    <w:unhideWhenUsed/>
    <w:qFormat/>
    <w:rPr>
      <w:color w:val="0000ff"/>
      <w:u w:val="single"/>
    </w:rPr>
  </w:style>
  <w:style w:type="character" w:styleId="876" w:customStyle="1">
    <w:name w:val="脚注引用11"/>
    <w:uiPriority w:val="99"/>
    <w:unhideWhenUsed/>
    <w:qFormat/>
    <w:rPr>
      <w:vertAlign w:val="superscript"/>
    </w:rPr>
  </w:style>
  <w:style w:type="paragraph" w:styleId="877" w:customStyle="1">
    <w:name w:val="正文缩进1"/>
    <w:basedOn w:val="752"/>
    <w:link w:val="878"/>
    <w:uiPriority w:val="0"/>
    <w:unhideWhenUsed/>
    <w:qFormat/>
    <w:pPr>
      <w:ind w:firstLine="420"/>
    </w:pPr>
    <w:rPr>
      <w:szCs w:val="24"/>
    </w:rPr>
  </w:style>
  <w:style w:type="character" w:styleId="878" w:customStyle="1">
    <w:name w:val="正文缩进 Char"/>
    <w:link w:val="877"/>
    <w:uiPriority w:val="0"/>
    <w:qFormat/>
    <w:rPr>
      <w:rFonts w:ascii="Times New Roman" w:hAnsi="Times New Roman"/>
      <w:sz w:val="21"/>
      <w:szCs w:val="24"/>
    </w:rPr>
  </w:style>
  <w:style w:type="paragraph" w:styleId="879" w:customStyle="1">
    <w:name w:val="标题 11"/>
    <w:basedOn w:val="752"/>
    <w:next w:val="752"/>
    <w:link w:val="880"/>
    <w:uiPriority w:val="99"/>
    <w:qFormat/>
    <w:pPr>
      <w:jc w:val="center"/>
      <w:keepNext/>
      <w:outlineLvl w:val="0"/>
    </w:pPr>
    <w:rPr>
      <w:rFonts w:ascii="楷体_GB2312" w:eastAsia="楷体_GB2312"/>
      <w:b/>
      <w:sz w:val="28"/>
    </w:rPr>
  </w:style>
  <w:style w:type="character" w:styleId="880" w:customStyle="1">
    <w:name w:val="标题 1 Char"/>
    <w:link w:val="879"/>
    <w:uiPriority w:val="99"/>
    <w:qFormat/>
    <w:rPr>
      <w:rFonts w:ascii="楷体_GB2312" w:hAnsi="Times New Roman" w:eastAsia="楷体_GB2312" w:cs="Times New Roman"/>
      <w:b/>
      <w:sz w:val="28"/>
      <w:szCs w:val="20"/>
    </w:rPr>
  </w:style>
  <w:style w:type="paragraph" w:styleId="881" w:customStyle="1">
    <w:name w:val="标题 21"/>
    <w:basedOn w:val="752"/>
    <w:next w:val="752"/>
    <w:link w:val="882"/>
    <w:uiPriority w:val="99"/>
    <w:qFormat/>
    <w:pPr>
      <w:jc w:val="center"/>
      <w:keepNext/>
      <w:outlineLvl w:val="1"/>
    </w:pPr>
    <w:rPr>
      <w:rFonts w:ascii="楷体_GB2312" w:eastAsia="楷体_GB2312"/>
      <w:b/>
      <w:bCs/>
      <w:sz w:val="18"/>
    </w:rPr>
  </w:style>
  <w:style w:type="character" w:styleId="882" w:customStyle="1">
    <w:name w:val="标题 2 Char"/>
    <w:link w:val="881"/>
    <w:uiPriority w:val="99"/>
    <w:qFormat/>
    <w:rPr>
      <w:rFonts w:ascii="楷体_GB2312" w:hAnsi="Times New Roman" w:eastAsia="楷体_GB2312" w:cs="Times New Roman"/>
      <w:b/>
      <w:bCs/>
      <w:sz w:val="18"/>
      <w:szCs w:val="20"/>
    </w:rPr>
  </w:style>
  <w:style w:type="paragraph" w:styleId="883" w:customStyle="1">
    <w:name w:val="标题 31"/>
    <w:basedOn w:val="752"/>
    <w:next w:val="752"/>
    <w:link w:val="884"/>
    <w:uiPriority w:val="99"/>
    <w:qFormat/>
    <w:pPr>
      <w:jc w:val="center"/>
      <w:keepNext/>
      <w:outlineLvl w:val="2"/>
    </w:pPr>
    <w:rPr>
      <w:rFonts w:eastAsia="楷体_GB2312"/>
      <w:b/>
      <w:bCs/>
      <w:sz w:val="15"/>
    </w:rPr>
  </w:style>
  <w:style w:type="character" w:styleId="884" w:customStyle="1">
    <w:name w:val="标题 3 Char"/>
    <w:link w:val="883"/>
    <w:uiPriority w:val="99"/>
    <w:qFormat/>
    <w:rPr>
      <w:rFonts w:ascii="Times New Roman" w:hAnsi="Times New Roman" w:eastAsia="楷体_GB2312" w:cs="Times New Roman"/>
      <w:b/>
      <w:bCs/>
      <w:sz w:val="15"/>
      <w:szCs w:val="20"/>
    </w:rPr>
  </w:style>
  <w:style w:type="paragraph" w:styleId="885" w:customStyle="1">
    <w:name w:val="标题 41"/>
    <w:basedOn w:val="752"/>
    <w:next w:val="752"/>
    <w:link w:val="886"/>
    <w:uiPriority w:val="99"/>
    <w:qFormat/>
    <w:pPr>
      <w:jc w:val="center"/>
      <w:keepNext/>
      <w:outlineLvl w:val="3"/>
    </w:pPr>
    <w:rPr>
      <w:rFonts w:eastAsia="楷体_GB2312"/>
      <w:b/>
      <w:bCs/>
      <w:sz w:val="13"/>
    </w:rPr>
  </w:style>
  <w:style w:type="character" w:styleId="886" w:customStyle="1">
    <w:name w:val="标题 4 Char"/>
    <w:link w:val="885"/>
    <w:uiPriority w:val="99"/>
    <w:qFormat/>
    <w:rPr>
      <w:rFonts w:ascii="Times New Roman" w:hAnsi="Times New Roman" w:eastAsia="楷体_GB2312" w:cs="Times New Roman"/>
      <w:b/>
      <w:bCs/>
      <w:sz w:val="13"/>
      <w:szCs w:val="20"/>
    </w:rPr>
  </w:style>
  <w:style w:type="paragraph" w:styleId="887" w:customStyle="1">
    <w:name w:val="标题 51"/>
    <w:basedOn w:val="752"/>
    <w:next w:val="752"/>
    <w:link w:val="888"/>
    <w:uiPriority w:val="99"/>
    <w:qFormat/>
    <w:pPr>
      <w:numPr>
        <w:ilvl w:val="0"/>
        <w:numId w:val="1"/>
      </w:numPr>
      <w:keepNext/>
      <w:outlineLvl w:val="4"/>
    </w:pPr>
    <w:rPr>
      <w:rFonts w:ascii="楷体_GB2312" w:eastAsia="楷体_GB2312"/>
      <w:bCs/>
      <w:sz w:val="28"/>
    </w:rPr>
  </w:style>
  <w:style w:type="character" w:styleId="888" w:customStyle="1">
    <w:name w:val="标题 5 Char"/>
    <w:link w:val="887"/>
    <w:uiPriority w:val="99"/>
    <w:qFormat/>
    <w:rPr>
      <w:rFonts w:ascii="楷体_GB2312" w:hAnsi="Times New Roman" w:eastAsia="楷体_GB2312" w:cs="Times New Roman"/>
      <w:bCs/>
      <w:sz w:val="28"/>
      <w:szCs w:val="20"/>
    </w:rPr>
  </w:style>
  <w:style w:type="character" w:styleId="889" w:customStyle="1">
    <w:name w:val="默认段落字体1"/>
    <w:uiPriority w:val="1"/>
    <w:unhideWhenUsed/>
    <w:qFormat/>
  </w:style>
  <w:style w:type="table" w:styleId="890" w:customStyle="1">
    <w:name w:val="普通表格1"/>
    <w:uiPriority w:val="99"/>
    <w:unhideWhenUsed/>
    <w:qFormat/>
    <w:tblPr>
      <w:tblCellMar>
        <w:left w:w="0" w:type="dxa"/>
        <w:top w:w="0" w:type="dxa"/>
        <w:right w:w="0" w:type="dxa"/>
        <w:bottom w:w="0" w:type="dxa"/>
      </w:tblCellMar>
    </w:tblPr>
  </w:style>
  <w:style w:type="paragraph" w:styleId="891" w:customStyle="1">
    <w:name w:val="目录 71"/>
    <w:basedOn w:val="752"/>
    <w:next w:val="752"/>
    <w:uiPriority w:val="39"/>
    <w:unhideWhenUsed/>
    <w:qFormat/>
    <w:pPr>
      <w:ind w:left="1701"/>
      <w:spacing w:after="57"/>
    </w:pPr>
  </w:style>
  <w:style w:type="paragraph" w:styleId="892" w:customStyle="1">
    <w:name w:val="索引 51"/>
    <w:basedOn w:val="752"/>
    <w:next w:val="752"/>
    <w:uiPriority w:val="99"/>
    <w:unhideWhenUsed/>
    <w:qFormat/>
    <w:pPr>
      <w:ind w:left="800"/>
    </w:pPr>
  </w:style>
  <w:style w:type="paragraph" w:styleId="893" w:customStyle="1">
    <w:name w:val="文档结构图1"/>
    <w:basedOn w:val="752"/>
    <w:next w:val="752"/>
    <w:link w:val="894"/>
    <w:uiPriority w:val="99"/>
    <w:semiHidden/>
    <w:qFormat/>
    <w:pPr>
      <w:shd w:val="clear" w:color="auto" w:fill="000080"/>
    </w:pPr>
    <w:rPr>
      <w:sz w:val="20"/>
    </w:rPr>
  </w:style>
  <w:style w:type="character" w:styleId="894" w:customStyle="1">
    <w:name w:val="文档结构图 Char"/>
    <w:link w:val="893"/>
    <w:uiPriority w:val="99"/>
    <w:semiHidden/>
    <w:qFormat/>
    <w:rPr>
      <w:rFonts w:ascii="Times New Roman" w:hAnsi="Times New Roman" w:eastAsia="宋体" w:cs="Times New Roman"/>
      <w:szCs w:val="20"/>
      <w:shd w:val="clear" w:color="auto" w:fill="000080"/>
    </w:rPr>
  </w:style>
  <w:style w:type="paragraph" w:styleId="895" w:customStyle="1">
    <w:name w:val="批注文字1"/>
    <w:basedOn w:val="752"/>
    <w:link w:val="896"/>
    <w:uiPriority w:val="0"/>
    <w:semiHidden/>
    <w:qFormat/>
    <w:pPr>
      <w:jc w:val="left"/>
    </w:pPr>
    <w:rPr>
      <w:sz w:val="20"/>
      <w:szCs w:val="24"/>
    </w:rPr>
  </w:style>
  <w:style w:type="character" w:styleId="896" w:customStyle="1">
    <w:name w:val="批注文字 Char"/>
    <w:link w:val="895"/>
    <w:uiPriority w:val="0"/>
    <w:semiHidden/>
    <w:qFormat/>
    <w:rPr>
      <w:rFonts w:ascii="Times New Roman" w:hAnsi="Times New Roman" w:eastAsia="宋体" w:cs="Times New Roman"/>
      <w:szCs w:val="24"/>
    </w:rPr>
  </w:style>
  <w:style w:type="paragraph" w:styleId="897" w:customStyle="1">
    <w:name w:val="正文文本11"/>
    <w:basedOn w:val="752"/>
    <w:next w:val="898"/>
    <w:link w:val="899"/>
    <w:uiPriority w:val="99"/>
    <w:qFormat/>
    <w:rPr>
      <w:rFonts w:ascii="华文中宋" w:eastAsia="华文中宋"/>
      <w:bCs/>
      <w:sz w:val="28"/>
    </w:rPr>
  </w:style>
  <w:style w:type="paragraph" w:styleId="898" w:customStyle="1">
    <w:name w:val="列表1"/>
    <w:basedOn w:val="752"/>
    <w:uiPriority w:val="0"/>
    <w:qFormat/>
    <w:pPr>
      <w:numPr>
        <w:ilvl w:val="0"/>
        <w:numId w:val="2"/>
      </w:numPr>
      <w:spacing w:after="20" w:line="288" w:lineRule="auto"/>
    </w:pPr>
    <w:rPr>
      <w:lang w:val="en-GB"/>
    </w:rPr>
  </w:style>
  <w:style w:type="character" w:styleId="899" w:customStyle="1">
    <w:name w:val="正文文本 Char"/>
    <w:link w:val="897"/>
    <w:uiPriority w:val="99"/>
    <w:qFormat/>
    <w:rPr>
      <w:rFonts w:ascii="华文中宋" w:hAnsi="Times New Roman" w:eastAsia="华文中宋" w:cs="Times New Roman"/>
      <w:bCs/>
      <w:sz w:val="28"/>
      <w:szCs w:val="20"/>
    </w:rPr>
  </w:style>
  <w:style w:type="paragraph" w:styleId="900" w:customStyle="1">
    <w:name w:val="正文文本缩进1"/>
    <w:basedOn w:val="752"/>
    <w:next w:val="752"/>
    <w:link w:val="901"/>
    <w:uiPriority w:val="0"/>
    <w:qFormat/>
    <w:pPr>
      <w:ind w:firstLine="576"/>
    </w:pPr>
    <w:rPr>
      <w:b/>
      <w:sz w:val="30"/>
    </w:rPr>
  </w:style>
  <w:style w:type="character" w:styleId="901" w:customStyle="1">
    <w:name w:val="正文文本缩进 Char"/>
    <w:link w:val="900"/>
    <w:uiPriority w:val="0"/>
    <w:qFormat/>
    <w:rPr>
      <w:rFonts w:ascii="Times New Roman" w:hAnsi="Times New Roman" w:eastAsia="宋体" w:cs="Times New Roman"/>
      <w:b/>
      <w:sz w:val="30"/>
      <w:szCs w:val="20"/>
    </w:rPr>
  </w:style>
  <w:style w:type="paragraph" w:styleId="902" w:customStyle="1">
    <w:name w:val="目录 51"/>
    <w:basedOn w:val="752"/>
    <w:next w:val="752"/>
    <w:uiPriority w:val="39"/>
    <w:unhideWhenUsed/>
    <w:qFormat/>
    <w:pPr>
      <w:ind w:left="1134"/>
      <w:spacing w:after="57"/>
    </w:pPr>
  </w:style>
  <w:style w:type="paragraph" w:styleId="903" w:customStyle="1">
    <w:name w:val="目录 31"/>
    <w:basedOn w:val="752"/>
    <w:next w:val="752"/>
    <w:uiPriority w:val="39"/>
    <w:unhideWhenUsed/>
    <w:qFormat/>
    <w:pPr>
      <w:ind w:left="567"/>
      <w:spacing w:after="57"/>
    </w:pPr>
  </w:style>
  <w:style w:type="paragraph" w:styleId="904" w:customStyle="1">
    <w:name w:val="纯文本11"/>
    <w:basedOn w:val="752"/>
    <w:link w:val="905"/>
    <w:uiPriority w:val="0"/>
    <w:qFormat/>
    <w:rPr>
      <w:rFonts w:ascii="宋体" w:hAnsi="Courier New"/>
      <w:szCs w:val="21"/>
    </w:rPr>
  </w:style>
  <w:style w:type="character" w:styleId="905" w:customStyle="1">
    <w:name w:val="纯文本 Char"/>
    <w:link w:val="904"/>
    <w:uiPriority w:val="0"/>
    <w:qFormat/>
    <w:rPr>
      <w:rFonts w:ascii="宋体" w:hAnsi="Courier New"/>
      <w:sz w:val="21"/>
      <w:szCs w:val="21"/>
    </w:rPr>
  </w:style>
  <w:style w:type="paragraph" w:styleId="906" w:customStyle="1">
    <w:name w:val="目录 81"/>
    <w:basedOn w:val="752"/>
    <w:next w:val="752"/>
    <w:uiPriority w:val="39"/>
    <w:unhideWhenUsed/>
    <w:qFormat/>
    <w:pPr>
      <w:ind w:left="1984"/>
      <w:spacing w:after="57"/>
    </w:pPr>
  </w:style>
  <w:style w:type="paragraph" w:styleId="907" w:customStyle="1">
    <w:name w:val="日期1"/>
    <w:basedOn w:val="752"/>
    <w:next w:val="752"/>
    <w:link w:val="908"/>
    <w:uiPriority w:val="99"/>
    <w:qFormat/>
    <w:rPr>
      <w:rFonts w:eastAsia="黑体"/>
      <w:b/>
      <w:sz w:val="36"/>
    </w:rPr>
  </w:style>
  <w:style w:type="character" w:styleId="908" w:customStyle="1">
    <w:name w:val="日期 Char"/>
    <w:link w:val="907"/>
    <w:uiPriority w:val="99"/>
    <w:qFormat/>
    <w:rPr>
      <w:rFonts w:ascii="Times New Roman" w:hAnsi="Times New Roman" w:eastAsia="黑体" w:cs="Times New Roman"/>
      <w:b/>
      <w:sz w:val="36"/>
      <w:szCs w:val="20"/>
    </w:rPr>
  </w:style>
  <w:style w:type="paragraph" w:styleId="909" w:customStyle="1">
    <w:name w:val="正文文本缩进 21"/>
    <w:basedOn w:val="752"/>
    <w:link w:val="910"/>
    <w:uiPriority w:val="99"/>
    <w:qFormat/>
    <w:pPr>
      <w:ind w:left="900"/>
    </w:pPr>
    <w:rPr>
      <w:rFonts w:ascii="楷体_GB2312" w:eastAsia="楷体_GB2312"/>
      <w:b/>
      <w:sz w:val="28"/>
    </w:rPr>
  </w:style>
  <w:style w:type="character" w:styleId="910" w:customStyle="1">
    <w:name w:val="正文文本缩进 2 Char"/>
    <w:link w:val="909"/>
    <w:uiPriority w:val="99"/>
    <w:qFormat/>
    <w:rPr>
      <w:rFonts w:ascii="楷体_GB2312" w:hAnsi="Times New Roman" w:eastAsia="楷体_GB2312" w:cs="Times New Roman"/>
      <w:b/>
      <w:sz w:val="28"/>
      <w:szCs w:val="20"/>
    </w:rPr>
  </w:style>
  <w:style w:type="paragraph" w:styleId="911" w:customStyle="1">
    <w:name w:val="尾注文本1"/>
    <w:basedOn w:val="752"/>
    <w:link w:val="912"/>
    <w:uiPriority w:val="99"/>
    <w:unhideWhenUsed/>
    <w:qFormat/>
    <w:rPr>
      <w:sz w:val="20"/>
    </w:rPr>
  </w:style>
  <w:style w:type="character" w:styleId="912" w:customStyle="1">
    <w:name w:val="尾注文本 Char"/>
    <w:link w:val="911"/>
    <w:uiPriority w:val="99"/>
    <w:qFormat/>
    <w:rPr>
      <w:sz w:val="20"/>
    </w:rPr>
  </w:style>
  <w:style w:type="paragraph" w:styleId="913" w:customStyle="1">
    <w:name w:val="批注框文本1"/>
    <w:basedOn w:val="752"/>
    <w:link w:val="914"/>
    <w:uiPriority w:val="99"/>
    <w:unhideWhenUsed/>
    <w:qFormat/>
    <w:rPr>
      <w:sz w:val="18"/>
      <w:szCs w:val="18"/>
    </w:rPr>
  </w:style>
  <w:style w:type="character" w:styleId="914" w:customStyle="1">
    <w:name w:val="批注框文本 Char"/>
    <w:link w:val="913"/>
    <w:uiPriority w:val="99"/>
    <w:semiHidden/>
    <w:qFormat/>
    <w:rPr>
      <w:rFonts w:ascii="Times New Roman" w:hAnsi="Times New Roman" w:eastAsia="宋体" w:cs="Times New Roman"/>
      <w:sz w:val="18"/>
      <w:szCs w:val="18"/>
    </w:rPr>
  </w:style>
  <w:style w:type="paragraph" w:styleId="915" w:customStyle="1">
    <w:name w:val="页脚11"/>
    <w:basedOn w:val="752"/>
    <w:link w:val="916"/>
    <w:uiPriority w:val="99"/>
    <w:unhideWhenUsed/>
    <w:qFormat/>
    <w:pPr>
      <w:jc w:val="left"/>
      <w:tabs>
        <w:tab w:val="center" w:pos="4153" w:leader="none"/>
        <w:tab w:val="right" w:pos="8306" w:leader="none"/>
      </w:tabs>
    </w:pPr>
    <w:rPr>
      <w:sz w:val="18"/>
      <w:szCs w:val="18"/>
    </w:rPr>
  </w:style>
  <w:style w:type="character" w:styleId="916" w:customStyle="1">
    <w:name w:val="页脚 Char"/>
    <w:link w:val="915"/>
    <w:uiPriority w:val="99"/>
    <w:qFormat/>
    <w:rPr>
      <w:sz w:val="18"/>
      <w:szCs w:val="18"/>
    </w:rPr>
  </w:style>
  <w:style w:type="paragraph" w:styleId="917" w:customStyle="1">
    <w:name w:val="页眉1"/>
    <w:basedOn w:val="752"/>
    <w:link w:val="918"/>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18" w:customStyle="1">
    <w:name w:val="页眉 Char"/>
    <w:link w:val="917"/>
    <w:uiPriority w:val="0"/>
    <w:qFormat/>
    <w:rPr>
      <w:sz w:val="18"/>
      <w:szCs w:val="18"/>
    </w:rPr>
  </w:style>
  <w:style w:type="paragraph" w:styleId="919" w:customStyle="1">
    <w:name w:val="目录 11"/>
    <w:basedOn w:val="752"/>
    <w:next w:val="752"/>
    <w:uiPriority w:val="39"/>
    <w:unhideWhenUsed/>
    <w:qFormat/>
    <w:pPr>
      <w:spacing w:after="57"/>
    </w:pPr>
  </w:style>
  <w:style w:type="paragraph" w:styleId="920" w:customStyle="1">
    <w:name w:val="目录 41"/>
    <w:basedOn w:val="752"/>
    <w:next w:val="752"/>
    <w:uiPriority w:val="39"/>
    <w:unhideWhenUsed/>
    <w:qFormat/>
    <w:pPr>
      <w:ind w:left="850"/>
      <w:spacing w:after="57"/>
    </w:pPr>
  </w:style>
  <w:style w:type="paragraph" w:styleId="921" w:customStyle="1">
    <w:name w:val="副标题1"/>
    <w:basedOn w:val="752"/>
    <w:next w:val="752"/>
    <w:link w:val="922"/>
    <w:uiPriority w:val="11"/>
    <w:qFormat/>
    <w:pPr>
      <w:spacing w:before="200" w:after="200"/>
    </w:pPr>
    <w:rPr>
      <w:sz w:val="24"/>
      <w:szCs w:val="24"/>
    </w:rPr>
  </w:style>
  <w:style w:type="character" w:styleId="922" w:customStyle="1">
    <w:name w:val="副标题 Char"/>
    <w:link w:val="921"/>
    <w:uiPriority w:val="11"/>
    <w:qFormat/>
    <w:rPr>
      <w:sz w:val="24"/>
      <w:szCs w:val="24"/>
    </w:rPr>
  </w:style>
  <w:style w:type="paragraph" w:styleId="923" w:customStyle="1">
    <w:name w:val="脚注文本1"/>
    <w:basedOn w:val="752"/>
    <w:next w:val="892"/>
    <w:link w:val="924"/>
    <w:uiPriority w:val="0"/>
    <w:qFormat/>
    <w:pPr>
      <w:ind w:firstLine="425"/>
      <w:jc w:val="left"/>
      <w:spacing w:before="120" w:line="360" w:lineRule="auto"/>
    </w:pPr>
    <w:rPr>
      <w:sz w:val="18"/>
    </w:rPr>
  </w:style>
  <w:style w:type="character" w:styleId="924" w:customStyle="1">
    <w:name w:val="脚注文本 Char"/>
    <w:link w:val="923"/>
    <w:uiPriority w:val="0"/>
    <w:qFormat/>
    <w:rPr>
      <w:rFonts w:ascii="Times New Roman" w:hAnsi="Times New Roman"/>
      <w:sz w:val="18"/>
    </w:rPr>
  </w:style>
  <w:style w:type="character" w:styleId="925" w:customStyle="1">
    <w:name w:val="Footnote Text Char"/>
    <w:uiPriority w:val="99"/>
    <w:qFormat/>
    <w:rPr>
      <w:sz w:val="18"/>
    </w:rPr>
  </w:style>
  <w:style w:type="paragraph" w:styleId="926" w:customStyle="1">
    <w:name w:val="目录 61"/>
    <w:basedOn w:val="752"/>
    <w:next w:val="752"/>
    <w:uiPriority w:val="39"/>
    <w:unhideWhenUsed/>
    <w:qFormat/>
    <w:pPr>
      <w:ind w:left="1417"/>
      <w:spacing w:after="57"/>
    </w:pPr>
  </w:style>
  <w:style w:type="paragraph" w:styleId="927" w:customStyle="1">
    <w:name w:val="正文文本缩进 31"/>
    <w:basedOn w:val="752"/>
    <w:link w:val="928"/>
    <w:uiPriority w:val="99"/>
    <w:qFormat/>
    <w:pPr>
      <w:ind w:left="359" w:firstLine="359"/>
    </w:pPr>
    <w:rPr>
      <w:sz w:val="20"/>
    </w:rPr>
  </w:style>
  <w:style w:type="character" w:styleId="928" w:customStyle="1">
    <w:name w:val="正文文本缩进 3 Char"/>
    <w:link w:val="927"/>
    <w:uiPriority w:val="99"/>
    <w:qFormat/>
    <w:rPr>
      <w:rFonts w:ascii="Times New Roman" w:hAnsi="Times New Roman" w:eastAsia="宋体" w:cs="Times New Roman"/>
      <w:szCs w:val="20"/>
    </w:rPr>
  </w:style>
  <w:style w:type="paragraph" w:styleId="929" w:customStyle="1">
    <w:name w:val="图表目录1"/>
    <w:basedOn w:val="752"/>
    <w:next w:val="752"/>
    <w:uiPriority w:val="99"/>
    <w:unhideWhenUsed/>
    <w:qFormat/>
  </w:style>
  <w:style w:type="paragraph" w:styleId="930" w:customStyle="1">
    <w:name w:val="目录 21"/>
    <w:basedOn w:val="752"/>
    <w:next w:val="752"/>
    <w:uiPriority w:val="39"/>
    <w:unhideWhenUsed/>
    <w:qFormat/>
    <w:pPr>
      <w:ind w:left="283"/>
      <w:spacing w:after="57"/>
    </w:pPr>
  </w:style>
  <w:style w:type="paragraph" w:styleId="931" w:customStyle="1">
    <w:name w:val="目录 91"/>
    <w:basedOn w:val="752"/>
    <w:next w:val="752"/>
    <w:uiPriority w:val="39"/>
    <w:unhideWhenUsed/>
    <w:qFormat/>
    <w:pPr>
      <w:ind w:left="2268"/>
      <w:spacing w:after="57"/>
    </w:pPr>
  </w:style>
  <w:style w:type="paragraph" w:styleId="932" w:customStyle="1">
    <w:name w:val="正文文本 21"/>
    <w:basedOn w:val="752"/>
    <w:link w:val="933"/>
    <w:uiPriority w:val="99"/>
    <w:qFormat/>
    <w:pPr>
      <w:spacing w:after="120" w:line="480" w:lineRule="auto"/>
    </w:pPr>
    <w:rPr>
      <w:sz w:val="20"/>
    </w:rPr>
  </w:style>
  <w:style w:type="character" w:styleId="933" w:customStyle="1">
    <w:name w:val="正文文本 2 Char"/>
    <w:link w:val="932"/>
    <w:uiPriority w:val="99"/>
    <w:qFormat/>
    <w:rPr>
      <w:rFonts w:ascii="Times New Roman" w:hAnsi="Times New Roman" w:eastAsia="宋体" w:cs="Times New Roman"/>
      <w:szCs w:val="20"/>
    </w:rPr>
  </w:style>
  <w:style w:type="paragraph" w:styleId="934" w:customStyle="1">
    <w:name w:val="普通(网站)1"/>
    <w:basedOn w:val="752"/>
    <w:link w:val="935"/>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35" w:customStyle="1">
    <w:name w:val="普通(网站) Char"/>
    <w:link w:val="934"/>
    <w:uiPriority w:val="0"/>
    <w:qFormat/>
    <w:rPr>
      <w:rFonts w:ascii="宋体" w:hAnsi="宋体"/>
      <w:sz w:val="24"/>
      <w:szCs w:val="24"/>
    </w:rPr>
  </w:style>
  <w:style w:type="paragraph" w:styleId="936" w:customStyle="1">
    <w:name w:val="标题1"/>
    <w:basedOn w:val="752"/>
    <w:next w:val="752"/>
    <w:link w:val="937"/>
    <w:uiPriority w:val="10"/>
    <w:qFormat/>
    <w:pPr>
      <w:contextualSpacing/>
      <w:spacing w:before="300" w:after="200"/>
    </w:pPr>
    <w:rPr>
      <w:sz w:val="48"/>
      <w:szCs w:val="48"/>
    </w:rPr>
  </w:style>
  <w:style w:type="character" w:styleId="937" w:customStyle="1">
    <w:name w:val="标题 Char"/>
    <w:link w:val="936"/>
    <w:uiPriority w:val="10"/>
    <w:qFormat/>
    <w:rPr>
      <w:sz w:val="48"/>
      <w:szCs w:val="48"/>
    </w:rPr>
  </w:style>
  <w:style w:type="paragraph" w:styleId="938" w:customStyle="1">
    <w:name w:val="批注主题1"/>
    <w:basedOn w:val="895"/>
    <w:next w:val="895"/>
    <w:link w:val="939"/>
    <w:uiPriority w:val="0"/>
    <w:semiHidden/>
    <w:qFormat/>
    <w:rPr>
      <w:b/>
      <w:bCs/>
    </w:rPr>
  </w:style>
  <w:style w:type="character" w:styleId="939" w:customStyle="1">
    <w:name w:val="批注主题 Char"/>
    <w:link w:val="938"/>
    <w:uiPriority w:val="0"/>
    <w:semiHidden/>
    <w:qFormat/>
    <w:rPr>
      <w:rFonts w:ascii="Times New Roman" w:hAnsi="Times New Roman" w:eastAsia="宋体" w:cs="Times New Roman"/>
      <w:b/>
      <w:bCs/>
      <w:szCs w:val="24"/>
    </w:rPr>
  </w:style>
  <w:style w:type="paragraph" w:styleId="940" w:customStyle="1">
    <w:name w:val="正文首行缩进1"/>
    <w:basedOn w:val="752"/>
    <w:link w:val="941"/>
    <w:uiPriority w:val="99"/>
    <w:unhideWhenUsed/>
    <w:qFormat/>
    <w:pPr>
      <w:ind w:firstLine="420"/>
      <w:spacing w:after="120"/>
    </w:pPr>
    <w:rPr>
      <w:rFonts w:eastAsia="华文中宋"/>
    </w:rPr>
  </w:style>
  <w:style w:type="character" w:styleId="941" w:customStyle="1">
    <w:name w:val="正文首行缩进 Char"/>
    <w:link w:val="940"/>
    <w:uiPriority w:val="99"/>
    <w:semiHidden/>
    <w:qFormat/>
    <w:rPr>
      <w:rFonts w:ascii="Times New Roman" w:hAnsi="Times New Roman" w:eastAsia="华文中宋" w:cs="Times New Roman"/>
      <w:sz w:val="21"/>
      <w:szCs w:val="20"/>
    </w:rPr>
  </w:style>
  <w:style w:type="paragraph" w:styleId="942" w:customStyle="1">
    <w:name w:val="正文首行缩进 21"/>
    <w:basedOn w:val="900"/>
    <w:uiPriority w:val="0"/>
    <w:qFormat/>
    <w:pPr>
      <w:ind w:left="420" w:firstLine="420"/>
      <w:spacing w:after="120"/>
    </w:pPr>
    <w:rPr>
      <w:rFonts w:ascii="Cambria" w:hAnsi="Cambria" w:eastAsia="华文细黑"/>
      <w:sz w:val="21"/>
    </w:rPr>
  </w:style>
  <w:style w:type="table" w:styleId="943" w:customStyle="1">
    <w:name w:val="网格型1"/>
    <w:uiPriority w:val="59"/>
    <w:qFormat/>
    <w:tblPr>
      <w:tblCellMar>
        <w:left w:w="0" w:type="dxa"/>
        <w:top w:w="0" w:type="dxa"/>
        <w:right w:w="0" w:type="dxa"/>
        <w:bottom w:w="0" w:type="dxa"/>
      </w:tblCellMar>
    </w:tblPr>
  </w:style>
  <w:style w:type="character" w:styleId="944" w:customStyle="1">
    <w:name w:val="要点1"/>
    <w:uiPriority w:val="99"/>
    <w:qFormat/>
    <w:rPr>
      <w:rFonts w:cs="Times New Roman"/>
      <w:b/>
      <w:bCs/>
    </w:rPr>
  </w:style>
  <w:style w:type="character" w:styleId="945" w:customStyle="1">
    <w:name w:val="尾注引用1"/>
    <w:uiPriority w:val="99"/>
    <w:unhideWhenUsed/>
    <w:qFormat/>
    <w:rPr>
      <w:vertAlign w:val="superscript"/>
    </w:rPr>
  </w:style>
  <w:style w:type="character" w:styleId="946" w:customStyle="1">
    <w:name w:val="页码1"/>
    <w:uiPriority w:val="0"/>
    <w:qFormat/>
    <w:rPr>
      <w:rFonts w:cs="Times New Roman"/>
    </w:rPr>
  </w:style>
  <w:style w:type="character" w:styleId="947" w:customStyle="1">
    <w:name w:val="已访问的超链接1"/>
    <w:uiPriority w:val="99"/>
    <w:qFormat/>
    <w:rPr>
      <w:rFonts w:cs="Times New Roman"/>
      <w:color w:val="000000"/>
      <w:u w:val="none"/>
    </w:rPr>
  </w:style>
  <w:style w:type="character" w:styleId="948" w:customStyle="1">
    <w:name w:val="HTML 打字机1"/>
    <w:uiPriority w:val="99"/>
    <w:qFormat/>
    <w:rPr>
      <w:rFonts w:ascii="宋体" w:hAnsi="宋体" w:eastAsia="宋体" w:cs="宋体"/>
      <w:sz w:val="24"/>
      <w:szCs w:val="24"/>
    </w:rPr>
  </w:style>
  <w:style w:type="character" w:styleId="949" w:customStyle="1">
    <w:name w:val="超链接1"/>
    <w:uiPriority w:val="0"/>
    <w:qFormat/>
    <w:rPr>
      <w:color w:val="000000"/>
      <w:u w:val="none"/>
    </w:rPr>
  </w:style>
  <w:style w:type="character" w:styleId="950" w:customStyle="1">
    <w:name w:val="批注引用1"/>
    <w:uiPriority w:val="0"/>
    <w:unhideWhenUsed/>
    <w:qFormat/>
    <w:rPr>
      <w:sz w:val="21"/>
      <w:szCs w:val="21"/>
    </w:rPr>
  </w:style>
  <w:style w:type="character" w:styleId="951" w:customStyle="1">
    <w:name w:val="脚注引用1"/>
    <w:uiPriority w:val="99"/>
    <w:unhideWhenUsed/>
    <w:qFormat/>
    <w:rPr>
      <w:vertAlign w:val="superscript"/>
    </w:rPr>
  </w:style>
  <w:style w:type="character" w:styleId="952" w:customStyle="1">
    <w:name w:val="Title Char"/>
    <w:basedOn w:val="889"/>
    <w:uiPriority w:val="10"/>
    <w:qFormat/>
    <w:rPr>
      <w:sz w:val="48"/>
      <w:szCs w:val="48"/>
    </w:rPr>
  </w:style>
  <w:style w:type="character" w:styleId="953" w:customStyle="1">
    <w:name w:val="Subtitle Char"/>
    <w:basedOn w:val="889"/>
    <w:uiPriority w:val="11"/>
    <w:qFormat/>
    <w:rPr>
      <w:sz w:val="24"/>
      <w:szCs w:val="24"/>
    </w:rPr>
  </w:style>
  <w:style w:type="character" w:styleId="954" w:customStyle="1">
    <w:name w:val="Quote Char"/>
    <w:uiPriority w:val="29"/>
    <w:qFormat/>
    <w:rPr>
      <w:i/>
    </w:rPr>
  </w:style>
  <w:style w:type="character" w:styleId="955" w:customStyle="1">
    <w:name w:val="Intense Quote Char"/>
    <w:uiPriority w:val="30"/>
    <w:qFormat/>
    <w:rPr>
      <w:i/>
    </w:rPr>
  </w:style>
  <w:style w:type="character" w:styleId="956" w:customStyle="1">
    <w:name w:val="Endnote Text Char"/>
    <w:uiPriority w:val="99"/>
    <w:qFormat/>
    <w:rPr>
      <w:sz w:val="20"/>
    </w:rPr>
  </w:style>
  <w:style w:type="paragraph" w:styleId="957" w:customStyle="1">
    <w:name w:val="TOC 标题111"/>
    <w:uiPriority w:val="39"/>
    <w:unhideWhenUsed/>
    <w:qFormat/>
    <w:rPr>
      <w:rFonts w:ascii="Times New Roman" w:hAnsi="Times New Roman" w:eastAsia="宋体" w:cs="Times New Roman"/>
      <w:lang w:val="en-US" w:eastAsia="zh-CN" w:bidi="ar-SA"/>
    </w:rPr>
  </w:style>
  <w:style w:type="paragraph" w:styleId="958" w:customStyle="1">
    <w:name w:val="正文文本1"/>
    <w:basedOn w:val="752"/>
    <w:uiPriority w:val="0"/>
    <w:qFormat/>
    <w:rPr>
      <w:rFonts w:ascii="华文中宋" w:eastAsia="华文中宋"/>
      <w:bCs/>
      <w:sz w:val="28"/>
    </w:rPr>
  </w:style>
  <w:style w:type="paragraph" w:styleId="959">
    <w:name w:val="No Spacing"/>
    <w:uiPriority w:val="1"/>
    <w:qFormat/>
    <w:rPr>
      <w:rFonts w:ascii="Times New Roman" w:hAnsi="Times New Roman" w:eastAsia="宋体" w:cs="Times New Roman"/>
      <w:lang w:val="en-US" w:eastAsia="zh-CN" w:bidi="ar-SA"/>
    </w:rPr>
  </w:style>
  <w:style w:type="paragraph" w:styleId="960">
    <w:name w:val="Quote"/>
    <w:basedOn w:val="752"/>
    <w:next w:val="752"/>
    <w:link w:val="961"/>
    <w:uiPriority w:val="29"/>
    <w:qFormat/>
    <w:pPr>
      <w:ind w:left="720" w:right="720"/>
    </w:pPr>
    <w:rPr>
      <w:i/>
    </w:rPr>
  </w:style>
  <w:style w:type="character" w:styleId="961" w:customStyle="1">
    <w:name w:val="引用 字符"/>
    <w:link w:val="960"/>
    <w:uiPriority w:val="29"/>
    <w:qFormat/>
    <w:rPr>
      <w:i/>
    </w:rPr>
  </w:style>
  <w:style w:type="paragraph" w:styleId="962">
    <w:name w:val="Intense Quote"/>
    <w:basedOn w:val="752"/>
    <w:next w:val="752"/>
    <w:link w:val="9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明显引用 字符"/>
    <w:link w:val="962"/>
    <w:uiPriority w:val="30"/>
    <w:qFormat/>
    <w:rPr>
      <w:i/>
    </w:rPr>
  </w:style>
  <w:style w:type="paragraph" w:styleId="964" w:customStyle="1">
    <w:name w:val="Header1"/>
    <w:basedOn w:val="752"/>
    <w:link w:val="965"/>
    <w:uiPriority w:val="99"/>
    <w:unhideWhenUsed/>
    <w:qFormat/>
    <w:pPr>
      <w:tabs>
        <w:tab w:val="center" w:pos="7143" w:leader="none"/>
        <w:tab w:val="right" w:pos="14287" w:leader="none"/>
      </w:tabs>
    </w:pPr>
  </w:style>
  <w:style w:type="character" w:styleId="965" w:customStyle="1">
    <w:name w:val="Header Char"/>
    <w:link w:val="964"/>
    <w:uiPriority w:val="99"/>
    <w:qFormat/>
  </w:style>
  <w:style w:type="paragraph" w:styleId="966" w:customStyle="1">
    <w:name w:val="Footer1"/>
    <w:basedOn w:val="752"/>
    <w:link w:val="967"/>
    <w:uiPriority w:val="99"/>
    <w:unhideWhenUsed/>
    <w:qFormat/>
    <w:pPr>
      <w:tabs>
        <w:tab w:val="center" w:pos="7143" w:leader="none"/>
        <w:tab w:val="right" w:pos="14287" w:leader="none"/>
      </w:tabs>
    </w:pPr>
  </w:style>
  <w:style w:type="character" w:styleId="967" w:customStyle="1">
    <w:name w:val="Caption Char"/>
    <w:link w:val="966"/>
    <w:uiPriority w:val="99"/>
    <w:qFormat/>
  </w:style>
  <w:style w:type="character" w:styleId="968" w:customStyle="1">
    <w:name w:val="Footer Char"/>
    <w:uiPriority w:val="99"/>
    <w:qFormat/>
  </w:style>
  <w:style w:type="paragraph" w:styleId="969" w:customStyle="1">
    <w:name w:val="Caption1"/>
    <w:basedOn w:val="752"/>
    <w:next w:val="752"/>
    <w:uiPriority w:val="35"/>
    <w:unhideWhenUsed/>
    <w:qFormat/>
    <w:pPr>
      <w:spacing w:line="276" w:lineRule="auto"/>
    </w:pPr>
    <w:rPr>
      <w:b/>
      <w:bCs/>
      <w:color w:val="4f81bd"/>
      <w:sz w:val="18"/>
      <w:szCs w:val="18"/>
    </w:rPr>
  </w:style>
  <w:style w:type="table" w:styleId="970" w:customStyle="1">
    <w:name w:val="Table Grid Light"/>
    <w:uiPriority w:val="59"/>
    <w:qFormat/>
    <w:tblPr>
      <w:tblCellMar>
        <w:left w:w="0" w:type="dxa"/>
        <w:top w:w="0" w:type="dxa"/>
        <w:right w:w="0" w:type="dxa"/>
        <w:bottom w:w="0" w:type="dxa"/>
      </w:tblCellMar>
    </w:tblPr>
  </w:style>
  <w:style w:type="table" w:styleId="971" w:customStyle="1">
    <w:name w:val="无格式表格 11"/>
    <w:uiPriority w:val="59"/>
    <w:qFormat/>
    <w:tblPr>
      <w:tblCellMar>
        <w:left w:w="0" w:type="dxa"/>
        <w:top w:w="0" w:type="dxa"/>
        <w:right w:w="0" w:type="dxa"/>
        <w:bottom w:w="0" w:type="dxa"/>
      </w:tblCellMar>
    </w:tblPr>
  </w:style>
  <w:style w:type="table" w:styleId="972" w:customStyle="1">
    <w:name w:val="无格式表格 21"/>
    <w:uiPriority w:val="59"/>
    <w:qFormat/>
    <w:tblPr>
      <w:tblCellMar>
        <w:left w:w="0" w:type="dxa"/>
        <w:top w:w="0" w:type="dxa"/>
        <w:right w:w="0" w:type="dxa"/>
        <w:bottom w:w="0" w:type="dxa"/>
      </w:tblCellMar>
    </w:tblPr>
  </w:style>
  <w:style w:type="table" w:styleId="973" w:customStyle="1">
    <w:name w:val="无格式表格 31"/>
    <w:uiPriority w:val="99"/>
    <w:qFormat/>
    <w:tblPr>
      <w:tblCellMar>
        <w:left w:w="0" w:type="dxa"/>
        <w:top w:w="0" w:type="dxa"/>
        <w:right w:w="0" w:type="dxa"/>
        <w:bottom w:w="0" w:type="dxa"/>
      </w:tblCellMar>
    </w:tblPr>
  </w:style>
  <w:style w:type="table" w:styleId="974" w:customStyle="1">
    <w:name w:val="无格式表格 41"/>
    <w:uiPriority w:val="99"/>
    <w:qFormat/>
    <w:tblPr>
      <w:tblCellMar>
        <w:left w:w="0" w:type="dxa"/>
        <w:top w:w="0" w:type="dxa"/>
        <w:right w:w="0" w:type="dxa"/>
        <w:bottom w:w="0" w:type="dxa"/>
      </w:tblCellMar>
    </w:tblPr>
  </w:style>
  <w:style w:type="table" w:styleId="975" w:customStyle="1">
    <w:name w:val="无格式表格 51"/>
    <w:uiPriority w:val="99"/>
    <w:qFormat/>
    <w:tblPr>
      <w:tblCellMar>
        <w:left w:w="0" w:type="dxa"/>
        <w:top w:w="0" w:type="dxa"/>
        <w:right w:w="0" w:type="dxa"/>
        <w:bottom w:w="0" w:type="dxa"/>
      </w:tblCellMar>
    </w:tblPr>
  </w:style>
  <w:style w:type="table" w:styleId="976" w:customStyle="1">
    <w:name w:val="网格表 1 浅色1"/>
    <w:uiPriority w:val="99"/>
    <w:qFormat/>
    <w:tblPr>
      <w:tblCellMar>
        <w:left w:w="0" w:type="dxa"/>
        <w:top w:w="0" w:type="dxa"/>
        <w:right w:w="0" w:type="dxa"/>
        <w:bottom w:w="0" w:type="dxa"/>
      </w:tblCellMar>
    </w:tblPr>
  </w:style>
  <w:style w:type="table" w:styleId="977" w:customStyle="1">
    <w:name w:val="Grid Table 1 Light - Accent 1"/>
    <w:uiPriority w:val="99"/>
    <w:qFormat/>
    <w:tblPr>
      <w:tblCellMar>
        <w:left w:w="0" w:type="dxa"/>
        <w:top w:w="0" w:type="dxa"/>
        <w:right w:w="0" w:type="dxa"/>
        <w:bottom w:w="0" w:type="dxa"/>
      </w:tblCellMar>
    </w:tblPr>
  </w:style>
  <w:style w:type="table" w:styleId="978" w:customStyle="1">
    <w:name w:val="Grid Table 1 Light - Accent 2"/>
    <w:uiPriority w:val="99"/>
    <w:qFormat/>
    <w:tblPr>
      <w:tblCellMar>
        <w:left w:w="0" w:type="dxa"/>
        <w:top w:w="0" w:type="dxa"/>
        <w:right w:w="0" w:type="dxa"/>
        <w:bottom w:w="0" w:type="dxa"/>
      </w:tblCellMar>
    </w:tblPr>
  </w:style>
  <w:style w:type="table" w:styleId="979" w:customStyle="1">
    <w:name w:val="Grid Table 1 Light - Accent 3"/>
    <w:uiPriority w:val="99"/>
    <w:qFormat/>
    <w:tblPr>
      <w:tblCellMar>
        <w:left w:w="0" w:type="dxa"/>
        <w:top w:w="0" w:type="dxa"/>
        <w:right w:w="0" w:type="dxa"/>
        <w:bottom w:w="0" w:type="dxa"/>
      </w:tblCellMar>
    </w:tblPr>
  </w:style>
  <w:style w:type="table" w:styleId="980" w:customStyle="1">
    <w:name w:val="Grid Table 1 Light - Accent 4"/>
    <w:uiPriority w:val="99"/>
    <w:qFormat/>
    <w:tblPr>
      <w:tblCellMar>
        <w:left w:w="0" w:type="dxa"/>
        <w:top w:w="0" w:type="dxa"/>
        <w:right w:w="0" w:type="dxa"/>
        <w:bottom w:w="0" w:type="dxa"/>
      </w:tblCellMar>
    </w:tblPr>
  </w:style>
  <w:style w:type="table" w:styleId="981" w:customStyle="1">
    <w:name w:val="Grid Table 1 Light - Accent 5"/>
    <w:uiPriority w:val="99"/>
    <w:qFormat/>
    <w:tblPr>
      <w:tblCellMar>
        <w:left w:w="0" w:type="dxa"/>
        <w:top w:w="0" w:type="dxa"/>
        <w:right w:w="0" w:type="dxa"/>
        <w:bottom w:w="0" w:type="dxa"/>
      </w:tblCellMar>
    </w:tblPr>
  </w:style>
  <w:style w:type="table" w:styleId="982" w:customStyle="1">
    <w:name w:val="Grid Table 1 Light - Accent 6"/>
    <w:uiPriority w:val="99"/>
    <w:qFormat/>
    <w:tblPr>
      <w:tblCellMar>
        <w:left w:w="0" w:type="dxa"/>
        <w:top w:w="0" w:type="dxa"/>
        <w:right w:w="0" w:type="dxa"/>
        <w:bottom w:w="0" w:type="dxa"/>
      </w:tblCellMar>
    </w:tblPr>
  </w:style>
  <w:style w:type="table" w:styleId="983" w:customStyle="1">
    <w:name w:val="网格表 21"/>
    <w:uiPriority w:val="99"/>
    <w:qFormat/>
    <w:tblPr>
      <w:tblCellMar>
        <w:left w:w="0" w:type="dxa"/>
        <w:top w:w="0" w:type="dxa"/>
        <w:right w:w="0" w:type="dxa"/>
        <w:bottom w:w="0" w:type="dxa"/>
      </w:tblCellMar>
    </w:tblPr>
  </w:style>
  <w:style w:type="table" w:styleId="984" w:customStyle="1">
    <w:name w:val="Grid Table 2 - Accent 1"/>
    <w:uiPriority w:val="99"/>
    <w:qFormat/>
    <w:tblPr>
      <w:tblCellMar>
        <w:left w:w="0" w:type="dxa"/>
        <w:top w:w="0" w:type="dxa"/>
        <w:right w:w="0" w:type="dxa"/>
        <w:bottom w:w="0" w:type="dxa"/>
      </w:tblCellMar>
    </w:tblPr>
  </w:style>
  <w:style w:type="table" w:styleId="985" w:customStyle="1">
    <w:name w:val="Grid Table 2 - Accent 2"/>
    <w:uiPriority w:val="99"/>
    <w:qFormat/>
    <w:tblPr>
      <w:tblCellMar>
        <w:left w:w="0" w:type="dxa"/>
        <w:top w:w="0" w:type="dxa"/>
        <w:right w:w="0" w:type="dxa"/>
        <w:bottom w:w="0" w:type="dxa"/>
      </w:tblCellMar>
    </w:tblPr>
  </w:style>
  <w:style w:type="table" w:styleId="986" w:customStyle="1">
    <w:name w:val="Grid Table 2 - Accent 3"/>
    <w:uiPriority w:val="99"/>
    <w:qFormat/>
    <w:tblPr>
      <w:tblCellMar>
        <w:left w:w="0" w:type="dxa"/>
        <w:top w:w="0" w:type="dxa"/>
        <w:right w:w="0" w:type="dxa"/>
        <w:bottom w:w="0" w:type="dxa"/>
      </w:tblCellMar>
    </w:tblPr>
  </w:style>
  <w:style w:type="table" w:styleId="987" w:customStyle="1">
    <w:name w:val="Grid Table 2 - Accent 4"/>
    <w:uiPriority w:val="99"/>
    <w:qFormat/>
    <w:tblPr>
      <w:tblCellMar>
        <w:left w:w="0" w:type="dxa"/>
        <w:top w:w="0" w:type="dxa"/>
        <w:right w:w="0" w:type="dxa"/>
        <w:bottom w:w="0" w:type="dxa"/>
      </w:tblCellMar>
    </w:tblPr>
  </w:style>
  <w:style w:type="table" w:styleId="988" w:customStyle="1">
    <w:name w:val="Grid Table 2 - Accent 5"/>
    <w:uiPriority w:val="99"/>
    <w:qFormat/>
    <w:tblPr>
      <w:tblCellMar>
        <w:left w:w="0" w:type="dxa"/>
        <w:top w:w="0" w:type="dxa"/>
        <w:right w:w="0" w:type="dxa"/>
        <w:bottom w:w="0" w:type="dxa"/>
      </w:tblCellMar>
    </w:tblPr>
  </w:style>
  <w:style w:type="table" w:styleId="989" w:customStyle="1">
    <w:name w:val="Grid Table 2 - Accent 6"/>
    <w:uiPriority w:val="99"/>
    <w:qFormat/>
    <w:tblPr>
      <w:tblCellMar>
        <w:left w:w="0" w:type="dxa"/>
        <w:top w:w="0" w:type="dxa"/>
        <w:right w:w="0" w:type="dxa"/>
        <w:bottom w:w="0" w:type="dxa"/>
      </w:tblCellMar>
    </w:tblPr>
  </w:style>
  <w:style w:type="table" w:styleId="990" w:customStyle="1">
    <w:name w:val="网格表 31"/>
    <w:uiPriority w:val="99"/>
    <w:qFormat/>
    <w:tblPr>
      <w:tblCellMar>
        <w:left w:w="0" w:type="dxa"/>
        <w:top w:w="0" w:type="dxa"/>
        <w:right w:w="0" w:type="dxa"/>
        <w:bottom w:w="0" w:type="dxa"/>
      </w:tblCellMar>
    </w:tblPr>
  </w:style>
  <w:style w:type="table" w:styleId="991" w:customStyle="1">
    <w:name w:val="Grid Table 3 - Accent 1"/>
    <w:uiPriority w:val="99"/>
    <w:qFormat/>
    <w:tblPr>
      <w:tblCellMar>
        <w:left w:w="0" w:type="dxa"/>
        <w:top w:w="0" w:type="dxa"/>
        <w:right w:w="0" w:type="dxa"/>
        <w:bottom w:w="0" w:type="dxa"/>
      </w:tblCellMar>
    </w:tblPr>
  </w:style>
  <w:style w:type="table" w:styleId="992" w:customStyle="1">
    <w:name w:val="Grid Table 3 - Accent 2"/>
    <w:uiPriority w:val="99"/>
    <w:qFormat/>
    <w:tblPr>
      <w:tblCellMar>
        <w:left w:w="0" w:type="dxa"/>
        <w:top w:w="0" w:type="dxa"/>
        <w:right w:w="0" w:type="dxa"/>
        <w:bottom w:w="0" w:type="dxa"/>
      </w:tblCellMar>
    </w:tblPr>
  </w:style>
  <w:style w:type="table" w:styleId="993" w:customStyle="1">
    <w:name w:val="Grid Table 3 - Accent 3"/>
    <w:uiPriority w:val="99"/>
    <w:qFormat/>
    <w:tblPr>
      <w:tblCellMar>
        <w:left w:w="0" w:type="dxa"/>
        <w:top w:w="0" w:type="dxa"/>
        <w:right w:w="0" w:type="dxa"/>
        <w:bottom w:w="0" w:type="dxa"/>
      </w:tblCellMar>
    </w:tblPr>
  </w:style>
  <w:style w:type="table" w:styleId="994" w:customStyle="1">
    <w:name w:val="Grid Table 3 - Accent 4"/>
    <w:uiPriority w:val="99"/>
    <w:qFormat/>
    <w:tblPr>
      <w:tblCellMar>
        <w:left w:w="0" w:type="dxa"/>
        <w:top w:w="0" w:type="dxa"/>
        <w:right w:w="0" w:type="dxa"/>
        <w:bottom w:w="0" w:type="dxa"/>
      </w:tblCellMar>
    </w:tblPr>
  </w:style>
  <w:style w:type="table" w:styleId="995" w:customStyle="1">
    <w:name w:val="Grid Table 3 - Accent 5"/>
    <w:uiPriority w:val="99"/>
    <w:qFormat/>
    <w:tblPr>
      <w:tblCellMar>
        <w:left w:w="0" w:type="dxa"/>
        <w:top w:w="0" w:type="dxa"/>
        <w:right w:w="0" w:type="dxa"/>
        <w:bottom w:w="0" w:type="dxa"/>
      </w:tblCellMar>
    </w:tblPr>
  </w:style>
  <w:style w:type="table" w:styleId="996" w:customStyle="1">
    <w:name w:val="Grid Table 3 - Accent 6"/>
    <w:uiPriority w:val="99"/>
    <w:qFormat/>
    <w:tblPr>
      <w:tblCellMar>
        <w:left w:w="0" w:type="dxa"/>
        <w:top w:w="0" w:type="dxa"/>
        <w:right w:w="0" w:type="dxa"/>
        <w:bottom w:w="0" w:type="dxa"/>
      </w:tblCellMar>
    </w:tblPr>
  </w:style>
  <w:style w:type="table" w:styleId="997" w:customStyle="1">
    <w:name w:val="网格表 41"/>
    <w:uiPriority w:val="59"/>
    <w:qFormat/>
    <w:tblPr>
      <w:tblCellMar>
        <w:left w:w="0" w:type="dxa"/>
        <w:top w:w="0" w:type="dxa"/>
        <w:right w:w="0" w:type="dxa"/>
        <w:bottom w:w="0" w:type="dxa"/>
      </w:tblCellMar>
    </w:tblPr>
  </w:style>
  <w:style w:type="table" w:styleId="998" w:customStyle="1">
    <w:name w:val="Grid Table 4 - Accent 1"/>
    <w:uiPriority w:val="59"/>
    <w:qFormat/>
    <w:tblPr>
      <w:tblCellMar>
        <w:left w:w="0" w:type="dxa"/>
        <w:top w:w="0" w:type="dxa"/>
        <w:right w:w="0" w:type="dxa"/>
        <w:bottom w:w="0" w:type="dxa"/>
      </w:tblCellMar>
    </w:tblPr>
  </w:style>
  <w:style w:type="table" w:styleId="999" w:customStyle="1">
    <w:name w:val="Grid Table 4 - Accent 2"/>
    <w:uiPriority w:val="59"/>
    <w:qFormat/>
    <w:tblPr>
      <w:tblCellMar>
        <w:left w:w="0" w:type="dxa"/>
        <w:top w:w="0" w:type="dxa"/>
        <w:right w:w="0" w:type="dxa"/>
        <w:bottom w:w="0" w:type="dxa"/>
      </w:tblCellMar>
    </w:tblPr>
  </w:style>
  <w:style w:type="table" w:styleId="1000" w:customStyle="1">
    <w:name w:val="Grid Table 4 - Accent 3"/>
    <w:uiPriority w:val="59"/>
    <w:qFormat/>
    <w:tblPr>
      <w:tblCellMar>
        <w:left w:w="0" w:type="dxa"/>
        <w:top w:w="0" w:type="dxa"/>
        <w:right w:w="0" w:type="dxa"/>
        <w:bottom w:w="0" w:type="dxa"/>
      </w:tblCellMar>
    </w:tblPr>
  </w:style>
  <w:style w:type="table" w:styleId="1001" w:customStyle="1">
    <w:name w:val="Grid Table 4 - Accent 4"/>
    <w:uiPriority w:val="59"/>
    <w:qFormat/>
    <w:tblPr>
      <w:tblCellMar>
        <w:left w:w="0" w:type="dxa"/>
        <w:top w:w="0" w:type="dxa"/>
        <w:right w:w="0" w:type="dxa"/>
        <w:bottom w:w="0" w:type="dxa"/>
      </w:tblCellMar>
    </w:tblPr>
  </w:style>
  <w:style w:type="table" w:styleId="1002" w:customStyle="1">
    <w:name w:val="Grid Table 4 - Accent 5"/>
    <w:uiPriority w:val="59"/>
    <w:qFormat/>
    <w:tblPr>
      <w:tblCellMar>
        <w:left w:w="0" w:type="dxa"/>
        <w:top w:w="0" w:type="dxa"/>
        <w:right w:w="0" w:type="dxa"/>
        <w:bottom w:w="0" w:type="dxa"/>
      </w:tblCellMar>
    </w:tblPr>
  </w:style>
  <w:style w:type="table" w:styleId="1003" w:customStyle="1">
    <w:name w:val="Grid Table 4 - Accent 6"/>
    <w:uiPriority w:val="59"/>
    <w:qFormat/>
    <w:tblPr>
      <w:tblCellMar>
        <w:left w:w="0" w:type="dxa"/>
        <w:top w:w="0" w:type="dxa"/>
        <w:right w:w="0" w:type="dxa"/>
        <w:bottom w:w="0" w:type="dxa"/>
      </w:tblCellMar>
    </w:tblPr>
  </w:style>
  <w:style w:type="table" w:styleId="1004" w:customStyle="1">
    <w:name w:val="网格表 5 深色1"/>
    <w:uiPriority w:val="99"/>
    <w:qFormat/>
    <w:tblPr>
      <w:tblCellMar>
        <w:left w:w="0" w:type="dxa"/>
        <w:top w:w="0" w:type="dxa"/>
        <w:right w:w="0" w:type="dxa"/>
        <w:bottom w:w="0" w:type="dxa"/>
      </w:tblCellMar>
    </w:tblPr>
  </w:style>
  <w:style w:type="table" w:styleId="1005" w:customStyle="1">
    <w:name w:val="Grid Table 5 Dark- Accent 1"/>
    <w:uiPriority w:val="99"/>
    <w:qFormat/>
    <w:tblPr>
      <w:tblCellMar>
        <w:left w:w="0" w:type="dxa"/>
        <w:top w:w="0" w:type="dxa"/>
        <w:right w:w="0" w:type="dxa"/>
        <w:bottom w:w="0" w:type="dxa"/>
      </w:tblCellMar>
    </w:tblPr>
  </w:style>
  <w:style w:type="table" w:styleId="1006" w:customStyle="1">
    <w:name w:val="Grid Table 5 Dark - Accent 2"/>
    <w:uiPriority w:val="99"/>
    <w:qFormat/>
    <w:tblPr>
      <w:tblCellMar>
        <w:left w:w="0" w:type="dxa"/>
        <w:top w:w="0" w:type="dxa"/>
        <w:right w:w="0" w:type="dxa"/>
        <w:bottom w:w="0" w:type="dxa"/>
      </w:tblCellMar>
    </w:tblPr>
  </w:style>
  <w:style w:type="table" w:styleId="1007" w:customStyle="1">
    <w:name w:val="Grid Table 5 Dark - Accent 3"/>
    <w:uiPriority w:val="99"/>
    <w:qFormat/>
    <w:tblPr>
      <w:tblCellMar>
        <w:left w:w="0" w:type="dxa"/>
        <w:top w:w="0" w:type="dxa"/>
        <w:right w:w="0" w:type="dxa"/>
        <w:bottom w:w="0" w:type="dxa"/>
      </w:tblCellMar>
    </w:tblPr>
  </w:style>
  <w:style w:type="table" w:styleId="1008" w:customStyle="1">
    <w:name w:val="Grid Table 5 Dark- Accent 4"/>
    <w:uiPriority w:val="99"/>
    <w:qFormat/>
    <w:tblPr>
      <w:tblCellMar>
        <w:left w:w="0" w:type="dxa"/>
        <w:top w:w="0" w:type="dxa"/>
        <w:right w:w="0" w:type="dxa"/>
        <w:bottom w:w="0" w:type="dxa"/>
      </w:tblCellMar>
    </w:tblPr>
  </w:style>
  <w:style w:type="table" w:styleId="1009" w:customStyle="1">
    <w:name w:val="Grid Table 5 Dark - Accent 5"/>
    <w:uiPriority w:val="99"/>
    <w:qFormat/>
    <w:tblPr>
      <w:tblCellMar>
        <w:left w:w="0" w:type="dxa"/>
        <w:top w:w="0" w:type="dxa"/>
        <w:right w:w="0" w:type="dxa"/>
        <w:bottom w:w="0" w:type="dxa"/>
      </w:tblCellMar>
    </w:tblPr>
  </w:style>
  <w:style w:type="table" w:styleId="1010" w:customStyle="1">
    <w:name w:val="Grid Table 5 Dark - Accent 6"/>
    <w:uiPriority w:val="99"/>
    <w:qFormat/>
    <w:tblPr>
      <w:tblCellMar>
        <w:left w:w="0" w:type="dxa"/>
        <w:top w:w="0" w:type="dxa"/>
        <w:right w:w="0" w:type="dxa"/>
        <w:bottom w:w="0" w:type="dxa"/>
      </w:tblCellMar>
    </w:tblPr>
  </w:style>
  <w:style w:type="table" w:styleId="1011" w:customStyle="1">
    <w:name w:val="网格表 6 彩色1"/>
    <w:uiPriority w:val="99"/>
    <w:qFormat/>
    <w:tblPr>
      <w:tblCellMar>
        <w:left w:w="0" w:type="dxa"/>
        <w:top w:w="0" w:type="dxa"/>
        <w:right w:w="0" w:type="dxa"/>
        <w:bottom w:w="0" w:type="dxa"/>
      </w:tblCellMar>
    </w:tblPr>
  </w:style>
  <w:style w:type="table" w:styleId="1012" w:customStyle="1">
    <w:name w:val="Grid Table 6 Colorful - Accent 1"/>
    <w:uiPriority w:val="99"/>
    <w:qFormat/>
    <w:tblPr>
      <w:tblCellMar>
        <w:left w:w="0" w:type="dxa"/>
        <w:top w:w="0" w:type="dxa"/>
        <w:right w:w="0" w:type="dxa"/>
        <w:bottom w:w="0" w:type="dxa"/>
      </w:tblCellMar>
    </w:tblPr>
  </w:style>
  <w:style w:type="table" w:styleId="1013" w:customStyle="1">
    <w:name w:val="Grid Table 6 Colorful - Accent 2"/>
    <w:uiPriority w:val="99"/>
    <w:qFormat/>
    <w:tblPr>
      <w:tblCellMar>
        <w:left w:w="0" w:type="dxa"/>
        <w:top w:w="0" w:type="dxa"/>
        <w:right w:w="0" w:type="dxa"/>
        <w:bottom w:w="0" w:type="dxa"/>
      </w:tblCellMar>
    </w:tblPr>
  </w:style>
  <w:style w:type="table" w:styleId="1014" w:customStyle="1">
    <w:name w:val="Grid Table 6 Colorful - Accent 3"/>
    <w:uiPriority w:val="99"/>
    <w:qFormat/>
    <w:tblPr>
      <w:tblCellMar>
        <w:left w:w="0" w:type="dxa"/>
        <w:top w:w="0" w:type="dxa"/>
        <w:right w:w="0" w:type="dxa"/>
        <w:bottom w:w="0" w:type="dxa"/>
      </w:tblCellMar>
    </w:tblPr>
  </w:style>
  <w:style w:type="table" w:styleId="1015" w:customStyle="1">
    <w:name w:val="Grid Table 6 Colorful - Accent 4"/>
    <w:uiPriority w:val="99"/>
    <w:qFormat/>
    <w:tblPr>
      <w:tblCellMar>
        <w:left w:w="0" w:type="dxa"/>
        <w:top w:w="0" w:type="dxa"/>
        <w:right w:w="0" w:type="dxa"/>
        <w:bottom w:w="0" w:type="dxa"/>
      </w:tblCellMar>
    </w:tblPr>
  </w:style>
  <w:style w:type="table" w:styleId="1016" w:customStyle="1">
    <w:name w:val="Grid Table 6 Colorful - Accent 5"/>
    <w:uiPriority w:val="99"/>
    <w:qFormat/>
    <w:tblPr>
      <w:tblCellMar>
        <w:left w:w="0" w:type="dxa"/>
        <w:top w:w="0" w:type="dxa"/>
        <w:right w:w="0" w:type="dxa"/>
        <w:bottom w:w="0" w:type="dxa"/>
      </w:tblCellMar>
    </w:tblPr>
  </w:style>
  <w:style w:type="table" w:styleId="1017" w:customStyle="1">
    <w:name w:val="Grid Table 6 Colorful - Accent 6"/>
    <w:uiPriority w:val="99"/>
    <w:qFormat/>
    <w:tblPr>
      <w:tblCellMar>
        <w:left w:w="0" w:type="dxa"/>
        <w:top w:w="0" w:type="dxa"/>
        <w:right w:w="0" w:type="dxa"/>
        <w:bottom w:w="0" w:type="dxa"/>
      </w:tblCellMar>
    </w:tblPr>
  </w:style>
  <w:style w:type="table" w:styleId="1018" w:customStyle="1">
    <w:name w:val="网格表 7 彩色1"/>
    <w:uiPriority w:val="99"/>
    <w:qFormat/>
    <w:tblPr>
      <w:tblCellMar>
        <w:left w:w="0" w:type="dxa"/>
        <w:top w:w="0" w:type="dxa"/>
        <w:right w:w="0" w:type="dxa"/>
        <w:bottom w:w="0" w:type="dxa"/>
      </w:tblCellMar>
    </w:tblPr>
  </w:style>
  <w:style w:type="table" w:styleId="1019" w:customStyle="1">
    <w:name w:val="Grid Table 7 Colorful - Accent 1"/>
    <w:uiPriority w:val="99"/>
    <w:qFormat/>
    <w:tblPr>
      <w:tblCellMar>
        <w:left w:w="0" w:type="dxa"/>
        <w:top w:w="0" w:type="dxa"/>
        <w:right w:w="0" w:type="dxa"/>
        <w:bottom w:w="0" w:type="dxa"/>
      </w:tblCellMar>
    </w:tblPr>
  </w:style>
  <w:style w:type="table" w:styleId="1020" w:customStyle="1">
    <w:name w:val="Grid Table 7 Colorful - Accent 2"/>
    <w:uiPriority w:val="99"/>
    <w:qFormat/>
    <w:tblPr>
      <w:tblCellMar>
        <w:left w:w="0" w:type="dxa"/>
        <w:top w:w="0" w:type="dxa"/>
        <w:right w:w="0" w:type="dxa"/>
        <w:bottom w:w="0" w:type="dxa"/>
      </w:tblCellMar>
    </w:tblPr>
  </w:style>
  <w:style w:type="table" w:styleId="1021" w:customStyle="1">
    <w:name w:val="Grid Table 7 Colorful - Accent 3"/>
    <w:uiPriority w:val="99"/>
    <w:qFormat/>
    <w:tblPr>
      <w:tblCellMar>
        <w:left w:w="0" w:type="dxa"/>
        <w:top w:w="0" w:type="dxa"/>
        <w:right w:w="0" w:type="dxa"/>
        <w:bottom w:w="0" w:type="dxa"/>
      </w:tblCellMar>
    </w:tblPr>
  </w:style>
  <w:style w:type="table" w:styleId="1022" w:customStyle="1">
    <w:name w:val="Grid Table 7 Colorful - Accent 4"/>
    <w:uiPriority w:val="99"/>
    <w:qFormat/>
    <w:tblPr>
      <w:tblCellMar>
        <w:left w:w="0" w:type="dxa"/>
        <w:top w:w="0" w:type="dxa"/>
        <w:right w:w="0" w:type="dxa"/>
        <w:bottom w:w="0" w:type="dxa"/>
      </w:tblCellMar>
    </w:tblPr>
  </w:style>
  <w:style w:type="table" w:styleId="1023" w:customStyle="1">
    <w:name w:val="Grid Table 7 Colorful - Accent 5"/>
    <w:uiPriority w:val="99"/>
    <w:qFormat/>
    <w:tblPr>
      <w:tblCellMar>
        <w:left w:w="0" w:type="dxa"/>
        <w:top w:w="0" w:type="dxa"/>
        <w:right w:w="0" w:type="dxa"/>
        <w:bottom w:w="0" w:type="dxa"/>
      </w:tblCellMar>
    </w:tblPr>
  </w:style>
  <w:style w:type="table" w:styleId="1024" w:customStyle="1">
    <w:name w:val="Grid Table 7 Colorful - Accent 6"/>
    <w:uiPriority w:val="99"/>
    <w:qFormat/>
    <w:tblPr>
      <w:tblCellMar>
        <w:left w:w="0" w:type="dxa"/>
        <w:top w:w="0" w:type="dxa"/>
        <w:right w:w="0" w:type="dxa"/>
        <w:bottom w:w="0" w:type="dxa"/>
      </w:tblCellMar>
    </w:tblPr>
  </w:style>
  <w:style w:type="table" w:styleId="1025" w:customStyle="1">
    <w:name w:val="清单表 1 浅色1"/>
    <w:uiPriority w:val="99"/>
    <w:qFormat/>
    <w:tblPr>
      <w:tblCellMar>
        <w:left w:w="0" w:type="dxa"/>
        <w:top w:w="0" w:type="dxa"/>
        <w:right w:w="0" w:type="dxa"/>
        <w:bottom w:w="0" w:type="dxa"/>
      </w:tblCellMar>
    </w:tblPr>
  </w:style>
  <w:style w:type="table" w:styleId="1026" w:customStyle="1">
    <w:name w:val="List Table 1 Light - Accent 1"/>
    <w:uiPriority w:val="99"/>
    <w:qFormat/>
    <w:tblPr>
      <w:tblCellMar>
        <w:left w:w="0" w:type="dxa"/>
        <w:top w:w="0" w:type="dxa"/>
        <w:right w:w="0" w:type="dxa"/>
        <w:bottom w:w="0" w:type="dxa"/>
      </w:tblCellMar>
    </w:tblPr>
  </w:style>
  <w:style w:type="table" w:styleId="1027" w:customStyle="1">
    <w:name w:val="List Table 1 Light - Accent 2"/>
    <w:uiPriority w:val="99"/>
    <w:qFormat/>
    <w:tblPr>
      <w:tblCellMar>
        <w:left w:w="0" w:type="dxa"/>
        <w:top w:w="0" w:type="dxa"/>
        <w:right w:w="0" w:type="dxa"/>
        <w:bottom w:w="0" w:type="dxa"/>
      </w:tblCellMar>
    </w:tblPr>
  </w:style>
  <w:style w:type="table" w:styleId="1028" w:customStyle="1">
    <w:name w:val="List Table 1 Light - Accent 3"/>
    <w:uiPriority w:val="99"/>
    <w:qFormat/>
    <w:tblPr>
      <w:tblCellMar>
        <w:left w:w="0" w:type="dxa"/>
        <w:top w:w="0" w:type="dxa"/>
        <w:right w:w="0" w:type="dxa"/>
        <w:bottom w:w="0" w:type="dxa"/>
      </w:tblCellMar>
    </w:tblPr>
  </w:style>
  <w:style w:type="table" w:styleId="1029" w:customStyle="1">
    <w:name w:val="List Table 1 Light - Accent 4"/>
    <w:uiPriority w:val="99"/>
    <w:qFormat/>
    <w:tblPr>
      <w:tblCellMar>
        <w:left w:w="0" w:type="dxa"/>
        <w:top w:w="0" w:type="dxa"/>
        <w:right w:w="0" w:type="dxa"/>
        <w:bottom w:w="0" w:type="dxa"/>
      </w:tblCellMar>
    </w:tblPr>
  </w:style>
  <w:style w:type="table" w:styleId="1030" w:customStyle="1">
    <w:name w:val="List Table 1 Light - Accent 5"/>
    <w:uiPriority w:val="99"/>
    <w:qFormat/>
    <w:tblPr>
      <w:tblCellMar>
        <w:left w:w="0" w:type="dxa"/>
        <w:top w:w="0" w:type="dxa"/>
        <w:right w:w="0" w:type="dxa"/>
        <w:bottom w:w="0" w:type="dxa"/>
      </w:tblCellMar>
    </w:tblPr>
  </w:style>
  <w:style w:type="table" w:styleId="1031" w:customStyle="1">
    <w:name w:val="List Table 1 Light - Accent 6"/>
    <w:uiPriority w:val="99"/>
    <w:qFormat/>
    <w:tblPr>
      <w:tblCellMar>
        <w:left w:w="0" w:type="dxa"/>
        <w:top w:w="0" w:type="dxa"/>
        <w:right w:w="0" w:type="dxa"/>
        <w:bottom w:w="0" w:type="dxa"/>
      </w:tblCellMar>
    </w:tblPr>
  </w:style>
  <w:style w:type="table" w:styleId="1032" w:customStyle="1">
    <w:name w:val="清单表 21"/>
    <w:uiPriority w:val="99"/>
    <w:qFormat/>
    <w:tblPr>
      <w:tblCellMar>
        <w:left w:w="0" w:type="dxa"/>
        <w:top w:w="0" w:type="dxa"/>
        <w:right w:w="0" w:type="dxa"/>
        <w:bottom w:w="0" w:type="dxa"/>
      </w:tblCellMar>
    </w:tblPr>
  </w:style>
  <w:style w:type="table" w:styleId="1033" w:customStyle="1">
    <w:name w:val="List Table 2 - Accent 1"/>
    <w:uiPriority w:val="99"/>
    <w:qFormat/>
    <w:tblPr>
      <w:tblCellMar>
        <w:left w:w="0" w:type="dxa"/>
        <w:top w:w="0" w:type="dxa"/>
        <w:right w:w="0" w:type="dxa"/>
        <w:bottom w:w="0" w:type="dxa"/>
      </w:tblCellMar>
    </w:tblPr>
  </w:style>
  <w:style w:type="table" w:styleId="1034" w:customStyle="1">
    <w:name w:val="List Table 2 - Accent 2"/>
    <w:uiPriority w:val="99"/>
    <w:qFormat/>
    <w:tblPr>
      <w:tblCellMar>
        <w:left w:w="0" w:type="dxa"/>
        <w:top w:w="0" w:type="dxa"/>
        <w:right w:w="0" w:type="dxa"/>
        <w:bottom w:w="0" w:type="dxa"/>
      </w:tblCellMar>
    </w:tblPr>
  </w:style>
  <w:style w:type="table" w:styleId="1035" w:customStyle="1">
    <w:name w:val="List Table 2 - Accent 3"/>
    <w:uiPriority w:val="99"/>
    <w:qFormat/>
    <w:tblPr>
      <w:tblCellMar>
        <w:left w:w="0" w:type="dxa"/>
        <w:top w:w="0" w:type="dxa"/>
        <w:right w:w="0" w:type="dxa"/>
        <w:bottom w:w="0" w:type="dxa"/>
      </w:tblCellMar>
    </w:tblPr>
  </w:style>
  <w:style w:type="table" w:styleId="1036" w:customStyle="1">
    <w:name w:val="List Table 2 - Accent 4"/>
    <w:uiPriority w:val="99"/>
    <w:qFormat/>
    <w:tblPr>
      <w:tblCellMar>
        <w:left w:w="0" w:type="dxa"/>
        <w:top w:w="0" w:type="dxa"/>
        <w:right w:w="0" w:type="dxa"/>
        <w:bottom w:w="0" w:type="dxa"/>
      </w:tblCellMar>
    </w:tblPr>
  </w:style>
  <w:style w:type="table" w:styleId="1037" w:customStyle="1">
    <w:name w:val="List Table 2 - Accent 5"/>
    <w:uiPriority w:val="99"/>
    <w:qFormat/>
    <w:tblPr>
      <w:tblCellMar>
        <w:left w:w="0" w:type="dxa"/>
        <w:top w:w="0" w:type="dxa"/>
        <w:right w:w="0" w:type="dxa"/>
        <w:bottom w:w="0" w:type="dxa"/>
      </w:tblCellMar>
    </w:tblPr>
  </w:style>
  <w:style w:type="table" w:styleId="1038" w:customStyle="1">
    <w:name w:val="List Table 2 - Accent 6"/>
    <w:uiPriority w:val="99"/>
    <w:qFormat/>
    <w:tblPr>
      <w:tblCellMar>
        <w:left w:w="0" w:type="dxa"/>
        <w:top w:w="0" w:type="dxa"/>
        <w:right w:w="0" w:type="dxa"/>
        <w:bottom w:w="0" w:type="dxa"/>
      </w:tblCellMar>
    </w:tblPr>
  </w:style>
  <w:style w:type="table" w:styleId="1039" w:customStyle="1">
    <w:name w:val="清单表 31"/>
    <w:uiPriority w:val="99"/>
    <w:qFormat/>
    <w:tblPr>
      <w:tblCellMar>
        <w:left w:w="0" w:type="dxa"/>
        <w:top w:w="0" w:type="dxa"/>
        <w:right w:w="0" w:type="dxa"/>
        <w:bottom w:w="0" w:type="dxa"/>
      </w:tblCellMar>
    </w:tblPr>
  </w:style>
  <w:style w:type="table" w:styleId="1040" w:customStyle="1">
    <w:name w:val="List Table 3 - Accent 1"/>
    <w:uiPriority w:val="99"/>
    <w:qFormat/>
    <w:tblPr>
      <w:tblCellMar>
        <w:left w:w="0" w:type="dxa"/>
        <w:top w:w="0" w:type="dxa"/>
        <w:right w:w="0" w:type="dxa"/>
        <w:bottom w:w="0" w:type="dxa"/>
      </w:tblCellMar>
    </w:tblPr>
  </w:style>
  <w:style w:type="table" w:styleId="1041" w:customStyle="1">
    <w:name w:val="List Table 3 - Accent 2"/>
    <w:uiPriority w:val="99"/>
    <w:qFormat/>
    <w:tblPr>
      <w:tblCellMar>
        <w:left w:w="0" w:type="dxa"/>
        <w:top w:w="0" w:type="dxa"/>
        <w:right w:w="0" w:type="dxa"/>
        <w:bottom w:w="0" w:type="dxa"/>
      </w:tblCellMar>
    </w:tblPr>
  </w:style>
  <w:style w:type="table" w:styleId="1042" w:customStyle="1">
    <w:name w:val="List Table 3 - Accent 3"/>
    <w:uiPriority w:val="99"/>
    <w:qFormat/>
    <w:tblPr>
      <w:tblCellMar>
        <w:left w:w="0" w:type="dxa"/>
        <w:top w:w="0" w:type="dxa"/>
        <w:right w:w="0" w:type="dxa"/>
        <w:bottom w:w="0" w:type="dxa"/>
      </w:tblCellMar>
    </w:tblPr>
  </w:style>
  <w:style w:type="table" w:styleId="1043" w:customStyle="1">
    <w:name w:val="List Table 3 - Accent 4"/>
    <w:uiPriority w:val="99"/>
    <w:qFormat/>
    <w:tblPr>
      <w:tblCellMar>
        <w:left w:w="0" w:type="dxa"/>
        <w:top w:w="0" w:type="dxa"/>
        <w:right w:w="0" w:type="dxa"/>
        <w:bottom w:w="0" w:type="dxa"/>
      </w:tblCellMar>
    </w:tblPr>
  </w:style>
  <w:style w:type="table" w:styleId="1044" w:customStyle="1">
    <w:name w:val="List Table 3 - Accent 5"/>
    <w:uiPriority w:val="99"/>
    <w:qFormat/>
    <w:tblPr>
      <w:tblCellMar>
        <w:left w:w="0" w:type="dxa"/>
        <w:top w:w="0" w:type="dxa"/>
        <w:right w:w="0" w:type="dxa"/>
        <w:bottom w:w="0" w:type="dxa"/>
      </w:tblCellMar>
    </w:tblPr>
  </w:style>
  <w:style w:type="table" w:styleId="1045" w:customStyle="1">
    <w:name w:val="List Table 3 - Accent 6"/>
    <w:uiPriority w:val="99"/>
    <w:qFormat/>
    <w:tblPr>
      <w:tblCellMar>
        <w:left w:w="0" w:type="dxa"/>
        <w:top w:w="0" w:type="dxa"/>
        <w:right w:w="0" w:type="dxa"/>
        <w:bottom w:w="0" w:type="dxa"/>
      </w:tblCellMar>
    </w:tblPr>
  </w:style>
  <w:style w:type="table" w:styleId="1046" w:customStyle="1">
    <w:name w:val="清单表 41"/>
    <w:uiPriority w:val="99"/>
    <w:qFormat/>
    <w:tblPr>
      <w:tblCellMar>
        <w:left w:w="0" w:type="dxa"/>
        <w:top w:w="0" w:type="dxa"/>
        <w:right w:w="0" w:type="dxa"/>
        <w:bottom w:w="0" w:type="dxa"/>
      </w:tblCellMar>
    </w:tblPr>
  </w:style>
  <w:style w:type="table" w:styleId="1047" w:customStyle="1">
    <w:name w:val="List Table 4 - Accent 1"/>
    <w:uiPriority w:val="99"/>
    <w:qFormat/>
    <w:tblPr>
      <w:tblCellMar>
        <w:left w:w="0" w:type="dxa"/>
        <w:top w:w="0" w:type="dxa"/>
        <w:right w:w="0" w:type="dxa"/>
        <w:bottom w:w="0" w:type="dxa"/>
      </w:tblCellMar>
    </w:tblPr>
  </w:style>
  <w:style w:type="table" w:styleId="1048" w:customStyle="1">
    <w:name w:val="List Table 4 - Accent 2"/>
    <w:uiPriority w:val="99"/>
    <w:qFormat/>
    <w:tblPr>
      <w:tblCellMar>
        <w:left w:w="0" w:type="dxa"/>
        <w:top w:w="0" w:type="dxa"/>
        <w:right w:w="0" w:type="dxa"/>
        <w:bottom w:w="0" w:type="dxa"/>
      </w:tblCellMar>
    </w:tblPr>
  </w:style>
  <w:style w:type="table" w:styleId="1049" w:customStyle="1">
    <w:name w:val="List Table 4 - Accent 3"/>
    <w:uiPriority w:val="99"/>
    <w:qFormat/>
    <w:tblPr>
      <w:tblCellMar>
        <w:left w:w="0" w:type="dxa"/>
        <w:top w:w="0" w:type="dxa"/>
        <w:right w:w="0" w:type="dxa"/>
        <w:bottom w:w="0" w:type="dxa"/>
      </w:tblCellMar>
    </w:tblPr>
  </w:style>
  <w:style w:type="table" w:styleId="1050" w:customStyle="1">
    <w:name w:val="List Table 4 - Accent 4"/>
    <w:uiPriority w:val="99"/>
    <w:qFormat/>
    <w:tblPr>
      <w:tblCellMar>
        <w:left w:w="0" w:type="dxa"/>
        <w:top w:w="0" w:type="dxa"/>
        <w:right w:w="0" w:type="dxa"/>
        <w:bottom w:w="0" w:type="dxa"/>
      </w:tblCellMar>
    </w:tblPr>
  </w:style>
  <w:style w:type="table" w:styleId="1051" w:customStyle="1">
    <w:name w:val="List Table 4 - Accent 5"/>
    <w:uiPriority w:val="99"/>
    <w:qFormat/>
    <w:tblPr>
      <w:tblCellMar>
        <w:left w:w="0" w:type="dxa"/>
        <w:top w:w="0" w:type="dxa"/>
        <w:right w:w="0" w:type="dxa"/>
        <w:bottom w:w="0" w:type="dxa"/>
      </w:tblCellMar>
    </w:tblPr>
  </w:style>
  <w:style w:type="table" w:styleId="1052" w:customStyle="1">
    <w:name w:val="List Table 4 - Accent 6"/>
    <w:uiPriority w:val="99"/>
    <w:qFormat/>
    <w:tblPr>
      <w:tblCellMar>
        <w:left w:w="0" w:type="dxa"/>
        <w:top w:w="0" w:type="dxa"/>
        <w:right w:w="0" w:type="dxa"/>
        <w:bottom w:w="0" w:type="dxa"/>
      </w:tblCellMar>
    </w:tblPr>
  </w:style>
  <w:style w:type="table" w:styleId="1053" w:customStyle="1">
    <w:name w:val="清单表 5 深色1"/>
    <w:uiPriority w:val="99"/>
    <w:qFormat/>
    <w:tblPr>
      <w:tblCellMar>
        <w:left w:w="0" w:type="dxa"/>
        <w:top w:w="0" w:type="dxa"/>
        <w:right w:w="0" w:type="dxa"/>
        <w:bottom w:w="0" w:type="dxa"/>
      </w:tblCellMar>
    </w:tblPr>
  </w:style>
  <w:style w:type="table" w:styleId="1054" w:customStyle="1">
    <w:name w:val="List Table 5 Dark - Accent 1"/>
    <w:uiPriority w:val="99"/>
    <w:qFormat/>
    <w:tblPr>
      <w:tblCellMar>
        <w:left w:w="0" w:type="dxa"/>
        <w:top w:w="0" w:type="dxa"/>
        <w:right w:w="0" w:type="dxa"/>
        <w:bottom w:w="0" w:type="dxa"/>
      </w:tblCellMar>
    </w:tblPr>
  </w:style>
  <w:style w:type="table" w:styleId="1055" w:customStyle="1">
    <w:name w:val="List Table 5 Dark - Accent 2"/>
    <w:uiPriority w:val="99"/>
    <w:qFormat/>
    <w:tblPr>
      <w:tblCellMar>
        <w:left w:w="0" w:type="dxa"/>
        <w:top w:w="0" w:type="dxa"/>
        <w:right w:w="0" w:type="dxa"/>
        <w:bottom w:w="0" w:type="dxa"/>
      </w:tblCellMar>
    </w:tblPr>
  </w:style>
  <w:style w:type="table" w:styleId="1056" w:customStyle="1">
    <w:name w:val="List Table 5 Dark - Accent 3"/>
    <w:uiPriority w:val="99"/>
    <w:qFormat/>
    <w:tblPr>
      <w:tblCellMar>
        <w:left w:w="0" w:type="dxa"/>
        <w:top w:w="0" w:type="dxa"/>
        <w:right w:w="0" w:type="dxa"/>
        <w:bottom w:w="0" w:type="dxa"/>
      </w:tblCellMar>
    </w:tblPr>
  </w:style>
  <w:style w:type="table" w:styleId="1057" w:customStyle="1">
    <w:name w:val="List Table 5 Dark - Accent 4"/>
    <w:uiPriority w:val="99"/>
    <w:qFormat/>
    <w:tblPr>
      <w:tblCellMar>
        <w:left w:w="0" w:type="dxa"/>
        <w:top w:w="0" w:type="dxa"/>
        <w:right w:w="0" w:type="dxa"/>
        <w:bottom w:w="0" w:type="dxa"/>
      </w:tblCellMar>
    </w:tblPr>
  </w:style>
  <w:style w:type="table" w:styleId="1058" w:customStyle="1">
    <w:name w:val="List Table 5 Dark - Accent 5"/>
    <w:uiPriority w:val="99"/>
    <w:qFormat/>
    <w:tblPr>
      <w:tblCellMar>
        <w:left w:w="0" w:type="dxa"/>
        <w:top w:w="0" w:type="dxa"/>
        <w:right w:w="0" w:type="dxa"/>
        <w:bottom w:w="0" w:type="dxa"/>
      </w:tblCellMar>
    </w:tblPr>
  </w:style>
  <w:style w:type="table" w:styleId="1059" w:customStyle="1">
    <w:name w:val="List Table 5 Dark - Accent 6"/>
    <w:uiPriority w:val="99"/>
    <w:qFormat/>
    <w:tblPr>
      <w:tblCellMar>
        <w:left w:w="0" w:type="dxa"/>
        <w:top w:w="0" w:type="dxa"/>
        <w:right w:w="0" w:type="dxa"/>
        <w:bottom w:w="0" w:type="dxa"/>
      </w:tblCellMar>
    </w:tblPr>
  </w:style>
  <w:style w:type="table" w:styleId="1060" w:customStyle="1">
    <w:name w:val="清单表 6 彩色1"/>
    <w:uiPriority w:val="99"/>
    <w:qFormat/>
    <w:tblPr>
      <w:tblCellMar>
        <w:left w:w="0" w:type="dxa"/>
        <w:top w:w="0" w:type="dxa"/>
        <w:right w:w="0" w:type="dxa"/>
        <w:bottom w:w="0" w:type="dxa"/>
      </w:tblCellMar>
    </w:tblPr>
  </w:style>
  <w:style w:type="table" w:styleId="1061" w:customStyle="1">
    <w:name w:val="List Table 6 Colorful - Accent 1"/>
    <w:uiPriority w:val="99"/>
    <w:qFormat/>
    <w:tblPr>
      <w:tblCellMar>
        <w:left w:w="0" w:type="dxa"/>
        <w:top w:w="0" w:type="dxa"/>
        <w:right w:w="0" w:type="dxa"/>
        <w:bottom w:w="0" w:type="dxa"/>
      </w:tblCellMar>
    </w:tblPr>
  </w:style>
  <w:style w:type="table" w:styleId="1062" w:customStyle="1">
    <w:name w:val="List Table 6 Colorful - Accent 2"/>
    <w:uiPriority w:val="99"/>
    <w:qFormat/>
    <w:tblPr>
      <w:tblCellMar>
        <w:left w:w="0" w:type="dxa"/>
        <w:top w:w="0" w:type="dxa"/>
        <w:right w:w="0" w:type="dxa"/>
        <w:bottom w:w="0" w:type="dxa"/>
      </w:tblCellMar>
    </w:tblPr>
  </w:style>
  <w:style w:type="table" w:styleId="1063" w:customStyle="1">
    <w:name w:val="List Table 6 Colorful - Accent 3"/>
    <w:uiPriority w:val="99"/>
    <w:qFormat/>
    <w:tblPr>
      <w:tblCellMar>
        <w:left w:w="0" w:type="dxa"/>
        <w:top w:w="0" w:type="dxa"/>
        <w:right w:w="0" w:type="dxa"/>
        <w:bottom w:w="0" w:type="dxa"/>
      </w:tblCellMar>
    </w:tblPr>
  </w:style>
  <w:style w:type="table" w:styleId="1064" w:customStyle="1">
    <w:name w:val="List Table 6 Colorful - Accent 4"/>
    <w:uiPriority w:val="99"/>
    <w:qFormat/>
    <w:tblPr>
      <w:tblCellMar>
        <w:left w:w="0" w:type="dxa"/>
        <w:top w:w="0" w:type="dxa"/>
        <w:right w:w="0" w:type="dxa"/>
        <w:bottom w:w="0" w:type="dxa"/>
      </w:tblCellMar>
    </w:tblPr>
  </w:style>
  <w:style w:type="table" w:styleId="1065" w:customStyle="1">
    <w:name w:val="List Table 6 Colorful - Accent 5"/>
    <w:uiPriority w:val="99"/>
    <w:qFormat/>
    <w:tblPr>
      <w:tblCellMar>
        <w:left w:w="0" w:type="dxa"/>
        <w:top w:w="0" w:type="dxa"/>
        <w:right w:w="0" w:type="dxa"/>
        <w:bottom w:w="0" w:type="dxa"/>
      </w:tblCellMar>
    </w:tblPr>
  </w:style>
  <w:style w:type="table" w:styleId="1066" w:customStyle="1">
    <w:name w:val="List Table 6 Colorful - Accent 6"/>
    <w:uiPriority w:val="99"/>
    <w:qFormat/>
    <w:tblPr>
      <w:tblCellMar>
        <w:left w:w="0" w:type="dxa"/>
        <w:top w:w="0" w:type="dxa"/>
        <w:right w:w="0" w:type="dxa"/>
        <w:bottom w:w="0" w:type="dxa"/>
      </w:tblCellMar>
    </w:tblPr>
  </w:style>
  <w:style w:type="table" w:styleId="1067" w:customStyle="1">
    <w:name w:val="清单表 7 彩色1"/>
    <w:uiPriority w:val="99"/>
    <w:qFormat/>
    <w:tblPr>
      <w:tblCellMar>
        <w:left w:w="0" w:type="dxa"/>
        <w:top w:w="0" w:type="dxa"/>
        <w:right w:w="0" w:type="dxa"/>
        <w:bottom w:w="0" w:type="dxa"/>
      </w:tblCellMar>
    </w:tblPr>
  </w:style>
  <w:style w:type="table" w:styleId="1068" w:customStyle="1">
    <w:name w:val="List Table 7 Colorful - Accent 1"/>
    <w:uiPriority w:val="99"/>
    <w:qFormat/>
    <w:tblPr>
      <w:tblCellMar>
        <w:left w:w="0" w:type="dxa"/>
        <w:top w:w="0" w:type="dxa"/>
        <w:right w:w="0" w:type="dxa"/>
        <w:bottom w:w="0" w:type="dxa"/>
      </w:tblCellMar>
    </w:tblPr>
  </w:style>
  <w:style w:type="table" w:styleId="1069" w:customStyle="1">
    <w:name w:val="List Table 7 Colorful - Accent 2"/>
    <w:uiPriority w:val="99"/>
    <w:qFormat/>
    <w:tblPr>
      <w:tblCellMar>
        <w:left w:w="0" w:type="dxa"/>
        <w:top w:w="0" w:type="dxa"/>
        <w:right w:w="0" w:type="dxa"/>
        <w:bottom w:w="0" w:type="dxa"/>
      </w:tblCellMar>
    </w:tblPr>
  </w:style>
  <w:style w:type="table" w:styleId="1070" w:customStyle="1">
    <w:name w:val="List Table 7 Colorful - Accent 3"/>
    <w:uiPriority w:val="99"/>
    <w:qFormat/>
    <w:tblPr>
      <w:tblCellMar>
        <w:left w:w="0" w:type="dxa"/>
        <w:top w:w="0" w:type="dxa"/>
        <w:right w:w="0" w:type="dxa"/>
        <w:bottom w:w="0" w:type="dxa"/>
      </w:tblCellMar>
    </w:tblPr>
  </w:style>
  <w:style w:type="table" w:styleId="1071" w:customStyle="1">
    <w:name w:val="List Table 7 Colorful - Accent 4"/>
    <w:uiPriority w:val="99"/>
    <w:qFormat/>
    <w:tblPr>
      <w:tblCellMar>
        <w:left w:w="0" w:type="dxa"/>
        <w:top w:w="0" w:type="dxa"/>
        <w:right w:w="0" w:type="dxa"/>
        <w:bottom w:w="0" w:type="dxa"/>
      </w:tblCellMar>
    </w:tblPr>
  </w:style>
  <w:style w:type="table" w:styleId="1072" w:customStyle="1">
    <w:name w:val="List Table 7 Colorful - Accent 5"/>
    <w:uiPriority w:val="99"/>
    <w:qFormat/>
    <w:tblPr>
      <w:tblCellMar>
        <w:left w:w="0" w:type="dxa"/>
        <w:top w:w="0" w:type="dxa"/>
        <w:right w:w="0" w:type="dxa"/>
        <w:bottom w:w="0" w:type="dxa"/>
      </w:tblCellMar>
    </w:tblPr>
  </w:style>
  <w:style w:type="table" w:styleId="1073" w:customStyle="1">
    <w:name w:val="List Table 7 Colorful - Accent 6"/>
    <w:uiPriority w:val="99"/>
    <w:qFormat/>
    <w:tblPr>
      <w:tblCellMar>
        <w:left w:w="0" w:type="dxa"/>
        <w:top w:w="0" w:type="dxa"/>
        <w:right w:w="0" w:type="dxa"/>
        <w:bottom w:w="0" w:type="dxa"/>
      </w:tblCellMar>
    </w:tblPr>
  </w:style>
  <w:style w:type="table" w:styleId="1074" w:customStyle="1">
    <w:name w:val="Lined - Accent"/>
    <w:uiPriority w:val="99"/>
    <w:qFormat/>
    <w:rPr>
      <w:color w:val="404040"/>
    </w:rPr>
    <w:tblPr>
      <w:tblCellMar>
        <w:left w:w="0" w:type="dxa"/>
        <w:top w:w="0" w:type="dxa"/>
        <w:right w:w="0" w:type="dxa"/>
        <w:bottom w:w="0" w:type="dxa"/>
      </w:tblCellMar>
    </w:tblPr>
  </w:style>
  <w:style w:type="table" w:styleId="1075" w:customStyle="1">
    <w:name w:val="Lined - Accent 1"/>
    <w:uiPriority w:val="99"/>
    <w:qFormat/>
    <w:rPr>
      <w:color w:val="404040"/>
    </w:rPr>
    <w:tblPr>
      <w:tblCellMar>
        <w:left w:w="0" w:type="dxa"/>
        <w:top w:w="0" w:type="dxa"/>
        <w:right w:w="0" w:type="dxa"/>
        <w:bottom w:w="0" w:type="dxa"/>
      </w:tblCellMar>
    </w:tblPr>
  </w:style>
  <w:style w:type="table" w:styleId="1076" w:customStyle="1">
    <w:name w:val="Lined - Accent 2"/>
    <w:uiPriority w:val="99"/>
    <w:qFormat/>
    <w:rPr>
      <w:color w:val="404040"/>
    </w:rPr>
    <w:tblPr>
      <w:tblCellMar>
        <w:left w:w="0" w:type="dxa"/>
        <w:top w:w="0" w:type="dxa"/>
        <w:right w:w="0" w:type="dxa"/>
        <w:bottom w:w="0" w:type="dxa"/>
      </w:tblCellMar>
    </w:tblPr>
  </w:style>
  <w:style w:type="table" w:styleId="1077" w:customStyle="1">
    <w:name w:val="Lined - Accent 3"/>
    <w:uiPriority w:val="99"/>
    <w:qFormat/>
    <w:rPr>
      <w:color w:val="404040"/>
    </w:rPr>
    <w:tblPr>
      <w:tblCellMar>
        <w:left w:w="0" w:type="dxa"/>
        <w:top w:w="0" w:type="dxa"/>
        <w:right w:w="0" w:type="dxa"/>
        <w:bottom w:w="0" w:type="dxa"/>
      </w:tblCellMar>
    </w:tblPr>
  </w:style>
  <w:style w:type="table" w:styleId="1078" w:customStyle="1">
    <w:name w:val="Lined - Accent 4"/>
    <w:uiPriority w:val="99"/>
    <w:qFormat/>
    <w:rPr>
      <w:color w:val="404040"/>
    </w:rPr>
    <w:tblPr>
      <w:tblCellMar>
        <w:left w:w="0" w:type="dxa"/>
        <w:top w:w="0" w:type="dxa"/>
        <w:right w:w="0" w:type="dxa"/>
        <w:bottom w:w="0" w:type="dxa"/>
      </w:tblCellMar>
    </w:tblPr>
  </w:style>
  <w:style w:type="table" w:styleId="1079" w:customStyle="1">
    <w:name w:val="Lined - Accent 5"/>
    <w:uiPriority w:val="99"/>
    <w:qFormat/>
    <w:rPr>
      <w:color w:val="404040"/>
    </w:rPr>
    <w:tblPr>
      <w:tblCellMar>
        <w:left w:w="0" w:type="dxa"/>
        <w:top w:w="0" w:type="dxa"/>
        <w:right w:w="0" w:type="dxa"/>
        <w:bottom w:w="0" w:type="dxa"/>
      </w:tblCellMar>
    </w:tblPr>
  </w:style>
  <w:style w:type="table" w:styleId="1080" w:customStyle="1">
    <w:name w:val="Lined - Accent 6"/>
    <w:uiPriority w:val="99"/>
    <w:qFormat/>
    <w:rPr>
      <w:color w:val="404040"/>
    </w:rPr>
    <w:tblPr>
      <w:tblCellMar>
        <w:left w:w="0" w:type="dxa"/>
        <w:top w:w="0" w:type="dxa"/>
        <w:right w:w="0" w:type="dxa"/>
        <w:bottom w:w="0" w:type="dxa"/>
      </w:tblCellMar>
    </w:tblPr>
  </w:style>
  <w:style w:type="table" w:styleId="1081" w:customStyle="1">
    <w:name w:val="Bordered &amp; Lined - Accent"/>
    <w:uiPriority w:val="99"/>
    <w:qFormat/>
    <w:rPr>
      <w:color w:val="404040"/>
    </w:rPr>
    <w:tblPr>
      <w:tblCellMar>
        <w:left w:w="0" w:type="dxa"/>
        <w:top w:w="0" w:type="dxa"/>
        <w:right w:w="0" w:type="dxa"/>
        <w:bottom w:w="0" w:type="dxa"/>
      </w:tblCellMar>
    </w:tblPr>
  </w:style>
  <w:style w:type="table" w:styleId="1082" w:customStyle="1">
    <w:name w:val="Bordered &amp; Lined - Accent 1"/>
    <w:uiPriority w:val="99"/>
    <w:qFormat/>
    <w:rPr>
      <w:color w:val="404040"/>
    </w:rPr>
    <w:tblPr>
      <w:tblCellMar>
        <w:left w:w="0" w:type="dxa"/>
        <w:top w:w="0" w:type="dxa"/>
        <w:right w:w="0" w:type="dxa"/>
        <w:bottom w:w="0" w:type="dxa"/>
      </w:tblCellMar>
    </w:tblPr>
  </w:style>
  <w:style w:type="table" w:styleId="1083" w:customStyle="1">
    <w:name w:val="Bordered &amp; Lined - Accent 2"/>
    <w:uiPriority w:val="99"/>
    <w:qFormat/>
    <w:rPr>
      <w:color w:val="404040"/>
    </w:rPr>
    <w:tblPr>
      <w:tblCellMar>
        <w:left w:w="0" w:type="dxa"/>
        <w:top w:w="0" w:type="dxa"/>
        <w:right w:w="0" w:type="dxa"/>
        <w:bottom w:w="0" w:type="dxa"/>
      </w:tblCellMar>
    </w:tblPr>
  </w:style>
  <w:style w:type="table" w:styleId="1084" w:customStyle="1">
    <w:name w:val="Bordered &amp; Lined - Accent 3"/>
    <w:uiPriority w:val="99"/>
    <w:qFormat/>
    <w:rPr>
      <w:color w:val="404040"/>
    </w:rPr>
    <w:tblPr>
      <w:tblCellMar>
        <w:left w:w="0" w:type="dxa"/>
        <w:top w:w="0" w:type="dxa"/>
        <w:right w:w="0" w:type="dxa"/>
        <w:bottom w:w="0" w:type="dxa"/>
      </w:tblCellMar>
    </w:tblPr>
  </w:style>
  <w:style w:type="table" w:styleId="1085" w:customStyle="1">
    <w:name w:val="Bordered &amp; Lined - Accent 4"/>
    <w:uiPriority w:val="99"/>
    <w:qFormat/>
    <w:rPr>
      <w:color w:val="404040"/>
    </w:rPr>
    <w:tblPr>
      <w:tblCellMar>
        <w:left w:w="0" w:type="dxa"/>
        <w:top w:w="0" w:type="dxa"/>
        <w:right w:w="0" w:type="dxa"/>
        <w:bottom w:w="0" w:type="dxa"/>
      </w:tblCellMar>
    </w:tblPr>
  </w:style>
  <w:style w:type="table" w:styleId="1086" w:customStyle="1">
    <w:name w:val="Bordered &amp; Lined - Accent 5"/>
    <w:uiPriority w:val="99"/>
    <w:qFormat/>
    <w:rPr>
      <w:color w:val="404040"/>
    </w:rPr>
    <w:tblPr>
      <w:tblCellMar>
        <w:left w:w="0" w:type="dxa"/>
        <w:top w:w="0" w:type="dxa"/>
        <w:right w:w="0" w:type="dxa"/>
        <w:bottom w:w="0" w:type="dxa"/>
      </w:tblCellMar>
    </w:tblPr>
  </w:style>
  <w:style w:type="table" w:styleId="1087" w:customStyle="1">
    <w:name w:val="Bordered &amp; Lined - Accent 6"/>
    <w:uiPriority w:val="99"/>
    <w:qFormat/>
    <w:rPr>
      <w:color w:val="404040"/>
    </w:rPr>
    <w:tblPr>
      <w:tblCellMar>
        <w:left w:w="0" w:type="dxa"/>
        <w:top w:w="0" w:type="dxa"/>
        <w:right w:w="0" w:type="dxa"/>
        <w:bottom w:w="0" w:type="dxa"/>
      </w:tblCellMar>
    </w:tblPr>
  </w:style>
  <w:style w:type="table" w:styleId="1088" w:customStyle="1">
    <w:name w:val="Bordered"/>
    <w:uiPriority w:val="99"/>
    <w:qFormat/>
    <w:tblPr>
      <w:tblCellMar>
        <w:left w:w="0" w:type="dxa"/>
        <w:top w:w="0" w:type="dxa"/>
        <w:right w:w="0" w:type="dxa"/>
        <w:bottom w:w="0" w:type="dxa"/>
      </w:tblCellMar>
    </w:tblPr>
  </w:style>
  <w:style w:type="table" w:styleId="1089" w:customStyle="1">
    <w:name w:val="Bordered - Accent 1"/>
    <w:uiPriority w:val="99"/>
    <w:qFormat/>
    <w:tblPr>
      <w:tblCellMar>
        <w:left w:w="0" w:type="dxa"/>
        <w:top w:w="0" w:type="dxa"/>
        <w:right w:w="0" w:type="dxa"/>
        <w:bottom w:w="0" w:type="dxa"/>
      </w:tblCellMar>
    </w:tblPr>
  </w:style>
  <w:style w:type="table" w:styleId="1090" w:customStyle="1">
    <w:name w:val="Bordered - Accent 2"/>
    <w:uiPriority w:val="99"/>
    <w:qFormat/>
    <w:tblPr>
      <w:tblCellMar>
        <w:left w:w="0" w:type="dxa"/>
        <w:top w:w="0" w:type="dxa"/>
        <w:right w:w="0" w:type="dxa"/>
        <w:bottom w:w="0" w:type="dxa"/>
      </w:tblCellMar>
    </w:tblPr>
  </w:style>
  <w:style w:type="table" w:styleId="1091" w:customStyle="1">
    <w:name w:val="Bordered - Accent 3"/>
    <w:uiPriority w:val="99"/>
    <w:qFormat/>
    <w:tblPr>
      <w:tblCellMar>
        <w:left w:w="0" w:type="dxa"/>
        <w:top w:w="0" w:type="dxa"/>
        <w:right w:w="0" w:type="dxa"/>
        <w:bottom w:w="0" w:type="dxa"/>
      </w:tblCellMar>
    </w:tblPr>
  </w:style>
  <w:style w:type="table" w:styleId="1092" w:customStyle="1">
    <w:name w:val="Bordered - Accent 4"/>
    <w:uiPriority w:val="99"/>
    <w:qFormat/>
    <w:tblPr>
      <w:tblCellMar>
        <w:left w:w="0" w:type="dxa"/>
        <w:top w:w="0" w:type="dxa"/>
        <w:right w:w="0" w:type="dxa"/>
        <w:bottom w:w="0" w:type="dxa"/>
      </w:tblCellMar>
    </w:tblPr>
  </w:style>
  <w:style w:type="table" w:styleId="1093" w:customStyle="1">
    <w:name w:val="Bordered - Accent 5"/>
    <w:uiPriority w:val="99"/>
    <w:qFormat/>
    <w:tblPr>
      <w:tblCellMar>
        <w:left w:w="0" w:type="dxa"/>
        <w:top w:w="0" w:type="dxa"/>
        <w:right w:w="0" w:type="dxa"/>
        <w:bottom w:w="0" w:type="dxa"/>
      </w:tblCellMar>
    </w:tblPr>
  </w:style>
  <w:style w:type="table" w:styleId="1094" w:customStyle="1">
    <w:name w:val="Bordered - Accent 6"/>
    <w:uiPriority w:val="99"/>
    <w:qFormat/>
    <w:tblPr>
      <w:tblCellMar>
        <w:left w:w="0" w:type="dxa"/>
        <w:top w:w="0" w:type="dxa"/>
        <w:right w:w="0" w:type="dxa"/>
        <w:bottom w:w="0" w:type="dxa"/>
      </w:tblCellMar>
    </w:tblPr>
  </w:style>
  <w:style w:type="paragraph" w:styleId="1095" w:customStyle="1">
    <w:name w:val="TOC 标题11"/>
    <w:uiPriority w:val="39"/>
    <w:unhideWhenUsed/>
    <w:qFormat/>
    <w:rPr>
      <w:rFonts w:ascii="Times New Roman" w:hAnsi="Times New Roman" w:eastAsia="宋体" w:cs="Times New Roman"/>
      <w:lang w:val="en-US" w:eastAsia="zh-CN" w:bidi="ar-SA"/>
    </w:rPr>
  </w:style>
  <w:style w:type="character" w:styleId="1096" w:customStyle="1">
    <w:name w:val="批注框文本 Char1"/>
    <w:uiPriority w:val="99"/>
    <w:semiHidden/>
    <w:qFormat/>
    <w:rPr>
      <w:rFonts w:ascii="Times New Roman" w:hAnsi="Times New Roman" w:eastAsia="宋体" w:cs="Times New Roman"/>
      <w:sz w:val="18"/>
      <w:szCs w:val="18"/>
    </w:rPr>
  </w:style>
  <w:style w:type="character" w:styleId="1097" w:customStyle="1">
    <w:name w:val="正文文本 2 Char1"/>
    <w:uiPriority w:val="99"/>
    <w:semiHidden/>
    <w:qFormat/>
    <w:rPr>
      <w:rFonts w:ascii="Times New Roman" w:hAnsi="Times New Roman" w:eastAsia="宋体" w:cs="Times New Roman"/>
      <w:szCs w:val="20"/>
    </w:rPr>
  </w:style>
  <w:style w:type="character" w:styleId="1098" w:customStyle="1">
    <w:name w:val="文档结构图 Char1"/>
    <w:uiPriority w:val="99"/>
    <w:semiHidden/>
    <w:qFormat/>
    <w:rPr>
      <w:rFonts w:ascii="宋体" w:hAnsi="Times New Roman" w:eastAsia="宋体" w:cs="Times New Roman"/>
      <w:sz w:val="18"/>
      <w:szCs w:val="18"/>
    </w:rPr>
  </w:style>
  <w:style w:type="character" w:styleId="1099" w:customStyle="1">
    <w:name w:val="正文文本缩进 Char1"/>
    <w:uiPriority w:val="99"/>
    <w:semiHidden/>
    <w:qFormat/>
    <w:rPr>
      <w:rFonts w:ascii="Times New Roman" w:hAnsi="Times New Roman" w:eastAsia="宋体" w:cs="Times New Roman"/>
      <w:szCs w:val="20"/>
    </w:rPr>
  </w:style>
  <w:style w:type="character" w:styleId="1100" w:customStyle="1">
    <w:name w:val="15"/>
    <w:uiPriority w:val="0"/>
    <w:qFormat/>
    <w:rPr>
      <w:rFonts w:ascii="Times New Roman" w:hAnsi="Times New Roman" w:cs="Times New Roman"/>
    </w:rPr>
  </w:style>
  <w:style w:type="character" w:styleId="1101" w:customStyle="1">
    <w:name w:val="正文文本缩进 2 Char1"/>
    <w:uiPriority w:val="99"/>
    <w:semiHidden/>
    <w:qFormat/>
    <w:rPr>
      <w:rFonts w:ascii="Times New Roman" w:hAnsi="Times New Roman" w:eastAsia="宋体" w:cs="Times New Roman"/>
      <w:szCs w:val="20"/>
    </w:rPr>
  </w:style>
  <w:style w:type="character" w:styleId="1102" w:customStyle="1">
    <w:name w:val="日期 Char1"/>
    <w:uiPriority w:val="99"/>
    <w:semiHidden/>
    <w:qFormat/>
    <w:rPr>
      <w:rFonts w:ascii="Times New Roman" w:hAnsi="Times New Roman" w:eastAsia="宋体" w:cs="Times New Roman"/>
      <w:szCs w:val="20"/>
    </w:rPr>
  </w:style>
  <w:style w:type="character" w:styleId="1103" w:customStyle="1">
    <w:name w:val="正文文本缩进 3 Char1"/>
    <w:uiPriority w:val="99"/>
    <w:semiHidden/>
    <w:qFormat/>
    <w:rPr>
      <w:rFonts w:ascii="Times New Roman" w:hAnsi="Times New Roman" w:eastAsia="宋体" w:cs="Times New Roman"/>
      <w:sz w:val="16"/>
      <w:szCs w:val="16"/>
    </w:rPr>
  </w:style>
  <w:style w:type="paragraph" w:styleId="1104">
    <w:name w:val="List Paragraph"/>
    <w:basedOn w:val="752"/>
    <w:uiPriority w:val="0"/>
    <w:qFormat/>
    <w:pPr>
      <w:ind w:firstLine="420"/>
    </w:pPr>
    <w:rPr>
      <w:szCs w:val="21"/>
    </w:rPr>
  </w:style>
  <w:style w:type="paragraph" w:styleId="1105" w:customStyle="1">
    <w:name w:val="普通文字"/>
    <w:basedOn w:val="752"/>
    <w:next w:val="752"/>
    <w:uiPriority w:val="0"/>
    <w:qFormat/>
    <w:rPr>
      <w:rFonts w:ascii="宋体"/>
      <w:sz w:val="24"/>
    </w:rPr>
  </w:style>
  <w:style w:type="paragraph" w:styleId="1106" w:customStyle="1">
    <w:name w:val="样式 小四 段前: 5 磅 段后: 5 磅 首行缩进:  2 字符"/>
    <w:basedOn w:val="752"/>
    <w:uiPriority w:val="0"/>
    <w:qFormat/>
    <w:pPr>
      <w:jc w:val="center"/>
      <w:spacing w:line="360" w:lineRule="auto"/>
    </w:pPr>
    <w:rPr>
      <w:rFonts w:ascii="宋体" w:hAnsi="宋体"/>
      <w:bCs/>
      <w:color w:val="ff0000"/>
      <w:sz w:val="24"/>
      <w:szCs w:val="24"/>
    </w:rPr>
  </w:style>
  <w:style w:type="paragraph" w:styleId="1107" w:customStyle="1">
    <w:name w:val="列出段落1"/>
    <w:basedOn w:val="752"/>
    <w:uiPriority w:val="0"/>
    <w:qFormat/>
    <w:pPr>
      <w:ind w:firstLine="420"/>
    </w:pPr>
    <w:rPr>
      <w:szCs w:val="24"/>
    </w:rPr>
  </w:style>
  <w:style w:type="paragraph" w:styleId="1108" w:customStyle="1">
    <w:name w:val="段"/>
    <w:next w:val="752"/>
    <w:uiPriority w:val="0"/>
    <w:qFormat/>
    <w:pPr>
      <w:ind w:firstLine="200"/>
      <w:jc w:val="both"/>
    </w:pPr>
    <w:rPr>
      <w:rFonts w:ascii="宋体" w:hAnsi="Times New Roman" w:eastAsia="宋体" w:cs="Times New Roman"/>
      <w:sz w:val="21"/>
      <w:lang w:val="en-US" w:eastAsia="zh-CN" w:bidi="ar-SA"/>
    </w:rPr>
  </w:style>
  <w:style w:type="paragraph" w:styleId="110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1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111" w:customStyle="1">
    <w:name w:val="Other|1"/>
    <w:basedOn w:val="752"/>
    <w:uiPriority w:val="0"/>
    <w:qFormat/>
    <w:pPr>
      <w:ind w:firstLine="220"/>
    </w:pPr>
    <w:rPr>
      <w:rFonts w:ascii="宋体" w:hAnsi="宋体" w:cs="宋体"/>
      <w:sz w:val="20"/>
      <w:lang w:val="zh-TW" w:eastAsia="zh-TW" w:bidi="zh-TW"/>
    </w:rPr>
  </w:style>
  <w:style w:type="character" w:styleId="1112" w:customStyle="1">
    <w:name w:val="font11"/>
    <w:uiPriority w:val="0"/>
    <w:qFormat/>
    <w:rPr>
      <w:rFonts w:hint="eastAsia" w:ascii="宋体" w:hAnsi="宋体" w:eastAsia="宋体" w:cs="宋体"/>
      <w:color w:val="333333"/>
      <w:sz w:val="20"/>
      <w:szCs w:val="20"/>
      <w:u w:val="none"/>
    </w:rPr>
  </w:style>
  <w:style w:type="paragraph" w:styleId="1113" w:customStyle="1">
    <w:name w:val="纯文本1"/>
    <w:basedOn w:val="752"/>
    <w:uiPriority w:val="0"/>
    <w:qFormat/>
    <w:rPr>
      <w:rFonts w:ascii="宋体" w:hAnsi="Courier New" w:eastAsia="楷体_GB2312"/>
      <w:sz w:val="26"/>
    </w:rPr>
  </w:style>
  <w:style w:type="character" w:styleId="1114" w:customStyle="1">
    <w:name w:val="font21"/>
    <w:uiPriority w:val="0"/>
    <w:qFormat/>
    <w:rPr>
      <w:rFonts w:hint="eastAsia" w:ascii="宋体" w:hAnsi="宋体" w:eastAsia="宋体" w:cs="宋体"/>
      <w:color w:val="000000"/>
      <w:sz w:val="20"/>
      <w:szCs w:val="20"/>
      <w:u w:val="none"/>
    </w:rPr>
  </w:style>
  <w:style w:type="paragraph" w:styleId="1115" w:customStyle="1">
    <w:name w:val="列出段落2"/>
    <w:basedOn w:val="752"/>
    <w:uiPriority w:val="34"/>
    <w:qFormat/>
    <w:pPr>
      <w:ind w:firstLine="420"/>
    </w:pPr>
  </w:style>
  <w:style w:type="paragraph" w:styleId="1116" w:customStyle="1">
    <w:name w:val="正文文本2"/>
    <w:basedOn w:val="752"/>
    <w:next w:val="1117"/>
    <w:uiPriority w:val="0"/>
    <w:qFormat/>
    <w:rPr>
      <w:rFonts w:ascii="华文中宋" w:eastAsia="华文中宋"/>
      <w:bCs/>
      <w:sz w:val="28"/>
    </w:rPr>
  </w:style>
  <w:style w:type="paragraph" w:styleId="1117" w:customStyle="1">
    <w:name w:val="列表项目符号 51"/>
    <w:basedOn w:val="752"/>
    <w:uiPriority w:val="0"/>
    <w:qFormat/>
    <w:pPr>
      <w:ind w:left="2040" w:hanging="360"/>
      <w:spacing w:line="360" w:lineRule="exact"/>
      <w:widowControl/>
      <w:tabs>
        <w:tab w:val="left" w:pos="2040" w:leader="none"/>
      </w:tabs>
    </w:pPr>
    <w:rPr>
      <w:rFonts w:eastAsia="楷体_GB2312"/>
      <w:sz w:val="24"/>
    </w:rPr>
  </w:style>
  <w:style w:type="paragraph" w:styleId="1118" w:customStyle="1">
    <w:name w:val="页脚1"/>
    <w:basedOn w:val="752"/>
    <w:next w:val="752"/>
    <w:uiPriority w:val="99"/>
    <w:unhideWhenUsed/>
    <w:qFormat/>
    <w:pPr>
      <w:jc w:val="left"/>
      <w:tabs>
        <w:tab w:val="center" w:pos="4153" w:leader="none"/>
        <w:tab w:val="right" w:pos="8306" w:leader="none"/>
      </w:tabs>
    </w:pPr>
    <w:rPr>
      <w:sz w:val="18"/>
      <w:szCs w:val="18"/>
    </w:rPr>
  </w:style>
  <w:style w:type="paragraph" w:styleId="1119" w:customStyle="1">
    <w:name w:val="正文缩进11"/>
    <w:basedOn w:val="752"/>
    <w:uiPriority w:val="0"/>
    <w:qFormat/>
    <w:pPr>
      <w:ind w:firstLine="420"/>
    </w:pPr>
    <w:rPr>
      <w:szCs w:val="21"/>
    </w:rPr>
  </w:style>
  <w:style w:type="paragraph" w:styleId="1120" w:customStyle="1">
    <w:name w:val="列出段落3"/>
    <w:basedOn w:val="752"/>
    <w:uiPriority w:val="34"/>
    <w:qFormat/>
    <w:pPr>
      <w:ind w:firstLine="420"/>
    </w:pPr>
  </w:style>
  <w:style w:type="character" w:styleId="1121" w:customStyle="1">
    <w:name w:val="font151"/>
    <w:basedOn w:val="762"/>
    <w:uiPriority w:val="0"/>
    <w:qFormat/>
    <w:rPr>
      <w:rFonts w:ascii="方正仿宋_GBK" w:hAnsi="方正仿宋_GBK" w:eastAsia="方正仿宋_GBK" w:cs="方正仿宋_GBK"/>
      <w:b/>
      <w:bCs/>
      <w:color w:val="000000"/>
      <w:sz w:val="56"/>
      <w:szCs w:val="56"/>
      <w:u w:val="none"/>
    </w:rPr>
  </w:style>
  <w:style w:type="character" w:styleId="1122" w:customStyle="1">
    <w:name w:val="font51"/>
    <w:basedOn w:val="762"/>
    <w:uiPriority w:val="0"/>
    <w:qFormat/>
    <w:rPr>
      <w:rFonts w:hint="eastAsia" w:ascii="等线" w:hAnsi="等线" w:eastAsia="等线" w:cs="等线"/>
      <w:color w:val="000000"/>
      <w:sz w:val="44"/>
      <w:szCs w:val="44"/>
      <w:u w:val="none"/>
    </w:rPr>
  </w:style>
  <w:style w:type="character" w:styleId="1123" w:customStyle="1">
    <w:name w:val="font161"/>
    <w:basedOn w:val="762"/>
    <w:uiPriority w:val="0"/>
    <w:qFormat/>
    <w:rPr>
      <w:rFonts w:hint="eastAsia" w:ascii="等线" w:hAnsi="等线" w:eastAsia="等线" w:cs="等线"/>
      <w:b/>
      <w:bCs/>
      <w:color w:val="000000"/>
      <w:sz w:val="44"/>
      <w:szCs w:val="44"/>
      <w:u w:val="none"/>
    </w:rPr>
  </w:style>
  <w:style w:type="character" w:styleId="1124" w:customStyle="1">
    <w:name w:val="font61"/>
    <w:basedOn w:val="762"/>
    <w:uiPriority w:val="0"/>
    <w:qFormat/>
    <w:rPr>
      <w:rFonts w:hint="default" w:ascii="Times New Roman" w:hAnsi="Times New Roman" w:cs="Times New Roman"/>
      <w:color w:val="000000"/>
      <w:sz w:val="56"/>
      <w:szCs w:val="56"/>
      <w:u w:val="none"/>
    </w:rPr>
  </w:style>
  <w:style w:type="character" w:styleId="1125" w:customStyle="1">
    <w:name w:val="font171"/>
    <w:basedOn w:val="762"/>
    <w:uiPriority w:val="0"/>
    <w:qFormat/>
    <w:rPr>
      <w:rFonts w:hint="eastAsia" w:ascii="方正仿宋_GBK" w:hAnsi="方正仿宋_GBK" w:eastAsia="方正仿宋_GBK" w:cs="方正仿宋_GBK"/>
      <w:color w:val="000000"/>
      <w:sz w:val="56"/>
      <w:szCs w:val="56"/>
      <w:u w:val="none"/>
    </w:rPr>
  </w:style>
  <w:style w:type="character" w:styleId="1126" w:customStyle="1">
    <w:name w:val="font81"/>
    <w:basedOn w:val="762"/>
    <w:uiPriority w:val="0"/>
    <w:qFormat/>
    <w:rPr>
      <w:rFonts w:hint="eastAsia" w:ascii="等线" w:hAnsi="等线" w:eastAsia="等线" w:cs="等线"/>
      <w:b/>
      <w:bCs/>
      <w:color w:val="000000"/>
      <w:sz w:val="44"/>
      <w:szCs w:val="44"/>
      <w:u w:val="none"/>
    </w:rPr>
  </w:style>
  <w:style w:type="character" w:styleId="1127" w:customStyle="1">
    <w:name w:val="font91"/>
    <w:basedOn w:val="762"/>
    <w:uiPriority w:val="0"/>
    <w:qFormat/>
    <w:rPr>
      <w:rFonts w:hint="eastAsia" w:ascii="等线" w:hAnsi="等线" w:eastAsia="等线" w:cs="等线"/>
      <w:color w:val="000000"/>
      <w:sz w:val="44"/>
      <w:szCs w:val="44"/>
      <w:u w:val="none"/>
    </w:rPr>
  </w:style>
  <w:style w:type="character" w:styleId="1128" w:customStyle="1">
    <w:name w:val="font101"/>
    <w:basedOn w:val="762"/>
    <w:uiPriority w:val="0"/>
    <w:qFormat/>
    <w:rPr>
      <w:rFonts w:hint="eastAsia" w:ascii="等线" w:hAnsi="等线" w:eastAsia="等线" w:cs="等线"/>
      <w:color w:val="000000"/>
      <w:sz w:val="44"/>
      <w:szCs w:val="44"/>
      <w:u w:val="none"/>
    </w:rPr>
  </w:style>
  <w:style w:type="character" w:styleId="1129" w:customStyle="1">
    <w:name w:val="font181"/>
    <w:basedOn w:val="762"/>
    <w:uiPriority w:val="0"/>
    <w:qFormat/>
    <w:rPr>
      <w:rFonts w:hint="eastAsia" w:ascii="等线" w:hAnsi="等线" w:eastAsia="等线" w:cs="等线"/>
      <w:color w:val="000000"/>
      <w:sz w:val="44"/>
      <w:szCs w:val="44"/>
      <w:u w:val="none"/>
      <w:vertAlign w:val="subscript"/>
    </w:rPr>
  </w:style>
  <w:style w:type="character" w:styleId="1130" w:customStyle="1">
    <w:name w:val="font121"/>
    <w:basedOn w:val="762"/>
    <w:uiPriority w:val="0"/>
    <w:qFormat/>
    <w:rPr>
      <w:rFonts w:hint="default" w:ascii="Times New Roman" w:hAnsi="Times New Roman" w:cs="Times New Roman"/>
      <w:color w:val="000000"/>
      <w:sz w:val="56"/>
      <w:szCs w:val="56"/>
      <w:u w:val="none"/>
    </w:rPr>
  </w:style>
  <w:style w:type="character" w:styleId="1131" w:customStyle="1">
    <w:name w:val="font191"/>
    <w:basedOn w:val="762"/>
    <w:uiPriority w:val="0"/>
    <w:qFormat/>
    <w:rPr>
      <w:rFonts w:hint="eastAsia" w:ascii="方正仿宋_GBK" w:hAnsi="方正仿宋_GBK" w:eastAsia="方正仿宋_GBK" w:cs="方正仿宋_GBK"/>
      <w:color w:val="000000"/>
      <w:sz w:val="56"/>
      <w:szCs w:val="56"/>
      <w:u w:val="none"/>
    </w:rPr>
  </w:style>
  <w:style w:type="character" w:styleId="1132" w:customStyle="1">
    <w:name w:val="font112"/>
    <w:basedOn w:val="762"/>
    <w:uiPriority w:val="0"/>
    <w:qFormat/>
    <w:rPr>
      <w:rFonts w:hint="eastAsia" w:ascii="宋体" w:hAnsi="宋体" w:eastAsia="宋体" w:cs="宋体"/>
      <w:color w:val="000000"/>
      <w:sz w:val="56"/>
      <w:szCs w:val="56"/>
      <w:u w:val="none"/>
    </w:rPr>
  </w:style>
  <w:style w:type="character" w:styleId="1133" w:customStyle="1">
    <w:name w:val="font41"/>
    <w:basedOn w:val="762"/>
    <w:uiPriority w:val="0"/>
    <w:qFormat/>
    <w:rPr>
      <w:rFonts w:hint="default" w:ascii="方正黑体_GBK" w:hAnsi="方正黑体_GBK" w:eastAsia="方正黑体_GBK" w:cs="方正黑体_GBK"/>
      <w:color w:val="000000"/>
      <w:sz w:val="48"/>
      <w:szCs w:val="48"/>
      <w:u w:val="none"/>
    </w:rPr>
  </w:style>
  <w:style w:type="character" w:styleId="1134" w:customStyle="1">
    <w:name w:val="font201"/>
    <w:basedOn w:val="762"/>
    <w:uiPriority w:val="0"/>
    <w:qFormat/>
    <w:rPr>
      <w:rFonts w:hint="default" w:ascii="方正黑体_GBK" w:hAnsi="方正黑体_GBK" w:eastAsia="方正黑体_GBK" w:cs="方正黑体_GBK"/>
      <w:color w:val="000000"/>
      <w:sz w:val="48"/>
      <w:szCs w:val="48"/>
      <w:u w:val="none"/>
      <w:vertAlign w:val="subscript"/>
    </w:rPr>
  </w:style>
  <w:style w:type="character" w:styleId="1135" w:customStyle="1">
    <w:name w:val="font211"/>
    <w:basedOn w:val="762"/>
    <w:uiPriority w:val="0"/>
    <w:qFormat/>
    <w:rPr>
      <w:rFonts w:hint="default" w:ascii="方正黑体_GBK" w:hAnsi="方正黑体_GBK" w:eastAsia="方正黑体_GBK" w:cs="方正黑体_GBK"/>
      <w:color w:val="000000"/>
      <w:sz w:val="48"/>
      <w:szCs w:val="48"/>
      <w:u w:val="none"/>
    </w:rPr>
  </w:style>
  <w:style w:type="character" w:styleId="1136" w:customStyle="1">
    <w:name w:val="font131"/>
    <w:basedOn w:val="762"/>
    <w:uiPriority w:val="0"/>
    <w:qFormat/>
    <w:rPr>
      <w:rFonts w:hint="eastAsia" w:ascii="等线" w:hAnsi="等线" w:eastAsia="等线" w:cs="等线"/>
      <w:b/>
      <w:bCs/>
      <w:color w:val="000000"/>
      <w:sz w:val="44"/>
      <w:szCs w:val="44"/>
      <w:u w:val="none"/>
    </w:rPr>
  </w:style>
  <w:style w:type="character" w:styleId="1137" w:customStyle="1">
    <w:name w:val="font141"/>
    <w:basedOn w:val="762"/>
    <w:uiPriority w:val="0"/>
    <w:qFormat/>
    <w:rPr>
      <w:rFonts w:hint="default" w:ascii="Times New Roman" w:hAnsi="Times New Roman" w:cs="Times New Roman"/>
      <w:color w:val="0d0d0d"/>
      <w:sz w:val="56"/>
      <w:szCs w:val="56"/>
      <w:u w:val="none"/>
    </w:rPr>
  </w:style>
  <w:style w:type="character" w:styleId="1138" w:customStyle="1">
    <w:name w:val="font222"/>
    <w:basedOn w:val="762"/>
    <w:uiPriority w:val="0"/>
    <w:qFormat/>
    <w:rPr>
      <w:rFonts w:hint="eastAsia" w:ascii="方正仿宋_GBK" w:hAnsi="方正仿宋_GBK" w:eastAsia="方正仿宋_GBK" w:cs="方正仿宋_GBK"/>
      <w:color w:val="0d0d0d"/>
      <w:sz w:val="56"/>
      <w:szCs w:val="56"/>
      <w:u w:val="none"/>
    </w:rPr>
  </w:style>
  <w:style w:type="character" w:styleId="1139" w:customStyle="1">
    <w:name w:val="font231"/>
    <w:basedOn w:val="762"/>
    <w:uiPriority w:val="0"/>
    <w:qFormat/>
    <w:rPr>
      <w:rFonts w:hint="eastAsia" w:ascii="宋体" w:hAnsi="宋体" w:eastAsia="宋体" w:cs="宋体"/>
      <w:color w:val="000000"/>
      <w:sz w:val="56"/>
      <w:szCs w:val="56"/>
      <w:u w:val="none"/>
    </w:rPr>
  </w:style>
  <w:style w:type="paragraph" w:styleId="1140" w:customStyle="1">
    <w:name w:val="纯文本2"/>
    <w:uiPriority w:val="0"/>
    <w:qFormat/>
    <w:pPr>
      <w:jc w:val="both"/>
      <w:widowControl w:val="off"/>
    </w:pPr>
    <w:rPr>
      <w:rFonts w:ascii="宋体" w:hAnsi="Courier New" w:eastAsia="楷体_GB2312" w:cs="Times New Roman"/>
      <w:sz w:val="26"/>
      <w:lang w:val="en-US" w:eastAsia="zh-CN" w:bidi="ar-SA"/>
    </w:rPr>
  </w:style>
  <w:style w:type="paragraph" w:styleId="1141"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character" w:styleId="1142" w:customStyle="1">
    <w:name w:val="NormalCharacter"/>
    <w:link w:val="1143"/>
    <w:uiPriority w:val="99"/>
    <w:qFormat/>
    <w:rPr>
      <w:rFonts w:hint="default" w:ascii="Times New Roman" w:hAnsi="Times New Roman" w:eastAsia="宋体" w:cs="Times New Roman"/>
      <w:sz w:val="20"/>
      <w:szCs w:val="20"/>
      <w:lang w:val="en-US" w:eastAsia="zh-CN" w:bidi="ar-SA"/>
    </w:rPr>
  </w:style>
  <w:style w:type="paragraph" w:styleId="1143" w:customStyle="1">
    <w:name w:val="UserStyle_4"/>
    <w:link w:val="1142"/>
    <w:uiPriority w:val="99"/>
    <w:qFormat/>
    <w:pPr>
      <w:jc w:val="both"/>
      <w:widowControl w:val="off"/>
    </w:pPr>
    <w:rPr>
      <w:rFonts w:ascii="Times New Roman" w:hAnsi="Times New Roman" w:eastAsia="宋体" w:cs="Times New Roman"/>
      <w:lang w:val="en-US" w:eastAsia="zh-CN" w:bidi="ar-SA"/>
    </w:rPr>
  </w:style>
  <w:style w:type="numbering" w:styleId="179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4b3774f6-3862-44b4-841a-72f9948dc025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689F5410</paraID>
      <start>1</start>
      <end>3</end>
      <status>unmodified</status>
      <modifiedWord/>
      <trackRevisions>false</trackRevisions>
    </reviewItem>
    <reviewItem>
      <errorID>28dad093-0efa-4c9b-99b1-383462e378a5</errorID>
      <errorWord>（</errorWord>
      <group>L1_Word</group>
      <groupName>字词问题</groupName>
      <ability>L2_Typo</ability>
      <abilityName>字词错误</abilityName>
      <candidateList>
        <item>（在</item>
      </candidateList>
      <explain/>
      <paraID>36605304</paraID>
      <start>89</start>
      <end>90</end>
      <status>unmodified</status>
      <modifiedWord/>
      <trackRevisions>false</trackRevisions>
    </reviewItem>
    <reviewItem>
      <errorID>8fcfe3a3-73f6-4922-b17b-7b50c2a29dab</errorID>
      <errorWord>（</errorWord>
      <group>L1_Punc</group>
      <groupName>标点问题</groupName>
      <ability>L2_Punc_CN</ability>
      <abilityName>标点符号问题</abilityName>
      <candidateList/>
      <explain>同一形式括号套用。</explain>
      <paraID>36605304</paraID>
      <start>115</start>
      <end>116</end>
      <status>unmodified</status>
      <modifiedWord/>
      <trackRevisions>false</trackRevisions>
    </reviewItem>
    <reviewItem>
      <errorID>4c180fab-d092-43a2-b6a2-14eaa2dea0e6</errorID>
      <errorWord>）</errorWord>
      <group>L1_Punc</group>
      <groupName>标点问题</groupName>
      <ability>L2_Punc_CN</ability>
      <abilityName>标点符号问题</abilityName>
      <candidateList/>
      <explain>同一形式括号套用。</explain>
      <paraID>36605304</paraID>
      <start>119</start>
      <end>120</end>
      <status>unmodified</status>
      <modifiedWord/>
      <trackRevisions>false</trackRevisions>
    </reviewItem>
    <reviewItem>
      <errorID>43b0809d-651a-4c2b-b58c-feb5ed54fa17</errorID>
      <errorWord>（</errorWord>
      <group>L1_Punc</group>
      <groupName>标点问题</groupName>
      <ability>L2_Punc_CN</ability>
      <abilityName>标点符号问题</abilityName>
      <candidateList/>
      <explain>同一形式括号套用。</explain>
      <paraID>36605304</paraID>
      <start>128</start>
      <end>129</end>
      <status>unmodified</status>
      <modifiedWord/>
      <trackRevisions>false</trackRevisions>
    </reviewItem>
    <reviewItem>
      <errorID>f655e044-571b-497b-bb92-5661e7d752d7</errorID>
      <errorWord>）</errorWord>
      <group>L1_Punc</group>
      <groupName>标点问题</groupName>
      <ability>L2_Punc_CN</ability>
      <abilityName>标点符号问题</abilityName>
      <candidateList/>
      <explain>同一形式括号套用。</explain>
      <paraID>36605304</paraID>
      <start>175</start>
      <end>176</end>
      <status>unmodified</status>
      <modifiedWord/>
      <trackRevisions>false</trackRevisions>
    </reviewItem>
    <reviewItem>
      <errorID>fdba54dd-4b29-4d85-b52f-b41060ed4e91</errorID>
      <errorWord>“.</errorWord>
      <group>L1_Punc</group>
      <groupName>标点问题</groupName>
      <ability>L2_Punc_CN</ability>
      <abilityName>标点符号问题</abilityName>
      <candidateList>
        <item>“</item>
      </candidateList>
      <explain/>
      <paraID>36605304</paraID>
      <start>204</start>
      <end>206</end>
      <status>unmodified</status>
      <modifiedWord/>
      <trackRevisions>false</trackRevisions>
    </reviewItem>
    <reviewItem>
      <errorID>e174bfeb-9f2a-43ac-8cbb-08479119dc0d</errorID>
      <errorWord>“.</errorWord>
      <group>L1_Punc</group>
      <groupName>标点问题</groupName>
      <ability>L2_Punc_CN</ability>
      <abilityName>标点符号问题</abilityName>
      <candidateList>
        <item>“</item>
      </candidateList>
      <explain/>
      <paraID>13175BB4</paraID>
      <start>11</start>
      <end>13</end>
      <status>unmodified</status>
      <modifiedWord/>
      <trackRevisions>false</trackRevisions>
    </reviewItem>
    <reviewItem>
      <errorID>b219dd60-2592-48c5-aa76-8679bc0f495a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1F209E1C</paraID>
      <start>1</start>
      <end>3</end>
      <status>unmodified</status>
      <modifiedWord/>
      <trackRevisions>false</trackRevisions>
    </reviewItem>
    <reviewItem>
      <errorID>36324176-460a-44c3-a8fc-e5b10eaaaf33</errorID>
      <errorWord>&lt;</errorWord>
      <group>L1_Format</group>
      <groupName>格式问题</groupName>
      <ability>L2_HalfPunc_CN</ability>
      <abilityName>全半角问题</abilityName>
      <candidateList>
        <item>〈</item>
      </candidateList>
      <explain>文本全半角错误。</explain>
      <paraID>6D2F0055</paraID>
      <start>31</start>
      <end>32</end>
      <status>unmodified</status>
      <modifiedWord/>
      <trackRevisions>false</trackRevisions>
    </reviewItem>
    <reviewItem>
      <errorID>82076b39-af38-4bf0-9ff0-ed167ea280f9</errorID>
      <errorWord>&lt;</errorWord>
      <group>L1_Format</group>
      <groupName>格式问题</groupName>
      <ability>L2_HalfPunc_CN</ability>
      <abilityName>全半角问题</abilityName>
      <candidateList>
        <item>〈</item>
      </candidateList>
      <explain>文本全半角错误。</explain>
      <paraID>4EB5A0AC</paraID>
      <start>48</start>
      <end>49</end>
      <status>unmodified</status>
      <modifiedWord/>
      <trackRevisions>false</trackRevisions>
    </reviewItem>
    <reviewItem>
      <errorID>5f375960-9f13-4f85-8349-8b0d49ec6a1b</errorID>
      <errorWord>&lt;</errorWord>
      <group>L1_Format</group>
      <groupName>格式问题</groupName>
      <ability>L2_HalfPunc_CN</ability>
      <abilityName>全半角问题</abilityName>
      <candidateList>
        <item>〈</item>
      </candidateList>
      <explain>文本全半角错误。</explain>
      <paraID>7CD5DEEC</paraID>
      <start>33</start>
      <end>34</end>
      <status>unmodified</status>
      <modifiedWord/>
      <trackRevisions>false</trackRevisions>
    </reviewItem>
    <reviewItem>
      <errorID>37fd0bba-e0a6-40aa-a035-0404751a653c</errorID>
      <errorWord>(</errorWord>
      <group>L1_Format</group>
      <groupName>格式问题</groupName>
      <ability>L2_HalfPunc_CN</ability>
      <abilityName>全半角问题</abilityName>
      <candidateList>
        <item>（</item>
      </candidateList>
      <explain>文本全半角错误。</explain>
      <paraID>1B0BC0E5</paraID>
      <start>18</start>
      <end>19</end>
      <status>unmodified</status>
      <modifiedWord/>
      <trackRevisions>false</trackRevisions>
    </reviewItem>
    <reviewItem>
      <errorID>0bac747f-8c7d-492a-a842-38ded98711d6</errorID>
      <errorWord>)</errorWord>
      <group>L1_Format</group>
      <groupName>格式问题</groupName>
      <ability>L2_HalfPunc_CN</ability>
      <abilityName>全半角问题</abilityName>
      <candidateList>
        <item>）</item>
      </candidateList>
      <explain>文本全半角错误。</explain>
      <paraID>1B0BC0E5</paraID>
      <start>39</start>
      <end>40</end>
      <status>unmodified</status>
      <modifiedWord/>
      <trackRevisions>false</trackRevisions>
    </reviewItem>
    <reviewItem>
      <errorID>864fbf49-0cf6-4092-8747-aed0ed91d778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69629F48</paraID>
      <start>29</start>
      <end>30</end>
      <status>unmodified</status>
      <modifiedWord/>
      <trackRevisions>false</trackRevisions>
    </reviewItem>
    <reviewItem>
      <errorID>71760518-308c-4e65-9105-faa67cfb2df5</errorID>
      <errorWord>:</errorWord>
      <group>L1_Format</group>
      <groupName>格式问题</groupName>
      <ability>L2_HalfPunc_CN</ability>
      <abilityName>全半角问题</abilityName>
      <candidateList>
        <item>：</item>
      </candidateList>
      <explain>文本全半角错误。</explain>
      <paraID>69629F48</paraID>
      <start>80</start>
      <end>81</end>
      <status>unmodified</status>
      <modifiedWord/>
      <trackRevisions>false</trackRevisions>
    </reviewItem>
    <reviewItem>
      <errorID>98fde94a-05c9-4da8-99ff-dca3829c12ca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10799D36</paraID>
      <start>1</start>
      <end>3</end>
      <status>unmodified</status>
      <modifiedWord/>
      <trackRevisions>false</trackRevisions>
    </reviewItem>
    <reviewItem>
      <errorID>e0c8fffe-93a7-4aba-8d7c-65ed5ddbbc47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780A9CDA</paraID>
      <start>32</start>
      <end>35</end>
      <status>unmodified</status>
      <modifiedWord/>
      <trackRevisions>false</trackRevisions>
    </reviewItem>
    <reviewItem>
      <errorID>43f060b6-cf82-4204-a76c-c14c3ffbdfa6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780A9CDA</paraID>
      <start>42</start>
      <end>45</end>
      <status>unmodified</status>
      <modifiedWord/>
      <trackRevisions>false</trackRevisions>
    </reviewItem>
    <reviewItem>
      <errorID>1e4a105d-0581-4b3f-beb3-c76a42625a46</errorID>
      <errorWord>(</errorWord>
      <group>L1_Format</group>
      <groupName>格式问题</groupName>
      <ability>L2_HalfPunc_CN</ability>
      <abilityName>全半角问题</abilityName>
      <candidateList>
        <item>（</item>
      </candidateList>
      <explain>文本全半角错误。</explain>
      <paraID>4AABF168</paraID>
      <start>30</start>
      <end>31</end>
      <status>unmodified</status>
      <modifiedWord/>
      <trackRevisions>false</trackRevisions>
    </reviewItem>
    <reviewItem>
      <errorID>435e8f79-7d76-4997-b6c8-179728d4fa53</errorID>
      <errorWord>)</errorWord>
      <group>L1_Format</group>
      <groupName>格式问题</groupName>
      <ability>L2_HalfPunc_CN</ability>
      <abilityName>全半角问题</abilityName>
      <candidateList>
        <item>）</item>
      </candidateList>
      <explain>文本全半角错误。</explain>
      <paraID>4AABF168</paraID>
      <start>39</start>
      <end>40</end>
      <status>unmodified</status>
      <modifiedWord/>
      <trackRevisions>false</trackRevisions>
    </reviewItem>
    <reviewItem>
      <errorID>083a0ed2-0519-4f15-8fc2-68b1cbe3ed87</errorID>
      <errorWord>配备</errorWord>
      <group>L1_Grammar</group>
      <groupName>语法问题</groupName>
      <ability>L2_Grammar</ability>
      <abilityName>语法错误</abilityName>
      <candidateList>
        <item>搭载</item>
      </candidateList>
      <explain>“配备～项目”搭配不当，建议修改为“搭载～项目”。</explain>
      <paraID>629695A7</paraID>
      <start>287</start>
      <end>289</end>
      <status>unmodified</status>
      <modifiedWord/>
      <trackRevisions>false</trackRevisions>
    </reviewItem>
    <reviewItem>
      <errorID>6b184751-dd1a-4b26-b418-7101669c3837</errorID>
      <errorWord>针对</errorWord>
      <group>L1_Word</group>
      <groupName>字词问题</groupName>
      <ability>L2_Typo</ability>
      <abilityName>字词错误</abilityName>
      <candidateList>
        <item>对</item>
      </candidateList>
      <explain/>
      <paraID>446E149A</paraID>
      <start>15</start>
      <end>17</end>
      <status>unmodified</status>
      <modifiedWord/>
      <trackRevisions>false</trackRevisions>
    </reviewItem>
    <reviewItem>
      <errorID>e22ed055-4ae6-42af-acb6-0fffcf9acb79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15BAF4E4</paraID>
      <start>39</start>
      <end>42</end>
      <status>unmodified</status>
      <modifiedWord/>
      <trackRevisions>false</trackRevisions>
    </reviewItem>
    <reviewItem>
      <errorID>3c35e1d6-6c69-41bb-a256-7f46b343998c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15BAF4E4</paraID>
      <start>49</start>
      <end>52</end>
      <status>unmodified</status>
      <modifiedWord/>
      <trackRevisions>false</trackRevisions>
    </reviewItem>
    <reviewItem>
      <errorID>6c4b35d6-bfeb-415b-b329-6c8729d7643b</errorID>
      <errorWord>,</errorWord>
      <group>L1_Format</group>
      <groupName>格式问题</groupName>
      <ability>L2_HalfPunc_CN</ability>
      <abilityName>全半角问题</abilityName>
      <candidateList>
        <item>，</item>
      </candidateList>
      <explain>文本全半角错误。</explain>
      <paraID>41F27E97</paraID>
      <start>8</start>
      <end>9</end>
      <status>unmodified</status>
      <modifiedWord/>
      <trackRevisions>false</trackRevisions>
    </reviewItem>
    <reviewItem>
      <errorID>12d6282e-eb8e-4d9d-b31c-3c4836ea2be1</errorID>
      <errorWord>.</errorWord>
      <group>L1_Format</group>
      <groupName>格式问题</groupName>
      <ability>L2_HalfPunc_CN</ability>
      <abilityName>全半角问题</abilityName>
      <candidateList>
        <item>。</item>
      </candidateList>
      <explain>文本全半角错误。</explain>
      <paraID>3B2FFC0E</paraID>
      <start>23</start>
      <end>24</end>
      <status>unmodified</status>
      <modifiedWord/>
      <trackRevisions>false</trackRevisions>
    </reviewItem>
    <reviewItem>
      <errorID>cf01588a-7195-4835-b96b-59d7a5f42dc2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1D284FE8</paraID>
      <start>6</start>
      <end>7</end>
      <status>unmodified</status>
      <modifiedWord/>
      <trackRevisions>false</trackRevisions>
    </reviewItem>
    <reviewItem>
      <errorID>99239152-8834-45a7-8eaf-c83e1eff38fe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497112DA</paraID>
      <start>6</start>
      <end>7</end>
      <status>unmodified</status>
      <modifiedWord/>
      <trackRevisions>false</trackRevisions>
    </reviewItem>
    <reviewItem>
      <errorID>705a49e1-cdbe-46a7-96f1-3682c955c877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7CD162F3</paraID>
      <start>6</start>
      <end>7</end>
      <status>unmodified</status>
      <modifiedWord/>
      <trackRevisions>false</trackRevisions>
    </reviewItem>
    <reviewItem>
      <errorID>3f629e67-eee7-4369-881c-20346cfeea23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5B7648AA</paraID>
      <start>6</start>
      <end>7</end>
      <status>unmodified</status>
      <modifiedWord/>
      <trackRevisions>false</trackRevisions>
    </reviewItem>
    <reviewItem>
      <errorID>78a4c692-ae5f-4470-8c80-af47422cc145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5B4815E7</paraID>
      <start>6</start>
      <end>7</end>
      <status>unmodified</status>
      <modifiedWord/>
      <trackRevisions>false</trackRevisions>
    </reviewItem>
    <reviewItem>
      <errorID>37bc8374-94e1-4d46-b81b-e780107fbf5a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71CDBE67</paraID>
      <start>6</start>
      <end>7</end>
      <status>unmodified</status>
      <modifiedWord/>
      <trackRevisions>false</trackRevisions>
    </reviewItem>
    <reviewItem>
      <errorID>dcd78cba-5460-42d1-80b9-8d84ed436db5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724B8B0A</paraID>
      <start>6</start>
      <end>7</end>
      <status>unmodified</status>
      <modifiedWord/>
      <trackRevisions>false</trackRevisions>
    </reviewItem>
    <reviewItem>
      <errorID>39685b57-489c-46e0-b32e-762195440b37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1EC489DE</paraID>
      <start>6</start>
      <end>7</end>
      <status>unmodified</status>
      <modifiedWord/>
      <trackRevisions>false</trackRevisions>
    </reviewItem>
    <reviewItem>
      <errorID>bc621560-f386-4e3f-a680-5173ed86258b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6B2F1326</paraID>
      <start>6</start>
      <end>7</end>
      <status>unmodified</status>
      <modifiedWord/>
      <trackRevisions>false</trackRevisions>
    </reviewItem>
    <reviewItem>
      <errorID>ac13864b-028e-43b2-a3e1-6cabf3910f41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1A05896B</paraID>
      <start>6</start>
      <end>7</end>
      <status>unmodified</status>
      <modifiedWord/>
      <trackRevisions>false</trackRevisions>
    </reviewItem>
    <reviewItem>
      <errorID>7f04f1af-cfae-45af-92a7-6a3daac2ee65</errorID>
      <errorWord>-</errorWord>
      <group>L1_Format</group>
      <groupName>格式问题</groupName>
      <ability>L2_HalfPunc_CN</ability>
      <abilityName>全半角问题</abilityName>
      <candidateList>
        <item>－</item>
      </candidateList>
      <explain>文本全半角错误。</explain>
      <paraID>1211B3D7</paraID>
      <start>5</start>
      <end>6</end>
      <status>unmodified</status>
      <modifiedWord/>
      <trackRevisions>false</trackRevisions>
    </reviewItem>
    <reviewItem>
      <errorID>120fa9e9-6c63-4410-8dde-4e082c15484e</errorID>
      <errorWord>TrusEss</errorWord>
      <group>L1_English</group>
      <groupName>英文问题</groupName>
      <ability>L2_Spell</ability>
      <abilityName>拼写问题</abilityName>
      <candidateList>
        <item>Trust</item>
      </candidateList>
      <explain>疑似单词拼写有误，建议将TrusEss修改为Trust</explain>
      <paraID> 6AA71D7</paraID>
      <start>11</start>
      <end>18</end>
      <status>unmodified</status>
      <modifiedWord/>
      <trackRevisions>false</trackRevisions>
    </reviewItem>
    <reviewItem>
      <errorID>189d0acc-7b94-4f38-9583-3ac35f44cf38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36BCEC36</paraID>
      <start>21</start>
      <end>24</end>
      <status>unmodified</status>
      <modifiedWord/>
      <trackRevisions>false</trackRevisions>
    </reviewItem>
    <reviewItem>
      <errorID>08f85b65-2253-4d0b-be5f-d201f5981217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36BCEC36</paraID>
      <start>31</start>
      <end>34</end>
      <status>unmodified</status>
      <modifiedWord/>
      <trackRevisions>false</trackRevisions>
    </reviewItem>
    <reviewItem>
      <errorID>100a102b-7215-437b-9a22-5c8b6ec26771</errorID>
      <errorWord>来自于</errorWord>
      <group>L1_Grammar</group>
      <groupName>语法问题</groupName>
      <ability>L2_Grammar</ability>
      <abilityName>语法错误</abilityName>
      <candidateList>
        <item>来自</item>
      </candidateList>
      <explain>该表达中的“来自于”存在语义重复。【词汇解析】来自：表示“来源于”。包含了“于”的意思。</explain>
      <paraID> BDFE4AF</paraID>
      <start>56</start>
      <end>59</end>
      <status>unmodified</status>
      <modifiedWord/>
      <trackRevisions>false</trackRevisions>
    </reviewItem>
    <reviewItem>
      <errorID>1ce61cb3-7d6d-47b4-8090-d71885729180</errorID>
      <errorWord>病毒爆发</errorWord>
      <group>L1_Word</group>
      <groupName>字词问题</groupName>
      <ability>L2_Typo</ability>
      <abilityName>字词错误</abilityName>
      <candidateList>
        <item>病毒暴发</item>
      </candidateList>
      <explain/>
      <paraID>52A41EE2</paraID>
      <start>29</start>
      <end>33</end>
      <status>unmodified</status>
      <modifiedWord/>
      <trackRevisions>false</trackRevisions>
    </reviewItem>
    <reviewItem>
      <errorID>8e415fa7-f85c-41ee-b3e3-1c032f9a4358</errorID>
      <errorWord>提高</errorWord>
      <group>L1_Grammar</group>
      <groupName>语法问题</groupName>
      <ability>L2_Grammar</ability>
      <abilityName>语法错误</abilityName>
      <candidateList>
        <item>增强</item>
      </candidateList>
      <explain>“提高～意识”搭配不当，建议修改为“增强～意识”。</explain>
      <paraID> 71DC636</paraID>
      <start>4</start>
      <end>6</end>
      <status>unmodified</status>
      <modifiedWord/>
      <trackRevisions>false</trackRevisions>
    </reviewItem>
    <reviewItem>
      <errorID>17b73251-a97e-409d-a7ef-a89e1dc3ccfc</errorID>
      <errorWord>,</errorWord>
      <group>L1_Format</group>
      <groupName>格式问题</groupName>
      <ability>L2_HalfPunc_CN</ability>
      <abilityName>全半角问题</abilityName>
      <candidateList>
        <item>，</item>
      </candidateList>
      <explain>文本全半角错误。</explain>
      <paraID> 71DC636</paraID>
      <start>23</start>
      <end>24</end>
      <status>unmodified</status>
      <modifiedWord/>
      <trackRevisions>false</trackRevisions>
    </reviewItem>
    <reviewItem>
      <errorID>e8ee20dd-3d4b-4cdd-ab2a-8c788db4dd91</errorID>
      <errorWord>,</errorWord>
      <group>L1_Format</group>
      <groupName>格式问题</groupName>
      <ability>L2_HalfPunc_CN</ability>
      <abilityName>全半角问题</abilityName>
      <candidateList>
        <item>，</item>
      </candidateList>
      <explain>文本全半角错误。</explain>
      <paraID> 71DC636</paraID>
      <start>34</start>
      <end>35</end>
      <status>unmodified</status>
      <modifiedWord/>
      <trackRevisions>false</trackRevisions>
    </reviewItem>
    <reviewItem>
      <errorID>6dddf9d4-2b5f-4776-ac46-f6a47ccfce6e</errorID>
      <errorWord>,</errorWord>
      <group>L1_Format</group>
      <groupName>格式问题</groupName>
      <ability>L2_HalfPunc_CN</ability>
      <abilityName>全半角问题</abilityName>
      <candidateList>
        <item>，</item>
      </candidateList>
      <explain>文本全半角错误。</explain>
      <paraID> 71DC636</paraID>
      <start>46</start>
      <end>47</end>
      <status>unmodified</status>
      <modifiedWord/>
      <trackRevisions>false</trackRevisions>
    </reviewItem>
    <reviewItem>
      <errorID>f8dd8c2d-c664-4644-abff-05aadafc7192</errorID>
      <errorWord>，</errorWord>
      <group>L1_Word</group>
      <groupName>字词问题</groupName>
      <ability>L2_Typo</ability>
      <abilityName>字词错误</abilityName>
      <candidateList>
        <item>，在</item>
      </candidateList>
      <explain/>
      <paraID>71C0D44A</paraID>
      <start>51</start>
      <end>52</end>
      <status>unmodified</status>
      <modifiedWord/>
      <trackRevisions>false</trackRevisions>
    </reviewItem>
    <reviewItem>
      <errorID>f18b5524-8ec0-4509-87ef-f427819b2a25</errorID>
      <errorWord>定期及</errorWord>
      <group>L1_Word</group>
      <groupName>字词问题</groupName>
      <ability>L2_Typo</ability>
      <abilityName>字词错误</abilityName>
      <candidateList>
        <item>定期</item>
      </candidateList>
      <explain/>
      <paraID>35ABCFF4</paraID>
      <start>0</start>
      <end>3</end>
      <status>unmodified</status>
      <modifiedWord/>
      <trackRevisions>false</trackRevisions>
    </reviewItem>
    <reviewItem>
      <errorID>ca20dbda-8679-4d17-a3b2-1807d540ccf2</errorID>
      <errorWord>，将</errorWord>
      <group>L1_Word</group>
      <groupName>字词问题</groupName>
      <ability>L2_Typo</ability>
      <abilityName>字词错误</abilityName>
      <candidateList>
        <item>，</item>
      </candidateList>
      <explain/>
      <paraID> 47008C9</paraID>
      <start>27</start>
      <end>29</end>
      <status>unmodified</status>
      <modifiedWord/>
      <trackRevisions>false</trackRevisions>
    </reviewItem>
    <reviewItem>
      <errorID>5c1ced4d-bc42-4a26-b8ee-84aa1e05b0d0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8C92E</paraID>
      <start>0</start>
      <end>2</end>
      <status>unmodified</status>
      <modifiedWord/>
      <trackRevisions>false</trackRevisions>
    </reviewItem>
    <reviewItem>
      <errorID>c803f747-6a09-4044-a978-ba1115fb54a9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7518DF83</paraID>
      <start>0</start>
      <end>2</end>
      <status>unmodified</status>
      <modifiedWord/>
      <trackRevisions>false</trackRevisions>
    </reviewItem>
    <reviewItem>
      <errorID>ac132517-36d7-416a-93cb-16ca6b5fb05e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5F786D29</paraID>
      <start>0</start>
      <end>2</end>
      <status>unmodified</status>
      <modifiedWord/>
      <trackRevisions>false</trackRevisions>
    </reviewItem>
    <reviewItem>
      <errorID>0723d107-712f-4c57-a8b5-b171e03f57c1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63D24D39</paraID>
      <start>0</start>
      <end>2</end>
      <status>unmodified</status>
      <modifiedWord/>
      <trackRevisions>false</trackRevisions>
    </reviewItem>
    <reviewItem>
      <errorID>c818a38c-d04b-4071-8cd9-77814ecdc758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6538C3E0</paraID>
      <start>0</start>
      <end>2</end>
      <status>unmodified</status>
      <modifiedWord/>
      <trackRevisions>false</trackRevisions>
    </reviewItem>
    <reviewItem>
      <errorID>340fd147-d8db-4300-a47c-286a3f77b575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4331CF4D</paraID>
      <start>0</start>
      <end>2</end>
      <status>unmodified</status>
      <modifiedWord/>
      <trackRevisions>false</trackRevisions>
    </reviewItem>
    <reviewItem>
      <errorID>293a297d-8195-4ee1-bd1b-5d41bea9cc6e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7D36B67</paraID>
      <start>0</start>
      <end>2</end>
      <status>unmodified</status>
      <modifiedWord/>
      <trackRevisions>false</trackRevisions>
    </reviewItem>
    <reviewItem>
      <errorID>4bb626fd-26f2-4cd3-b935-c087e9dec493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2A454785</paraID>
      <start>0</start>
      <end>2</end>
      <status>unmodified</status>
      <modifiedWord/>
      <trackRevisions>false</trackRevisions>
    </reviewItem>
    <reviewItem>
      <errorID>df58e597-6683-4991-a9b2-095254216754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BF0FD76</paraID>
      <start>0</start>
      <end>2</end>
      <status>unmodified</status>
      <modifiedWord/>
      <trackRevisions>false</trackRevisions>
    </reviewItem>
    <reviewItem>
      <errorID>4cb2b8ba-5827-4e99-9e52-0356d599dc8f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6F067E5A</paraID>
      <start>0</start>
      <end>2</end>
      <status>unmodified</status>
      <modifiedWord/>
      <trackRevisions>false</trackRevisions>
    </reviewItem>
    <reviewItem>
      <errorID>0867a1ed-095b-40c8-9654-c339f97a34b9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175C0C9C</paraID>
      <start>0</start>
      <end>2</end>
      <status>unmodified</status>
      <modifiedWord/>
      <trackRevisions>false</trackRevisions>
    </reviewItem>
    <reviewItem>
      <errorID>e62e28dd-8288-4941-bf8b-152ccc9bf66e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217226</paraID>
      <start>0</start>
      <end>2</end>
      <status>unmodified</status>
      <modifiedWord/>
      <trackRevisions>false</trackRevisions>
    </reviewItem>
    <reviewItem>
      <errorID>538f2dff-b057-4bde-b43a-900d4c3678df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52673902</paraID>
      <start>0</start>
      <end>2</end>
      <status>unmodified</status>
      <modifiedWord/>
      <trackRevisions>false</trackRevisions>
    </reviewItem>
    <reviewItem>
      <errorID>c105e6f2-9197-41c1-88ee-bfd215953b28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E97DC85</paraID>
      <start>0</start>
      <end>2</end>
      <status>unmodified</status>
      <modifiedWord/>
      <trackRevisions>false</trackRevisions>
    </reviewItem>
    <reviewItem>
      <errorID>d3e24e27-275e-4845-bac2-5804cb062552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7425FD9</paraID>
      <start>0</start>
      <end>2</end>
      <status>unmodified</status>
      <modifiedWord/>
      <trackRevisions>false</trackRevisions>
    </reviewItem>
    <reviewItem>
      <errorID>6386da94-e436-4009-a1cd-0696b4b691d9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297A4641</paraID>
      <start>0</start>
      <end>2</end>
      <status>unmodified</status>
      <modifiedWord/>
      <trackRevisions>false</trackRevisions>
    </reviewItem>
    <reviewItem>
      <errorID>e3d08183-9d3e-45f9-92ab-909fb6c5260b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2385FFA4</paraID>
      <start>0</start>
      <end>2</end>
      <status>unmodified</status>
      <modifiedWord/>
      <trackRevisions>false</trackRevisions>
    </reviewItem>
    <reviewItem>
      <errorID>07b38a51-319d-4471-87a4-e6256f7d1972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293ECF97</paraID>
      <start>0</start>
      <end>2</end>
      <status>unmodified</status>
      <modifiedWord/>
      <trackRevisions>false</trackRevisions>
    </reviewItem>
    <reviewItem>
      <errorID>64083098-3f5b-4aaa-9cf4-68496521fb22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1A0C32BD</paraID>
      <start>0</start>
      <end>2</end>
      <status>unmodified</status>
      <modifiedWord/>
      <trackRevisions>false</trackRevisions>
    </reviewItem>
    <reviewItem>
      <errorID>25199663-c18b-4e0f-9822-1c13407973b6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D701AA9</paraID>
      <start>0</start>
      <end>2</end>
      <status>unmodified</status>
      <modifiedWord/>
      <trackRevisions>false</trackRevisions>
    </reviewItem>
    <reviewItem>
      <errorID>d1fc491f-a521-4100-b771-23fef508f183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423CCB84</paraID>
      <start>0</start>
      <end>2</end>
      <status>unmodified</status>
      <modifiedWord/>
      <trackRevisions>false</trackRevisions>
    </reviewItem>
    <reviewItem>
      <errorID>20542975-d161-4354-9af9-0fd4b47b96c5</errorID>
      <errorWord>全生命周期的管理</errorWord>
      <group>L1_Political</group>
      <groupName>政治性问题</groupName>
      <ability>L2_Keyword</ability>
      <abilityName>固定表述</abilityName>
      <candidateList>
        <item>全生命周期管理</item>
      </candidateList>
      <explain>词汇“全生命周期管理”在特定场景下为固定表述形式，请确认此处的“全生命周期的管理”是否存在不当。</explain>
      <paraID>18ED915F</paraID>
      <start>60</start>
      <end>68</end>
      <status>unmodified</status>
      <modifiedWord/>
      <trackRevisions>false</trackRevisions>
    </reviewItem>
    <reviewItem>
      <errorID>48c9575b-7dcf-4584-9e3c-00c3fec43cc8</errorID>
      <errorWord>，会</errorWord>
      <group>L1_Word</group>
      <groupName>字词问题</groupName>
      <ability>L2_Typo</ability>
      <abilityName>字词错误</abilityName>
      <candidateList>
        <item>，</item>
      </candidateList>
      <explain/>
      <paraID> D3EDB9F</paraID>
      <start>26</start>
      <end>28</end>
      <status>unmodified</status>
      <modifiedWord/>
      <trackRevisions>false</trackRevisions>
    </reviewItem>
    <reviewItem>
      <errorID>11573f9e-d2f6-4107-8c5d-ad444f396dd1</errorID>
      <errorWord>,</errorWord>
      <group>L1_Format</group>
      <groupName>格式问题</groupName>
      <ability>L2_HalfPunc_CN</ability>
      <abilityName>全半角问题</abilityName>
      <candidateList>
        <item>，</item>
      </candidateList>
      <explain>文本全半角错误。</explain>
      <paraID>7B283D51</paraID>
      <start>174</start>
      <end>175</end>
      <status>unmodified</status>
      <modifiedWord/>
      <trackRevisions>false</trackRevisions>
    </reviewItem>
    <reviewItem>
      <errorID>720afcd0-93dc-4cd3-ba39-1eca41a9d2b4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31A4AF37</paraID>
      <start>0</start>
      <end>2</end>
      <status>unmodified</status>
      <modifiedWord/>
      <trackRevisions>false</trackRevisions>
    </reviewItem>
    <reviewItem>
      <errorID>3b3d0016-3b51-4483-8e3a-1faab0ff4397</errorID>
      <errorWord>应</errorWord>
      <group>L1_Word</group>
      <groupName>字词问题</groupName>
      <ability>L2_Typo</ability>
      <abilityName>字词错误</abilityName>
      <candidateList>
        <item>应在</item>
      </candidateList>
      <explain/>
      <paraID>31A4AF37</paraID>
      <start>19</start>
      <end>20</end>
      <status>unmodified</status>
      <modifiedWord/>
      <trackRevisions>false</trackRevisions>
    </reviewItem>
    <reviewItem>
      <errorID>49b2acc5-c398-49d9-9596-f66dcaa9990b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6320B362</paraID>
      <start>0</start>
      <end>2</end>
      <status>unmodified</status>
      <modifiedWord/>
      <trackRevisions>false</trackRevisions>
    </reviewItem>
    <reviewItem>
      <errorID>8663d116-c46b-4fea-a1f2-73c37bb60467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6BFA99BA</paraID>
      <start>0</start>
      <end>2</end>
      <status>unmodified</status>
      <modifiedWord/>
      <trackRevisions>false</trackRevisions>
    </reviewItem>
    <reviewItem>
      <errorID>24bcbfee-e59e-4f73-a12a-fc126185a0b0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50BAF5BF</paraID>
      <start>0</start>
      <end>2</end>
      <status>unmodified</status>
      <modifiedWord/>
      <trackRevisions>false</trackRevisions>
    </reviewItem>
    <reviewItem>
      <errorID>4805c725-5384-47fd-982d-16d08e2acd2a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368545CB</paraID>
      <start>0</start>
      <end>2</end>
      <status>unmodified</status>
      <modifiedWord/>
      <trackRevisions>false</trackRevisions>
    </reviewItem>
    <reviewItem>
      <errorID>c9a58aa1-1efe-4d30-b3ef-ea47762e18fb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7AA5C0BD</paraID>
      <start>0</start>
      <end>2</end>
      <status>unmodified</status>
      <modifiedWord/>
      <trackRevisions>false</trackRevisions>
    </reviewItem>
    <reviewItem>
      <errorID>ca190e86-f9a8-4679-9f65-f7e9c5171502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101C6621</paraID>
      <start>0</start>
      <end>2</end>
      <status>unmodified</status>
      <modifiedWord/>
      <trackRevisions>false</trackRevisions>
    </reviewItem>
    <reviewItem>
      <errorID>bdb008df-7aae-47d1-b9c8-4712855a3e4f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72E5DF1E</paraID>
      <start>0</start>
      <end>2</end>
      <status>unmodified</status>
      <modifiedWord/>
      <trackRevisions>false</trackRevisions>
    </reviewItem>
    <reviewItem>
      <errorID>000607e3-2a52-4f56-b207-7444d2409bb0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468EBBCC</paraID>
      <start>0</start>
      <end>2</end>
      <status>unmodified</status>
      <modifiedWord/>
      <trackRevisions>false</trackRevisions>
    </reviewItem>
    <reviewItem>
      <errorID>d36861d7-5913-4c21-93ca-229790738ba1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3F742565</paraID>
      <start>0</start>
      <end>2</end>
      <status>unmodified</status>
      <modifiedWord/>
      <trackRevisions>false</trackRevisions>
    </reviewItem>
    <reviewItem>
      <errorID>c8600a91-e23b-4f78-8bf6-400c15b152e5</errorID>
      <errorWord>要求去</errorWord>
      <group>L1_Word</group>
      <groupName>字词问题</groupName>
      <ability>L2_Typo</ability>
      <abilityName>字词错误</abilityName>
      <candidateList>
        <item>要求</item>
      </candidateList>
      <explain/>
      <paraID> D9F6ECF</paraID>
      <start>35</start>
      <end>38</end>
      <status>unmodified</status>
      <modifiedWord/>
      <trackRevisions>false</trackRevisions>
    </reviewItem>
    <reviewItem>
      <errorID>87d547ed-4c06-4352-8e4e-f20f7ce44b16</errorID>
      <errorWord>，人</errorWord>
      <group>L1_Word</group>
      <groupName>字词问题</groupName>
      <ability>L2_Typo</ability>
      <abilityName>字词错误</abilityName>
      <candidateList>
        <item>，</item>
      </candidateList>
      <explain/>
      <paraID>2C73B21E</paraID>
      <start>31</start>
      <end>33</end>
      <status>unmodified</status>
      <modifiedWord/>
      <trackRevisions>false</trackRevisions>
    </reviewItem>
    <reviewItem>
      <errorID>ef6637a5-f1f8-4784-afa5-d9833b0aac83</errorID>
      <errorWord>必须要</errorWord>
      <group>L1_Word</group>
      <groupName>字词问题</groupName>
      <ability>L2_Typo</ability>
      <abilityName>字词错误</abilityName>
      <candidateList>
        <item>必须</item>
      </candidateList>
      <explain/>
      <paraID>2C73B21E</paraID>
      <start>67</start>
      <end>70</end>
      <status>unmodified</status>
      <modifiedWord/>
      <trackRevisions>false</trackRevisions>
    </reviewItem>
    <reviewItem>
      <errorID>b69fdd90-fb52-4fea-902e-0fcb62a4a826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166E4E82</paraID>
      <start>0</start>
      <end>2</end>
      <status>unmodified</status>
      <modifiedWord/>
      <trackRevisions>false</trackRevisions>
    </reviewItem>
    <reviewItem>
      <errorID>ae8b1834-ee87-4e6b-a68a-2f8c6a270827</errorID>
      <errorWord>》</errorWord>
      <group>L1_Word</group>
      <groupName>字词问题</groupName>
      <ability>L2_Typo</ability>
      <abilityName>字词错误</abilityName>
      <candidateList>
        <item>》和</item>
      </candidateList>
      <explain/>
      <paraID>7BCAC395</paraID>
      <start>33</start>
      <end>34</end>
      <status>unmodified</status>
      <modifiedWord/>
      <trackRevisions>false</trackRevisions>
    </reviewItem>
    <reviewItem>
      <errorID>ce538e9f-f690-4675-94af-30a3abdf884c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31A2CA9D</paraID>
      <start>18</start>
      <end>19</end>
      <status>unmodified</status>
      <modifiedWord/>
      <trackRevisions>false</trackRevisions>
    </reviewItem>
    <reviewItem>
      <errorID>d76f6706-68e5-4305-bdec-d6e2abc75c7a</errorID>
      <errorWord>束</errorWord>
      <group>L1_Word</group>
      <groupName>字词问题</groupName>
      <ability>L2_Typo</ability>
      <abilityName>字词错误</abilityName>
      <candidateList>
        <item>束后</item>
      </candidateList>
      <explain/>
      <paraID>2F5DBF68</paraID>
      <start>43</start>
      <end>44</end>
      <status>unmodified</status>
      <modifiedWord/>
      <trackRevisions>false</trackRevisions>
    </reviewItem>
    <reviewItem>
      <errorID>a1904123-81d3-479e-9fe4-77bbc766409a</errorID>
      <errorWord>应</errorWord>
      <group>L1_Word</group>
      <groupName>字词问题</groupName>
      <ability>L2_Typo</ability>
      <abilityName>字词错误</abilityName>
      <candidateList>
        <item>应当</item>
      </candidateList>
      <explain/>
      <paraID>125DA3BF</paraID>
      <start>70</start>
      <end>71</end>
      <status>unmodified</status>
      <modifiedWord/>
      <trackRevisions>false</trackRevisions>
    </reviewItem>
    <reviewItem>
      <errorID>d5740427-75df-44b9-b089-6914ec78ad17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15722470</paraID>
      <start>0</start>
      <end>2</end>
      <status>unmodified</status>
      <modifiedWord/>
      <trackRevisions>false</trackRevisions>
    </reviewItem>
    <reviewItem>
      <errorID>191c4ae5-84e9-400a-afa2-d531d54cd986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4A9AFD96</paraID>
      <start>0</start>
      <end>2</end>
      <status>unmodified</status>
      <modifiedWord/>
      <trackRevisions>false</trackRevisions>
    </reviewItem>
    <reviewItem>
      <errorID>b14528fb-ad54-49fd-9e6d-7c45651b44ad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5106455C</paraID>
      <start>0</start>
      <end>2</end>
      <status>unmodified</status>
      <modifiedWord/>
      <trackRevisions>false</trackRevisions>
    </reviewItem>
    <reviewItem>
      <errorID>a01fea84-f629-4720-b41a-ae9b45cf33c4</errorID>
      <errorWord>(</errorWord>
      <group>L1_Format</group>
      <groupName>格式问题</groupName>
      <ability>L2_HalfPunc_CN</ability>
      <abilityName>全半角问题</abilityName>
      <candidateList>
        <item>（</item>
      </candidateList>
      <explain>文本全半角错误。</explain>
      <paraID>59302072</paraID>
      <start>130</start>
      <end>131</end>
      <status>unmodified</status>
      <modifiedWord/>
      <trackRevisions>false</trackRevisions>
    </reviewItem>
    <reviewItem>
      <errorID>eaaeef00-dff9-4fe4-be4c-4fac57a6d858</errorID>
      <errorWord>)</errorWord>
      <group>L1_Format</group>
      <groupName>格式问题</groupName>
      <ability>L2_HalfPunc_CN</ability>
      <abilityName>全半角问题</abilityName>
      <candidateList>
        <item>）</item>
      </candidateList>
      <explain>文本全半角错误。</explain>
      <paraID>59302072</paraID>
      <start>135</start>
      <end>136</end>
      <status>unmodified</status>
      <modifiedWord/>
      <trackRevisions>false</trackRevisions>
    </reviewItem>
    <reviewItem>
      <errorID>d37a640a-6357-4729-ae14-d7d9e0c646e7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6D6E3A7E</paraID>
      <start>0</start>
      <end>2</end>
      <status>unmodified</status>
      <modifiedWord/>
      <trackRevisions>false</trackRevisions>
    </reviewItem>
    <reviewItem>
      <errorID>d17e8914-44f3-47a1-9040-fc440a805b91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782DAAF9</paraID>
      <start>0</start>
      <end>2</end>
      <status>unmodified</status>
      <modifiedWord/>
      <trackRevisions>false</trackRevisions>
    </reviewItem>
    <reviewItem>
      <errorID>b09e86fd-cf7b-43aa-82c8-0d7aa78bdd23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517D8A57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891C1D-B067-4F6F-87B4-74861085B3D8}"/>
</file>

<file path=customXml/itemProps3.xml><?xml version="1.0" encoding="utf-8"?>
<ds:datastoreItem xmlns:ds="http://schemas.openxmlformats.org/officeDocument/2006/customXml" ds:itemID="{F95CDACC-9DAF-49DB-ACD3-79991E242A07}"/>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王乾</cp:lastModifiedBy>
  <cp:revision>6</cp:revision>
  <dcterms:created xsi:type="dcterms:W3CDTF">2026-05-27T01:48:00Z</dcterms:created>
  <dcterms:modified xsi:type="dcterms:W3CDTF">2026-09-20T07:29:49Z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eyJoZGlkIjoiNjEyOTIxNzY4MDc1ODgyNDNlYzdkNWY2NWJmYjU3YmYiLCJ1c2VySWQiOiI0NDIwMTEwMDIifQ==</vt:lpwstr>
  </property>
  <property fmtid="{D5CDD505-2E9C-101B-9397-08002B2CF9AE}" pid="3" name="KSOProductBuildVer">
    <vt:lpwstr>2052-12.1.0.28505</vt:lpwstr>
  </property>
  <property fmtid="{D5CDD505-2E9C-101B-9397-08002B2CF9AE}" pid="4" name="ICV">
    <vt:lpwstr>401553CA4A274EB5ADE1F9CFD937D54E_13</vt:lpwstr>
  </property>
</Properties>
</file>