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CF8B5">
      <w:pPr>
        <w:spacing w:line="500" w:lineRule="exact"/>
        <w:jc w:val="center"/>
        <w:rPr>
          <w:rFonts w:hint="eastAsia" w:ascii="宋体" w:hAnsi="宋体" w:eastAsia="宋体" w:cs="宋体"/>
          <w:bCs/>
          <w:color w:val="auto"/>
          <w:spacing w:val="20"/>
          <w:sz w:val="44"/>
          <w:highlight w:val="none"/>
          <w:lang w:val="en-US" w:eastAsia="zh-CN"/>
        </w:rPr>
      </w:pPr>
      <w:r>
        <w:rPr>
          <w:rFonts w:hint="eastAsia" w:ascii="宋体" w:hAnsi="宋体" w:cs="宋体"/>
          <w:bCs/>
          <w:color w:val="auto"/>
          <w:spacing w:val="20"/>
          <w:sz w:val="44"/>
          <w:highlight w:val="none"/>
          <w:lang w:eastAsia="zh-CN"/>
        </w:rPr>
        <w:t>2026年度南通吕四作业区10万吨级进港航道工程临时性海洋倾倒区1#、2#倾倒区海洋生态环境跟踪监测和容量评估项目</w:t>
      </w:r>
    </w:p>
    <w:p w14:paraId="0FE6202D">
      <w:pPr>
        <w:spacing w:line="500" w:lineRule="exact"/>
        <w:jc w:val="center"/>
        <w:rPr>
          <w:rFonts w:hint="eastAsia" w:ascii="宋体" w:hAnsi="宋体" w:eastAsia="宋体" w:cs="宋体"/>
          <w:bCs/>
          <w:color w:val="auto"/>
          <w:spacing w:val="20"/>
          <w:sz w:val="44"/>
          <w:highlight w:val="none"/>
        </w:rPr>
      </w:pPr>
    </w:p>
    <w:p w14:paraId="2CEA6101">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分散</w:t>
      </w:r>
      <w:r>
        <w:rPr>
          <w:rFonts w:hint="eastAsia" w:ascii="宋体" w:hAnsi="宋体" w:eastAsia="宋体" w:cs="宋体"/>
          <w:bCs/>
          <w:color w:val="auto"/>
          <w:sz w:val="100"/>
          <w:szCs w:val="100"/>
          <w:highlight w:val="none"/>
        </w:rPr>
        <w:t>采购招标文件</w:t>
      </w:r>
    </w:p>
    <w:p w14:paraId="103EE1A5">
      <w:pPr>
        <w:pStyle w:val="4"/>
        <w:spacing w:line="500" w:lineRule="exact"/>
        <w:rPr>
          <w:rFonts w:hint="eastAsia" w:ascii="宋体" w:hAnsi="宋体" w:eastAsia="宋体" w:cs="宋体"/>
          <w:b w:val="0"/>
          <w:bCs/>
          <w:color w:val="auto"/>
          <w:highlight w:val="none"/>
        </w:rPr>
      </w:pPr>
    </w:p>
    <w:p w14:paraId="42070065">
      <w:pPr>
        <w:pStyle w:val="4"/>
        <w:spacing w:line="500" w:lineRule="exact"/>
        <w:rPr>
          <w:rFonts w:hint="eastAsia" w:ascii="宋体" w:hAnsi="宋体" w:eastAsia="宋体" w:cs="宋体"/>
          <w:b w:val="0"/>
          <w:bCs/>
          <w:color w:val="auto"/>
          <w:sz w:val="36"/>
          <w:szCs w:val="36"/>
          <w:highlight w:val="none"/>
          <w:lang w:eastAsia="zh-CN"/>
        </w:rPr>
      </w:pPr>
      <w:r>
        <w:rPr>
          <w:rFonts w:hint="eastAsia" w:ascii="宋体" w:hAnsi="宋体" w:eastAsia="宋体" w:cs="宋体"/>
          <w:b w:val="0"/>
          <w:bCs/>
          <w:color w:val="auto"/>
          <w:sz w:val="36"/>
          <w:szCs w:val="36"/>
          <w:highlight w:val="none"/>
        </w:rPr>
        <w:t>项目编号：JSZC-320681-HXTH-G2026-0040</w:t>
      </w:r>
    </w:p>
    <w:p w14:paraId="3CDDC7E9">
      <w:pPr>
        <w:spacing w:line="500" w:lineRule="exact"/>
        <w:jc w:val="center"/>
        <w:rPr>
          <w:rFonts w:hint="eastAsia" w:ascii="宋体" w:hAnsi="宋体" w:eastAsia="宋体" w:cs="宋体"/>
          <w:b/>
          <w:color w:val="auto"/>
          <w:sz w:val="36"/>
          <w:highlight w:val="none"/>
        </w:rPr>
      </w:pPr>
    </w:p>
    <w:p w14:paraId="6E25AD9B">
      <w:pPr>
        <w:spacing w:line="500" w:lineRule="exact"/>
        <w:jc w:val="center"/>
        <w:rPr>
          <w:rFonts w:hint="eastAsia" w:ascii="宋体" w:hAnsi="宋体" w:eastAsia="宋体" w:cs="宋体"/>
          <w:b/>
          <w:color w:val="auto"/>
          <w:sz w:val="36"/>
          <w:highlight w:val="none"/>
        </w:rPr>
      </w:pPr>
    </w:p>
    <w:p w14:paraId="1A812243">
      <w:pPr>
        <w:spacing w:line="500" w:lineRule="exact"/>
        <w:jc w:val="center"/>
        <w:rPr>
          <w:rFonts w:hint="eastAsia" w:ascii="宋体" w:hAnsi="宋体" w:eastAsia="宋体" w:cs="宋体"/>
          <w:b/>
          <w:color w:val="auto"/>
          <w:sz w:val="36"/>
          <w:highlight w:val="none"/>
        </w:rPr>
      </w:pPr>
    </w:p>
    <w:p w14:paraId="0172E5A1">
      <w:pPr>
        <w:spacing w:line="500" w:lineRule="exact"/>
        <w:rPr>
          <w:rFonts w:hint="eastAsia" w:ascii="宋体" w:hAnsi="宋体" w:eastAsia="宋体" w:cs="宋体"/>
          <w:color w:val="auto"/>
          <w:highlight w:val="none"/>
        </w:rPr>
      </w:pPr>
    </w:p>
    <w:p w14:paraId="5D33591B">
      <w:pPr>
        <w:spacing w:line="500" w:lineRule="exact"/>
        <w:jc w:val="center"/>
        <w:rPr>
          <w:rFonts w:hint="eastAsia" w:ascii="宋体" w:hAnsi="宋体" w:eastAsia="宋体" w:cs="宋体"/>
          <w:color w:val="auto"/>
          <w:sz w:val="32"/>
          <w:highlight w:val="none"/>
        </w:rPr>
      </w:pPr>
    </w:p>
    <w:p w14:paraId="26C9B4D9">
      <w:pPr>
        <w:spacing w:line="500" w:lineRule="exact"/>
        <w:jc w:val="center"/>
        <w:rPr>
          <w:rFonts w:hint="eastAsia" w:ascii="宋体" w:hAnsi="宋体" w:eastAsia="宋体" w:cs="宋体"/>
          <w:color w:val="auto"/>
          <w:sz w:val="32"/>
          <w:highlight w:val="none"/>
        </w:rPr>
      </w:pPr>
    </w:p>
    <w:p w14:paraId="6B782D88">
      <w:pPr>
        <w:spacing w:line="500" w:lineRule="exact"/>
        <w:jc w:val="center"/>
        <w:rPr>
          <w:rFonts w:hint="eastAsia" w:ascii="宋体" w:hAnsi="宋体" w:eastAsia="宋体" w:cs="宋体"/>
          <w:color w:val="auto"/>
          <w:sz w:val="32"/>
          <w:highlight w:val="none"/>
        </w:rPr>
      </w:pPr>
    </w:p>
    <w:p w14:paraId="67D845AE">
      <w:pPr>
        <w:spacing w:line="500" w:lineRule="exact"/>
        <w:jc w:val="center"/>
        <w:rPr>
          <w:rFonts w:hint="eastAsia" w:ascii="宋体" w:hAnsi="宋体" w:eastAsia="宋体" w:cs="宋体"/>
          <w:color w:val="auto"/>
          <w:sz w:val="32"/>
          <w:highlight w:val="none"/>
        </w:rPr>
      </w:pPr>
    </w:p>
    <w:p w14:paraId="0D3B3461">
      <w:pPr>
        <w:spacing w:line="500" w:lineRule="exact"/>
        <w:jc w:val="center"/>
        <w:rPr>
          <w:rFonts w:hint="eastAsia" w:ascii="宋体" w:hAnsi="宋体" w:eastAsia="宋体" w:cs="宋体"/>
          <w:color w:val="auto"/>
          <w:sz w:val="32"/>
          <w:highlight w:val="none"/>
        </w:rPr>
      </w:pPr>
    </w:p>
    <w:p w14:paraId="76F1523C">
      <w:pPr>
        <w:spacing w:line="500" w:lineRule="exact"/>
        <w:jc w:val="center"/>
        <w:rPr>
          <w:rFonts w:hint="eastAsia" w:ascii="宋体" w:hAnsi="宋体" w:eastAsia="宋体" w:cs="宋体"/>
          <w:color w:val="auto"/>
          <w:sz w:val="32"/>
          <w:highlight w:val="none"/>
        </w:rPr>
      </w:pPr>
    </w:p>
    <w:p w14:paraId="6A72BBC4">
      <w:pPr>
        <w:pStyle w:val="18"/>
        <w:rPr>
          <w:rFonts w:hint="eastAsia"/>
          <w:color w:val="auto"/>
          <w:highlight w:val="none"/>
        </w:rPr>
      </w:pPr>
    </w:p>
    <w:p w14:paraId="0DD781B6">
      <w:pPr>
        <w:spacing w:line="500" w:lineRule="exact"/>
        <w:jc w:val="center"/>
        <w:rPr>
          <w:rFonts w:hint="eastAsia" w:ascii="宋体" w:hAnsi="宋体" w:eastAsia="宋体" w:cs="宋体"/>
          <w:color w:val="auto"/>
          <w:sz w:val="32"/>
          <w:highlight w:val="none"/>
        </w:rPr>
      </w:pPr>
    </w:p>
    <w:p w14:paraId="1C65AEC0">
      <w:pPr>
        <w:spacing w:line="500" w:lineRule="exact"/>
        <w:jc w:val="center"/>
        <w:rPr>
          <w:rFonts w:hint="eastAsia" w:ascii="宋体" w:hAnsi="宋体" w:eastAsia="宋体" w:cs="宋体"/>
          <w:bCs/>
          <w:color w:val="auto"/>
          <w:spacing w:val="20"/>
          <w:sz w:val="44"/>
          <w:highlight w:val="none"/>
        </w:rPr>
      </w:pPr>
      <w:r>
        <w:rPr>
          <w:rFonts w:hint="eastAsia" w:ascii="宋体" w:hAnsi="宋体" w:cs="宋体"/>
          <w:bCs/>
          <w:color w:val="auto"/>
          <w:spacing w:val="20"/>
          <w:sz w:val="44"/>
          <w:highlight w:val="none"/>
          <w:lang w:val="en-US" w:eastAsia="zh-CN"/>
        </w:rPr>
        <w:t>江苏启东吕四港经济开发区管理委员会</w:t>
      </w:r>
    </w:p>
    <w:p w14:paraId="53FEE0A0">
      <w:pPr>
        <w:pStyle w:val="19"/>
        <w:ind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u w:val="single"/>
          <w:lang w:val="en-US" w:eastAsia="zh-CN"/>
        </w:rPr>
        <w:t xml:space="preserve"> 2026 </w:t>
      </w:r>
      <w:r>
        <w:rPr>
          <w:rFonts w:hint="eastAsia" w:ascii="宋体" w:hAnsi="宋体" w:eastAsia="宋体" w:cs="宋体"/>
          <w:color w:val="auto"/>
          <w:sz w:val="44"/>
          <w:szCs w:val="44"/>
          <w:highlight w:val="none"/>
        </w:rPr>
        <w:t>年</w:t>
      </w:r>
      <w:r>
        <w:rPr>
          <w:rFonts w:hint="eastAsia" w:ascii="宋体" w:hAnsi="宋体" w:eastAsia="宋体" w:cs="宋体"/>
          <w:color w:val="auto"/>
          <w:sz w:val="44"/>
          <w:szCs w:val="44"/>
          <w:highlight w:val="none"/>
          <w:u w:val="single"/>
          <w:lang w:val="en-US" w:eastAsia="zh-CN"/>
        </w:rPr>
        <w:t xml:space="preserve"> </w:t>
      </w:r>
      <w:r>
        <w:rPr>
          <w:rFonts w:hint="eastAsia" w:ascii="宋体" w:hAnsi="宋体" w:cs="宋体"/>
          <w:color w:val="auto"/>
          <w:sz w:val="44"/>
          <w:szCs w:val="44"/>
          <w:highlight w:val="none"/>
          <w:u w:val="single"/>
          <w:lang w:val="en-US" w:eastAsia="zh-CN"/>
        </w:rPr>
        <w:t xml:space="preserve">10 </w:t>
      </w:r>
      <w:r>
        <w:rPr>
          <w:rFonts w:hint="eastAsia" w:ascii="宋体" w:hAnsi="宋体" w:eastAsia="宋体" w:cs="宋体"/>
          <w:color w:val="auto"/>
          <w:sz w:val="44"/>
          <w:szCs w:val="44"/>
          <w:highlight w:val="none"/>
        </w:rPr>
        <w:t>月</w:t>
      </w:r>
      <w:r>
        <w:rPr>
          <w:rFonts w:hint="eastAsia" w:ascii="宋体" w:hAnsi="宋体" w:eastAsia="宋体" w:cs="宋体"/>
          <w:color w:val="auto"/>
          <w:sz w:val="44"/>
          <w:szCs w:val="44"/>
          <w:highlight w:val="none"/>
          <w:u w:val="single"/>
          <w:lang w:val="en-US" w:eastAsia="zh-CN"/>
        </w:rPr>
        <w:t xml:space="preserve"> </w:t>
      </w:r>
      <w:r>
        <w:rPr>
          <w:rFonts w:hint="eastAsia" w:ascii="宋体" w:hAnsi="宋体" w:cs="宋体"/>
          <w:color w:val="auto"/>
          <w:sz w:val="44"/>
          <w:szCs w:val="44"/>
          <w:highlight w:val="none"/>
          <w:u w:val="single"/>
          <w:lang w:val="en-US" w:eastAsia="zh-CN"/>
        </w:rPr>
        <w:t>26</w:t>
      </w:r>
      <w:r>
        <w:rPr>
          <w:rFonts w:hint="eastAsia" w:ascii="宋体" w:hAnsi="宋体" w:eastAsia="宋体" w:cs="宋体"/>
          <w:color w:val="auto"/>
          <w:sz w:val="44"/>
          <w:szCs w:val="44"/>
          <w:highlight w:val="none"/>
          <w:u w:val="single"/>
          <w:lang w:val="en-US" w:eastAsia="zh-CN"/>
        </w:rPr>
        <w:t xml:space="preserve"> </w:t>
      </w:r>
      <w:r>
        <w:rPr>
          <w:rFonts w:hint="eastAsia" w:ascii="宋体" w:hAnsi="宋体" w:eastAsia="宋体" w:cs="宋体"/>
          <w:color w:val="auto"/>
          <w:sz w:val="44"/>
          <w:szCs w:val="44"/>
          <w:highlight w:val="none"/>
        </w:rPr>
        <w:t>日</w:t>
      </w:r>
    </w:p>
    <w:p w14:paraId="3D7AB16E">
      <w:pPr>
        <w:adjustRightInd w:val="0"/>
        <w:snapToGrid w:val="0"/>
        <w:ind w:left="-158" w:leftChars="-75"/>
        <w:rPr>
          <w:rFonts w:hint="eastAsia" w:ascii="宋体" w:hAnsi="宋体" w:eastAsia="宋体" w:cs="宋体"/>
          <w:b/>
          <w:snapToGrid w:val="0"/>
          <w:color w:val="auto"/>
          <w:sz w:val="26"/>
          <w:szCs w:val="28"/>
          <w:highlight w:val="none"/>
          <w:u w:val="single"/>
        </w:rPr>
      </w:pPr>
      <w:bookmarkStart w:id="0" w:name="_Hlk194478377"/>
      <w:r>
        <w:rPr>
          <w:rFonts w:hint="eastAsia" w:ascii="宋体" w:hAnsi="宋体" w:eastAsia="宋体" w:cs="宋体"/>
          <w:b/>
          <w:snapToGrid w:val="0"/>
          <w:color w:val="auto"/>
          <w:sz w:val="26"/>
          <w:szCs w:val="28"/>
          <w:highlight w:val="none"/>
          <w:u w:val="single"/>
        </w:rPr>
        <w:t>________________________________________________________________</w:t>
      </w:r>
      <w:bookmarkEnd w:id="0"/>
    </w:p>
    <w:p w14:paraId="6F17BAB0">
      <w:pPr>
        <w:adjustRightInd w:val="0"/>
        <w:snapToGrid w:val="0"/>
        <w:ind w:left="-158" w:leftChars="-75"/>
        <w:rPr>
          <w:rFonts w:hint="eastAsia" w:ascii="宋体" w:hAnsi="宋体" w:eastAsia="宋体" w:cs="宋体"/>
          <w:snapToGrid w:val="0"/>
          <w:color w:val="auto"/>
          <w:sz w:val="32"/>
          <w:szCs w:val="32"/>
          <w:highlight w:val="none"/>
          <w:lang w:eastAsia="zh-CN"/>
        </w:rPr>
      </w:pPr>
      <w:r>
        <w:rPr>
          <w:rFonts w:hint="eastAsia" w:ascii="宋体" w:hAnsi="宋体" w:eastAsia="宋体" w:cs="宋体"/>
          <w:b/>
          <w:snapToGrid w:val="0"/>
          <w:color w:val="auto"/>
          <w:sz w:val="32"/>
          <w:szCs w:val="32"/>
          <w:highlight w:val="none"/>
        </w:rPr>
        <w:t>地址：</w:t>
      </w:r>
      <w:r>
        <w:rPr>
          <w:rFonts w:hint="eastAsia" w:ascii="宋体" w:hAnsi="宋体" w:eastAsia="宋体" w:cs="宋体"/>
          <w:snapToGrid w:val="0"/>
          <w:color w:val="auto"/>
          <w:sz w:val="32"/>
          <w:szCs w:val="32"/>
          <w:highlight w:val="none"/>
        </w:rPr>
        <w:t>启东市吕四港镇通江大道99号</w:t>
      </w:r>
    </w:p>
    <w:p w14:paraId="5DC13EDE">
      <w:pPr>
        <w:adjustRightInd w:val="0"/>
        <w:snapToGrid w:val="0"/>
        <w:ind w:left="-158" w:leftChars="-75"/>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邮政编码：</w:t>
      </w:r>
      <w:r>
        <w:rPr>
          <w:rFonts w:hint="eastAsia" w:ascii="宋体" w:hAnsi="宋体" w:eastAsia="宋体" w:cs="宋体"/>
          <w:snapToGrid w:val="0"/>
          <w:color w:val="auto"/>
          <w:sz w:val="32"/>
          <w:szCs w:val="32"/>
          <w:highlight w:val="none"/>
        </w:rPr>
        <w:t>226200</w:t>
      </w:r>
    </w:p>
    <w:p w14:paraId="3B366700">
      <w:pPr>
        <w:adjustRightInd w:val="0"/>
        <w:snapToGrid w:val="0"/>
        <w:ind w:left="-158" w:leftChars="-75" w:right="-601" w:rightChars="-286"/>
        <w:rPr>
          <w:rFonts w:hint="eastAsia" w:ascii="宋体" w:hAnsi="宋体" w:eastAsia="宋体" w:cs="宋体"/>
          <w:b/>
          <w:snapToGrid w:val="0"/>
          <w:color w:val="auto"/>
          <w:sz w:val="32"/>
          <w:szCs w:val="32"/>
          <w:highlight w:val="none"/>
        </w:rPr>
      </w:pPr>
      <w:r>
        <w:rPr>
          <w:rFonts w:hint="eastAsia" w:ascii="宋体" w:hAnsi="宋体" w:eastAsia="宋体" w:cs="宋体"/>
          <w:b/>
          <w:snapToGrid w:val="0"/>
          <w:color w:val="auto"/>
          <w:sz w:val="32"/>
          <w:szCs w:val="32"/>
          <w:highlight w:val="none"/>
        </w:rPr>
        <w:t>江苏政府采购网</w:t>
      </w:r>
    </w:p>
    <w:p w14:paraId="74F2B209">
      <w:pPr>
        <w:widowControl/>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r>
        <w:rPr>
          <w:rFonts w:hint="eastAsia" w:ascii="宋体" w:hAnsi="宋体" w:eastAsia="宋体" w:cs="宋体"/>
          <w:color w:val="auto"/>
          <w:sz w:val="44"/>
          <w:szCs w:val="44"/>
          <w:highlight w:val="none"/>
        </w:rPr>
        <w:t>目 录</w:t>
      </w:r>
    </w:p>
    <w:p w14:paraId="2DE246B2">
      <w:pPr>
        <w:adjustRightInd w:val="0"/>
        <w:snapToGrid w:val="0"/>
        <w:spacing w:line="360" w:lineRule="auto"/>
        <w:jc w:val="center"/>
        <w:rPr>
          <w:rFonts w:hint="eastAsia" w:ascii="宋体" w:hAnsi="宋体" w:eastAsia="宋体" w:cs="宋体"/>
          <w:color w:val="auto"/>
          <w:sz w:val="32"/>
          <w:szCs w:val="32"/>
          <w:highlight w:val="none"/>
        </w:rPr>
      </w:pPr>
    </w:p>
    <w:p w14:paraId="155B0EAA">
      <w:pPr>
        <w:adjustRightInd w:val="0"/>
        <w:snapToGrid w:val="0"/>
        <w:spacing w:line="360" w:lineRule="auto"/>
        <w:jc w:val="center"/>
        <w:rPr>
          <w:rFonts w:hint="eastAsia" w:ascii="宋体" w:hAnsi="宋体" w:eastAsia="宋体" w:cs="宋体"/>
          <w:color w:val="auto"/>
          <w:sz w:val="32"/>
          <w:szCs w:val="32"/>
          <w:highlight w:val="none"/>
        </w:rPr>
      </w:pPr>
    </w:p>
    <w:p w14:paraId="09821315">
      <w:pPr>
        <w:tabs>
          <w:tab w:val="left" w:pos="7740"/>
        </w:tabs>
        <w:adjustRightInd w:val="0"/>
        <w:snapToGrid w:val="0"/>
        <w:spacing w:line="360" w:lineRule="auto"/>
        <w:ind w:firstLine="640" w:firstLineChars="200"/>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第一部分  投标邀请</w:t>
      </w:r>
    </w:p>
    <w:p w14:paraId="098467CF">
      <w:pPr>
        <w:tabs>
          <w:tab w:val="left" w:pos="7740"/>
        </w:tabs>
        <w:adjustRightInd w:val="0"/>
        <w:snapToGrid w:val="0"/>
        <w:spacing w:line="360" w:lineRule="auto"/>
        <w:ind w:firstLine="640" w:firstLineChars="200"/>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第二部分  投标须知</w:t>
      </w:r>
    </w:p>
    <w:p w14:paraId="7ADB82B0">
      <w:pPr>
        <w:tabs>
          <w:tab w:val="left" w:pos="7740"/>
        </w:tabs>
        <w:adjustRightInd w:val="0"/>
        <w:snapToGrid w:val="0"/>
        <w:spacing w:line="360" w:lineRule="auto"/>
        <w:ind w:firstLine="640" w:firstLineChars="200"/>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第三部分  项目需求</w:t>
      </w:r>
    </w:p>
    <w:p w14:paraId="7FA93675">
      <w:pPr>
        <w:tabs>
          <w:tab w:val="left" w:pos="7740"/>
        </w:tabs>
        <w:adjustRightInd w:val="0"/>
        <w:snapToGrid w:val="0"/>
        <w:spacing w:line="360" w:lineRule="auto"/>
        <w:ind w:firstLine="640" w:firstLineChars="200"/>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开标和评标</w:t>
      </w:r>
    </w:p>
    <w:p w14:paraId="43A37EF6">
      <w:pPr>
        <w:tabs>
          <w:tab w:val="left" w:pos="7740"/>
        </w:tabs>
        <w:adjustRightInd w:val="0"/>
        <w:snapToGrid w:val="0"/>
        <w:spacing w:line="360" w:lineRule="auto"/>
        <w:ind w:firstLine="640" w:firstLineChars="200"/>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第五部分  投标文件格式</w:t>
      </w:r>
    </w:p>
    <w:p w14:paraId="5DE681C8">
      <w:pPr>
        <w:spacing w:line="500" w:lineRule="exact"/>
        <w:rPr>
          <w:rFonts w:hint="eastAsia" w:ascii="宋体" w:hAnsi="宋体" w:eastAsia="宋体" w:cs="宋体"/>
          <w:b/>
          <w:color w:val="auto"/>
          <w:sz w:val="32"/>
          <w:szCs w:val="32"/>
          <w:highlight w:val="none"/>
        </w:rPr>
      </w:pPr>
    </w:p>
    <w:p w14:paraId="09F55EFE">
      <w:pPr>
        <w:tabs>
          <w:tab w:val="left" w:pos="7740"/>
        </w:tabs>
        <w:spacing w:line="500" w:lineRule="exact"/>
        <w:rPr>
          <w:rFonts w:hint="eastAsia" w:ascii="宋体" w:hAnsi="宋体" w:eastAsia="宋体" w:cs="宋体"/>
          <w:b/>
          <w:color w:val="auto"/>
          <w:spacing w:val="2"/>
          <w:sz w:val="32"/>
          <w:szCs w:val="32"/>
          <w:highlight w:val="none"/>
        </w:rPr>
      </w:pPr>
    </w:p>
    <w:p w14:paraId="0C70D21A">
      <w:pPr>
        <w:tabs>
          <w:tab w:val="left" w:pos="7740"/>
        </w:tabs>
        <w:spacing w:line="500" w:lineRule="exact"/>
        <w:rPr>
          <w:rFonts w:hint="eastAsia" w:ascii="宋体" w:hAnsi="宋体" w:eastAsia="宋体" w:cs="宋体"/>
          <w:b/>
          <w:color w:val="auto"/>
          <w:spacing w:val="2"/>
          <w:sz w:val="32"/>
          <w:szCs w:val="32"/>
          <w:highlight w:val="none"/>
        </w:rPr>
      </w:pPr>
    </w:p>
    <w:p w14:paraId="0E416FFA">
      <w:pPr>
        <w:tabs>
          <w:tab w:val="left" w:pos="7740"/>
        </w:tabs>
        <w:spacing w:line="500" w:lineRule="exact"/>
        <w:rPr>
          <w:rFonts w:hint="eastAsia" w:ascii="宋体" w:hAnsi="宋体" w:eastAsia="宋体" w:cs="宋体"/>
          <w:b/>
          <w:bCs/>
          <w:color w:val="auto"/>
          <w:sz w:val="32"/>
          <w:szCs w:val="32"/>
          <w:highlight w:val="none"/>
        </w:rPr>
      </w:pPr>
    </w:p>
    <w:p w14:paraId="51C0CFA2">
      <w:pPr>
        <w:spacing w:line="500" w:lineRule="exact"/>
        <w:outlineLvl w:val="0"/>
        <w:rPr>
          <w:rFonts w:hint="eastAsia" w:ascii="宋体" w:hAnsi="宋体" w:eastAsia="宋体" w:cs="宋体"/>
          <w:b/>
          <w:color w:val="auto"/>
          <w:sz w:val="44"/>
          <w:szCs w:val="44"/>
          <w:highlight w:val="none"/>
        </w:rPr>
      </w:pPr>
    </w:p>
    <w:p w14:paraId="4C9CCA4E">
      <w:pPr>
        <w:spacing w:line="500" w:lineRule="exact"/>
        <w:outlineLvl w:val="0"/>
        <w:rPr>
          <w:rFonts w:hint="eastAsia" w:ascii="宋体" w:hAnsi="宋体" w:eastAsia="宋体" w:cs="宋体"/>
          <w:color w:val="auto"/>
          <w:sz w:val="44"/>
          <w:szCs w:val="44"/>
          <w:highlight w:val="none"/>
        </w:rPr>
      </w:pPr>
    </w:p>
    <w:p w14:paraId="53582152">
      <w:pPr>
        <w:spacing w:line="500" w:lineRule="exact"/>
        <w:outlineLvl w:val="0"/>
        <w:rPr>
          <w:rFonts w:hint="eastAsia" w:ascii="宋体" w:hAnsi="宋体" w:eastAsia="宋体" w:cs="宋体"/>
          <w:color w:val="auto"/>
          <w:sz w:val="44"/>
          <w:szCs w:val="44"/>
          <w:highlight w:val="none"/>
        </w:rPr>
      </w:pPr>
    </w:p>
    <w:p w14:paraId="4794BE89">
      <w:pPr>
        <w:pStyle w:val="18"/>
        <w:rPr>
          <w:rFonts w:hint="eastAsia"/>
          <w:color w:val="auto"/>
          <w:highlight w:val="none"/>
        </w:rPr>
      </w:pPr>
    </w:p>
    <w:p w14:paraId="46622C00">
      <w:pPr>
        <w:spacing w:line="500" w:lineRule="exact"/>
        <w:outlineLvl w:val="0"/>
        <w:rPr>
          <w:rFonts w:hint="eastAsia" w:ascii="宋体" w:hAnsi="宋体" w:eastAsia="宋体" w:cs="宋体"/>
          <w:color w:val="auto"/>
          <w:sz w:val="44"/>
          <w:szCs w:val="44"/>
          <w:highlight w:val="none"/>
        </w:rPr>
      </w:pPr>
    </w:p>
    <w:p w14:paraId="54517B1B">
      <w:pPr>
        <w:spacing w:line="500" w:lineRule="exact"/>
        <w:outlineLvl w:val="0"/>
        <w:rPr>
          <w:rFonts w:hint="eastAsia" w:ascii="宋体" w:hAnsi="宋体" w:eastAsia="宋体" w:cs="宋体"/>
          <w:color w:val="auto"/>
          <w:sz w:val="44"/>
          <w:szCs w:val="44"/>
          <w:highlight w:val="none"/>
        </w:rPr>
      </w:pPr>
    </w:p>
    <w:p w14:paraId="3BC8DA01">
      <w:pPr>
        <w:spacing w:line="500" w:lineRule="exact"/>
        <w:outlineLvl w:val="0"/>
        <w:rPr>
          <w:rFonts w:hint="eastAsia" w:ascii="宋体" w:hAnsi="宋体" w:eastAsia="宋体" w:cs="宋体"/>
          <w:color w:val="auto"/>
          <w:sz w:val="44"/>
          <w:szCs w:val="44"/>
          <w:highlight w:val="none"/>
        </w:rPr>
      </w:pPr>
    </w:p>
    <w:p w14:paraId="53099E0B">
      <w:pPr>
        <w:spacing w:line="500" w:lineRule="exact"/>
        <w:outlineLvl w:val="0"/>
        <w:rPr>
          <w:rFonts w:hint="eastAsia" w:ascii="宋体" w:hAnsi="宋体" w:eastAsia="宋体" w:cs="宋体"/>
          <w:color w:val="auto"/>
          <w:sz w:val="44"/>
          <w:szCs w:val="44"/>
          <w:highlight w:val="none"/>
        </w:rPr>
      </w:pPr>
    </w:p>
    <w:p w14:paraId="22D89F0F">
      <w:pPr>
        <w:spacing w:line="500" w:lineRule="exact"/>
        <w:outlineLvl w:val="0"/>
        <w:rPr>
          <w:rFonts w:hint="eastAsia" w:ascii="宋体" w:hAnsi="宋体" w:eastAsia="宋体" w:cs="宋体"/>
          <w:color w:val="auto"/>
          <w:sz w:val="44"/>
          <w:szCs w:val="44"/>
          <w:highlight w:val="none"/>
        </w:rPr>
      </w:pPr>
    </w:p>
    <w:p w14:paraId="1F4D349D">
      <w:pPr>
        <w:spacing w:line="500" w:lineRule="exact"/>
        <w:outlineLvl w:val="0"/>
        <w:rPr>
          <w:rFonts w:hint="eastAsia" w:ascii="宋体" w:hAnsi="宋体" w:eastAsia="宋体" w:cs="宋体"/>
          <w:color w:val="auto"/>
          <w:sz w:val="44"/>
          <w:szCs w:val="44"/>
          <w:highlight w:val="none"/>
        </w:rPr>
      </w:pPr>
    </w:p>
    <w:p w14:paraId="705FFD8E">
      <w:pPr>
        <w:pStyle w:val="18"/>
        <w:rPr>
          <w:rFonts w:hint="eastAsia" w:ascii="宋体" w:hAnsi="宋体" w:eastAsia="宋体" w:cs="宋体"/>
          <w:color w:val="auto"/>
          <w:sz w:val="44"/>
          <w:szCs w:val="44"/>
          <w:highlight w:val="none"/>
        </w:rPr>
      </w:pPr>
    </w:p>
    <w:p w14:paraId="6D5DC8AD">
      <w:pPr>
        <w:spacing w:line="500" w:lineRule="exact"/>
        <w:outlineLvl w:val="0"/>
        <w:rPr>
          <w:rFonts w:hint="eastAsia" w:ascii="宋体" w:hAnsi="宋体" w:eastAsia="宋体" w:cs="宋体"/>
          <w:color w:val="auto"/>
          <w:sz w:val="44"/>
          <w:szCs w:val="44"/>
          <w:highlight w:val="none"/>
        </w:rPr>
      </w:pPr>
    </w:p>
    <w:p w14:paraId="16FA70F4">
      <w:pPr>
        <w:pStyle w:val="18"/>
        <w:rPr>
          <w:rFonts w:hint="eastAsia"/>
          <w:color w:val="auto"/>
          <w:highlight w:val="none"/>
        </w:rPr>
      </w:pPr>
    </w:p>
    <w:p w14:paraId="386B1F9D">
      <w:pPr>
        <w:adjustRightInd w:val="0"/>
        <w:snapToGrid w:val="0"/>
        <w:spacing w:line="500" w:lineRule="exact"/>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第一部分  </w:t>
      </w:r>
      <w:bookmarkStart w:id="1" w:name="OLE_LINK5"/>
      <w:bookmarkStart w:id="2" w:name="OLE_LINK7"/>
      <w:r>
        <w:rPr>
          <w:rFonts w:hint="eastAsia" w:ascii="宋体" w:hAnsi="宋体" w:eastAsia="宋体" w:cs="宋体"/>
          <w:bCs/>
          <w:color w:val="auto"/>
          <w:sz w:val="36"/>
          <w:szCs w:val="36"/>
          <w:highlight w:val="none"/>
        </w:rPr>
        <w:t>投标邀请</w:t>
      </w:r>
    </w:p>
    <w:p w14:paraId="0E6CEEB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 w:name="OLE_LINK6"/>
      <w:r>
        <w:rPr>
          <w:rFonts w:hint="eastAsia" w:ascii="宋体" w:hAnsi="宋体" w:eastAsia="宋体" w:cs="宋体"/>
          <w:color w:val="auto"/>
          <w:sz w:val="28"/>
          <w:szCs w:val="28"/>
          <w:highlight w:val="none"/>
        </w:rPr>
        <w:t>受[</w:t>
      </w:r>
      <w:r>
        <w:rPr>
          <w:rFonts w:hint="eastAsia" w:ascii="宋体" w:hAnsi="宋体" w:cs="宋体"/>
          <w:color w:val="auto"/>
          <w:sz w:val="28"/>
          <w:szCs w:val="28"/>
          <w:highlight w:val="none"/>
          <w:lang w:val="en-US" w:eastAsia="zh-CN"/>
        </w:rPr>
        <w:t>江苏启东吕四港经济开发区管理委员会</w:t>
      </w:r>
      <w:r>
        <w:rPr>
          <w:rFonts w:hint="eastAsia" w:ascii="宋体" w:hAnsi="宋体" w:eastAsia="宋体" w:cs="宋体"/>
          <w:color w:val="auto"/>
          <w:sz w:val="28"/>
          <w:szCs w:val="28"/>
          <w:highlight w:val="none"/>
        </w:rPr>
        <w:t>]的委托，</w:t>
      </w:r>
      <w:r>
        <w:rPr>
          <w:rFonts w:hint="eastAsia" w:ascii="宋体" w:hAnsi="宋体" w:eastAsia="宋体" w:cs="宋体"/>
          <w:color w:val="auto"/>
          <w:sz w:val="28"/>
          <w:szCs w:val="28"/>
          <w:highlight w:val="none"/>
          <w:lang w:eastAsia="zh-CN"/>
        </w:rPr>
        <w:t>江苏天宏华信工程投资管理咨询有限公司</w:t>
      </w:r>
      <w:r>
        <w:rPr>
          <w:rFonts w:hint="eastAsia" w:ascii="宋体" w:hAnsi="宋体" w:eastAsia="宋体" w:cs="宋体"/>
          <w:color w:val="auto"/>
          <w:sz w:val="28"/>
          <w:szCs w:val="28"/>
          <w:highlight w:val="none"/>
        </w:rPr>
        <w:t>就[</w:t>
      </w:r>
      <w:r>
        <w:rPr>
          <w:rFonts w:hint="eastAsia" w:ascii="宋体" w:hAnsi="宋体" w:cs="宋体"/>
          <w:color w:val="auto"/>
          <w:sz w:val="28"/>
          <w:szCs w:val="28"/>
          <w:highlight w:val="none"/>
          <w:lang w:val="en-US" w:eastAsia="zh-CN"/>
        </w:rPr>
        <w:t>2026年度南通吕四作业区10万吨级进港航道工程临时性海洋倾倒区1#、2#倾倒区海洋生态环境跟踪监测和容量评估项目</w:t>
      </w:r>
      <w:r>
        <w:rPr>
          <w:rFonts w:hint="eastAsia" w:ascii="宋体" w:hAnsi="宋体" w:eastAsia="宋体" w:cs="宋体"/>
          <w:color w:val="auto"/>
          <w:sz w:val="28"/>
          <w:szCs w:val="28"/>
          <w:highlight w:val="none"/>
          <w:lang w:eastAsia="zh-CN"/>
        </w:rPr>
        <w:t>]（项目编号：JSZC-320681-HXTH-G2026-0040）</w:t>
      </w:r>
      <w:r>
        <w:rPr>
          <w:rFonts w:hint="eastAsia" w:ascii="宋体" w:hAnsi="宋体" w:eastAsia="宋体" w:cs="宋体"/>
          <w:color w:val="auto"/>
          <w:sz w:val="28"/>
          <w:szCs w:val="28"/>
          <w:highlight w:val="none"/>
        </w:rPr>
        <w:t>进行公开招标采购，欢迎符合条件的供应商投标。</w:t>
      </w:r>
    </w:p>
    <w:p w14:paraId="5A312B09">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项目概况</w:t>
      </w:r>
    </w:p>
    <w:p w14:paraId="356189BC">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2026年度南通吕四作业区10万吨级进港航道工程临时性海洋倾倒区1#、2#倾倒区海洋生态环境跟踪监测和容量评估项目</w:t>
      </w:r>
      <w:r>
        <w:rPr>
          <w:rFonts w:hint="eastAsia" w:ascii="宋体" w:hAnsi="宋体" w:eastAsia="宋体" w:cs="宋体"/>
          <w:color w:val="auto"/>
          <w:sz w:val="28"/>
          <w:szCs w:val="28"/>
          <w:highlight w:val="none"/>
        </w:rPr>
        <w:t>]的潜在投标人应在江苏政府采购网获取招标文件，并于</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11</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16</w:t>
      </w:r>
      <w:r>
        <w:rPr>
          <w:rFonts w:hint="eastAsia" w:ascii="宋体" w:hAnsi="宋体" w:eastAsia="宋体" w:cs="宋体"/>
          <w:color w:val="auto"/>
          <w:sz w:val="28"/>
          <w:szCs w:val="28"/>
          <w:highlight w:val="none"/>
        </w:rPr>
        <w:t>日9点00分（北京时间）前递交投标文件。</w:t>
      </w:r>
    </w:p>
    <w:p w14:paraId="5A29060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一、项目基本情况</w:t>
      </w:r>
    </w:p>
    <w:p w14:paraId="6CBCCB7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项目编号：JSZC-320681-HXTH-G2026-0040</w:t>
      </w:r>
    </w:p>
    <w:p w14:paraId="6360897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r>
        <w:rPr>
          <w:rFonts w:hint="eastAsia" w:ascii="宋体" w:hAnsi="宋体" w:cs="宋体"/>
          <w:color w:val="auto"/>
          <w:spacing w:val="0"/>
          <w:sz w:val="28"/>
          <w:szCs w:val="28"/>
          <w:highlight w:val="none"/>
          <w:lang w:val="en-US" w:eastAsia="zh-CN"/>
        </w:rPr>
        <w:t>2026年度南通吕四作业区10万吨级进港航道工程临时性海洋倾倒区1#、2#倾倒区海洋生态环境跟踪监测和容量评估项目</w:t>
      </w:r>
    </w:p>
    <w:p w14:paraId="15A3FD9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项目类型：</w:t>
      </w:r>
      <w:r>
        <w:rPr>
          <w:rFonts w:hint="eastAsia" w:ascii="宋体" w:hAnsi="宋体" w:eastAsia="宋体" w:cs="宋体"/>
          <w:sz w:val="28"/>
          <w:szCs w:val="28"/>
          <w:highlight w:val="none"/>
        </w:rPr>
        <w:t>服务</w:t>
      </w:r>
    </w:p>
    <w:p w14:paraId="143A7B61">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所属行业：</w:t>
      </w:r>
      <w:r>
        <w:rPr>
          <w:rFonts w:hint="eastAsia" w:ascii="宋体" w:hAnsi="宋体" w:eastAsia="宋体" w:cs="宋体"/>
          <w:color w:val="auto"/>
          <w:sz w:val="28"/>
          <w:szCs w:val="28"/>
          <w:highlight w:val="none"/>
          <w:lang w:val="en-US" w:eastAsia="zh-CN"/>
        </w:rPr>
        <w:t>其他未列明行业</w:t>
      </w:r>
      <w:r>
        <w:rPr>
          <w:rFonts w:hint="eastAsia" w:ascii="宋体" w:hAnsi="宋体" w:eastAsia="宋体" w:cs="宋体"/>
          <w:color w:val="auto"/>
          <w:sz w:val="28"/>
          <w:szCs w:val="28"/>
          <w:highlight w:val="none"/>
        </w:rPr>
        <w:t xml:space="preserve"> </w:t>
      </w:r>
    </w:p>
    <w:p w14:paraId="16788C3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预算金额：</w:t>
      </w:r>
      <w:r>
        <w:rPr>
          <w:rFonts w:hint="eastAsia" w:ascii="宋体" w:hAnsi="宋体" w:cs="宋体"/>
          <w:color w:val="auto"/>
          <w:sz w:val="28"/>
          <w:szCs w:val="28"/>
          <w:highlight w:val="none"/>
          <w:lang w:val="en-US" w:eastAsia="zh-CN"/>
        </w:rPr>
        <w:t>240万</w:t>
      </w:r>
      <w:r>
        <w:rPr>
          <w:rFonts w:hint="eastAsia" w:ascii="宋体" w:hAnsi="宋体" w:eastAsia="宋体" w:cs="宋体"/>
          <w:color w:val="auto"/>
          <w:sz w:val="28"/>
          <w:szCs w:val="28"/>
          <w:highlight w:val="none"/>
          <w:lang w:val="en-US" w:eastAsia="zh-CN"/>
        </w:rPr>
        <w:t>元</w:t>
      </w:r>
    </w:p>
    <w:p w14:paraId="60C77A03">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最高限价：</w:t>
      </w:r>
      <w:r>
        <w:rPr>
          <w:rFonts w:hint="eastAsia" w:ascii="宋体" w:hAnsi="宋体" w:cs="宋体"/>
          <w:color w:val="auto"/>
          <w:sz w:val="28"/>
          <w:szCs w:val="28"/>
          <w:highlight w:val="none"/>
          <w:lang w:val="en-US" w:eastAsia="zh-CN"/>
        </w:rPr>
        <w:t>240万</w:t>
      </w:r>
      <w:r>
        <w:rPr>
          <w:rFonts w:hint="eastAsia" w:ascii="宋体" w:hAnsi="宋体" w:eastAsia="宋体" w:cs="宋体"/>
          <w:color w:val="auto"/>
          <w:sz w:val="28"/>
          <w:szCs w:val="28"/>
          <w:highlight w:val="none"/>
          <w:lang w:val="en-US" w:eastAsia="zh-CN"/>
        </w:rPr>
        <w:t>元</w:t>
      </w:r>
    </w:p>
    <w:p w14:paraId="702F85D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采购需求：详见招标文件，请仔细研究。</w:t>
      </w:r>
    </w:p>
    <w:p w14:paraId="46DDDF0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合同履行期限：详见招标文件第三部分项目需求。</w:t>
      </w:r>
    </w:p>
    <w:p w14:paraId="577E1EC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本项目是否接受联合体投标：否。</w:t>
      </w:r>
    </w:p>
    <w:p w14:paraId="47B147B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本项目是否接受分包：否。</w:t>
      </w:r>
    </w:p>
    <w:p w14:paraId="257A971F">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二、申请人的资格要求</w:t>
      </w:r>
    </w:p>
    <w:p w14:paraId="30BB708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1.满足《中华人民共和国政府采购法》第二十二条规定。</w:t>
      </w:r>
    </w:p>
    <w:p w14:paraId="0E51F38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2.落实政府采购政策需满足的资格要求：本项目属于非专门面向中小企业采购的项目，无落实政府采购政策需满足的资格要求。</w:t>
      </w:r>
    </w:p>
    <w:p w14:paraId="530EBE9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3.本项目的特定资格要求：</w:t>
      </w:r>
    </w:p>
    <w:p w14:paraId="0B07959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3.1</w:t>
      </w:r>
      <w:r>
        <w:rPr>
          <w:rFonts w:hint="eastAsia" w:ascii="宋体" w:hAnsi="宋体" w:eastAsia="宋体" w:cs="宋体"/>
          <w:color w:val="auto"/>
          <w:sz w:val="28"/>
          <w:szCs w:val="28"/>
          <w:highlight w:val="none"/>
        </w:rPr>
        <w:t>投标人须具备中国国家认可认证管理委员会颁发的CMA计量认证资质证书且在有效期内，认证范围满足本项目开展工作需求（认证类别需要包括：水质、海洋沉积物、海洋生物体、海洋生物生态）；</w:t>
      </w:r>
    </w:p>
    <w:p w14:paraId="568020C1">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3.2</w:t>
      </w:r>
      <w:r>
        <w:rPr>
          <w:rFonts w:hint="eastAsia" w:ascii="宋体" w:hAnsi="宋体" w:eastAsia="宋体" w:cs="宋体"/>
          <w:color w:val="auto"/>
          <w:sz w:val="28"/>
          <w:szCs w:val="28"/>
          <w:highlight w:val="none"/>
        </w:rPr>
        <w:t>投标人须具备海洋测绘</w:t>
      </w:r>
      <w:r>
        <w:rPr>
          <w:rFonts w:hint="eastAsia" w:ascii="宋体" w:hAnsi="宋体" w:eastAsia="宋体" w:cs="宋体"/>
          <w:color w:val="auto"/>
          <w:sz w:val="28"/>
          <w:szCs w:val="28"/>
          <w:highlight w:val="none"/>
          <w:lang w:eastAsia="zh-CN"/>
        </w:rPr>
        <w:t>乙</w:t>
      </w:r>
      <w:r>
        <w:rPr>
          <w:rFonts w:hint="eastAsia" w:ascii="宋体" w:hAnsi="宋体" w:eastAsia="宋体" w:cs="宋体"/>
          <w:color w:val="auto"/>
          <w:sz w:val="28"/>
          <w:szCs w:val="28"/>
          <w:highlight w:val="none"/>
        </w:rPr>
        <w:t>级及以上资质证书</w:t>
      </w:r>
      <w:r>
        <w:rPr>
          <w:rFonts w:hint="eastAsia" w:ascii="宋体" w:hAnsi="宋体" w:eastAsia="宋体" w:cs="宋体"/>
          <w:color w:val="auto"/>
          <w:sz w:val="28"/>
          <w:szCs w:val="28"/>
          <w:highlight w:val="none"/>
          <w:lang w:eastAsia="zh-CN"/>
        </w:rPr>
        <w:t>；</w:t>
      </w:r>
    </w:p>
    <w:p w14:paraId="01E5E76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3.3</w:t>
      </w:r>
      <w:r>
        <w:rPr>
          <w:rFonts w:hint="eastAsia" w:ascii="宋体" w:hAnsi="宋体" w:eastAsia="宋体" w:cs="宋体"/>
          <w:color w:val="auto"/>
          <w:sz w:val="28"/>
          <w:szCs w:val="28"/>
          <w:highlight w:val="none"/>
        </w:rPr>
        <w:t>项目负责人具有海洋</w:t>
      </w:r>
      <w:r>
        <w:rPr>
          <w:rFonts w:hint="eastAsia" w:ascii="宋体" w:hAnsi="宋体" w:eastAsia="宋体" w:cs="宋体"/>
          <w:color w:val="auto"/>
          <w:sz w:val="28"/>
          <w:szCs w:val="28"/>
          <w:highlight w:val="none"/>
          <w:lang w:val="en-US" w:eastAsia="zh-CN"/>
        </w:rPr>
        <w:t>生态环境检测</w:t>
      </w:r>
      <w:r>
        <w:rPr>
          <w:rFonts w:hint="eastAsia" w:ascii="宋体" w:hAnsi="宋体" w:eastAsia="宋体" w:cs="宋体"/>
          <w:color w:val="auto"/>
          <w:sz w:val="28"/>
          <w:szCs w:val="28"/>
          <w:highlight w:val="none"/>
        </w:rPr>
        <w:t>相关专业副高</w:t>
      </w:r>
      <w:r>
        <w:rPr>
          <w:rFonts w:hint="eastAsia" w:ascii="宋体" w:hAnsi="宋体" w:eastAsia="宋体" w:cs="宋体"/>
          <w:color w:val="auto"/>
          <w:sz w:val="28"/>
          <w:szCs w:val="28"/>
          <w:highlight w:val="none"/>
          <w:lang w:val="en-US" w:eastAsia="zh-CN"/>
        </w:rPr>
        <w:t>及</w:t>
      </w:r>
      <w:r>
        <w:rPr>
          <w:rFonts w:hint="eastAsia" w:ascii="宋体" w:hAnsi="宋体" w:eastAsia="宋体" w:cs="宋体"/>
          <w:color w:val="auto"/>
          <w:sz w:val="28"/>
          <w:szCs w:val="28"/>
          <w:highlight w:val="none"/>
        </w:rPr>
        <w:t>以上职称证书；</w:t>
      </w:r>
    </w:p>
    <w:p w14:paraId="0669A49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相关专业包括</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海洋化学、</w:t>
      </w:r>
      <w:r>
        <w:rPr>
          <w:rFonts w:hint="eastAsia" w:ascii="宋体" w:hAnsi="宋体" w:eastAsia="宋体" w:cs="宋体"/>
          <w:color w:val="auto"/>
          <w:sz w:val="28"/>
          <w:szCs w:val="28"/>
          <w:highlight w:val="none"/>
          <w:lang w:val="en-US" w:eastAsia="zh-CN"/>
        </w:rPr>
        <w:t>海洋科学、</w:t>
      </w:r>
      <w:r>
        <w:rPr>
          <w:rFonts w:hint="eastAsia" w:ascii="宋体" w:hAnsi="宋体" w:eastAsia="宋体" w:cs="宋体"/>
          <w:color w:val="auto"/>
          <w:sz w:val="28"/>
          <w:szCs w:val="28"/>
          <w:highlight w:val="none"/>
        </w:rPr>
        <w:t>生物、</w:t>
      </w:r>
      <w:r>
        <w:rPr>
          <w:rFonts w:hint="eastAsia" w:ascii="宋体" w:hAnsi="宋体" w:eastAsia="宋体" w:cs="宋体"/>
          <w:color w:val="auto"/>
          <w:sz w:val="28"/>
          <w:szCs w:val="28"/>
          <w:highlight w:val="none"/>
          <w:lang w:val="en-US" w:eastAsia="zh-CN"/>
        </w:rPr>
        <w:t>生态学、</w:t>
      </w:r>
      <w:r>
        <w:rPr>
          <w:rFonts w:hint="eastAsia" w:ascii="宋体" w:hAnsi="宋体" w:eastAsia="宋体" w:cs="宋体"/>
          <w:color w:val="auto"/>
          <w:sz w:val="28"/>
          <w:szCs w:val="28"/>
          <w:highlight w:val="none"/>
        </w:rPr>
        <w:t>化学工程与工艺</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环境科学等。职称证书上未注明专业的，以职称评审表或学历证书专业为准。</w:t>
      </w:r>
    </w:p>
    <w:p w14:paraId="71E3D115">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注：投标人为</w:t>
      </w:r>
      <w:r>
        <w:rPr>
          <w:rFonts w:hint="eastAsia" w:ascii="宋体" w:hAnsi="宋体" w:eastAsia="宋体" w:cs="宋体"/>
          <w:color w:val="auto"/>
          <w:sz w:val="28"/>
          <w:szCs w:val="28"/>
          <w:highlight w:val="none"/>
        </w:rPr>
        <w:t>项目组人员</w:t>
      </w:r>
      <w:r>
        <w:rPr>
          <w:rFonts w:hint="eastAsia" w:ascii="宋体" w:hAnsi="宋体" w:eastAsia="宋体" w:cs="宋体"/>
          <w:color w:val="auto"/>
          <w:sz w:val="28"/>
          <w:szCs w:val="28"/>
          <w:highlight w:val="none"/>
          <w:lang w:val="en-US" w:eastAsia="zh-CN"/>
        </w:rPr>
        <w:t>缴纳的自投标截止时间前三个月的养老保险缴费证明（投标人如为成立不足三个月的新公司，可以提供最近一个月的养老保险缴费证明；成立不足一个月的新公司，可以不提交养老保险缴费证明）。</w:t>
      </w:r>
    </w:p>
    <w:p w14:paraId="63366CA4">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3.4</w:t>
      </w:r>
      <w:bookmarkStart w:id="4" w:name="_Hlk212714035"/>
      <w:r>
        <w:rPr>
          <w:rFonts w:hint="eastAsia" w:ascii="宋体" w:hAnsi="宋体" w:eastAsia="宋体" w:cs="宋体"/>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p>
    <w:p w14:paraId="27418D5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三、获取招标文件</w:t>
      </w:r>
    </w:p>
    <w:p w14:paraId="429A42F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时间：自本公告发布之日起5个工作日</w:t>
      </w:r>
    </w:p>
    <w:p w14:paraId="2076CE6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地点：江苏政府采购网（网上注册登记成功后系统内免费下载）</w:t>
      </w:r>
    </w:p>
    <w:p w14:paraId="237A2DD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方式：本项目采用网上注册登记方式。</w:t>
      </w:r>
    </w:p>
    <w:p w14:paraId="0C10FB4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64C78C7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2.潜在供应商访问“苏采云”系统的网络地址和方法：“苏采云”系统的网址：http://jszfcg.jsczt.cn/。</w:t>
      </w:r>
    </w:p>
    <w:p w14:paraId="558FB97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72685EB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4.采购文件（后缀名为“.kedt”）、供应商操作指南及政府采购客户端工具可通过“苏采云”系统－已报名项目－报名详情页面内相应链接进行下载。</w:t>
      </w:r>
    </w:p>
    <w:p w14:paraId="2A27A3D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5.招标代理机构（采购代理机构）将数据电文形式的采购文件加载至“苏采云”系统，供潜在供应商下载或者查阅。</w:t>
      </w:r>
    </w:p>
    <w:p w14:paraId="5A7B655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6.请潜在投标单位提前安装相应的控件（详见《江苏省政府采购管理交易系统（苏采云）供应商操作指南》）并使用谷歌浏览器登录“苏采云”系统参与不见面开评标。</w:t>
      </w:r>
    </w:p>
    <w:p w14:paraId="5219EBB8">
      <w:pPr>
        <w:adjustRightInd w:val="0"/>
        <w:snapToGrid w:val="0"/>
        <w:spacing w:line="50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注：如潜在供应商未按上述要求操作，将自行承担所产生的风险。</w:t>
      </w:r>
    </w:p>
    <w:p w14:paraId="0F40A74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四、提交投标文件截止时间、开标时间和地点</w:t>
      </w:r>
    </w:p>
    <w:p w14:paraId="53FD8ECB">
      <w:pPr>
        <w:adjustRightInd w:val="0"/>
        <w:snapToGrid w:val="0"/>
        <w:spacing w:line="500" w:lineRule="exact"/>
        <w:ind w:firstLine="560" w:firstLineChars="200"/>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11</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16</w:t>
      </w:r>
      <w:bookmarkStart w:id="131" w:name="_GoBack"/>
      <w:bookmarkEnd w:id="131"/>
      <w:r>
        <w:rPr>
          <w:rFonts w:hint="eastAsia" w:ascii="宋体" w:hAnsi="宋体" w:eastAsia="宋体" w:cs="宋体"/>
          <w:color w:val="auto"/>
          <w:sz w:val="28"/>
          <w:szCs w:val="28"/>
          <w:highlight w:val="none"/>
        </w:rPr>
        <w:t>日9点00分（北京时间）</w:t>
      </w:r>
    </w:p>
    <w:p w14:paraId="6BCA66F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逾时，交易系统将拒绝接受上传投标文件电子文档。</w:t>
      </w:r>
    </w:p>
    <w:p w14:paraId="4B977C9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地点：各供应商请关注开标大厅交流区，在开标结束后，请勿离开开标大厅。</w:t>
      </w:r>
    </w:p>
    <w:p w14:paraId="421D3A2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2.线上开标地点：“苏采云”系统（网址：http://jszfcg.jsczt.cn/）“开标大厅”。</w:t>
      </w:r>
    </w:p>
    <w:p w14:paraId="0A5F7DD1">
      <w:pPr>
        <w:adjustRightInd w:val="0"/>
        <w:snapToGrid w:val="0"/>
        <w:spacing w:line="500" w:lineRule="exact"/>
        <w:ind w:firstLine="560" w:firstLineChars="200"/>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91DEE4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五、公告期限</w:t>
      </w:r>
    </w:p>
    <w:p w14:paraId="7A5062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自本公告发布之日起5个工作日。</w:t>
      </w:r>
    </w:p>
    <w:p w14:paraId="48140B03">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六、其他补充事宜</w:t>
      </w:r>
    </w:p>
    <w:p w14:paraId="3453EDA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1.投标保证金：免收</w:t>
      </w:r>
    </w:p>
    <w:p w14:paraId="35755D6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2.项目开标活动模式：不见面远程开标模式，投标人在各自地点通过“苏采云”系统参加开标会。</w:t>
      </w:r>
    </w:p>
    <w:p w14:paraId="3EED1C7D">
      <w:pPr>
        <w:adjustRightInd w:val="0"/>
        <w:snapToGrid w:val="0"/>
        <w:spacing w:line="500" w:lineRule="exact"/>
        <w:ind w:firstLine="560" w:firstLineChars="200"/>
        <w:rPr>
          <w:rFonts w:hint="eastAsia" w:ascii="宋体" w:hAnsi="宋体"/>
          <w:sz w:val="28"/>
          <w:szCs w:val="28"/>
        </w:rPr>
      </w:pPr>
      <w:r>
        <w:rPr>
          <w:rFonts w:hint="eastAsia" w:ascii="宋体" w:hAnsi="宋体" w:eastAsia="宋体" w:cs="宋体"/>
          <w:color w:val="auto"/>
          <w:sz w:val="28"/>
          <w:szCs w:val="28"/>
          <w:highlight w:val="none"/>
        </w:rPr>
        <w:t>3.项目演示、样品、答辩等：</w:t>
      </w:r>
      <w:r>
        <w:rPr>
          <w:rFonts w:ascii="宋体" w:hAnsi="宋体"/>
          <w:sz w:val="28"/>
          <w:szCs w:val="28"/>
        </w:rPr>
        <w:t>无</w:t>
      </w:r>
      <w:r>
        <w:rPr>
          <w:rFonts w:hint="eastAsia" w:ascii="宋体" w:hAnsi="宋体"/>
          <w:sz w:val="28"/>
          <w:szCs w:val="28"/>
        </w:rPr>
        <w:t>。</w:t>
      </w:r>
    </w:p>
    <w:p w14:paraId="4545ACE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3D9DDDA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18E766B7">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七、本次招标联系方式</w:t>
      </w:r>
    </w:p>
    <w:p w14:paraId="52EEBC3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1.采购人</w:t>
      </w:r>
    </w:p>
    <w:p w14:paraId="29176798">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名  称：</w:t>
      </w:r>
      <w:r>
        <w:rPr>
          <w:rFonts w:hint="eastAsia" w:ascii="宋体" w:hAnsi="宋体" w:cs="宋体"/>
          <w:color w:val="auto"/>
          <w:sz w:val="28"/>
          <w:szCs w:val="28"/>
          <w:highlight w:val="none"/>
          <w:lang w:val="en-US" w:eastAsia="zh-CN"/>
        </w:rPr>
        <w:t>江苏启东吕四港经济开发区管理委员会</w:t>
      </w:r>
      <w:r>
        <w:rPr>
          <w:rFonts w:hint="eastAsia" w:ascii="宋体" w:hAnsi="宋体" w:eastAsia="宋体" w:cs="宋体"/>
          <w:color w:val="auto"/>
          <w:sz w:val="28"/>
          <w:szCs w:val="28"/>
          <w:highlight w:val="none"/>
          <w:lang w:eastAsia="zh-CN"/>
        </w:rPr>
        <w:t>　　　　</w:t>
      </w:r>
    </w:p>
    <w:p w14:paraId="4EBEA1E8">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地址：启东市吕四港镇通江大道99号</w:t>
      </w:r>
    </w:p>
    <w:p w14:paraId="6124D632">
      <w:pPr>
        <w:adjustRightInd w:val="0"/>
        <w:snapToGrid w:val="0"/>
        <w:spacing w:line="500" w:lineRule="exact"/>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联系人：竺青青　　　　　　　　　　</w:t>
      </w:r>
    </w:p>
    <w:p w14:paraId="55BC0F74">
      <w:pPr>
        <w:adjustRightInd w:val="0"/>
        <w:snapToGrid w:val="0"/>
        <w:spacing w:line="500" w:lineRule="exact"/>
        <w:ind w:firstLine="560" w:firstLineChars="200"/>
        <w:rPr>
          <w:rFonts w:hint="default" w:ascii="宋体" w:hAnsi="宋体"/>
          <w:sz w:val="28"/>
          <w:szCs w:val="28"/>
          <w:lang w:val="en-US"/>
        </w:rPr>
      </w:pPr>
      <w:r>
        <w:rPr>
          <w:rFonts w:hint="eastAsia" w:ascii="宋体" w:hAnsi="宋体" w:eastAsia="宋体" w:cs="宋体"/>
          <w:sz w:val="28"/>
          <w:szCs w:val="28"/>
          <w:highlight w:val="none"/>
          <w:lang w:val="en-US" w:eastAsia="zh-CN"/>
        </w:rPr>
        <w:t>联系方式：</w:t>
      </w:r>
      <w:r>
        <w:rPr>
          <w:rFonts w:hint="eastAsia" w:ascii="宋体" w:hAnsi="宋体" w:cs="宋体"/>
          <w:sz w:val="28"/>
          <w:szCs w:val="28"/>
          <w:highlight w:val="none"/>
          <w:lang w:val="en-US" w:eastAsia="zh-CN"/>
        </w:rPr>
        <w:t>0513-83108016</w:t>
      </w:r>
    </w:p>
    <w:p w14:paraId="18AE7FB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2.采购代理机构</w:t>
      </w:r>
    </w:p>
    <w:p w14:paraId="73A12DD1">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lang w:eastAsia="zh-CN"/>
        </w:rPr>
        <w:t>江苏天宏华信工程投资管理咨询有限公司</w:t>
      </w:r>
    </w:p>
    <w:p w14:paraId="3BFF25E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址：启东市南苑西路1168号国动产业园2号楼402室</w:t>
      </w:r>
    </w:p>
    <w:p w14:paraId="7EB36380">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highlight w:val="none"/>
          <w:lang w:val="en-US" w:eastAsia="zh-CN"/>
        </w:rPr>
        <w:t>徐海燕</w:t>
      </w:r>
    </w:p>
    <w:p w14:paraId="3E1A2DD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联系方式：0513-83248588</w:t>
      </w:r>
    </w:p>
    <w:p w14:paraId="7D754CC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3.软件技术支持</w:t>
      </w:r>
    </w:p>
    <w:p w14:paraId="1F414FC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交易系统软件维护人员：0519-86722801、0519-86722806</w:t>
      </w:r>
    </w:p>
    <w:p w14:paraId="273B6B97">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2F4A5511">
      <w:pPr>
        <w:pStyle w:val="18"/>
        <w:rPr>
          <w:rFonts w:hint="eastAsia" w:ascii="宋体" w:hAnsi="宋体" w:eastAsia="宋体" w:cs="宋体"/>
          <w:bCs/>
          <w:color w:val="auto"/>
          <w:sz w:val="36"/>
          <w:szCs w:val="36"/>
          <w:highlight w:val="none"/>
        </w:rPr>
      </w:pPr>
    </w:p>
    <w:p w14:paraId="3CA4D8B2">
      <w:pPr>
        <w:pStyle w:val="18"/>
        <w:rPr>
          <w:rFonts w:hint="eastAsia" w:ascii="宋体" w:hAnsi="宋体" w:eastAsia="宋体" w:cs="宋体"/>
          <w:bCs/>
          <w:color w:val="auto"/>
          <w:sz w:val="36"/>
          <w:szCs w:val="36"/>
          <w:highlight w:val="none"/>
        </w:rPr>
      </w:pPr>
    </w:p>
    <w:p w14:paraId="45B0056E">
      <w:pPr>
        <w:pStyle w:val="18"/>
        <w:rPr>
          <w:rFonts w:hint="eastAsia" w:ascii="宋体" w:hAnsi="宋体" w:eastAsia="宋体" w:cs="宋体"/>
          <w:bCs/>
          <w:color w:val="auto"/>
          <w:sz w:val="36"/>
          <w:szCs w:val="36"/>
          <w:highlight w:val="none"/>
        </w:rPr>
      </w:pPr>
    </w:p>
    <w:p w14:paraId="355C57AE">
      <w:pPr>
        <w:pStyle w:val="18"/>
        <w:rPr>
          <w:rFonts w:hint="eastAsia" w:ascii="宋体" w:hAnsi="宋体" w:eastAsia="宋体" w:cs="宋体"/>
          <w:bCs/>
          <w:color w:val="auto"/>
          <w:sz w:val="36"/>
          <w:szCs w:val="36"/>
          <w:highlight w:val="none"/>
        </w:rPr>
      </w:pPr>
    </w:p>
    <w:p w14:paraId="35771C23">
      <w:pPr>
        <w:pStyle w:val="18"/>
        <w:rPr>
          <w:rFonts w:hint="eastAsia" w:ascii="宋体" w:hAnsi="宋体" w:eastAsia="宋体" w:cs="宋体"/>
          <w:bCs/>
          <w:color w:val="auto"/>
          <w:sz w:val="36"/>
          <w:szCs w:val="36"/>
          <w:highlight w:val="none"/>
        </w:rPr>
      </w:pPr>
    </w:p>
    <w:p w14:paraId="3B5889CE">
      <w:pPr>
        <w:pStyle w:val="18"/>
        <w:rPr>
          <w:rFonts w:hint="eastAsia" w:ascii="宋体" w:hAnsi="宋体" w:eastAsia="宋体" w:cs="宋体"/>
          <w:bCs/>
          <w:color w:val="auto"/>
          <w:sz w:val="36"/>
          <w:szCs w:val="36"/>
          <w:highlight w:val="none"/>
        </w:rPr>
      </w:pPr>
    </w:p>
    <w:p w14:paraId="29042DD1">
      <w:pPr>
        <w:pStyle w:val="18"/>
        <w:rPr>
          <w:rFonts w:hint="eastAsia" w:ascii="宋体" w:hAnsi="宋体" w:eastAsia="宋体" w:cs="宋体"/>
          <w:bCs/>
          <w:color w:val="auto"/>
          <w:sz w:val="36"/>
          <w:szCs w:val="36"/>
          <w:highlight w:val="none"/>
        </w:rPr>
      </w:pPr>
    </w:p>
    <w:p w14:paraId="60AB063A">
      <w:pPr>
        <w:pStyle w:val="18"/>
        <w:rPr>
          <w:rFonts w:hint="eastAsia" w:ascii="宋体" w:hAnsi="宋体" w:eastAsia="宋体" w:cs="宋体"/>
          <w:bCs/>
          <w:color w:val="auto"/>
          <w:sz w:val="36"/>
          <w:szCs w:val="36"/>
          <w:highlight w:val="none"/>
        </w:rPr>
      </w:pPr>
    </w:p>
    <w:p w14:paraId="175BF541">
      <w:pPr>
        <w:pStyle w:val="18"/>
        <w:rPr>
          <w:rFonts w:hint="eastAsia" w:ascii="宋体" w:hAnsi="宋体" w:eastAsia="宋体" w:cs="宋体"/>
          <w:bCs/>
          <w:color w:val="auto"/>
          <w:sz w:val="36"/>
          <w:szCs w:val="36"/>
          <w:highlight w:val="none"/>
        </w:rPr>
      </w:pPr>
    </w:p>
    <w:p w14:paraId="6F741E08">
      <w:pPr>
        <w:pStyle w:val="18"/>
        <w:rPr>
          <w:rFonts w:hint="eastAsia" w:ascii="宋体" w:hAnsi="宋体" w:eastAsia="宋体" w:cs="宋体"/>
          <w:bCs/>
          <w:color w:val="auto"/>
          <w:sz w:val="36"/>
          <w:szCs w:val="36"/>
          <w:highlight w:val="none"/>
        </w:rPr>
      </w:pPr>
    </w:p>
    <w:p w14:paraId="5098E37B">
      <w:pPr>
        <w:pStyle w:val="18"/>
        <w:rPr>
          <w:rFonts w:hint="eastAsia" w:ascii="宋体" w:hAnsi="宋体" w:eastAsia="宋体" w:cs="宋体"/>
          <w:bCs/>
          <w:color w:val="auto"/>
          <w:sz w:val="36"/>
          <w:szCs w:val="36"/>
          <w:highlight w:val="none"/>
        </w:rPr>
      </w:pPr>
    </w:p>
    <w:p w14:paraId="336492D0">
      <w:pPr>
        <w:pStyle w:val="18"/>
        <w:rPr>
          <w:rFonts w:hint="eastAsia" w:ascii="宋体" w:hAnsi="宋体" w:eastAsia="宋体" w:cs="宋体"/>
          <w:bCs/>
          <w:color w:val="auto"/>
          <w:sz w:val="36"/>
          <w:szCs w:val="36"/>
          <w:highlight w:val="none"/>
        </w:rPr>
      </w:pPr>
    </w:p>
    <w:p w14:paraId="12620C2E">
      <w:pPr>
        <w:pStyle w:val="18"/>
        <w:rPr>
          <w:rFonts w:hint="eastAsia" w:ascii="宋体" w:hAnsi="宋体" w:eastAsia="宋体" w:cs="宋体"/>
          <w:bCs/>
          <w:color w:val="auto"/>
          <w:sz w:val="36"/>
          <w:szCs w:val="36"/>
          <w:highlight w:val="none"/>
        </w:rPr>
      </w:pPr>
    </w:p>
    <w:p w14:paraId="6D7E334C">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0753A322">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3A97EE8E">
      <w:pPr>
        <w:adjustRightInd w:val="0"/>
        <w:snapToGrid w:val="0"/>
        <w:spacing w:line="500" w:lineRule="exact"/>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第二部分  投标须知</w:t>
      </w:r>
    </w:p>
    <w:p w14:paraId="521E00D5">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5" w:name="_Toc20823275"/>
      <w:bookmarkStart w:id="6" w:name="_Toc16938519"/>
      <w:bookmarkStart w:id="7" w:name="_Toc513029203"/>
      <w:bookmarkStart w:id="8" w:name="_Toc120614214"/>
      <w:r>
        <w:rPr>
          <w:rFonts w:hint="eastAsia" w:ascii="宋体" w:hAnsi="宋体" w:eastAsia="宋体" w:cs="宋体"/>
          <w:bCs/>
          <w:color w:val="auto"/>
          <w:sz w:val="28"/>
          <w:szCs w:val="28"/>
          <w:highlight w:val="none"/>
        </w:rPr>
        <w:t>一、总则</w:t>
      </w:r>
      <w:bookmarkEnd w:id="5"/>
      <w:bookmarkEnd w:id="6"/>
      <w:bookmarkEnd w:id="7"/>
      <w:bookmarkEnd w:id="8"/>
    </w:p>
    <w:p w14:paraId="6734C0B8">
      <w:pPr>
        <w:pStyle w:val="3"/>
        <w:adjustRightInd w:val="0"/>
        <w:snapToGrid w:val="0"/>
        <w:spacing w:line="500" w:lineRule="exact"/>
        <w:ind w:firstLine="560" w:firstLineChars="200"/>
        <w:jc w:val="both"/>
        <w:rPr>
          <w:rFonts w:hint="eastAsia" w:ascii="宋体" w:hAnsi="宋体" w:eastAsia="宋体" w:cs="宋体"/>
          <w:b/>
          <w:bCs/>
          <w:color w:val="auto"/>
          <w:sz w:val="28"/>
          <w:szCs w:val="28"/>
          <w:highlight w:val="none"/>
        </w:rPr>
      </w:pPr>
      <w:bookmarkStart w:id="9" w:name="_Hlt16619475"/>
      <w:bookmarkEnd w:id="9"/>
      <w:bookmarkStart w:id="10" w:name="_Toc458694821"/>
      <w:bookmarkStart w:id="11" w:name="_Toc16938520"/>
      <w:bookmarkStart w:id="12" w:name="_Toc20823276"/>
      <w:bookmarkStart w:id="13" w:name="_Toc513029204"/>
      <w:r>
        <w:rPr>
          <w:rFonts w:hint="eastAsia" w:ascii="宋体" w:hAnsi="宋体" w:eastAsia="宋体" w:cs="宋体"/>
          <w:color w:val="auto"/>
          <w:sz w:val="28"/>
          <w:szCs w:val="28"/>
          <w:highlight w:val="none"/>
        </w:rPr>
        <w:t>1</w:t>
      </w:r>
      <w:bookmarkEnd w:id="10"/>
      <w:r>
        <w:rPr>
          <w:rFonts w:hint="eastAsia" w:ascii="宋体" w:hAnsi="宋体" w:eastAsia="宋体" w:cs="宋体"/>
          <w:color w:val="auto"/>
          <w:sz w:val="28"/>
          <w:szCs w:val="28"/>
          <w:highlight w:val="none"/>
        </w:rPr>
        <w:t>.招标方式</w:t>
      </w:r>
      <w:bookmarkEnd w:id="11"/>
      <w:bookmarkEnd w:id="12"/>
      <w:bookmarkEnd w:id="13"/>
    </w:p>
    <w:p w14:paraId="0F063EA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1.1本次招标采取公开招标方式，本招标文件仅适用于招标公告中所述项目。</w:t>
      </w:r>
    </w:p>
    <w:p w14:paraId="7FCC9C42">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14" w:name="_Toc513029205"/>
      <w:bookmarkStart w:id="15" w:name="_Toc20823277"/>
      <w:bookmarkStart w:id="16" w:name="_Toc16938521"/>
      <w:r>
        <w:rPr>
          <w:rFonts w:hint="eastAsia" w:ascii="宋体" w:hAnsi="宋体" w:eastAsia="宋体" w:cs="宋体"/>
          <w:color w:val="auto"/>
          <w:sz w:val="28"/>
          <w:szCs w:val="28"/>
          <w:highlight w:val="none"/>
        </w:rPr>
        <w:t>2.合格的投标人</w:t>
      </w:r>
      <w:bookmarkEnd w:id="14"/>
      <w:bookmarkEnd w:id="15"/>
      <w:bookmarkEnd w:id="16"/>
    </w:p>
    <w:p w14:paraId="10744B2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2.1满足招标公告中供应商的资格要求的规定。</w:t>
      </w:r>
    </w:p>
    <w:p w14:paraId="232637C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2.2满足本文件实质性条款的规定。</w:t>
      </w:r>
    </w:p>
    <w:p w14:paraId="149303A1">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17" w:name="_Toc513029206"/>
      <w:bookmarkStart w:id="18" w:name="_Toc20823278"/>
      <w:bookmarkStart w:id="19" w:name="_Toc16938522"/>
      <w:r>
        <w:rPr>
          <w:rFonts w:hint="eastAsia" w:ascii="宋体" w:hAnsi="宋体" w:eastAsia="宋体" w:cs="宋体"/>
          <w:color w:val="auto"/>
          <w:sz w:val="28"/>
          <w:szCs w:val="28"/>
          <w:highlight w:val="none"/>
        </w:rPr>
        <w:t>3.适用法律</w:t>
      </w:r>
      <w:bookmarkEnd w:id="17"/>
      <w:bookmarkEnd w:id="18"/>
      <w:bookmarkEnd w:id="19"/>
    </w:p>
    <w:p w14:paraId="2C529379">
      <w:pPr>
        <w:adjustRightInd w:val="0"/>
        <w:snapToGrid w:val="0"/>
        <w:spacing w:line="500" w:lineRule="exact"/>
        <w:ind w:firstLine="490" w:firstLineChars="17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3.1本次招标及由此产生的合同受中华人民共和国有关的法律法规制约和保护。</w:t>
      </w:r>
    </w:p>
    <w:p w14:paraId="176FB6E0">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20" w:name="_Toc462564067"/>
      <w:bookmarkStart w:id="21" w:name="_Toc16938523"/>
      <w:bookmarkStart w:id="22" w:name="_Toc20823279"/>
      <w:bookmarkStart w:id="23" w:name="_Toc513029207"/>
      <w:r>
        <w:rPr>
          <w:rFonts w:hint="eastAsia" w:ascii="宋体" w:hAnsi="宋体" w:eastAsia="宋体" w:cs="宋体"/>
          <w:color w:val="auto"/>
          <w:sz w:val="28"/>
          <w:szCs w:val="28"/>
          <w:highlight w:val="none"/>
        </w:rPr>
        <w:t>4.投标费用</w:t>
      </w:r>
      <w:bookmarkEnd w:id="20"/>
      <w:bookmarkEnd w:id="21"/>
      <w:bookmarkEnd w:id="22"/>
      <w:bookmarkEnd w:id="23"/>
    </w:p>
    <w:p w14:paraId="6A09521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4.1</w:t>
      </w:r>
      <w:r>
        <w:rPr>
          <w:rFonts w:hint="eastAsia" w:ascii="宋体" w:hAnsi="宋体" w:eastAsia="宋体" w:cs="宋体"/>
          <w:color w:val="auto"/>
          <w:sz w:val="28"/>
          <w:szCs w:val="28"/>
          <w:highlight w:val="none"/>
        </w:rPr>
        <w:t>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在任何情况下均无义务和责任承担这些费用。</w:t>
      </w:r>
    </w:p>
    <w:p w14:paraId="446E0C8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w:t>
      </w:r>
      <w:r>
        <w:rPr>
          <w:rFonts w:ascii="宋体" w:hAnsi="宋体"/>
          <w:sz w:val="28"/>
          <w:szCs w:val="28"/>
        </w:rPr>
        <w:t>本次招标采购人不收取标书工本费。</w:t>
      </w:r>
    </w:p>
    <w:p w14:paraId="50319C82">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5.招标文件的约束力</w:t>
      </w:r>
    </w:p>
    <w:p w14:paraId="274AC8C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5.1</w:t>
      </w:r>
      <w:r>
        <w:rPr>
          <w:rFonts w:hint="eastAsia" w:ascii="宋体" w:hAnsi="宋体" w:eastAsia="宋体" w:cs="宋体"/>
          <w:color w:val="auto"/>
          <w:sz w:val="28"/>
          <w:szCs w:val="28"/>
          <w:highlight w:val="none"/>
        </w:rPr>
        <w:t>投标人一旦参加本项目采购活动，即被认为接受了本招标文件的规定和约束。</w:t>
      </w:r>
    </w:p>
    <w:p w14:paraId="1C3EF37E">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0832872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6.1</w:t>
      </w:r>
      <w:r>
        <w:rPr>
          <w:rFonts w:hint="eastAsia" w:ascii="宋体" w:hAnsi="宋体" w:eastAsia="宋体" w:cs="宋体"/>
          <w:color w:val="auto"/>
          <w:sz w:val="28"/>
          <w:szCs w:val="28"/>
          <w:highlight w:val="none"/>
        </w:rPr>
        <w:t>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解释。</w:t>
      </w:r>
    </w:p>
    <w:p w14:paraId="04F88498">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24" w:name="_Toc120614215"/>
      <w:bookmarkStart w:id="25" w:name="_Toc513029209"/>
      <w:bookmarkStart w:id="26" w:name="_Toc20823281"/>
      <w:bookmarkStart w:id="27" w:name="_Toc16938525"/>
      <w:r>
        <w:rPr>
          <w:rFonts w:hint="eastAsia" w:ascii="宋体" w:hAnsi="宋体" w:eastAsia="宋体" w:cs="宋体"/>
          <w:bCs/>
          <w:color w:val="auto"/>
          <w:sz w:val="28"/>
          <w:szCs w:val="28"/>
          <w:highlight w:val="none"/>
        </w:rPr>
        <w:t>二、招标文件</w:t>
      </w:r>
      <w:bookmarkEnd w:id="24"/>
      <w:bookmarkEnd w:id="25"/>
      <w:bookmarkEnd w:id="26"/>
      <w:bookmarkEnd w:id="27"/>
    </w:p>
    <w:p w14:paraId="7BC711E2">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28" w:name="_Toc513029210"/>
      <w:bookmarkStart w:id="29" w:name="_Toc20823282"/>
      <w:bookmarkStart w:id="30" w:name="_Toc16938526"/>
      <w:r>
        <w:rPr>
          <w:rFonts w:hint="eastAsia" w:ascii="宋体" w:hAnsi="宋体" w:eastAsia="宋体" w:cs="宋体"/>
          <w:color w:val="auto"/>
          <w:sz w:val="28"/>
          <w:szCs w:val="28"/>
          <w:highlight w:val="none"/>
        </w:rPr>
        <w:t>1.招标文件构成</w:t>
      </w:r>
      <w:bookmarkEnd w:id="28"/>
      <w:bookmarkEnd w:id="29"/>
      <w:bookmarkEnd w:id="30"/>
    </w:p>
    <w:p w14:paraId="7B1AB4A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招标文件由以下部分组成：</w:t>
      </w:r>
    </w:p>
    <w:p w14:paraId="6B5ADDDE">
      <w:pPr>
        <w:adjustRightInd w:val="0"/>
        <w:snapToGrid w:val="0"/>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（1）投标邀请</w:t>
      </w:r>
    </w:p>
    <w:p w14:paraId="23072414">
      <w:pPr>
        <w:adjustRightInd w:val="0"/>
        <w:snapToGrid w:val="0"/>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（2）投标须知</w:t>
      </w:r>
    </w:p>
    <w:p w14:paraId="621ED91C">
      <w:pPr>
        <w:adjustRightInd w:val="0"/>
        <w:snapToGrid w:val="0"/>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（3）项目需求</w:t>
      </w:r>
    </w:p>
    <w:p w14:paraId="713445B2">
      <w:pPr>
        <w:adjustRightInd w:val="0"/>
        <w:snapToGrid w:val="0"/>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（4）开标和评标</w:t>
      </w:r>
    </w:p>
    <w:p w14:paraId="581C5A82">
      <w:pPr>
        <w:adjustRightInd w:val="0"/>
        <w:snapToGrid w:val="0"/>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（5）投标文件格式</w:t>
      </w:r>
    </w:p>
    <w:p w14:paraId="13C95408">
      <w:pPr>
        <w:adjustRightInd w:val="0"/>
        <w:snapToGrid w:val="0"/>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（6）附件（如有）</w:t>
      </w:r>
    </w:p>
    <w:p w14:paraId="7934509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请仔细检查招标文件是否齐全，如有缺漏请立即与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联系解决。</w:t>
      </w:r>
    </w:p>
    <w:p w14:paraId="29B57C6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65A9BB">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31" w:name="_Toc513029211"/>
      <w:bookmarkStart w:id="32" w:name="_Toc462564070"/>
      <w:bookmarkStart w:id="33" w:name="_Toc16938527"/>
      <w:bookmarkStart w:id="34" w:name="_Toc20823283"/>
      <w:r>
        <w:rPr>
          <w:rFonts w:hint="eastAsia" w:ascii="宋体" w:hAnsi="宋体" w:eastAsia="宋体" w:cs="宋体"/>
          <w:color w:val="auto"/>
          <w:sz w:val="28"/>
          <w:szCs w:val="28"/>
          <w:highlight w:val="none"/>
        </w:rPr>
        <w:t>2.招标文件的澄清</w:t>
      </w:r>
      <w:bookmarkEnd w:id="31"/>
      <w:bookmarkEnd w:id="32"/>
      <w:bookmarkEnd w:id="33"/>
      <w:bookmarkEnd w:id="34"/>
    </w:p>
    <w:p w14:paraId="0CB3BEE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2.1</w:t>
      </w:r>
      <w:r>
        <w:rPr>
          <w:rFonts w:hint="eastAsia" w:ascii="宋体" w:hAnsi="宋体" w:eastAsia="宋体" w:cs="宋体"/>
          <w:color w:val="auto"/>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150936C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2.2采购人视情组织答疑会</w:t>
      </w:r>
    </w:p>
    <w:p w14:paraId="0CC7FECB">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35" w:name="_Toc462564071"/>
      <w:bookmarkStart w:id="36" w:name="_Toc513029212"/>
      <w:bookmarkStart w:id="37" w:name="_Toc16938528"/>
      <w:bookmarkStart w:id="38" w:name="_Toc20823284"/>
      <w:r>
        <w:rPr>
          <w:rFonts w:hint="eastAsia" w:ascii="宋体" w:hAnsi="宋体" w:eastAsia="宋体" w:cs="宋体"/>
          <w:color w:val="auto"/>
          <w:sz w:val="28"/>
          <w:szCs w:val="28"/>
          <w:highlight w:val="none"/>
        </w:rPr>
        <w:t>3.招标文件的修改</w:t>
      </w:r>
      <w:bookmarkEnd w:id="35"/>
      <w:bookmarkEnd w:id="36"/>
      <w:bookmarkEnd w:id="37"/>
      <w:bookmarkEnd w:id="38"/>
    </w:p>
    <w:p w14:paraId="12B1E4B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在投标截止时间前，</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可以对招标文件进行修改。</w:t>
      </w:r>
    </w:p>
    <w:p w14:paraId="7E32671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3.2</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color w:val="auto"/>
          <w:sz w:val="28"/>
          <w:szCs w:val="28"/>
          <w:highlight w:val="none"/>
        </w:rPr>
        <w:t>有权按照法定的要求推迟投标截止日期和开标日期。</w:t>
      </w:r>
    </w:p>
    <w:p w14:paraId="4691E49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3.3</w:t>
      </w:r>
      <w:r>
        <w:rPr>
          <w:rFonts w:hint="eastAsia" w:ascii="宋体" w:hAnsi="宋体" w:eastAsia="宋体" w:cs="宋体"/>
          <w:color w:val="auto"/>
          <w:sz w:val="28"/>
          <w:szCs w:val="28"/>
          <w:highlight w:val="none"/>
        </w:rPr>
        <w:t>招标文件的修改将在江苏政府采购网公布，补充文件将作为招标文件的组成部分，并对投标人具有约束力。</w:t>
      </w:r>
    </w:p>
    <w:p w14:paraId="5AE6FD2D">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39" w:name="_Toc513029213"/>
      <w:bookmarkStart w:id="40" w:name="_Toc462564072"/>
      <w:bookmarkStart w:id="41" w:name="_Toc16938529"/>
      <w:bookmarkStart w:id="42" w:name="_Toc20823285"/>
      <w:bookmarkStart w:id="43" w:name="_Toc120614216"/>
      <w:r>
        <w:rPr>
          <w:rFonts w:hint="eastAsia" w:ascii="宋体" w:hAnsi="宋体" w:eastAsia="宋体" w:cs="宋体"/>
          <w:bCs/>
          <w:color w:val="auto"/>
          <w:sz w:val="28"/>
          <w:szCs w:val="28"/>
          <w:highlight w:val="none"/>
        </w:rPr>
        <w:t>三、投标文件的编制</w:t>
      </w:r>
      <w:bookmarkEnd w:id="39"/>
      <w:bookmarkEnd w:id="40"/>
      <w:bookmarkEnd w:id="41"/>
      <w:bookmarkEnd w:id="42"/>
      <w:bookmarkEnd w:id="43"/>
    </w:p>
    <w:p w14:paraId="40816056">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44" w:name="_Toc513029214"/>
      <w:bookmarkStart w:id="45" w:name="_Toc20823286"/>
      <w:bookmarkStart w:id="46" w:name="_Toc462564073"/>
      <w:bookmarkStart w:id="47" w:name="_Toc16938530"/>
      <w:r>
        <w:rPr>
          <w:rFonts w:hint="eastAsia" w:ascii="宋体" w:hAnsi="宋体" w:eastAsia="宋体" w:cs="宋体"/>
          <w:color w:val="auto"/>
          <w:sz w:val="28"/>
          <w:szCs w:val="28"/>
          <w:highlight w:val="none"/>
        </w:rPr>
        <w:t>1.投标文件的语言及度量衡单位</w:t>
      </w:r>
      <w:bookmarkEnd w:id="44"/>
      <w:bookmarkEnd w:id="45"/>
      <w:bookmarkEnd w:id="46"/>
      <w:bookmarkEnd w:id="47"/>
    </w:p>
    <w:p w14:paraId="0BB92D8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投标人提交的投标文件以及投标人与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就有关投标的所有来往通知、函件和文件均应使用</w:t>
      </w:r>
      <w:r>
        <w:rPr>
          <w:rFonts w:hint="eastAsia" w:ascii="宋体" w:hAnsi="宋体" w:eastAsia="宋体" w:cs="宋体"/>
          <w:bCs/>
          <w:color w:val="auto"/>
          <w:sz w:val="28"/>
          <w:szCs w:val="28"/>
          <w:highlight w:val="none"/>
        </w:rPr>
        <w:t>简体中文</w:t>
      </w:r>
      <w:r>
        <w:rPr>
          <w:rFonts w:hint="eastAsia" w:ascii="宋体" w:hAnsi="宋体" w:eastAsia="宋体" w:cs="宋体"/>
          <w:color w:val="auto"/>
          <w:sz w:val="28"/>
          <w:szCs w:val="28"/>
          <w:highlight w:val="none"/>
        </w:rPr>
        <w:t>。</w:t>
      </w:r>
    </w:p>
    <w:p w14:paraId="75046D8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除技术性能另有规定外，投标文件所使用的度量衡单位，均须采用国家法定计量单位。</w:t>
      </w:r>
    </w:p>
    <w:p w14:paraId="3D3F65A7">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48" w:name="_Toc462564074"/>
      <w:bookmarkStart w:id="49" w:name="_Toc20823287"/>
      <w:bookmarkStart w:id="50" w:name="_Toc16938531"/>
      <w:bookmarkStart w:id="51" w:name="_Toc513029215"/>
      <w:r>
        <w:rPr>
          <w:rFonts w:hint="eastAsia" w:ascii="宋体" w:hAnsi="宋体" w:eastAsia="宋体" w:cs="宋体"/>
          <w:color w:val="auto"/>
          <w:sz w:val="28"/>
          <w:szCs w:val="28"/>
          <w:highlight w:val="none"/>
        </w:rPr>
        <w:t>2.投标文件构成</w:t>
      </w:r>
      <w:bookmarkEnd w:id="48"/>
      <w:bookmarkEnd w:id="49"/>
      <w:bookmarkEnd w:id="50"/>
      <w:bookmarkEnd w:id="51"/>
    </w:p>
    <w:p w14:paraId="1CCDFC0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2.1</w:t>
      </w:r>
      <w:r>
        <w:rPr>
          <w:rFonts w:hint="eastAsia" w:ascii="宋体" w:hAnsi="宋体" w:eastAsia="宋体" w:cs="宋体"/>
          <w:color w:val="auto"/>
          <w:sz w:val="28"/>
          <w:szCs w:val="28"/>
          <w:highlight w:val="none"/>
        </w:rPr>
        <w:t>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p>
    <w:p w14:paraId="70EF9D1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2.2如标书制作工具中格式和内容与“江苏政府采购网”发布的招标文件不一致，请以“江苏政府采购网”发布的招标文件为准。</w:t>
      </w:r>
      <w:bookmarkStart w:id="52" w:name="_Toc49090509"/>
      <w:bookmarkStart w:id="53" w:name="_Toc513029219"/>
      <w:bookmarkStart w:id="54" w:name="_Toc14577357"/>
      <w:bookmarkStart w:id="55" w:name="_Toc513029216"/>
      <w:bookmarkStart w:id="56" w:name="_Toc14577354"/>
      <w:bookmarkStart w:id="57" w:name="_Toc49090507"/>
    </w:p>
    <w:p w14:paraId="4098261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3.证明投标人及投标标的符合招标文件规定的文件</w:t>
      </w:r>
      <w:bookmarkEnd w:id="52"/>
      <w:bookmarkEnd w:id="53"/>
      <w:bookmarkEnd w:id="54"/>
    </w:p>
    <w:bookmarkEnd w:id="55"/>
    <w:bookmarkEnd w:id="56"/>
    <w:bookmarkEnd w:id="57"/>
    <w:p w14:paraId="260FD7F4">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58" w:name="_Toc14577355"/>
      <w:bookmarkStart w:id="59" w:name="_Toc49090508"/>
      <w:r>
        <w:rPr>
          <w:rFonts w:hint="eastAsia" w:ascii="宋体" w:hAnsi="宋体" w:eastAsia="宋体" w:cs="宋体"/>
          <w:color w:val="auto"/>
          <w:sz w:val="28"/>
          <w:szCs w:val="28"/>
          <w:highlight w:val="none"/>
        </w:rPr>
        <w:t>3.1投标人应按照法律、法规、规章和规范性文件以及招标文件要求提交证明文件，证明其及投标标的符合招标文件规定。</w:t>
      </w:r>
    </w:p>
    <w:p w14:paraId="7E596D8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3.2招标文件对证明文件无明确形式要求的，证明文件可以以文字资料、图纸和数据等形式提交。</w:t>
      </w:r>
    </w:p>
    <w:p w14:paraId="67F60A3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bookmarkEnd w:id="58"/>
      <w:bookmarkEnd w:id="59"/>
      <w:r>
        <w:rPr>
          <w:rFonts w:hint="eastAsia" w:ascii="宋体" w:hAnsi="宋体" w:eastAsia="宋体" w:cs="宋体"/>
          <w:color w:val="auto"/>
          <w:sz w:val="28"/>
          <w:szCs w:val="28"/>
          <w:highlight w:val="none"/>
        </w:rPr>
        <w:t>分项报价明细表</w:t>
      </w:r>
    </w:p>
    <w:p w14:paraId="3F46CCF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4.1投</w:t>
      </w:r>
      <w:bookmarkStart w:id="60" w:name="_Hlt26954840"/>
      <w:bookmarkEnd w:id="60"/>
      <w:r>
        <w:rPr>
          <w:rFonts w:hint="eastAsia" w:ascii="宋体" w:hAnsi="宋体" w:eastAsia="宋体" w:cs="宋体"/>
          <w:color w:val="auto"/>
          <w:sz w:val="28"/>
          <w:szCs w:val="28"/>
          <w:highlight w:val="none"/>
        </w:rPr>
        <w:t>标人应按照招标文件规定格式填报</w:t>
      </w:r>
      <w:bookmarkStart w:id="61" w:name="_Hlt26670399"/>
      <w:bookmarkEnd w:id="61"/>
      <w:r>
        <w:rPr>
          <w:rFonts w:hint="eastAsia" w:ascii="宋体" w:hAnsi="宋体" w:eastAsia="宋体" w:cs="宋体"/>
          <w:color w:val="auto"/>
          <w:sz w:val="28"/>
          <w:szCs w:val="28"/>
          <w:highlight w:val="none"/>
        </w:rPr>
        <w:t>分项报价明细表。</w:t>
      </w:r>
    </w:p>
    <w:p w14:paraId="481F269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4.2投标货币。投标文件中的单价和总价无特殊规定的采用人民币报价，以元为单位标注。招标文件中另有规定的按规定执行。</w:t>
      </w:r>
    </w:p>
    <w:p w14:paraId="0946589A">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62" w:name="_Hlt26954846"/>
      <w:bookmarkEnd w:id="62"/>
      <w:bookmarkStart w:id="63" w:name="_Hlt26954842"/>
      <w:bookmarkEnd w:id="63"/>
      <w:bookmarkStart w:id="64" w:name="_Hlt26954848"/>
      <w:bookmarkEnd w:id="64"/>
      <w:bookmarkStart w:id="65" w:name="_Hlt26668983"/>
      <w:bookmarkEnd w:id="65"/>
      <w:bookmarkStart w:id="66" w:name="_Hlt26670486"/>
      <w:bookmarkEnd w:id="66"/>
      <w:bookmarkStart w:id="67" w:name="_Hlt26954731"/>
      <w:bookmarkEnd w:id="67"/>
      <w:bookmarkStart w:id="68" w:name="_Hlt26670403"/>
      <w:bookmarkEnd w:id="68"/>
      <w:bookmarkStart w:id="69" w:name="_Hlt26670425"/>
      <w:bookmarkEnd w:id="69"/>
      <w:bookmarkStart w:id="70" w:name="_Hlt26954844"/>
      <w:bookmarkEnd w:id="70"/>
      <w:bookmarkStart w:id="71" w:name="_Hlt26670482"/>
      <w:bookmarkEnd w:id="71"/>
      <w:r>
        <w:rPr>
          <w:rFonts w:hint="eastAsia" w:ascii="宋体" w:hAnsi="宋体" w:eastAsia="宋体" w:cs="宋体"/>
          <w:color w:val="auto"/>
          <w:sz w:val="28"/>
          <w:szCs w:val="28"/>
          <w:highlight w:val="none"/>
        </w:rPr>
        <w:t>5.</w:t>
      </w:r>
      <w:bookmarkStart w:id="72" w:name="_Toc14577359"/>
      <w:bookmarkStart w:id="73" w:name="_Toc49090510"/>
      <w:r>
        <w:rPr>
          <w:rFonts w:hint="eastAsia" w:ascii="宋体" w:hAnsi="宋体" w:eastAsia="宋体" w:cs="宋体"/>
          <w:color w:val="auto"/>
          <w:sz w:val="28"/>
          <w:szCs w:val="28"/>
          <w:highlight w:val="none"/>
        </w:rPr>
        <w:t>投标函和开标一览表</w:t>
      </w:r>
    </w:p>
    <w:bookmarkEnd w:id="72"/>
    <w:bookmarkEnd w:id="73"/>
    <w:p w14:paraId="2E297E25">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74" w:name="_Hlt26668975"/>
      <w:bookmarkEnd w:id="74"/>
      <w:bookmarkStart w:id="75" w:name="_Hlt26954838"/>
      <w:bookmarkEnd w:id="75"/>
      <w:bookmarkStart w:id="76" w:name="_Hlt26670360"/>
      <w:bookmarkEnd w:id="76"/>
      <w:bookmarkStart w:id="77" w:name="_Toc49090511"/>
      <w:bookmarkStart w:id="78" w:name="_Toc14577360"/>
      <w:r>
        <w:rPr>
          <w:rFonts w:hint="eastAsia" w:ascii="宋体" w:hAnsi="宋体" w:eastAsia="宋体" w:cs="宋体"/>
          <w:color w:val="auto"/>
          <w:sz w:val="28"/>
          <w:szCs w:val="28"/>
          <w:highlight w:val="none"/>
        </w:rPr>
        <w:t>5.1投标人应按照招标文件中提供的格式完整、正确填写投标函、开标一览表。</w:t>
      </w:r>
    </w:p>
    <w:p w14:paraId="08D927D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5.2对于采用货币报价的项目，开标一览表中的投标总报价应与投标分项报价表中的投标总报价一致，如不一致，不作为无效投标处理，但评标时按开标一览表中价格为准。</w:t>
      </w:r>
    </w:p>
    <w:p w14:paraId="3F585BE8">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.投标有效期</w:t>
      </w:r>
      <w:bookmarkEnd w:id="77"/>
      <w:bookmarkEnd w:id="78"/>
    </w:p>
    <w:p w14:paraId="39F4B8B2">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rPr>
        <w:t>.1投标有效期为</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规定的开标之日后</w:t>
      </w:r>
      <w:r>
        <w:rPr>
          <w:rFonts w:hint="eastAsia" w:ascii="宋体" w:hAnsi="宋体" w:eastAsia="宋体" w:cs="宋体"/>
          <w:b/>
          <w:color w:val="auto"/>
          <w:sz w:val="28"/>
          <w:szCs w:val="28"/>
          <w:highlight w:val="none"/>
          <w:u w:val="single"/>
        </w:rPr>
        <w:t>六十（60）天</w:t>
      </w:r>
      <w:r>
        <w:rPr>
          <w:rFonts w:hint="eastAsia" w:ascii="宋体" w:hAnsi="宋体" w:eastAsia="宋体" w:cs="宋体"/>
          <w:bCs/>
          <w:color w:val="auto"/>
          <w:sz w:val="28"/>
          <w:szCs w:val="28"/>
          <w:highlight w:val="none"/>
        </w:rPr>
        <w:t>。投标有效期比规定短的将被视为非响应性投标而予以拒绝。</w:t>
      </w:r>
    </w:p>
    <w:p w14:paraId="1AEC4945">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.投标有效期的延长</w:t>
      </w:r>
    </w:p>
    <w:p w14:paraId="7DEEAD31">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7</w:t>
      </w:r>
      <w:r>
        <w:rPr>
          <w:rFonts w:hint="eastAsia" w:ascii="宋体" w:hAnsi="宋体" w:eastAsia="宋体" w:cs="宋体"/>
          <w:bCs/>
          <w:color w:val="auto"/>
          <w:sz w:val="28"/>
          <w:szCs w:val="28"/>
          <w:highlight w:val="none"/>
        </w:rPr>
        <w:t>.1在特殊情况下，</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于原投标有效期满之前，可向投标人提出延长投标有效期的要求。这种要求与答复均应采用书面形式。投标人可以拒绝</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的这一要求而放弃投标，同意延长投标有效期的投标人既不能要求也不允许修改其投标文件。</w:t>
      </w:r>
      <w:r>
        <w:rPr>
          <w:rFonts w:hint="eastAsia" w:ascii="宋体" w:hAnsi="宋体" w:eastAsia="宋体" w:cs="宋体"/>
          <w:color w:val="auto"/>
          <w:sz w:val="28"/>
          <w:szCs w:val="28"/>
          <w:highlight w:val="none"/>
        </w:rPr>
        <w:t>受投标有效期约束的所有权利与义务均延长至新的有效期</w:t>
      </w:r>
      <w:r>
        <w:rPr>
          <w:rFonts w:hint="eastAsia" w:ascii="宋体" w:hAnsi="宋体" w:eastAsia="宋体" w:cs="宋体"/>
          <w:bCs/>
          <w:color w:val="auto"/>
          <w:sz w:val="28"/>
          <w:szCs w:val="28"/>
          <w:highlight w:val="none"/>
        </w:rPr>
        <w:t>。</w:t>
      </w:r>
    </w:p>
    <w:p w14:paraId="201E729D">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79" w:name="_Hlt26954739"/>
      <w:bookmarkEnd w:id="79"/>
      <w:bookmarkStart w:id="80" w:name="_Hlt26954852"/>
      <w:bookmarkEnd w:id="80"/>
      <w:bookmarkStart w:id="81" w:name="_Toc16938540"/>
      <w:bookmarkStart w:id="82" w:name="_Toc513029224"/>
      <w:bookmarkStart w:id="83" w:name="_Toc120614217"/>
      <w:bookmarkStart w:id="84" w:name="_Toc20823296"/>
      <w:r>
        <w:rPr>
          <w:rFonts w:hint="eastAsia" w:ascii="宋体" w:hAnsi="宋体" w:eastAsia="宋体" w:cs="宋体"/>
          <w:bCs/>
          <w:color w:val="auto"/>
          <w:sz w:val="28"/>
          <w:szCs w:val="28"/>
          <w:highlight w:val="none"/>
        </w:rPr>
        <w:t>四、投标文件的递交</w:t>
      </w:r>
      <w:bookmarkEnd w:id="81"/>
      <w:bookmarkEnd w:id="82"/>
      <w:bookmarkEnd w:id="83"/>
      <w:bookmarkEnd w:id="84"/>
    </w:p>
    <w:p w14:paraId="664F5109">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85" w:name="_Toc20823297"/>
      <w:bookmarkStart w:id="86" w:name="_Toc16938541"/>
      <w:bookmarkStart w:id="87" w:name="_Toc462564084"/>
      <w:bookmarkStart w:id="88" w:name="_Toc513029225"/>
      <w:r>
        <w:rPr>
          <w:rFonts w:hint="eastAsia" w:ascii="宋体" w:hAnsi="宋体" w:eastAsia="宋体" w:cs="宋体"/>
          <w:color w:val="auto"/>
          <w:sz w:val="28"/>
          <w:szCs w:val="28"/>
          <w:highlight w:val="none"/>
        </w:rPr>
        <w:t>1.投标文件</w:t>
      </w:r>
      <w:bookmarkEnd w:id="85"/>
      <w:bookmarkEnd w:id="86"/>
      <w:bookmarkEnd w:id="87"/>
      <w:bookmarkEnd w:id="88"/>
      <w:r>
        <w:rPr>
          <w:rFonts w:hint="eastAsia" w:ascii="宋体" w:hAnsi="宋体" w:eastAsia="宋体" w:cs="宋体"/>
          <w:color w:val="auto"/>
          <w:sz w:val="28"/>
          <w:szCs w:val="28"/>
          <w:highlight w:val="none"/>
        </w:rPr>
        <w:t>的递交</w:t>
      </w:r>
    </w:p>
    <w:p w14:paraId="155210B6">
      <w:pPr>
        <w:adjustRightInd w:val="0"/>
        <w:snapToGrid w:val="0"/>
        <w:spacing w:line="500" w:lineRule="exact"/>
        <w:ind w:firstLine="55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w:t>
      </w:r>
      <w:bookmarkStart w:id="89" w:name="_Toc16938542"/>
      <w:bookmarkStart w:id="90" w:name="_Toc513029226"/>
      <w:bookmarkStart w:id="91" w:name="_Toc20823298"/>
      <w:r>
        <w:rPr>
          <w:rFonts w:hint="eastAsia" w:ascii="宋体" w:hAnsi="宋体" w:eastAsia="宋体" w:cs="宋体"/>
          <w:bCs/>
          <w:color w:val="auto"/>
          <w:sz w:val="28"/>
          <w:szCs w:val="28"/>
          <w:highlight w:val="none"/>
        </w:rPr>
        <w:t>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响应文件提交</w:t>
      </w:r>
      <w:r>
        <w:rPr>
          <w:rFonts w:hint="eastAsia" w:ascii="宋体" w:hAnsi="宋体" w:eastAsia="宋体" w:cs="宋体"/>
          <w:bCs/>
          <w:color w:val="auto"/>
          <w:sz w:val="28"/>
          <w:szCs w:val="28"/>
          <w:highlight w:val="none"/>
        </w:rPr>
        <w:t>截止时间前按要求制作并上传电子响应文件。</w:t>
      </w:r>
    </w:p>
    <w:p w14:paraId="0FFD3CBC">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2.投标截止日期</w:t>
      </w:r>
      <w:bookmarkEnd w:id="89"/>
      <w:bookmarkEnd w:id="90"/>
      <w:bookmarkEnd w:id="91"/>
    </w:p>
    <w:p w14:paraId="311A7D4D">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2.1投标人上传电子投标文件的时间不得迟于招标公告中规定的投标截止时间。</w:t>
      </w:r>
    </w:p>
    <w:p w14:paraId="1879EBA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投标人应充分考虑到网络环境、网络带宽、CA数字证书及电子签章故障等风险因素，如因投标人自身原因造成的电子投标文件上传不成功由投标人自行承担全部责任。</w:t>
      </w:r>
    </w:p>
    <w:p w14:paraId="37BCA62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bCs/>
          <w:color w:val="auto"/>
          <w:sz w:val="28"/>
          <w:szCs w:val="28"/>
          <w:highlight w:val="none"/>
        </w:rPr>
        <w:t>可以按照规定，通过修改招标文件酌情延长投标截止日期，在此情况下，投标人的所有权利和义务以及投标人受制的截止日期均应以延长后新的截止日期为准。</w:t>
      </w:r>
    </w:p>
    <w:p w14:paraId="04C2D4A3">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92" w:name="_Toc513029227"/>
      <w:bookmarkStart w:id="93" w:name="_Toc20823299"/>
      <w:bookmarkStart w:id="94" w:name="_Toc16938543"/>
      <w:r>
        <w:rPr>
          <w:rFonts w:hint="eastAsia" w:ascii="宋体" w:hAnsi="宋体" w:eastAsia="宋体" w:cs="宋体"/>
          <w:color w:val="auto"/>
          <w:sz w:val="28"/>
          <w:szCs w:val="28"/>
          <w:highlight w:val="none"/>
        </w:rPr>
        <w:t>3.投标文件</w:t>
      </w:r>
      <w:bookmarkEnd w:id="92"/>
      <w:bookmarkEnd w:id="93"/>
      <w:bookmarkEnd w:id="94"/>
      <w:r>
        <w:rPr>
          <w:rFonts w:hint="eastAsia" w:ascii="宋体" w:hAnsi="宋体" w:eastAsia="宋体" w:cs="宋体"/>
          <w:color w:val="auto"/>
          <w:sz w:val="28"/>
          <w:szCs w:val="28"/>
          <w:highlight w:val="none"/>
        </w:rPr>
        <w:t>的拒收</w:t>
      </w:r>
    </w:p>
    <w:p w14:paraId="67081FB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拒绝接收在其规定的投标截止时间后上传的任何投标文件。</w:t>
      </w:r>
    </w:p>
    <w:p w14:paraId="320712CA">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95" w:name="_Toc513029228"/>
      <w:bookmarkStart w:id="96" w:name="_Toc16938544"/>
      <w:bookmarkStart w:id="97" w:name="_Toc20823300"/>
      <w:r>
        <w:rPr>
          <w:rFonts w:hint="eastAsia" w:ascii="宋体" w:hAnsi="宋体" w:eastAsia="宋体" w:cs="宋体"/>
          <w:color w:val="auto"/>
          <w:sz w:val="28"/>
          <w:szCs w:val="28"/>
          <w:highlight w:val="none"/>
        </w:rPr>
        <w:t>4.投标文件的撤回和修改</w:t>
      </w:r>
      <w:bookmarkEnd w:id="95"/>
      <w:bookmarkEnd w:id="96"/>
      <w:bookmarkEnd w:id="97"/>
    </w:p>
    <w:p w14:paraId="3220B37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4.1投标文件的撤回</w:t>
      </w:r>
    </w:p>
    <w:p w14:paraId="633EC3A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4.1.1电子投标文件的撤回</w:t>
      </w:r>
    </w:p>
    <w:p w14:paraId="676EA83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投标人可在投标截止时间前，撤回其电子投标文件，具体操作方法见《江苏省政府采购管理交易系统（苏采云）供应商操作指南》。</w:t>
      </w:r>
    </w:p>
    <w:p w14:paraId="0EEAD0A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4.1.2投标人撤回电子投标文件，则认为其不再参与本项目投标活动。</w:t>
      </w:r>
    </w:p>
    <w:p w14:paraId="77ABAB0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4.2投标文件的修改</w:t>
      </w:r>
    </w:p>
    <w:p w14:paraId="7082488F">
      <w:pPr>
        <w:adjustRightInd w:val="0"/>
        <w:snapToGrid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投标人可在投标截止时间前，对其电子投标文件进行修改，具体操作方法见</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w:t>
      </w:r>
    </w:p>
    <w:p w14:paraId="4D79B4CF">
      <w:pPr>
        <w:adjustRightInd w:val="0"/>
        <w:snapToGrid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4.3</w:t>
      </w:r>
      <w:r>
        <w:rPr>
          <w:rFonts w:hint="eastAsia" w:ascii="宋体" w:hAnsi="宋体" w:eastAsia="宋体" w:cs="宋体"/>
          <w:bCs/>
          <w:color w:val="auto"/>
          <w:sz w:val="28"/>
          <w:szCs w:val="28"/>
          <w:highlight w:val="none"/>
        </w:rPr>
        <w:t>在投标截止时间之后，投标人不得对其电子投标文件作任何修改。</w:t>
      </w:r>
    </w:p>
    <w:p w14:paraId="7E5F345A">
      <w:pPr>
        <w:adjustRightInd w:val="0"/>
        <w:snapToGrid w:val="0"/>
        <w:spacing w:line="500" w:lineRule="exact"/>
        <w:ind w:firstLine="555"/>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4.4</w:t>
      </w:r>
      <w:r>
        <w:rPr>
          <w:rFonts w:hint="eastAsia" w:ascii="宋体" w:hAnsi="宋体" w:eastAsia="宋体" w:cs="宋体"/>
          <w:bCs/>
          <w:color w:val="auto"/>
          <w:sz w:val="28"/>
          <w:szCs w:val="28"/>
          <w:highlight w:val="none"/>
        </w:rPr>
        <w:t>在投标截止时间至招标文件中规定的投标有效期满之间的这段时间内，投标人不得撤回其投标。</w:t>
      </w:r>
    </w:p>
    <w:p w14:paraId="2ED50E28">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98" w:name="_Toc513029229"/>
      <w:bookmarkStart w:id="99" w:name="_Toc16938545"/>
      <w:bookmarkStart w:id="100" w:name="_Toc20823301"/>
      <w:bookmarkStart w:id="101" w:name="_Toc120614218"/>
      <w:r>
        <w:rPr>
          <w:rFonts w:hint="eastAsia" w:ascii="宋体" w:hAnsi="宋体" w:eastAsia="宋体" w:cs="宋体"/>
          <w:bCs/>
          <w:color w:val="auto"/>
          <w:sz w:val="28"/>
          <w:szCs w:val="28"/>
          <w:highlight w:val="none"/>
        </w:rPr>
        <w:t>五、开标与评标</w:t>
      </w:r>
      <w:bookmarkEnd w:id="98"/>
      <w:bookmarkEnd w:id="99"/>
      <w:bookmarkEnd w:id="100"/>
      <w:bookmarkEnd w:id="101"/>
    </w:p>
    <w:p w14:paraId="3CC74AF8">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102" w:name="_Toc20823302"/>
      <w:bookmarkStart w:id="103" w:name="_Toc513029230"/>
      <w:bookmarkStart w:id="104" w:name="_Toc16938546"/>
      <w:r>
        <w:rPr>
          <w:rFonts w:hint="eastAsia" w:ascii="宋体" w:hAnsi="宋体" w:eastAsia="宋体" w:cs="宋体"/>
          <w:color w:val="auto"/>
          <w:sz w:val="28"/>
          <w:szCs w:val="28"/>
          <w:highlight w:val="none"/>
        </w:rPr>
        <w:t>1开标</w:t>
      </w:r>
      <w:bookmarkEnd w:id="102"/>
      <w:bookmarkEnd w:id="103"/>
      <w:bookmarkEnd w:id="104"/>
    </w:p>
    <w:p w14:paraId="0CCBE714">
      <w:pPr>
        <w:adjustRightInd w:val="0"/>
        <w:snapToGrid w:val="0"/>
        <w:spacing w:line="500" w:lineRule="exact"/>
        <w:ind w:firstLine="55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将在招标公告中规定的时间和地点组织公开开标。</w:t>
      </w:r>
    </w:p>
    <w:p w14:paraId="4CB59793">
      <w:pPr>
        <w:adjustRightInd w:val="0"/>
        <w:snapToGrid w:val="0"/>
        <w:spacing w:line="500" w:lineRule="exact"/>
        <w:ind w:firstLine="556"/>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1.2开标仪</w:t>
      </w:r>
      <w:r>
        <w:rPr>
          <w:rFonts w:hint="eastAsia" w:ascii="宋体" w:hAnsi="宋体" w:eastAsia="宋体" w:cs="宋体"/>
          <w:color w:val="auto"/>
          <w:sz w:val="28"/>
          <w:szCs w:val="28"/>
          <w:highlight w:val="none"/>
        </w:rPr>
        <w:t>式由</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color w:val="auto"/>
          <w:sz w:val="28"/>
          <w:szCs w:val="28"/>
          <w:highlight w:val="none"/>
        </w:rPr>
        <w:t>组织，在“苏采云”系统中进行开标，并公布各投标人的报价。</w:t>
      </w:r>
    </w:p>
    <w:p w14:paraId="2BD1BB8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1.3投标人在开标过程中涉及的投标文件解密、开标结果确认等工作，按照《</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》执行。</w:t>
      </w:r>
    </w:p>
    <w:p w14:paraId="53330885">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105" w:name="_Toc20823303"/>
      <w:bookmarkStart w:id="106" w:name="_Toc16938547"/>
      <w:bookmarkStart w:id="107" w:name="_Toc513029231"/>
      <w:r>
        <w:rPr>
          <w:rFonts w:hint="eastAsia" w:ascii="宋体" w:hAnsi="宋体" w:eastAsia="宋体" w:cs="宋体"/>
          <w:color w:val="auto"/>
          <w:sz w:val="28"/>
          <w:szCs w:val="28"/>
          <w:highlight w:val="none"/>
        </w:rPr>
        <w:t>2评标委员会</w:t>
      </w:r>
    </w:p>
    <w:p w14:paraId="5BDA660A">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color w:val="auto"/>
          <w:kern w:val="0"/>
          <w:sz w:val="28"/>
          <w:szCs w:val="28"/>
          <w:highlight w:val="none"/>
        </w:rPr>
        <w:t>2.1开标后，</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color w:val="auto"/>
          <w:kern w:val="0"/>
          <w:sz w:val="28"/>
          <w:szCs w:val="28"/>
          <w:highlight w:val="none"/>
        </w:rPr>
        <w:t>将组织评标委员会（以下简称评委会）进行</w:t>
      </w:r>
      <w:r>
        <w:rPr>
          <w:rFonts w:hint="eastAsia" w:ascii="宋体" w:hAnsi="宋体" w:eastAsia="宋体" w:cs="宋体"/>
          <w:color w:val="auto"/>
          <w:sz w:val="28"/>
          <w:szCs w:val="28"/>
          <w:highlight w:val="none"/>
        </w:rPr>
        <w:t>评标。</w:t>
      </w:r>
    </w:p>
    <w:p w14:paraId="5F904C8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2.2评委会由采购人代表和有关技术、经济等方面的专家组成，且人员构成符合政府采购有关规定。</w:t>
      </w:r>
    </w:p>
    <w:p w14:paraId="4589A53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2.3评委会独立工作，负责评审所有投标文件并确定中标候选人。</w:t>
      </w:r>
    </w:p>
    <w:p w14:paraId="42ADF735">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3.评标过程的保密与公正</w:t>
      </w:r>
    </w:p>
    <w:bookmarkEnd w:id="105"/>
    <w:bookmarkEnd w:id="106"/>
    <w:bookmarkEnd w:id="107"/>
    <w:p w14:paraId="306330F1">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3.1</w:t>
      </w:r>
      <w:r>
        <w:rPr>
          <w:rFonts w:hint="eastAsia" w:ascii="宋体" w:hAnsi="宋体" w:eastAsia="宋体" w:cs="宋体"/>
          <w:bCs/>
          <w:color w:val="auto"/>
          <w:sz w:val="28"/>
          <w:szCs w:val="28"/>
          <w:highlight w:val="none"/>
        </w:rPr>
        <w:t>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均不得向投标人或与评标无关的其他人员透露。</w:t>
      </w:r>
    </w:p>
    <w:p w14:paraId="41325A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3.2在评标过程中，投标人不得以任何行为影响评标过程，否则其投标文件将被作为无效投标文件。</w:t>
      </w:r>
    </w:p>
    <w:p w14:paraId="4F7DA47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3.3在评标期间，</w:t>
      </w:r>
      <w:r>
        <w:rPr>
          <w:rFonts w:hint="eastAsia" w:ascii="宋体" w:hAnsi="宋体" w:eastAsia="宋体" w:cs="宋体"/>
          <w:color w:val="auto"/>
          <w:sz w:val="28"/>
          <w:szCs w:val="28"/>
          <w:highlight w:val="none"/>
          <w:lang w:val="en-US" w:eastAsia="zh-CN"/>
        </w:rPr>
        <w:t>采购代理机构</w:t>
      </w:r>
      <w:r>
        <w:rPr>
          <w:rFonts w:hint="eastAsia" w:ascii="宋体" w:hAnsi="宋体" w:eastAsia="宋体" w:cs="宋体"/>
          <w:color w:val="auto"/>
          <w:sz w:val="28"/>
          <w:szCs w:val="28"/>
          <w:highlight w:val="none"/>
        </w:rPr>
        <w:t>将设专门人员与投标人联系。</w:t>
      </w:r>
    </w:p>
    <w:p w14:paraId="516ACDA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和评标委员会不向未中标的投标人解释未中标原因，也不公布评标过程中的相关细节。</w:t>
      </w:r>
    </w:p>
    <w:p w14:paraId="661E808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3.5采用综合评分法的项目，未中标的投标人可于中标结果公告期限届满之日起通过“苏采云”系统查看自己的评审得分及排序情况。</w:t>
      </w:r>
    </w:p>
    <w:p w14:paraId="526A45CC">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108" w:name="_Toc16938548"/>
      <w:bookmarkStart w:id="109" w:name="_Toc513029232"/>
      <w:bookmarkStart w:id="110" w:name="_Toc20823304"/>
      <w:r>
        <w:rPr>
          <w:rFonts w:hint="eastAsia" w:ascii="宋体" w:hAnsi="宋体" w:eastAsia="宋体" w:cs="宋体"/>
          <w:color w:val="auto"/>
          <w:sz w:val="28"/>
          <w:szCs w:val="28"/>
          <w:highlight w:val="none"/>
        </w:rPr>
        <w:t>4.投标的澄清</w:t>
      </w:r>
      <w:bookmarkEnd w:id="108"/>
      <w:bookmarkEnd w:id="109"/>
      <w:bookmarkEnd w:id="110"/>
    </w:p>
    <w:p w14:paraId="1CC1D5D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4.1评标期间，为有助于投标文件的审查、评价和比较，评委会有权以电子函件形式要求投标人对其投标文件进行澄清，但并非对每个投标人都作澄清要求。</w:t>
      </w:r>
    </w:p>
    <w:p w14:paraId="0005D6A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w:t>
      </w:r>
    </w:p>
    <w:p w14:paraId="5AB504D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4.3接到评委会澄清要求的投标人如未按规定作出澄清，其风险由投标人自行承担。</w:t>
      </w:r>
    </w:p>
    <w:p w14:paraId="55C6BDDD">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bookmarkStart w:id="111" w:name="_Toc16938549"/>
      <w:bookmarkStart w:id="112" w:name="_Toc20823305"/>
      <w:bookmarkStart w:id="113" w:name="_Toc513029233"/>
      <w:r>
        <w:rPr>
          <w:rFonts w:hint="eastAsia" w:ascii="宋体" w:hAnsi="宋体" w:eastAsia="宋体" w:cs="宋体"/>
          <w:color w:val="auto"/>
          <w:sz w:val="28"/>
          <w:szCs w:val="28"/>
          <w:highlight w:val="none"/>
        </w:rPr>
        <w:t>5对投标文件的初审</w:t>
      </w:r>
      <w:bookmarkEnd w:id="111"/>
      <w:bookmarkEnd w:id="112"/>
      <w:bookmarkEnd w:id="113"/>
    </w:p>
    <w:p w14:paraId="62CBEF69">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5.1</w:t>
      </w:r>
      <w:r>
        <w:rPr>
          <w:rFonts w:hint="eastAsia" w:ascii="宋体" w:hAnsi="宋体" w:eastAsia="宋体" w:cs="宋体"/>
          <w:bCs/>
          <w:color w:val="auto"/>
          <w:sz w:val="28"/>
          <w:szCs w:val="28"/>
          <w:highlight w:val="none"/>
        </w:rPr>
        <w:t>投标文件初审分为资格审查和符合性审查。</w:t>
      </w:r>
    </w:p>
    <w:p w14:paraId="7B0B1A5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5.1.1资格审查：依据法律法规和招标文件的规定，由采购人对投标文件中的资格证明文件进行审查。进入评标程序后，资格审查的结论，采购人以书面形式向评委会进行反馈。</w:t>
      </w:r>
    </w:p>
    <w:p w14:paraId="60F5F14D">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采购人在进行资格性审查的同时，将在“信用中国”网站查询供应商的信用记录，以确定供应商是否具备参加投标的资格，查询结果留存并归档。</w:t>
      </w:r>
    </w:p>
    <w:p w14:paraId="06A5BFD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23BFCF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5.1.2符合性审查：依据招标文件的规定，由评委会从投标文件的有效性、完整性和对招标文件的响应程度（包括技术部分、商务部分和其他投标材料的响应）进行审查，以确定是否对招标文件的实质性要求作出响应。</w:t>
      </w:r>
    </w:p>
    <w:p w14:paraId="1BE87D3D">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5.1.3未通过资格审查或符合性审查的投标人，</w:t>
      </w: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将告知未通过资格审查或符合性审查的原因，评审结束后，</w:t>
      </w: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将不再告知未通过资格审查或符合性审查的原因。</w:t>
      </w:r>
    </w:p>
    <w:p w14:paraId="0E9BF11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4291347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评委决定投标文件的响应性只根据投标文件本身的内容，而不寻求外部的证据。</w:t>
      </w:r>
    </w:p>
    <w:p w14:paraId="3F0E4A1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5.3</w:t>
      </w:r>
      <w:r>
        <w:rPr>
          <w:rFonts w:hint="eastAsia" w:ascii="宋体" w:hAnsi="宋体" w:eastAsia="宋体" w:cs="宋体"/>
          <w:bCs/>
          <w:color w:val="auto"/>
          <w:sz w:val="28"/>
          <w:szCs w:val="28"/>
          <w:highlight w:val="none"/>
        </w:rPr>
        <w:t>如果投标文件实质上没有响应招标文件的要求，评委会将予以拒绝，投标人不得通过修改或撤销不符合要求的偏离或保留而使其投标成为实质性响应的投标。</w:t>
      </w:r>
    </w:p>
    <w:p w14:paraId="3053E9C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5.4</w:t>
      </w:r>
      <w:r>
        <w:rPr>
          <w:rFonts w:hint="eastAsia" w:ascii="宋体" w:hAnsi="宋体" w:eastAsia="宋体" w:cs="宋体"/>
          <w:bCs/>
          <w:color w:val="auto"/>
          <w:sz w:val="28"/>
          <w:szCs w:val="28"/>
          <w:highlight w:val="none"/>
        </w:rPr>
        <w:t>评委会将对确定为实质性响应的投标进行进一步审核，看其是否有计算上或累加上的算术错误，修正错误的原则如下：</w:t>
      </w:r>
    </w:p>
    <w:p w14:paraId="385C5A2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（1）投标文件中开标一览表内容与投标文件中相应内容不一致的，以开标一览表为准。</w:t>
      </w:r>
    </w:p>
    <w:p w14:paraId="5C4FD75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（2）大写金额和小写金额不一致的，以大写金额为准。</w:t>
      </w:r>
    </w:p>
    <w:p w14:paraId="6B14625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（3）单价金额小数点或者百分比有明显错位的，以开标一览表的总价为准，并修改单价。</w:t>
      </w:r>
    </w:p>
    <w:p w14:paraId="7BF38BBD">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（4）总价金额与按单价汇总金额不一致的，以单价金额计算结果为准。</w:t>
      </w:r>
    </w:p>
    <w:p w14:paraId="06844811">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同时出现两种以上错误的，按照前款规定的顺序修正。</w:t>
      </w:r>
    </w:p>
    <w:p w14:paraId="5402ADB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5.5</w:t>
      </w:r>
      <w:r>
        <w:rPr>
          <w:rFonts w:hint="eastAsia" w:ascii="宋体" w:hAnsi="宋体" w:eastAsia="宋体" w:cs="宋体"/>
          <w:bCs/>
          <w:color w:val="auto"/>
          <w:sz w:val="28"/>
          <w:szCs w:val="28"/>
          <w:highlight w:val="none"/>
        </w:rPr>
        <w:t>评委会将按上述修正错误的方法调整投标文件中的投标报价，并通过</w:t>
      </w:r>
      <w:r>
        <w:rPr>
          <w:rFonts w:hint="eastAsia" w:ascii="宋体" w:hAnsi="宋体" w:eastAsia="宋体" w:cs="宋体"/>
          <w:color w:val="auto"/>
          <w:sz w:val="28"/>
          <w:szCs w:val="28"/>
          <w:highlight w:val="none"/>
        </w:rPr>
        <w:t>“苏采云”</w:t>
      </w:r>
      <w:r>
        <w:rPr>
          <w:rFonts w:hint="eastAsia" w:ascii="宋体" w:hAnsi="宋体" w:eastAsia="宋体" w:cs="宋体"/>
          <w:bCs/>
          <w:color w:val="auto"/>
          <w:sz w:val="28"/>
          <w:szCs w:val="28"/>
          <w:highlight w:val="none"/>
        </w:rPr>
        <w:t>系统告知投标人，调整后的价格应对投标人具有约束力。如果投标人不接受修正后的价格，则其投标将被拒绝。</w:t>
      </w:r>
    </w:p>
    <w:p w14:paraId="6C8FF61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5.6</w:t>
      </w:r>
      <w:r>
        <w:rPr>
          <w:rFonts w:hint="eastAsia" w:ascii="宋体" w:hAnsi="宋体" w:eastAsia="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5FF56D77">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14" w:name="_Toc513029234"/>
      <w:bookmarkStart w:id="115" w:name="_Toc16938550"/>
      <w:bookmarkStart w:id="116" w:name="_Toc20823306"/>
      <w:r>
        <w:rPr>
          <w:rFonts w:hint="eastAsia" w:ascii="宋体" w:hAnsi="宋体" w:eastAsia="宋体" w:cs="宋体"/>
          <w:color w:val="auto"/>
          <w:sz w:val="28"/>
          <w:szCs w:val="28"/>
          <w:highlight w:val="none"/>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3939E8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3B3324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非单一产品采购项目，招标文件中将载明其中的核心产品。多家投标人提供的核心产品品牌相同的，按前两款规定处理。</w:t>
      </w:r>
    </w:p>
    <w:p w14:paraId="49690D5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5.8投标人在开、评标全过程中应保持通信畅通，并安排专人与</w:t>
      </w:r>
      <w:r>
        <w:rPr>
          <w:rFonts w:hint="eastAsia" w:ascii="宋体" w:hAnsi="宋体" w:eastAsia="宋体" w:cs="宋体"/>
          <w:color w:val="auto"/>
          <w:kern w:val="0"/>
          <w:sz w:val="28"/>
          <w:szCs w:val="28"/>
          <w:highlight w:val="none"/>
          <w:lang w:val="en-US" w:eastAsia="zh-CN"/>
        </w:rPr>
        <w:t>招标代理</w:t>
      </w:r>
      <w:r>
        <w:rPr>
          <w:rFonts w:hint="eastAsia" w:ascii="宋体" w:hAnsi="宋体" w:eastAsia="宋体" w:cs="宋体"/>
          <w:color w:val="auto"/>
          <w:sz w:val="28"/>
          <w:szCs w:val="28"/>
          <w:highlight w:val="none"/>
        </w:rPr>
        <w:t>及评标委员会联系。</w:t>
      </w:r>
    </w:p>
    <w:bookmarkEnd w:id="114"/>
    <w:bookmarkEnd w:id="115"/>
    <w:bookmarkEnd w:id="116"/>
    <w:p w14:paraId="0D0235E0">
      <w:pPr>
        <w:pStyle w:val="3"/>
        <w:adjustRightInd w:val="0"/>
        <w:snapToGrid w:val="0"/>
        <w:spacing w:line="50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6.无效投标条款和废标条款</w:t>
      </w:r>
    </w:p>
    <w:p w14:paraId="5A86A947">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117" w:name="_Toc513029235"/>
      <w:bookmarkStart w:id="118" w:name="_Toc20823307"/>
      <w:bookmarkStart w:id="119" w:name="_Toc16938551"/>
      <w:r>
        <w:rPr>
          <w:rFonts w:hint="eastAsia" w:ascii="宋体" w:hAnsi="宋体" w:eastAsia="宋体" w:cs="宋体"/>
          <w:bCs/>
          <w:color w:val="auto"/>
          <w:sz w:val="28"/>
          <w:szCs w:val="28"/>
          <w:highlight w:val="none"/>
        </w:rPr>
        <w:t>6.1无效投标条款</w:t>
      </w:r>
    </w:p>
    <w:p w14:paraId="2D790907">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6.1.1投标人在</w:t>
      </w:r>
      <w:r>
        <w:rPr>
          <w:rFonts w:hint="eastAsia" w:ascii="宋体" w:hAnsi="宋体" w:eastAsia="宋体" w:cs="宋体"/>
          <w:color w:val="auto"/>
          <w:sz w:val="28"/>
          <w:szCs w:val="28"/>
          <w:highlight w:val="none"/>
        </w:rPr>
        <w:t>“苏采云”</w:t>
      </w:r>
      <w:r>
        <w:rPr>
          <w:rFonts w:hint="eastAsia" w:ascii="宋体" w:hAnsi="宋体" w:eastAsia="宋体" w:cs="宋体"/>
          <w:bCs/>
          <w:color w:val="auto"/>
          <w:sz w:val="28"/>
          <w:szCs w:val="28"/>
          <w:highlight w:val="none"/>
        </w:rPr>
        <w:t>系统规定的时间内未成功解密电子投标文件的。</w:t>
      </w:r>
    </w:p>
    <w:p w14:paraId="68EBB26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6.1.2投标人未按照招标文件要求上传电子投标文件的。</w:t>
      </w:r>
    </w:p>
    <w:p w14:paraId="3E804951">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6.1.3同一投标人提交两个（含两个）以上不同的投标报价的。</w:t>
      </w:r>
    </w:p>
    <w:p w14:paraId="63DA6D27">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6.1.4投标人不具备招标文件中规定资格要求的。</w:t>
      </w:r>
    </w:p>
    <w:p w14:paraId="3EA8A422">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6.1.5投标人的报价超过了采购预算或最高限价的。</w:t>
      </w:r>
    </w:p>
    <w:p w14:paraId="133ED85C">
      <w:pPr>
        <w:adjustRightInd w:val="0"/>
        <w:snapToGrid w:val="0"/>
        <w:spacing w:line="500" w:lineRule="exact"/>
        <w:ind w:firstLine="560" w:firstLineChars="200"/>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6.1.6未通过符合性检查的。</w:t>
      </w:r>
    </w:p>
    <w:p w14:paraId="78CC70B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6.1.7不符合招标文件中规定的其他实质性要求和条件的。</w:t>
      </w:r>
    </w:p>
    <w:p w14:paraId="788D70E2">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43CD18C3">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6.1.9投标文件含有采购人不能接受的附加条件的。</w:t>
      </w:r>
    </w:p>
    <w:p w14:paraId="634828C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6.1.10异常低价投标（响应）审查的情形和具体要求：</w:t>
      </w:r>
    </w:p>
    <w:p w14:paraId="74FBD297">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6.1.10.1评审过程中出现下列情形之一的，评标委员会应当启动异常低价投标（响应）审查程序：</w:t>
      </w:r>
    </w:p>
    <w:p w14:paraId="6AFE623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①投标（响应）报价低于全部通过符合性审查供应商投标（响应）报价平均值50%的，即投标（响应）报价&lt;全部通过符合性审查供应商投标（响应）报价平均值×50%；</w:t>
      </w:r>
    </w:p>
    <w:p w14:paraId="5A91862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②投标（响应）报价低于通过符合性审查的次低报价供应商投标（响应）报价50%的，即投标（响应）报价&lt;通过符合性审查的次低报价供应商投标（响应）报价×50%；</w:t>
      </w:r>
    </w:p>
    <w:p w14:paraId="4FEDA45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③投标（响应）报价低于采购项目最高限价45%的，即投标（响应）报价&lt;采购项目最高限价×45%；</w:t>
      </w:r>
    </w:p>
    <w:p w14:paraId="067CA3F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④评标委员会基于专业判断，认为供应商报价过低，有可能影响产品质量或者不能诚信履约的其他情形。</w:t>
      </w:r>
    </w:p>
    <w:p w14:paraId="354E09A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6.1.10.2启动异常低价投标（响应）审查后，属于前述第①项至第④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时可不再重复提交。</w:t>
      </w:r>
    </w:p>
    <w:p w14:paraId="2ED4667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3261B8CD">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03846EB2">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异常低价投标（响应）审查的启动原因、审查意见和审查结果应当在评审报告中记录，并随供应商提供的相关书面说明及证明材料，以及评标委员会有关互联网浏览、查询历史一并归档。</w:t>
      </w:r>
    </w:p>
    <w:p w14:paraId="6DA440C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6ACED75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6.1.12投标文件未按照招标文件要求加盖电子签章。</w:t>
      </w:r>
    </w:p>
    <w:p w14:paraId="148E2801">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6.1.13不同投标人的投标文件经系统查询Mac地址、标书制作工具客户端标识码一致的。（符合本条款不同的投标人不得参加本项目的后续采购事项，并移送政府采购监管部门进行处理。）</w:t>
      </w:r>
    </w:p>
    <w:p w14:paraId="268B446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6.1.14其他法律、法规及本招标文件规定的属于无效投标的情形。</w:t>
      </w:r>
    </w:p>
    <w:p w14:paraId="1573014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6.2废标条款：</w:t>
      </w:r>
    </w:p>
    <w:p w14:paraId="5542B99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6.2.1符合专业条件的供应商或者对招标文件作实质响应的供应商不足三家的。</w:t>
      </w:r>
    </w:p>
    <w:p w14:paraId="16F7848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6.2.2出现影响采购公正的违法、违规行为的。</w:t>
      </w:r>
    </w:p>
    <w:p w14:paraId="017F016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6.2.3因重大变故，采购任务取消的。</w:t>
      </w:r>
    </w:p>
    <w:p w14:paraId="3DCFEA9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6.2.4评标委员会认定招标文件存在歧义、重大缺陷导致评审工作无法进行。</w:t>
      </w:r>
    </w:p>
    <w:p w14:paraId="0BC0C84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6.2.5因</w:t>
      </w:r>
      <w:r>
        <w:rPr>
          <w:rFonts w:hint="eastAsia" w:ascii="宋体" w:hAnsi="宋体" w:eastAsia="宋体" w:cs="宋体"/>
          <w:color w:val="auto"/>
          <w:sz w:val="28"/>
          <w:szCs w:val="28"/>
          <w:highlight w:val="none"/>
        </w:rPr>
        <w:t>“苏采云”系统故障</w:t>
      </w:r>
      <w:r>
        <w:rPr>
          <w:rFonts w:hint="eastAsia" w:ascii="宋体" w:hAnsi="宋体" w:eastAsia="宋体" w:cs="宋体"/>
          <w:bCs/>
          <w:color w:val="auto"/>
          <w:sz w:val="28"/>
          <w:szCs w:val="28"/>
          <w:highlight w:val="none"/>
        </w:rPr>
        <w:t>原因造成开评标无法继续进行的。</w:t>
      </w:r>
    </w:p>
    <w:p w14:paraId="1A0B4F7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6.3投标截止时间结束后参加投标的供应商不足三家的处理：</w:t>
      </w:r>
    </w:p>
    <w:p w14:paraId="22404A8D">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6.3.1如出现投标截止时间结束后参加投标的供应商或者在评标期间对招标文件做出实质响应的供应商不足三家情况，按政府采购相关规定执行。</w:t>
      </w:r>
    </w:p>
    <w:bookmarkEnd w:id="117"/>
    <w:bookmarkEnd w:id="118"/>
    <w:bookmarkEnd w:id="119"/>
    <w:p w14:paraId="0B89FC3F">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120" w:name="_Toc120614219"/>
      <w:r>
        <w:rPr>
          <w:rFonts w:hint="eastAsia" w:ascii="宋体" w:hAnsi="宋体" w:eastAsia="宋体" w:cs="宋体"/>
          <w:bCs/>
          <w:color w:val="auto"/>
          <w:sz w:val="28"/>
          <w:szCs w:val="28"/>
          <w:highlight w:val="none"/>
        </w:rPr>
        <w:t>六、定标</w:t>
      </w:r>
      <w:bookmarkEnd w:id="120"/>
    </w:p>
    <w:p w14:paraId="640F8C6D">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121" w:name="_Toc20823310"/>
      <w:bookmarkStart w:id="122" w:name="_Toc16938554"/>
      <w:r>
        <w:rPr>
          <w:rFonts w:hint="eastAsia" w:ascii="宋体" w:hAnsi="宋体" w:eastAsia="宋体" w:cs="宋体"/>
          <w:bCs/>
          <w:color w:val="auto"/>
          <w:sz w:val="28"/>
          <w:szCs w:val="28"/>
          <w:highlight w:val="none"/>
        </w:rPr>
        <w:t>1.确定</w:t>
      </w:r>
      <w:bookmarkEnd w:id="121"/>
      <w:bookmarkEnd w:id="122"/>
      <w:r>
        <w:rPr>
          <w:rFonts w:hint="eastAsia" w:ascii="宋体" w:hAnsi="宋体" w:eastAsia="宋体" w:cs="宋体"/>
          <w:bCs/>
          <w:color w:val="auto"/>
          <w:sz w:val="28"/>
          <w:szCs w:val="28"/>
          <w:highlight w:val="none"/>
        </w:rPr>
        <w:t>中标单位</w:t>
      </w:r>
    </w:p>
    <w:p w14:paraId="0E3BEC6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1.1中标候选人的选取原则和数量见招标文件第四部分规定。</w:t>
      </w:r>
    </w:p>
    <w:p w14:paraId="1A28658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采购人应根据评委会推荐的中标候选人确定中标人。</w:t>
      </w:r>
    </w:p>
    <w:p w14:paraId="31BC65E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1.3</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color w:val="auto"/>
          <w:sz w:val="28"/>
          <w:szCs w:val="28"/>
          <w:highlight w:val="none"/>
        </w:rPr>
        <w:t>将在江苏政府采购网发布中标公告，公告期限为1个工作日。</w:t>
      </w:r>
    </w:p>
    <w:p w14:paraId="61A70E1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1.4若有充分证据证明，中标人出现下列情况之一的，一经查实，将被取消中标资格：</w:t>
      </w:r>
    </w:p>
    <w:p w14:paraId="3E3729A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1.4.1提供虚假材料谋取中标的。</w:t>
      </w:r>
    </w:p>
    <w:p w14:paraId="79C9C0E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1.4.2向采购人、</w:t>
      </w:r>
      <w:r>
        <w:rPr>
          <w:rFonts w:hint="eastAsia" w:ascii="宋体" w:hAnsi="宋体" w:eastAsia="宋体" w:cs="宋体"/>
          <w:color w:val="auto"/>
          <w:sz w:val="28"/>
          <w:szCs w:val="28"/>
          <w:highlight w:val="none"/>
          <w:lang w:val="en-US" w:eastAsia="zh-CN"/>
        </w:rPr>
        <w:t>招标代理</w:t>
      </w:r>
      <w:r>
        <w:rPr>
          <w:rFonts w:hint="eastAsia" w:ascii="宋体" w:hAnsi="宋体" w:eastAsia="宋体" w:cs="宋体"/>
          <w:color w:val="auto"/>
          <w:sz w:val="28"/>
          <w:szCs w:val="28"/>
          <w:highlight w:val="none"/>
        </w:rPr>
        <w:t>行贿或者提供其他不正当利益的。</w:t>
      </w:r>
    </w:p>
    <w:p w14:paraId="4A1477E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1.4.3恶意竞争，投标总报价明显低于其自身合理成本且又无法提供证明的。</w:t>
      </w:r>
    </w:p>
    <w:p w14:paraId="499C865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1.4.4属于本文件规定的无效条件，但在评标过程中又未被评委会发现的。</w:t>
      </w:r>
    </w:p>
    <w:p w14:paraId="4678F4D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1.4.5与采购人或者其他供应商恶意串通的。</w:t>
      </w:r>
    </w:p>
    <w:p w14:paraId="6A94197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1.4.6采取不正当手段诋毁、排挤其他供应商的。</w:t>
      </w:r>
    </w:p>
    <w:p w14:paraId="6AE542F2">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23" w:name="_Toc200451960"/>
      <w:r>
        <w:rPr>
          <w:rFonts w:hint="eastAsia" w:ascii="宋体" w:hAnsi="宋体" w:eastAsia="宋体" w:cs="宋体"/>
          <w:color w:val="auto"/>
          <w:sz w:val="28"/>
          <w:szCs w:val="28"/>
          <w:highlight w:val="none"/>
        </w:rPr>
        <w:t>1.5.</w:t>
      </w:r>
      <w:r>
        <w:rPr>
          <w:rFonts w:hint="eastAsia" w:ascii="宋体" w:hAnsi="宋体" w:eastAsia="宋体" w:cs="宋体"/>
          <w:color w:val="auto"/>
          <w:kern w:val="0"/>
          <w:sz w:val="28"/>
          <w:szCs w:val="28"/>
          <w:highlight w:val="none"/>
        </w:rPr>
        <w:t>有下列情形之一的，视为投标人串通投标，投标无效：</w:t>
      </w:r>
    </w:p>
    <w:p w14:paraId="0C67FCE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1.5.1不同投标人的投标文件由同一单位或者个人编制；</w:t>
      </w:r>
    </w:p>
    <w:p w14:paraId="45A68E3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1.5.2不同投标人委托同一单位或者个人办理投标事宜；</w:t>
      </w:r>
    </w:p>
    <w:p w14:paraId="66B23C1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1.5.3不同投标人的投标文件载明的项目管理成员或者联系人员为同一人；</w:t>
      </w:r>
    </w:p>
    <w:p w14:paraId="122BBD5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1.5.4不同投标人的投标文件异常一致或者投标报价呈规律性差异；</w:t>
      </w:r>
    </w:p>
    <w:p w14:paraId="6DC9492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1.5.5不同投标人的投标文件相互混装；</w:t>
      </w:r>
    </w:p>
    <w:p w14:paraId="6391070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2.质疑处理</w:t>
      </w:r>
      <w:bookmarkEnd w:id="123"/>
    </w:p>
    <w:p w14:paraId="4D73AFC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2.1提出质疑的供应商应当是参与所质疑项目采购活动的供应商。潜在供应商依法获取其可质疑的采购文件的，可以对采购文件提出质疑。</w:t>
      </w:r>
    </w:p>
    <w:p w14:paraId="7BFE9A6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2.2供应商认为采购文件、采购过程和采购结果使自己的权益受到损害的，可以在知道或应知其权益受到损害之日起7个工作日内，以书面形式向采购人提出质疑。上述应知其权益受到损害之日，是指：</w:t>
      </w:r>
    </w:p>
    <w:p w14:paraId="1A08D0D2">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2.2.1</w:t>
      </w:r>
      <w:r>
        <w:rPr>
          <w:rFonts w:hint="eastAsia" w:ascii="宋体" w:hAnsi="宋体" w:eastAsia="宋体" w:cs="宋体"/>
          <w:color w:val="auto"/>
          <w:kern w:val="0"/>
          <w:sz w:val="28"/>
          <w:szCs w:val="28"/>
          <w:highlight w:val="none"/>
        </w:rPr>
        <w:t>对可以质疑的采购文件提出质疑的，为收到采购文件之日或者采购文件公告期限届满之日；</w:t>
      </w:r>
    </w:p>
    <w:p w14:paraId="7152AFCF">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2.2.2</w:t>
      </w:r>
      <w:r>
        <w:rPr>
          <w:rFonts w:hint="eastAsia" w:ascii="宋体" w:hAnsi="宋体" w:eastAsia="宋体" w:cs="宋体"/>
          <w:color w:val="auto"/>
          <w:kern w:val="0"/>
          <w:sz w:val="28"/>
          <w:szCs w:val="28"/>
          <w:highlight w:val="none"/>
        </w:rPr>
        <w:t>对采购过程提出质疑的，为各采购程序环节结束之日；</w:t>
      </w:r>
    </w:p>
    <w:p w14:paraId="2E11B5F1">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2.2.3</w:t>
      </w:r>
      <w:r>
        <w:rPr>
          <w:rFonts w:hint="eastAsia" w:ascii="宋体" w:hAnsi="宋体" w:eastAsia="宋体" w:cs="宋体"/>
          <w:color w:val="auto"/>
          <w:kern w:val="0"/>
          <w:sz w:val="28"/>
          <w:szCs w:val="28"/>
          <w:highlight w:val="none"/>
        </w:rPr>
        <w:t>对中标或者成交结果提出质疑的，为中标或者成交结果公告期限届满之日。</w:t>
      </w:r>
    </w:p>
    <w:p w14:paraId="64E2F544">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供应商应当在法定质疑期内一次性提出针对同一采购程序环节的质疑。</w:t>
      </w:r>
    </w:p>
    <w:p w14:paraId="0292662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3CBB7DD7">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color w:val="auto"/>
          <w:sz w:val="28"/>
          <w:szCs w:val="28"/>
          <w:highlight w:val="none"/>
          <w:lang w:val="en-US" w:eastAsia="zh-CN"/>
        </w:rPr>
        <w:t>招标代理</w:t>
      </w:r>
      <w:r>
        <w:rPr>
          <w:rFonts w:hint="eastAsia" w:ascii="宋体" w:hAnsi="宋体" w:eastAsia="宋体" w:cs="宋体"/>
          <w:color w:val="auto"/>
          <w:sz w:val="28"/>
          <w:szCs w:val="28"/>
          <w:highlight w:val="none"/>
        </w:rPr>
        <w:t>提出，由</w:t>
      </w:r>
      <w:r>
        <w:rPr>
          <w:rFonts w:hint="eastAsia" w:ascii="宋体" w:hAnsi="宋体" w:eastAsia="宋体" w:cs="宋体"/>
          <w:color w:val="auto"/>
          <w:sz w:val="28"/>
          <w:szCs w:val="28"/>
          <w:highlight w:val="none"/>
          <w:lang w:val="en-US" w:eastAsia="zh-CN"/>
        </w:rPr>
        <w:t>招标代理</w:t>
      </w:r>
      <w:r>
        <w:rPr>
          <w:rFonts w:hint="eastAsia" w:ascii="宋体" w:hAnsi="宋体" w:eastAsia="宋体" w:cs="宋体"/>
          <w:color w:val="auto"/>
          <w:sz w:val="28"/>
          <w:szCs w:val="28"/>
          <w:highlight w:val="none"/>
        </w:rPr>
        <w:t>负责答复。</w:t>
      </w:r>
    </w:p>
    <w:p w14:paraId="3DC9679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供应商于法定期限内提起质疑，向采购人以书面形式提交质疑函。</w:t>
      </w:r>
    </w:p>
    <w:p w14:paraId="00B6DA3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采购人质疑接收人及联系方式，见招标文件第一章。</w:t>
      </w:r>
    </w:p>
    <w:p w14:paraId="4026AE6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2.5以下情形的质疑不予受理</w:t>
      </w:r>
    </w:p>
    <w:p w14:paraId="5DF9970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2.5.1内容不符合《政府采购质疑和投诉办法》第十二条规定的质疑。</w:t>
      </w:r>
    </w:p>
    <w:p w14:paraId="401F396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2.5.2超出政府采购法定期限的质疑。</w:t>
      </w:r>
    </w:p>
    <w:p w14:paraId="1E8C42F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2.5.3未参加投标活动的供应商或在投标活动中自身权益未受到损害的供应商所提出的质疑。</w:t>
      </w:r>
    </w:p>
    <w:p w14:paraId="1E7E292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2.5.4供应商组成联合体参加投标，联合体中任何一方或多方未按要求签字、盖章、加盖公章的质疑。</w:t>
      </w:r>
    </w:p>
    <w:p w14:paraId="70BB46A3">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有权依据政府采购的有关规定，报请政府采购监管部门对该供应商进行相应的行政处罚和记录该供应商的失信信息。</w:t>
      </w:r>
    </w:p>
    <w:p w14:paraId="393AB2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3中标通知书</w:t>
      </w:r>
    </w:p>
    <w:p w14:paraId="1994A81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3.l中标结果确定后，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将向中标供应商发出中标通知书</w:t>
      </w:r>
      <w:r>
        <w:rPr>
          <w:rFonts w:hint="eastAsia" w:ascii="宋体" w:hAnsi="宋体" w:eastAsia="宋体" w:cs="宋体"/>
          <w:bCs/>
          <w:color w:val="auto"/>
          <w:sz w:val="28"/>
          <w:szCs w:val="28"/>
          <w:highlight w:val="none"/>
        </w:rPr>
        <w:t>（详见招标文件第四部分）</w:t>
      </w:r>
      <w:r>
        <w:rPr>
          <w:rFonts w:hint="eastAsia" w:ascii="宋体" w:hAnsi="宋体" w:eastAsia="宋体" w:cs="宋体"/>
          <w:color w:val="auto"/>
          <w:sz w:val="28"/>
          <w:szCs w:val="28"/>
          <w:highlight w:val="none"/>
        </w:rPr>
        <w:t>。</w:t>
      </w:r>
    </w:p>
    <w:p w14:paraId="770F80E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3.2中标通知书将是合同的一个组成部分。对采购人和中标供应商均具有法律效力。中标通知书发出后，采购人改变中标结果的，或者中标供应商放弃中标项目的，应当依法承担法律责任。</w:t>
      </w:r>
    </w:p>
    <w:p w14:paraId="3E658DC4">
      <w:pPr>
        <w:adjustRightInd w:val="0"/>
        <w:snapToGrid w:val="0"/>
        <w:spacing w:line="500" w:lineRule="exact"/>
        <w:ind w:firstLine="560" w:firstLineChars="200"/>
        <w:rPr>
          <w:rFonts w:hint="eastAsia" w:ascii="宋体" w:hAnsi="宋体" w:eastAsia="宋体" w:cs="宋体"/>
          <w:bCs/>
          <w:color w:val="auto"/>
          <w:sz w:val="28"/>
          <w:szCs w:val="28"/>
          <w:highlight w:val="none"/>
        </w:rPr>
      </w:pPr>
      <w:bookmarkStart w:id="124" w:name="_Toc120614220"/>
      <w:bookmarkStart w:id="125" w:name="_Toc16938552"/>
      <w:bookmarkStart w:id="126" w:name="_Toc513029236"/>
      <w:bookmarkStart w:id="127" w:name="_Toc20823308"/>
      <w:r>
        <w:rPr>
          <w:rFonts w:hint="eastAsia" w:ascii="宋体" w:hAnsi="宋体" w:eastAsia="宋体" w:cs="宋体"/>
          <w:bCs/>
          <w:color w:val="auto"/>
          <w:sz w:val="28"/>
          <w:szCs w:val="28"/>
          <w:highlight w:val="none"/>
        </w:rPr>
        <w:t>七、授予合同</w:t>
      </w:r>
      <w:bookmarkEnd w:id="124"/>
    </w:p>
    <w:bookmarkEnd w:id="125"/>
    <w:bookmarkEnd w:id="126"/>
    <w:bookmarkEnd w:id="127"/>
    <w:p w14:paraId="6FAD3F4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28" w:name="_Toc513029237"/>
      <w:bookmarkStart w:id="129" w:name="_Toc20823309"/>
      <w:bookmarkStart w:id="130" w:name="_Toc16938553"/>
      <w:r>
        <w:rPr>
          <w:rFonts w:hint="eastAsia" w:ascii="宋体" w:hAnsi="宋体" w:eastAsia="宋体" w:cs="宋体"/>
          <w:color w:val="auto"/>
          <w:sz w:val="28"/>
          <w:szCs w:val="28"/>
          <w:highlight w:val="none"/>
        </w:rPr>
        <w:t>1.签订合同</w:t>
      </w:r>
    </w:p>
    <w:p w14:paraId="752A1BA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w:t>
      </w:r>
      <w:r>
        <w:rPr>
          <w:rFonts w:hint="eastAsia" w:ascii="宋体" w:hAnsi="宋体" w:eastAsia="宋体" w:cs="宋体"/>
          <w:color w:val="auto"/>
          <w:sz w:val="28"/>
          <w:szCs w:val="28"/>
          <w:highlight w:val="none"/>
        </w:rPr>
        <w:t>.l中标人应当在中标通知书发出之日起三十日内，按照招标文件确定的事项与采购人签订政府采购合同。</w:t>
      </w:r>
    </w:p>
    <w:p w14:paraId="0C7AD9A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1.2招标文件、中标人的投标文件及招标过程中有关澄清、承诺文件均应作为合同附件。</w:t>
      </w:r>
    </w:p>
    <w:p w14:paraId="397B9FC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32CDD52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2.货物和服务的追加、减少和添购</w:t>
      </w:r>
    </w:p>
    <w:p w14:paraId="4E35A80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15B9839A">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p>
    <w:bookmarkEnd w:id="128"/>
    <w:bookmarkEnd w:id="129"/>
    <w:bookmarkEnd w:id="130"/>
    <w:p w14:paraId="77F9FBF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3.合同信用融资扶持政策</w:t>
      </w:r>
    </w:p>
    <w:p w14:paraId="0A199A2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3BE2FD34">
      <w:pPr>
        <w:adjustRightInd w:val="0"/>
        <w:snapToGrid w:val="0"/>
        <w:spacing w:line="500" w:lineRule="exact"/>
        <w:rPr>
          <w:rFonts w:hint="eastAsia" w:ascii="宋体" w:hAnsi="宋体" w:eastAsia="宋体" w:cs="宋体"/>
          <w:color w:val="auto"/>
          <w:highlight w:val="none"/>
        </w:rPr>
      </w:pPr>
    </w:p>
    <w:p w14:paraId="2B5E9A81">
      <w:pPr>
        <w:adjustRightInd w:val="0"/>
        <w:snapToGrid w:val="0"/>
        <w:spacing w:line="500" w:lineRule="exact"/>
        <w:jc w:val="center"/>
        <w:outlineLvl w:val="0"/>
        <w:rPr>
          <w:rFonts w:hint="eastAsia" w:ascii="宋体" w:hAnsi="宋体" w:eastAsia="宋体" w:cs="宋体"/>
          <w:bCs/>
          <w:color w:val="auto"/>
          <w:sz w:val="36"/>
          <w:szCs w:val="36"/>
          <w:highlight w:val="none"/>
        </w:rPr>
      </w:pPr>
      <w:r>
        <w:rPr>
          <w:rFonts w:hint="eastAsia" w:ascii="宋体" w:hAnsi="宋体" w:eastAsia="宋体" w:cs="宋体"/>
          <w:color w:val="auto"/>
          <w:highlight w:val="none"/>
        </w:rPr>
        <w:br w:type="page"/>
      </w:r>
      <w:r>
        <w:rPr>
          <w:rFonts w:hint="eastAsia" w:ascii="宋体" w:hAnsi="宋体" w:eastAsia="宋体" w:cs="宋体"/>
          <w:bCs/>
          <w:color w:val="auto"/>
          <w:sz w:val="36"/>
          <w:szCs w:val="36"/>
          <w:highlight w:val="none"/>
        </w:rPr>
        <w:t>第三部分  项目需求</w:t>
      </w:r>
    </w:p>
    <w:p w14:paraId="06702F5A">
      <w:pPr>
        <w:adjustRightInd w:val="0"/>
        <w:snapToGrid w:val="0"/>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837F821">
      <w:pPr>
        <w:adjustRightInd w:val="0"/>
        <w:snapToGrid w:val="0"/>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74C4F440">
      <w:pPr>
        <w:adjustRightInd w:val="0"/>
        <w:snapToGrid w:val="0"/>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项目需求内容：</w:t>
      </w:r>
    </w:p>
    <w:bookmarkEnd w:id="1"/>
    <w:bookmarkEnd w:id="2"/>
    <w:bookmarkEnd w:id="3"/>
    <w:p w14:paraId="21F1A9E8">
      <w:pPr>
        <w:keepNext w:val="0"/>
        <w:keepLines w:val="0"/>
        <w:pageBreakBefore w:val="0"/>
        <w:widowControl w:val="0"/>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一、</w:t>
      </w:r>
      <w:r>
        <w:rPr>
          <w:rFonts w:hint="eastAsia" w:ascii="宋体" w:hAnsi="宋体" w:cs="宋体"/>
          <w:b/>
          <w:bCs/>
          <w:color w:val="auto"/>
          <w:sz w:val="28"/>
          <w:szCs w:val="28"/>
          <w:highlight w:val="none"/>
          <w:lang w:val="en-US" w:eastAsia="zh-CN"/>
        </w:rPr>
        <w:t>项目概况</w:t>
      </w:r>
      <w:r>
        <w:rPr>
          <w:rFonts w:hint="eastAsia" w:ascii="宋体" w:hAnsi="宋体" w:eastAsia="宋体" w:cs="宋体"/>
          <w:b/>
          <w:bCs/>
          <w:color w:val="auto"/>
          <w:sz w:val="28"/>
          <w:szCs w:val="28"/>
          <w:highlight w:val="none"/>
        </w:rPr>
        <w:t>：</w:t>
      </w:r>
    </w:p>
    <w:p w14:paraId="1C96CF3F">
      <w:pPr>
        <w:keepNext w:val="0"/>
        <w:keepLines w:val="0"/>
        <w:pageBreakBefore w:val="0"/>
        <w:widowControl w:val="0"/>
        <w:spacing w:line="500" w:lineRule="exact"/>
        <w:ind w:firstLine="560"/>
        <w:jc w:val="left"/>
        <w:rPr>
          <w:rStyle w:val="21"/>
          <w:rFonts w:hint="eastAsia" w:ascii="宋体" w:hAnsi="宋体" w:eastAsia="宋体" w:cs="宋体"/>
          <w:b w:val="0"/>
          <w:bCs w:val="0"/>
          <w:color w:val="auto"/>
          <w:sz w:val="28"/>
          <w:szCs w:val="28"/>
          <w:lang w:val="zh-CN" w:eastAsia="zh-CN"/>
        </w:rPr>
      </w:pPr>
      <w:r>
        <w:rPr>
          <w:rStyle w:val="21"/>
          <w:rFonts w:hint="eastAsia" w:ascii="宋体" w:hAnsi="宋体" w:eastAsia="宋体" w:cs="宋体"/>
          <w:b/>
          <w:bCs/>
          <w:color w:val="auto"/>
          <w:sz w:val="28"/>
          <w:szCs w:val="28"/>
          <w:lang w:val="zh-CN" w:eastAsia="zh-CN"/>
        </w:rPr>
        <w:t>（</w:t>
      </w:r>
      <w:r>
        <w:rPr>
          <w:rStyle w:val="21"/>
          <w:rFonts w:hint="eastAsia" w:ascii="宋体" w:hAnsi="宋体" w:eastAsia="宋体" w:cs="宋体"/>
          <w:b/>
          <w:bCs/>
          <w:color w:val="auto"/>
          <w:sz w:val="28"/>
          <w:szCs w:val="28"/>
          <w:lang w:val="en-US" w:eastAsia="zh-CN"/>
        </w:rPr>
        <w:t>一</w:t>
      </w:r>
      <w:r>
        <w:rPr>
          <w:rStyle w:val="21"/>
          <w:rFonts w:hint="eastAsia" w:ascii="宋体" w:hAnsi="宋体" w:eastAsia="宋体" w:cs="宋体"/>
          <w:b/>
          <w:bCs/>
          <w:color w:val="auto"/>
          <w:sz w:val="28"/>
          <w:szCs w:val="28"/>
          <w:lang w:val="zh-CN" w:eastAsia="zh-CN"/>
        </w:rPr>
        <w:t>）</w:t>
      </w:r>
      <w:r>
        <w:rPr>
          <w:rStyle w:val="21"/>
          <w:rFonts w:hint="eastAsia" w:ascii="宋体" w:hAnsi="宋体" w:cs="宋体"/>
          <w:b/>
          <w:bCs/>
          <w:color w:val="auto"/>
          <w:sz w:val="28"/>
          <w:szCs w:val="28"/>
          <w:lang w:val="en-US" w:eastAsia="zh-CN"/>
        </w:rPr>
        <w:t>项目需求：</w:t>
      </w:r>
      <w:r>
        <w:rPr>
          <w:rStyle w:val="21"/>
          <w:rFonts w:hint="eastAsia" w:ascii="宋体" w:hAnsi="宋体" w:eastAsia="宋体" w:cs="宋体"/>
          <w:b w:val="0"/>
          <w:bCs w:val="0"/>
          <w:color w:val="auto"/>
          <w:sz w:val="28"/>
          <w:szCs w:val="28"/>
          <w:lang w:val="zh-CN" w:eastAsia="zh-CN"/>
        </w:rPr>
        <w:t>根据《中华人民共和国海洋环境保护法》、《中华人民共和国海洋倾废管理条例》等相关规定，为评估倾倒区倾倒活动对倾倒区及其周边海域的生态环境影响及未来倾倒区可容纳疏浚物量，需对南通吕四作业区10万吨级进港航道工程临时性海洋倾倒区1#、2#倾倒区进行跟踪监测和容量评估，为延续使用该倾倒区提供技术依据和支撑。</w:t>
      </w:r>
    </w:p>
    <w:p w14:paraId="074C1C06">
      <w:pPr>
        <w:keepNext w:val="0"/>
        <w:keepLines w:val="0"/>
        <w:pageBreakBefore w:val="0"/>
        <w:widowControl w:val="0"/>
        <w:spacing w:line="500" w:lineRule="exact"/>
        <w:ind w:firstLine="560"/>
        <w:jc w:val="left"/>
        <w:rPr>
          <w:rStyle w:val="21"/>
          <w:rFonts w:hint="eastAsia" w:ascii="宋体" w:hAnsi="宋体" w:eastAsia="宋体" w:cs="宋体"/>
          <w:b w:val="0"/>
          <w:bCs w:val="0"/>
          <w:color w:val="auto"/>
          <w:sz w:val="28"/>
          <w:szCs w:val="28"/>
          <w:lang w:val="zh-CN" w:eastAsia="zh-CN"/>
        </w:rPr>
      </w:pPr>
      <w:r>
        <w:rPr>
          <w:rStyle w:val="21"/>
          <w:rFonts w:hint="eastAsia" w:ascii="宋体" w:hAnsi="宋体" w:eastAsia="宋体" w:cs="宋体"/>
          <w:b w:val="0"/>
          <w:bCs w:val="0"/>
          <w:color w:val="auto"/>
          <w:sz w:val="28"/>
          <w:szCs w:val="28"/>
          <w:lang w:val="zh-CN" w:eastAsia="zh-CN"/>
        </w:rPr>
        <w:t>通过对倾倒区开展跟踪监测，掌握倾倒区海域水深、水动力、水质、沉积物、生物生态等海洋生态环境的变化情况，与倾倒区选划预测结果对比分析，评估倾倒活动对生态环境及其他海洋活动的影响。通过容量评估，评估该倾倒区后续继续使用的可行性，并及时掌握其容量和使用情况，提出倾倒区管理对策建议，为倾倒区后续使用提供科学依据。</w:t>
      </w:r>
    </w:p>
    <w:p w14:paraId="40C48792">
      <w:pPr>
        <w:keepNext w:val="0"/>
        <w:keepLines w:val="0"/>
        <w:pageBreakBefore w:val="0"/>
        <w:kinsoku/>
        <w:wordWrap/>
        <w:overflowPunct/>
        <w:topLinePunct w:val="0"/>
        <w:autoSpaceDE/>
        <w:autoSpaceDN/>
        <w:bidi w:val="0"/>
        <w:snapToGrid/>
        <w:spacing w:line="560" w:lineRule="exact"/>
        <w:ind w:right="105" w:rightChars="50" w:firstLine="562" w:firstLineChars="200"/>
        <w:jc w:val="left"/>
        <w:textAlignment w:val="auto"/>
        <w:rPr>
          <w:rFonts w:hint="eastAsia" w:ascii="仿宋_GB2312" w:hAnsi="仿宋_GB2312" w:eastAsia="仿宋_GB2312" w:cs="仿宋_GB2312"/>
          <w:color w:val="auto"/>
          <w:sz w:val="32"/>
          <w:szCs w:val="32"/>
        </w:rPr>
      </w:pPr>
      <w:r>
        <w:rPr>
          <w:rStyle w:val="21"/>
          <w:rFonts w:hint="eastAsia" w:ascii="宋体" w:hAnsi="宋体" w:eastAsia="宋体" w:cs="宋体"/>
          <w:b/>
          <w:bCs/>
          <w:color w:val="auto"/>
          <w:sz w:val="28"/>
          <w:szCs w:val="28"/>
          <w:lang w:val="zh-CN" w:eastAsia="zh-CN"/>
        </w:rPr>
        <w:t>（</w:t>
      </w:r>
      <w:r>
        <w:rPr>
          <w:rStyle w:val="21"/>
          <w:rFonts w:hint="eastAsia" w:ascii="宋体" w:hAnsi="宋体" w:eastAsia="宋体" w:cs="宋体"/>
          <w:b/>
          <w:bCs/>
          <w:color w:val="auto"/>
          <w:sz w:val="28"/>
          <w:szCs w:val="28"/>
          <w:lang w:val="en-US" w:eastAsia="zh-CN"/>
        </w:rPr>
        <w:t>二</w:t>
      </w:r>
      <w:r>
        <w:rPr>
          <w:rStyle w:val="21"/>
          <w:rFonts w:hint="eastAsia" w:ascii="宋体" w:hAnsi="宋体" w:eastAsia="宋体" w:cs="宋体"/>
          <w:b/>
          <w:bCs/>
          <w:color w:val="auto"/>
          <w:sz w:val="28"/>
          <w:szCs w:val="28"/>
          <w:lang w:val="zh-CN" w:eastAsia="zh-CN"/>
        </w:rPr>
        <w:t>）</w:t>
      </w:r>
      <w:r>
        <w:rPr>
          <w:rStyle w:val="21"/>
          <w:rFonts w:hint="eastAsia" w:ascii="宋体" w:hAnsi="宋体" w:cs="宋体"/>
          <w:b/>
          <w:bCs/>
          <w:color w:val="auto"/>
          <w:sz w:val="28"/>
          <w:szCs w:val="28"/>
          <w:lang w:val="en-US" w:eastAsia="zh-CN"/>
        </w:rPr>
        <w:t>质量要求：</w:t>
      </w:r>
      <w:r>
        <w:rPr>
          <w:rStyle w:val="21"/>
          <w:rFonts w:hint="eastAsia" w:ascii="宋体" w:hAnsi="宋体" w:eastAsia="宋体" w:cs="宋体"/>
          <w:b w:val="0"/>
          <w:bCs w:val="0"/>
          <w:color w:val="auto"/>
          <w:sz w:val="28"/>
          <w:szCs w:val="28"/>
          <w:lang w:val="zh-CN" w:eastAsia="zh-CN"/>
        </w:rPr>
        <w:t>符合《海洋调查规范》（GB12763）、《海洋监测规范》（GB17378）以及国家现行其他规范和强制性标准要求。</w:t>
      </w:r>
    </w:p>
    <w:p w14:paraId="2C9E4A1E">
      <w:pPr>
        <w:keepNext w:val="0"/>
        <w:keepLines w:val="0"/>
        <w:pageBreakBefore w:val="0"/>
        <w:widowControl w:val="0"/>
        <w:spacing w:line="500" w:lineRule="exact"/>
        <w:ind w:firstLine="560"/>
        <w:contextualSpacing/>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w:t>
      </w:r>
      <w:r>
        <w:rPr>
          <w:rFonts w:hint="eastAsia" w:ascii="宋体" w:hAnsi="宋体" w:cs="宋体"/>
          <w:b/>
          <w:bCs/>
          <w:color w:val="auto"/>
          <w:sz w:val="28"/>
          <w:szCs w:val="28"/>
          <w:highlight w:val="none"/>
          <w:lang w:val="en-US" w:eastAsia="zh-CN"/>
        </w:rPr>
        <w:t>服务期：</w:t>
      </w:r>
      <w:r>
        <w:rPr>
          <w:rFonts w:hint="eastAsia" w:ascii="宋体" w:hAnsi="宋体" w:eastAsia="宋体" w:cs="宋体"/>
          <w:color w:val="auto"/>
          <w:sz w:val="28"/>
          <w:szCs w:val="28"/>
          <w:highlight w:val="none"/>
          <w:lang w:val="en-US" w:eastAsia="zh-CN"/>
        </w:rPr>
        <w:t>计划监测、评估期为一年，监测、评估完成后提交经评审通过的报告。</w:t>
      </w:r>
    </w:p>
    <w:p w14:paraId="3BCC7657">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（四）服务期要求：</w:t>
      </w:r>
      <w:r>
        <w:rPr>
          <w:rFonts w:hint="eastAsia" w:ascii="宋体" w:hAnsi="宋体" w:eastAsia="宋体" w:cs="宋体"/>
          <w:color w:val="auto"/>
          <w:sz w:val="28"/>
          <w:szCs w:val="28"/>
          <w:highlight w:val="none"/>
          <w:lang w:val="en-US" w:eastAsia="zh-CN"/>
        </w:rPr>
        <w:t>监测具体实施根据业主方的要求提交监测工作方案，方案经过业主组织审查通过后，方可组织开展相关工作，并于收到业主方的检测指令后35天内提交所有的检测成果和有关技术资料；评估服务时间是下年度的1-3月间完成。</w:t>
      </w:r>
    </w:p>
    <w:p w14:paraId="669C9CCB">
      <w:pPr>
        <w:keepNext w:val="0"/>
        <w:keepLines w:val="0"/>
        <w:pageBreakBefore w:val="0"/>
        <w:widowControl w:val="0"/>
        <w:spacing w:line="500" w:lineRule="exact"/>
        <w:ind w:firstLine="560"/>
        <w:contextualSpacing/>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（五）有关技术规范要求：</w:t>
      </w:r>
    </w:p>
    <w:p w14:paraId="57C1B403">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（1）《海洋调查规范》（GB/T12763－2007）；</w:t>
      </w:r>
    </w:p>
    <w:p w14:paraId="7E700654">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（2）《海洋监测规范》（GB17378－2007）；</w:t>
      </w:r>
    </w:p>
    <w:p w14:paraId="13453011">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（3）《海洋工程环境影响评价技术导则》（GB/T19485-2014）；</w:t>
      </w:r>
    </w:p>
    <w:p w14:paraId="68470852">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（4）《建设项目海洋环境影响跟踪监测技术规程》（国家海洋局2002年4月）；</w:t>
      </w:r>
    </w:p>
    <w:p w14:paraId="155DDAF3">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（5）《海水水质标准》（GB3097－1997）；</w:t>
      </w:r>
    </w:p>
    <w:p w14:paraId="5B10F470">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（6）《海洋生物质量》（GB18421－2001）；</w:t>
      </w:r>
    </w:p>
    <w:p w14:paraId="658F6733">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（7）《海洋沉积物质量》（GB18668－2002）；</w:t>
      </w:r>
    </w:p>
    <w:p w14:paraId="423211D2">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（8）《全球定位系统（GPS）测量规范》（GB/T18314－2001）。</w:t>
      </w:r>
    </w:p>
    <w:p w14:paraId="088A815F">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val="en-US" w:eastAsia="zh-CN"/>
        </w:rPr>
        <w:t>服务内容</w:t>
      </w:r>
      <w:r>
        <w:rPr>
          <w:rFonts w:hint="eastAsia" w:ascii="宋体" w:hAnsi="宋体" w:eastAsia="宋体" w:cs="宋体"/>
          <w:b/>
          <w:color w:val="auto"/>
          <w:sz w:val="28"/>
          <w:szCs w:val="28"/>
          <w:highlight w:val="none"/>
        </w:rPr>
        <w:t>：</w:t>
      </w:r>
    </w:p>
    <w:p w14:paraId="7AFED2B9">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val="zh-CN" w:eastAsia="zh-CN"/>
        </w:rPr>
        <w:t>跟踪监测</w:t>
      </w:r>
    </w:p>
    <w:p w14:paraId="206FDC5E">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eastAsia="zh-CN"/>
        </w:rPr>
        <w:t>海底地形监测</w:t>
      </w:r>
    </w:p>
    <w:p w14:paraId="2958B152">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val="zh-CN" w:eastAsia="zh-CN"/>
        </w:rPr>
        <w:t>监测目的和范围：倾倒区海底地形监测主要目的是监测疏浚物倾倒后倾倒区及周边海域海底地形变化情况，为海洋倾倒区合理使用提供基础数据和支撑。测量区域为倾倒区各边沿向外延伸，本次倾倒区海底地形监测区域要能够完全覆盖倾倒区范围，并适当外扩。主流向500m，其他方向200m的范围内进行水深测量，测图比例尺为1：5000。周边海域海底地形监测采用断面监测的形式，主测线为南-北走向，间隔为500m。检查线与主测深线垂直，符合相关规范的要求。</w:t>
      </w:r>
    </w:p>
    <w:p w14:paraId="42248B51">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zh-CN" w:eastAsia="zh-CN"/>
        </w:rPr>
        <w:t>采用的高程系统：采用当地理论最低潮面，并给出理论最低潮面与1985国家高程基准关系。</w:t>
      </w:r>
    </w:p>
    <w:p w14:paraId="13E62AB3">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val="zh-CN" w:eastAsia="zh-CN"/>
        </w:rPr>
        <w:t>监测频率：每年对各倾倒区测量1次。需满足容量评估要求，如需增加测量次数由投标人自行考虑。现场测量后，绘制海底地形变化图，并据此进行海底地形变化分析。</w:t>
      </w:r>
    </w:p>
    <w:p w14:paraId="4BB6F010">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eastAsia="zh-CN"/>
        </w:rPr>
        <w:t>海洋环境监测</w:t>
      </w:r>
    </w:p>
    <w:p w14:paraId="44701F6C">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val="zh-CN" w:eastAsia="zh-CN"/>
        </w:rPr>
        <w:t>监测站位：参照倾倒区选划论证时的站位布设，开展海洋生态环境监测，布设水质站位20个，监测2次，沉积物站位14个，监测1次，生态站位14个，监测2次，倾倒区内生物质量站位12个，监测1次。同时考虑保持倾倒区跟踪监测的历史延续性，结合《海洋倾倒区监测技术规程》要求及该项目所在疏浚工程区特点，布设监测站位和其它控制性、对比性站位。</w:t>
      </w:r>
    </w:p>
    <w:p w14:paraId="33B87926">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zh-CN" w:eastAsia="zh-CN"/>
        </w:rPr>
        <w:t>监测内容：根据《海洋倾倒区监测技术规程》和《倾倒区选划报告》要求进行设置。</w:t>
      </w:r>
    </w:p>
    <w:p w14:paraId="217D01F9">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①水质环境：水温、水色、盐度、pH、营养盐、水深、透明度、溶解氧、COD、BOD5、悬浮物、油类、铜、铅、锌、镉、汞、砷、铬、磷酸盐、氨盐、硝酸盐、亚硝酸盐、硫化物。</w:t>
      </w:r>
    </w:p>
    <w:p w14:paraId="24B57326">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eastAsia="zh-CN"/>
        </w:rPr>
        <w:t>②沉积物环境：粒度、类型组成、有机碳、硫化物、氧化还原电位、汞、铜、锌、铅、镉、石油类、砷、铬。</w:t>
      </w:r>
    </w:p>
    <w:p w14:paraId="2ACBC654">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③生物生态：叶绿素a、浮游植物、浮游动物、底栖生物、潮间带生物。</w:t>
      </w:r>
    </w:p>
    <w:p w14:paraId="097A03CC">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val="zh-CN" w:eastAsia="zh-CN"/>
        </w:rPr>
        <w:t>监测频率：生物生态、水质每年监测2次；沉积物监测时间每年1次；具体监测时间与频率可根据实际情况进行相应调整。</w:t>
      </w:r>
    </w:p>
    <w:p w14:paraId="2DCC0802">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zh-CN" w:eastAsia="zh-CN"/>
        </w:rPr>
        <w:t>样品采集和分析方法：现行规范、标准、规定。</w:t>
      </w:r>
    </w:p>
    <w:p w14:paraId="26C9945B">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eastAsia="zh-CN"/>
        </w:rPr>
        <w:t>水文泥沙测验</w:t>
      </w:r>
    </w:p>
    <w:p w14:paraId="028E0B3E">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（1）监测站位：开展水文泥沙测验，布设4个站位，同步进行流速、流向和水体含沙量观测，同时采集沉积物进行沉积物粒径分析，同步观测潮位数据。</w:t>
      </w:r>
    </w:p>
    <w:p w14:paraId="49196BB9">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（2）层次：表层、中层和底层。</w:t>
      </w:r>
    </w:p>
    <w:p w14:paraId="01F57F12">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（3）项目：流速、流向、含沙量。两涨两落。涨落急、憩流时，每半小时加测一次流速、流向。</w:t>
      </w:r>
    </w:p>
    <w:p w14:paraId="36768ADF">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zh-CN" w:eastAsia="zh-CN"/>
        </w:rPr>
        <w:t>）监测时间：每年大潮监测一次。</w:t>
      </w:r>
    </w:p>
    <w:p w14:paraId="474A0911">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zh-CN" w:eastAsia="zh-CN"/>
        </w:rPr>
        <w:t>渔业资源调查</w:t>
      </w:r>
    </w:p>
    <w:p w14:paraId="5FC1F519">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（1）监测站位：结合选划监测点位设置，布设12个监测站位。</w:t>
      </w:r>
    </w:p>
    <w:p w14:paraId="0B627041">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（2）调查内容：对倾倒区及其邻近海域进行鱼卵、仔鱼和渔业资源跟踪监测。</w:t>
      </w:r>
    </w:p>
    <w:p w14:paraId="4010E1C9">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①鱼卵、仔鱼：种类组成、数量分布和优势种；</w:t>
      </w:r>
    </w:p>
    <w:p w14:paraId="492DAB92">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②渔获物：种类组成、优势种、数量分布、资源密度等；</w:t>
      </w:r>
    </w:p>
    <w:p w14:paraId="5DE0293F">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（3）监测频率：每年监测一次。</w:t>
      </w:r>
    </w:p>
    <w:p w14:paraId="37CC6F2A">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容量评估</w:t>
      </w:r>
    </w:p>
    <w:p w14:paraId="0FFD792D">
      <w:pPr>
        <w:keepNext w:val="0"/>
        <w:keepLines w:val="0"/>
        <w:pageBreakBefore w:val="0"/>
        <w:widowControl w:val="0"/>
        <w:spacing w:line="500" w:lineRule="exact"/>
        <w:ind w:firstLine="56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通过对倾倒区跟踪监测，建立模型，掌握倾倒区海域水深、水动力、水质、沉积物、生物生态和渔业资源状况及倾倒活动对海洋生态环境的影响，并与倾倒区选划预测结果相对比，评估倾倒活动对其他海洋活动的影响，提出倾倒区管理对策建议。同时，通过疏浚物海上倾倒跟踪监测试验、数值模拟、倾倒情景分析与泥沙模拟预测等，并依据水深地形以及海洋功能区划、相关海水水质标准，计算倾倒区环境容量，确定倾倒区允许倾倒量。</w:t>
      </w:r>
    </w:p>
    <w:p w14:paraId="2416D79B">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right="105" w:rightChars="50" w:firstLine="562" w:firstLineChars="200"/>
        <w:jc w:val="left"/>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b/>
          <w:color w:val="auto"/>
          <w:sz w:val="28"/>
          <w:szCs w:val="28"/>
          <w:highlight w:val="none"/>
          <w:lang w:val="en-US" w:eastAsia="zh-CN"/>
        </w:rPr>
        <w:t>合同形式：</w:t>
      </w:r>
      <w:r>
        <w:rPr>
          <w:rFonts w:hint="eastAsia" w:ascii="宋体" w:hAnsi="宋体" w:eastAsia="宋体" w:cs="宋体"/>
          <w:color w:val="auto"/>
          <w:sz w:val="28"/>
          <w:szCs w:val="28"/>
          <w:highlight w:val="none"/>
          <w:lang w:val="zh-CN" w:eastAsia="zh-CN"/>
        </w:rPr>
        <w:t>本合同采用固定总价合同。合同价应为完成招标文件所确定范围内的全部需求的服务费用，包括风险评估、环境调查考察、基础资料收集费、包含相关成果材料编制费用、报告编制费、人员薪酬、交通费、取样费、服务费、监测费、船只设备租凭费、食宿费、相关仪器设备使用费、保险费、专家咨询及评审费</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eastAsia="zh-CN"/>
        </w:rPr>
        <w:t>会务费、技术指导、利润、税金以及项目实施单位提供的为完成合同最终成果而产生的一切附带服务费用、设备进场费及运输交通费等一切费用。合同价在合同实施期间不因政策性调整、市场价格波动和各种风险因素的发生而变动。</w:t>
      </w:r>
    </w:p>
    <w:p w14:paraId="19B5588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105" w:rightChars="50"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、采购标的的其他技术、服务等要求</w:t>
      </w:r>
    </w:p>
    <w:p w14:paraId="210224D4">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5D603BF">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品目清单见《关于印发环境标志产品政府采购品目清单的通知》（财库〔2019〕18号）、《关于印发节能产品政府采购品目清单的通知》（财库〔2019〕19号）。</w:t>
      </w:r>
    </w:p>
    <w:p w14:paraId="40EF9DEA">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rPr>
        <w:t>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w:t>
      </w:r>
    </w:p>
    <w:p w14:paraId="2C16F910">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val="zh-CN"/>
        </w:rPr>
        <w:t>、付款方式：</w:t>
      </w:r>
    </w:p>
    <w:p w14:paraId="21182F39">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第一期：提交所有的检测成果、技术报告和有关技术资料后支付合同额的30%；</w:t>
      </w:r>
    </w:p>
    <w:p w14:paraId="5E90EA98">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第二期：技术成果取得生态环境主管部门认可，取得倾倒区可继续使用的证明后一个月内支付合同额的70%（以上付款均不计利息）。</w:t>
      </w:r>
    </w:p>
    <w:p w14:paraId="28E70E99">
      <w:pPr>
        <w:keepNext w:val="0"/>
        <w:keepLines w:val="0"/>
        <w:pageBreakBefore w:val="0"/>
        <w:widowControl w:val="0"/>
        <w:spacing w:line="500" w:lineRule="exact"/>
        <w:ind w:firstLine="562"/>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zh-CN"/>
        </w:rPr>
        <w:t>履约保证金：</w:t>
      </w:r>
    </w:p>
    <w:p w14:paraId="1537820B">
      <w:pPr>
        <w:keepNext w:val="0"/>
        <w:keepLines w:val="0"/>
        <w:pageBreakBefore w:val="0"/>
        <w:widowControl w:val="0"/>
        <w:spacing w:line="500" w:lineRule="exact"/>
        <w:ind w:firstLine="560"/>
        <w:rPr>
          <w:rFonts w:hint="eastAsia" w:ascii="宋体" w:hAnsi="宋体" w:eastAsia="宋体" w:cs="宋体"/>
          <w:color w:val="auto"/>
          <w:sz w:val="28"/>
          <w:szCs w:val="28"/>
        </w:rPr>
      </w:pPr>
      <w:r>
        <w:rPr>
          <w:rFonts w:hint="eastAsia" w:ascii="宋体" w:hAnsi="宋体" w:eastAsia="宋体" w:cs="宋体"/>
          <w:color w:val="auto"/>
          <w:sz w:val="28"/>
          <w:szCs w:val="28"/>
        </w:rPr>
        <w:t>1.本项目成交后的履约保证金为项目成交价的</w:t>
      </w: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yellow"/>
        </w:rPr>
        <w:br w:type="textWrapping"/>
      </w:r>
      <w:r>
        <w:rPr>
          <w:rFonts w:hint="eastAsia" w:ascii="宋体" w:hAnsi="宋体" w:eastAsia="宋体" w:cs="宋体"/>
          <w:color w:val="auto"/>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u w:val="single"/>
        </w:rPr>
        <w:t>每日0.05%</w:t>
      </w:r>
      <w:r>
        <w:rPr>
          <w:rFonts w:hint="eastAsia" w:ascii="宋体" w:hAnsi="宋体" w:eastAsia="宋体" w:cs="宋体"/>
          <w:color w:val="auto"/>
          <w:sz w:val="28"/>
          <w:szCs w:val="28"/>
        </w:rPr>
        <w:t>支付违约金。</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3.发生以下情况的，履约保证金不予退还或部分退还：</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a.签订合同后，成交供应商不履行合同义务的，采购单位有权全额扣除履约保证金，全额不予退还，同时采购单位亦有权终止合同，成交供应商还须承担相应的法律赔偿责任。</w:t>
      </w:r>
    </w:p>
    <w:p w14:paraId="45034EFA">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rPr>
        <w:t>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auto"/>
          <w:sz w:val="28"/>
          <w:szCs w:val="28"/>
          <w:highlight w:val="none"/>
        </w:rPr>
        <w:t>。</w:t>
      </w:r>
    </w:p>
    <w:p w14:paraId="20DE3370">
      <w:pPr>
        <w:keepNext w:val="0"/>
        <w:keepLines w:val="0"/>
        <w:pageBreakBefore w:val="0"/>
        <w:widowControl w:val="0"/>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4.</w:t>
      </w:r>
      <w:r>
        <w:rPr>
          <w:rFonts w:hint="eastAsia" w:ascii="宋体" w:hAnsi="宋体" w:eastAsia="宋体" w:cs="宋体"/>
          <w:color w:val="auto"/>
          <w:sz w:val="28"/>
          <w:szCs w:val="28"/>
          <w:highlight w:val="none"/>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B10084B">
      <w:pPr>
        <w:keepNext w:val="0"/>
        <w:keepLines w:val="0"/>
        <w:pageBreakBefore w:val="0"/>
        <w:widowControl w:val="0"/>
        <w:spacing w:line="500" w:lineRule="exact"/>
        <w:ind w:firstLine="562"/>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本项目（不接受）进口产品参与</w:t>
      </w:r>
      <w:r>
        <w:rPr>
          <w:rFonts w:hint="eastAsia" w:ascii="宋体" w:hAnsi="宋体" w:cs="宋体"/>
          <w:b/>
          <w:bCs/>
          <w:color w:val="auto"/>
          <w:sz w:val="28"/>
          <w:szCs w:val="28"/>
          <w:highlight w:val="none"/>
          <w:lang w:eastAsia="zh-CN"/>
        </w:rPr>
        <w:t>。</w:t>
      </w:r>
    </w:p>
    <w:p w14:paraId="6360DA8A">
      <w:pPr>
        <w:keepNext w:val="0"/>
        <w:keepLines w:val="0"/>
        <w:pageBreakBefore w:val="0"/>
        <w:widowControl w:val="0"/>
        <w:spacing w:line="500" w:lineRule="exact"/>
        <w:ind w:firstLine="562"/>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八</w:t>
      </w:r>
      <w:r>
        <w:rPr>
          <w:rFonts w:hint="eastAsia" w:ascii="宋体" w:hAnsi="宋体" w:eastAsia="宋体" w:cs="宋体"/>
          <w:b/>
          <w:color w:val="auto"/>
          <w:sz w:val="28"/>
          <w:szCs w:val="28"/>
          <w:highlight w:val="none"/>
        </w:rPr>
        <w:t>、合同条款</w:t>
      </w:r>
    </w:p>
    <w:p w14:paraId="5AFF6AA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textAlignment w:val="auto"/>
        <w:rPr>
          <w:rFonts w:hint="default" w:ascii="宋体" w:hAnsi="宋体" w:eastAsia="宋体" w:cs="宋体"/>
          <w:b w:val="0"/>
          <w:i w:val="0"/>
          <w:caps w:val="0"/>
          <w:color w:val="auto"/>
          <w:spacing w:val="0"/>
          <w:sz w:val="24"/>
          <w:szCs w:val="24"/>
          <w:highlight w:val="none"/>
          <w:u w:val="singl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rPr>
        <w:t>委托方(甲方)：</w:t>
      </w:r>
      <w:r>
        <w:rPr>
          <w:rFonts w:hint="eastAsia" w:cs="宋体"/>
          <w:b w:val="0"/>
          <w:i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u w:val="single"/>
          <w:shd w:val="clear" w:color="auto" w:fill="FFFFFF"/>
          <w:lang w:val="en-US" w:eastAsia="zh-CN"/>
        </w:rPr>
        <w:t xml:space="preserve"> </w:t>
      </w:r>
      <w:r>
        <w:rPr>
          <w:rFonts w:hint="eastAsia" w:cs="宋体"/>
          <w:b w:val="0"/>
          <w:i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u w:val="single"/>
          <w:shd w:val="clear" w:color="auto" w:fill="FFFFFF"/>
          <w:lang w:val="en-US" w:eastAsia="zh-CN"/>
        </w:rPr>
        <w:t xml:space="preserve">  </w:t>
      </w:r>
    </w:p>
    <w:p w14:paraId="6B29006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textAlignment w:val="auto"/>
        <w:rPr>
          <w:rFonts w:hint="eastAsia" w:ascii="宋体" w:hAnsi="宋体" w:eastAsia="宋体" w:cs="宋体"/>
          <w:b w:val="0"/>
          <w:i w:val="0"/>
          <w:caps w:val="0"/>
          <w:color w:val="auto"/>
          <w:spacing w:val="0"/>
          <w:sz w:val="24"/>
          <w:szCs w:val="24"/>
          <w:highlight w:val="none"/>
          <w:u w:val="singl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rPr>
        <w:t>受托方(乙方)：</w:t>
      </w:r>
      <w:r>
        <w:rPr>
          <w:rFonts w:hint="eastAsia" w:ascii="宋体" w:hAnsi="宋体" w:eastAsia="宋体" w:cs="宋体"/>
          <w:b w:val="0"/>
          <w:i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FFFFFF"/>
          <w:spacing w:val="0"/>
          <w:sz w:val="24"/>
          <w:szCs w:val="24"/>
          <w:highlight w:val="none"/>
          <w:u w:val="none"/>
          <w:shd w:val="clear" w:color="auto" w:fill="FFFFFF"/>
          <w:lang w:val="en-US" w:eastAsia="zh-CN"/>
        </w:rPr>
        <w:t xml:space="preserve"> ，</w:t>
      </w:r>
    </w:p>
    <w:p w14:paraId="4AFB103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rPr>
        <w:t>依据《中华人民共和国</w:t>
      </w:r>
      <w:r>
        <w:rPr>
          <w:rFonts w:hint="eastAsia" w:ascii="宋体" w:hAnsi="宋体" w:eastAsia="宋体" w:cs="宋体"/>
          <w:b w:val="0"/>
          <w:i w:val="0"/>
          <w:caps w:val="0"/>
          <w:color w:val="auto"/>
          <w:spacing w:val="0"/>
          <w:sz w:val="24"/>
          <w:szCs w:val="24"/>
          <w:highlight w:val="none"/>
          <w:shd w:val="clear" w:color="auto" w:fill="FFFFFF"/>
          <w:lang w:eastAsia="zh-CN"/>
        </w:rPr>
        <w:t>民法典</w:t>
      </w:r>
      <w:r>
        <w:rPr>
          <w:rFonts w:hint="eastAsia" w:ascii="宋体" w:hAnsi="宋体" w:eastAsia="宋体" w:cs="宋体"/>
          <w:b w:val="0"/>
          <w:i w:val="0"/>
          <w:caps w:val="0"/>
          <w:color w:val="auto"/>
          <w:spacing w:val="0"/>
          <w:sz w:val="24"/>
          <w:szCs w:val="24"/>
          <w:highlight w:val="none"/>
          <w:shd w:val="clear" w:color="auto" w:fill="FFFFFF"/>
        </w:rPr>
        <w:t>》及其他有关法律、行政法规，遵循平等、自愿、公平和诚实信用的原则</w:t>
      </w:r>
      <w:r>
        <w:rPr>
          <w:rFonts w:hint="eastAsia" w:ascii="宋体" w:hAnsi="宋体" w:eastAsia="宋体" w:cs="宋体"/>
          <w:b w:val="0"/>
          <w:i w:val="0"/>
          <w:caps w:val="0"/>
          <w:color w:val="auto"/>
          <w:spacing w:val="0"/>
          <w:sz w:val="24"/>
          <w:szCs w:val="24"/>
          <w:highlight w:val="none"/>
          <w:shd w:val="clear" w:color="auto" w:fill="FFFFFF"/>
          <w:lang w:eastAsia="zh-CN"/>
        </w:rPr>
        <w:t>，双方就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i w:val="0"/>
          <w:caps w:val="0"/>
          <w:color w:val="auto"/>
          <w:spacing w:val="0"/>
          <w:sz w:val="24"/>
          <w:szCs w:val="24"/>
          <w:highlight w:val="none"/>
          <w:u w:val="single"/>
          <w:shd w:val="clear" w:color="auto" w:fill="FFFFFF"/>
          <w:lang w:val="en-US" w:eastAsia="zh-CN"/>
        </w:rPr>
        <w:t>2026年度</w:t>
      </w:r>
      <w:r>
        <w:rPr>
          <w:rFonts w:hint="eastAsia" w:ascii="宋体" w:hAnsi="宋体" w:eastAsia="宋体" w:cs="宋体"/>
          <w:b w:val="0"/>
          <w:i w:val="0"/>
          <w:caps w:val="0"/>
          <w:color w:val="auto"/>
          <w:spacing w:val="0"/>
          <w:sz w:val="24"/>
          <w:szCs w:val="24"/>
          <w:highlight w:val="none"/>
          <w:u w:val="single"/>
          <w:shd w:val="clear" w:color="auto" w:fill="FFFFFF"/>
        </w:rPr>
        <w:t>南通吕四作业区10万吨级进港航道工程临时性海洋倾倒区1#、2#倾倒区海洋生态环境跟踪监测和容量评估项目</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rPr>
        <w:t>事项协商一致，订立本合同</w:t>
      </w:r>
      <w:r>
        <w:rPr>
          <w:rFonts w:hint="eastAsia" w:ascii="宋体" w:hAnsi="宋体" w:eastAsia="宋体" w:cs="宋体"/>
          <w:b w:val="0"/>
          <w:i w:val="0"/>
          <w:caps w:val="0"/>
          <w:color w:val="auto"/>
          <w:spacing w:val="0"/>
          <w:sz w:val="24"/>
          <w:szCs w:val="24"/>
          <w:highlight w:val="none"/>
          <w:shd w:val="clear" w:color="auto" w:fill="FFFFFF"/>
          <w:lang w:eastAsia="zh-CN"/>
        </w:rPr>
        <w:t>。</w:t>
      </w:r>
    </w:p>
    <w:p w14:paraId="4FC3E4D7">
      <w:pPr>
        <w:pStyle w:val="1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val="0"/>
          <w:color w:val="000000"/>
          <w:sz w:val="24"/>
          <w:szCs w:val="24"/>
        </w:rPr>
        <w:t>项目需求</w:t>
      </w:r>
    </w:p>
    <w:p w14:paraId="53F4EB28">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根据《中华人民共和国海洋环境保护法》、《中华人民共和国海洋倾废管理条例》等相关规定，为评估倾倒区倾倒活动对倾倒区及其周边海域的生态环境影响及未来倾倒区可容纳疏浚物量，需对南通吕四作业区10万吨级进港航道工程临时性海洋倾倒区1#、2#倾倒区进行跟踪监测和容量评估，为延续使用该倾倒区提供技术依据和支撑。</w:t>
      </w:r>
    </w:p>
    <w:p w14:paraId="45249DD2">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通过对倾倒区开展跟踪监测，掌握倾倒区海域水深、水动力、水质、沉积物、生物生态等海洋生态环境的变化情况，与倾倒区选划预测结果对比分析，评估倾倒活动对生态环境及其他海洋活动的影响。通过容量评估，评估该倾倒区后续继续使用的可行性，并及时掌握其容量和使用情况，提出倾倒区管理对策建议，为倾倒区后续使用提供科学依据。</w:t>
      </w:r>
    </w:p>
    <w:p w14:paraId="466397D4">
      <w:pPr>
        <w:pStyle w:val="12"/>
        <w:keepNext w:val="0"/>
        <w:keepLines w:val="0"/>
        <w:pageBreakBefore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
          <w:bCs/>
          <w:color w:val="auto"/>
          <w:spacing w:val="0"/>
          <w:kern w:val="0"/>
          <w:sz w:val="24"/>
          <w:szCs w:val="24"/>
          <w:highlight w:val="none"/>
          <w:lang w:val="en-US" w:eastAsia="zh-CN"/>
        </w:rPr>
        <w:t>二、服务内容及技术规范要求</w:t>
      </w:r>
    </w:p>
    <w:p w14:paraId="75C48422">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（一）跟踪监测</w:t>
      </w:r>
    </w:p>
    <w:p w14:paraId="0A9A3466">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1.海底地形监测</w:t>
      </w:r>
    </w:p>
    <w:p w14:paraId="3379559E">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1）监测目的和范围：倾倒区海底地形监测主要目的是监测疏浚物倾倒后倾倒区及周边海域海底地形变化情况，为海洋倾倒区合理使用提供基础数据和支撑。测量区域为倾倒区各边沿向外延伸，本次倾倒区海底地形监测区域要能够完全覆盖倾倒区范围，并适当外扩。主流向500m，其他方向200m的范围内进行水深测量，测图比例尺为1：5000。周边海域海底地形监测采用断面监测的形式，主测线为南-北走向，间隔为500m。检查线与主测深线垂直，符合相关规范的要求。</w:t>
      </w:r>
    </w:p>
    <w:p w14:paraId="7058D9D4">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（2）采用的高程系统：采用当地理论最低潮面，并给出理论最低潮面与1985国家高程基准关系。</w:t>
      </w:r>
    </w:p>
    <w:p w14:paraId="3891B84C">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（3）监测频率：每年对各倾倒区测量1次。需满足容量评估要求，如需增加测量次数由投标人自行考虑。现场测量后，绘制海底地形变化图，并据此进行海底地形变化分析。</w:t>
      </w:r>
    </w:p>
    <w:p w14:paraId="428E3AA7">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2.海洋环境监测</w:t>
      </w:r>
    </w:p>
    <w:p w14:paraId="30FB45DA">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1）监测站位：参照倾倒区选划论证时的站位布设，开展海洋生态环境监测，布设水质站位20个，监测2次，沉积物站位14个，监测1次，生态站位14个，监测2次，倾倒区内生物质量站位12个，监测1次。同时考虑保持倾倒区跟踪监测的历史延续性，结合《海洋倾倒区监测技术规程》要求及该项目所在疏浚工程区特点，布设监测站位和其它控制性、对比性站位。</w:t>
      </w:r>
    </w:p>
    <w:p w14:paraId="5148FE05">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（2）监测内容：根据《海洋倾倒区监测技术规程》和《倾倒区选划报告》要求进行设置。</w:t>
      </w:r>
    </w:p>
    <w:p w14:paraId="7D360ADB">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①水质环境：水温、水色、盐度、pH、营养盐、水深、透明度、溶解氧、COD、BOD5、悬浮物、油类、铜、铅、锌、镉、汞、砷、铬、磷酸盐、氨盐、硝酸盐、亚硝酸盐、硫化物。</w:t>
      </w:r>
    </w:p>
    <w:p w14:paraId="32EC0950">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②沉积物环境：粒度、类型组成、有机碳、硫化物、氧化还原电位、汞、铜、锌、铅、镉、石油类、砷、铬。</w:t>
      </w:r>
    </w:p>
    <w:p w14:paraId="08236372">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③生物生态：叶绿素a、浮游植物、浮游动物、底栖生物、潮间带生物。</w:t>
      </w:r>
    </w:p>
    <w:p w14:paraId="197ED90D">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（3）监测频率：生物生态、水质每年监测2次；沉积物监测时间每年1次；具体监测时间与频率可根据实际情况进行相应调整。</w:t>
      </w:r>
    </w:p>
    <w:p w14:paraId="10F8BD24">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（4）样品采集和分析方法：现行规范、标准、规定。</w:t>
      </w:r>
    </w:p>
    <w:p w14:paraId="27C56FDF">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3.水文泥沙测验</w:t>
      </w:r>
    </w:p>
    <w:p w14:paraId="17528E12">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（1）监测站位：开展水文泥沙测验，布设4个站位，同步进行流速、流向和水体含沙量观测，同时采集沉积物进行沉积物粒径分析，同步观测潮位数据。</w:t>
      </w:r>
    </w:p>
    <w:p w14:paraId="14E3FE65">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（2）层次：表层、中层和底层。</w:t>
      </w:r>
    </w:p>
    <w:p w14:paraId="6FA7A15B">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（3）项目：流速、流向、含沙量。两涨两落。涨落急、憩流时，每半小时加测一次流速、流向。</w:t>
      </w:r>
    </w:p>
    <w:p w14:paraId="35D7CF96">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（4）监测时间：每年大潮监测一次。</w:t>
      </w:r>
    </w:p>
    <w:p w14:paraId="3CA9E18F">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4.渔业资源调查</w:t>
      </w:r>
    </w:p>
    <w:p w14:paraId="7A95C7A7">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（1）监测站位：结合选划监测点位设置，布设12个监测站位。</w:t>
      </w:r>
    </w:p>
    <w:p w14:paraId="406D1FBF">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（2）调查内容：对倾倒区及其邻近海域进行鱼卵、仔鱼和渔业资源跟踪监测。</w:t>
      </w:r>
    </w:p>
    <w:p w14:paraId="788B8FB3">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①鱼卵、仔鱼：种类组成、数量分布和优势种；</w:t>
      </w:r>
    </w:p>
    <w:p w14:paraId="71470EC9">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②渔获物：种类组成、优势种、数量分布、资源密度等；</w:t>
      </w:r>
    </w:p>
    <w:p w14:paraId="3AD17B73">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（3）监测频率：每年监测一次。</w:t>
      </w:r>
    </w:p>
    <w:p w14:paraId="7859D313">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（二）容量评估</w:t>
      </w:r>
    </w:p>
    <w:p w14:paraId="5C69706B">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通过对倾倒区跟踪监测，建立模型，掌握倾倒区海域水深、水动力、水质、沉积物、生物生态和渔业资源状况及倾倒活动对海洋生态环境的影响，并与倾倒区选划预测结果相对比，评估倾倒活动对其他海洋活动的影响，提出倾倒区管理对策建议。同时，通过疏浚物海上倾倒跟踪监测试验、数值模拟、倾倒情景分析与泥沙模拟预测等，并依据水深地形以及海洋功能区划、相关海水水质标准，计算倾倒区环境容量，确定倾倒区允许倾倒量。</w:t>
      </w:r>
    </w:p>
    <w:p w14:paraId="3F2B0104">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pPr>
      <w:r>
        <w:rPr>
          <w:rFonts w:hint="eastAsia" w:ascii="宋体" w:hAnsi="宋体" w:eastAsia="宋体" w:cs="宋体"/>
          <w:b w:val="0"/>
          <w:i w:val="0"/>
          <w:caps w:val="0"/>
          <w:color w:val="auto"/>
          <w:spacing w:val="0"/>
          <w:kern w:val="0"/>
          <w:sz w:val="24"/>
          <w:szCs w:val="24"/>
          <w:highlight w:val="none"/>
          <w:shd w:val="clear" w:color="auto" w:fill="FFFFFF"/>
          <w:lang w:val="en-US" w:eastAsia="zh-CN" w:bidi="ar-SA"/>
        </w:rPr>
        <w:t>（三）有关技术规范要求：</w:t>
      </w:r>
    </w:p>
    <w:p w14:paraId="08C2D3D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（1）《海洋调查规范》（GB/T12763－2007）；</w:t>
      </w:r>
    </w:p>
    <w:p w14:paraId="5479F50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（2）《海洋监测规范》（GB17378－2007）；</w:t>
      </w:r>
    </w:p>
    <w:p w14:paraId="4617DF9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（3）《海洋工程环境影响评价技术导则》（GB/T19485-2014）；</w:t>
      </w:r>
    </w:p>
    <w:p w14:paraId="6DFA30A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（4）《建设项目海洋环境影响跟踪监测技术规程》（国家海洋局2002年4月）；</w:t>
      </w:r>
    </w:p>
    <w:p w14:paraId="4BAB1EB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（5）《海水水质标准》（GB3097－1997）；</w:t>
      </w:r>
    </w:p>
    <w:p w14:paraId="453DB64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（6）《海洋生物质量》（GB18421－2001）；</w:t>
      </w:r>
    </w:p>
    <w:p w14:paraId="5721674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（7）《海洋沉积物质量》（GB18668－2002）；</w:t>
      </w:r>
    </w:p>
    <w:p w14:paraId="0114D21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（8）《全球定位系统（GPS）测量规范》（GB/T18314－2001）。</w:t>
      </w:r>
    </w:p>
    <w:p w14:paraId="6AFCFAA0">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pacing w:val="0"/>
          <w:kern w:val="2"/>
          <w:sz w:val="24"/>
          <w:szCs w:val="24"/>
          <w:highlight w:val="none"/>
          <w:shd w:val="clear" w:color="auto" w:fill="FFFFFF"/>
          <w:lang w:val="en-US" w:eastAsia="zh-CN"/>
        </w:rPr>
      </w:pPr>
      <w:r>
        <w:rPr>
          <w:rFonts w:hint="eastAsia" w:ascii="宋体" w:hAnsi="宋体" w:eastAsia="宋体" w:cs="宋体"/>
          <w:b/>
          <w:bCs/>
          <w:color w:val="auto"/>
          <w:spacing w:val="0"/>
          <w:kern w:val="2"/>
          <w:sz w:val="24"/>
          <w:szCs w:val="24"/>
          <w:highlight w:val="none"/>
          <w:shd w:val="clear" w:color="auto" w:fill="FFFFFF"/>
          <w:lang w:val="en-US" w:eastAsia="zh-CN"/>
        </w:rPr>
        <w:t>三、质量要求：</w:t>
      </w:r>
      <w:r>
        <w:rPr>
          <w:rFonts w:hint="eastAsia" w:ascii="宋体" w:hAnsi="宋体" w:eastAsia="宋体" w:cs="宋体"/>
          <w:color w:val="auto"/>
          <w:spacing w:val="0"/>
          <w:kern w:val="2"/>
          <w:sz w:val="24"/>
          <w:szCs w:val="24"/>
          <w:highlight w:val="none"/>
          <w:shd w:val="clear" w:color="auto" w:fill="FFFFFF"/>
          <w:lang w:val="en-US" w:eastAsia="zh-CN"/>
        </w:rPr>
        <w:t>符合《海洋调查规范》（GB12763）、《海洋监测规范》（GB17378）以及国家现行其他规范和强制性标准要求。</w:t>
      </w:r>
    </w:p>
    <w:p w14:paraId="43C04795">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pacing w:val="0"/>
          <w:kern w:val="2"/>
          <w:sz w:val="24"/>
          <w:szCs w:val="24"/>
          <w:highlight w:val="none"/>
          <w:shd w:val="clear" w:color="auto" w:fill="FFFFFF"/>
          <w:lang w:val="en-US" w:eastAsia="zh-CN"/>
        </w:rPr>
      </w:pPr>
      <w:r>
        <w:rPr>
          <w:rFonts w:hint="eastAsia" w:ascii="宋体" w:hAnsi="宋体" w:eastAsia="宋体" w:cs="宋体"/>
          <w:b/>
          <w:bCs/>
          <w:color w:val="auto"/>
          <w:spacing w:val="0"/>
          <w:kern w:val="2"/>
          <w:sz w:val="24"/>
          <w:szCs w:val="24"/>
          <w:highlight w:val="none"/>
          <w:shd w:val="clear" w:color="auto" w:fill="FFFFFF"/>
          <w:lang w:val="en-US" w:eastAsia="zh-CN"/>
        </w:rPr>
        <w:t>四、服务期及要求</w:t>
      </w:r>
    </w:p>
    <w:p w14:paraId="5B491C6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1、服务期：计划监测、评估期为一年，监测、评估完成后提交经评审通过的报告。</w:t>
      </w:r>
    </w:p>
    <w:p w14:paraId="64E8810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2、服务期要求：监测具体实施根据业主方的要求提交监测工作方案，方案经过业主组织审查通过后，方可组织开展相关工作，并于收到业主方的检测指令后35天内提交所有的检测成果和有关技术资料；评估服务时间是下年度的1-3月间完成。</w:t>
      </w:r>
    </w:p>
    <w:p w14:paraId="7B6E1707">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82" w:firstLineChars="200"/>
        <w:textAlignment w:val="auto"/>
        <w:rPr>
          <w:rFonts w:hint="eastAsia" w:ascii="宋体" w:hAnsi="宋体" w:eastAsia="宋体" w:cs="宋体"/>
          <w:b/>
          <w:bCs/>
          <w:i w:val="0"/>
          <w:caps w:val="0"/>
          <w:color w:val="auto"/>
          <w:spacing w:val="0"/>
          <w:sz w:val="24"/>
          <w:szCs w:val="24"/>
          <w:highlight w:val="none"/>
        </w:rPr>
      </w:pPr>
      <w:r>
        <w:rPr>
          <w:rFonts w:hint="eastAsia" w:ascii="宋体" w:hAnsi="宋体" w:eastAsia="宋体" w:cs="宋体"/>
          <w:b/>
          <w:bCs/>
          <w:i w:val="0"/>
          <w:caps w:val="0"/>
          <w:color w:val="auto"/>
          <w:spacing w:val="0"/>
          <w:sz w:val="24"/>
          <w:szCs w:val="24"/>
          <w:highlight w:val="none"/>
          <w:shd w:val="clear" w:color="auto" w:fill="FFFFFF"/>
          <w:lang w:eastAsia="zh-CN"/>
        </w:rPr>
        <w:t>五、服务</w:t>
      </w:r>
      <w:r>
        <w:rPr>
          <w:rFonts w:hint="eastAsia" w:ascii="宋体" w:hAnsi="宋体" w:eastAsia="宋体" w:cs="宋体"/>
          <w:b/>
          <w:bCs/>
          <w:i w:val="0"/>
          <w:caps w:val="0"/>
          <w:color w:val="auto"/>
          <w:spacing w:val="0"/>
          <w:sz w:val="24"/>
          <w:szCs w:val="24"/>
          <w:highlight w:val="none"/>
          <w:shd w:val="clear" w:color="auto" w:fill="FFFFFF"/>
        </w:rPr>
        <w:t>费用及付款方式</w:t>
      </w:r>
    </w:p>
    <w:p w14:paraId="4DE7834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lang w:val="en-US" w:eastAsia="zh-CN"/>
        </w:rPr>
        <w:t>1、服务合同价：</w:t>
      </w:r>
      <w:r>
        <w:rPr>
          <w:rFonts w:hint="eastAsia" w:ascii="宋体" w:hAnsi="宋体" w:eastAsia="宋体" w:cs="宋体"/>
          <w:b w:val="0"/>
          <w:i w:val="0"/>
          <w:caps w:val="0"/>
          <w:color w:val="auto"/>
          <w:spacing w:val="0"/>
          <w:sz w:val="24"/>
          <w:szCs w:val="24"/>
          <w:highlight w:val="none"/>
          <w:shd w:val="clear" w:color="auto" w:fill="FFFFFF"/>
        </w:rPr>
        <w:t>为人民币</w:t>
      </w:r>
      <w:r>
        <w:rPr>
          <w:rFonts w:hint="eastAsia" w:ascii="宋体" w:hAnsi="宋体" w:eastAsia="宋体" w:cs="宋体"/>
          <w:b w:val="0"/>
          <w:i w:val="0"/>
          <w:caps w:val="0"/>
          <w:color w:val="auto"/>
          <w:spacing w:val="0"/>
          <w:sz w:val="24"/>
          <w:szCs w:val="24"/>
          <w:highlight w:val="none"/>
          <w:shd w:val="clear" w:color="auto" w:fill="FFFFFF"/>
          <w:lang w:eastAsia="zh-CN"/>
        </w:rPr>
        <w:t>大写：</w:t>
      </w:r>
      <w:r>
        <w:rPr>
          <w:rFonts w:hint="eastAsia" w:ascii="宋体" w:hAnsi="宋体" w:cs="宋体"/>
          <w:b w:val="0"/>
          <w:i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rPr>
        <w:t>(小写：</w:t>
      </w:r>
      <w:r>
        <w:rPr>
          <w:rFonts w:hint="eastAsia" w:ascii="宋体" w:hAnsi="宋体" w:eastAsia="宋体" w:cs="宋体"/>
          <w:b w:val="0"/>
          <w:i w:val="0"/>
          <w:caps w:val="0"/>
          <w:color w:val="auto"/>
          <w:spacing w:val="0"/>
          <w:sz w:val="24"/>
          <w:szCs w:val="24"/>
          <w:highlight w:val="none"/>
          <w:u w:val="single"/>
          <w:shd w:val="clear" w:color="auto" w:fill="FFFFFF"/>
          <w:lang w:val="en-US" w:eastAsia="zh-CN"/>
        </w:rPr>
        <w:t xml:space="preserve">           元</w:t>
      </w:r>
      <w:r>
        <w:rPr>
          <w:rFonts w:hint="eastAsia" w:ascii="宋体" w:hAnsi="宋体" w:eastAsia="宋体" w:cs="宋体"/>
          <w:b w:val="0"/>
          <w:i w:val="0"/>
          <w:caps w:val="0"/>
          <w:color w:val="auto"/>
          <w:spacing w:val="0"/>
          <w:sz w:val="24"/>
          <w:szCs w:val="24"/>
          <w:highlight w:val="none"/>
          <w:shd w:val="clear" w:color="auto" w:fill="FFFFFF"/>
        </w:rPr>
        <w:t>)</w:t>
      </w:r>
    </w:p>
    <w:p w14:paraId="3A53663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本合同采用固定总价合同。合同价应为完成招标文件所确定范围内的全部需求的服务费用，包括风险评估、环境调查考察、基础资料收集费、包含相关成果材料编制费用、报告编制费、人员薪酬、交通费、取样费、服务费、监测费、船只设备租凭费、食宿费、相关仪器设备使用费、保险费、专家咨询及评审费、会务费、技术指导、利润、税金以及项目实施单位提供的为完成合同最终成果而产生的一切附带服务费用、设备进场费及运输交通费等一切费用。合同价在合同实施期间不因政策性调整、市场价格波动和各种风险因素的发生而变动。</w:t>
      </w:r>
    </w:p>
    <w:p w14:paraId="34832FF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2、付款方式：</w:t>
      </w:r>
    </w:p>
    <w:p w14:paraId="3E8616B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第一期：提交所有的检测成果、技术报告和有关技术资料后支付合同额的30%；</w:t>
      </w:r>
    </w:p>
    <w:p w14:paraId="0DC29F4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color w:val="auto"/>
          <w:spacing w:val="0"/>
          <w:kern w:val="2"/>
          <w:sz w:val="24"/>
          <w:szCs w:val="24"/>
          <w:highlight w:val="none"/>
          <w:shd w:val="clear" w:color="auto" w:fill="FFFFFF"/>
          <w:lang w:val="en-US" w:eastAsia="zh-CN"/>
        </w:rPr>
      </w:pPr>
      <w:r>
        <w:rPr>
          <w:rFonts w:hint="eastAsia" w:ascii="宋体" w:hAnsi="宋体" w:eastAsia="宋体" w:cs="宋体"/>
          <w:color w:val="auto"/>
          <w:spacing w:val="0"/>
          <w:kern w:val="2"/>
          <w:sz w:val="24"/>
          <w:szCs w:val="24"/>
          <w:highlight w:val="none"/>
          <w:shd w:val="clear" w:color="auto" w:fill="FFFFFF"/>
          <w:lang w:val="en-US" w:eastAsia="zh-CN"/>
        </w:rPr>
        <w:t>第二期：技术成果取得生态环境主管部门认可，取得倾倒区可继续使用的证明后一个月内支付合同额的70%（以上付款均不计利息）。</w:t>
      </w:r>
    </w:p>
    <w:p w14:paraId="3BD4C5B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bCs/>
          <w:i w:val="0"/>
          <w:caps w:val="0"/>
          <w:color w:val="auto"/>
          <w:spacing w:val="0"/>
          <w:sz w:val="24"/>
          <w:szCs w:val="24"/>
          <w:highlight w:val="none"/>
        </w:rPr>
      </w:pPr>
      <w:r>
        <w:rPr>
          <w:rFonts w:hint="eastAsia" w:ascii="宋体" w:hAnsi="宋体" w:eastAsia="宋体" w:cs="宋体"/>
          <w:b/>
          <w:bCs/>
          <w:i w:val="0"/>
          <w:caps w:val="0"/>
          <w:color w:val="auto"/>
          <w:spacing w:val="0"/>
          <w:sz w:val="24"/>
          <w:szCs w:val="24"/>
          <w:highlight w:val="none"/>
          <w:shd w:val="clear" w:color="auto" w:fill="FFFFFF"/>
          <w:lang w:val="en-US" w:eastAsia="zh-CN"/>
        </w:rPr>
        <w:t>六</w:t>
      </w:r>
      <w:r>
        <w:rPr>
          <w:rFonts w:hint="eastAsia" w:ascii="宋体" w:hAnsi="宋体" w:eastAsia="宋体" w:cs="宋体"/>
          <w:b/>
          <w:bCs/>
          <w:i w:val="0"/>
          <w:caps w:val="0"/>
          <w:color w:val="auto"/>
          <w:spacing w:val="0"/>
          <w:sz w:val="24"/>
          <w:szCs w:val="24"/>
          <w:highlight w:val="none"/>
          <w:shd w:val="clear" w:color="auto" w:fill="FFFFFF"/>
        </w:rPr>
        <w:t>、甲方的权利与义务</w:t>
      </w:r>
    </w:p>
    <w:p w14:paraId="2B2AC6C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lang w:eastAsia="zh-CN"/>
        </w:rPr>
      </w:pPr>
      <w:r>
        <w:rPr>
          <w:rFonts w:hint="eastAsia" w:ascii="宋体" w:hAnsi="宋体" w:eastAsia="宋体" w:cs="宋体"/>
          <w:b w:val="0"/>
          <w:i w:val="0"/>
          <w:caps w:val="0"/>
          <w:color w:val="auto"/>
          <w:spacing w:val="0"/>
          <w:sz w:val="24"/>
          <w:szCs w:val="24"/>
          <w:highlight w:val="none"/>
          <w:shd w:val="clear" w:color="auto" w:fill="FFFFFF"/>
        </w:rPr>
        <w:t>1</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000000"/>
          <w:spacing w:val="0"/>
          <w:sz w:val="24"/>
          <w:szCs w:val="24"/>
          <w:highlight w:val="none"/>
          <w:shd w:val="clear" w:color="auto" w:fill="FFFFFF"/>
        </w:rPr>
        <w:t>甲方应在双方签订本合同后，</w:t>
      </w:r>
      <w:r>
        <w:rPr>
          <w:rFonts w:hint="eastAsia" w:ascii="宋体" w:hAnsi="宋体" w:eastAsia="宋体" w:cs="宋体"/>
          <w:b w:val="0"/>
          <w:i w:val="0"/>
          <w:caps w:val="0"/>
          <w:color w:val="auto"/>
          <w:spacing w:val="0"/>
          <w:sz w:val="24"/>
          <w:szCs w:val="24"/>
          <w:highlight w:val="none"/>
          <w:shd w:val="clear" w:color="auto" w:fill="FFFFFF"/>
        </w:rPr>
        <w:t>向乙方提供本项目评估所需要的资料、文件和信息数据。甲方对提供资料的真实性、合法性和完整性负责</w:t>
      </w:r>
      <w:r>
        <w:rPr>
          <w:rFonts w:hint="eastAsia" w:ascii="宋体" w:hAnsi="宋体" w:eastAsia="宋体" w:cs="宋体"/>
          <w:b w:val="0"/>
          <w:i w:val="0"/>
          <w:caps w:val="0"/>
          <w:color w:val="auto"/>
          <w:spacing w:val="0"/>
          <w:sz w:val="24"/>
          <w:szCs w:val="24"/>
          <w:highlight w:val="none"/>
          <w:shd w:val="clear" w:color="auto" w:fill="FFFFFF"/>
          <w:lang w:eastAsia="zh-CN"/>
        </w:rPr>
        <w:t>。</w:t>
      </w:r>
    </w:p>
    <w:p w14:paraId="56F767C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eastAsia="宋体"/>
          <w:lang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2</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甲方应积极配合乙方的现场工作，甲方应指定相关人员配合乙方工作，使评估工作正常顺利开展</w:t>
      </w:r>
      <w:r>
        <w:rPr>
          <w:rFonts w:hint="eastAsia" w:ascii="宋体" w:hAnsi="宋体" w:eastAsia="宋体" w:cs="宋体"/>
          <w:b w:val="0"/>
          <w:i w:val="0"/>
          <w:caps w:val="0"/>
          <w:color w:val="auto"/>
          <w:spacing w:val="0"/>
          <w:sz w:val="24"/>
          <w:szCs w:val="24"/>
          <w:highlight w:val="none"/>
          <w:shd w:val="clear" w:color="auto" w:fill="FFFFFF"/>
          <w:lang w:eastAsia="zh-CN"/>
        </w:rPr>
        <w:t>。</w:t>
      </w:r>
    </w:p>
    <w:p w14:paraId="3A285B5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shd w:val="clear" w:color="auto" w:fill="FFFFFF"/>
          <w:lang w:val="en-US" w:eastAsia="zh-CN"/>
        </w:rPr>
        <w:t>3</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甲方对乙方评估工作人员中有超出本合同约定范围的不正当要求和行为的，可向乙方公司投诉。对于涉及与甲方有利害关系的人员有权提出回避。</w:t>
      </w:r>
    </w:p>
    <w:p w14:paraId="56B291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i w:val="0"/>
          <w:caps w:val="0"/>
          <w:color w:val="auto"/>
          <w:spacing w:val="0"/>
          <w:sz w:val="24"/>
          <w:szCs w:val="24"/>
          <w:highlight w:val="none"/>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4</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不干预乙方正常的评估工作程序。</w:t>
      </w:r>
    </w:p>
    <w:p w14:paraId="5AAE292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bCs/>
          <w:i w:val="0"/>
          <w:caps w:val="0"/>
          <w:color w:val="auto"/>
          <w:spacing w:val="0"/>
          <w:sz w:val="24"/>
          <w:szCs w:val="24"/>
          <w:highlight w:val="none"/>
          <w:shd w:val="clear" w:color="auto" w:fill="FFFFFF"/>
        </w:rPr>
      </w:pPr>
      <w:r>
        <w:rPr>
          <w:rFonts w:hint="eastAsia" w:ascii="宋体" w:hAnsi="宋体" w:eastAsia="宋体" w:cs="宋体"/>
          <w:b/>
          <w:bCs/>
          <w:i w:val="0"/>
          <w:caps w:val="0"/>
          <w:color w:val="auto"/>
          <w:spacing w:val="0"/>
          <w:sz w:val="24"/>
          <w:szCs w:val="24"/>
          <w:highlight w:val="none"/>
          <w:shd w:val="clear" w:color="auto" w:fill="FFFFFF"/>
          <w:lang w:val="en-US" w:eastAsia="zh-CN"/>
        </w:rPr>
        <w:t>七</w:t>
      </w:r>
      <w:r>
        <w:rPr>
          <w:rFonts w:hint="eastAsia" w:ascii="宋体" w:hAnsi="宋体" w:eastAsia="宋体" w:cs="宋体"/>
          <w:b/>
          <w:bCs/>
          <w:i w:val="0"/>
          <w:caps w:val="0"/>
          <w:color w:val="auto"/>
          <w:spacing w:val="0"/>
          <w:sz w:val="24"/>
          <w:szCs w:val="24"/>
          <w:highlight w:val="none"/>
          <w:shd w:val="clear" w:color="auto" w:fill="FFFFFF"/>
        </w:rPr>
        <w:t>、乙方的权利与义务</w:t>
      </w:r>
    </w:p>
    <w:p w14:paraId="0ED8C23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eastAsia="zh-CN"/>
        </w:rPr>
      </w:pPr>
      <w:r>
        <w:rPr>
          <w:rFonts w:hint="eastAsia" w:ascii="宋体" w:hAnsi="宋体" w:eastAsia="宋体" w:cs="宋体"/>
          <w:b w:val="0"/>
          <w:i w:val="0"/>
          <w:caps w:val="0"/>
          <w:color w:val="auto"/>
          <w:spacing w:val="0"/>
          <w:sz w:val="24"/>
          <w:szCs w:val="24"/>
          <w:highlight w:val="none"/>
          <w:shd w:val="clear" w:color="auto" w:fill="FFFFFF"/>
        </w:rPr>
        <w:t>1</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在评估工作中，坚持独立、客观、公正、科学的原则，认真执行有关</w:t>
      </w:r>
      <w:r>
        <w:rPr>
          <w:rFonts w:hint="eastAsia" w:ascii="宋体" w:hAnsi="宋体" w:eastAsia="宋体" w:cs="宋体"/>
          <w:b w:val="0"/>
          <w:i w:val="0"/>
          <w:caps w:val="0"/>
          <w:color w:val="auto"/>
          <w:spacing w:val="0"/>
          <w:sz w:val="24"/>
          <w:szCs w:val="24"/>
          <w:highlight w:val="none"/>
          <w:u w:val="none"/>
          <w:shd w:val="clear" w:color="auto" w:fill="FFFFFF"/>
        </w:rPr>
        <w:fldChar w:fldCharType="begin"/>
      </w:r>
      <w:r>
        <w:rPr>
          <w:rFonts w:hint="eastAsia" w:ascii="宋体" w:hAnsi="宋体" w:eastAsia="宋体" w:cs="宋体"/>
          <w:b w:val="0"/>
          <w:i w:val="0"/>
          <w:caps w:val="0"/>
          <w:color w:val="auto"/>
          <w:spacing w:val="0"/>
          <w:sz w:val="24"/>
          <w:szCs w:val="24"/>
          <w:highlight w:val="none"/>
          <w:u w:val="none"/>
          <w:shd w:val="clear" w:color="auto" w:fill="FFFFFF"/>
        </w:rPr>
        <w:instrText xml:space="preserve"> HYPERLINK "https://www.66law.cn/tiaoli/" \o "法律法规" \t "https://www.66law.cn/contractmodel/_blank" </w:instrText>
      </w:r>
      <w:r>
        <w:rPr>
          <w:rFonts w:hint="eastAsia" w:ascii="宋体" w:hAnsi="宋体" w:eastAsia="宋体" w:cs="宋体"/>
          <w:b w:val="0"/>
          <w:i w:val="0"/>
          <w:caps w:val="0"/>
          <w:color w:val="auto"/>
          <w:spacing w:val="0"/>
          <w:sz w:val="24"/>
          <w:szCs w:val="24"/>
          <w:highlight w:val="none"/>
          <w:u w:val="none"/>
          <w:shd w:val="clear" w:color="auto" w:fill="FFFFFF"/>
        </w:rPr>
        <w:fldChar w:fldCharType="separate"/>
      </w:r>
      <w:r>
        <w:rPr>
          <w:rStyle w:val="17"/>
          <w:rFonts w:hint="eastAsia" w:ascii="宋体" w:hAnsi="宋体" w:eastAsia="宋体" w:cs="宋体"/>
          <w:b w:val="0"/>
          <w:i w:val="0"/>
          <w:caps w:val="0"/>
          <w:color w:val="auto"/>
          <w:spacing w:val="0"/>
          <w:sz w:val="24"/>
          <w:szCs w:val="24"/>
          <w:highlight w:val="none"/>
          <w:u w:val="none"/>
          <w:shd w:val="clear" w:color="auto" w:fill="FFFFFF"/>
        </w:rPr>
        <w:t>法律法规</w:t>
      </w:r>
      <w:r>
        <w:rPr>
          <w:rFonts w:hint="eastAsia" w:ascii="宋体" w:hAnsi="宋体" w:eastAsia="宋体" w:cs="宋体"/>
          <w:b w:val="0"/>
          <w:i w:val="0"/>
          <w:caps w:val="0"/>
          <w:color w:val="auto"/>
          <w:spacing w:val="0"/>
          <w:sz w:val="24"/>
          <w:szCs w:val="24"/>
          <w:highlight w:val="none"/>
          <w:u w:val="none"/>
          <w:shd w:val="clear" w:color="auto" w:fill="FFFFFF"/>
        </w:rPr>
        <w:fldChar w:fldCharType="end"/>
      </w:r>
      <w:r>
        <w:rPr>
          <w:rFonts w:hint="eastAsia" w:ascii="宋体" w:hAnsi="宋体" w:eastAsia="宋体" w:cs="宋体"/>
          <w:b w:val="0"/>
          <w:i w:val="0"/>
          <w:caps w:val="0"/>
          <w:color w:val="auto"/>
          <w:spacing w:val="0"/>
          <w:sz w:val="24"/>
          <w:szCs w:val="24"/>
          <w:highlight w:val="none"/>
          <w:shd w:val="clear" w:color="auto" w:fill="FFFFFF"/>
        </w:rPr>
        <w:t>，严格遵守工作规程和技术准则，对出具的评估报告的真实性、合法性、有效性等承担法律责任</w:t>
      </w:r>
      <w:r>
        <w:rPr>
          <w:rFonts w:hint="eastAsia" w:ascii="宋体" w:hAnsi="宋体" w:eastAsia="宋体" w:cs="宋体"/>
          <w:b w:val="0"/>
          <w:i w:val="0"/>
          <w:caps w:val="0"/>
          <w:color w:val="auto"/>
          <w:spacing w:val="0"/>
          <w:sz w:val="24"/>
          <w:szCs w:val="24"/>
          <w:highlight w:val="none"/>
          <w:shd w:val="clear" w:color="auto" w:fill="FFFFFF"/>
          <w:lang w:eastAsia="zh-CN"/>
        </w:rPr>
        <w:t>并通过</w:t>
      </w:r>
      <w:r>
        <w:rPr>
          <w:rStyle w:val="21"/>
          <w:rFonts w:hint="eastAsia" w:ascii="宋体" w:hAnsi="宋体" w:eastAsia="宋体" w:cs="宋体"/>
          <w:bCs w:val="0"/>
          <w:color w:val="auto"/>
          <w:kern w:val="0"/>
          <w:sz w:val="24"/>
          <w:szCs w:val="24"/>
          <w:highlight w:val="none"/>
          <w:shd w:val="clear" w:color="auto" w:fill="FFFFFF"/>
          <w:lang w:val="en-US" w:eastAsia="zh-CN"/>
        </w:rPr>
        <w:t>专家评审</w:t>
      </w:r>
      <w:r>
        <w:rPr>
          <w:rFonts w:hint="eastAsia" w:ascii="宋体" w:hAnsi="宋体" w:eastAsia="宋体" w:cs="宋体"/>
          <w:b w:val="0"/>
          <w:i w:val="0"/>
          <w:caps w:val="0"/>
          <w:color w:val="auto"/>
          <w:spacing w:val="0"/>
          <w:sz w:val="24"/>
          <w:szCs w:val="24"/>
          <w:highlight w:val="none"/>
          <w:shd w:val="clear" w:color="auto" w:fill="FFFFFF"/>
          <w:lang w:eastAsia="zh-CN"/>
        </w:rPr>
        <w:t>。</w:t>
      </w:r>
    </w:p>
    <w:p w14:paraId="2CF1CCA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lang w:eastAsia="zh-CN"/>
        </w:rPr>
      </w:pPr>
      <w:r>
        <w:rPr>
          <w:rFonts w:hint="eastAsia" w:ascii="宋体" w:hAnsi="宋体" w:eastAsia="宋体" w:cs="宋体"/>
          <w:b w:val="0"/>
          <w:i w:val="0"/>
          <w:caps w:val="0"/>
          <w:color w:val="auto"/>
          <w:spacing w:val="0"/>
          <w:sz w:val="24"/>
          <w:szCs w:val="24"/>
          <w:highlight w:val="none"/>
          <w:shd w:val="clear" w:color="auto" w:fill="FFFFFF"/>
        </w:rPr>
        <w:t>2</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乙方对甲方提供的资料及评估结果必须保守秘密；对于甲方提供的资料、信息及乙方对委托事项作出的评估结果，乙方不得以任何方式利用、披露，不得以任何方式提供给第三方，否则视为乙方严重违约，乙方应承担违约责任，并承担相关法律和经济责任</w:t>
      </w:r>
      <w:r>
        <w:rPr>
          <w:rFonts w:hint="eastAsia" w:ascii="宋体" w:hAnsi="宋体" w:eastAsia="宋体" w:cs="宋体"/>
          <w:b w:val="0"/>
          <w:i w:val="0"/>
          <w:caps w:val="0"/>
          <w:color w:val="auto"/>
          <w:spacing w:val="0"/>
          <w:sz w:val="24"/>
          <w:szCs w:val="24"/>
          <w:highlight w:val="none"/>
          <w:shd w:val="clear" w:color="auto" w:fill="FFFFFF"/>
          <w:lang w:eastAsia="zh-CN"/>
        </w:rPr>
        <w:t>。</w:t>
      </w:r>
    </w:p>
    <w:p w14:paraId="393A222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eastAsia="zh-CN"/>
        </w:rPr>
      </w:pPr>
      <w:r>
        <w:rPr>
          <w:rFonts w:hint="eastAsia" w:ascii="宋体" w:hAnsi="宋体" w:eastAsia="宋体" w:cs="宋体"/>
          <w:b w:val="0"/>
          <w:i w:val="0"/>
          <w:caps w:val="0"/>
          <w:color w:val="auto"/>
          <w:spacing w:val="0"/>
          <w:sz w:val="24"/>
          <w:szCs w:val="24"/>
          <w:highlight w:val="none"/>
          <w:shd w:val="clear" w:color="auto" w:fill="FFFFFF"/>
        </w:rPr>
        <w:t>3</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乙方按本合同约定时间提交</w:t>
      </w:r>
      <w:r>
        <w:rPr>
          <w:rFonts w:hint="eastAsia" w:ascii="宋体" w:hAnsi="宋体" w:eastAsia="宋体" w:cs="宋体"/>
          <w:b w:val="0"/>
          <w:i w:val="0"/>
          <w:caps w:val="0"/>
          <w:color w:val="auto"/>
          <w:spacing w:val="0"/>
          <w:sz w:val="24"/>
          <w:szCs w:val="24"/>
          <w:highlight w:val="none"/>
          <w:shd w:val="clear" w:color="auto" w:fill="FFFFFF"/>
          <w:lang w:val="en-US" w:eastAsia="zh-CN"/>
        </w:rPr>
        <w:t>成果报告</w:t>
      </w:r>
      <w:r>
        <w:rPr>
          <w:rFonts w:hint="eastAsia" w:ascii="宋体" w:hAnsi="宋体" w:eastAsia="宋体" w:cs="宋体"/>
          <w:sz w:val="24"/>
          <w:szCs w:val="24"/>
          <w:shd w:val="clear" w:color="auto" w:fill="FFFFFF"/>
        </w:rPr>
        <w:t>并通过专家评审</w:t>
      </w:r>
      <w:r>
        <w:rPr>
          <w:rFonts w:hint="eastAsia" w:ascii="宋体" w:hAnsi="宋体" w:eastAsia="宋体" w:cs="宋体"/>
          <w:b w:val="0"/>
          <w:i w:val="0"/>
          <w:caps w:val="0"/>
          <w:color w:val="auto"/>
          <w:spacing w:val="0"/>
          <w:sz w:val="24"/>
          <w:szCs w:val="24"/>
          <w:highlight w:val="none"/>
          <w:shd w:val="clear" w:color="auto" w:fill="FFFFFF"/>
        </w:rPr>
        <w:t>;如果因甲方没有在约定时间提交评估所需要的基本资料，乙方有权延长提交报告时间</w:t>
      </w:r>
      <w:r>
        <w:rPr>
          <w:rFonts w:hint="eastAsia" w:ascii="宋体" w:hAnsi="宋体" w:eastAsia="宋体" w:cs="宋体"/>
          <w:b w:val="0"/>
          <w:i w:val="0"/>
          <w:caps w:val="0"/>
          <w:color w:val="auto"/>
          <w:spacing w:val="0"/>
          <w:sz w:val="24"/>
          <w:szCs w:val="24"/>
          <w:highlight w:val="none"/>
          <w:shd w:val="clear" w:color="auto" w:fill="FFFFFF"/>
          <w:lang w:eastAsia="zh-CN"/>
        </w:rPr>
        <w:t>。</w:t>
      </w:r>
    </w:p>
    <w:p w14:paraId="6555E24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shd w:val="clear" w:color="auto" w:fill="FFFFFF"/>
        </w:rPr>
        <w:t>4</w:t>
      </w:r>
      <w:r>
        <w:rPr>
          <w:rFonts w:hint="eastAsia" w:ascii="宋体" w:hAnsi="宋体" w:eastAsia="宋体" w:cs="宋体"/>
          <w:b w:val="0"/>
          <w:i w:val="0"/>
          <w:caps w:val="0"/>
          <w:color w:val="auto"/>
          <w:spacing w:val="0"/>
          <w:sz w:val="24"/>
          <w:szCs w:val="24"/>
          <w:highlight w:val="none"/>
          <w:shd w:val="clear" w:color="auto" w:fill="FFFFFF"/>
          <w:lang w:eastAsia="zh-CN"/>
        </w:rPr>
        <w:t>、</w:t>
      </w:r>
      <w:r>
        <w:rPr>
          <w:rFonts w:hint="eastAsia" w:ascii="宋体" w:hAnsi="宋体" w:eastAsia="宋体" w:cs="宋体"/>
          <w:b w:val="0"/>
          <w:i w:val="0"/>
          <w:caps w:val="0"/>
          <w:color w:val="auto"/>
          <w:spacing w:val="0"/>
          <w:sz w:val="24"/>
          <w:szCs w:val="24"/>
          <w:highlight w:val="none"/>
          <w:shd w:val="clear" w:color="auto" w:fill="FFFFFF"/>
        </w:rPr>
        <w:t>在评估过程中，甲方对合同约定的评估对象、评估、范围和评估目的提出重大修改，需要乙方调整工作内容，双方应另外协商评估收费和提交评估报告时间。</w:t>
      </w:r>
    </w:p>
    <w:p w14:paraId="5A33E4D1">
      <w:pPr>
        <w:pStyle w:val="12"/>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firstLine="482" w:firstLineChars="200"/>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八</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rPr>
        <w:t>履约保证金</w:t>
      </w:r>
    </w:p>
    <w:p w14:paraId="1EBF6E60">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仿宋_GB2312" w:hAnsi="仿宋_GB2312" w:eastAsia="仿宋_GB2312" w:cs="仿宋_GB2312"/>
          <w:b/>
          <w:bCs/>
          <w:sz w:val="32"/>
          <w:szCs w:val="32"/>
          <w:lang w:val="en-US" w:eastAsia="zh-CN"/>
        </w:rPr>
      </w:pPr>
      <w:r>
        <w:rPr>
          <w:rFonts w:hint="eastAsia" w:ascii="宋体" w:hAnsi="宋体" w:eastAsia="宋体" w:cs="宋体"/>
          <w:color w:val="auto"/>
          <w:sz w:val="24"/>
          <w:szCs w:val="24"/>
          <w:highlight w:val="none"/>
          <w:shd w:val="clear" w:color="auto" w:fill="FFFFFF"/>
          <w:lang w:val="zh-CN" w:eastAsia="zh-CN"/>
        </w:rPr>
        <w:t>1、履约保证金为项目成交价的10%（</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val="en-US" w:eastAsia="zh-CN"/>
        </w:rPr>
        <w:t>元</w:t>
      </w:r>
      <w:r>
        <w:rPr>
          <w:rFonts w:hint="eastAsia" w:ascii="宋体" w:hAnsi="宋体" w:eastAsia="宋体" w:cs="宋体"/>
          <w:color w:val="auto"/>
          <w:sz w:val="24"/>
          <w:szCs w:val="24"/>
          <w:highlight w:val="none"/>
          <w:shd w:val="clear" w:color="auto" w:fill="FFFFFF"/>
          <w:lang w:val="zh-CN" w:eastAsia="zh-CN"/>
        </w:rPr>
        <w:t>），</w:t>
      </w:r>
      <w:r>
        <w:rPr>
          <w:rFonts w:hint="eastAsia" w:ascii="宋体" w:hAnsi="宋体" w:eastAsia="宋体" w:cs="宋体"/>
          <w:color w:val="auto"/>
          <w:sz w:val="24"/>
          <w:szCs w:val="24"/>
          <w:highlight w:val="none"/>
          <w:shd w:val="clear" w:color="auto" w:fill="FFFFFF"/>
          <w:lang w:val="en-US" w:eastAsia="zh-CN"/>
        </w:rPr>
        <w:t>乙方</w:t>
      </w:r>
      <w:r>
        <w:rPr>
          <w:rFonts w:hint="eastAsia" w:ascii="宋体" w:hAnsi="宋体" w:eastAsia="宋体" w:cs="宋体"/>
          <w:color w:val="auto"/>
          <w:kern w:val="0"/>
          <w:sz w:val="24"/>
          <w:szCs w:val="24"/>
          <w:highlight w:val="none"/>
          <w:shd w:val="clear" w:color="auto" w:fill="FFFFFF"/>
          <w:lang w:val="en-US" w:eastAsia="zh-CN" w:bidi="ar-SA"/>
        </w:rPr>
        <w:t>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p>
    <w:p w14:paraId="7FD98C11">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zh-CN" w:eastAsia="zh-CN"/>
        </w:rPr>
        <w:t>2、</w:t>
      </w:r>
      <w:r>
        <w:rPr>
          <w:rFonts w:hint="eastAsia" w:ascii="宋体" w:hAnsi="宋体" w:eastAsia="宋体" w:cs="宋体"/>
          <w:color w:val="auto"/>
          <w:kern w:val="0"/>
          <w:sz w:val="24"/>
          <w:szCs w:val="24"/>
          <w:highlight w:val="none"/>
          <w:shd w:val="clear" w:color="auto" w:fill="FFFFFF"/>
          <w:lang w:val="en-US" w:eastAsia="zh-CN" w:bidi="ar-SA"/>
        </w:rPr>
        <w:t>乙方</w:t>
      </w:r>
      <w:r>
        <w:rPr>
          <w:rFonts w:hint="eastAsia" w:ascii="宋体" w:hAnsi="宋体" w:eastAsia="宋体" w:cs="宋体"/>
          <w:color w:val="auto"/>
          <w:sz w:val="24"/>
          <w:szCs w:val="24"/>
          <w:highlight w:val="none"/>
          <w:shd w:val="clear" w:color="auto" w:fill="FFFFFF"/>
          <w:lang w:val="en-US" w:eastAsia="zh-CN"/>
        </w:rPr>
        <w:t>全部履约合同义务，经甲方验收合格无质量、进度等问题的，甲方在验收合格后一次性退还履约保证金，甲方若逾期退还履约保证金的，按照逾期部分的每日0.05%支付违约金。</w:t>
      </w:r>
      <w:r>
        <w:rPr>
          <w:rFonts w:hint="eastAsia" w:ascii="宋体" w:hAnsi="宋体" w:eastAsia="宋体" w:cs="宋体"/>
          <w:color w:val="auto"/>
          <w:sz w:val="24"/>
          <w:szCs w:val="24"/>
          <w:highlight w:val="none"/>
          <w:shd w:val="clear" w:color="auto" w:fill="FFFFFF"/>
          <w:lang w:val="zh-CN" w:eastAsia="zh-CN"/>
        </w:rPr>
        <w:cr/>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val="zh-CN" w:eastAsia="zh-CN"/>
        </w:rPr>
        <w:t>3、</w:t>
      </w:r>
      <w:r>
        <w:rPr>
          <w:rFonts w:hint="eastAsia" w:ascii="宋体" w:hAnsi="宋体" w:eastAsia="宋体" w:cs="宋体"/>
          <w:color w:val="auto"/>
          <w:sz w:val="24"/>
          <w:szCs w:val="24"/>
          <w:highlight w:val="none"/>
          <w:shd w:val="clear" w:color="auto" w:fill="FFFFFF"/>
          <w:lang w:val="en-US" w:eastAsia="zh-CN"/>
        </w:rPr>
        <w:t>发生以下情况的，履约保证金不予退还或部分退还：</w:t>
      </w:r>
    </w:p>
    <w:p w14:paraId="7A6A5BC4">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a.签订合同后，</w:t>
      </w:r>
      <w:r>
        <w:rPr>
          <w:rFonts w:hint="eastAsia" w:ascii="宋体" w:hAnsi="宋体" w:eastAsia="宋体" w:cs="宋体"/>
          <w:color w:val="auto"/>
          <w:kern w:val="0"/>
          <w:sz w:val="24"/>
          <w:szCs w:val="24"/>
          <w:highlight w:val="none"/>
          <w:shd w:val="clear" w:color="auto" w:fill="FFFFFF"/>
          <w:lang w:val="en-US" w:eastAsia="zh-CN" w:bidi="ar-SA"/>
        </w:rPr>
        <w:t>乙方</w:t>
      </w:r>
      <w:r>
        <w:rPr>
          <w:rFonts w:hint="eastAsia" w:ascii="宋体" w:hAnsi="宋体" w:eastAsia="宋体" w:cs="宋体"/>
          <w:color w:val="auto"/>
          <w:sz w:val="24"/>
          <w:szCs w:val="24"/>
          <w:highlight w:val="none"/>
          <w:shd w:val="clear" w:color="auto" w:fill="FFFFFF"/>
          <w:lang w:val="en-US" w:eastAsia="zh-CN"/>
        </w:rPr>
        <w:t>不履行合同义务的，甲方有权全额扣除履约保证金，全额不予退还，同时甲方亦有权终止合同，</w:t>
      </w:r>
      <w:r>
        <w:rPr>
          <w:rFonts w:hint="eastAsia" w:ascii="宋体" w:hAnsi="宋体" w:eastAsia="宋体" w:cs="宋体"/>
          <w:color w:val="auto"/>
          <w:kern w:val="0"/>
          <w:sz w:val="24"/>
          <w:szCs w:val="24"/>
          <w:highlight w:val="none"/>
          <w:shd w:val="clear" w:color="auto" w:fill="FFFFFF"/>
          <w:lang w:val="en-US" w:eastAsia="zh-CN" w:bidi="ar-SA"/>
        </w:rPr>
        <w:t>乙方</w:t>
      </w:r>
      <w:r>
        <w:rPr>
          <w:rFonts w:hint="eastAsia" w:ascii="宋体" w:hAnsi="宋体" w:eastAsia="宋体" w:cs="宋体"/>
          <w:color w:val="auto"/>
          <w:sz w:val="24"/>
          <w:szCs w:val="24"/>
          <w:highlight w:val="none"/>
          <w:shd w:val="clear" w:color="auto" w:fill="FFFFFF"/>
          <w:lang w:val="en-US" w:eastAsia="zh-CN"/>
        </w:rPr>
        <w:t>还须承担相应的法律赔偿责任。</w:t>
      </w:r>
    </w:p>
    <w:p w14:paraId="0A2A0025">
      <w:pPr>
        <w:keepNext w:val="0"/>
        <w:keepLines w:val="0"/>
        <w:pageBreakBefore w:val="0"/>
        <w:kinsoku/>
        <w:wordWrap/>
        <w:overflowPunct/>
        <w:topLinePunct w:val="0"/>
        <w:autoSpaceDE/>
        <w:autoSpaceDN/>
        <w:bidi w:val="0"/>
        <w:adjustRightInd/>
        <w:snapToGrid/>
        <w:spacing w:line="440" w:lineRule="exact"/>
        <w:ind w:right="105" w:rightChars="5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b.</w:t>
      </w:r>
      <w:r>
        <w:rPr>
          <w:rFonts w:hint="eastAsia" w:ascii="宋体" w:hAnsi="宋体" w:eastAsia="宋体" w:cs="宋体"/>
          <w:color w:val="auto"/>
          <w:kern w:val="0"/>
          <w:sz w:val="24"/>
          <w:szCs w:val="24"/>
          <w:highlight w:val="none"/>
          <w:shd w:val="clear" w:color="auto" w:fill="FFFFFF"/>
          <w:lang w:val="en-US" w:eastAsia="zh-CN" w:bidi="ar-SA"/>
        </w:rPr>
        <w:t>乙方</w:t>
      </w:r>
      <w:r>
        <w:rPr>
          <w:rFonts w:hint="eastAsia" w:ascii="宋体" w:hAnsi="宋体" w:eastAsia="宋体" w:cs="宋体"/>
          <w:color w:val="auto"/>
          <w:sz w:val="24"/>
          <w:szCs w:val="24"/>
          <w:highlight w:val="none"/>
          <w:shd w:val="clear" w:color="auto" w:fill="FFFFFF"/>
          <w:lang w:val="en-US" w:eastAsia="zh-CN"/>
        </w:rPr>
        <w:t>在履约过程中发生违约行为，给甲方造成损失的，甲方有权在</w:t>
      </w:r>
      <w:r>
        <w:rPr>
          <w:rFonts w:hint="eastAsia" w:ascii="宋体" w:hAnsi="宋体" w:eastAsia="宋体" w:cs="宋体"/>
          <w:color w:val="auto"/>
          <w:kern w:val="0"/>
          <w:sz w:val="24"/>
          <w:szCs w:val="24"/>
          <w:highlight w:val="none"/>
          <w:shd w:val="clear" w:color="auto" w:fill="FFFFFF"/>
          <w:lang w:val="en-US" w:eastAsia="zh-CN" w:bidi="ar-SA"/>
        </w:rPr>
        <w:t>乙方</w:t>
      </w:r>
      <w:r>
        <w:rPr>
          <w:rFonts w:hint="eastAsia" w:ascii="宋体" w:hAnsi="宋体" w:eastAsia="宋体" w:cs="宋体"/>
          <w:color w:val="auto"/>
          <w:sz w:val="24"/>
          <w:szCs w:val="24"/>
          <w:highlight w:val="none"/>
          <w:shd w:val="clear" w:color="auto" w:fill="FFFFFF"/>
          <w:lang w:val="en-US" w:eastAsia="zh-CN"/>
        </w:rPr>
        <w:t>缴纳的履约保证金中予以扣款，以弥补甲方经济损失，不足的部分</w:t>
      </w:r>
      <w:r>
        <w:rPr>
          <w:rFonts w:hint="eastAsia" w:ascii="宋体" w:hAnsi="宋体" w:eastAsia="宋体" w:cs="宋体"/>
          <w:color w:val="auto"/>
          <w:kern w:val="0"/>
          <w:sz w:val="24"/>
          <w:szCs w:val="24"/>
          <w:highlight w:val="none"/>
          <w:shd w:val="clear" w:color="auto" w:fill="FFFFFF"/>
          <w:lang w:val="en-US" w:eastAsia="zh-CN" w:bidi="ar-SA"/>
        </w:rPr>
        <w:t>乙方</w:t>
      </w:r>
      <w:r>
        <w:rPr>
          <w:rFonts w:hint="eastAsia" w:ascii="宋体" w:hAnsi="宋体" w:eastAsia="宋体" w:cs="宋体"/>
          <w:color w:val="auto"/>
          <w:sz w:val="24"/>
          <w:szCs w:val="24"/>
          <w:highlight w:val="none"/>
          <w:shd w:val="clear" w:color="auto" w:fill="FFFFFF"/>
          <w:lang w:val="en-US" w:eastAsia="zh-CN"/>
        </w:rPr>
        <w:t>另外补齐。</w:t>
      </w:r>
    </w:p>
    <w:p w14:paraId="61B0234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bCs/>
          <w:i w:val="0"/>
          <w:caps w:val="0"/>
          <w:color w:val="auto"/>
          <w:spacing w:val="0"/>
          <w:sz w:val="24"/>
          <w:szCs w:val="24"/>
          <w:highlight w:val="none"/>
          <w:shd w:val="clear" w:color="auto" w:fill="FFFFFF"/>
          <w:lang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九</w:t>
      </w:r>
      <w:r>
        <w:rPr>
          <w:rFonts w:hint="eastAsia" w:ascii="宋体" w:hAnsi="宋体" w:eastAsia="宋体" w:cs="宋体"/>
          <w:b/>
          <w:bCs/>
          <w:i w:val="0"/>
          <w:caps w:val="0"/>
          <w:color w:val="auto"/>
          <w:spacing w:val="0"/>
          <w:sz w:val="24"/>
          <w:szCs w:val="24"/>
          <w:highlight w:val="none"/>
          <w:shd w:val="clear" w:color="auto" w:fill="FFFFFF"/>
        </w:rPr>
        <w:t>、</w:t>
      </w:r>
      <w:r>
        <w:rPr>
          <w:rFonts w:hint="eastAsia" w:ascii="宋体" w:hAnsi="宋体" w:eastAsia="宋体" w:cs="宋体"/>
          <w:b/>
          <w:bCs/>
          <w:i w:val="0"/>
          <w:caps w:val="0"/>
          <w:color w:val="auto"/>
          <w:spacing w:val="0"/>
          <w:sz w:val="24"/>
          <w:szCs w:val="24"/>
          <w:highlight w:val="none"/>
          <w:shd w:val="clear" w:color="auto" w:fill="FFFFFF"/>
          <w:lang w:eastAsia="zh-CN"/>
        </w:rPr>
        <w:t>违约</w:t>
      </w:r>
    </w:p>
    <w:p w14:paraId="5B955789">
      <w:pPr>
        <w:pStyle w:val="12"/>
        <w:keepNext w:val="0"/>
        <w:keepLines w:val="0"/>
        <w:pageBreakBefore w:val="0"/>
        <w:widowControl/>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40" w:lineRule="exact"/>
        <w:ind w:left="0" w:firstLine="420"/>
        <w:textAlignment w:val="auto"/>
        <w:rPr>
          <w:rFonts w:hint="eastAsia" w:ascii="宋体" w:hAnsi="宋体" w:eastAsia="宋体" w:cs="宋体"/>
          <w:color w:val="auto"/>
          <w:sz w:val="24"/>
          <w:szCs w:val="24"/>
          <w:highlight w:val="none"/>
          <w:shd w:val="clear" w:color="auto" w:fill="FFFFFF"/>
          <w:lang w:val="zh-CN" w:eastAsia="zh-CN"/>
        </w:rPr>
      </w:pPr>
      <w:r>
        <w:rPr>
          <w:rFonts w:hint="eastAsia" w:ascii="宋体" w:hAnsi="宋体" w:eastAsia="宋体" w:cs="宋体"/>
          <w:color w:val="auto"/>
          <w:sz w:val="24"/>
          <w:szCs w:val="24"/>
          <w:highlight w:val="none"/>
          <w:shd w:val="clear" w:color="auto" w:fill="FFFFFF"/>
          <w:lang w:val="en-US" w:eastAsia="zh-CN"/>
        </w:rPr>
        <w:t>1、乙方</w:t>
      </w:r>
      <w:r>
        <w:rPr>
          <w:rFonts w:hint="eastAsia" w:ascii="宋体" w:hAnsi="宋体" w:eastAsia="宋体" w:cs="宋体"/>
          <w:color w:val="auto"/>
          <w:sz w:val="24"/>
          <w:szCs w:val="24"/>
          <w:highlight w:val="none"/>
          <w:shd w:val="clear" w:color="auto" w:fill="FFFFFF"/>
          <w:lang w:val="zh-CN" w:eastAsia="zh-CN"/>
        </w:rPr>
        <w:t>逾期完成工作和提交成果的，除不可抗力外，每逾期1日，甲方有权按合同金额的0.2%作为违约金，在支付乙方的款项中扣除相应金额；逾期超过30日的，甲方有权中止或终止合同，由于乙方责任造成的项目违约，没收乙方全部履约保证金，并扣除合同最高金额的10%作为违约金。</w:t>
      </w:r>
    </w:p>
    <w:p w14:paraId="00A3B79A">
      <w:pPr>
        <w:pStyle w:val="12"/>
        <w:keepNext w:val="0"/>
        <w:keepLines w:val="0"/>
        <w:pageBreakBefore w:val="0"/>
        <w:widowControl/>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40" w:lineRule="exact"/>
        <w:ind w:left="0" w:firstLine="420"/>
        <w:textAlignment w:val="auto"/>
        <w:rPr>
          <w:rFonts w:hint="eastAsia" w:ascii="宋体" w:hAnsi="宋体" w:eastAsia="宋体" w:cs="宋体"/>
          <w:color w:val="auto"/>
          <w:sz w:val="24"/>
          <w:szCs w:val="24"/>
          <w:highlight w:val="none"/>
          <w:shd w:val="clear" w:color="auto" w:fill="FFFFFF"/>
          <w:lang w:val="zh-CN" w:eastAsia="zh-CN"/>
        </w:rPr>
      </w:pPr>
      <w:r>
        <w:rPr>
          <w:rFonts w:hint="eastAsia" w:ascii="宋体" w:hAnsi="宋体" w:eastAsia="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lang w:val="zh-CN" w:eastAsia="zh-CN"/>
        </w:rPr>
        <w:t>乙方</w:t>
      </w:r>
      <w:r>
        <w:rPr>
          <w:rFonts w:hint="eastAsia" w:ascii="宋体" w:hAnsi="宋体" w:eastAsia="宋体" w:cs="宋体"/>
          <w:color w:val="auto"/>
          <w:sz w:val="24"/>
          <w:szCs w:val="24"/>
          <w:highlight w:val="none"/>
          <w:shd w:val="clear" w:color="auto" w:fill="FFFFFF"/>
          <w:lang w:val="en-US" w:eastAsia="zh-CN"/>
        </w:rPr>
        <w:t>的</w:t>
      </w:r>
      <w:r>
        <w:rPr>
          <w:rFonts w:hint="eastAsia" w:ascii="宋体" w:hAnsi="宋体" w:eastAsia="宋体" w:cs="宋体"/>
          <w:color w:val="auto"/>
          <w:sz w:val="24"/>
          <w:szCs w:val="24"/>
          <w:highlight w:val="none"/>
          <w:shd w:val="clear" w:color="auto" w:fill="FFFFFF"/>
          <w:lang w:val="zh-CN" w:eastAsia="zh-CN"/>
        </w:rPr>
        <w:t>成果报告质量经专家评审为不合格的，乙方应无偿给予修改或重做，采取补救措施以达到质量要求。因</w:t>
      </w:r>
      <w:r>
        <w:rPr>
          <w:rFonts w:hint="eastAsia" w:ascii="宋体" w:hAnsi="宋体" w:eastAsia="宋体" w:cs="宋体"/>
          <w:color w:val="auto"/>
          <w:sz w:val="24"/>
          <w:szCs w:val="24"/>
          <w:highlight w:val="none"/>
          <w:shd w:val="clear" w:color="auto" w:fill="FFFFFF"/>
          <w:lang w:val="en-US" w:eastAsia="zh-CN"/>
        </w:rPr>
        <w:t>报告</w:t>
      </w:r>
      <w:r>
        <w:rPr>
          <w:rFonts w:hint="eastAsia" w:ascii="宋体" w:hAnsi="宋体" w:eastAsia="宋体" w:cs="宋体"/>
          <w:color w:val="auto"/>
          <w:sz w:val="24"/>
          <w:szCs w:val="24"/>
          <w:highlight w:val="none"/>
          <w:shd w:val="clear" w:color="auto" w:fill="FFFFFF"/>
          <w:lang w:val="zh-CN" w:eastAsia="zh-CN"/>
        </w:rPr>
        <w:t>质量不</w:t>
      </w:r>
      <w:r>
        <w:rPr>
          <w:rFonts w:hint="eastAsia" w:ascii="宋体" w:hAnsi="宋体" w:eastAsia="宋体" w:cs="宋体"/>
          <w:color w:val="auto"/>
          <w:sz w:val="24"/>
          <w:szCs w:val="24"/>
          <w:highlight w:val="none"/>
          <w:shd w:val="clear" w:color="auto" w:fill="FFFFFF"/>
          <w:lang w:val="en-US" w:eastAsia="zh-CN"/>
        </w:rPr>
        <w:t>满足合</w:t>
      </w:r>
      <w:r>
        <w:rPr>
          <w:rFonts w:hint="eastAsia" w:ascii="宋体" w:hAnsi="宋体" w:eastAsia="宋体" w:cs="宋体"/>
          <w:color w:val="auto"/>
          <w:sz w:val="24"/>
          <w:szCs w:val="24"/>
          <w:highlight w:val="none"/>
          <w:shd w:val="clear" w:color="auto" w:fill="FFFFFF"/>
          <w:lang w:val="zh-CN" w:eastAsia="zh-CN"/>
        </w:rPr>
        <w:t>同约定的要求并因此给甲方造成损失的，乙方应对此造成</w:t>
      </w:r>
      <w:r>
        <w:rPr>
          <w:rFonts w:hint="eastAsia" w:ascii="宋体" w:hAnsi="宋体" w:eastAsia="宋体" w:cs="宋体"/>
          <w:color w:val="auto"/>
          <w:sz w:val="24"/>
          <w:szCs w:val="24"/>
          <w:highlight w:val="none"/>
          <w:shd w:val="clear" w:color="auto" w:fill="FFFFFF"/>
          <w:lang w:val="en-US" w:eastAsia="zh-CN"/>
        </w:rPr>
        <w:t>的</w:t>
      </w:r>
      <w:r>
        <w:rPr>
          <w:rFonts w:hint="eastAsia" w:ascii="宋体" w:hAnsi="宋体" w:eastAsia="宋体" w:cs="宋体"/>
          <w:color w:val="auto"/>
          <w:sz w:val="24"/>
          <w:szCs w:val="24"/>
          <w:highlight w:val="none"/>
          <w:shd w:val="clear" w:color="auto" w:fill="FFFFFF"/>
          <w:lang w:val="zh-CN" w:eastAsia="zh-CN"/>
        </w:rPr>
        <w:t>直接损失负赔偿责任，并承担相应的法律责任。</w:t>
      </w:r>
    </w:p>
    <w:p w14:paraId="61465DB6">
      <w:pPr>
        <w:pStyle w:val="12"/>
        <w:keepNext w:val="0"/>
        <w:keepLines w:val="0"/>
        <w:pageBreakBefore w:val="0"/>
        <w:widowControl/>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40" w:lineRule="exact"/>
        <w:ind w:left="0" w:firstLine="420"/>
        <w:textAlignment w:val="auto"/>
        <w:rPr>
          <w:rFonts w:hint="eastAsia" w:ascii="宋体" w:hAnsi="宋体" w:eastAsia="宋体" w:cs="宋体"/>
          <w:color w:val="auto"/>
          <w:sz w:val="24"/>
          <w:szCs w:val="24"/>
          <w:highlight w:val="none"/>
          <w:shd w:val="clear" w:color="auto" w:fill="FFFFFF"/>
          <w:lang w:val="zh-CN" w:eastAsia="zh-CN"/>
        </w:rPr>
      </w:pP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lang w:val="zh-CN" w:eastAsia="zh-CN"/>
        </w:rPr>
        <w:t>其它未尽事宜，以《中华人民共和国民法典》和其它有关法律、法规规定为准，无相关规定的，双方协商解决。</w:t>
      </w:r>
    </w:p>
    <w:p w14:paraId="67F3A57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bCs/>
          <w:i w:val="0"/>
          <w:caps w:val="0"/>
          <w:color w:val="auto"/>
          <w:spacing w:val="0"/>
          <w:sz w:val="24"/>
          <w:szCs w:val="24"/>
          <w:highlight w:val="none"/>
        </w:rPr>
      </w:pPr>
      <w:r>
        <w:rPr>
          <w:rFonts w:hint="eastAsia" w:ascii="宋体" w:hAnsi="宋体" w:eastAsia="宋体" w:cs="宋体"/>
          <w:b/>
          <w:bCs/>
          <w:i w:val="0"/>
          <w:caps w:val="0"/>
          <w:color w:val="auto"/>
          <w:spacing w:val="0"/>
          <w:sz w:val="24"/>
          <w:szCs w:val="24"/>
          <w:highlight w:val="none"/>
          <w:shd w:val="clear" w:color="auto" w:fill="FFFFFF"/>
          <w:lang w:eastAsia="zh-CN"/>
        </w:rPr>
        <w:t>十、</w:t>
      </w:r>
      <w:r>
        <w:rPr>
          <w:rFonts w:hint="eastAsia" w:ascii="宋体" w:hAnsi="宋体" w:eastAsia="宋体" w:cs="宋体"/>
          <w:b/>
          <w:bCs/>
          <w:i w:val="0"/>
          <w:caps w:val="0"/>
          <w:color w:val="auto"/>
          <w:spacing w:val="0"/>
          <w:sz w:val="24"/>
          <w:szCs w:val="24"/>
          <w:highlight w:val="none"/>
          <w:shd w:val="clear" w:color="auto" w:fill="FFFFFF"/>
        </w:rPr>
        <w:t>其他约定</w:t>
      </w:r>
    </w:p>
    <w:p w14:paraId="7F6F11E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zh-CN"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1、</w:t>
      </w:r>
      <w:r>
        <w:rPr>
          <w:rFonts w:hint="eastAsia" w:ascii="宋体" w:hAnsi="宋体" w:eastAsia="宋体" w:cs="宋体"/>
          <w:b w:val="0"/>
          <w:i w:val="0"/>
          <w:caps w:val="0"/>
          <w:color w:val="auto"/>
          <w:spacing w:val="0"/>
          <w:sz w:val="24"/>
          <w:szCs w:val="24"/>
          <w:highlight w:val="none"/>
          <w:shd w:val="clear" w:color="auto" w:fill="FFFFFF"/>
          <w:lang w:val="zh-CN" w:eastAsia="zh-CN"/>
        </w:rPr>
        <w:t>本项目作业人员应根据相关文件规定持证上岗。因乙方未按规定操作、未安排专业人员作业等造成的损失及所有后果均由乙方承担，给甲方带来损失的，也应作出相应赔偿。</w:t>
      </w:r>
    </w:p>
    <w:p w14:paraId="338CDE2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rPr>
      </w:pPr>
      <w:r>
        <w:rPr>
          <w:rFonts w:hint="eastAsia" w:ascii="宋体" w:hAnsi="宋体" w:eastAsia="宋体" w:cs="宋体"/>
          <w:b w:val="0"/>
          <w:i w:val="0"/>
          <w:caps w:val="0"/>
          <w:color w:val="auto"/>
          <w:spacing w:val="0"/>
          <w:sz w:val="24"/>
          <w:szCs w:val="24"/>
          <w:highlight w:val="none"/>
          <w:shd w:val="clear" w:color="auto" w:fill="FFFFFF"/>
          <w:lang w:val="en-US" w:eastAsia="zh-CN"/>
        </w:rPr>
        <w:t>2、</w:t>
      </w:r>
      <w:r>
        <w:rPr>
          <w:rFonts w:hint="eastAsia" w:ascii="宋体" w:hAnsi="宋体" w:eastAsia="宋体" w:cs="宋体"/>
          <w:b w:val="0"/>
          <w:i w:val="0"/>
          <w:caps w:val="0"/>
          <w:color w:val="auto"/>
          <w:spacing w:val="0"/>
          <w:sz w:val="24"/>
          <w:szCs w:val="24"/>
          <w:highlight w:val="none"/>
          <w:shd w:val="clear" w:color="auto" w:fill="FFFFFF"/>
        </w:rPr>
        <w:t>双方务必共同遵守本合同各条款。如乙方无故违约，所收</w:t>
      </w:r>
      <w:r>
        <w:rPr>
          <w:rFonts w:hint="eastAsia" w:ascii="宋体" w:hAnsi="宋体" w:eastAsia="宋体" w:cs="宋体"/>
          <w:b w:val="0"/>
          <w:i w:val="0"/>
          <w:caps w:val="0"/>
          <w:color w:val="auto"/>
          <w:spacing w:val="0"/>
          <w:sz w:val="24"/>
          <w:szCs w:val="24"/>
          <w:highlight w:val="none"/>
          <w:shd w:val="clear" w:color="auto" w:fill="FFFFFF"/>
          <w:lang w:val="en-US" w:eastAsia="zh-CN"/>
        </w:rPr>
        <w:t>服务</w:t>
      </w:r>
      <w:r>
        <w:rPr>
          <w:rFonts w:hint="eastAsia" w:ascii="宋体" w:hAnsi="宋体" w:eastAsia="宋体" w:cs="宋体"/>
          <w:b w:val="0"/>
          <w:i w:val="0"/>
          <w:caps w:val="0"/>
          <w:color w:val="auto"/>
          <w:spacing w:val="0"/>
          <w:sz w:val="24"/>
          <w:szCs w:val="24"/>
          <w:highlight w:val="none"/>
          <w:shd w:val="clear" w:color="auto" w:fill="FFFFFF"/>
        </w:rPr>
        <w:t>费用全部退还甲方，并应赔偿同等</w:t>
      </w:r>
      <w:r>
        <w:rPr>
          <w:rFonts w:hint="eastAsia" w:ascii="宋体" w:hAnsi="宋体" w:eastAsia="宋体" w:cs="宋体"/>
          <w:b w:val="0"/>
          <w:i w:val="0"/>
          <w:caps w:val="0"/>
          <w:color w:val="auto"/>
          <w:spacing w:val="0"/>
          <w:sz w:val="24"/>
          <w:szCs w:val="24"/>
          <w:highlight w:val="none"/>
          <w:shd w:val="clear" w:color="auto" w:fill="FFFFFF"/>
          <w:lang w:val="en-US" w:eastAsia="zh-CN"/>
        </w:rPr>
        <w:t>服务</w:t>
      </w:r>
      <w:r>
        <w:rPr>
          <w:rFonts w:hint="eastAsia" w:ascii="宋体" w:hAnsi="宋体" w:eastAsia="宋体" w:cs="宋体"/>
          <w:b w:val="0"/>
          <w:i w:val="0"/>
          <w:caps w:val="0"/>
          <w:color w:val="auto"/>
          <w:spacing w:val="0"/>
          <w:sz w:val="24"/>
          <w:szCs w:val="24"/>
          <w:highlight w:val="none"/>
          <w:shd w:val="clear" w:color="auto" w:fill="FFFFFF"/>
        </w:rPr>
        <w:t>费的违约金;如甲方无故违约，应付</w:t>
      </w:r>
      <w:r>
        <w:rPr>
          <w:rFonts w:hint="eastAsia" w:ascii="宋体" w:hAnsi="宋体" w:eastAsia="宋体" w:cs="宋体"/>
          <w:b w:val="0"/>
          <w:i w:val="0"/>
          <w:caps w:val="0"/>
          <w:color w:val="auto"/>
          <w:spacing w:val="0"/>
          <w:sz w:val="24"/>
          <w:szCs w:val="24"/>
          <w:highlight w:val="none"/>
          <w:shd w:val="clear" w:color="auto" w:fill="FFFFFF"/>
          <w:lang w:val="en-US" w:eastAsia="zh-CN"/>
        </w:rPr>
        <w:t>服务</w:t>
      </w:r>
      <w:r>
        <w:rPr>
          <w:rFonts w:hint="eastAsia" w:ascii="宋体" w:hAnsi="宋体" w:eastAsia="宋体" w:cs="宋体"/>
          <w:b w:val="0"/>
          <w:i w:val="0"/>
          <w:caps w:val="0"/>
          <w:color w:val="auto"/>
          <w:spacing w:val="0"/>
          <w:sz w:val="24"/>
          <w:szCs w:val="24"/>
          <w:highlight w:val="none"/>
          <w:shd w:val="clear" w:color="auto" w:fill="FFFFFF"/>
        </w:rPr>
        <w:t>费用应按本合同规定支付。</w:t>
      </w:r>
    </w:p>
    <w:p w14:paraId="41099B6E">
      <w:pPr>
        <w:keepNext w:val="0"/>
        <w:keepLines w:val="0"/>
        <w:pageBreakBefore w:val="0"/>
        <w:widowControl w:val="0"/>
        <w:kinsoku/>
        <w:wordWrap/>
        <w:overflowPunct/>
        <w:topLinePunct w:val="0"/>
        <w:autoSpaceDE/>
        <w:autoSpaceDN/>
        <w:bidi w:val="0"/>
        <w:adjustRightInd/>
        <w:snapToGrid/>
        <w:spacing w:line="440" w:lineRule="exact"/>
        <w:ind w:left="140" w:hanging="120" w:hangingChars="5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lang w:eastAsia="zh-CN"/>
        </w:rPr>
        <w:t>十</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w:t>
      </w:r>
      <w:r>
        <w:rPr>
          <w:rFonts w:hint="eastAsia" w:ascii="宋体" w:hAnsi="宋体" w:eastAsia="宋体" w:cs="宋体"/>
          <w:sz w:val="24"/>
          <w:szCs w:val="24"/>
        </w:rPr>
        <w:t>双方因履行本合同而发生的争议，应协商、调节解决。协商、调解不成的，确定按以下第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种方式处理：</w:t>
      </w:r>
    </w:p>
    <w:p w14:paraId="711F022C">
      <w:pPr>
        <w:keepNext w:val="0"/>
        <w:keepLines w:val="0"/>
        <w:pageBreakBefore w:val="0"/>
        <w:widowControl w:val="0"/>
        <w:kinsoku/>
        <w:wordWrap/>
        <w:overflowPunct/>
        <w:topLinePunct w:val="0"/>
        <w:autoSpaceDE/>
        <w:autoSpaceDN/>
        <w:bidi w:val="0"/>
        <w:adjustRightInd/>
        <w:snapToGrid/>
        <w:spacing w:line="440" w:lineRule="exact"/>
        <w:ind w:left="140" w:hanging="120" w:hangingChars="50"/>
        <w:textAlignment w:val="auto"/>
        <w:rPr>
          <w:rFonts w:hint="eastAsia" w:ascii="宋体" w:hAnsi="宋体" w:eastAsia="宋体" w:cs="宋体"/>
          <w:sz w:val="24"/>
          <w:szCs w:val="24"/>
        </w:rPr>
      </w:pPr>
      <w:r>
        <w:rPr>
          <w:rFonts w:hint="eastAsia" w:ascii="宋体" w:hAnsi="宋体" w:eastAsia="宋体" w:cs="宋体"/>
          <w:sz w:val="24"/>
          <w:szCs w:val="24"/>
        </w:rPr>
        <w:t xml:space="preserve">     1. 提交</w:t>
      </w:r>
      <w:r>
        <w:rPr>
          <w:rFonts w:hint="eastAsia" w:ascii="宋体" w:hAnsi="宋体" w:eastAsia="宋体" w:cs="宋体"/>
          <w:sz w:val="24"/>
          <w:szCs w:val="24"/>
          <w:u w:val="single"/>
        </w:rPr>
        <w:t xml:space="preserve">  启东市   </w:t>
      </w:r>
      <w:r>
        <w:rPr>
          <w:rFonts w:hint="eastAsia" w:ascii="宋体" w:hAnsi="宋体" w:eastAsia="宋体" w:cs="宋体"/>
          <w:sz w:val="24"/>
          <w:szCs w:val="24"/>
        </w:rPr>
        <w:t>仲裁委员会仲裁；</w:t>
      </w:r>
    </w:p>
    <w:p w14:paraId="2608939D">
      <w:pPr>
        <w:keepNext w:val="0"/>
        <w:keepLines w:val="0"/>
        <w:pageBreakBefore w:val="0"/>
        <w:widowControl w:val="0"/>
        <w:kinsoku/>
        <w:wordWrap/>
        <w:overflowPunct/>
        <w:topLinePunct w:val="0"/>
        <w:autoSpaceDE/>
        <w:autoSpaceDN/>
        <w:bidi w:val="0"/>
        <w:adjustRightInd/>
        <w:snapToGrid/>
        <w:spacing w:line="440" w:lineRule="exact"/>
        <w:ind w:left="140" w:hanging="120" w:hangingChars="50"/>
        <w:textAlignment w:val="auto"/>
        <w:rPr>
          <w:rFonts w:hint="eastAsia" w:ascii="宋体" w:hAnsi="宋体" w:eastAsia="宋体" w:cs="宋体"/>
          <w:sz w:val="24"/>
          <w:szCs w:val="24"/>
        </w:rPr>
      </w:pPr>
      <w:r>
        <w:rPr>
          <w:rFonts w:hint="eastAsia" w:ascii="宋体" w:hAnsi="宋体" w:eastAsia="宋体" w:cs="宋体"/>
          <w:sz w:val="24"/>
          <w:szCs w:val="24"/>
        </w:rPr>
        <w:t xml:space="preserve">     2. 依法向项目所在地人民法院起诉。</w:t>
      </w:r>
    </w:p>
    <w:p w14:paraId="620EE0AD">
      <w:pPr>
        <w:keepNext w:val="0"/>
        <w:keepLines w:val="0"/>
        <w:pageBreakBefore w:val="0"/>
        <w:widowControl w:val="0"/>
        <w:kinsoku/>
        <w:wordWrap/>
        <w:overflowPunct/>
        <w:topLinePunct w:val="0"/>
        <w:autoSpaceDE/>
        <w:autoSpaceDN/>
        <w:bidi w:val="0"/>
        <w:adjustRightInd/>
        <w:snapToGrid/>
        <w:spacing w:line="440" w:lineRule="exact"/>
        <w:ind w:left="140" w:hanging="120" w:hangingChars="5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eastAsia="zh-CN"/>
        </w:rPr>
        <w:t>十</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w:t>
      </w: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陆</w:t>
      </w:r>
      <w:r>
        <w:rPr>
          <w:rFonts w:hint="eastAsia" w:ascii="宋体" w:hAnsi="宋体" w:eastAsia="宋体" w:cs="宋体"/>
          <w:sz w:val="24"/>
          <w:szCs w:val="24"/>
          <w:u w:val="single"/>
        </w:rPr>
        <w:t xml:space="preserve"> </w:t>
      </w:r>
      <w:r>
        <w:rPr>
          <w:rFonts w:hint="eastAsia" w:ascii="宋体" w:hAnsi="宋体" w:eastAsia="宋体" w:cs="宋体"/>
          <w:sz w:val="24"/>
          <w:szCs w:val="24"/>
        </w:rPr>
        <w:t>份，甲方</w:t>
      </w:r>
      <w:r>
        <w:rPr>
          <w:rFonts w:hint="eastAsia" w:ascii="宋体" w:hAnsi="宋体" w:eastAsia="宋体" w:cs="宋体"/>
          <w:i/>
          <w:iCs/>
          <w:sz w:val="24"/>
          <w:szCs w:val="24"/>
          <w:u w:val="single"/>
        </w:rPr>
        <w:t xml:space="preserve"> </w:t>
      </w:r>
      <w:r>
        <w:rPr>
          <w:rFonts w:hint="eastAsia" w:ascii="宋体" w:hAnsi="宋体" w:eastAsia="宋体" w:cs="宋体"/>
          <w:sz w:val="24"/>
          <w:szCs w:val="24"/>
          <w:u w:val="single"/>
        </w:rPr>
        <w:t xml:space="preserve">叁 </w:t>
      </w:r>
      <w:r>
        <w:rPr>
          <w:rFonts w:hint="eastAsia" w:ascii="宋体" w:hAnsi="宋体" w:eastAsia="宋体" w:cs="宋体"/>
          <w:sz w:val="24"/>
          <w:szCs w:val="24"/>
        </w:rPr>
        <w:t>份，乙方</w:t>
      </w:r>
      <w:r>
        <w:rPr>
          <w:rFonts w:hint="eastAsia" w:ascii="宋体" w:hAnsi="宋体" w:eastAsia="宋体" w:cs="宋体"/>
          <w:sz w:val="24"/>
          <w:szCs w:val="24"/>
          <w:u w:val="single"/>
        </w:rPr>
        <w:t xml:space="preserve"> 贰 </w:t>
      </w:r>
      <w:r>
        <w:rPr>
          <w:rFonts w:hint="eastAsia" w:ascii="宋体" w:hAnsi="宋体" w:eastAsia="宋体" w:cs="宋体"/>
          <w:sz w:val="24"/>
          <w:szCs w:val="24"/>
        </w:rPr>
        <w:t>份，具有同等法律效力。</w:t>
      </w:r>
    </w:p>
    <w:p w14:paraId="7461979E">
      <w:pPr>
        <w:keepNext w:val="0"/>
        <w:keepLines w:val="0"/>
        <w:pageBreakBefore w:val="0"/>
        <w:widowControl w:val="0"/>
        <w:kinsoku/>
        <w:wordWrap/>
        <w:overflowPunct/>
        <w:topLinePunct w:val="0"/>
        <w:autoSpaceDE/>
        <w:autoSpaceDN/>
        <w:bidi w:val="0"/>
        <w:adjustRightInd/>
        <w:snapToGrid/>
        <w:spacing w:line="440" w:lineRule="exact"/>
        <w:ind w:left="140" w:hanging="120" w:hangingChars="5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十</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w:t>
      </w:r>
      <w:r>
        <w:rPr>
          <w:rFonts w:hint="eastAsia" w:ascii="宋体" w:hAnsi="宋体" w:eastAsia="宋体" w:cs="宋体"/>
          <w:sz w:val="24"/>
          <w:szCs w:val="24"/>
        </w:rPr>
        <w:t>本合同经双方盖章后生效。</w:t>
      </w:r>
    </w:p>
    <w:p w14:paraId="13F7244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420"/>
        <w:rPr>
          <w:rFonts w:hint="eastAsia" w:ascii="宋体" w:hAnsi="宋体" w:eastAsia="宋体" w:cs="宋体"/>
          <w:b w:val="0"/>
          <w:i w:val="0"/>
          <w:caps w:val="0"/>
          <w:color w:val="auto"/>
          <w:spacing w:val="0"/>
          <w:sz w:val="24"/>
          <w:szCs w:val="24"/>
          <w:highlight w:val="none"/>
          <w:shd w:val="clear" w:color="auto" w:fill="FFFFFF"/>
          <w:lang w:val="en-US" w:eastAsia="zh-CN"/>
        </w:rPr>
      </w:pPr>
    </w:p>
    <w:p w14:paraId="38282E71">
      <w:pPr>
        <w:pStyle w:val="27"/>
        <w:rPr>
          <w:rFonts w:hint="eastAsia"/>
          <w:lang w:val="en-US" w:eastAsia="zh-CN"/>
        </w:rPr>
      </w:pPr>
    </w:p>
    <w:p w14:paraId="401D643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甲方（盖章）：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乙方 （盖章）：_________</w:t>
      </w:r>
    </w:p>
    <w:p w14:paraId="56EB08D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法定代表人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法定代表人</w:t>
      </w:r>
    </w:p>
    <w:p w14:paraId="09887BC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或授权委托人：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或授权委托人：</w:t>
      </w:r>
    </w:p>
    <w:p w14:paraId="70F9E28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（签字或盖章）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（签字或盖章）</w:t>
      </w:r>
    </w:p>
    <w:p w14:paraId="693DAFC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开户：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开户：</w:t>
      </w:r>
    </w:p>
    <w:p w14:paraId="7C4300E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账号：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账号：                  </w:t>
      </w:r>
    </w:p>
    <w:p w14:paraId="43C71C9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电话：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电话：</w:t>
      </w:r>
    </w:p>
    <w:p w14:paraId="183D2BF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______年____月_______日          </w:t>
      </w:r>
      <w:r>
        <w:rPr>
          <w:rFonts w:hint="eastAsia" w:eastAsia="宋体" w:cs="宋体"/>
          <w:b w:val="0"/>
          <w:i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auto"/>
          <w:spacing w:val="0"/>
          <w:sz w:val="24"/>
          <w:szCs w:val="24"/>
          <w:highlight w:val="none"/>
          <w:shd w:val="clear" w:color="auto" w:fill="FFFFFF"/>
          <w:lang w:val="en-US" w:eastAsia="zh-CN"/>
        </w:rPr>
        <w:t xml:space="preserve"> ______年____月____日</w:t>
      </w:r>
    </w:p>
    <w:p w14:paraId="3BE25B7A">
      <w:pPr>
        <w:spacing w:line="500" w:lineRule="exact"/>
        <w:jc w:val="center"/>
        <w:outlineLvl w:val="0"/>
        <w:rPr>
          <w:rFonts w:hint="eastAsia" w:asciiTheme="minorEastAsia" w:hAnsiTheme="minorEastAsia" w:eastAsiaTheme="minorEastAsia"/>
          <w:b/>
          <w:bCs/>
          <w:color w:val="auto"/>
          <w:sz w:val="36"/>
          <w:szCs w:val="36"/>
          <w:highlight w:val="none"/>
          <w:lang w:val="zh-CN"/>
        </w:rPr>
      </w:pPr>
    </w:p>
    <w:p w14:paraId="51DE7787">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746236C3">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045D22E4">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5B14F14E">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1BA80F49">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7F8DE763">
      <w:pPr>
        <w:adjustRightInd w:val="0"/>
        <w:snapToGrid w:val="0"/>
        <w:spacing w:line="500" w:lineRule="exact"/>
        <w:jc w:val="center"/>
        <w:outlineLvl w:val="0"/>
        <w:rPr>
          <w:rFonts w:hint="eastAsia" w:ascii="宋体" w:hAnsi="宋体" w:eastAsia="宋体" w:cs="宋体"/>
          <w:bCs/>
          <w:color w:val="auto"/>
          <w:sz w:val="36"/>
          <w:szCs w:val="36"/>
          <w:highlight w:val="none"/>
        </w:rPr>
      </w:pPr>
    </w:p>
    <w:p w14:paraId="5B33E1ED">
      <w:pPr>
        <w:adjustRightInd w:val="0"/>
        <w:snapToGrid w:val="0"/>
        <w:spacing w:line="500" w:lineRule="exact"/>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第四部分  开标和评标</w:t>
      </w:r>
    </w:p>
    <w:p w14:paraId="1DC86A69">
      <w:pPr>
        <w:pStyle w:val="19"/>
        <w:snapToGrid w:val="0"/>
        <w:spacing w:before="0" w:after="0" w:line="500" w:lineRule="exact"/>
        <w:ind w:left="0" w:right="0" w:firstLine="560" w:firstLineChars="200"/>
        <w:jc w:val="left"/>
        <w:rPr>
          <w:rFonts w:hint="eastAsia" w:ascii="宋体" w:hAnsi="宋体" w:eastAsia="宋体" w:cs="宋体"/>
          <w:bCs/>
          <w:color w:val="auto"/>
          <w:kern w:val="2"/>
          <w:sz w:val="28"/>
          <w:szCs w:val="28"/>
          <w:highlight w:val="none"/>
        </w:rPr>
      </w:pPr>
      <w:r>
        <w:rPr>
          <w:rFonts w:hint="eastAsia" w:ascii="宋体" w:hAnsi="宋体" w:eastAsia="宋体" w:cs="宋体"/>
          <w:bCs/>
          <w:color w:val="auto"/>
          <w:kern w:val="2"/>
          <w:sz w:val="28"/>
          <w:szCs w:val="28"/>
          <w:highlight w:val="none"/>
        </w:rPr>
        <w:t>一、开标</w:t>
      </w:r>
    </w:p>
    <w:p w14:paraId="460A58FF">
      <w:pPr>
        <w:tabs>
          <w:tab w:val="left" w:pos="3585"/>
        </w:tabs>
        <w:adjustRightInd w:val="0"/>
        <w:snapToGrid w:val="0"/>
        <w:spacing w:line="500" w:lineRule="exact"/>
        <w:ind w:firstLine="537" w:firstLineChars="1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不见面远程开标模式：投标人在各自地点通过“苏采云”系统参加开标会。</w:t>
      </w:r>
    </w:p>
    <w:p w14:paraId="50796D96">
      <w:pPr>
        <w:pStyle w:val="19"/>
        <w:snapToGrid w:val="0"/>
        <w:spacing w:before="0" w:after="0" w:line="500" w:lineRule="exact"/>
        <w:ind w:left="0" w:right="0" w:firstLine="560" w:firstLineChars="200"/>
        <w:jc w:val="left"/>
        <w:rPr>
          <w:rFonts w:hint="eastAsia" w:ascii="宋体" w:hAnsi="宋体" w:eastAsia="宋体" w:cs="宋体"/>
          <w:bCs/>
          <w:color w:val="auto"/>
          <w:kern w:val="2"/>
          <w:sz w:val="28"/>
          <w:szCs w:val="28"/>
          <w:highlight w:val="none"/>
        </w:rPr>
      </w:pPr>
      <w:r>
        <w:rPr>
          <w:rFonts w:hint="eastAsia" w:ascii="宋体" w:hAnsi="宋体" w:eastAsia="宋体" w:cs="宋体"/>
          <w:bCs/>
          <w:color w:val="auto"/>
          <w:kern w:val="2"/>
          <w:sz w:val="28"/>
          <w:szCs w:val="28"/>
          <w:highlight w:val="none"/>
        </w:rPr>
        <w:t>二、评标流程和评标标准</w:t>
      </w:r>
    </w:p>
    <w:p w14:paraId="4658BFEC">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采用综合评分法，总分值为100分。</w:t>
      </w:r>
    </w:p>
    <w:p w14:paraId="55C78930">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62E6E913">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评标结果按评审后总得分由高到低顺序排列，确定中标候选人名单并按顺序确定中标人。得分相同的，按投标报价由低到高顺序排列，得分且投标报价相同的并列。</w:t>
      </w:r>
    </w:p>
    <w:p w14:paraId="5B66076C">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评委在认真审阅投标文件的基础上，根据各投标文件的响应程度独立评判，不得统一打分。</w:t>
      </w:r>
    </w:p>
    <w:p w14:paraId="30D23B1D">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（一）采购人（代表）对投标人资格进行审查</w:t>
      </w:r>
    </w:p>
    <w:p w14:paraId="0E5A75CC">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请投标人在“苏采云”系统电子投标(响应)文件格式中的资格条件部分上传对应的材料，投标人资格不合格的，其投标文件判定为无效投标文件。</w:t>
      </w:r>
    </w:p>
    <w:p w14:paraId="324E68CD">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（二）评标委员会对符合资格投标人的投标文件进行符合性审查</w:t>
      </w:r>
    </w:p>
    <w:p w14:paraId="7FBD4147">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请投标人在“苏采云”系统电子投标(响应)文件格式中的符合条件部分上传对应的材料，未通过符合性审查的投标文件，将被判为不满足招标文件实质性要求。</w:t>
      </w:r>
    </w:p>
    <w:p w14:paraId="79798C56">
      <w:pPr>
        <w:adjustRightInd w:val="0"/>
        <w:snapToGrid w:val="0"/>
        <w:spacing w:line="500" w:lineRule="exact"/>
        <w:ind w:firstLine="555"/>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zh-CN"/>
        </w:rPr>
        <w:t>三</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zh-CN"/>
        </w:rPr>
        <w:t>商务技术分：</w:t>
      </w:r>
      <w:r>
        <w:rPr>
          <w:rFonts w:hint="eastAsia" w:ascii="宋体" w:hAnsi="宋体" w:cs="宋体"/>
          <w:color w:val="auto"/>
          <w:sz w:val="28"/>
          <w:szCs w:val="28"/>
          <w:highlight w:val="none"/>
          <w:lang w:val="en-US" w:eastAsia="zh-CN"/>
        </w:rPr>
        <w:t>70</w:t>
      </w:r>
      <w:r>
        <w:rPr>
          <w:rFonts w:hint="eastAsia" w:ascii="宋体" w:hAnsi="宋体" w:eastAsia="宋体" w:cs="宋体"/>
          <w:color w:val="auto"/>
          <w:sz w:val="28"/>
          <w:szCs w:val="28"/>
          <w:highlight w:val="none"/>
          <w:lang w:val="zh-CN"/>
        </w:rPr>
        <w:t>分</w:t>
      </w:r>
    </w:p>
    <w:p w14:paraId="0EA4AB36">
      <w:pPr>
        <w:adjustRightInd w:val="0"/>
        <w:snapToGrid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评标委员会对各投标人得分为评委会成员评分的算术平均分，分值保留小数点后两位。</w:t>
      </w:r>
    </w:p>
    <w:tbl>
      <w:tblPr>
        <w:tblStyle w:val="13"/>
        <w:tblpPr w:leftFromText="180" w:rightFromText="180" w:vertAnchor="text" w:horzAnchor="page" w:tblpX="1417" w:tblpY="539"/>
        <w:tblOverlap w:val="never"/>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308"/>
        <w:gridCol w:w="6538"/>
        <w:gridCol w:w="980"/>
      </w:tblGrid>
      <w:tr w14:paraId="03B7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2CA0BE5E">
            <w:pPr>
              <w:keepNext w:val="0"/>
              <w:keepLines w:val="0"/>
              <w:pageBreakBefore w:val="0"/>
              <w:widowControl/>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序号</w:t>
            </w:r>
          </w:p>
        </w:tc>
        <w:tc>
          <w:tcPr>
            <w:tcW w:w="1308" w:type="dxa"/>
            <w:noWrap/>
            <w:vAlign w:val="center"/>
          </w:tcPr>
          <w:p w14:paraId="1E2944EA">
            <w:pPr>
              <w:keepNext w:val="0"/>
              <w:keepLines w:val="0"/>
              <w:pageBreakBefore w:val="0"/>
              <w:widowControl/>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评分项</w:t>
            </w:r>
          </w:p>
        </w:tc>
        <w:tc>
          <w:tcPr>
            <w:tcW w:w="6538" w:type="dxa"/>
            <w:noWrap/>
            <w:vAlign w:val="center"/>
          </w:tcPr>
          <w:p w14:paraId="10206902">
            <w:pPr>
              <w:keepNext w:val="0"/>
              <w:keepLines w:val="0"/>
              <w:pageBreakBefore w:val="0"/>
              <w:widowControl/>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评分细则</w:t>
            </w:r>
          </w:p>
        </w:tc>
        <w:tc>
          <w:tcPr>
            <w:tcW w:w="980" w:type="dxa"/>
            <w:noWrap/>
            <w:vAlign w:val="center"/>
          </w:tcPr>
          <w:p w14:paraId="1DE2FEA5">
            <w:pPr>
              <w:keepNext w:val="0"/>
              <w:keepLines w:val="0"/>
              <w:pageBreakBefore w:val="0"/>
              <w:widowControl/>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分值</w:t>
            </w:r>
          </w:p>
        </w:tc>
      </w:tr>
      <w:tr w14:paraId="2977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2B15A127">
            <w:pPr>
              <w:keepNext w:val="0"/>
              <w:keepLines w:val="0"/>
              <w:pageBreakBefore w:val="0"/>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1</w:t>
            </w:r>
          </w:p>
        </w:tc>
        <w:tc>
          <w:tcPr>
            <w:tcW w:w="1308" w:type="dxa"/>
            <w:noWrap/>
            <w:vAlign w:val="center"/>
          </w:tcPr>
          <w:p w14:paraId="5470A48F">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投标人综合实力</w:t>
            </w:r>
          </w:p>
        </w:tc>
        <w:tc>
          <w:tcPr>
            <w:tcW w:w="6538" w:type="dxa"/>
            <w:noWrap/>
            <w:vAlign w:val="center"/>
          </w:tcPr>
          <w:p w14:paraId="2E61B9D8">
            <w:pPr>
              <w:keepNext w:val="0"/>
              <w:keepLines w:val="0"/>
              <w:pageBreakBefore w:val="0"/>
              <w:kinsoku/>
              <w:wordWrap/>
              <w:overflowPunct/>
              <w:topLinePunct w:val="0"/>
              <w:autoSpaceDE/>
              <w:autoSpaceDN/>
              <w:bidi w:val="0"/>
              <w:adjustRightInd w:val="0"/>
              <w:snapToGrid/>
              <w:spacing w:line="400" w:lineRule="exact"/>
              <w:jc w:val="left"/>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投标人20</w:t>
            </w:r>
            <w:r>
              <w:rPr>
                <w:rFonts w:hint="eastAsia" w:ascii="宋体" w:hAnsi="宋体" w:eastAsia="宋体" w:cs="宋体"/>
                <w:bCs/>
                <w:color w:val="auto"/>
                <w:sz w:val="28"/>
                <w:szCs w:val="28"/>
                <w:highlight w:val="none"/>
                <w:lang w:val="en-US" w:eastAsia="zh-CN"/>
              </w:rPr>
              <w:t>20</w:t>
            </w:r>
            <w:r>
              <w:rPr>
                <w:rFonts w:hint="eastAsia" w:ascii="宋体" w:hAnsi="宋体" w:eastAsia="宋体" w:cs="宋体"/>
                <w:bCs/>
                <w:color w:val="auto"/>
                <w:sz w:val="28"/>
                <w:szCs w:val="28"/>
                <w:highlight w:val="none"/>
              </w:rPr>
              <w:t>年1月1日以</w:t>
            </w:r>
            <w:r>
              <w:rPr>
                <w:rFonts w:hint="eastAsia" w:ascii="宋体" w:hAnsi="宋体" w:eastAsia="宋体" w:cs="宋体"/>
                <w:bCs/>
                <w:color w:val="auto"/>
                <w:sz w:val="28"/>
                <w:szCs w:val="28"/>
                <w:highlight w:val="none"/>
                <w:lang w:val="en-US" w:eastAsia="zh-CN"/>
              </w:rPr>
              <w:t>来（以证书或结果通知落款日期为准），</w:t>
            </w:r>
            <w:r>
              <w:rPr>
                <w:rFonts w:hint="eastAsia" w:ascii="宋体" w:hAnsi="宋体" w:eastAsia="宋体" w:cs="宋体"/>
                <w:bCs/>
                <w:color w:val="auto"/>
                <w:sz w:val="28"/>
                <w:szCs w:val="28"/>
                <w:highlight w:val="none"/>
              </w:rPr>
              <w:t>在水质、沉积物、生物生态、生物质量领域参加检测能力验证，结果为“</w:t>
            </w:r>
            <w:r>
              <w:rPr>
                <w:rFonts w:hint="eastAsia" w:ascii="宋体" w:hAnsi="宋体" w:eastAsia="宋体" w:cs="宋体"/>
                <w:bCs/>
                <w:color w:val="auto"/>
                <w:sz w:val="28"/>
                <w:szCs w:val="28"/>
                <w:highlight w:val="none"/>
                <w:lang w:val="en-US" w:eastAsia="zh-CN"/>
              </w:rPr>
              <w:t>合格</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及以上</w:t>
            </w:r>
            <w:r>
              <w:rPr>
                <w:rFonts w:hint="eastAsia" w:ascii="宋体" w:hAnsi="宋体" w:eastAsia="宋体" w:cs="宋体"/>
                <w:bCs/>
                <w:color w:val="auto"/>
                <w:sz w:val="28"/>
                <w:szCs w:val="28"/>
                <w:highlight w:val="none"/>
              </w:rPr>
              <w:t>：</w:t>
            </w:r>
            <w:r>
              <w:rPr>
                <w:rFonts w:hint="default" w:ascii="宋体" w:hAnsi="宋体" w:eastAsia="宋体" w:cs="宋体"/>
                <w:bCs/>
                <w:color w:val="auto"/>
                <w:sz w:val="28"/>
                <w:szCs w:val="28"/>
                <w:highlight w:val="none"/>
              </w:rPr>
              <w:br w:type="textWrapping"/>
            </w:r>
            <w:r>
              <w:rPr>
                <w:rFonts w:hint="default" w:ascii="宋体" w:hAnsi="宋体" w:eastAsia="宋体" w:cs="宋体"/>
                <w:bCs/>
                <w:color w:val="auto"/>
                <w:sz w:val="28"/>
                <w:szCs w:val="28"/>
                <w:highlight w:val="none"/>
              </w:rPr>
              <w:t>（1）国家级：</w:t>
            </w:r>
            <w:r>
              <w:rPr>
                <w:rFonts w:hint="eastAsia" w:ascii="宋体" w:hAnsi="宋体" w:cs="宋体"/>
                <w:bCs/>
                <w:color w:val="auto"/>
                <w:sz w:val="28"/>
                <w:szCs w:val="28"/>
                <w:highlight w:val="none"/>
                <w:lang w:val="en-US" w:eastAsia="zh-CN"/>
              </w:rPr>
              <w:t>由</w:t>
            </w:r>
            <w:r>
              <w:rPr>
                <w:rFonts w:hint="default" w:ascii="宋体" w:hAnsi="宋体" w:eastAsia="宋体" w:cs="宋体"/>
                <w:bCs/>
                <w:color w:val="auto"/>
                <w:sz w:val="28"/>
                <w:szCs w:val="28"/>
                <w:highlight w:val="none"/>
              </w:rPr>
              <w:t>国家认监委、国家海洋标准计量中心、国家海洋环境监测中心等国家级</w:t>
            </w:r>
            <w:r>
              <w:rPr>
                <w:rFonts w:hint="eastAsia" w:ascii="宋体" w:hAnsi="宋体" w:cs="宋体"/>
                <w:bCs/>
                <w:color w:val="auto"/>
                <w:sz w:val="28"/>
                <w:szCs w:val="28"/>
                <w:highlight w:val="none"/>
                <w:lang w:val="en-US" w:eastAsia="zh-CN"/>
              </w:rPr>
              <w:t>机构组织的能力验证</w:t>
            </w:r>
            <w:r>
              <w:rPr>
                <w:rFonts w:hint="default" w:ascii="宋体" w:hAnsi="宋体" w:eastAsia="宋体" w:cs="宋体"/>
                <w:bCs/>
                <w:color w:val="auto"/>
                <w:sz w:val="28"/>
                <w:szCs w:val="28"/>
                <w:highlight w:val="none"/>
              </w:rPr>
              <w:t>，</w:t>
            </w:r>
            <w:r>
              <w:rPr>
                <w:rFonts w:hint="eastAsia" w:ascii="宋体" w:hAnsi="宋体" w:cs="宋体"/>
                <w:bCs/>
                <w:color w:val="auto"/>
                <w:sz w:val="28"/>
                <w:szCs w:val="28"/>
                <w:highlight w:val="none"/>
                <w:lang w:val="en-US" w:eastAsia="zh-CN"/>
              </w:rPr>
              <w:t>每份证书</w:t>
            </w:r>
            <w:r>
              <w:rPr>
                <w:rFonts w:hint="default" w:ascii="宋体" w:hAnsi="宋体" w:eastAsia="宋体" w:cs="宋体"/>
                <w:bCs/>
                <w:color w:val="auto"/>
                <w:sz w:val="28"/>
                <w:szCs w:val="28"/>
                <w:highlight w:val="none"/>
              </w:rPr>
              <w:t>得2分；</w:t>
            </w:r>
            <w:r>
              <w:rPr>
                <w:rFonts w:hint="default" w:ascii="宋体" w:hAnsi="宋体" w:eastAsia="宋体" w:cs="宋体"/>
                <w:bCs/>
                <w:color w:val="auto"/>
                <w:sz w:val="28"/>
                <w:szCs w:val="28"/>
                <w:highlight w:val="none"/>
              </w:rPr>
              <w:br w:type="textWrapping"/>
            </w:r>
            <w:r>
              <w:rPr>
                <w:rFonts w:hint="default" w:ascii="宋体" w:hAnsi="宋体" w:eastAsia="宋体" w:cs="宋体"/>
                <w:bCs/>
                <w:color w:val="auto"/>
                <w:sz w:val="28"/>
                <w:szCs w:val="28"/>
                <w:highlight w:val="none"/>
              </w:rPr>
              <w:t>（2）省级：</w:t>
            </w:r>
            <w:r>
              <w:rPr>
                <w:rFonts w:hint="eastAsia" w:ascii="宋体" w:hAnsi="宋体" w:cs="宋体"/>
                <w:bCs/>
                <w:color w:val="auto"/>
                <w:sz w:val="28"/>
                <w:szCs w:val="28"/>
                <w:highlight w:val="none"/>
                <w:lang w:val="en-US" w:eastAsia="zh-CN"/>
              </w:rPr>
              <w:t>由</w:t>
            </w:r>
            <w:r>
              <w:rPr>
                <w:rFonts w:hint="default" w:ascii="宋体" w:hAnsi="宋体" w:eastAsia="宋体" w:cs="宋体"/>
                <w:bCs/>
                <w:color w:val="auto"/>
                <w:sz w:val="28"/>
                <w:szCs w:val="28"/>
                <w:highlight w:val="none"/>
              </w:rPr>
              <w:t>省级计量监督局、东海标准计量中心等省级</w:t>
            </w:r>
            <w:r>
              <w:rPr>
                <w:rFonts w:hint="eastAsia" w:ascii="宋体" w:hAnsi="宋体" w:cs="宋体"/>
                <w:bCs/>
                <w:color w:val="auto"/>
                <w:sz w:val="28"/>
                <w:szCs w:val="28"/>
                <w:highlight w:val="none"/>
                <w:lang w:val="en-US" w:eastAsia="zh-CN"/>
              </w:rPr>
              <w:t>机构组织的能力验证</w:t>
            </w:r>
            <w:r>
              <w:rPr>
                <w:rFonts w:hint="default" w:ascii="宋体" w:hAnsi="宋体" w:eastAsia="宋体" w:cs="宋体"/>
                <w:bCs/>
                <w:color w:val="auto"/>
                <w:sz w:val="28"/>
                <w:szCs w:val="28"/>
                <w:highlight w:val="none"/>
              </w:rPr>
              <w:t>，</w:t>
            </w:r>
            <w:r>
              <w:rPr>
                <w:rFonts w:hint="eastAsia" w:ascii="宋体" w:hAnsi="宋体" w:cs="宋体"/>
                <w:bCs/>
                <w:color w:val="auto"/>
                <w:sz w:val="28"/>
                <w:szCs w:val="28"/>
                <w:highlight w:val="none"/>
                <w:lang w:val="en-US" w:eastAsia="zh-CN"/>
              </w:rPr>
              <w:t>每份证书</w:t>
            </w:r>
            <w:r>
              <w:rPr>
                <w:rFonts w:hint="default" w:ascii="宋体" w:hAnsi="宋体" w:eastAsia="宋体" w:cs="宋体"/>
                <w:bCs/>
                <w:color w:val="auto"/>
                <w:sz w:val="28"/>
                <w:szCs w:val="28"/>
                <w:highlight w:val="none"/>
              </w:rPr>
              <w:t>得1分。</w:t>
            </w:r>
            <w:r>
              <w:rPr>
                <w:rFonts w:hint="default" w:ascii="宋体" w:hAnsi="宋体" w:eastAsia="宋体" w:cs="宋体"/>
                <w:bCs/>
                <w:color w:val="auto"/>
                <w:sz w:val="28"/>
                <w:szCs w:val="28"/>
                <w:highlight w:val="none"/>
              </w:rPr>
              <w:br w:type="textWrapping"/>
            </w:r>
            <w:r>
              <w:rPr>
                <w:rFonts w:hint="default" w:ascii="宋体" w:hAnsi="宋体" w:eastAsia="宋体" w:cs="宋体"/>
                <w:b/>
                <w:bCs w:val="0"/>
                <w:color w:val="auto"/>
                <w:sz w:val="28"/>
                <w:szCs w:val="28"/>
                <w:highlight w:val="none"/>
              </w:rPr>
              <w:t>本项最多得10分。同一领域、同一年度、同一能力验证项目不重复计分。</w:t>
            </w:r>
            <w:r>
              <w:rPr>
                <w:rFonts w:hint="default" w:ascii="宋体" w:hAnsi="宋体" w:eastAsia="宋体" w:cs="宋体"/>
                <w:b/>
                <w:bCs w:val="0"/>
                <w:color w:val="auto"/>
                <w:sz w:val="28"/>
                <w:szCs w:val="28"/>
                <w:highlight w:val="none"/>
              </w:rPr>
              <w:br w:type="textWrapping"/>
            </w:r>
            <w:r>
              <w:rPr>
                <w:rFonts w:hint="default" w:ascii="宋体" w:hAnsi="宋体" w:eastAsia="宋体" w:cs="宋体"/>
                <w:b/>
                <w:bCs w:val="0"/>
                <w:color w:val="auto"/>
                <w:sz w:val="28"/>
                <w:szCs w:val="28"/>
                <w:highlight w:val="none"/>
              </w:rPr>
              <w:t>注：提供能力验证结果证书</w:t>
            </w:r>
            <w:r>
              <w:rPr>
                <w:rFonts w:hint="eastAsia" w:ascii="宋体" w:hAnsi="宋体" w:cs="宋体"/>
                <w:b/>
                <w:bCs w:val="0"/>
                <w:color w:val="auto"/>
                <w:sz w:val="28"/>
                <w:szCs w:val="28"/>
                <w:highlight w:val="none"/>
                <w:lang w:val="en-US" w:eastAsia="zh-CN"/>
              </w:rPr>
              <w:t>或</w:t>
            </w:r>
            <w:r>
              <w:rPr>
                <w:rFonts w:hint="default" w:ascii="宋体" w:hAnsi="宋体" w:eastAsia="宋体" w:cs="宋体"/>
                <w:b/>
                <w:bCs w:val="0"/>
                <w:color w:val="auto"/>
                <w:sz w:val="28"/>
                <w:szCs w:val="28"/>
                <w:highlight w:val="none"/>
              </w:rPr>
              <w:t>结果通知单等有效证明材料</w:t>
            </w:r>
            <w:r>
              <w:rPr>
                <w:rFonts w:hint="eastAsia" w:ascii="宋体" w:hAnsi="宋体" w:cs="宋体"/>
                <w:b/>
                <w:bCs w:val="0"/>
                <w:color w:val="auto"/>
                <w:sz w:val="28"/>
                <w:szCs w:val="28"/>
                <w:highlight w:val="none"/>
                <w:lang w:val="en-US" w:eastAsia="zh-CN"/>
              </w:rPr>
              <w:t>扫描件</w:t>
            </w:r>
            <w:r>
              <w:rPr>
                <w:rFonts w:hint="default" w:ascii="宋体" w:hAnsi="宋体" w:eastAsia="宋体" w:cs="宋体"/>
                <w:b/>
                <w:bCs w:val="0"/>
                <w:color w:val="auto"/>
                <w:sz w:val="28"/>
                <w:szCs w:val="28"/>
                <w:highlight w:val="none"/>
              </w:rPr>
              <w:t>并加盖投标人公章，不符合或不提供的不得分。</w:t>
            </w:r>
          </w:p>
        </w:tc>
        <w:tc>
          <w:tcPr>
            <w:tcW w:w="980" w:type="dxa"/>
            <w:noWrap/>
            <w:vAlign w:val="center"/>
          </w:tcPr>
          <w:p w14:paraId="73BF8474">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10分</w:t>
            </w:r>
          </w:p>
        </w:tc>
      </w:tr>
      <w:tr w14:paraId="2604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2DD6FCE9">
            <w:pPr>
              <w:keepNext w:val="0"/>
              <w:keepLines w:val="0"/>
              <w:pageBreakBefore w:val="0"/>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2</w:t>
            </w:r>
          </w:p>
        </w:tc>
        <w:tc>
          <w:tcPr>
            <w:tcW w:w="1308" w:type="dxa"/>
            <w:noWrap/>
            <w:vAlign w:val="center"/>
          </w:tcPr>
          <w:p w14:paraId="3FFADAF3">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企业业绩</w:t>
            </w:r>
          </w:p>
        </w:tc>
        <w:tc>
          <w:tcPr>
            <w:tcW w:w="6538" w:type="dxa"/>
            <w:noWrap/>
            <w:vAlign w:val="center"/>
          </w:tcPr>
          <w:p w14:paraId="2CC08096">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b/>
                <w:bCs w:val="0"/>
                <w:color w:val="auto"/>
                <w:sz w:val="28"/>
                <w:szCs w:val="28"/>
                <w:highlight w:val="none"/>
                <w:lang w:eastAsia="zh-CN"/>
              </w:rPr>
            </w:pPr>
            <w:r>
              <w:rPr>
                <w:rFonts w:hint="eastAsia" w:ascii="宋体" w:hAnsi="宋体" w:cs="宋体"/>
                <w:bCs/>
                <w:color w:val="auto"/>
                <w:sz w:val="28"/>
                <w:szCs w:val="28"/>
                <w:highlight w:val="none"/>
                <w:lang w:val="en-US" w:eastAsia="zh-CN"/>
              </w:rPr>
              <w:t>投标人</w:t>
            </w:r>
            <w:r>
              <w:rPr>
                <w:rFonts w:hint="eastAsia" w:ascii="宋体" w:hAnsi="宋体" w:eastAsia="宋体" w:cs="宋体"/>
                <w:bCs/>
                <w:color w:val="auto"/>
                <w:sz w:val="28"/>
                <w:szCs w:val="28"/>
                <w:highlight w:val="none"/>
              </w:rPr>
              <w:t>自20</w:t>
            </w:r>
            <w:r>
              <w:rPr>
                <w:rFonts w:hint="eastAsia" w:ascii="宋体" w:hAnsi="宋体" w:eastAsia="宋体" w:cs="宋体"/>
                <w:bCs/>
                <w:color w:val="auto"/>
                <w:sz w:val="28"/>
                <w:szCs w:val="28"/>
                <w:highlight w:val="none"/>
                <w:lang w:val="en-US" w:eastAsia="zh-CN"/>
              </w:rPr>
              <w:t>20</w:t>
            </w:r>
            <w:r>
              <w:rPr>
                <w:rFonts w:hint="eastAsia" w:ascii="宋体" w:hAnsi="宋体" w:eastAsia="宋体" w:cs="宋体"/>
                <w:bCs/>
                <w:color w:val="auto"/>
                <w:sz w:val="28"/>
                <w:szCs w:val="28"/>
                <w:highlight w:val="none"/>
              </w:rPr>
              <w:t>年1月1日以来（以合同签订日期为准）</w:t>
            </w:r>
            <w:r>
              <w:rPr>
                <w:rFonts w:hint="eastAsia" w:ascii="宋体" w:hAnsi="宋体" w:cs="宋体"/>
                <w:bCs/>
                <w:color w:val="auto"/>
                <w:sz w:val="28"/>
                <w:szCs w:val="28"/>
                <w:highlight w:val="none"/>
                <w:lang w:val="en-US" w:eastAsia="zh-CN"/>
              </w:rPr>
              <w:t>承接过以下业绩的：</w:t>
            </w:r>
            <w:r>
              <w:rPr>
                <w:rFonts w:hint="default" w:ascii="宋体" w:hAnsi="宋体" w:cs="宋体"/>
                <w:bCs/>
                <w:color w:val="auto"/>
                <w:sz w:val="28"/>
                <w:szCs w:val="28"/>
                <w:highlight w:val="none"/>
                <w:lang w:val="en-US" w:eastAsia="zh-CN"/>
              </w:rPr>
              <w:br w:type="textWrapping"/>
            </w:r>
            <w:r>
              <w:rPr>
                <w:rFonts w:hint="default" w:ascii="宋体" w:hAnsi="宋体" w:cs="宋体"/>
                <w:bCs/>
                <w:color w:val="auto"/>
                <w:sz w:val="28"/>
                <w:szCs w:val="28"/>
                <w:highlight w:val="none"/>
                <w:lang w:val="en-US" w:eastAsia="zh-CN"/>
              </w:rPr>
              <w:t>（1）海洋倾倒区跟踪监测业绩：每个得1.4分，最高7分；</w:t>
            </w:r>
            <w:r>
              <w:rPr>
                <w:rFonts w:hint="default" w:ascii="宋体" w:hAnsi="宋体" w:cs="宋体"/>
                <w:bCs/>
                <w:color w:val="auto"/>
                <w:sz w:val="28"/>
                <w:szCs w:val="28"/>
                <w:highlight w:val="none"/>
                <w:lang w:val="en-US" w:eastAsia="zh-CN"/>
              </w:rPr>
              <w:br w:type="textWrapping"/>
            </w:r>
            <w:r>
              <w:rPr>
                <w:rFonts w:hint="default" w:ascii="宋体" w:hAnsi="宋体" w:cs="宋体"/>
                <w:bCs/>
                <w:color w:val="auto"/>
                <w:sz w:val="28"/>
                <w:szCs w:val="28"/>
                <w:highlight w:val="none"/>
                <w:lang w:val="en-US" w:eastAsia="zh-CN"/>
              </w:rPr>
              <w:t>（2）倾倒区容量评估业绩：每个得1.4分，最高7分。</w:t>
            </w:r>
            <w:r>
              <w:rPr>
                <w:rFonts w:hint="default" w:ascii="宋体" w:hAnsi="宋体" w:cs="宋体"/>
                <w:bCs/>
                <w:color w:val="auto"/>
                <w:sz w:val="28"/>
                <w:szCs w:val="28"/>
                <w:highlight w:val="none"/>
                <w:lang w:val="en-US" w:eastAsia="zh-CN"/>
              </w:rPr>
              <w:br w:type="textWrapping"/>
            </w:r>
            <w:r>
              <w:rPr>
                <w:rFonts w:hint="default" w:ascii="宋体" w:hAnsi="宋体" w:cs="宋体"/>
                <w:b/>
                <w:bCs w:val="0"/>
                <w:color w:val="auto"/>
                <w:sz w:val="28"/>
                <w:szCs w:val="28"/>
                <w:highlight w:val="none"/>
                <w:lang w:val="en-US" w:eastAsia="zh-CN"/>
              </w:rPr>
              <w:t>本项最多得14分。单个合同既包含海洋倾倒区跟踪监测又包含倾倒区容量评估的，仅按一个业绩计分，不重复计分。</w:t>
            </w:r>
          </w:p>
          <w:p w14:paraId="5EECB460">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
                <w:bCs w:val="0"/>
                <w:color w:val="auto"/>
                <w:sz w:val="28"/>
                <w:szCs w:val="28"/>
                <w:highlight w:val="none"/>
              </w:rPr>
              <w:t>提供项目合同关键页</w:t>
            </w:r>
            <w:r>
              <w:rPr>
                <w:rFonts w:hint="eastAsia" w:ascii="宋体" w:hAnsi="宋体" w:eastAsia="宋体" w:cs="宋体"/>
                <w:b/>
                <w:bCs w:val="0"/>
                <w:color w:val="auto"/>
                <w:sz w:val="28"/>
                <w:szCs w:val="28"/>
                <w:highlight w:val="none"/>
                <w:lang w:val="en-US" w:eastAsia="zh-CN"/>
              </w:rPr>
              <w:t>扫描件</w:t>
            </w:r>
            <w:r>
              <w:rPr>
                <w:rFonts w:hint="eastAsia" w:ascii="宋体" w:hAnsi="宋体" w:eastAsia="宋体" w:cs="宋体"/>
                <w:b/>
                <w:bCs w:val="0"/>
                <w:color w:val="auto"/>
                <w:sz w:val="28"/>
                <w:szCs w:val="28"/>
                <w:highlight w:val="none"/>
              </w:rPr>
              <w:t>并加盖投标人公章</w:t>
            </w:r>
            <w:r>
              <w:rPr>
                <w:rFonts w:hint="eastAsia" w:ascii="宋体" w:hAnsi="宋体" w:eastAsia="宋体" w:cs="宋体"/>
                <w:b/>
                <w:bCs w:val="0"/>
                <w:color w:val="auto"/>
                <w:sz w:val="28"/>
                <w:szCs w:val="28"/>
                <w:highlight w:val="none"/>
                <w:lang w:eastAsia="zh-CN"/>
              </w:rPr>
              <w:t>。</w:t>
            </w:r>
          </w:p>
        </w:tc>
        <w:tc>
          <w:tcPr>
            <w:tcW w:w="980" w:type="dxa"/>
            <w:noWrap/>
            <w:vAlign w:val="center"/>
          </w:tcPr>
          <w:p w14:paraId="4361D354">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14</w:t>
            </w:r>
            <w:r>
              <w:rPr>
                <w:rFonts w:hint="eastAsia" w:ascii="宋体" w:hAnsi="宋体" w:eastAsia="宋体" w:cs="宋体"/>
                <w:bCs/>
                <w:color w:val="auto"/>
                <w:sz w:val="28"/>
                <w:szCs w:val="28"/>
                <w:highlight w:val="none"/>
              </w:rPr>
              <w:t>分</w:t>
            </w:r>
          </w:p>
        </w:tc>
      </w:tr>
      <w:tr w14:paraId="6B6E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53F24519">
            <w:pPr>
              <w:keepNext w:val="0"/>
              <w:keepLines w:val="0"/>
              <w:pageBreakBefore w:val="0"/>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3</w:t>
            </w:r>
          </w:p>
        </w:tc>
        <w:tc>
          <w:tcPr>
            <w:tcW w:w="1308" w:type="dxa"/>
            <w:noWrap/>
            <w:vAlign w:val="center"/>
          </w:tcPr>
          <w:p w14:paraId="2AF6D98F">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拟投入本项目</w:t>
            </w:r>
            <w:r>
              <w:rPr>
                <w:rFonts w:hint="eastAsia" w:ascii="宋体" w:hAnsi="宋体" w:eastAsia="宋体" w:cs="宋体"/>
                <w:bCs/>
                <w:color w:val="auto"/>
                <w:sz w:val="28"/>
                <w:szCs w:val="28"/>
                <w:lang w:val="en-US" w:eastAsia="zh-CN"/>
              </w:rPr>
              <w:t>人员</w:t>
            </w:r>
            <w:r>
              <w:rPr>
                <w:rFonts w:hint="eastAsia" w:ascii="宋体" w:hAnsi="宋体" w:eastAsia="宋体" w:cs="宋体"/>
                <w:bCs/>
                <w:color w:val="auto"/>
                <w:sz w:val="28"/>
                <w:szCs w:val="28"/>
              </w:rPr>
              <w:t>的能力</w:t>
            </w:r>
          </w:p>
        </w:tc>
        <w:tc>
          <w:tcPr>
            <w:tcW w:w="6538" w:type="dxa"/>
            <w:noWrap/>
            <w:vAlign w:val="center"/>
          </w:tcPr>
          <w:p w14:paraId="2A805525">
            <w:pPr>
              <w:keepNext w:val="0"/>
              <w:keepLines w:val="0"/>
              <w:pageBreakBefore w:val="0"/>
              <w:kinsoku/>
              <w:wordWrap/>
              <w:overflowPunct/>
              <w:topLinePunct w:val="0"/>
              <w:autoSpaceDE/>
              <w:autoSpaceDN/>
              <w:bidi w:val="0"/>
              <w:adjustRightInd w:val="0"/>
              <w:snapToGrid/>
              <w:spacing w:line="400" w:lineRule="exact"/>
              <w:jc w:val="lef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拟派的实验分析人员</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lang w:val="en-US" w:eastAsia="zh-CN"/>
              </w:rPr>
              <w:t>不含项目负责人</w:t>
            </w:r>
            <w:r>
              <w:rPr>
                <w:rFonts w:hint="eastAsia" w:ascii="宋体" w:hAnsi="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中</w:t>
            </w:r>
            <w:r>
              <w:rPr>
                <w:rFonts w:hint="eastAsia" w:ascii="宋体" w:hAnsi="宋体" w:eastAsia="宋体" w:cs="宋体"/>
                <w:bCs/>
                <w:color w:val="auto"/>
                <w:sz w:val="28"/>
                <w:szCs w:val="28"/>
                <w:highlight w:val="none"/>
              </w:rPr>
              <w:t>具备中级及以上职称的，提供职称证书</w:t>
            </w:r>
            <w:r>
              <w:rPr>
                <w:rFonts w:hint="eastAsia" w:ascii="宋体" w:hAnsi="宋体" w:eastAsia="宋体" w:cs="宋体"/>
                <w:bCs/>
                <w:color w:val="auto"/>
                <w:sz w:val="28"/>
                <w:szCs w:val="28"/>
                <w:highlight w:val="none"/>
                <w:lang w:eastAsia="zh-CN"/>
              </w:rPr>
              <w:t>或</w:t>
            </w:r>
            <w:r>
              <w:rPr>
                <w:rFonts w:hint="eastAsia" w:ascii="宋体" w:hAnsi="宋体" w:cs="宋体"/>
                <w:bCs/>
                <w:color w:val="auto"/>
                <w:sz w:val="28"/>
                <w:szCs w:val="28"/>
                <w:highlight w:val="none"/>
                <w:lang w:val="en-US" w:eastAsia="zh-CN"/>
              </w:rPr>
              <w:t>职称评审表</w:t>
            </w:r>
            <w:r>
              <w:rPr>
                <w:rFonts w:hint="eastAsia" w:ascii="宋体" w:hAnsi="宋体" w:eastAsia="宋体" w:cs="宋体"/>
                <w:bCs/>
                <w:color w:val="auto"/>
                <w:sz w:val="28"/>
                <w:szCs w:val="28"/>
                <w:highlight w:val="none"/>
              </w:rPr>
              <w:t>，每提供一人得1分，本项</w:t>
            </w:r>
            <w:r>
              <w:rPr>
                <w:rFonts w:hint="eastAsia" w:ascii="宋体" w:hAnsi="宋体" w:cs="宋体"/>
                <w:bCs/>
                <w:color w:val="auto"/>
                <w:sz w:val="28"/>
                <w:szCs w:val="28"/>
                <w:highlight w:val="none"/>
                <w:lang w:val="en-US" w:eastAsia="zh-CN"/>
              </w:rPr>
              <w:t>最多得</w:t>
            </w:r>
            <w:r>
              <w:rPr>
                <w:rFonts w:hint="eastAsia" w:ascii="宋体" w:hAnsi="宋体" w:eastAsia="宋体" w:cs="宋体"/>
                <w:bCs/>
                <w:color w:val="auto"/>
                <w:sz w:val="28"/>
                <w:szCs w:val="28"/>
                <w:highlight w:val="none"/>
              </w:rPr>
              <w:t>10分。</w:t>
            </w:r>
          </w:p>
          <w:p w14:paraId="492FC08E">
            <w:pPr>
              <w:keepNext w:val="0"/>
              <w:keepLines w:val="0"/>
              <w:pageBreakBefore w:val="0"/>
              <w:kinsoku/>
              <w:wordWrap/>
              <w:overflowPunct/>
              <w:topLinePunct w:val="0"/>
              <w:autoSpaceDE/>
              <w:autoSpaceDN/>
              <w:bidi w:val="0"/>
              <w:adjustRightInd w:val="0"/>
              <w:snapToGrid/>
              <w:spacing w:line="400" w:lineRule="exact"/>
              <w:jc w:val="left"/>
              <w:textAlignment w:val="auto"/>
              <w:rPr>
                <w:rFonts w:hint="eastAsia" w:ascii="宋体" w:hAnsi="宋体" w:eastAsia="宋体" w:cs="宋体"/>
                <w:bCs/>
                <w:color w:val="auto"/>
                <w:sz w:val="28"/>
                <w:szCs w:val="28"/>
                <w:highlight w:val="none"/>
              </w:rPr>
            </w:pPr>
            <w:r>
              <w:rPr>
                <w:rFonts w:hint="eastAsia" w:ascii="宋体" w:hAnsi="宋体" w:cs="宋体"/>
                <w:b/>
                <w:bCs w:val="0"/>
                <w:color w:val="auto"/>
                <w:sz w:val="28"/>
                <w:szCs w:val="28"/>
                <w:highlight w:val="none"/>
                <w:lang w:val="en-US" w:eastAsia="zh-CN"/>
              </w:rPr>
              <w:t>注：提供职称证书及由投标人为分析人员缴纳的自投标截止时间前三个月的养老保险缴费证明（投标人如为成立不足三个月的新公司，可以提供最近一个月的养老保险缴费证明；成立不足一个月的新公司，可以不提交养老保险缴费证明）。</w:t>
            </w:r>
          </w:p>
        </w:tc>
        <w:tc>
          <w:tcPr>
            <w:tcW w:w="980" w:type="dxa"/>
            <w:noWrap/>
            <w:vAlign w:val="center"/>
          </w:tcPr>
          <w:p w14:paraId="7D2D0D98">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10分</w:t>
            </w:r>
          </w:p>
        </w:tc>
      </w:tr>
      <w:tr w14:paraId="2B18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5FEFC5A6">
            <w:pPr>
              <w:keepNext w:val="0"/>
              <w:keepLines w:val="0"/>
              <w:pageBreakBefore w:val="0"/>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lang w:val="en-US" w:eastAsia="zh-CN"/>
              </w:rPr>
            </w:pPr>
            <w:r>
              <w:rPr>
                <w:rFonts w:hint="eastAsia" w:ascii="宋体" w:hAnsi="宋体" w:cs="宋体"/>
                <w:bCs/>
                <w:color w:val="auto"/>
                <w:sz w:val="28"/>
                <w:szCs w:val="28"/>
                <w:lang w:val="en-US" w:eastAsia="zh-CN"/>
              </w:rPr>
              <w:t>4</w:t>
            </w:r>
          </w:p>
        </w:tc>
        <w:tc>
          <w:tcPr>
            <w:tcW w:w="1308" w:type="dxa"/>
            <w:noWrap/>
            <w:vAlign w:val="center"/>
          </w:tcPr>
          <w:p w14:paraId="48E307F2">
            <w:pPr>
              <w:keepNext w:val="0"/>
              <w:keepLines w:val="0"/>
              <w:pageBreakBefore w:val="0"/>
              <w:kinsoku/>
              <w:wordWrap/>
              <w:overflowPunct/>
              <w:topLinePunct w:val="0"/>
              <w:autoSpaceDE/>
              <w:autoSpaceDN/>
              <w:bidi w:val="0"/>
              <w:adjustRightInd w:val="0"/>
              <w:snapToGrid/>
              <w:spacing w:line="400" w:lineRule="exact"/>
              <w:jc w:val="center"/>
              <w:textAlignment w:val="auto"/>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实施方案</w:t>
            </w:r>
          </w:p>
        </w:tc>
        <w:tc>
          <w:tcPr>
            <w:tcW w:w="6538" w:type="dxa"/>
            <w:noWrap/>
            <w:vAlign w:val="center"/>
          </w:tcPr>
          <w:p w14:paraId="7B9B12F7">
            <w:pPr>
              <w:keepNext w:val="0"/>
              <w:keepLines w:val="0"/>
              <w:pageBreakBefore w:val="0"/>
              <w:kinsoku/>
              <w:wordWrap/>
              <w:overflowPunct/>
              <w:topLinePunct w:val="0"/>
              <w:autoSpaceDE/>
              <w:autoSpaceDN/>
              <w:bidi w:val="0"/>
              <w:snapToGrid/>
              <w:spacing w:line="400" w:lineRule="exact"/>
              <w:textAlignment w:val="auto"/>
              <w:rPr>
                <w:rFonts w:hint="eastAsia" w:ascii="宋体" w:hAnsi="宋体" w:cs="宋体"/>
                <w:bCs/>
                <w:color w:val="auto"/>
                <w:sz w:val="28"/>
                <w:szCs w:val="28"/>
                <w:highlight w:val="none"/>
                <w:lang w:val="en-US" w:eastAsia="zh-CN"/>
              </w:rPr>
            </w:pPr>
            <w:r>
              <w:rPr>
                <w:rFonts w:hint="default" w:ascii="宋体" w:hAnsi="宋体" w:cs="宋体"/>
                <w:bCs/>
                <w:color w:val="auto"/>
                <w:sz w:val="28"/>
                <w:szCs w:val="28"/>
                <w:highlight w:val="none"/>
                <w:lang w:val="en-US" w:eastAsia="zh-CN"/>
              </w:rPr>
              <w:t>根据投标人提供的具体实施方案的可行性、完整性、合理性、科学性等方面进行打分：</w:t>
            </w:r>
            <w:r>
              <w:rPr>
                <w:rFonts w:hint="default" w:ascii="宋体" w:hAnsi="宋体" w:cs="宋体"/>
                <w:bCs/>
                <w:color w:val="auto"/>
                <w:sz w:val="28"/>
                <w:szCs w:val="28"/>
                <w:highlight w:val="none"/>
                <w:lang w:val="en-US" w:eastAsia="zh-CN"/>
              </w:rPr>
              <w:br w:type="textWrapping"/>
            </w:r>
            <w:r>
              <w:rPr>
                <w:rFonts w:hint="default" w:ascii="宋体" w:hAnsi="宋体" w:cs="宋体"/>
                <w:bCs/>
                <w:color w:val="auto"/>
                <w:sz w:val="28"/>
                <w:szCs w:val="28"/>
                <w:highlight w:val="none"/>
                <w:lang w:val="en-US" w:eastAsia="zh-CN"/>
              </w:rPr>
              <w:t>方案内容完整，科学性和合理性强，且可操作性强的得12分；方案内容较完整，科学性和合理性较强，可操作性一般的得8分；方案内容不完整，科学性和合理性一般，无可操作性的得4分；未提供方案的，不得分。</w:t>
            </w:r>
          </w:p>
        </w:tc>
        <w:tc>
          <w:tcPr>
            <w:tcW w:w="980" w:type="dxa"/>
            <w:noWrap/>
            <w:vAlign w:val="center"/>
          </w:tcPr>
          <w:p w14:paraId="75013E1D">
            <w:pPr>
              <w:keepNext w:val="0"/>
              <w:keepLines w:val="0"/>
              <w:pageBreakBefore w:val="0"/>
              <w:kinsoku/>
              <w:wordWrap/>
              <w:overflowPunct/>
              <w:topLinePunct w:val="0"/>
              <w:autoSpaceDE/>
              <w:autoSpaceDN/>
              <w:bidi w:val="0"/>
              <w:adjustRightInd w:val="0"/>
              <w:snapToGrid/>
              <w:spacing w:line="400" w:lineRule="exact"/>
              <w:jc w:val="center"/>
              <w:textAlignment w:val="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12分</w:t>
            </w:r>
          </w:p>
        </w:tc>
      </w:tr>
      <w:tr w14:paraId="70D3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4AED67DE">
            <w:pPr>
              <w:keepNext w:val="0"/>
              <w:keepLines w:val="0"/>
              <w:pageBreakBefore w:val="0"/>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lang w:val="en-US" w:eastAsia="zh-CN"/>
              </w:rPr>
            </w:pPr>
            <w:r>
              <w:rPr>
                <w:rFonts w:hint="eastAsia" w:ascii="宋体" w:hAnsi="宋体" w:cs="宋体"/>
                <w:bCs/>
                <w:color w:val="auto"/>
                <w:sz w:val="28"/>
                <w:szCs w:val="28"/>
                <w:lang w:val="en-US" w:eastAsia="zh-CN"/>
              </w:rPr>
              <w:t>5</w:t>
            </w:r>
          </w:p>
        </w:tc>
        <w:tc>
          <w:tcPr>
            <w:tcW w:w="1308" w:type="dxa"/>
            <w:noWrap/>
            <w:vAlign w:val="center"/>
          </w:tcPr>
          <w:p w14:paraId="3606F091">
            <w:pPr>
              <w:keepNext w:val="0"/>
              <w:keepLines w:val="0"/>
              <w:pageBreakBefore w:val="0"/>
              <w:kinsoku/>
              <w:wordWrap/>
              <w:overflowPunct/>
              <w:topLinePunct w:val="0"/>
              <w:autoSpaceDE/>
              <w:autoSpaceDN/>
              <w:bidi w:val="0"/>
              <w:adjustRightInd w:val="0"/>
              <w:snapToGrid/>
              <w:spacing w:line="400" w:lineRule="exact"/>
              <w:jc w:val="center"/>
              <w:textAlignment w:val="auto"/>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质量控制方案</w:t>
            </w:r>
          </w:p>
        </w:tc>
        <w:tc>
          <w:tcPr>
            <w:tcW w:w="6538" w:type="dxa"/>
            <w:noWrap/>
            <w:vAlign w:val="center"/>
          </w:tcPr>
          <w:p w14:paraId="2E86E3B7">
            <w:pPr>
              <w:keepNext w:val="0"/>
              <w:keepLines w:val="0"/>
              <w:pageBreakBefore w:val="0"/>
              <w:kinsoku/>
              <w:wordWrap/>
              <w:overflowPunct/>
              <w:topLinePunct w:val="0"/>
              <w:autoSpaceDE/>
              <w:autoSpaceDN/>
              <w:bidi w:val="0"/>
              <w:snapToGrid/>
              <w:spacing w:line="400" w:lineRule="exact"/>
              <w:textAlignment w:val="auto"/>
              <w:rPr>
                <w:rFonts w:hint="default" w:ascii="宋体" w:hAnsi="宋体" w:cs="宋体"/>
                <w:bCs/>
                <w:color w:val="auto"/>
                <w:sz w:val="28"/>
                <w:szCs w:val="28"/>
                <w:highlight w:val="none"/>
                <w:lang w:val="en-US" w:eastAsia="zh-CN"/>
              </w:rPr>
            </w:pPr>
            <w:r>
              <w:rPr>
                <w:rFonts w:hint="default" w:ascii="宋体" w:hAnsi="宋体" w:cs="宋体"/>
                <w:bCs/>
                <w:color w:val="auto"/>
                <w:sz w:val="28"/>
                <w:szCs w:val="28"/>
                <w:highlight w:val="none"/>
                <w:lang w:val="en-US" w:eastAsia="zh-CN"/>
              </w:rPr>
              <w:t>根据投标人提供的质量控制方案的科学性、合理性、可行性等方面进行打分：</w:t>
            </w:r>
          </w:p>
          <w:p w14:paraId="7A89A2D1">
            <w:pPr>
              <w:keepNext w:val="0"/>
              <w:keepLines w:val="0"/>
              <w:pageBreakBefore w:val="0"/>
              <w:kinsoku/>
              <w:wordWrap/>
              <w:overflowPunct/>
              <w:topLinePunct w:val="0"/>
              <w:autoSpaceDE/>
              <w:autoSpaceDN/>
              <w:bidi w:val="0"/>
              <w:snapToGrid/>
              <w:spacing w:line="400" w:lineRule="exact"/>
              <w:textAlignment w:val="auto"/>
              <w:rPr>
                <w:rFonts w:hint="eastAsia" w:ascii="宋体" w:hAnsi="宋体" w:cs="宋体"/>
                <w:bCs/>
                <w:color w:val="auto"/>
                <w:sz w:val="28"/>
                <w:szCs w:val="28"/>
                <w:highlight w:val="none"/>
                <w:lang w:val="en-US" w:eastAsia="zh-CN"/>
              </w:rPr>
            </w:pPr>
            <w:r>
              <w:rPr>
                <w:rFonts w:hint="default" w:ascii="宋体" w:hAnsi="宋体" w:cs="宋体"/>
                <w:bCs/>
                <w:color w:val="auto"/>
                <w:sz w:val="28"/>
                <w:szCs w:val="28"/>
                <w:highlight w:val="none"/>
                <w:lang w:val="en-US" w:eastAsia="zh-CN"/>
              </w:rPr>
              <w:t>方案内容完整，有创新性和针对性，且可操作性强的得12分；方案内容较完整，有一定的针对性和可操作性，但难以应对复杂和突发情况的得8分；方案内容基本完整，有一定的可操作性，但方案针对性不强，未充分考虑常见情况的得4分；未提供方案的，不得分。</w:t>
            </w:r>
          </w:p>
        </w:tc>
        <w:tc>
          <w:tcPr>
            <w:tcW w:w="980" w:type="dxa"/>
            <w:noWrap/>
            <w:vAlign w:val="center"/>
          </w:tcPr>
          <w:p w14:paraId="48079BA2">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12分</w:t>
            </w:r>
          </w:p>
        </w:tc>
      </w:tr>
      <w:tr w14:paraId="31B3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ign w:val="center"/>
          </w:tcPr>
          <w:p w14:paraId="4395CC48">
            <w:pPr>
              <w:keepNext w:val="0"/>
              <w:keepLines w:val="0"/>
              <w:pageBreakBefore w:val="0"/>
              <w:kinsoku/>
              <w:wordWrap/>
              <w:overflowPunct/>
              <w:topLinePunct w:val="0"/>
              <w:autoSpaceDE/>
              <w:autoSpaceDN/>
              <w:bidi w:val="0"/>
              <w:snapToGrid/>
              <w:spacing w:line="400" w:lineRule="exact"/>
              <w:jc w:val="center"/>
              <w:textAlignment w:val="auto"/>
              <w:rPr>
                <w:rFonts w:hint="eastAsia" w:ascii="宋体" w:hAnsi="宋体" w:eastAsia="宋体" w:cs="宋体"/>
                <w:bCs/>
                <w:color w:val="auto"/>
                <w:sz w:val="28"/>
                <w:szCs w:val="28"/>
                <w:lang w:val="en-US" w:eastAsia="zh-CN"/>
              </w:rPr>
            </w:pPr>
            <w:r>
              <w:rPr>
                <w:rFonts w:hint="eastAsia" w:ascii="宋体" w:hAnsi="宋体" w:cs="宋体"/>
                <w:bCs/>
                <w:color w:val="auto"/>
                <w:sz w:val="28"/>
                <w:szCs w:val="28"/>
                <w:lang w:val="en-US" w:eastAsia="zh-CN"/>
              </w:rPr>
              <w:t>6</w:t>
            </w:r>
          </w:p>
        </w:tc>
        <w:tc>
          <w:tcPr>
            <w:tcW w:w="1308" w:type="dxa"/>
            <w:noWrap/>
            <w:vAlign w:val="center"/>
          </w:tcPr>
          <w:p w14:paraId="7A8FDD44">
            <w:pPr>
              <w:keepNext w:val="0"/>
              <w:keepLines w:val="0"/>
              <w:pageBreakBefore w:val="0"/>
              <w:kinsoku/>
              <w:wordWrap/>
              <w:overflowPunct/>
              <w:topLinePunct w:val="0"/>
              <w:autoSpaceDE/>
              <w:autoSpaceDN/>
              <w:bidi w:val="0"/>
              <w:adjustRightInd w:val="0"/>
              <w:snapToGrid/>
              <w:spacing w:line="400" w:lineRule="exact"/>
              <w:jc w:val="center"/>
              <w:textAlignment w:val="auto"/>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后续承诺服务方案</w:t>
            </w:r>
          </w:p>
        </w:tc>
        <w:tc>
          <w:tcPr>
            <w:tcW w:w="6538" w:type="dxa"/>
            <w:noWrap/>
            <w:vAlign w:val="center"/>
          </w:tcPr>
          <w:p w14:paraId="75CF313A">
            <w:pPr>
              <w:keepNext w:val="0"/>
              <w:keepLines w:val="0"/>
              <w:pageBreakBefore w:val="0"/>
              <w:kinsoku/>
              <w:wordWrap/>
              <w:overflowPunct/>
              <w:topLinePunct w:val="0"/>
              <w:autoSpaceDE/>
              <w:autoSpaceDN/>
              <w:bidi w:val="0"/>
              <w:snapToGrid/>
              <w:spacing w:line="400" w:lineRule="exact"/>
              <w:textAlignment w:val="auto"/>
              <w:rPr>
                <w:rFonts w:hint="eastAsia" w:ascii="宋体" w:hAnsi="宋体" w:cs="宋体"/>
                <w:bCs/>
                <w:color w:val="auto"/>
                <w:sz w:val="28"/>
                <w:szCs w:val="28"/>
                <w:highlight w:val="none"/>
                <w:lang w:val="en-US" w:eastAsia="zh-CN"/>
              </w:rPr>
            </w:pPr>
            <w:r>
              <w:rPr>
                <w:rFonts w:hint="default" w:ascii="宋体" w:hAnsi="宋体" w:cs="宋体"/>
                <w:bCs/>
                <w:color w:val="auto"/>
                <w:sz w:val="28"/>
                <w:szCs w:val="28"/>
                <w:highlight w:val="none"/>
                <w:lang w:val="en-US" w:eastAsia="zh-CN"/>
              </w:rPr>
              <w:t>根据整体方案的完整性、逻辑清晰度及后续承诺服务进行打分：</w:t>
            </w:r>
            <w:r>
              <w:rPr>
                <w:rFonts w:hint="default" w:ascii="宋体" w:hAnsi="宋体" w:cs="宋体"/>
                <w:bCs/>
                <w:color w:val="auto"/>
                <w:sz w:val="28"/>
                <w:szCs w:val="28"/>
                <w:highlight w:val="none"/>
                <w:lang w:val="en-US" w:eastAsia="zh-CN"/>
              </w:rPr>
              <w:br w:type="textWrapping"/>
            </w:r>
            <w:r>
              <w:rPr>
                <w:rFonts w:hint="default" w:ascii="宋体" w:hAnsi="宋体" w:cs="宋体"/>
                <w:bCs/>
                <w:color w:val="auto"/>
                <w:sz w:val="28"/>
                <w:szCs w:val="28"/>
                <w:highlight w:val="none"/>
                <w:lang w:val="en-US" w:eastAsia="zh-CN"/>
              </w:rPr>
              <w:t>整体方案内容完整、逻辑清晰，后续承诺服务体系完善，包含明确的服务流程、响应时间、问题升级机制、培训计划及长期技术支持方案，且承诺内容具有可操作性与可验证性，能充分满足甚至优于项目需求的得12分；整体方案内容较完整，有基本的后续承诺服务安排，但缺乏细节或无法覆盖所有关键场景，承诺内容存在一定模糊性的得8分；整体方案内容基本完整但逻辑松散，后续承诺服务内容简单或流于形式，缺乏具体执行路径或责任说明，难以保障实际落地的得4分；未提供方案的，不得分。</w:t>
            </w:r>
          </w:p>
        </w:tc>
        <w:tc>
          <w:tcPr>
            <w:tcW w:w="980" w:type="dxa"/>
            <w:noWrap/>
            <w:vAlign w:val="center"/>
          </w:tcPr>
          <w:p w14:paraId="70BB7847">
            <w:pPr>
              <w:keepNext w:val="0"/>
              <w:keepLines w:val="0"/>
              <w:pageBreakBefore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12分</w:t>
            </w:r>
          </w:p>
        </w:tc>
      </w:tr>
    </w:tbl>
    <w:p w14:paraId="7FFEA524">
      <w:pPr>
        <w:keepNext w:val="0"/>
        <w:keepLines w:val="0"/>
        <w:pageBreakBefore w:val="0"/>
        <w:widowControl w:val="0"/>
        <w:kinsoku/>
        <w:wordWrap/>
        <w:overflowPunct/>
        <w:topLinePunct w:val="0"/>
        <w:autoSpaceDE w:val="0"/>
        <w:autoSpaceDN w:val="0"/>
        <w:bidi w:val="0"/>
        <w:adjustRightInd w:val="0"/>
        <w:snapToGrid w:val="0"/>
        <w:spacing w:line="490" w:lineRule="exact"/>
        <w:ind w:firstLine="560"/>
        <w:rPr>
          <w:rFonts w:hint="eastAsia" w:ascii="宋体" w:hAnsi="宋体" w:eastAsia="宋体" w:cs="宋体"/>
          <w:bCs/>
          <w:color w:val="auto"/>
          <w:sz w:val="28"/>
          <w:szCs w:val="28"/>
          <w:highlight w:val="none"/>
        </w:rPr>
      </w:pPr>
    </w:p>
    <w:p w14:paraId="41004789">
      <w:pPr>
        <w:keepNext w:val="0"/>
        <w:keepLines w:val="0"/>
        <w:pageBreakBefore w:val="0"/>
        <w:widowControl w:val="0"/>
        <w:kinsoku/>
        <w:wordWrap/>
        <w:overflowPunct/>
        <w:topLinePunct w:val="0"/>
        <w:autoSpaceDE w:val="0"/>
        <w:autoSpaceDN w:val="0"/>
        <w:bidi w:val="0"/>
        <w:adjustRightInd w:val="0"/>
        <w:snapToGrid w:val="0"/>
        <w:spacing w:line="490" w:lineRule="exact"/>
        <w:ind w:firstLine="560"/>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四）</w:t>
      </w:r>
      <w:r>
        <w:rPr>
          <w:rFonts w:hint="eastAsia" w:ascii="宋体" w:hAnsi="宋体" w:eastAsia="宋体" w:cs="宋体"/>
          <w:color w:val="auto"/>
          <w:sz w:val="28"/>
          <w:szCs w:val="28"/>
          <w:highlight w:val="none"/>
          <w:lang w:val="zh-CN"/>
        </w:rPr>
        <w:t>价格分</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30分</w:t>
      </w:r>
    </w:p>
    <w:p w14:paraId="1958587C">
      <w:pPr>
        <w:keepNext w:val="0"/>
        <w:keepLines w:val="0"/>
        <w:pageBreakBefore w:val="0"/>
        <w:widowControl w:val="0"/>
        <w:kinsoku/>
        <w:wordWrap/>
        <w:overflowPunct/>
        <w:topLinePunct w:val="0"/>
        <w:bidi w:val="0"/>
        <w:adjustRightInd w:val="0"/>
        <w:snapToGrid w:val="0"/>
        <w:spacing w:line="49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1FA36E92">
      <w:pPr>
        <w:keepNext w:val="0"/>
        <w:keepLines w:val="0"/>
        <w:pageBreakBefore w:val="0"/>
        <w:widowControl w:val="0"/>
        <w:kinsoku/>
        <w:wordWrap/>
        <w:overflowPunct/>
        <w:topLinePunct w:val="0"/>
        <w:bidi w:val="0"/>
        <w:adjustRightInd w:val="0"/>
        <w:snapToGrid w:val="0"/>
        <w:spacing w:line="49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投标报价得分=（评标基准价/投标报价）×价格权值×100</w:t>
      </w:r>
    </w:p>
    <w:p w14:paraId="72E058DA">
      <w:pPr>
        <w:pStyle w:val="19"/>
        <w:keepNext w:val="0"/>
        <w:keepLines w:val="0"/>
        <w:pageBreakBefore w:val="0"/>
        <w:widowControl w:val="0"/>
        <w:kinsoku/>
        <w:wordWrap/>
        <w:overflowPunct/>
        <w:topLinePunct w:val="0"/>
        <w:bidi w:val="0"/>
        <w:adjustRightInd w:val="0"/>
        <w:snapToGrid w:val="0"/>
        <w:spacing w:before="0" w:after="0" w:line="490" w:lineRule="exact"/>
        <w:ind w:left="0" w:right="0" w:firstLine="560" w:firstLineChars="200"/>
        <w:jc w:val="both"/>
        <w:rPr>
          <w:rFonts w:hint="eastAsia" w:ascii="宋体" w:hAnsi="宋体" w:eastAsia="宋体" w:cs="宋体"/>
          <w:bCs/>
          <w:color w:val="auto"/>
          <w:kern w:val="2"/>
          <w:sz w:val="28"/>
          <w:szCs w:val="28"/>
          <w:highlight w:val="none"/>
        </w:rPr>
      </w:pPr>
      <w:r>
        <w:rPr>
          <w:rFonts w:hint="eastAsia" w:ascii="宋体" w:hAnsi="宋体" w:eastAsia="宋体" w:cs="宋体"/>
          <w:bCs/>
          <w:color w:val="auto"/>
          <w:sz w:val="28"/>
          <w:szCs w:val="28"/>
          <w:highlight w:val="none"/>
        </w:rPr>
        <w:t>（</w:t>
      </w:r>
      <w:r>
        <w:rPr>
          <w:rFonts w:hint="eastAsia" w:ascii="宋体" w:hAnsi="宋体" w:eastAsia="宋体" w:cs="宋体"/>
          <w:bCs/>
          <w:color w:val="auto"/>
          <w:kern w:val="2"/>
          <w:sz w:val="28"/>
          <w:szCs w:val="28"/>
          <w:highlight w:val="none"/>
        </w:rPr>
        <w:t>五</w:t>
      </w:r>
      <w:r>
        <w:rPr>
          <w:rFonts w:hint="eastAsia" w:ascii="宋体" w:hAnsi="宋体" w:eastAsia="宋体" w:cs="宋体"/>
          <w:bCs/>
          <w:color w:val="auto"/>
          <w:sz w:val="28"/>
          <w:szCs w:val="28"/>
          <w:highlight w:val="none"/>
        </w:rPr>
        <w:t>）</w:t>
      </w:r>
      <w:r>
        <w:rPr>
          <w:rFonts w:hint="eastAsia" w:ascii="宋体" w:hAnsi="宋体" w:eastAsia="宋体" w:cs="宋体"/>
          <w:bCs/>
          <w:color w:val="auto"/>
          <w:kern w:val="2"/>
          <w:sz w:val="28"/>
          <w:szCs w:val="28"/>
          <w:highlight w:val="none"/>
        </w:rPr>
        <w:t>政府采购政策功能落实</w:t>
      </w:r>
    </w:p>
    <w:p w14:paraId="6587D2ED">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1.非专门面向中小企业采购的项目或者采购包，执行以下价格评审优惠的扶持政策。</w:t>
      </w:r>
    </w:p>
    <w:p w14:paraId="4A28674E">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（1）小微型企业价格扣除：</w:t>
      </w:r>
    </w:p>
    <w:p w14:paraId="5073C678">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①对小型和微型企业产品给予10%的扣除价格，用扣除后的价格参与评审。</w:t>
      </w:r>
    </w:p>
    <w:p w14:paraId="4FD4D21F">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②供应商需按照《政府采购促进中小企业发展管理办法》（财库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2020</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46号）的规定提供相应的《中小企业声明函》。</w:t>
      </w:r>
    </w:p>
    <w:p w14:paraId="3163F290">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③企业标准请参照《关于印发中小企业划型标准规定的通知》（工信部联企业</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sz w:val="28"/>
          <w:szCs w:val="28"/>
          <w:highlight w:val="none"/>
        </w:rPr>
        <w:t>2011</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sz w:val="28"/>
          <w:szCs w:val="28"/>
          <w:highlight w:val="none"/>
        </w:rPr>
        <w:t>300号）文件规定自行填写。</w:t>
      </w:r>
    </w:p>
    <w:p w14:paraId="0B0CC24A">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（2）残疾人福利单位价格扣除：</w:t>
      </w:r>
    </w:p>
    <w:p w14:paraId="4540D3E5">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①对残疾人福利性单位，给予10%的价格扣除，用扣除后的价格参与评审。</w:t>
      </w:r>
    </w:p>
    <w:p w14:paraId="5CE1AA99">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②残疾人福利单位需按照采购文件的要求提供《残疾人福利性单位声明函》。</w:t>
      </w:r>
    </w:p>
    <w:p w14:paraId="2A196B85">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③残疾人福利单位标准请参照《关于促进残疾人就业政府采购政策的通知》（财库〔2017〕141号）。</w:t>
      </w:r>
    </w:p>
    <w:p w14:paraId="431CE18D">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（3）监狱和戒毒企业价格扣除</w:t>
      </w:r>
    </w:p>
    <w:p w14:paraId="4978C459">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①对监狱和戒毒企业（简称监狱企业）给予10%的价格扣除，用扣除后的价格参与评审。</w:t>
      </w:r>
    </w:p>
    <w:p w14:paraId="2604E543">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7CEA0E4A">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③监狱企业标准请参照《关于政府采购支持监狱企业发展有关问题的通知》（财库〔2014</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sz w:val="28"/>
          <w:szCs w:val="28"/>
          <w:highlight w:val="none"/>
        </w:rPr>
        <w:t>68号）。</w:t>
      </w:r>
    </w:p>
    <w:p w14:paraId="4B881EE7">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（4）残疾人福利单位、监狱企业属于小型、微型企业的，不重复享受政策。</w:t>
      </w:r>
    </w:p>
    <w:p w14:paraId="7D00F443">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64839776">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（6）联合体各方均为小型、微型企业（残疾人福利单位、监狱企业）的，联合体享受上述同类价格扣除，用扣除后的价格参与评审。</w:t>
      </w:r>
    </w:p>
    <w:p w14:paraId="645870F7">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2.专门面向中小企业采购的项目或者采购包，不再执行上述价格评审优惠的扶持政策。</w:t>
      </w:r>
    </w:p>
    <w:p w14:paraId="00E1F20A">
      <w:pPr>
        <w:pStyle w:val="19"/>
        <w:keepNext w:val="0"/>
        <w:keepLines w:val="0"/>
        <w:pageBreakBefore w:val="0"/>
        <w:widowControl w:val="0"/>
        <w:kinsoku/>
        <w:wordWrap/>
        <w:overflowPunct/>
        <w:topLinePunct w:val="0"/>
        <w:bidi w:val="0"/>
        <w:adjustRightInd w:val="0"/>
        <w:snapToGrid w:val="0"/>
        <w:spacing w:before="0" w:after="0" w:line="490" w:lineRule="exact"/>
        <w:ind w:left="0" w:right="0" w:firstLine="560" w:firstLineChars="20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（六）中标人的确定</w:t>
      </w:r>
    </w:p>
    <w:p w14:paraId="0D154700">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评委会汇总各评委评分后，综合评审得分最高的投标人为中标候选人，若总得分者有相同时，则投标报价低者排名优先，均相同时则通过抽签方式随机确定排名顺序。</w:t>
      </w:r>
    </w:p>
    <w:p w14:paraId="060E4300">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本项目（每标段）选取1名中标候选人，并编写评标报告。采购人应根据评委会推荐的中标候选人确定中标人。</w:t>
      </w:r>
    </w:p>
    <w:p w14:paraId="5C8033E8">
      <w:pPr>
        <w:pStyle w:val="19"/>
        <w:keepNext w:val="0"/>
        <w:keepLines w:val="0"/>
        <w:pageBreakBefore w:val="0"/>
        <w:widowControl w:val="0"/>
        <w:kinsoku/>
        <w:wordWrap/>
        <w:overflowPunct/>
        <w:topLinePunct w:val="0"/>
        <w:bidi w:val="0"/>
        <w:adjustRightInd w:val="0"/>
        <w:snapToGrid w:val="0"/>
        <w:spacing w:before="0" w:after="0" w:line="490" w:lineRule="exact"/>
        <w:ind w:left="0" w:right="0" w:firstLine="560" w:firstLineChars="20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（七）公告中标结果</w:t>
      </w:r>
    </w:p>
    <w:p w14:paraId="5F21436E">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自确定中标人之日起2个工作日内，在江苏政府采购网公告中标结果，公告期限为1个工作日。</w:t>
      </w:r>
    </w:p>
    <w:p w14:paraId="04B966AB">
      <w:pPr>
        <w:pStyle w:val="19"/>
        <w:keepNext w:val="0"/>
        <w:keepLines w:val="0"/>
        <w:pageBreakBefore w:val="0"/>
        <w:widowControl w:val="0"/>
        <w:kinsoku/>
        <w:wordWrap/>
        <w:overflowPunct/>
        <w:topLinePunct w:val="0"/>
        <w:bidi w:val="0"/>
        <w:adjustRightInd w:val="0"/>
        <w:snapToGrid w:val="0"/>
        <w:spacing w:before="0" w:after="0" w:line="490" w:lineRule="exact"/>
        <w:ind w:left="0" w:right="0" w:firstLine="560" w:firstLineChars="20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（八）发放中标通知书</w:t>
      </w:r>
    </w:p>
    <w:p w14:paraId="3713CFBD">
      <w:pPr>
        <w:keepNext w:val="0"/>
        <w:keepLines w:val="0"/>
        <w:pageBreakBefore w:val="0"/>
        <w:widowControl w:val="0"/>
        <w:kinsoku/>
        <w:wordWrap/>
        <w:overflowPunct/>
        <w:topLinePunct w:val="0"/>
        <w:bidi w:val="0"/>
        <w:adjustRightInd w:val="0"/>
        <w:snapToGrid w:val="0"/>
        <w:spacing w:line="49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公告中标结果的同时，</w:t>
      </w:r>
      <w:r>
        <w:rPr>
          <w:rFonts w:hint="eastAsia" w:ascii="宋体" w:hAnsi="宋体" w:eastAsia="宋体" w:cs="宋体"/>
          <w:color w:val="auto"/>
          <w:sz w:val="28"/>
          <w:szCs w:val="28"/>
          <w:highlight w:val="none"/>
          <w:lang w:val="en-US" w:eastAsia="zh-CN"/>
        </w:rPr>
        <w:t>招标代理</w:t>
      </w:r>
      <w:r>
        <w:rPr>
          <w:rFonts w:hint="eastAsia" w:ascii="宋体" w:hAnsi="宋体" w:eastAsia="宋体" w:cs="宋体"/>
          <w:bCs/>
          <w:color w:val="auto"/>
          <w:sz w:val="28"/>
          <w:szCs w:val="28"/>
          <w:highlight w:val="none"/>
        </w:rPr>
        <w:t>向中标供应商发放中标通知书。</w:t>
      </w:r>
      <w:r>
        <w:rPr>
          <w:rFonts w:hint="eastAsia" w:ascii="宋体" w:hAnsi="宋体" w:eastAsia="宋体" w:cs="宋体"/>
          <w:color w:val="auto"/>
          <w:sz w:val="28"/>
          <w:szCs w:val="28"/>
          <w:highlight w:val="none"/>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C68625E">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中标通知书发出后，采购人不得违法改变中标结果，中标供应商无正当理由不得放弃中标。</w:t>
      </w:r>
    </w:p>
    <w:p w14:paraId="3D868930">
      <w:pPr>
        <w:keepNext w:val="0"/>
        <w:keepLines w:val="0"/>
        <w:pageBreakBefore w:val="0"/>
        <w:widowControl w:val="0"/>
        <w:kinsoku/>
        <w:wordWrap/>
        <w:overflowPunct/>
        <w:topLinePunct w:val="0"/>
        <w:bidi w:val="0"/>
        <w:adjustRightInd w:val="0"/>
        <w:snapToGrid w:val="0"/>
        <w:spacing w:line="490" w:lineRule="exact"/>
        <w:ind w:firstLine="570"/>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rPr>
        <w:t>签订合同时请中标供应商提供</w:t>
      </w:r>
      <w:r>
        <w:rPr>
          <w:rFonts w:hint="eastAsia" w:ascii="宋体" w:hAnsi="宋体" w:eastAsia="宋体" w:cs="宋体"/>
          <w:b/>
          <w:color w:val="auto"/>
          <w:kern w:val="0"/>
          <w:sz w:val="28"/>
          <w:szCs w:val="28"/>
          <w:highlight w:val="none"/>
          <w:lang w:val="en-US" w:eastAsia="zh-CN"/>
        </w:rPr>
        <w:t>一</w:t>
      </w:r>
      <w:r>
        <w:rPr>
          <w:rFonts w:hint="eastAsia" w:ascii="宋体" w:hAnsi="宋体" w:eastAsia="宋体" w:cs="宋体"/>
          <w:b/>
          <w:color w:val="auto"/>
          <w:sz w:val="28"/>
          <w:szCs w:val="28"/>
          <w:highlight w:val="none"/>
        </w:rPr>
        <w:t>正</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副</w:t>
      </w:r>
      <w:r>
        <w:rPr>
          <w:rFonts w:hint="eastAsia" w:ascii="宋体" w:hAnsi="宋体" w:eastAsia="宋体" w:cs="宋体"/>
          <w:b/>
          <w:color w:val="auto"/>
          <w:kern w:val="0"/>
          <w:sz w:val="28"/>
          <w:szCs w:val="28"/>
          <w:highlight w:val="none"/>
        </w:rPr>
        <w:t>纸质版投标文件至采购人处。</w:t>
      </w:r>
    </w:p>
    <w:p w14:paraId="724A9E75">
      <w:pPr>
        <w:adjustRightInd w:val="0"/>
        <w:snapToGrid w:val="0"/>
        <w:spacing w:line="500" w:lineRule="exact"/>
        <w:jc w:val="center"/>
        <w:outlineLvl w:val="0"/>
        <w:rPr>
          <w:rFonts w:hint="eastAsia" w:ascii="宋体" w:hAnsi="宋体" w:eastAsia="宋体" w:cs="宋体"/>
          <w:bCs/>
          <w:color w:val="auto"/>
          <w:sz w:val="36"/>
          <w:szCs w:val="36"/>
          <w:highlight w:val="none"/>
        </w:rPr>
      </w:pPr>
      <w:r>
        <w:rPr>
          <w:rFonts w:hint="eastAsia" w:ascii="宋体" w:hAnsi="宋体" w:eastAsia="宋体" w:cs="宋体"/>
          <w:b/>
          <w:color w:val="auto"/>
          <w:sz w:val="36"/>
          <w:szCs w:val="36"/>
          <w:highlight w:val="none"/>
        </w:rPr>
        <w:br w:type="page"/>
      </w:r>
      <w:r>
        <w:rPr>
          <w:rFonts w:hint="eastAsia" w:ascii="宋体" w:hAnsi="宋体" w:eastAsia="宋体" w:cs="宋体"/>
          <w:bCs/>
          <w:color w:val="auto"/>
          <w:sz w:val="36"/>
          <w:szCs w:val="36"/>
          <w:highlight w:val="none"/>
        </w:rPr>
        <w:t>第五部分  投标文件格式</w:t>
      </w:r>
    </w:p>
    <w:p w14:paraId="27811410">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1.</w:t>
      </w:r>
      <w:r>
        <w:rPr>
          <w:rFonts w:hint="eastAsia" w:ascii="宋体" w:hAnsi="宋体" w:eastAsia="宋体" w:cs="宋体"/>
          <w:color w:val="auto"/>
          <w:kern w:val="0"/>
          <w:sz w:val="28"/>
          <w:szCs w:val="28"/>
          <w:highlight w:val="none"/>
        </w:rPr>
        <w:t>投标人符合《中华人民共和国政府采购法》第二十二条规定条件的声明函</w:t>
      </w:r>
      <w:r>
        <w:rPr>
          <w:rFonts w:hint="eastAsia" w:ascii="宋体" w:hAnsi="宋体" w:eastAsia="宋体" w:cs="宋体"/>
          <w:color w:val="auto"/>
          <w:kern w:val="0"/>
          <w:sz w:val="28"/>
          <w:szCs w:val="28"/>
          <w:highlight w:val="none"/>
          <w:lang w:val="zh-CN"/>
        </w:rPr>
        <w:t>（格式见附件1）（如分公司参加投标的，另需提供总公司的授权证明）；</w:t>
      </w:r>
    </w:p>
    <w:p w14:paraId="41783C69">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2.法人或者其他组织的营业执照等证明文件，自然人参加的提供身份证明；</w:t>
      </w:r>
    </w:p>
    <w:p w14:paraId="2121DB94">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3.法定代表人参加投标的提供法定代表人身份证明书（格式见附件2）；非法定代表人参加投标的提供法定代表人授权委托书原件（格式见附件3）；</w:t>
      </w:r>
    </w:p>
    <w:p w14:paraId="74E41B88">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供应商信用承诺书（格式见附件</w:t>
      </w: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w:t>
      </w:r>
    </w:p>
    <w:p w14:paraId="31DA039F">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5.申请人</w:t>
      </w:r>
      <w:r>
        <w:rPr>
          <w:rFonts w:hint="eastAsia" w:ascii="宋体" w:hAnsi="宋体" w:eastAsia="宋体" w:cs="宋体"/>
          <w:color w:val="auto"/>
          <w:kern w:val="0"/>
          <w:sz w:val="28"/>
          <w:szCs w:val="28"/>
          <w:highlight w:val="none"/>
          <w:lang w:val="en-US" w:eastAsia="zh-CN"/>
        </w:rPr>
        <w:t>的</w:t>
      </w:r>
      <w:r>
        <w:rPr>
          <w:rFonts w:hint="eastAsia" w:ascii="宋体" w:hAnsi="宋体" w:eastAsia="宋体" w:cs="宋体"/>
          <w:color w:val="auto"/>
          <w:kern w:val="0"/>
          <w:sz w:val="28"/>
          <w:szCs w:val="28"/>
          <w:highlight w:val="none"/>
          <w:lang w:val="zh-CN"/>
        </w:rPr>
        <w:t>资格要求提供的相应证明材料原件扫描件；</w:t>
      </w:r>
    </w:p>
    <w:p w14:paraId="3A1DD7BB">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lang w:val="zh-CN"/>
        </w:rPr>
        <w:t>投标函（格式见附件5）；</w:t>
      </w:r>
    </w:p>
    <w:p w14:paraId="5A20208D">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bCs/>
          <w:color w:val="auto"/>
          <w:kern w:val="0"/>
          <w:sz w:val="28"/>
          <w:szCs w:val="28"/>
          <w:highlight w:val="none"/>
          <w:lang w:val="zh-CN"/>
        </w:rPr>
      </w:pPr>
      <w:r>
        <w:rPr>
          <w:rFonts w:hint="eastAsia" w:ascii="宋体" w:hAnsi="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kern w:val="0"/>
          <w:sz w:val="28"/>
          <w:szCs w:val="28"/>
          <w:highlight w:val="none"/>
          <w:lang w:val="zh-CN"/>
        </w:rPr>
        <w:t>商务部分正负偏离表（格式见附件6）、技术部分正负偏离表（格式见附件7）</w:t>
      </w:r>
      <w:r>
        <w:rPr>
          <w:rFonts w:hint="eastAsia" w:ascii="宋体" w:hAnsi="宋体" w:eastAsia="宋体" w:cs="宋体"/>
          <w:color w:val="auto"/>
          <w:kern w:val="0"/>
          <w:sz w:val="28"/>
          <w:szCs w:val="28"/>
          <w:highlight w:val="none"/>
          <w:lang w:val="zh-CN"/>
        </w:rPr>
        <w:t>；</w:t>
      </w:r>
    </w:p>
    <w:p w14:paraId="2E320C4F">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bCs/>
          <w:color w:val="auto"/>
          <w:kern w:val="0"/>
          <w:sz w:val="28"/>
          <w:szCs w:val="28"/>
          <w:highlight w:val="none"/>
          <w:lang w:val="zh-CN"/>
        </w:rPr>
      </w:pPr>
      <w:r>
        <w:rPr>
          <w:rFonts w:hint="eastAsia" w:ascii="宋体" w:hAnsi="宋体" w:eastAsia="宋体" w:cs="宋体"/>
          <w:bCs/>
          <w:color w:val="auto"/>
          <w:kern w:val="0"/>
          <w:sz w:val="28"/>
          <w:szCs w:val="28"/>
          <w:highlight w:val="none"/>
          <w:lang w:val="zh-CN"/>
        </w:rPr>
        <w:t>填制正负偏离表，完全响应的，请以空白表列示。不完全响应的，必须在偏离表中列示；列示不全的，视同故意隐瞒。</w:t>
      </w:r>
    </w:p>
    <w:p w14:paraId="1FDCB1AB">
      <w:pPr>
        <w:pStyle w:val="12"/>
        <w:keepNext w:val="0"/>
        <w:keepLines w:val="0"/>
        <w:pageBreakBefore w:val="0"/>
        <w:kinsoku/>
        <w:wordWrap/>
        <w:overflowPunct/>
        <w:topLinePunct w:val="0"/>
        <w:autoSpaceDE/>
        <w:autoSpaceDN/>
        <w:bidi w:val="0"/>
        <w:spacing w:before="0" w:beforeAutospacing="0" w:after="0" w:afterAutospacing="0" w:line="500" w:lineRule="exact"/>
        <w:ind w:firstLine="560" w:firstLineChars="200"/>
        <w:textAlignment w:val="auto"/>
        <w:rPr>
          <w:rFonts w:hint="eastAsia" w:ascii="宋体" w:hAnsi="宋体" w:eastAsia="宋体" w:cs="宋体"/>
          <w:color w:val="auto"/>
          <w:sz w:val="28"/>
          <w:szCs w:val="28"/>
          <w:highlight w:val="none"/>
          <w:lang w:val="zh-CN"/>
        </w:rPr>
      </w:pPr>
      <w:r>
        <w:rPr>
          <w:rFonts w:hint="eastAsia" w:cs="宋体"/>
          <w:bCs/>
          <w:color w:val="auto"/>
          <w:sz w:val="28"/>
          <w:szCs w:val="28"/>
          <w:highlight w:val="none"/>
          <w:lang w:val="en-US" w:eastAsia="zh-CN"/>
        </w:rPr>
        <w:t>8</w:t>
      </w:r>
      <w:r>
        <w:rPr>
          <w:rFonts w:hint="eastAsia" w:ascii="宋体" w:hAnsi="宋体" w:eastAsia="宋体" w:cs="宋体"/>
          <w:bCs/>
          <w:color w:val="auto"/>
          <w:sz w:val="28"/>
          <w:szCs w:val="28"/>
          <w:highlight w:val="none"/>
          <w:lang w:val="zh-CN"/>
        </w:rPr>
        <w:t>.开标一览表[格式见“苏采云”系统内电子投标（响应）文件中表式]</w:t>
      </w:r>
      <w:r>
        <w:rPr>
          <w:rFonts w:hint="eastAsia" w:ascii="宋体" w:hAnsi="宋体" w:eastAsia="宋体" w:cs="宋体"/>
          <w:color w:val="auto"/>
          <w:sz w:val="28"/>
          <w:szCs w:val="28"/>
          <w:highlight w:val="none"/>
          <w:lang w:val="zh-CN"/>
        </w:rPr>
        <w:t>；</w:t>
      </w:r>
    </w:p>
    <w:p w14:paraId="754B21D9">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9</w:t>
      </w:r>
      <w:r>
        <w:rPr>
          <w:rFonts w:hint="eastAsia" w:ascii="宋体" w:hAnsi="宋体" w:eastAsia="宋体" w:cs="宋体"/>
          <w:color w:val="auto"/>
          <w:kern w:val="0"/>
          <w:sz w:val="28"/>
          <w:szCs w:val="28"/>
          <w:highlight w:val="none"/>
          <w:lang w:val="zh-CN"/>
        </w:rPr>
        <w:t>.分项报价明细表（格式见附件8）；</w:t>
      </w:r>
    </w:p>
    <w:p w14:paraId="46F9649C">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kern w:val="0"/>
          <w:sz w:val="28"/>
          <w:szCs w:val="28"/>
          <w:highlight w:val="none"/>
        </w:rPr>
        <w:t>中小企业声明函（格式见附件9）</w:t>
      </w:r>
      <w:r>
        <w:rPr>
          <w:rFonts w:hint="eastAsia" w:ascii="宋体" w:hAnsi="宋体" w:eastAsia="宋体" w:cs="宋体"/>
          <w:color w:val="auto"/>
          <w:kern w:val="0"/>
          <w:sz w:val="28"/>
          <w:szCs w:val="28"/>
          <w:highlight w:val="none"/>
          <w:lang w:val="zh-CN"/>
        </w:rPr>
        <w:t>；</w:t>
      </w:r>
    </w:p>
    <w:p w14:paraId="79B6E3D8">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zh-CN"/>
        </w:rPr>
        <w:t>1</w:t>
      </w:r>
      <w:r>
        <w:rPr>
          <w:rFonts w:hint="eastAsia" w:ascii="宋体" w:hAnsi="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kern w:val="0"/>
          <w:sz w:val="28"/>
          <w:szCs w:val="28"/>
          <w:highlight w:val="none"/>
        </w:rPr>
        <w:t>残疾人福利性单位声明函（格式见附件10）</w:t>
      </w:r>
      <w:r>
        <w:rPr>
          <w:rFonts w:hint="eastAsia" w:ascii="宋体" w:hAnsi="宋体" w:eastAsia="宋体" w:cs="宋体"/>
          <w:color w:val="auto"/>
          <w:kern w:val="0"/>
          <w:sz w:val="28"/>
          <w:szCs w:val="28"/>
          <w:highlight w:val="none"/>
          <w:lang w:val="zh-CN"/>
        </w:rPr>
        <w:t>；</w:t>
      </w:r>
    </w:p>
    <w:p w14:paraId="2959E2A6">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rPr>
        <w:t>1</w:t>
      </w: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rPr>
        <w:t>.</w:t>
      </w:r>
      <w:r>
        <w:rPr>
          <w:rFonts w:hint="eastAsia" w:ascii="宋体" w:hAnsi="宋体" w:eastAsia="宋体" w:cs="宋体"/>
          <w:bCs/>
          <w:color w:val="auto"/>
          <w:kern w:val="0"/>
          <w:sz w:val="28"/>
          <w:szCs w:val="28"/>
          <w:highlight w:val="none"/>
        </w:rPr>
        <w:t>监狱和戒毒企业证明材料（格式见附件11）</w:t>
      </w:r>
      <w:r>
        <w:rPr>
          <w:rFonts w:hint="eastAsia" w:ascii="宋体" w:hAnsi="宋体" w:eastAsia="宋体" w:cs="宋体"/>
          <w:bCs/>
          <w:color w:val="auto"/>
          <w:kern w:val="0"/>
          <w:sz w:val="28"/>
          <w:szCs w:val="28"/>
          <w:highlight w:val="none"/>
          <w:lang w:val="zh-CN"/>
        </w:rPr>
        <w:t>。</w:t>
      </w:r>
    </w:p>
    <w:p w14:paraId="26E57EAB">
      <w:pPr>
        <w:snapToGrid w:val="0"/>
        <w:spacing w:line="400" w:lineRule="exact"/>
        <w:ind w:firstLine="540" w:firstLineChars="192"/>
        <w:contextualSpacing/>
        <w:rPr>
          <w:b/>
          <w:color w:val="auto"/>
          <w:kern w:val="0"/>
          <w:sz w:val="28"/>
          <w:szCs w:val="28"/>
          <w:highlight w:val="none"/>
          <w:lang w:val="zh-CN"/>
        </w:rPr>
      </w:pPr>
    </w:p>
    <w:p w14:paraId="6AF12A4D">
      <w:pPr>
        <w:widowControl/>
        <w:jc w:val="left"/>
        <w:rPr>
          <w:rFonts w:hint="eastAsia" w:ascii="宋体" w:hAnsi="宋体" w:eastAsia="宋体" w:cs="宋体"/>
          <w:color w:val="auto"/>
          <w:kern w:val="0"/>
          <w:sz w:val="32"/>
          <w:szCs w:val="32"/>
          <w:highlight w:val="none"/>
          <w:lang w:val="zh-CN"/>
        </w:rPr>
      </w:pPr>
      <w:r>
        <w:rPr>
          <w:rFonts w:eastAsia="方正黑体_GBK"/>
          <w:color w:val="auto"/>
          <w:kern w:val="0"/>
          <w:sz w:val="32"/>
          <w:szCs w:val="32"/>
          <w:highlight w:val="none"/>
          <w:lang w:val="zh-CN"/>
        </w:rPr>
        <w:br w:type="page"/>
      </w:r>
      <w:r>
        <w:rPr>
          <w:rFonts w:hint="eastAsia" w:ascii="宋体" w:hAnsi="宋体" w:eastAsia="宋体" w:cs="宋体"/>
          <w:color w:val="auto"/>
          <w:kern w:val="0"/>
          <w:sz w:val="32"/>
          <w:szCs w:val="32"/>
          <w:highlight w:val="none"/>
          <w:lang w:val="zh-CN"/>
        </w:rPr>
        <w:t>附件1</w:t>
      </w:r>
    </w:p>
    <w:p w14:paraId="400DA5E7">
      <w:pPr>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投标人符合《中华人民共和国政府采购法》第二十二条规定条件的声明函</w:t>
      </w:r>
    </w:p>
    <w:p w14:paraId="2A412C69">
      <w:pPr>
        <w:spacing w:line="520" w:lineRule="exact"/>
        <w:ind w:firstLine="482" w:firstLineChars="200"/>
        <w:rPr>
          <w:rFonts w:hint="eastAsia" w:ascii="宋体" w:hAnsi="宋体" w:eastAsia="宋体" w:cs="宋体"/>
          <w:b/>
          <w:bCs/>
          <w:color w:val="auto"/>
          <w:sz w:val="24"/>
          <w:szCs w:val="21"/>
          <w:highlight w:val="none"/>
        </w:rPr>
      </w:pPr>
    </w:p>
    <w:p w14:paraId="5F9ACB9B">
      <w:pPr>
        <w:spacing w:line="520" w:lineRule="exact"/>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我单位参加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投标活动。针对《中华人民共和国政府采购法》第二十二条规定做出如下声明：</w:t>
      </w:r>
    </w:p>
    <w:p w14:paraId="367660CF">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1.我单位具有独立承担民事责任的能力；</w:t>
      </w:r>
    </w:p>
    <w:p w14:paraId="24224A06">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2.我单位具有良好的商业信誉和健全的财务会计制度；</w:t>
      </w:r>
    </w:p>
    <w:p w14:paraId="1F590D69">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3.我单位具有履行合同所必需的设备和专业技术能力；</w:t>
      </w:r>
    </w:p>
    <w:p w14:paraId="1A0A3D76">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4.我单位有依法缴纳税收和社会保障资金的良好记录；</w:t>
      </w:r>
    </w:p>
    <w:p w14:paraId="59A13636">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1074E06">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6.我单位满足法律、行政法规规定的其他条件。</w:t>
      </w:r>
    </w:p>
    <w:p w14:paraId="017B0857">
      <w:pPr>
        <w:spacing w:line="500" w:lineRule="exact"/>
        <w:rPr>
          <w:rFonts w:hint="eastAsia" w:ascii="宋体" w:hAnsi="宋体" w:eastAsia="宋体" w:cs="宋体"/>
          <w:bCs/>
          <w:color w:val="auto"/>
          <w:sz w:val="28"/>
          <w:szCs w:val="28"/>
          <w:highlight w:val="none"/>
        </w:rPr>
      </w:pPr>
    </w:p>
    <w:p w14:paraId="7F19F2CA">
      <w:pPr>
        <w:spacing w:line="500" w:lineRule="exact"/>
        <w:rPr>
          <w:rFonts w:hint="eastAsia" w:ascii="宋体" w:hAnsi="宋体" w:eastAsia="宋体" w:cs="宋体"/>
          <w:bCs/>
          <w:color w:val="auto"/>
          <w:sz w:val="28"/>
          <w:szCs w:val="28"/>
          <w:highlight w:val="none"/>
        </w:rPr>
      </w:pPr>
    </w:p>
    <w:p w14:paraId="6DF84010">
      <w:pPr>
        <w:spacing w:line="46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承诺人名称（加盖公章）：</w:t>
      </w:r>
      <w:r>
        <w:rPr>
          <w:rFonts w:hint="eastAsia" w:ascii="宋体" w:hAnsi="宋体" w:eastAsia="宋体" w:cs="宋体"/>
          <w:color w:val="auto"/>
          <w:sz w:val="28"/>
          <w:szCs w:val="28"/>
          <w:highlight w:val="none"/>
          <w:u w:val="single"/>
        </w:rPr>
        <w:t xml:space="preserve">                   </w:t>
      </w:r>
    </w:p>
    <w:p w14:paraId="02F6557D">
      <w:pPr>
        <w:spacing w:line="460" w:lineRule="exact"/>
        <w:jc w:val="righ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0AEBAA49">
      <w:pPr>
        <w:spacing w:line="460" w:lineRule="exact"/>
        <w:jc w:val="righ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日</w:t>
      </w:r>
    </w:p>
    <w:p w14:paraId="3DEAA01C">
      <w:pPr>
        <w:snapToGrid w:val="0"/>
        <w:spacing w:line="400" w:lineRule="exact"/>
        <w:contextualSpacing/>
        <w:rPr>
          <w:rFonts w:hint="eastAsia" w:ascii="宋体" w:hAnsi="宋体" w:eastAsia="宋体" w:cs="宋体"/>
          <w:b/>
          <w:color w:val="auto"/>
          <w:kern w:val="0"/>
          <w:sz w:val="28"/>
          <w:szCs w:val="28"/>
          <w:highlight w:val="none"/>
        </w:rPr>
      </w:pPr>
    </w:p>
    <w:p w14:paraId="12F9D164">
      <w:pPr>
        <w:snapToGrid w:val="0"/>
        <w:spacing w:line="400" w:lineRule="exact"/>
        <w:contextualSpacing/>
        <w:rPr>
          <w:rFonts w:hint="eastAsia" w:ascii="宋体" w:hAnsi="宋体" w:eastAsia="宋体" w:cs="宋体"/>
          <w:color w:val="auto"/>
          <w:kern w:val="0"/>
          <w:sz w:val="32"/>
          <w:szCs w:val="32"/>
          <w:highlight w:val="none"/>
          <w:lang w:val="zh-CN"/>
        </w:rPr>
      </w:pPr>
    </w:p>
    <w:p w14:paraId="095E8101">
      <w:pPr>
        <w:snapToGrid w:val="0"/>
        <w:spacing w:line="400" w:lineRule="exact"/>
        <w:contextualSpacing/>
        <w:rPr>
          <w:rFonts w:hint="eastAsia" w:ascii="宋体" w:hAnsi="宋体" w:eastAsia="宋体" w:cs="宋体"/>
          <w:color w:val="auto"/>
          <w:kern w:val="0"/>
          <w:sz w:val="32"/>
          <w:szCs w:val="32"/>
          <w:highlight w:val="none"/>
          <w:lang w:val="zh-CN"/>
        </w:rPr>
      </w:pPr>
    </w:p>
    <w:p w14:paraId="5470D6FA">
      <w:pPr>
        <w:snapToGrid w:val="0"/>
        <w:spacing w:line="400" w:lineRule="exact"/>
        <w:contextualSpacing/>
        <w:rPr>
          <w:rFonts w:hint="eastAsia" w:ascii="宋体" w:hAnsi="宋体" w:eastAsia="宋体" w:cs="宋体"/>
          <w:color w:val="auto"/>
          <w:kern w:val="0"/>
          <w:sz w:val="32"/>
          <w:szCs w:val="32"/>
          <w:highlight w:val="none"/>
          <w:lang w:val="zh-CN"/>
        </w:rPr>
      </w:pPr>
    </w:p>
    <w:p w14:paraId="14BAA7F3">
      <w:pPr>
        <w:snapToGrid w:val="0"/>
        <w:spacing w:line="400" w:lineRule="exact"/>
        <w:contextualSpacing/>
        <w:rPr>
          <w:rFonts w:hint="eastAsia" w:ascii="宋体" w:hAnsi="宋体" w:eastAsia="宋体" w:cs="宋体"/>
          <w:color w:val="auto"/>
          <w:kern w:val="0"/>
          <w:sz w:val="32"/>
          <w:szCs w:val="32"/>
          <w:highlight w:val="none"/>
          <w:lang w:val="zh-CN"/>
        </w:rPr>
      </w:pPr>
      <w:r>
        <w:rPr>
          <w:rFonts w:hint="eastAsia" w:ascii="宋体" w:hAnsi="宋体" w:eastAsia="宋体" w:cs="宋体"/>
          <w:color w:val="auto"/>
          <w:kern w:val="0"/>
          <w:sz w:val="32"/>
          <w:szCs w:val="32"/>
          <w:highlight w:val="none"/>
          <w:lang w:val="zh-CN"/>
        </w:rPr>
        <w:t>附件2</w:t>
      </w:r>
    </w:p>
    <w:p w14:paraId="6CF5C442">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30"/>
          <w:szCs w:val="30"/>
          <w:highlight w:val="none"/>
        </w:rPr>
        <w:t>法定代表人身份证明</w:t>
      </w:r>
    </w:p>
    <w:p w14:paraId="1564DFFD">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先生/女士，身份证号码：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，现任我单位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职务，为我单位法定代表人，特此证明。</w:t>
      </w:r>
    </w:p>
    <w:p w14:paraId="1ECDF635">
      <w:pPr>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本证明用于参加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（项目名称）</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bCs/>
          <w:color w:val="auto"/>
          <w:sz w:val="28"/>
          <w:szCs w:val="28"/>
          <w:highlight w:val="none"/>
        </w:rPr>
        <w:t>）投标活动。</w:t>
      </w:r>
    </w:p>
    <w:p w14:paraId="3371C2D8">
      <w:pPr>
        <w:spacing w:line="480" w:lineRule="exact"/>
        <w:ind w:firstLine="480"/>
        <w:rPr>
          <w:rFonts w:hint="eastAsia" w:ascii="宋体" w:hAnsi="宋体" w:eastAsia="宋体" w:cs="宋体"/>
          <w:color w:val="auto"/>
          <w:sz w:val="28"/>
          <w:szCs w:val="28"/>
          <w:highlight w:val="none"/>
        </w:rPr>
      </w:pPr>
    </w:p>
    <w:p w14:paraId="23A55E51">
      <w:pPr>
        <w:spacing w:line="480" w:lineRule="exact"/>
        <w:ind w:firstLine="480"/>
        <w:rPr>
          <w:rFonts w:hint="eastAsia" w:ascii="宋体" w:hAnsi="宋体" w:eastAsia="宋体" w:cs="宋体"/>
          <w:color w:val="auto"/>
          <w:sz w:val="28"/>
          <w:szCs w:val="28"/>
          <w:highlight w:val="none"/>
        </w:rPr>
      </w:pPr>
    </w:p>
    <w:p w14:paraId="6E023611">
      <w:pPr>
        <w:adjustRightInd w:val="0"/>
        <w:spacing w:line="480" w:lineRule="auto"/>
        <w:ind w:left="3255" w:leftChars="1550" w:firstLine="280" w:firstLineChars="100"/>
        <w:rPr>
          <w:rFonts w:hint="eastAsia" w:ascii="宋体" w:hAnsi="宋体" w:eastAsia="宋体" w:cs="宋体"/>
          <w:color w:val="auto"/>
          <w:sz w:val="28"/>
          <w:szCs w:val="28"/>
          <w:highlight w:val="none"/>
        </w:rPr>
      </w:pPr>
    </w:p>
    <w:p w14:paraId="14816A1C">
      <w:pPr>
        <w:adjustRightInd w:val="0"/>
        <w:spacing w:line="480" w:lineRule="auto"/>
        <w:ind w:left="3255" w:leftChars="1550" w:firstLine="280" w:firstLineChars="100"/>
        <w:jc w:val="lef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单位名称（加盖公章）：</w:t>
      </w:r>
      <w:r>
        <w:rPr>
          <w:rFonts w:hint="eastAsia" w:ascii="宋体" w:hAnsi="宋体" w:eastAsia="宋体" w:cs="宋体"/>
          <w:color w:val="auto"/>
          <w:sz w:val="28"/>
          <w:szCs w:val="28"/>
          <w:highlight w:val="none"/>
          <w:u w:val="single"/>
        </w:rPr>
        <w:t xml:space="preserve">                 </w:t>
      </w:r>
    </w:p>
    <w:p w14:paraId="41B8AE35">
      <w:pPr>
        <w:adjustRightInd w:val="0"/>
        <w:spacing w:line="480" w:lineRule="auto"/>
        <w:ind w:left="3255" w:leftChars="1550" w:firstLine="280" w:firstLineChars="100"/>
        <w:jc w:val="lef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874BF4D">
      <w:pPr>
        <w:adjustRightInd w:val="0"/>
        <w:spacing w:line="480" w:lineRule="auto"/>
        <w:jc w:val="left"/>
        <w:rPr>
          <w:rFonts w:hint="eastAsia" w:ascii="宋体" w:hAnsi="宋体" w:eastAsia="宋体" w:cs="宋体"/>
          <w:color w:val="auto"/>
          <w:sz w:val="28"/>
          <w:szCs w:val="28"/>
          <w:highlight w:val="none"/>
        </w:rPr>
      </w:pPr>
    </w:p>
    <w:p w14:paraId="1A276FD7">
      <w:pPr>
        <w:widowControl/>
        <w:spacing w:line="360" w:lineRule="auto"/>
        <w:rPr>
          <w:rFonts w:hint="eastAsia" w:ascii="宋体" w:hAnsi="宋体" w:eastAsia="宋体" w:cs="宋体"/>
          <w:b/>
          <w:bCs/>
          <w:color w:val="auto"/>
          <w:kern w:val="0"/>
          <w:sz w:val="28"/>
          <w:szCs w:val="28"/>
          <w:highlight w:val="none"/>
        </w:rPr>
      </w:pPr>
      <w:r>
        <w:rPr>
          <w:rFonts w:hint="eastAsia" w:ascii="宋体" w:hAnsi="宋体" w:eastAsia="宋体" w:cs="宋体"/>
          <w:b/>
          <w:color w:val="auto"/>
          <w:sz w:val="28"/>
          <w:szCs w:val="28"/>
          <w:highlight w:val="none"/>
        </w:rPr>
        <w:t>附：法定代表人的身份证复印件加盖单位公章</w:t>
      </w:r>
    </w:p>
    <w:p w14:paraId="0ACFDBAC">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DE99DF8">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1A475264">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2DD93005">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0FCA31C0">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8C0DFA2">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78A0B78E">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2B7B076D">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06BA4207">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382E3EAB">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78A843FC">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079DD5E4">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01E8C1A5">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58A09F2C">
      <w:pPr>
        <w:snapToGrid w:val="0"/>
        <w:spacing w:line="400" w:lineRule="exact"/>
        <w:ind w:firstLine="540" w:firstLineChars="192"/>
        <w:contextualSpacing/>
        <w:rPr>
          <w:rFonts w:hint="eastAsia" w:ascii="宋体" w:hAnsi="宋体" w:eastAsia="宋体" w:cs="宋体"/>
          <w:b/>
          <w:color w:val="auto"/>
          <w:kern w:val="0"/>
          <w:sz w:val="28"/>
          <w:szCs w:val="28"/>
          <w:highlight w:val="none"/>
          <w:lang w:val="zh-CN"/>
        </w:rPr>
      </w:pPr>
    </w:p>
    <w:p w14:paraId="5201C09F">
      <w:pPr>
        <w:snapToGrid w:val="0"/>
        <w:spacing w:line="400" w:lineRule="exact"/>
        <w:contextualSpacing/>
        <w:rPr>
          <w:rFonts w:hint="eastAsia" w:ascii="宋体" w:hAnsi="宋体" w:eastAsia="宋体" w:cs="宋体"/>
          <w:color w:val="auto"/>
          <w:kern w:val="0"/>
          <w:sz w:val="32"/>
          <w:szCs w:val="32"/>
          <w:highlight w:val="none"/>
          <w:lang w:val="zh-CN"/>
        </w:rPr>
      </w:pPr>
    </w:p>
    <w:p w14:paraId="07B0DFDC">
      <w:pPr>
        <w:snapToGrid w:val="0"/>
        <w:spacing w:line="400" w:lineRule="exact"/>
        <w:contextualSpacing/>
        <w:rPr>
          <w:rFonts w:hint="eastAsia" w:ascii="宋体" w:hAnsi="宋体" w:eastAsia="宋体" w:cs="宋体"/>
          <w:color w:val="auto"/>
          <w:kern w:val="0"/>
          <w:sz w:val="32"/>
          <w:szCs w:val="32"/>
          <w:highlight w:val="none"/>
          <w:lang w:val="zh-CN"/>
        </w:rPr>
      </w:pPr>
    </w:p>
    <w:p w14:paraId="7FD5DB1E">
      <w:pPr>
        <w:snapToGrid w:val="0"/>
        <w:spacing w:line="400" w:lineRule="exact"/>
        <w:contextualSpacing/>
        <w:rPr>
          <w:rFonts w:hint="eastAsia" w:ascii="宋体" w:hAnsi="宋体" w:eastAsia="宋体" w:cs="宋体"/>
          <w:color w:val="auto"/>
          <w:kern w:val="0"/>
          <w:sz w:val="32"/>
          <w:szCs w:val="32"/>
          <w:highlight w:val="none"/>
          <w:lang w:val="zh-CN"/>
        </w:rPr>
      </w:pPr>
      <w:r>
        <w:rPr>
          <w:rFonts w:hint="eastAsia" w:ascii="宋体" w:hAnsi="宋体" w:eastAsia="宋体" w:cs="宋体"/>
          <w:color w:val="auto"/>
          <w:kern w:val="0"/>
          <w:sz w:val="32"/>
          <w:szCs w:val="32"/>
          <w:highlight w:val="none"/>
          <w:lang w:val="zh-CN"/>
        </w:rPr>
        <w:t>附件3</w:t>
      </w:r>
    </w:p>
    <w:p w14:paraId="78798F31">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0"/>
          <w:szCs w:val="30"/>
          <w:highlight w:val="none"/>
        </w:rPr>
        <w:t>法定代表人授权委托书</w:t>
      </w:r>
    </w:p>
    <w:p w14:paraId="674EDA23">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（授权单位名称）的法定代表人，现委托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）为我方代理人，以我方名义全权处理与</w:t>
      </w:r>
      <w:r>
        <w:rPr>
          <w:rFonts w:hint="eastAsia" w:ascii="宋体" w:hAnsi="宋体" w:eastAsia="宋体" w:cs="宋体"/>
          <w:color w:val="auto"/>
          <w:sz w:val="28"/>
          <w:szCs w:val="28"/>
          <w:highlight w:val="none"/>
          <w:u w:val="single"/>
        </w:rPr>
        <w:t xml:space="preserve">                       （项目名称）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）有关的一切事务，其法律后果由我方承担。</w:t>
      </w:r>
    </w:p>
    <w:p w14:paraId="491E469A">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日起生效。代理人无转委托权。</w:t>
      </w:r>
    </w:p>
    <w:p w14:paraId="4086C9B5">
      <w:pPr>
        <w:spacing w:line="480" w:lineRule="exact"/>
        <w:ind w:firstLine="420" w:firstLineChars="150"/>
        <w:rPr>
          <w:rFonts w:hint="eastAsia" w:ascii="宋体" w:hAnsi="宋体" w:eastAsia="宋体" w:cs="宋体"/>
          <w:color w:val="auto"/>
          <w:sz w:val="28"/>
          <w:szCs w:val="28"/>
          <w:highlight w:val="none"/>
        </w:rPr>
      </w:pPr>
    </w:p>
    <w:p w14:paraId="5F2E3A37">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代理人（被授权人）签字：</w:t>
      </w:r>
      <w:r>
        <w:rPr>
          <w:rFonts w:hint="eastAsia" w:ascii="宋体" w:hAnsi="宋体" w:eastAsia="宋体" w:cs="宋体"/>
          <w:color w:val="auto"/>
          <w:sz w:val="28"/>
          <w:szCs w:val="28"/>
          <w:highlight w:val="none"/>
          <w:u w:val="single"/>
        </w:rPr>
        <w:t xml:space="preserve">                                </w:t>
      </w:r>
    </w:p>
    <w:p w14:paraId="43D4C38F">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授权单位名称（加盖公章）：</w:t>
      </w:r>
      <w:r>
        <w:rPr>
          <w:rFonts w:hint="eastAsia" w:ascii="宋体" w:hAnsi="宋体" w:eastAsia="宋体" w:cs="宋体"/>
          <w:color w:val="auto"/>
          <w:sz w:val="28"/>
          <w:szCs w:val="28"/>
          <w:highlight w:val="none"/>
          <w:u w:val="single"/>
        </w:rPr>
        <w:t xml:space="preserve">                                </w:t>
      </w:r>
    </w:p>
    <w:p w14:paraId="0D390540">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授权单位法定代表人（签字或盖章）：</w:t>
      </w:r>
      <w:r>
        <w:rPr>
          <w:rFonts w:hint="eastAsia" w:ascii="宋体" w:hAnsi="宋体" w:eastAsia="宋体" w:cs="宋体"/>
          <w:color w:val="auto"/>
          <w:sz w:val="28"/>
          <w:szCs w:val="28"/>
          <w:highlight w:val="none"/>
          <w:u w:val="single"/>
        </w:rPr>
        <w:t xml:space="preserve">                  </w:t>
      </w:r>
    </w:p>
    <w:p w14:paraId="1698C999">
      <w:pPr>
        <w:spacing w:line="480" w:lineRule="exact"/>
        <w:jc w:val="right"/>
        <w:rPr>
          <w:rFonts w:hint="eastAsia" w:ascii="宋体" w:hAnsi="宋体" w:eastAsia="宋体" w:cs="宋体"/>
          <w:color w:val="auto"/>
          <w:sz w:val="28"/>
          <w:szCs w:val="28"/>
          <w:highlight w:val="none"/>
        </w:rPr>
      </w:pPr>
    </w:p>
    <w:p w14:paraId="653B12C2">
      <w:pPr>
        <w:snapToGrid w:val="0"/>
        <w:spacing w:line="400" w:lineRule="exact"/>
        <w:ind w:firstLine="3897" w:firstLineChars="1392"/>
        <w:contextualSpacing/>
        <w:rPr>
          <w:rFonts w:hint="eastAsia" w:ascii="宋体" w:hAnsi="宋体" w:eastAsia="宋体" w:cs="宋体"/>
          <w:b/>
          <w:color w:val="auto"/>
          <w:kern w:val="0"/>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8894D07">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F18CF49">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16D562F">
      <w:pPr>
        <w:snapToGrid w:val="0"/>
        <w:spacing w:line="400" w:lineRule="exact"/>
        <w:ind w:firstLine="540" w:firstLineChars="192"/>
        <w:contextualSpacing/>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附：代理人（被授权人）身份证复印件加盖单位公章</w:t>
      </w:r>
    </w:p>
    <w:p w14:paraId="497882DC">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489EC1E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E07C0BB">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6559FF8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6D8F4BF0">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635A91F1">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DACB0C3">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B119928">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1AD23B4F">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EA21B7C">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6465B9DE">
      <w:pPr>
        <w:snapToGrid w:val="0"/>
        <w:spacing w:line="400" w:lineRule="exact"/>
        <w:contextualSpacing/>
        <w:rPr>
          <w:rFonts w:hint="eastAsia" w:ascii="宋体" w:hAnsi="宋体" w:eastAsia="宋体" w:cs="宋体"/>
          <w:color w:val="auto"/>
          <w:kern w:val="0"/>
          <w:sz w:val="32"/>
          <w:szCs w:val="32"/>
          <w:highlight w:val="none"/>
        </w:rPr>
      </w:pPr>
    </w:p>
    <w:p w14:paraId="328D62EA">
      <w:pPr>
        <w:snapToGrid w:val="0"/>
        <w:spacing w:line="400" w:lineRule="exact"/>
        <w:contextualSpacing/>
        <w:rPr>
          <w:rFonts w:hint="eastAsia" w:ascii="宋体" w:hAnsi="宋体" w:eastAsia="宋体" w:cs="宋体"/>
          <w:color w:val="auto"/>
          <w:kern w:val="0"/>
          <w:sz w:val="32"/>
          <w:szCs w:val="32"/>
          <w:highlight w:val="none"/>
        </w:rPr>
      </w:pPr>
    </w:p>
    <w:p w14:paraId="1D6CF0C5">
      <w:pPr>
        <w:snapToGrid w:val="0"/>
        <w:spacing w:line="400" w:lineRule="exact"/>
        <w:contextualSpacing/>
        <w:rPr>
          <w:rFonts w:hint="eastAsia" w:ascii="宋体" w:hAnsi="宋体" w:eastAsia="宋体" w:cs="宋体"/>
          <w:color w:val="auto"/>
          <w:kern w:val="0"/>
          <w:sz w:val="32"/>
          <w:szCs w:val="32"/>
          <w:highlight w:val="none"/>
        </w:rPr>
      </w:pPr>
    </w:p>
    <w:p w14:paraId="4E82418C">
      <w:pPr>
        <w:snapToGrid w:val="0"/>
        <w:spacing w:line="400" w:lineRule="exact"/>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附件4</w:t>
      </w:r>
    </w:p>
    <w:p w14:paraId="69374DDA">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供应商信用承诺书</w:t>
      </w:r>
    </w:p>
    <w:p w14:paraId="0FA2F64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为营造公开、公平、公正的公共资源交易环境，树立诚信守法的投标人形象，本人代表本单位作出以下承诺：</w:t>
      </w:r>
    </w:p>
    <w:p w14:paraId="0C703620">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0BE2388C">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5DD71D2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三、严格遵守即时信息公示规定，及时更新公共资源交易中心主体信息库中信息；</w:t>
      </w:r>
    </w:p>
    <w:p w14:paraId="15ACFCAE">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375DA350">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258200E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六、自觉接受政府部门、行业组织、社会公众、新闻舆论等监督；</w:t>
      </w:r>
    </w:p>
    <w:p w14:paraId="4D24AF4E">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七、上述承诺已向本单位员工作了宣传教育。</w:t>
      </w:r>
    </w:p>
    <w:p w14:paraId="63A8F311">
      <w:pPr>
        <w:spacing w:line="480" w:lineRule="exact"/>
        <w:ind w:firstLine="562" w:firstLineChars="200"/>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bidi="ar"/>
        </w:rPr>
        <w:t>如有违反上述承诺的不良行为，本单位同意将其予以上网公示。</w:t>
      </w:r>
    </w:p>
    <w:p w14:paraId="43A8B1C4">
      <w:pPr>
        <w:spacing w:line="480" w:lineRule="exact"/>
        <w:rPr>
          <w:rFonts w:hint="eastAsia" w:ascii="宋体" w:hAnsi="宋体" w:eastAsia="宋体" w:cs="宋体"/>
          <w:color w:val="auto"/>
          <w:kern w:val="0"/>
          <w:sz w:val="28"/>
          <w:szCs w:val="28"/>
          <w:highlight w:val="none"/>
          <w:lang w:val="zh-CN"/>
        </w:rPr>
      </w:pPr>
    </w:p>
    <w:p w14:paraId="1B96E9F6">
      <w:pPr>
        <w:spacing w:line="480" w:lineRule="exact"/>
        <w:rPr>
          <w:rFonts w:hint="eastAsia" w:ascii="宋体" w:hAnsi="宋体" w:eastAsia="宋体" w:cs="宋体"/>
          <w:color w:val="auto"/>
          <w:kern w:val="0"/>
          <w:sz w:val="28"/>
          <w:szCs w:val="28"/>
          <w:highlight w:val="none"/>
          <w:lang w:val="zh-CN"/>
        </w:rPr>
      </w:pPr>
    </w:p>
    <w:p w14:paraId="64F1CE90">
      <w:pPr>
        <w:spacing w:line="480" w:lineRule="exact"/>
        <w:ind w:firstLine="2800" w:firstLineChars="1000"/>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zh-CN" w:bidi="ar"/>
        </w:rPr>
        <w:t>投标供应商名称（加盖公章）：</w:t>
      </w:r>
      <w:r>
        <w:rPr>
          <w:rFonts w:hint="eastAsia" w:ascii="宋体" w:hAnsi="宋体" w:eastAsia="宋体" w:cs="宋体"/>
          <w:color w:val="auto"/>
          <w:sz w:val="28"/>
          <w:szCs w:val="28"/>
          <w:highlight w:val="none"/>
          <w:u w:val="single"/>
        </w:rPr>
        <w:t xml:space="preserve">                </w:t>
      </w:r>
    </w:p>
    <w:p w14:paraId="6D4785AA">
      <w:pPr>
        <w:spacing w:line="480" w:lineRule="exact"/>
        <w:ind w:firstLine="3080" w:firstLineChars="1100"/>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zh-CN" w:bidi="ar"/>
        </w:rPr>
        <w:t>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日</w:t>
      </w:r>
    </w:p>
    <w:p w14:paraId="79F0349F">
      <w:pPr>
        <w:spacing w:line="480" w:lineRule="exact"/>
        <w:ind w:firstLine="3080" w:firstLineChars="1100"/>
        <w:rPr>
          <w:rFonts w:hint="eastAsia" w:ascii="宋体" w:hAnsi="宋体" w:eastAsia="宋体" w:cs="宋体"/>
          <w:color w:val="auto"/>
          <w:kern w:val="0"/>
          <w:sz w:val="28"/>
          <w:szCs w:val="28"/>
          <w:highlight w:val="none"/>
          <w:lang w:val="zh-CN" w:bidi="ar"/>
        </w:rPr>
      </w:pPr>
    </w:p>
    <w:p w14:paraId="66692D7C">
      <w:pPr>
        <w:keepNext/>
        <w:keepLines/>
        <w:spacing w:line="400" w:lineRule="exact"/>
        <w:outlineLvl w:val="1"/>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附件5</w:t>
      </w:r>
    </w:p>
    <w:p w14:paraId="605E7F51">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投标函</w:t>
      </w:r>
    </w:p>
    <w:p w14:paraId="31BE0C2C">
      <w:pPr>
        <w:adjustRightInd w:val="0"/>
        <w:spacing w:line="480" w:lineRule="exact"/>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（采购人名称）</w:t>
      </w:r>
    </w:p>
    <w:p w14:paraId="5DCC5AC5">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根据贵方项目编号为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的招标文件，我方正式提交投标函，并宣布同意如下内容：</w:t>
      </w:r>
    </w:p>
    <w:p w14:paraId="2D7F36AC">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1.按招标文件规定的各项要求，向买方提供所需货物、服务（包含与货物相关的服务及与服务相关的货物）。</w:t>
      </w:r>
    </w:p>
    <w:p w14:paraId="0BBAE3C6">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2.我们完全理解贵方不一定将合同授予最低报价的投标人。</w:t>
      </w:r>
    </w:p>
    <w:p w14:paraId="66214702">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3.我们已详细审核全部招标文件及其有效补充文件，我们知道必须放弃提出含糊不清或误解问题的权利。</w:t>
      </w:r>
    </w:p>
    <w:p w14:paraId="5D971371">
      <w:pPr>
        <w:adjustRightInd w:val="0"/>
        <w:spacing w:line="480" w:lineRule="exact"/>
        <w:ind w:firstLine="48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4.我们同意从规定的开标日期起遵循本投标文件，并在规定的投标有效期期满之前均具有约束力。</w:t>
      </w:r>
    </w:p>
    <w:p w14:paraId="26743BE2">
      <w:pPr>
        <w:adjustRightInd w:val="0"/>
        <w:spacing w:line="480" w:lineRule="exact"/>
        <w:ind w:firstLine="48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5.同意向贵方提供贵方可能另外要求的与投标有关的任何证据或资料，并保证我方已提供和将要提供的文件是真实的、准确的。</w:t>
      </w:r>
    </w:p>
    <w:p w14:paraId="7602EB9F">
      <w:pPr>
        <w:adjustRightInd w:val="0"/>
        <w:spacing w:line="480" w:lineRule="exact"/>
        <w:ind w:firstLine="48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6.一旦我方中标，我方将根据招标文件的规定，严格履行合同的责任和义务，并保证在招标文件规定的时间内完成项目，交付买方验收、使用。</w:t>
      </w:r>
    </w:p>
    <w:p w14:paraId="10449AEC">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7.与本次投标有关的正式通讯地址为：</w:t>
      </w:r>
    </w:p>
    <w:p w14:paraId="7CCAB7EE">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2A18ACB">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          编：</w:t>
      </w:r>
      <w:r>
        <w:rPr>
          <w:rFonts w:hint="eastAsia" w:ascii="宋体" w:hAnsi="宋体" w:eastAsia="宋体" w:cs="宋体"/>
          <w:color w:val="auto"/>
          <w:sz w:val="28"/>
          <w:szCs w:val="28"/>
          <w:highlight w:val="none"/>
          <w:u w:val="single"/>
        </w:rPr>
        <w:t xml:space="preserve">                  </w:t>
      </w:r>
    </w:p>
    <w:p w14:paraId="64AA8F6A">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r>
        <w:rPr>
          <w:rFonts w:hint="eastAsia" w:ascii="宋体" w:hAnsi="宋体" w:eastAsia="宋体" w:cs="宋体"/>
          <w:color w:val="auto"/>
          <w:sz w:val="28"/>
          <w:szCs w:val="28"/>
          <w:highlight w:val="none"/>
          <w:u w:val="single"/>
        </w:rPr>
        <w:t xml:space="preserve">                  </w:t>
      </w:r>
    </w:p>
    <w:p w14:paraId="5EE9801C">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子  邮  箱：</w:t>
      </w:r>
      <w:r>
        <w:rPr>
          <w:rFonts w:hint="eastAsia" w:ascii="宋体" w:hAnsi="宋体" w:eastAsia="宋体" w:cs="宋体"/>
          <w:color w:val="auto"/>
          <w:sz w:val="28"/>
          <w:szCs w:val="28"/>
          <w:highlight w:val="none"/>
          <w:u w:val="single"/>
        </w:rPr>
        <w:t xml:space="preserve">                  </w:t>
      </w:r>
    </w:p>
    <w:p w14:paraId="347923C8">
      <w:pPr>
        <w:spacing w:line="480" w:lineRule="exact"/>
        <w:rPr>
          <w:rFonts w:hint="eastAsia" w:ascii="宋体" w:hAnsi="宋体" w:eastAsia="宋体" w:cs="宋体"/>
          <w:color w:val="auto"/>
          <w:sz w:val="28"/>
          <w:szCs w:val="28"/>
          <w:highlight w:val="none"/>
        </w:rPr>
      </w:pPr>
    </w:p>
    <w:p w14:paraId="5EAE0C4A">
      <w:pPr>
        <w:spacing w:line="480" w:lineRule="exact"/>
        <w:ind w:right="181" w:firstLine="980" w:firstLineChars="3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投标人名称（加盖公章）：</w:t>
      </w:r>
      <w:r>
        <w:rPr>
          <w:rFonts w:hint="eastAsia" w:ascii="宋体" w:hAnsi="宋体" w:eastAsia="宋体" w:cs="宋体"/>
          <w:color w:val="auto"/>
          <w:sz w:val="28"/>
          <w:szCs w:val="28"/>
          <w:highlight w:val="none"/>
          <w:u w:val="single"/>
        </w:rPr>
        <w:t xml:space="preserve">                  </w:t>
      </w:r>
    </w:p>
    <w:p w14:paraId="6F1F8C1F">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p>
    <w:p w14:paraId="5E7990EA">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997E7B9">
      <w:pPr>
        <w:snapToGrid w:val="0"/>
        <w:spacing w:line="400" w:lineRule="exact"/>
        <w:contextualSpacing/>
        <w:rPr>
          <w:rFonts w:hint="eastAsia" w:ascii="宋体" w:hAnsi="宋体" w:eastAsia="宋体" w:cs="宋体"/>
          <w:color w:val="auto"/>
          <w:kern w:val="0"/>
          <w:sz w:val="32"/>
          <w:szCs w:val="32"/>
          <w:highlight w:val="none"/>
        </w:rPr>
      </w:pPr>
    </w:p>
    <w:p w14:paraId="334A6DA6">
      <w:pPr>
        <w:snapToGrid w:val="0"/>
        <w:spacing w:line="400" w:lineRule="exact"/>
        <w:contextualSpacing/>
        <w:rPr>
          <w:rFonts w:hint="eastAsia" w:ascii="宋体" w:hAnsi="宋体" w:eastAsia="宋体" w:cs="宋体"/>
          <w:color w:val="auto"/>
          <w:kern w:val="0"/>
          <w:sz w:val="32"/>
          <w:szCs w:val="32"/>
          <w:highlight w:val="none"/>
        </w:rPr>
      </w:pPr>
    </w:p>
    <w:p w14:paraId="629BD8EF">
      <w:pPr>
        <w:snapToGrid w:val="0"/>
        <w:spacing w:line="400" w:lineRule="exact"/>
        <w:contextualSpacing/>
        <w:rPr>
          <w:rFonts w:hint="eastAsia" w:ascii="宋体" w:hAnsi="宋体" w:eastAsia="宋体" w:cs="宋体"/>
          <w:color w:val="auto"/>
          <w:kern w:val="0"/>
          <w:sz w:val="32"/>
          <w:szCs w:val="32"/>
          <w:highlight w:val="none"/>
        </w:rPr>
      </w:pPr>
    </w:p>
    <w:p w14:paraId="6F7DAC2D">
      <w:pPr>
        <w:snapToGrid w:val="0"/>
        <w:spacing w:line="400" w:lineRule="exact"/>
        <w:contextualSpacing/>
        <w:rPr>
          <w:rFonts w:hint="eastAsia" w:ascii="宋体" w:hAnsi="宋体" w:eastAsia="宋体" w:cs="宋体"/>
          <w:color w:val="auto"/>
          <w:kern w:val="0"/>
          <w:sz w:val="32"/>
          <w:szCs w:val="32"/>
          <w:highlight w:val="none"/>
        </w:rPr>
      </w:pPr>
    </w:p>
    <w:p w14:paraId="05282480">
      <w:pPr>
        <w:snapToGrid w:val="0"/>
        <w:spacing w:line="400" w:lineRule="exact"/>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附件6</w:t>
      </w:r>
    </w:p>
    <w:p w14:paraId="1D345782">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商务部分正负偏离表</w:t>
      </w:r>
    </w:p>
    <w:p w14:paraId="76260B93">
      <w:pPr>
        <w:spacing w:line="520" w:lineRule="exact"/>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项目编号：</w:t>
      </w:r>
      <w:r>
        <w:rPr>
          <w:rFonts w:hint="eastAsia" w:ascii="宋体" w:hAnsi="宋体" w:eastAsia="宋体" w:cs="宋体"/>
          <w:bCs/>
          <w:color w:val="auto"/>
          <w:sz w:val="28"/>
          <w:szCs w:val="28"/>
          <w:highlight w:val="none"/>
          <w:u w:val="single"/>
        </w:rPr>
        <w:t xml:space="preserve">                </w:t>
      </w:r>
    </w:p>
    <w:p w14:paraId="60C46695">
      <w:pPr>
        <w:spacing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（由投标人据实填写，表格不够自行添加）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727EEA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1A5F8B0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63067EB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6599207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309BAB5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7AAF2AD1">
            <w:pPr>
              <w:spacing w:line="340" w:lineRule="exact"/>
              <w:jc w:val="center"/>
              <w:rPr>
                <w:rFonts w:hint="eastAsia" w:ascii="宋体" w:hAnsi="宋体" w:eastAsia="宋体" w:cs="宋体"/>
                <w:color w:val="auto"/>
                <w:sz w:val="24"/>
                <w:highlight w:val="none"/>
              </w:rPr>
            </w:pPr>
          </w:p>
          <w:p w14:paraId="713246A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040BF0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D46D62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A7171FF">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8FC65B8">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71BBF53">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40189F54">
            <w:pPr>
              <w:spacing w:line="340" w:lineRule="exact"/>
              <w:jc w:val="left"/>
              <w:rPr>
                <w:rFonts w:hint="eastAsia" w:ascii="宋体" w:hAnsi="宋体" w:eastAsia="宋体" w:cs="宋体"/>
                <w:color w:val="auto"/>
                <w:sz w:val="24"/>
                <w:highlight w:val="none"/>
              </w:rPr>
            </w:pPr>
          </w:p>
        </w:tc>
      </w:tr>
      <w:tr w14:paraId="316EB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E22C318">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DF6BDCA">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6DE0F35">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05FF31F">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F25BFE6">
            <w:pPr>
              <w:spacing w:line="340" w:lineRule="exact"/>
              <w:jc w:val="left"/>
              <w:rPr>
                <w:rFonts w:hint="eastAsia" w:ascii="宋体" w:hAnsi="宋体" w:eastAsia="宋体" w:cs="宋体"/>
                <w:color w:val="auto"/>
                <w:sz w:val="24"/>
                <w:highlight w:val="none"/>
              </w:rPr>
            </w:pPr>
          </w:p>
        </w:tc>
      </w:tr>
      <w:tr w14:paraId="380AC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2E477C2">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41E2B13">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DCEFC9D">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C81449A">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40C021E6">
            <w:pPr>
              <w:spacing w:line="340" w:lineRule="exact"/>
              <w:jc w:val="left"/>
              <w:rPr>
                <w:rFonts w:hint="eastAsia" w:ascii="宋体" w:hAnsi="宋体" w:eastAsia="宋体" w:cs="宋体"/>
                <w:color w:val="auto"/>
                <w:sz w:val="24"/>
                <w:highlight w:val="none"/>
              </w:rPr>
            </w:pPr>
          </w:p>
        </w:tc>
      </w:tr>
      <w:tr w14:paraId="205C5C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42B5CDA">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D496BFC">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743A448">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B33C433">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7CBA54A">
            <w:pPr>
              <w:spacing w:line="340" w:lineRule="exact"/>
              <w:jc w:val="left"/>
              <w:rPr>
                <w:rFonts w:hint="eastAsia" w:ascii="宋体" w:hAnsi="宋体" w:eastAsia="宋体" w:cs="宋体"/>
                <w:color w:val="auto"/>
                <w:sz w:val="24"/>
                <w:highlight w:val="none"/>
              </w:rPr>
            </w:pPr>
          </w:p>
        </w:tc>
      </w:tr>
    </w:tbl>
    <w:p w14:paraId="005BCC1F">
      <w:pPr>
        <w:snapToGrid w:val="0"/>
        <w:spacing w:line="300" w:lineRule="auto"/>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w:t>
      </w:r>
    </w:p>
    <w:p w14:paraId="6DD2EFD5">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1.未说明偏离的，将被认为响应招标文件的规定，但该表不作为投标人对所投标内容关于商务部分等详细描述和说明的替代。</w:t>
      </w:r>
    </w:p>
    <w:p w14:paraId="1B5CEF83">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2.如有偏离的，在“偏离说明”一栏选择“正偏离”“负偏离”进行填写。正偏离、负偏离的确认和负偏离的是否响应招标文件，由评标委员会认定。</w:t>
      </w:r>
    </w:p>
    <w:p w14:paraId="162FD9F8">
      <w:pPr>
        <w:snapToGrid w:val="0"/>
        <w:spacing w:line="300" w:lineRule="auto"/>
        <w:ind w:firstLine="560" w:firstLineChars="200"/>
        <w:contextualSpacing/>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3.投标人若提供其他增值服务，可以在表中自行据实填写。</w:t>
      </w:r>
    </w:p>
    <w:p w14:paraId="4B55F7C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120F8D0">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38069D39">
      <w:pPr>
        <w:snapToGrid w:val="0"/>
        <w:spacing w:line="300" w:lineRule="auto"/>
        <w:ind w:firstLine="560" w:firstLineChars="200"/>
        <w:contextualSpacing/>
        <w:rPr>
          <w:rFonts w:hint="eastAsia" w:ascii="宋体" w:hAnsi="宋体" w:eastAsia="宋体" w:cs="宋体"/>
          <w:color w:val="auto"/>
          <w:sz w:val="28"/>
          <w:szCs w:val="28"/>
          <w:highlight w:val="none"/>
        </w:rPr>
      </w:pPr>
    </w:p>
    <w:p w14:paraId="62DF1D7A">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投标人名称（加盖公章）：</w:t>
      </w:r>
      <w:r>
        <w:rPr>
          <w:rFonts w:hint="eastAsia" w:ascii="宋体" w:hAnsi="宋体" w:eastAsia="宋体" w:cs="宋体"/>
          <w:color w:val="auto"/>
          <w:sz w:val="28"/>
          <w:szCs w:val="28"/>
          <w:highlight w:val="none"/>
          <w:u w:val="single"/>
        </w:rPr>
        <w:t xml:space="preserve">                  </w:t>
      </w:r>
    </w:p>
    <w:p w14:paraId="217C3736">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1FEF5229">
      <w:pPr>
        <w:snapToGrid w:val="0"/>
        <w:spacing w:line="300" w:lineRule="auto"/>
        <w:ind w:firstLine="480" w:firstLineChars="200"/>
        <w:contextualSpacing/>
        <w:rPr>
          <w:rFonts w:hint="eastAsia" w:ascii="宋体" w:hAnsi="宋体" w:eastAsia="宋体" w:cs="宋体"/>
          <w:color w:val="auto"/>
          <w:sz w:val="24"/>
          <w:highlight w:val="none"/>
        </w:rPr>
      </w:pPr>
    </w:p>
    <w:p w14:paraId="0F56E0B0">
      <w:pPr>
        <w:snapToGrid w:val="0"/>
        <w:spacing w:line="300" w:lineRule="auto"/>
        <w:ind w:firstLine="480" w:firstLineChars="200"/>
        <w:contextualSpacing/>
        <w:rPr>
          <w:rFonts w:hint="eastAsia" w:ascii="宋体" w:hAnsi="宋体" w:eastAsia="宋体" w:cs="宋体"/>
          <w:color w:val="auto"/>
          <w:sz w:val="24"/>
          <w:highlight w:val="none"/>
        </w:rPr>
      </w:pPr>
    </w:p>
    <w:p w14:paraId="73A40B56">
      <w:pPr>
        <w:snapToGrid w:val="0"/>
        <w:spacing w:line="300" w:lineRule="auto"/>
        <w:ind w:firstLine="480" w:firstLineChars="200"/>
        <w:contextualSpacing/>
        <w:rPr>
          <w:rFonts w:hint="eastAsia" w:ascii="宋体" w:hAnsi="宋体" w:eastAsia="宋体" w:cs="宋体"/>
          <w:color w:val="auto"/>
          <w:sz w:val="24"/>
          <w:highlight w:val="none"/>
        </w:rPr>
      </w:pPr>
    </w:p>
    <w:p w14:paraId="526D58B7">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62CD2BFA">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602C4C6A">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7BE6D60">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743B8A4">
      <w:pPr>
        <w:snapToGrid w:val="0"/>
        <w:spacing w:line="400" w:lineRule="exact"/>
        <w:contextualSpacing/>
        <w:rPr>
          <w:rFonts w:hint="eastAsia" w:ascii="宋体" w:hAnsi="宋体" w:eastAsia="宋体" w:cs="宋体"/>
          <w:color w:val="auto"/>
          <w:kern w:val="0"/>
          <w:sz w:val="32"/>
          <w:szCs w:val="32"/>
          <w:highlight w:val="none"/>
        </w:rPr>
      </w:pPr>
    </w:p>
    <w:p w14:paraId="02C7DF4A">
      <w:pPr>
        <w:snapToGrid w:val="0"/>
        <w:spacing w:line="400" w:lineRule="exact"/>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附件7</w:t>
      </w:r>
    </w:p>
    <w:p w14:paraId="7DF04865">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技术部分正负偏离表</w:t>
      </w:r>
    </w:p>
    <w:p w14:paraId="5EBD340C">
      <w:pPr>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28"/>
          <w:szCs w:val="28"/>
          <w:highlight w:val="none"/>
          <w:u w:val="single"/>
        </w:rPr>
        <w:t xml:space="preserve">                    </w:t>
      </w:r>
    </w:p>
    <w:p w14:paraId="352661D5">
      <w:pPr>
        <w:spacing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（由投标人据实填写，表格不够自行添加）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2ACBA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4BCA36FC">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6CC6A3F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503BEA4E">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5A446B3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58EAA3B3">
            <w:pPr>
              <w:spacing w:line="340" w:lineRule="exact"/>
              <w:jc w:val="center"/>
              <w:rPr>
                <w:rFonts w:hint="eastAsia" w:ascii="宋体" w:hAnsi="宋体" w:eastAsia="宋体" w:cs="宋体"/>
                <w:color w:val="auto"/>
                <w:sz w:val="24"/>
                <w:highlight w:val="none"/>
              </w:rPr>
            </w:pPr>
          </w:p>
          <w:p w14:paraId="40DD4AE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2AA6F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5BDC5CD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AB9720A">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6516625">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1B39253">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246D4B5">
            <w:pPr>
              <w:spacing w:line="340" w:lineRule="exact"/>
              <w:jc w:val="left"/>
              <w:rPr>
                <w:rFonts w:hint="eastAsia" w:ascii="宋体" w:hAnsi="宋体" w:eastAsia="宋体" w:cs="宋体"/>
                <w:color w:val="auto"/>
                <w:sz w:val="24"/>
                <w:highlight w:val="none"/>
              </w:rPr>
            </w:pPr>
          </w:p>
        </w:tc>
      </w:tr>
      <w:tr w14:paraId="4E101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8DBFD0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6E44929">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DB3CF01">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D87839C">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B9F90E3">
            <w:pPr>
              <w:spacing w:line="340" w:lineRule="exact"/>
              <w:jc w:val="left"/>
              <w:rPr>
                <w:rFonts w:hint="eastAsia" w:ascii="宋体" w:hAnsi="宋体" w:eastAsia="宋体" w:cs="宋体"/>
                <w:color w:val="auto"/>
                <w:sz w:val="24"/>
                <w:highlight w:val="none"/>
              </w:rPr>
            </w:pPr>
          </w:p>
        </w:tc>
      </w:tr>
      <w:tr w14:paraId="1A3E4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40B117A">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0843A77">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8FE6A26">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94F7F18">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D3F1FEE">
            <w:pPr>
              <w:spacing w:line="340" w:lineRule="exact"/>
              <w:jc w:val="left"/>
              <w:rPr>
                <w:rFonts w:hint="eastAsia" w:ascii="宋体" w:hAnsi="宋体" w:eastAsia="宋体" w:cs="宋体"/>
                <w:color w:val="auto"/>
                <w:sz w:val="24"/>
                <w:highlight w:val="none"/>
              </w:rPr>
            </w:pPr>
          </w:p>
        </w:tc>
      </w:tr>
      <w:tr w14:paraId="7D835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6A42920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F6E2B2B">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FF20E58">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CFB3FD1">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4A558B2E">
            <w:pPr>
              <w:spacing w:line="340" w:lineRule="exact"/>
              <w:jc w:val="left"/>
              <w:rPr>
                <w:rFonts w:hint="eastAsia" w:ascii="宋体" w:hAnsi="宋体" w:eastAsia="宋体" w:cs="宋体"/>
                <w:color w:val="auto"/>
                <w:sz w:val="24"/>
                <w:highlight w:val="none"/>
              </w:rPr>
            </w:pPr>
          </w:p>
        </w:tc>
      </w:tr>
    </w:tbl>
    <w:p w14:paraId="36B877CD">
      <w:pPr>
        <w:snapToGrid w:val="0"/>
        <w:spacing w:line="300" w:lineRule="auto"/>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w:t>
      </w:r>
    </w:p>
    <w:p w14:paraId="18442642">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1.未说明偏离的，将被认为响应招标文件的规定，但该表不作为投标人对所投标内容关于技术部分等详细描述和说明的替代。</w:t>
      </w:r>
    </w:p>
    <w:p w14:paraId="15C22AA5">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2.如有偏离的，在“偏离说明”一栏选择“正偏离”“负偏离”进行填写。正偏离、负偏离的确认和负偏离的是否响应招标文件，由评标委员会认定。</w:t>
      </w:r>
    </w:p>
    <w:p w14:paraId="40797C75">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3.投标人若提供其他增值服务，可以在表中自行据实填写。</w:t>
      </w:r>
    </w:p>
    <w:p w14:paraId="63FA446F">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26B221D">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F7D77AA">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711053D0">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4B40FACE">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投标人名称（加盖公章）：</w:t>
      </w:r>
      <w:r>
        <w:rPr>
          <w:rFonts w:hint="eastAsia" w:ascii="宋体" w:hAnsi="宋体" w:eastAsia="宋体" w:cs="宋体"/>
          <w:color w:val="auto"/>
          <w:sz w:val="28"/>
          <w:szCs w:val="28"/>
          <w:highlight w:val="none"/>
          <w:u w:val="single"/>
        </w:rPr>
        <w:t xml:space="preserve">                  </w:t>
      </w:r>
    </w:p>
    <w:p w14:paraId="7120F910">
      <w:pPr>
        <w:snapToGrid w:val="0"/>
        <w:spacing w:line="300" w:lineRule="auto"/>
        <w:ind w:firstLine="3080" w:firstLineChars="1100"/>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008D64F">
      <w:pPr>
        <w:widowControl/>
        <w:jc w:val="left"/>
        <w:rPr>
          <w:rFonts w:hint="eastAsia" w:ascii="宋体" w:hAnsi="宋体" w:eastAsia="宋体" w:cs="宋体"/>
          <w:color w:val="auto"/>
          <w:kern w:val="0"/>
          <w:sz w:val="32"/>
          <w:szCs w:val="32"/>
          <w:highlight w:val="none"/>
        </w:rPr>
      </w:pPr>
    </w:p>
    <w:p w14:paraId="4A87DFAA">
      <w:pPr>
        <w:widowControl/>
        <w:jc w:val="left"/>
        <w:rPr>
          <w:rFonts w:hint="eastAsia" w:ascii="宋体" w:hAnsi="宋体" w:eastAsia="宋体" w:cs="宋体"/>
          <w:color w:val="auto"/>
          <w:kern w:val="0"/>
          <w:sz w:val="32"/>
          <w:szCs w:val="32"/>
          <w:highlight w:val="none"/>
        </w:rPr>
      </w:pPr>
    </w:p>
    <w:p w14:paraId="1D323185">
      <w:pPr>
        <w:widowControl/>
        <w:jc w:val="left"/>
        <w:rPr>
          <w:rFonts w:hint="eastAsia" w:ascii="宋体" w:hAnsi="宋体" w:eastAsia="宋体" w:cs="宋体"/>
          <w:color w:val="auto"/>
          <w:kern w:val="0"/>
          <w:sz w:val="32"/>
          <w:szCs w:val="32"/>
          <w:highlight w:val="none"/>
        </w:rPr>
      </w:pPr>
    </w:p>
    <w:p w14:paraId="4A8C9A2C">
      <w:pPr>
        <w:widowControl/>
        <w:jc w:val="left"/>
        <w:rPr>
          <w:rFonts w:hint="eastAsia" w:ascii="宋体" w:hAnsi="宋体" w:eastAsia="宋体" w:cs="宋体"/>
          <w:color w:val="auto"/>
          <w:kern w:val="0"/>
          <w:sz w:val="32"/>
          <w:szCs w:val="32"/>
          <w:highlight w:val="none"/>
        </w:rPr>
      </w:pPr>
    </w:p>
    <w:p w14:paraId="0ED89239">
      <w:pPr>
        <w:widowControl/>
        <w:jc w:val="left"/>
        <w:rPr>
          <w:rFonts w:hint="eastAsia" w:ascii="宋体" w:hAnsi="宋体" w:eastAsia="宋体" w:cs="宋体"/>
          <w:color w:val="auto"/>
          <w:kern w:val="0"/>
          <w:sz w:val="32"/>
          <w:szCs w:val="32"/>
          <w:highlight w:val="none"/>
        </w:rPr>
      </w:pPr>
    </w:p>
    <w:p w14:paraId="3F63DAB1">
      <w:pPr>
        <w:widowControl/>
        <w:jc w:val="left"/>
        <w:rPr>
          <w:rFonts w:hint="eastAsia" w:ascii="宋体" w:hAnsi="宋体" w:eastAsia="宋体" w:cs="宋体"/>
          <w:b/>
          <w:color w:val="auto"/>
          <w:sz w:val="32"/>
          <w:szCs w:val="32"/>
          <w:highlight w:val="none"/>
        </w:rPr>
      </w:pPr>
      <w:r>
        <w:rPr>
          <w:rFonts w:hint="eastAsia" w:ascii="宋体" w:hAnsi="宋体" w:eastAsia="宋体" w:cs="宋体"/>
          <w:color w:val="auto"/>
          <w:kern w:val="0"/>
          <w:sz w:val="32"/>
          <w:szCs w:val="32"/>
          <w:highlight w:val="none"/>
        </w:rPr>
        <w:t>附件8</w:t>
      </w:r>
    </w:p>
    <w:p w14:paraId="45C7F9E8">
      <w:pPr>
        <w:spacing w:line="40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分项报价明细表</w:t>
      </w:r>
    </w:p>
    <w:p w14:paraId="357B9091">
      <w:pPr>
        <w:snapToGrid w:val="0"/>
        <w:spacing w:line="400" w:lineRule="exact"/>
        <w:rPr>
          <w:rFonts w:hint="eastAsia" w:ascii="宋体" w:hAnsi="宋体" w:eastAsia="宋体" w:cs="宋体"/>
          <w:color w:val="auto"/>
          <w:sz w:val="28"/>
          <w:szCs w:val="28"/>
          <w:highlight w:val="none"/>
          <w:u w:val="single"/>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28"/>
          <w:szCs w:val="28"/>
          <w:highlight w:val="none"/>
          <w:u w:val="single"/>
        </w:rPr>
        <w:t xml:space="preserve">                      </w:t>
      </w:r>
    </w:p>
    <w:p w14:paraId="19F67A08">
      <w:pPr>
        <w:snapToGrid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投标人名称（加盖公章）：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  月  日</w:t>
      </w:r>
    </w:p>
    <w:tbl>
      <w:tblPr>
        <w:tblStyle w:val="1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2C75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2658456C">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序号</w:t>
            </w:r>
          </w:p>
        </w:tc>
        <w:tc>
          <w:tcPr>
            <w:tcW w:w="1321" w:type="dxa"/>
            <w:noWrap w:val="0"/>
            <w:vAlign w:val="center"/>
          </w:tcPr>
          <w:p w14:paraId="32A1F59A">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名称</w:t>
            </w:r>
          </w:p>
        </w:tc>
        <w:tc>
          <w:tcPr>
            <w:tcW w:w="1417" w:type="dxa"/>
            <w:noWrap w:val="0"/>
            <w:vAlign w:val="center"/>
          </w:tcPr>
          <w:p w14:paraId="5D9E6E57">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服务范围</w:t>
            </w:r>
          </w:p>
        </w:tc>
        <w:tc>
          <w:tcPr>
            <w:tcW w:w="1418" w:type="dxa"/>
            <w:noWrap w:val="0"/>
            <w:vAlign w:val="center"/>
          </w:tcPr>
          <w:p w14:paraId="72EB64EB">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服务要求</w:t>
            </w:r>
          </w:p>
        </w:tc>
        <w:tc>
          <w:tcPr>
            <w:tcW w:w="1275" w:type="dxa"/>
            <w:noWrap w:val="0"/>
            <w:vAlign w:val="center"/>
          </w:tcPr>
          <w:p w14:paraId="0FACB239">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服务时间</w:t>
            </w:r>
          </w:p>
        </w:tc>
        <w:tc>
          <w:tcPr>
            <w:tcW w:w="1276" w:type="dxa"/>
            <w:noWrap w:val="0"/>
            <w:vAlign w:val="center"/>
          </w:tcPr>
          <w:p w14:paraId="02D0D2B8">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服务标准</w:t>
            </w:r>
          </w:p>
        </w:tc>
        <w:tc>
          <w:tcPr>
            <w:tcW w:w="851" w:type="dxa"/>
            <w:noWrap w:val="0"/>
            <w:vAlign w:val="center"/>
          </w:tcPr>
          <w:p w14:paraId="6CAD3FAC">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金额</w:t>
            </w:r>
          </w:p>
        </w:tc>
        <w:tc>
          <w:tcPr>
            <w:tcW w:w="1151" w:type="dxa"/>
            <w:noWrap w:val="0"/>
            <w:vAlign w:val="center"/>
          </w:tcPr>
          <w:p w14:paraId="37634B30">
            <w:pPr>
              <w:snapToGrid w:val="0"/>
              <w:spacing w:line="360" w:lineRule="auto"/>
              <w:ind w:firstLine="105" w:firstLineChars="50"/>
              <w:jc w:val="center"/>
              <w:rPr>
                <w:rFonts w:ascii="宋体" w:hAnsi="宋体"/>
                <w:b/>
                <w:color w:val="000000"/>
                <w:szCs w:val="21"/>
                <w:highlight w:val="none"/>
              </w:rPr>
            </w:pPr>
            <w:r>
              <w:rPr>
                <w:rFonts w:hint="eastAsia" w:ascii="宋体" w:hAnsi="宋体"/>
                <w:b/>
                <w:color w:val="000000"/>
                <w:szCs w:val="21"/>
                <w:highlight w:val="none"/>
              </w:rPr>
              <w:t>备注</w:t>
            </w:r>
          </w:p>
        </w:tc>
      </w:tr>
      <w:tr w14:paraId="46CB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404AD428">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1</w:t>
            </w:r>
          </w:p>
        </w:tc>
        <w:tc>
          <w:tcPr>
            <w:tcW w:w="1321" w:type="dxa"/>
            <w:noWrap w:val="0"/>
            <w:vAlign w:val="center"/>
          </w:tcPr>
          <w:p w14:paraId="4B535B33">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792B4801">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0ACA3B8C">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68D96DDE">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3459D911">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624BEEB8">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4FC03001">
            <w:pPr>
              <w:snapToGrid w:val="0"/>
              <w:spacing w:line="360" w:lineRule="auto"/>
              <w:jc w:val="center"/>
              <w:rPr>
                <w:rFonts w:ascii="仿宋_GB2312" w:hAnsi="宋体" w:eastAsia="仿宋_GB2312"/>
                <w:color w:val="000000"/>
                <w:sz w:val="24"/>
                <w:highlight w:val="none"/>
              </w:rPr>
            </w:pPr>
          </w:p>
        </w:tc>
      </w:tr>
      <w:tr w14:paraId="62CE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2ED26A3F">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2</w:t>
            </w:r>
          </w:p>
        </w:tc>
        <w:tc>
          <w:tcPr>
            <w:tcW w:w="1321" w:type="dxa"/>
            <w:noWrap w:val="0"/>
            <w:vAlign w:val="center"/>
          </w:tcPr>
          <w:p w14:paraId="53230748">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250FACB9">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3658DF2F">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7085AE68">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380475AF">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5EF83FC2">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63406E4B">
            <w:pPr>
              <w:snapToGrid w:val="0"/>
              <w:spacing w:line="360" w:lineRule="auto"/>
              <w:jc w:val="center"/>
              <w:rPr>
                <w:rFonts w:ascii="仿宋_GB2312" w:hAnsi="宋体" w:eastAsia="仿宋_GB2312"/>
                <w:color w:val="000000"/>
                <w:sz w:val="24"/>
                <w:highlight w:val="none"/>
              </w:rPr>
            </w:pPr>
          </w:p>
        </w:tc>
      </w:tr>
      <w:tr w14:paraId="750C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49E439E3">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3</w:t>
            </w:r>
          </w:p>
        </w:tc>
        <w:tc>
          <w:tcPr>
            <w:tcW w:w="1321" w:type="dxa"/>
            <w:noWrap w:val="0"/>
            <w:vAlign w:val="center"/>
          </w:tcPr>
          <w:p w14:paraId="0C4DD876">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4136EF06">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4C3D6228">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2336E4E1">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2D8B9EB7">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652C3772">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45669746">
            <w:pPr>
              <w:snapToGrid w:val="0"/>
              <w:spacing w:line="360" w:lineRule="auto"/>
              <w:jc w:val="center"/>
              <w:rPr>
                <w:rFonts w:ascii="仿宋_GB2312" w:hAnsi="宋体" w:eastAsia="仿宋_GB2312"/>
                <w:color w:val="000000"/>
                <w:sz w:val="24"/>
                <w:highlight w:val="none"/>
              </w:rPr>
            </w:pPr>
          </w:p>
        </w:tc>
      </w:tr>
      <w:tr w14:paraId="65F6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2133FCE2">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4</w:t>
            </w:r>
          </w:p>
        </w:tc>
        <w:tc>
          <w:tcPr>
            <w:tcW w:w="1321" w:type="dxa"/>
            <w:noWrap w:val="0"/>
            <w:vAlign w:val="center"/>
          </w:tcPr>
          <w:p w14:paraId="0740ABB6">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0D0D2325">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4797200E">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52CFFA09">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05821710">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3AA7B1FB">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7EA894C0">
            <w:pPr>
              <w:snapToGrid w:val="0"/>
              <w:spacing w:line="360" w:lineRule="auto"/>
              <w:jc w:val="center"/>
              <w:rPr>
                <w:rFonts w:ascii="仿宋_GB2312" w:hAnsi="宋体" w:eastAsia="仿宋_GB2312"/>
                <w:color w:val="000000"/>
                <w:sz w:val="24"/>
                <w:highlight w:val="none"/>
              </w:rPr>
            </w:pPr>
          </w:p>
        </w:tc>
      </w:tr>
      <w:tr w14:paraId="5E4C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22563714">
            <w:pPr>
              <w:snapToGrid w:val="0"/>
              <w:spacing w:line="360" w:lineRule="auto"/>
              <w:jc w:val="center"/>
              <w:rPr>
                <w:rFonts w:ascii="仿宋_GB2312" w:hAnsi="宋体" w:eastAsia="仿宋_GB2312"/>
                <w:color w:val="000000"/>
                <w:sz w:val="24"/>
                <w:highlight w:val="none"/>
              </w:rPr>
            </w:pPr>
          </w:p>
        </w:tc>
        <w:tc>
          <w:tcPr>
            <w:tcW w:w="1321" w:type="dxa"/>
            <w:noWrap w:val="0"/>
            <w:vAlign w:val="center"/>
          </w:tcPr>
          <w:p w14:paraId="624BD2D5">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0AF4E54D">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69ECAE9A">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4694D9E1">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47741289">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7A2BA4B2">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6044F61B">
            <w:pPr>
              <w:snapToGrid w:val="0"/>
              <w:spacing w:line="360" w:lineRule="auto"/>
              <w:jc w:val="center"/>
              <w:rPr>
                <w:rFonts w:ascii="仿宋_GB2312" w:hAnsi="宋体" w:eastAsia="仿宋_GB2312"/>
                <w:color w:val="000000"/>
                <w:sz w:val="24"/>
                <w:highlight w:val="none"/>
              </w:rPr>
            </w:pPr>
          </w:p>
        </w:tc>
      </w:tr>
      <w:tr w14:paraId="73FA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vAlign w:val="center"/>
          </w:tcPr>
          <w:p w14:paraId="385337B9">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合计</w:t>
            </w:r>
          </w:p>
        </w:tc>
        <w:tc>
          <w:tcPr>
            <w:tcW w:w="8709" w:type="dxa"/>
            <w:gridSpan w:val="7"/>
            <w:noWrap w:val="0"/>
            <w:vAlign w:val="center"/>
          </w:tcPr>
          <w:p w14:paraId="534F1CF4">
            <w:pPr>
              <w:snapToGrid w:val="0"/>
              <w:spacing w:line="360" w:lineRule="auto"/>
              <w:jc w:val="center"/>
              <w:rPr>
                <w:rFonts w:ascii="仿宋_GB2312" w:hAnsi="宋体" w:eastAsia="仿宋_GB2312"/>
                <w:color w:val="000000"/>
                <w:sz w:val="24"/>
                <w:highlight w:val="none"/>
              </w:rPr>
            </w:pPr>
          </w:p>
        </w:tc>
      </w:tr>
    </w:tbl>
    <w:p w14:paraId="24EE2725">
      <w:pPr>
        <w:snapToGrid w:val="0"/>
        <w:spacing w:line="400" w:lineRule="exact"/>
        <w:ind w:left="984" w:hanging="984" w:hangingChars="350"/>
        <w:rPr>
          <w:rFonts w:hint="eastAsia" w:ascii="宋体" w:hAnsi="宋体" w:eastAsia="宋体" w:cs="宋体"/>
          <w:b/>
          <w:bCs/>
          <w:color w:val="auto"/>
          <w:sz w:val="28"/>
          <w:szCs w:val="28"/>
          <w:highlight w:val="none"/>
        </w:rPr>
      </w:pPr>
    </w:p>
    <w:p w14:paraId="3083A6C9">
      <w:pPr>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注：1.投标人必须按实填写分项报价明细表中</w:t>
      </w:r>
      <w:r>
        <w:rPr>
          <w:rFonts w:hint="eastAsia" w:ascii="宋体" w:hAnsi="宋体" w:eastAsia="宋体" w:cs="宋体"/>
          <w:bCs/>
          <w:kern w:val="0"/>
          <w:sz w:val="24"/>
          <w:szCs w:val="24"/>
        </w:rPr>
        <w:t>的各项内容</w:t>
      </w:r>
      <w:r>
        <w:rPr>
          <w:rFonts w:hint="eastAsia" w:ascii="宋体" w:hAnsi="宋体" w:eastAsia="宋体" w:cs="宋体"/>
          <w:bCs/>
          <w:kern w:val="0"/>
          <w:sz w:val="24"/>
          <w:szCs w:val="24"/>
          <w:lang w:val="zh-CN"/>
        </w:rPr>
        <w:t>，且本表各分项报价合计应当与开标一览表报价合计相等，请各投标人务必按照以上要求填报。</w:t>
      </w:r>
    </w:p>
    <w:p w14:paraId="45A24D27">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outlineLvl w:val="0"/>
        <w:rPr>
          <w:rFonts w:hint="eastAsia" w:ascii="宋体" w:hAnsi="宋体" w:eastAsia="宋体" w:cs="宋体"/>
          <w:b/>
          <w:kern w:val="0"/>
          <w:sz w:val="24"/>
          <w:szCs w:val="24"/>
          <w:lang w:val="zh-CN"/>
        </w:rPr>
      </w:pPr>
      <w:r>
        <w:rPr>
          <w:rFonts w:hint="eastAsia" w:ascii="宋体" w:hAnsi="宋体" w:eastAsia="宋体" w:cs="宋体"/>
          <w:bCs/>
          <w:kern w:val="0"/>
          <w:sz w:val="24"/>
          <w:szCs w:val="24"/>
        </w:rPr>
        <w:t>2.主要标的信息</w:t>
      </w:r>
      <w:r>
        <w:rPr>
          <w:rFonts w:hint="eastAsia" w:ascii="宋体" w:hAnsi="宋体" w:eastAsia="宋体" w:cs="宋体"/>
          <w:bCs/>
          <w:kern w:val="0"/>
          <w:sz w:val="24"/>
          <w:szCs w:val="24"/>
          <w:lang w:val="zh-CN"/>
        </w:rPr>
        <w:t>将随中标（成交）结果公告进行公示。内容不实的，属于提供虚假材料谋取中标、成交，依照《中华人民共和</w:t>
      </w:r>
      <w:r>
        <w:rPr>
          <w:rFonts w:hint="eastAsia" w:ascii="宋体" w:hAnsi="宋体" w:eastAsia="宋体" w:cs="宋体"/>
          <w:bCs/>
          <w:kern w:val="0"/>
          <w:sz w:val="24"/>
          <w:szCs w:val="24"/>
        </w:rPr>
        <w:t>国政府采购法》等国家有关规定追究相应责</w:t>
      </w:r>
      <w:r>
        <w:rPr>
          <w:rFonts w:hint="eastAsia" w:ascii="宋体" w:hAnsi="宋体" w:eastAsia="宋体" w:cs="宋体"/>
          <w:bCs/>
          <w:kern w:val="0"/>
          <w:sz w:val="24"/>
          <w:szCs w:val="24"/>
          <w:lang w:val="zh-CN"/>
        </w:rPr>
        <w:t>任。</w:t>
      </w:r>
    </w:p>
    <w:p w14:paraId="06E450AA">
      <w:pPr>
        <w:snapToGrid w:val="0"/>
        <w:spacing w:line="300" w:lineRule="auto"/>
        <w:ind w:firstLine="482" w:firstLineChars="200"/>
        <w:outlineLvl w:val="0"/>
        <w:rPr>
          <w:rFonts w:hint="eastAsia" w:ascii="宋体" w:hAnsi="宋体" w:eastAsia="宋体" w:cs="宋体"/>
          <w:b/>
          <w:color w:val="auto"/>
          <w:kern w:val="0"/>
          <w:sz w:val="24"/>
          <w:highlight w:val="none"/>
          <w:lang w:val="zh-CN"/>
        </w:rPr>
      </w:pPr>
    </w:p>
    <w:p w14:paraId="312A91D7">
      <w:pPr>
        <w:snapToGrid w:val="0"/>
        <w:spacing w:line="300" w:lineRule="auto"/>
        <w:ind w:firstLine="562" w:firstLineChars="200"/>
        <w:outlineLvl w:val="0"/>
        <w:rPr>
          <w:rFonts w:hint="eastAsia" w:ascii="宋体" w:hAnsi="宋体" w:eastAsia="宋体" w:cs="宋体"/>
          <w:b/>
          <w:color w:val="auto"/>
          <w:kern w:val="0"/>
          <w:sz w:val="28"/>
          <w:szCs w:val="28"/>
          <w:highlight w:val="none"/>
          <w:lang w:val="zh-CN"/>
        </w:rPr>
      </w:pPr>
    </w:p>
    <w:p w14:paraId="4130B4CE">
      <w:pPr>
        <w:widowControl/>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r>
        <w:rPr>
          <w:rFonts w:hint="eastAsia" w:ascii="宋体" w:hAnsi="宋体" w:eastAsia="宋体" w:cs="宋体"/>
          <w:color w:val="auto"/>
          <w:sz w:val="32"/>
          <w:szCs w:val="32"/>
          <w:highlight w:val="none"/>
        </w:rPr>
        <w:t>附件9</w:t>
      </w:r>
    </w:p>
    <w:p w14:paraId="47B467C7">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中小微企业声明函（服务类项目）（采购包号：**）</w:t>
      </w:r>
    </w:p>
    <w:p w14:paraId="6EFE207F">
      <w:pPr>
        <w:spacing w:line="380" w:lineRule="exact"/>
        <w:ind w:firstLine="360"/>
        <w:jc w:val="center"/>
        <w:rPr>
          <w:color w:val="000000"/>
          <w:kern w:val="0"/>
          <w:sz w:val="24"/>
        </w:rPr>
      </w:pPr>
    </w:p>
    <w:p w14:paraId="263194DC">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本公司（联合体）郑重声明，根据《政府采购促进中小企业发展管理办法》（财库</w:t>
      </w:r>
      <w:r>
        <w:rPr>
          <w:rFonts w:hint="eastAsia"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项目（项目名称）（采购包号：**）的采购活动，提供的服务全部由符合政策的中小微企业承接。相关企业（含联合体中的中小微企业、签订采购包意向协议的中小微企业）的具体情况如下：</w:t>
      </w:r>
    </w:p>
    <w:p w14:paraId="572884FA">
      <w:pPr>
        <w:spacing w:line="380" w:lineRule="exact"/>
        <w:ind w:firstLine="480" w:firstLineChars="200"/>
        <w:rPr>
          <w:rFonts w:ascii="仿宋" w:hAnsi="仿宋" w:eastAsia="仿宋" w:cs="仿宋"/>
          <w:color w:val="000000"/>
          <w:kern w:val="0"/>
          <w:sz w:val="24"/>
        </w:rPr>
      </w:pPr>
      <w:r>
        <w:rPr>
          <w:rFonts w:hint="eastAsia"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（供应商填写招标文件中明确的所属行业）</w:t>
      </w:r>
      <w:r>
        <w:rPr>
          <w:rFonts w:hint="eastAsia" w:ascii="仿宋" w:hAnsi="仿宋" w:eastAsia="仿宋" w:cs="仿宋"/>
          <w:color w:val="000000"/>
          <w:kern w:val="0"/>
          <w:sz w:val="24"/>
        </w:rPr>
        <w:t>行业；承接企业为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万元，属于（□中型企业 □小型企业 □微型企业）；</w:t>
      </w:r>
    </w:p>
    <w:p w14:paraId="4882487B">
      <w:pPr>
        <w:spacing w:line="380" w:lineRule="exact"/>
        <w:ind w:firstLine="480" w:firstLineChars="200"/>
        <w:rPr>
          <w:rFonts w:ascii="仿宋" w:hAnsi="仿宋" w:eastAsia="仿宋" w:cs="仿宋"/>
          <w:color w:val="000000"/>
          <w:kern w:val="0"/>
          <w:sz w:val="24"/>
        </w:rPr>
      </w:pPr>
      <w:r>
        <w:rPr>
          <w:rFonts w:hint="eastAsia"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（供应商填写招标文件中明确的所属行业）</w:t>
      </w:r>
      <w:r>
        <w:rPr>
          <w:rFonts w:hint="eastAsia" w:ascii="仿宋" w:hAnsi="仿宋" w:eastAsia="仿宋" w:cs="仿宋"/>
          <w:color w:val="000000"/>
          <w:kern w:val="0"/>
          <w:sz w:val="24"/>
        </w:rPr>
        <w:t>行业；承接企业为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49237278">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w:t>
      </w:r>
    </w:p>
    <w:p w14:paraId="6FEB52FD">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31DB953E">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本企业对上述声明内容的真实性负责。如有虚假，将依法承担相应责任</w:t>
      </w:r>
    </w:p>
    <w:p w14:paraId="4FF94390">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 </w:t>
      </w:r>
    </w:p>
    <w:p w14:paraId="28A1D590">
      <w:pPr>
        <w:pStyle w:val="12"/>
        <w:spacing w:before="0" w:beforeAutospacing="0" w:after="0" w:afterAutospacing="0" w:line="380" w:lineRule="exact"/>
        <w:ind w:right="180" w:firstLine="360"/>
        <w:jc w:val="center"/>
        <w:rPr>
          <w:rFonts w:ascii="仿宋" w:hAnsi="仿宋" w:eastAsia="仿宋" w:cs="仿宋"/>
        </w:rPr>
      </w:pPr>
      <w:r>
        <w:rPr>
          <w:rFonts w:hint="eastAsia" w:ascii="仿宋" w:hAnsi="仿宋" w:eastAsia="仿宋" w:cs="仿宋"/>
        </w:rPr>
        <w:t>               企业名称（加盖CA电子公章）：</w:t>
      </w:r>
    </w:p>
    <w:p w14:paraId="638ABE84">
      <w:pPr>
        <w:snapToGrid w:val="0"/>
        <w:spacing w:line="300" w:lineRule="auto"/>
        <w:ind w:firstLine="2310" w:firstLineChars="1100"/>
        <w:contextualSpacing/>
        <w:rPr>
          <w:rFonts w:ascii="仿宋" w:hAnsi="仿宋" w:eastAsia="仿宋" w:cs="仿宋"/>
        </w:rPr>
      </w:pPr>
      <w:r>
        <w:rPr>
          <w:rFonts w:hint="eastAsia" w:ascii="仿宋" w:hAnsi="仿宋" w:eastAsia="仿宋" w:cs="仿宋"/>
          <w:shd w:val="clear" w:color="auto" w:fill="FFFFFF"/>
        </w:rPr>
        <w:t>            </w:t>
      </w: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5CBBB98C">
      <w:pPr>
        <w:pStyle w:val="12"/>
        <w:widowControl w:val="0"/>
        <w:spacing w:before="0" w:beforeAutospacing="0" w:after="0" w:afterAutospacing="0" w:line="380" w:lineRule="exact"/>
        <w:ind w:firstLine="480"/>
        <w:jc w:val="both"/>
        <w:rPr>
          <w:rFonts w:ascii="仿宋" w:hAnsi="仿宋" w:eastAsia="仿宋" w:cs="仿宋"/>
        </w:rPr>
      </w:pPr>
    </w:p>
    <w:p w14:paraId="28CA29C5">
      <w:pPr>
        <w:pStyle w:val="12"/>
        <w:widowControl w:val="0"/>
        <w:spacing w:before="0" w:beforeAutospacing="0" w:after="0" w:afterAutospacing="0" w:line="380" w:lineRule="exact"/>
        <w:ind w:firstLine="480"/>
        <w:jc w:val="both"/>
        <w:rPr>
          <w:rFonts w:ascii="仿宋" w:hAnsi="仿宋" w:eastAsia="仿宋" w:cs="仿宋"/>
        </w:rPr>
      </w:pPr>
      <w:r>
        <w:rPr>
          <w:rFonts w:hint="eastAsia" w:ascii="仿宋" w:hAnsi="仿宋" w:eastAsia="仿宋" w:cs="仿宋"/>
        </w:rPr>
        <w:t>备注：</w:t>
      </w:r>
    </w:p>
    <w:p w14:paraId="6EB13258">
      <w:pPr>
        <w:pStyle w:val="12"/>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rPr>
        <w:t>1.</w:t>
      </w:r>
      <w:r>
        <w:rPr>
          <w:rFonts w:hint="eastAsia" w:ascii="仿宋" w:hAnsi="仿宋" w:eastAsia="仿宋" w:cs="仿宋"/>
        </w:rPr>
        <w:t>从业人员、营业收入、资产总额填报上一年度数据，无上一年度数据的新成立企业可不填报。</w:t>
      </w:r>
    </w:p>
    <w:p w14:paraId="1EE55A9F">
      <w:pPr>
        <w:pStyle w:val="12"/>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rPr>
        <w:t>2.</w:t>
      </w:r>
      <w:r>
        <w:rPr>
          <w:rFonts w:hint="eastAsia" w:ascii="仿宋" w:hAnsi="仿宋" w:eastAsia="仿宋" w:cs="仿宋"/>
        </w:rPr>
        <w:t>专门面向中小微型企业采购的项目，供应商如不提供此声明函，则不能通过资格审查；非专门面向中小微型企业采购的项目，供应商如不提供此声明函，价格将不做相应扣除。</w:t>
      </w:r>
    </w:p>
    <w:p w14:paraId="5FD25AF4">
      <w:pPr>
        <w:pStyle w:val="12"/>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rPr>
        <w:t>3.</w:t>
      </w:r>
      <w:r>
        <w:rPr>
          <w:rFonts w:hint="eastAsia" w:ascii="仿宋" w:hAnsi="仿宋" w:eastAsia="仿宋" w:cs="仿宋"/>
        </w:rPr>
        <w:t>供应商应对照《工业和信息化部、国家统计局、国家发展和改革委员会、财政部关于印发中小企业划型标准规定的通</w:t>
      </w:r>
      <w:r>
        <w:rPr>
          <w:rFonts w:ascii="Times New Roman" w:hAnsi="Times New Roman" w:eastAsia="仿宋"/>
        </w:rPr>
        <w:t>知》（工信部联企业〔2011〕300号)和《国家统计局关于印发〈统计上大中小微型企业划分办法（2017）〉的通知》（国统字〔2017〕213号）的规定，自行勾选承接企业的企业规模类型。</w:t>
      </w:r>
    </w:p>
    <w:p w14:paraId="7A8FA280">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附：中小企业划型标准规定</w:t>
      </w:r>
    </w:p>
    <w:p w14:paraId="7359FCF0">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（一）农、林、牧、渔业。营业收入20000万元以下的为中小微型企业。其中，营业收入500万元及以上的为中型企业，营业收入50万元及以上的为小型企业，营业收入50万元以下的为微型企业。</w:t>
      </w:r>
    </w:p>
    <w:p w14:paraId="5E496784">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115152F">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0DA8AEF">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B10CB04">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E492A47">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7E7A6C2">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CF52675">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3D1495E">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EF88685">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4D8152">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B66FAEE">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8B57BFD">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56278BF">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（十四）物业管理。从业人员1000人以下或营业收入5000万元以下的为中小微型企业。其中，从业人员</w:t>
      </w:r>
    </w:p>
    <w:p w14:paraId="7DBEF713">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300人及以上，且营业收入1000万元及以上的为中型企业；从业人员100人及以上，且营业收入500万元及以上的为小型企业；从业人员100人以下或营业收入500万元以下的为微型企业。</w:t>
      </w:r>
    </w:p>
    <w:p w14:paraId="22197CE1">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6D889A5">
      <w:pPr>
        <w:pStyle w:val="12"/>
        <w:widowControl w:val="0"/>
        <w:spacing w:before="0" w:beforeAutospacing="0" w:after="0" w:afterAutospacing="0" w:line="380" w:lineRule="exact"/>
        <w:ind w:firstLine="480"/>
        <w:jc w:val="both"/>
        <w:rPr>
          <w:rFonts w:hint="eastAsia" w:ascii="仿宋" w:hAnsi="仿宋" w:eastAsia="仿宋" w:cs="仿宋"/>
        </w:rPr>
      </w:pPr>
      <w:r>
        <w:rPr>
          <w:rFonts w:hint="eastAsia" w:ascii="仿宋" w:hAnsi="仿宋" w:eastAsia="仿宋" w:cs="仿宋"/>
        </w:rPr>
        <w:t>（十六）其他未列明行业。从业人员300人以下的为中小微型企业。其中，从业人员100人及以上的为中型企业；从业人员10人及以上的为小型企业；从业人员10人以下的为微型企业。</w:t>
      </w:r>
    </w:p>
    <w:p w14:paraId="51B19173">
      <w:pPr>
        <w:snapToGrid w:val="0"/>
        <w:spacing w:line="300" w:lineRule="auto"/>
        <w:outlineLvl w:val="0"/>
        <w:rPr>
          <w:rFonts w:hint="eastAsia" w:ascii="宋体" w:hAnsi="宋体" w:eastAsia="宋体" w:cs="宋体"/>
          <w:color w:val="auto"/>
          <w:sz w:val="32"/>
          <w:szCs w:val="32"/>
          <w:highlight w:val="none"/>
        </w:rPr>
      </w:pPr>
    </w:p>
    <w:p w14:paraId="7E0620E5">
      <w:pPr>
        <w:snapToGrid w:val="0"/>
        <w:spacing w:line="300" w:lineRule="auto"/>
        <w:outlineLvl w:val="0"/>
        <w:rPr>
          <w:rFonts w:hint="eastAsia" w:ascii="宋体" w:hAnsi="宋体" w:eastAsia="宋体" w:cs="宋体"/>
          <w:color w:val="auto"/>
          <w:sz w:val="32"/>
          <w:szCs w:val="32"/>
          <w:highlight w:val="none"/>
        </w:rPr>
      </w:pPr>
    </w:p>
    <w:p w14:paraId="09652F5A">
      <w:pPr>
        <w:snapToGrid w:val="0"/>
        <w:spacing w:line="300" w:lineRule="auto"/>
        <w:outlineLvl w:val="0"/>
        <w:rPr>
          <w:rFonts w:hint="eastAsia" w:ascii="宋体" w:hAnsi="宋体" w:eastAsia="宋体" w:cs="宋体"/>
          <w:color w:val="auto"/>
          <w:sz w:val="32"/>
          <w:szCs w:val="32"/>
          <w:highlight w:val="none"/>
        </w:rPr>
      </w:pPr>
    </w:p>
    <w:p w14:paraId="6FE3C4E7">
      <w:pPr>
        <w:snapToGrid w:val="0"/>
        <w:spacing w:line="300" w:lineRule="auto"/>
        <w:outlineLvl w:val="0"/>
        <w:rPr>
          <w:rFonts w:hint="eastAsia" w:ascii="宋体" w:hAnsi="宋体" w:eastAsia="宋体" w:cs="宋体"/>
          <w:color w:val="auto"/>
          <w:sz w:val="32"/>
          <w:szCs w:val="32"/>
          <w:highlight w:val="none"/>
        </w:rPr>
      </w:pPr>
    </w:p>
    <w:p w14:paraId="0CFECF59">
      <w:pPr>
        <w:snapToGrid w:val="0"/>
        <w:spacing w:line="300" w:lineRule="auto"/>
        <w:outlineLvl w:val="0"/>
        <w:rPr>
          <w:rFonts w:hint="eastAsia" w:ascii="宋体" w:hAnsi="宋体" w:eastAsia="宋体" w:cs="宋体"/>
          <w:color w:val="auto"/>
          <w:sz w:val="32"/>
          <w:szCs w:val="32"/>
          <w:highlight w:val="none"/>
        </w:rPr>
      </w:pPr>
    </w:p>
    <w:p w14:paraId="0A2A0F50">
      <w:pPr>
        <w:snapToGrid w:val="0"/>
        <w:spacing w:line="300" w:lineRule="auto"/>
        <w:outlineLvl w:val="0"/>
        <w:rPr>
          <w:rFonts w:hint="eastAsia" w:ascii="宋体" w:hAnsi="宋体" w:eastAsia="宋体" w:cs="宋体"/>
          <w:color w:val="auto"/>
          <w:sz w:val="32"/>
          <w:szCs w:val="32"/>
          <w:highlight w:val="none"/>
        </w:rPr>
      </w:pPr>
    </w:p>
    <w:p w14:paraId="7D4E81FE">
      <w:pPr>
        <w:snapToGrid w:val="0"/>
        <w:spacing w:line="300" w:lineRule="auto"/>
        <w:outlineLvl w:val="0"/>
        <w:rPr>
          <w:rFonts w:hint="eastAsia" w:ascii="宋体" w:hAnsi="宋体" w:eastAsia="宋体" w:cs="宋体"/>
          <w:color w:val="auto"/>
          <w:sz w:val="32"/>
          <w:szCs w:val="32"/>
          <w:highlight w:val="none"/>
        </w:rPr>
      </w:pPr>
    </w:p>
    <w:p w14:paraId="5DE902DD">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附件10</w:t>
      </w:r>
    </w:p>
    <w:p w14:paraId="4DB3CC7B">
      <w:pPr>
        <w:spacing w:line="400" w:lineRule="exact"/>
        <w:jc w:val="center"/>
        <w:rPr>
          <w:rFonts w:hint="eastAsia" w:ascii="宋体" w:hAnsi="宋体" w:eastAsia="宋体" w:cs="宋体"/>
          <w:color w:val="auto"/>
          <w:highlight w:val="none"/>
        </w:rPr>
      </w:pPr>
      <w:r>
        <w:rPr>
          <w:rFonts w:hint="eastAsia" w:ascii="宋体" w:hAnsi="宋体" w:eastAsia="宋体" w:cs="宋体"/>
          <w:bCs/>
          <w:color w:val="auto"/>
          <w:sz w:val="30"/>
          <w:szCs w:val="30"/>
          <w:highlight w:val="none"/>
        </w:rPr>
        <w:t>残疾人福利性单位声明函（采购包号：**）</w:t>
      </w:r>
      <w:r>
        <w:rPr>
          <w:rFonts w:hint="eastAsia" w:ascii="宋体" w:hAnsi="宋体" w:eastAsia="宋体" w:cs="宋体"/>
          <w:color w:val="auto"/>
          <w:highlight w:val="none"/>
        </w:rPr>
        <w:t> </w:t>
      </w:r>
    </w:p>
    <w:p w14:paraId="2D741491">
      <w:pPr>
        <w:pStyle w:val="12"/>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（单位名称）</w:t>
      </w:r>
      <w:r>
        <w:rPr>
          <w:rFonts w:hint="eastAsia" w:ascii="宋体" w:hAnsi="宋体" w:eastAsia="宋体" w:cs="宋体"/>
          <w:color w:val="auto"/>
          <w:sz w:val="28"/>
          <w:szCs w:val="28"/>
          <w:highlight w:val="none"/>
        </w:rPr>
        <w:t>采购编号为</w:t>
      </w:r>
      <w:r>
        <w:rPr>
          <w:rFonts w:hint="eastAsia" w:ascii="宋体" w:hAnsi="宋体" w:eastAsia="宋体" w:cs="宋体"/>
          <w:color w:val="auto"/>
          <w:sz w:val="28"/>
          <w:szCs w:val="28"/>
          <w:highlight w:val="none"/>
          <w:u w:val="single"/>
        </w:rPr>
        <w:t>（采购编号）</w:t>
      </w:r>
      <w:r>
        <w:rPr>
          <w:rFonts w:hint="eastAsia" w:ascii="宋体" w:hAnsi="宋体" w:eastAsia="宋体" w:cs="宋体"/>
          <w:color w:val="auto"/>
          <w:sz w:val="28"/>
          <w:szCs w:val="28"/>
          <w:highlight w:val="none"/>
        </w:rPr>
        <w:t>， </w:t>
      </w:r>
      <w:r>
        <w:rPr>
          <w:rFonts w:hint="eastAsia" w:ascii="宋体" w:hAnsi="宋体" w:eastAsia="宋体" w:cs="宋体"/>
          <w:color w:val="auto"/>
          <w:highlight w:val="none"/>
          <w:u w:val="single"/>
        </w:rPr>
        <w:t xml:space="preserve">            </w:t>
      </w:r>
      <w:r>
        <w:rPr>
          <w:rFonts w:hint="eastAsia" w:ascii="宋体" w:hAnsi="宋体" w:eastAsia="宋体" w:cs="宋体"/>
          <w:color w:val="auto"/>
          <w:sz w:val="28"/>
          <w:szCs w:val="28"/>
          <w:highlight w:val="none"/>
        </w:rPr>
        <w:t>项目（项目名称）（采购包号：**）采购活动由本单位提供服务。</w:t>
      </w:r>
    </w:p>
    <w:p w14:paraId="63156584">
      <w:pPr>
        <w:pStyle w:val="12"/>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本单位对上述声明的真实性负责。如有虚假，将依法承担相应责任。</w:t>
      </w:r>
    </w:p>
    <w:p w14:paraId="29FB8B80">
      <w:pPr>
        <w:pStyle w:val="12"/>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p w14:paraId="2C653F5C">
      <w:pPr>
        <w:pStyle w:val="12"/>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1.专门面向中小微型企业采购的项目，供应商为残疾人福利性单位并提供服务的必须提供此声明函，否则将不能通过资格审查。</w:t>
      </w:r>
    </w:p>
    <w:p w14:paraId="49442378">
      <w:pPr>
        <w:pStyle w:val="12"/>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2.非专门面向中小微型企业采购的项目，供应商如不提供此声明函，价格将不做相应扣除。</w:t>
      </w:r>
    </w:p>
    <w:p w14:paraId="0874D24F">
      <w:pPr>
        <w:pStyle w:val="12"/>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3.中标/成交供应商为残疾人福利性单位的，此声明函将随中标/成交结果同时公告，接受社会监督。</w:t>
      </w:r>
    </w:p>
    <w:p w14:paraId="3B979D8F">
      <w:pPr>
        <w:pStyle w:val="12"/>
        <w:spacing w:beforeAutospacing="0" w:afterAutospacing="0" w:line="360" w:lineRule="auto"/>
        <w:ind w:firstLine="62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74C2B3A0">
      <w:pPr>
        <w:pStyle w:val="12"/>
        <w:tabs>
          <w:tab w:val="left" w:pos="4864"/>
        </w:tabs>
        <w:spacing w:beforeAutospacing="0" w:afterAutospacing="0" w:line="360" w:lineRule="auto"/>
        <w:ind w:right="1559" w:firstLine="624"/>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供应商全称（加盖CA电子公章）：</w:t>
      </w:r>
    </w:p>
    <w:p w14:paraId="5BC44A1A">
      <w:pPr>
        <w:snapToGrid w:val="0"/>
        <w:spacing w:line="300" w:lineRule="auto"/>
        <w:ind w:firstLine="2240" w:firstLineChars="800"/>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1CF7BEB">
      <w:pPr>
        <w:pStyle w:val="12"/>
        <w:tabs>
          <w:tab w:val="left" w:pos="4864"/>
        </w:tabs>
        <w:spacing w:beforeAutospacing="0" w:afterAutospacing="0" w:line="360" w:lineRule="auto"/>
        <w:ind w:right="1559" w:firstLine="48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  </w:t>
      </w:r>
    </w:p>
    <w:p w14:paraId="3582E1D1">
      <w:pPr>
        <w:snapToGrid w:val="0"/>
        <w:spacing w:line="300" w:lineRule="auto"/>
        <w:outlineLvl w:val="0"/>
        <w:rPr>
          <w:rFonts w:hint="eastAsia" w:ascii="宋体" w:hAnsi="宋体" w:eastAsia="宋体" w:cs="宋体"/>
          <w:color w:val="auto"/>
          <w:sz w:val="32"/>
          <w:szCs w:val="32"/>
          <w:highlight w:val="none"/>
        </w:rPr>
      </w:pPr>
    </w:p>
    <w:p w14:paraId="063177F6">
      <w:pPr>
        <w:snapToGrid w:val="0"/>
        <w:spacing w:line="300" w:lineRule="auto"/>
        <w:outlineLvl w:val="0"/>
        <w:rPr>
          <w:rFonts w:hint="eastAsia" w:ascii="宋体" w:hAnsi="宋体" w:eastAsia="宋体" w:cs="宋体"/>
          <w:color w:val="auto"/>
          <w:sz w:val="32"/>
          <w:szCs w:val="32"/>
          <w:highlight w:val="none"/>
        </w:rPr>
      </w:pPr>
    </w:p>
    <w:p w14:paraId="0A2BE4D9">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附件11</w:t>
      </w:r>
    </w:p>
    <w:p w14:paraId="06235E94">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监狱和戒毒企业证明材料</w:t>
      </w:r>
    </w:p>
    <w:p w14:paraId="3EBC0C85">
      <w:pPr>
        <w:snapToGrid w:val="0"/>
        <w:spacing w:line="420" w:lineRule="exact"/>
        <w:ind w:firstLine="495" w:firstLineChars="177"/>
        <w:rPr>
          <w:rFonts w:hint="eastAsia" w:ascii="宋体" w:hAnsi="宋体" w:eastAsia="宋体" w:cs="宋体"/>
          <w:color w:val="auto"/>
          <w:sz w:val="28"/>
          <w:szCs w:val="28"/>
          <w:highlight w:val="none"/>
        </w:rPr>
      </w:pPr>
    </w:p>
    <w:p w14:paraId="15F512BC">
      <w:pPr>
        <w:snapToGrid w:val="0"/>
        <w:spacing w:line="420" w:lineRule="exact"/>
        <w:ind w:firstLine="498" w:firstLineChars="17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（格式自拟）</w:t>
      </w:r>
    </w:p>
    <w:p w14:paraId="3A5575CA">
      <w:pPr>
        <w:snapToGrid w:val="0"/>
        <w:spacing w:line="420" w:lineRule="exact"/>
        <w:ind w:firstLine="495" w:firstLineChars="177"/>
        <w:rPr>
          <w:rFonts w:hint="eastAsia" w:ascii="宋体" w:hAnsi="宋体" w:eastAsia="宋体" w:cs="宋体"/>
          <w:color w:val="auto"/>
          <w:sz w:val="28"/>
          <w:szCs w:val="28"/>
          <w:highlight w:val="none"/>
        </w:rPr>
      </w:pPr>
    </w:p>
    <w:p w14:paraId="6C721EAE">
      <w:pPr>
        <w:snapToGrid w:val="0"/>
        <w:spacing w:line="420" w:lineRule="exact"/>
        <w:ind w:firstLine="660" w:firstLineChars="23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CFC7074">
      <w:pPr>
        <w:snapToGrid w:val="0"/>
        <w:spacing w:line="300" w:lineRule="auto"/>
        <w:outlineLvl w:val="0"/>
        <w:rPr>
          <w:rFonts w:hint="eastAsia" w:ascii="宋体" w:hAnsi="宋体" w:eastAsia="宋体" w:cs="宋体"/>
          <w:color w:val="auto"/>
          <w:sz w:val="28"/>
          <w:szCs w:val="28"/>
          <w:highlight w:val="none"/>
        </w:rPr>
      </w:pPr>
    </w:p>
    <w:p w14:paraId="498F04BF">
      <w:pPr>
        <w:snapToGrid w:val="0"/>
        <w:spacing w:line="300" w:lineRule="auto"/>
        <w:outlineLvl w:val="0"/>
        <w:rPr>
          <w:rFonts w:hint="eastAsia" w:ascii="宋体" w:hAnsi="宋体" w:eastAsia="宋体" w:cs="宋体"/>
          <w:color w:val="auto"/>
          <w:sz w:val="28"/>
          <w:szCs w:val="28"/>
          <w:highlight w:val="none"/>
        </w:rPr>
      </w:pPr>
    </w:p>
    <w:p w14:paraId="484AB3E5">
      <w:pPr>
        <w:snapToGrid w:val="0"/>
        <w:spacing w:line="300" w:lineRule="auto"/>
        <w:outlineLvl w:val="0"/>
        <w:rPr>
          <w:rFonts w:hint="eastAsia" w:ascii="宋体" w:hAnsi="宋体" w:eastAsia="宋体" w:cs="宋体"/>
          <w:color w:val="auto"/>
          <w:sz w:val="28"/>
          <w:szCs w:val="28"/>
          <w:highlight w:val="none"/>
        </w:rPr>
      </w:pPr>
    </w:p>
    <w:p w14:paraId="319AA1C6">
      <w:pPr>
        <w:snapToGrid w:val="0"/>
        <w:spacing w:line="300" w:lineRule="auto"/>
        <w:outlineLvl w:val="0"/>
        <w:rPr>
          <w:rFonts w:hint="eastAsia" w:ascii="宋体" w:hAnsi="宋体" w:eastAsia="宋体" w:cs="宋体"/>
          <w:color w:val="auto"/>
          <w:sz w:val="28"/>
          <w:szCs w:val="28"/>
          <w:highlight w:val="none"/>
        </w:rPr>
      </w:pPr>
    </w:p>
    <w:p w14:paraId="4813CE5F">
      <w:pPr>
        <w:snapToGrid w:val="0"/>
        <w:spacing w:line="300" w:lineRule="auto"/>
        <w:outlineLvl w:val="0"/>
        <w:rPr>
          <w:rFonts w:hint="eastAsia" w:ascii="宋体" w:hAnsi="宋体" w:eastAsia="宋体" w:cs="宋体"/>
          <w:color w:val="auto"/>
          <w:sz w:val="28"/>
          <w:szCs w:val="28"/>
          <w:highlight w:val="none"/>
          <w:lang w:bidi="zh-CN"/>
        </w:rPr>
      </w:pPr>
      <w:r>
        <w:rPr>
          <w:rFonts w:hint="eastAsia" w:ascii="宋体" w:hAnsi="宋体" w:eastAsia="宋体" w:cs="宋体"/>
          <w:color w:val="auto"/>
          <w:sz w:val="28"/>
          <w:szCs w:val="28"/>
          <w:highlight w:val="none"/>
          <w:lang w:bidi="zh-CN"/>
        </w:rPr>
        <w:t>注：1.供应商如不提供此声明函，价格将不做相应扣除。</w:t>
      </w:r>
    </w:p>
    <w:p w14:paraId="2F2C13DC">
      <w:pPr>
        <w:snapToGrid w:val="0"/>
        <w:spacing w:line="300" w:lineRule="auto"/>
        <w:ind w:firstLine="560" w:firstLineChars="200"/>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263D27AB">
      <w:pPr>
        <w:snapToGrid w:val="0"/>
        <w:spacing w:line="300" w:lineRule="auto"/>
        <w:outlineLvl w:val="0"/>
        <w:rPr>
          <w:rFonts w:hint="eastAsia" w:ascii="宋体" w:hAnsi="宋体" w:eastAsia="宋体" w:cs="宋体"/>
          <w:color w:val="auto"/>
          <w:sz w:val="28"/>
          <w:szCs w:val="28"/>
          <w:highlight w:val="none"/>
        </w:rPr>
      </w:pPr>
    </w:p>
    <w:p w14:paraId="3F1A09B1">
      <w:pPr>
        <w:snapToGrid w:val="0"/>
        <w:spacing w:line="300" w:lineRule="auto"/>
        <w:outlineLvl w:val="0"/>
        <w:rPr>
          <w:rFonts w:hint="eastAsia" w:ascii="宋体" w:hAnsi="宋体" w:eastAsia="宋体" w:cs="宋体"/>
          <w:color w:val="auto"/>
          <w:sz w:val="28"/>
          <w:szCs w:val="28"/>
          <w:highlight w:val="none"/>
        </w:rPr>
      </w:pPr>
    </w:p>
    <w:p w14:paraId="55ED05AD">
      <w:pPr>
        <w:snapToGrid w:val="0"/>
        <w:spacing w:line="300" w:lineRule="auto"/>
        <w:outlineLvl w:val="0"/>
        <w:rPr>
          <w:rFonts w:hint="eastAsia" w:ascii="宋体" w:hAnsi="宋体" w:eastAsia="宋体" w:cs="宋体"/>
          <w:color w:val="auto"/>
          <w:sz w:val="28"/>
          <w:szCs w:val="28"/>
          <w:highlight w:val="none"/>
        </w:rPr>
      </w:pPr>
    </w:p>
    <w:p w14:paraId="4CA05587">
      <w:pPr>
        <w:snapToGrid w:val="0"/>
        <w:spacing w:line="300" w:lineRule="auto"/>
        <w:outlineLvl w:val="0"/>
        <w:rPr>
          <w:rFonts w:hint="eastAsia" w:ascii="宋体" w:hAnsi="宋体" w:eastAsia="宋体" w:cs="宋体"/>
          <w:color w:val="auto"/>
          <w:sz w:val="28"/>
          <w:szCs w:val="28"/>
          <w:highlight w:val="none"/>
        </w:rPr>
      </w:pPr>
    </w:p>
    <w:p w14:paraId="228A7217">
      <w:pPr>
        <w:snapToGrid w:val="0"/>
        <w:spacing w:line="300" w:lineRule="auto"/>
        <w:outlineLvl w:val="0"/>
        <w:rPr>
          <w:rFonts w:hint="eastAsia" w:ascii="宋体" w:hAnsi="宋体" w:eastAsia="宋体" w:cs="宋体"/>
          <w:color w:val="auto"/>
          <w:sz w:val="28"/>
          <w:szCs w:val="28"/>
          <w:highlight w:val="none"/>
        </w:rPr>
      </w:pPr>
    </w:p>
    <w:p w14:paraId="17CB2702">
      <w:pPr>
        <w:snapToGrid w:val="0"/>
        <w:spacing w:line="300" w:lineRule="auto"/>
        <w:outlineLvl w:val="0"/>
        <w:rPr>
          <w:rFonts w:hint="eastAsia" w:ascii="宋体" w:hAnsi="宋体" w:eastAsia="宋体" w:cs="宋体"/>
          <w:color w:val="auto"/>
          <w:sz w:val="28"/>
          <w:szCs w:val="28"/>
          <w:highlight w:val="none"/>
        </w:rPr>
      </w:pPr>
    </w:p>
    <w:p w14:paraId="2D9AD3C2">
      <w:pPr>
        <w:snapToGrid w:val="0"/>
        <w:spacing w:line="300" w:lineRule="auto"/>
        <w:outlineLvl w:val="0"/>
        <w:rPr>
          <w:rFonts w:hint="eastAsia" w:ascii="宋体" w:hAnsi="宋体" w:eastAsia="宋体" w:cs="宋体"/>
          <w:color w:val="auto"/>
          <w:sz w:val="28"/>
          <w:szCs w:val="28"/>
          <w:highlight w:val="none"/>
        </w:rPr>
      </w:pPr>
    </w:p>
    <w:p w14:paraId="23170AB1">
      <w:pPr>
        <w:snapToGrid w:val="0"/>
        <w:spacing w:line="300" w:lineRule="auto"/>
        <w:outlineLvl w:val="0"/>
        <w:rPr>
          <w:rFonts w:hint="eastAsia" w:ascii="宋体" w:hAnsi="宋体" w:eastAsia="宋体" w:cs="宋体"/>
          <w:color w:val="auto"/>
          <w:sz w:val="28"/>
          <w:szCs w:val="28"/>
          <w:highlight w:val="none"/>
        </w:rPr>
      </w:pPr>
    </w:p>
    <w:p w14:paraId="5858B860">
      <w:pPr>
        <w:snapToGrid w:val="0"/>
        <w:spacing w:line="300" w:lineRule="auto"/>
        <w:outlineLvl w:val="0"/>
        <w:rPr>
          <w:rFonts w:hint="eastAsia" w:ascii="宋体" w:hAnsi="宋体" w:eastAsia="宋体" w:cs="宋体"/>
          <w:color w:val="auto"/>
          <w:sz w:val="28"/>
          <w:szCs w:val="28"/>
          <w:highlight w:val="none"/>
        </w:rPr>
      </w:pPr>
    </w:p>
    <w:p w14:paraId="168DE84C">
      <w:pPr>
        <w:snapToGrid w:val="0"/>
        <w:spacing w:line="300" w:lineRule="auto"/>
        <w:outlineLvl w:val="0"/>
        <w:rPr>
          <w:rFonts w:hint="eastAsia" w:ascii="宋体" w:hAnsi="宋体" w:eastAsia="宋体" w:cs="宋体"/>
          <w:color w:val="auto"/>
          <w:sz w:val="28"/>
          <w:szCs w:val="28"/>
          <w:highlight w:val="none"/>
        </w:rPr>
      </w:pPr>
    </w:p>
    <w:p w14:paraId="4A9B8D8E">
      <w:pPr>
        <w:snapToGrid w:val="0"/>
        <w:spacing w:line="300" w:lineRule="auto"/>
        <w:outlineLvl w:val="0"/>
        <w:rPr>
          <w:rFonts w:hint="eastAsia" w:ascii="宋体" w:hAnsi="宋体" w:eastAsia="宋体" w:cs="宋体"/>
          <w:color w:val="auto"/>
          <w:sz w:val="28"/>
          <w:szCs w:val="28"/>
          <w:highlight w:val="none"/>
        </w:rPr>
      </w:pPr>
    </w:p>
    <w:p w14:paraId="11DC5BA1">
      <w:pPr>
        <w:snapToGrid w:val="0"/>
        <w:spacing w:line="300" w:lineRule="auto"/>
        <w:outlineLvl w:val="0"/>
        <w:rPr>
          <w:rFonts w:hint="eastAsia" w:ascii="宋体" w:hAnsi="宋体" w:eastAsia="宋体" w:cs="宋体"/>
          <w:color w:val="auto"/>
          <w:sz w:val="28"/>
          <w:szCs w:val="28"/>
          <w:highlight w:val="none"/>
        </w:rPr>
      </w:pPr>
    </w:p>
    <w:p w14:paraId="168E9BBE">
      <w:pPr>
        <w:rPr>
          <w:rFonts w:hint="eastAsia" w:ascii="宋体" w:hAnsi="宋体" w:eastAsia="宋体" w:cs="宋体"/>
          <w:bCs/>
          <w:color w:val="auto"/>
          <w:sz w:val="32"/>
          <w:szCs w:val="32"/>
          <w:highlight w:val="none"/>
          <w:lang w:eastAsia="zh-CN" w:bidi="ar"/>
        </w:rPr>
      </w:pPr>
      <w:r>
        <w:rPr>
          <w:rFonts w:hint="eastAsia" w:ascii="宋体" w:hAnsi="宋体" w:eastAsia="宋体" w:cs="宋体"/>
          <w:bCs/>
          <w:color w:val="auto"/>
          <w:sz w:val="32"/>
          <w:szCs w:val="32"/>
          <w:highlight w:val="none"/>
          <w:lang w:bidi="ar"/>
        </w:rPr>
        <w:t>附件1</w:t>
      </w:r>
      <w:r>
        <w:rPr>
          <w:rFonts w:hint="eastAsia" w:ascii="宋体" w:hAnsi="宋体" w:cs="宋体"/>
          <w:bCs/>
          <w:color w:val="auto"/>
          <w:sz w:val="32"/>
          <w:szCs w:val="32"/>
          <w:highlight w:val="none"/>
          <w:lang w:val="en-US" w:eastAsia="zh-CN" w:bidi="ar"/>
        </w:rPr>
        <w:t>2</w:t>
      </w:r>
    </w:p>
    <w:p w14:paraId="3BBF6DD2">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质疑函范本</w:t>
      </w:r>
    </w:p>
    <w:p w14:paraId="5542F780">
      <w:pPr>
        <w:adjustRightInd w:val="0"/>
        <w:snapToGrid w:val="0"/>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一、质疑供应商基本信息</w:t>
      </w:r>
    </w:p>
    <w:p w14:paraId="14F75C36">
      <w:pPr>
        <w:adjustRightInd w:val="0"/>
        <w:snapToGrid w:val="0"/>
        <w:spacing w:line="560" w:lineRule="exact"/>
        <w:rPr>
          <w:rFonts w:hint="eastAsia" w:ascii="宋体" w:hAnsi="宋体" w:eastAsia="宋体" w:cs="宋体"/>
          <w:color w:val="auto"/>
          <w:sz w:val="32"/>
          <w:szCs w:val="32"/>
          <w:highlight w:val="none"/>
          <w:u w:val="dotted"/>
        </w:rPr>
      </w:pPr>
      <w:r>
        <w:rPr>
          <w:rFonts w:hint="eastAsia" w:ascii="宋体" w:hAnsi="宋体" w:eastAsia="宋体" w:cs="宋体"/>
          <w:color w:val="auto"/>
          <w:sz w:val="32"/>
          <w:szCs w:val="32"/>
          <w:highlight w:val="none"/>
        </w:rPr>
        <w:t>质疑供应商：</w:t>
      </w:r>
    </w:p>
    <w:p w14:paraId="6380BE52">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地址：邮编：</w:t>
      </w:r>
    </w:p>
    <w:p w14:paraId="1A65DC4A">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联系人：联系电话：</w:t>
      </w:r>
    </w:p>
    <w:p w14:paraId="4F8499EC">
      <w:pPr>
        <w:adjustRightInd w:val="0"/>
        <w:snapToGrid w:val="0"/>
        <w:spacing w:line="560" w:lineRule="exact"/>
        <w:rPr>
          <w:rFonts w:hint="eastAsia" w:ascii="宋体" w:hAnsi="宋体" w:eastAsia="宋体" w:cs="宋体"/>
          <w:color w:val="auto"/>
          <w:sz w:val="32"/>
          <w:szCs w:val="32"/>
          <w:highlight w:val="none"/>
          <w:u w:val="dotted"/>
        </w:rPr>
      </w:pPr>
      <w:r>
        <w:rPr>
          <w:rFonts w:hint="eastAsia" w:ascii="宋体" w:hAnsi="宋体" w:eastAsia="宋体" w:cs="宋体"/>
          <w:color w:val="auto"/>
          <w:sz w:val="32"/>
          <w:szCs w:val="32"/>
          <w:highlight w:val="none"/>
        </w:rPr>
        <w:t>授权代表：</w:t>
      </w:r>
    </w:p>
    <w:p w14:paraId="47CDF3A1">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联系电话：</w:t>
      </w:r>
    </w:p>
    <w:p w14:paraId="349AFA90">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地址：邮编：</w:t>
      </w:r>
    </w:p>
    <w:p w14:paraId="52C360BD">
      <w:pPr>
        <w:adjustRightInd w:val="0"/>
        <w:snapToGrid w:val="0"/>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二、质疑项目基本情况</w:t>
      </w:r>
    </w:p>
    <w:p w14:paraId="4110AA3E">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质疑项目的名称：</w:t>
      </w:r>
    </w:p>
    <w:p w14:paraId="64BDFC1C">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质疑项目的编号：包号：</w:t>
      </w:r>
    </w:p>
    <w:p w14:paraId="29CB7119">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采购人名称：</w:t>
      </w:r>
    </w:p>
    <w:p w14:paraId="17002CC7">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采购文件获取日期：</w:t>
      </w:r>
    </w:p>
    <w:p w14:paraId="7788AC31">
      <w:pPr>
        <w:adjustRightInd w:val="0"/>
        <w:snapToGrid w:val="0"/>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三、质疑事项具体内容</w:t>
      </w:r>
    </w:p>
    <w:p w14:paraId="320959F6">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质疑事项1：</w:t>
      </w:r>
    </w:p>
    <w:p w14:paraId="0DAB35EE">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事实依据：</w:t>
      </w:r>
    </w:p>
    <w:p w14:paraId="39AA913F">
      <w:pPr>
        <w:adjustRightInd w:val="0"/>
        <w:snapToGrid w:val="0"/>
        <w:spacing w:line="560" w:lineRule="exact"/>
        <w:rPr>
          <w:rFonts w:hint="eastAsia" w:ascii="宋体" w:hAnsi="宋体" w:eastAsia="宋体" w:cs="宋体"/>
          <w:color w:val="auto"/>
          <w:sz w:val="32"/>
          <w:szCs w:val="32"/>
          <w:highlight w:val="none"/>
        </w:rPr>
      </w:pPr>
    </w:p>
    <w:p w14:paraId="5CF3E856">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法律依据：</w:t>
      </w:r>
    </w:p>
    <w:p w14:paraId="42014CA2">
      <w:pPr>
        <w:adjustRightInd w:val="0"/>
        <w:snapToGrid w:val="0"/>
        <w:spacing w:line="560" w:lineRule="exact"/>
        <w:rPr>
          <w:rFonts w:hint="eastAsia" w:ascii="宋体" w:hAnsi="宋体" w:eastAsia="宋体" w:cs="宋体"/>
          <w:color w:val="auto"/>
          <w:sz w:val="32"/>
          <w:szCs w:val="32"/>
          <w:highlight w:val="none"/>
        </w:rPr>
      </w:pPr>
    </w:p>
    <w:p w14:paraId="6BCB0576">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质疑事项2</w:t>
      </w:r>
    </w:p>
    <w:p w14:paraId="40A7E01E">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w:t>
      </w:r>
    </w:p>
    <w:p w14:paraId="5F5C1A3C">
      <w:pPr>
        <w:adjustRightInd w:val="0"/>
        <w:snapToGrid w:val="0"/>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四、与质疑事项相关的质疑请求</w:t>
      </w:r>
    </w:p>
    <w:p w14:paraId="4DADEA65">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请求：</w:t>
      </w:r>
    </w:p>
    <w:p w14:paraId="207C3B20">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签字（签章）：                   公章：                      </w:t>
      </w:r>
    </w:p>
    <w:p w14:paraId="16357345">
      <w:pPr>
        <w:adjustRightInd w:val="0"/>
        <w:snapToGrid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日期：</w:t>
      </w:r>
    </w:p>
    <w:p w14:paraId="0D4EA699">
      <w:pPr>
        <w:spacing w:line="560" w:lineRule="exact"/>
        <w:rPr>
          <w:rFonts w:hint="eastAsia" w:ascii="宋体" w:hAnsi="宋体" w:eastAsia="宋体" w:cs="宋体"/>
          <w:b/>
          <w:color w:val="auto"/>
          <w:sz w:val="32"/>
          <w:szCs w:val="32"/>
          <w:highlight w:val="none"/>
        </w:rPr>
      </w:pPr>
    </w:p>
    <w:p w14:paraId="2C4F54DC">
      <w:pPr>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质疑函制作说明：</w:t>
      </w:r>
    </w:p>
    <w:p w14:paraId="0F3E2CDA">
      <w:pPr>
        <w:adjustRightInd w:val="0"/>
        <w:snapToGrid w:val="0"/>
        <w:spacing w:line="560" w:lineRule="exact"/>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1.供应商提出质疑时，应提交质疑函和必要的证明材料。</w:t>
      </w:r>
    </w:p>
    <w:p w14:paraId="40BE8B35">
      <w:pPr>
        <w:adjustRightInd w:val="0"/>
        <w:snapToGrid w:val="0"/>
        <w:spacing w:line="560" w:lineRule="exact"/>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3D611C9">
      <w:pPr>
        <w:adjustRightInd w:val="0"/>
        <w:snapToGrid w:val="0"/>
        <w:spacing w:line="560" w:lineRule="exact"/>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3.质疑供应商若对项目的某一分包进行质疑，质疑函中应列明具体分包号。</w:t>
      </w:r>
    </w:p>
    <w:p w14:paraId="54DD82F5">
      <w:pPr>
        <w:adjustRightInd w:val="0"/>
        <w:snapToGrid w:val="0"/>
        <w:spacing w:line="560" w:lineRule="exact"/>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4.质疑函的质疑事项应具体、明确，并有必要的事实依据和法律依据。</w:t>
      </w:r>
    </w:p>
    <w:p w14:paraId="16BB2E94">
      <w:pPr>
        <w:adjustRightInd w:val="0"/>
        <w:snapToGrid w:val="0"/>
        <w:spacing w:line="560" w:lineRule="exact"/>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5.质疑函的质疑请求应与质疑事项相关。</w:t>
      </w:r>
    </w:p>
    <w:p w14:paraId="5BD4F63B">
      <w:pPr>
        <w:adjustRightInd w:val="0"/>
        <w:snapToGrid w:val="0"/>
        <w:spacing w:line="560" w:lineRule="exact"/>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3364AD5B">
      <w:pPr>
        <w:rPr>
          <w:rFonts w:hint="eastAsia" w:ascii="宋体" w:hAnsi="宋体" w:eastAsia="宋体" w:cs="宋体"/>
          <w:color w:val="auto"/>
          <w:highlight w:val="none"/>
        </w:rPr>
      </w:pPr>
    </w:p>
    <w:sectPr>
      <w:headerReference r:id="rId3" w:type="default"/>
      <w:footerReference r:id="rId4" w:type="default"/>
      <w:pgSz w:w="11906" w:h="16838"/>
      <w:pgMar w:top="1587" w:right="1474" w:bottom="1587"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3000509000000000000"/>
    <w:charset w:val="86"/>
    <w:family w:val="script"/>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41737">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567B65">
                          <w:pPr>
                            <w:pStyle w:val="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vpdE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K+l0TICAABjBAAADgAAAAAAAAABACAAAAAfAQAAZHJzL2Uyb0RvYy54bWxQSwUG&#10;AAAAAAYABgBZAQAAwwUAAAAA&#10;">
              <v:fill on="f" focussize="0,0"/>
              <v:stroke on="f" weight="0.5pt"/>
              <v:imagedata o:title=""/>
              <o:lock v:ext="edit" aspectratio="f"/>
              <v:textbox inset="0mm,0mm,0mm,0mm" style="mso-fit-shape-to-text:t;">
                <w:txbxContent>
                  <w:p w14:paraId="31567B65">
                    <w:pPr>
                      <w:pStyle w:val="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EB338">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D7D00D"/>
    <w:multiLevelType w:val="singleLevel"/>
    <w:tmpl w:val="15D7D00D"/>
    <w:lvl w:ilvl="0" w:tentative="0">
      <w:start w:val="3"/>
      <w:numFmt w:val="chineseCounting"/>
      <w:suff w:val="nothing"/>
      <w:lvlText w:val="%1、"/>
      <w:lvlJc w:val="left"/>
      <w:rPr>
        <w:rFonts w:hint="eastAsia"/>
      </w:rPr>
    </w:lvl>
  </w:abstractNum>
  <w:abstractNum w:abstractNumId="1">
    <w:nsid w:val="2687F0B7"/>
    <w:multiLevelType w:val="singleLevel"/>
    <w:tmpl w:val="2687F0B7"/>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mM2Y2ZjUzMWFiMDA4YTE5NTRlOWE0YTEzYzEzZTMifQ=="/>
  </w:docVars>
  <w:rsids>
    <w:rsidRoot w:val="00000000"/>
    <w:rsid w:val="003F5F2A"/>
    <w:rsid w:val="00497925"/>
    <w:rsid w:val="00B80488"/>
    <w:rsid w:val="00C30909"/>
    <w:rsid w:val="00E73BDD"/>
    <w:rsid w:val="01047348"/>
    <w:rsid w:val="01264E30"/>
    <w:rsid w:val="01687703"/>
    <w:rsid w:val="0193608E"/>
    <w:rsid w:val="02171046"/>
    <w:rsid w:val="02492960"/>
    <w:rsid w:val="0260162D"/>
    <w:rsid w:val="029F0F02"/>
    <w:rsid w:val="029F59C9"/>
    <w:rsid w:val="02B524D4"/>
    <w:rsid w:val="02CE0BE8"/>
    <w:rsid w:val="030900E5"/>
    <w:rsid w:val="033D6952"/>
    <w:rsid w:val="033F0D61"/>
    <w:rsid w:val="035F033E"/>
    <w:rsid w:val="03AC1B29"/>
    <w:rsid w:val="03BE185C"/>
    <w:rsid w:val="03F1316B"/>
    <w:rsid w:val="03F82FC0"/>
    <w:rsid w:val="0438160E"/>
    <w:rsid w:val="04561A95"/>
    <w:rsid w:val="0466617C"/>
    <w:rsid w:val="048B1950"/>
    <w:rsid w:val="04AD3DAA"/>
    <w:rsid w:val="04C9670A"/>
    <w:rsid w:val="04EA6DAD"/>
    <w:rsid w:val="05104339"/>
    <w:rsid w:val="059862EA"/>
    <w:rsid w:val="05A67081"/>
    <w:rsid w:val="05DE11B6"/>
    <w:rsid w:val="06471FDD"/>
    <w:rsid w:val="067B1C86"/>
    <w:rsid w:val="06A61959"/>
    <w:rsid w:val="072B1256"/>
    <w:rsid w:val="073A55AE"/>
    <w:rsid w:val="08B76992"/>
    <w:rsid w:val="08B80F70"/>
    <w:rsid w:val="08F16230"/>
    <w:rsid w:val="08FF094D"/>
    <w:rsid w:val="091F1FD9"/>
    <w:rsid w:val="09212671"/>
    <w:rsid w:val="09522419"/>
    <w:rsid w:val="0994437F"/>
    <w:rsid w:val="09B2326B"/>
    <w:rsid w:val="0A0A75A9"/>
    <w:rsid w:val="0A4505E1"/>
    <w:rsid w:val="0A7563A2"/>
    <w:rsid w:val="0AA7349E"/>
    <w:rsid w:val="0AB6328D"/>
    <w:rsid w:val="0B287720"/>
    <w:rsid w:val="0B5F56D3"/>
    <w:rsid w:val="0B705B32"/>
    <w:rsid w:val="0B8E5FB8"/>
    <w:rsid w:val="0B995A3F"/>
    <w:rsid w:val="0BBD4B95"/>
    <w:rsid w:val="0BEB340A"/>
    <w:rsid w:val="0C083FBC"/>
    <w:rsid w:val="0C8F4BAA"/>
    <w:rsid w:val="0CB47FB1"/>
    <w:rsid w:val="0CC021A1"/>
    <w:rsid w:val="0CFA2544"/>
    <w:rsid w:val="0D183D8B"/>
    <w:rsid w:val="0D3112F1"/>
    <w:rsid w:val="0D376BF8"/>
    <w:rsid w:val="0D3F756A"/>
    <w:rsid w:val="0D941440"/>
    <w:rsid w:val="0E4B0190"/>
    <w:rsid w:val="0E977006"/>
    <w:rsid w:val="0EBD2E3C"/>
    <w:rsid w:val="0EC73CBB"/>
    <w:rsid w:val="0ECC3D51"/>
    <w:rsid w:val="0EDA4F26"/>
    <w:rsid w:val="0EDF1DD1"/>
    <w:rsid w:val="0F0C2D0F"/>
    <w:rsid w:val="0F136F00"/>
    <w:rsid w:val="0F3A17D8"/>
    <w:rsid w:val="0F3B5E7E"/>
    <w:rsid w:val="0F753717"/>
    <w:rsid w:val="0F9F39DA"/>
    <w:rsid w:val="0FA551A3"/>
    <w:rsid w:val="0FDA682E"/>
    <w:rsid w:val="10374E70"/>
    <w:rsid w:val="108C6F6A"/>
    <w:rsid w:val="10947BCD"/>
    <w:rsid w:val="10B4201D"/>
    <w:rsid w:val="11164A85"/>
    <w:rsid w:val="115F6B73"/>
    <w:rsid w:val="120D40DA"/>
    <w:rsid w:val="128D0E5D"/>
    <w:rsid w:val="12902616"/>
    <w:rsid w:val="12936287"/>
    <w:rsid w:val="1300779B"/>
    <w:rsid w:val="1319085D"/>
    <w:rsid w:val="132A027E"/>
    <w:rsid w:val="13346AFF"/>
    <w:rsid w:val="135763B5"/>
    <w:rsid w:val="13AA29D5"/>
    <w:rsid w:val="13CC3B21"/>
    <w:rsid w:val="13D7181C"/>
    <w:rsid w:val="14221E65"/>
    <w:rsid w:val="14AA3E63"/>
    <w:rsid w:val="14B06F9F"/>
    <w:rsid w:val="14D90E7B"/>
    <w:rsid w:val="14F7697C"/>
    <w:rsid w:val="15051099"/>
    <w:rsid w:val="15D626E8"/>
    <w:rsid w:val="15E11B06"/>
    <w:rsid w:val="15F34711"/>
    <w:rsid w:val="169C5A2D"/>
    <w:rsid w:val="16C266D3"/>
    <w:rsid w:val="16D76A65"/>
    <w:rsid w:val="16F5513D"/>
    <w:rsid w:val="17132548"/>
    <w:rsid w:val="17377504"/>
    <w:rsid w:val="17626C76"/>
    <w:rsid w:val="1771514A"/>
    <w:rsid w:val="177859FE"/>
    <w:rsid w:val="17DD5F80"/>
    <w:rsid w:val="1807337A"/>
    <w:rsid w:val="18187335"/>
    <w:rsid w:val="1835081E"/>
    <w:rsid w:val="183D3240"/>
    <w:rsid w:val="1901384A"/>
    <w:rsid w:val="19067B34"/>
    <w:rsid w:val="192166BD"/>
    <w:rsid w:val="192C6D8F"/>
    <w:rsid w:val="19782558"/>
    <w:rsid w:val="1A0E5A2C"/>
    <w:rsid w:val="1AA347F2"/>
    <w:rsid w:val="1AB1049E"/>
    <w:rsid w:val="1B6E0C25"/>
    <w:rsid w:val="1B720792"/>
    <w:rsid w:val="1B757F15"/>
    <w:rsid w:val="1B7900EB"/>
    <w:rsid w:val="1B7927E1"/>
    <w:rsid w:val="1B9B50E0"/>
    <w:rsid w:val="1BA97566"/>
    <w:rsid w:val="1BCF41AF"/>
    <w:rsid w:val="1BD01CD5"/>
    <w:rsid w:val="1BDB32D5"/>
    <w:rsid w:val="1BFD51C0"/>
    <w:rsid w:val="1C006382"/>
    <w:rsid w:val="1C0521F4"/>
    <w:rsid w:val="1C3A155D"/>
    <w:rsid w:val="1C837C6F"/>
    <w:rsid w:val="1C8B457A"/>
    <w:rsid w:val="1CD970E6"/>
    <w:rsid w:val="1D13456F"/>
    <w:rsid w:val="1D65301C"/>
    <w:rsid w:val="1D6E705F"/>
    <w:rsid w:val="1D7F1C04"/>
    <w:rsid w:val="1D952165"/>
    <w:rsid w:val="1DB418AE"/>
    <w:rsid w:val="1DEB1048"/>
    <w:rsid w:val="1E2307E2"/>
    <w:rsid w:val="1E620680"/>
    <w:rsid w:val="1E7D4396"/>
    <w:rsid w:val="1EA96789"/>
    <w:rsid w:val="1EDE327D"/>
    <w:rsid w:val="1EE52BF7"/>
    <w:rsid w:val="1EE75CB3"/>
    <w:rsid w:val="1EF108E0"/>
    <w:rsid w:val="1F28557B"/>
    <w:rsid w:val="1F3152D9"/>
    <w:rsid w:val="1F5F1CED"/>
    <w:rsid w:val="1F833C2E"/>
    <w:rsid w:val="1F861028"/>
    <w:rsid w:val="1FD47FE6"/>
    <w:rsid w:val="1FD71884"/>
    <w:rsid w:val="1FF73CD4"/>
    <w:rsid w:val="201725C8"/>
    <w:rsid w:val="20232D1B"/>
    <w:rsid w:val="206F7D0E"/>
    <w:rsid w:val="207D067D"/>
    <w:rsid w:val="20A0611A"/>
    <w:rsid w:val="20AE4CDA"/>
    <w:rsid w:val="21274A8D"/>
    <w:rsid w:val="21635A55"/>
    <w:rsid w:val="216C53BD"/>
    <w:rsid w:val="21D40771"/>
    <w:rsid w:val="21EF7359"/>
    <w:rsid w:val="22055993"/>
    <w:rsid w:val="223F26EB"/>
    <w:rsid w:val="22505B59"/>
    <w:rsid w:val="22E407FC"/>
    <w:rsid w:val="22F23E66"/>
    <w:rsid w:val="23332C5A"/>
    <w:rsid w:val="23337719"/>
    <w:rsid w:val="2372445F"/>
    <w:rsid w:val="2392443F"/>
    <w:rsid w:val="23A10B26"/>
    <w:rsid w:val="23AC4119"/>
    <w:rsid w:val="23B56380"/>
    <w:rsid w:val="24044C11"/>
    <w:rsid w:val="241430A6"/>
    <w:rsid w:val="242157C3"/>
    <w:rsid w:val="24AA0E98"/>
    <w:rsid w:val="24AB32DF"/>
    <w:rsid w:val="24C75E0E"/>
    <w:rsid w:val="24D64276"/>
    <w:rsid w:val="251A2FD5"/>
    <w:rsid w:val="25A93CC2"/>
    <w:rsid w:val="25B14925"/>
    <w:rsid w:val="25CE54D7"/>
    <w:rsid w:val="25F71D07"/>
    <w:rsid w:val="267166CF"/>
    <w:rsid w:val="26AF5308"/>
    <w:rsid w:val="26C6152B"/>
    <w:rsid w:val="26DD00C8"/>
    <w:rsid w:val="26EF3957"/>
    <w:rsid w:val="271225F6"/>
    <w:rsid w:val="277C0DF4"/>
    <w:rsid w:val="27856069"/>
    <w:rsid w:val="283E4B96"/>
    <w:rsid w:val="28513664"/>
    <w:rsid w:val="286A5ACE"/>
    <w:rsid w:val="288121CB"/>
    <w:rsid w:val="28A86680"/>
    <w:rsid w:val="29346D88"/>
    <w:rsid w:val="29810EE0"/>
    <w:rsid w:val="29C32DCD"/>
    <w:rsid w:val="2A3409E1"/>
    <w:rsid w:val="2A502FEB"/>
    <w:rsid w:val="2A5A558B"/>
    <w:rsid w:val="2A77438F"/>
    <w:rsid w:val="2A947571"/>
    <w:rsid w:val="2AA00F26"/>
    <w:rsid w:val="2AA32D53"/>
    <w:rsid w:val="2B1D5CB1"/>
    <w:rsid w:val="2B2621F8"/>
    <w:rsid w:val="2B4F105E"/>
    <w:rsid w:val="2BBB02AC"/>
    <w:rsid w:val="2BC87D42"/>
    <w:rsid w:val="2BD838C4"/>
    <w:rsid w:val="2BF65788"/>
    <w:rsid w:val="2C414C55"/>
    <w:rsid w:val="2C58536B"/>
    <w:rsid w:val="2C802A45"/>
    <w:rsid w:val="2C9352FA"/>
    <w:rsid w:val="2D157E8F"/>
    <w:rsid w:val="2D2B1461"/>
    <w:rsid w:val="2D614E83"/>
    <w:rsid w:val="2D766499"/>
    <w:rsid w:val="2D8B1E85"/>
    <w:rsid w:val="2D9E2C1D"/>
    <w:rsid w:val="2DBD6B7D"/>
    <w:rsid w:val="2DF951A5"/>
    <w:rsid w:val="2E204D3E"/>
    <w:rsid w:val="2E32771A"/>
    <w:rsid w:val="2E74240E"/>
    <w:rsid w:val="2E7D67C8"/>
    <w:rsid w:val="2E876B6B"/>
    <w:rsid w:val="2ED51684"/>
    <w:rsid w:val="2EDC0415"/>
    <w:rsid w:val="2F601658"/>
    <w:rsid w:val="2F7C41F6"/>
    <w:rsid w:val="2FBB23E2"/>
    <w:rsid w:val="2FBE036A"/>
    <w:rsid w:val="2FD7142C"/>
    <w:rsid w:val="3005243D"/>
    <w:rsid w:val="3023122B"/>
    <w:rsid w:val="30395C43"/>
    <w:rsid w:val="303E14AB"/>
    <w:rsid w:val="303E1ECD"/>
    <w:rsid w:val="30601421"/>
    <w:rsid w:val="314E2622"/>
    <w:rsid w:val="31BF7FBF"/>
    <w:rsid w:val="31E00A6C"/>
    <w:rsid w:val="31E53BD8"/>
    <w:rsid w:val="320B318A"/>
    <w:rsid w:val="32270449"/>
    <w:rsid w:val="3227588C"/>
    <w:rsid w:val="325377D5"/>
    <w:rsid w:val="325A6A70"/>
    <w:rsid w:val="32764F2C"/>
    <w:rsid w:val="328062C5"/>
    <w:rsid w:val="32807ECA"/>
    <w:rsid w:val="32957AA8"/>
    <w:rsid w:val="32B819E9"/>
    <w:rsid w:val="33970A31"/>
    <w:rsid w:val="33D0142A"/>
    <w:rsid w:val="33DC1707"/>
    <w:rsid w:val="33EA2B55"/>
    <w:rsid w:val="34862EBD"/>
    <w:rsid w:val="34F423E1"/>
    <w:rsid w:val="35034157"/>
    <w:rsid w:val="353C245D"/>
    <w:rsid w:val="35C366DA"/>
    <w:rsid w:val="35E6061B"/>
    <w:rsid w:val="362058DB"/>
    <w:rsid w:val="365D08DD"/>
    <w:rsid w:val="366479D3"/>
    <w:rsid w:val="367B6FB5"/>
    <w:rsid w:val="36933FF0"/>
    <w:rsid w:val="3709636F"/>
    <w:rsid w:val="371011BA"/>
    <w:rsid w:val="371735F5"/>
    <w:rsid w:val="371D6973"/>
    <w:rsid w:val="37231123"/>
    <w:rsid w:val="37351114"/>
    <w:rsid w:val="37494A0F"/>
    <w:rsid w:val="377422AD"/>
    <w:rsid w:val="383F0A8C"/>
    <w:rsid w:val="3851621F"/>
    <w:rsid w:val="38720E46"/>
    <w:rsid w:val="38886367"/>
    <w:rsid w:val="389D4459"/>
    <w:rsid w:val="39303F10"/>
    <w:rsid w:val="39533B20"/>
    <w:rsid w:val="3971644D"/>
    <w:rsid w:val="398913B0"/>
    <w:rsid w:val="39BF365D"/>
    <w:rsid w:val="39C91242"/>
    <w:rsid w:val="39DF5C78"/>
    <w:rsid w:val="3A5D3099"/>
    <w:rsid w:val="3A78307D"/>
    <w:rsid w:val="3AAD5BAB"/>
    <w:rsid w:val="3AB331C1"/>
    <w:rsid w:val="3B3360B0"/>
    <w:rsid w:val="3B683700"/>
    <w:rsid w:val="3BBF7944"/>
    <w:rsid w:val="3BD808F5"/>
    <w:rsid w:val="3C1E64FE"/>
    <w:rsid w:val="3C74072E"/>
    <w:rsid w:val="3CBA0619"/>
    <w:rsid w:val="3D4F4ED5"/>
    <w:rsid w:val="3D540B55"/>
    <w:rsid w:val="3D7F382F"/>
    <w:rsid w:val="3D8F15CC"/>
    <w:rsid w:val="3E1F46CA"/>
    <w:rsid w:val="3E2609B2"/>
    <w:rsid w:val="3E2D2E4F"/>
    <w:rsid w:val="3E495BEB"/>
    <w:rsid w:val="3E506F79"/>
    <w:rsid w:val="3E6D3687"/>
    <w:rsid w:val="3E9D33F3"/>
    <w:rsid w:val="3ECC2B23"/>
    <w:rsid w:val="3EEC5577"/>
    <w:rsid w:val="3F0F1F60"/>
    <w:rsid w:val="3F141D55"/>
    <w:rsid w:val="3F8D5475"/>
    <w:rsid w:val="3F9878B7"/>
    <w:rsid w:val="3FEB576A"/>
    <w:rsid w:val="400159AA"/>
    <w:rsid w:val="40077B0C"/>
    <w:rsid w:val="404A2495"/>
    <w:rsid w:val="40A43FE1"/>
    <w:rsid w:val="40A8263E"/>
    <w:rsid w:val="40D45C40"/>
    <w:rsid w:val="416C231C"/>
    <w:rsid w:val="42A41642"/>
    <w:rsid w:val="42F06635"/>
    <w:rsid w:val="43140575"/>
    <w:rsid w:val="431B5DA8"/>
    <w:rsid w:val="43402C00"/>
    <w:rsid w:val="43737FC8"/>
    <w:rsid w:val="43750F2B"/>
    <w:rsid w:val="43A80D64"/>
    <w:rsid w:val="43B503B6"/>
    <w:rsid w:val="43BD0C0D"/>
    <w:rsid w:val="4476700E"/>
    <w:rsid w:val="44AE49FA"/>
    <w:rsid w:val="44C26352"/>
    <w:rsid w:val="44F3461D"/>
    <w:rsid w:val="45107462"/>
    <w:rsid w:val="452E1696"/>
    <w:rsid w:val="45BD3146"/>
    <w:rsid w:val="45EE77A4"/>
    <w:rsid w:val="46052D96"/>
    <w:rsid w:val="462F1B6A"/>
    <w:rsid w:val="465F649C"/>
    <w:rsid w:val="467908C2"/>
    <w:rsid w:val="46AB11C4"/>
    <w:rsid w:val="46C817BC"/>
    <w:rsid w:val="47046B53"/>
    <w:rsid w:val="47053747"/>
    <w:rsid w:val="47272655"/>
    <w:rsid w:val="4734067A"/>
    <w:rsid w:val="475353E4"/>
    <w:rsid w:val="47555600"/>
    <w:rsid w:val="48223734"/>
    <w:rsid w:val="482336B0"/>
    <w:rsid w:val="48645AFB"/>
    <w:rsid w:val="48926DDF"/>
    <w:rsid w:val="48E873F3"/>
    <w:rsid w:val="48F76DB1"/>
    <w:rsid w:val="4908232A"/>
    <w:rsid w:val="490964A8"/>
    <w:rsid w:val="491375F4"/>
    <w:rsid w:val="492E6511"/>
    <w:rsid w:val="496E6505"/>
    <w:rsid w:val="49A64783"/>
    <w:rsid w:val="49E2660C"/>
    <w:rsid w:val="4A2C6777"/>
    <w:rsid w:val="4A325785"/>
    <w:rsid w:val="4A33198F"/>
    <w:rsid w:val="4A527BD5"/>
    <w:rsid w:val="4A8C758B"/>
    <w:rsid w:val="4A904810"/>
    <w:rsid w:val="4AE4170E"/>
    <w:rsid w:val="4AFB0FDE"/>
    <w:rsid w:val="4B4E0E48"/>
    <w:rsid w:val="4B5856BF"/>
    <w:rsid w:val="4B736055"/>
    <w:rsid w:val="4BA075DF"/>
    <w:rsid w:val="4BAC7DF0"/>
    <w:rsid w:val="4BB40B47"/>
    <w:rsid w:val="4BB943B0"/>
    <w:rsid w:val="4BD454DE"/>
    <w:rsid w:val="4BD50ABE"/>
    <w:rsid w:val="4BE54178"/>
    <w:rsid w:val="4C0849EF"/>
    <w:rsid w:val="4C1E2465"/>
    <w:rsid w:val="4C2C7C0F"/>
    <w:rsid w:val="4C404189"/>
    <w:rsid w:val="4C7107E7"/>
    <w:rsid w:val="4C9B300F"/>
    <w:rsid w:val="4CD83CBF"/>
    <w:rsid w:val="4D3F08E5"/>
    <w:rsid w:val="4D722E4B"/>
    <w:rsid w:val="4D9D31D6"/>
    <w:rsid w:val="4DB029E1"/>
    <w:rsid w:val="4DC94652"/>
    <w:rsid w:val="4DD02869"/>
    <w:rsid w:val="4E946A0E"/>
    <w:rsid w:val="4EC7492C"/>
    <w:rsid w:val="4F5A1A06"/>
    <w:rsid w:val="4F766114"/>
    <w:rsid w:val="4F775585"/>
    <w:rsid w:val="4F7B372A"/>
    <w:rsid w:val="4FA67FAB"/>
    <w:rsid w:val="4FDC039B"/>
    <w:rsid w:val="509C5001"/>
    <w:rsid w:val="50A76ECD"/>
    <w:rsid w:val="50D852D8"/>
    <w:rsid w:val="516B61BA"/>
    <w:rsid w:val="51DD06CC"/>
    <w:rsid w:val="523302EC"/>
    <w:rsid w:val="52AC651B"/>
    <w:rsid w:val="52B52503"/>
    <w:rsid w:val="52E635B0"/>
    <w:rsid w:val="53227109"/>
    <w:rsid w:val="53656BCB"/>
    <w:rsid w:val="537700C9"/>
    <w:rsid w:val="53B139D4"/>
    <w:rsid w:val="53CF08F5"/>
    <w:rsid w:val="53D1718B"/>
    <w:rsid w:val="54360404"/>
    <w:rsid w:val="54596122"/>
    <w:rsid w:val="545A24A8"/>
    <w:rsid w:val="548206FA"/>
    <w:rsid w:val="54A0435F"/>
    <w:rsid w:val="554271C4"/>
    <w:rsid w:val="555A35CD"/>
    <w:rsid w:val="55850E00"/>
    <w:rsid w:val="55D93ED6"/>
    <w:rsid w:val="55F1520B"/>
    <w:rsid w:val="56063802"/>
    <w:rsid w:val="561F5757"/>
    <w:rsid w:val="564451BE"/>
    <w:rsid w:val="56941CA1"/>
    <w:rsid w:val="56B55774"/>
    <w:rsid w:val="56D06587"/>
    <w:rsid w:val="56D848CE"/>
    <w:rsid w:val="571B7CCD"/>
    <w:rsid w:val="57460AC2"/>
    <w:rsid w:val="575925A3"/>
    <w:rsid w:val="5794182D"/>
    <w:rsid w:val="57A57489"/>
    <w:rsid w:val="57E5652D"/>
    <w:rsid w:val="57F8000E"/>
    <w:rsid w:val="583131A9"/>
    <w:rsid w:val="58B4667A"/>
    <w:rsid w:val="592B4413"/>
    <w:rsid w:val="59466C53"/>
    <w:rsid w:val="59831D02"/>
    <w:rsid w:val="59CC1752"/>
    <w:rsid w:val="59D95C1D"/>
    <w:rsid w:val="59DD74BB"/>
    <w:rsid w:val="59E04396"/>
    <w:rsid w:val="5A13112F"/>
    <w:rsid w:val="5A225816"/>
    <w:rsid w:val="5AC266B1"/>
    <w:rsid w:val="5AC47BAD"/>
    <w:rsid w:val="5AD308BE"/>
    <w:rsid w:val="5ADE19DB"/>
    <w:rsid w:val="5AF0321E"/>
    <w:rsid w:val="5B291573"/>
    <w:rsid w:val="5B3752E3"/>
    <w:rsid w:val="5B700045"/>
    <w:rsid w:val="5B7C0F56"/>
    <w:rsid w:val="5B963ABA"/>
    <w:rsid w:val="5BBB1A7E"/>
    <w:rsid w:val="5BD2531D"/>
    <w:rsid w:val="5BEE28A9"/>
    <w:rsid w:val="5BFE26BB"/>
    <w:rsid w:val="5C4C26D6"/>
    <w:rsid w:val="5CA249EC"/>
    <w:rsid w:val="5CCA40B3"/>
    <w:rsid w:val="5CF76AE6"/>
    <w:rsid w:val="5D153EC6"/>
    <w:rsid w:val="5D535CE6"/>
    <w:rsid w:val="5D537A94"/>
    <w:rsid w:val="5D665A1A"/>
    <w:rsid w:val="5D9702C9"/>
    <w:rsid w:val="5DC80482"/>
    <w:rsid w:val="5DF21F7F"/>
    <w:rsid w:val="5DF57C00"/>
    <w:rsid w:val="5E0D40E7"/>
    <w:rsid w:val="5E1E4546"/>
    <w:rsid w:val="5EBF2EA6"/>
    <w:rsid w:val="5F1C6CD8"/>
    <w:rsid w:val="5FAF18FA"/>
    <w:rsid w:val="5FD51EC0"/>
    <w:rsid w:val="60771860"/>
    <w:rsid w:val="608508AD"/>
    <w:rsid w:val="60A07495"/>
    <w:rsid w:val="60DD5FF3"/>
    <w:rsid w:val="611A5C9C"/>
    <w:rsid w:val="61262B28"/>
    <w:rsid w:val="613C3F97"/>
    <w:rsid w:val="6151078F"/>
    <w:rsid w:val="6166423A"/>
    <w:rsid w:val="616D1134"/>
    <w:rsid w:val="617E4723"/>
    <w:rsid w:val="61863F6B"/>
    <w:rsid w:val="61C13B66"/>
    <w:rsid w:val="620C3034"/>
    <w:rsid w:val="62205428"/>
    <w:rsid w:val="62255EA3"/>
    <w:rsid w:val="62740F21"/>
    <w:rsid w:val="62C33BE8"/>
    <w:rsid w:val="62E523AD"/>
    <w:rsid w:val="62FB7B80"/>
    <w:rsid w:val="63045DC8"/>
    <w:rsid w:val="634405AB"/>
    <w:rsid w:val="638D1F52"/>
    <w:rsid w:val="63A532DC"/>
    <w:rsid w:val="63D01E3F"/>
    <w:rsid w:val="63E52757"/>
    <w:rsid w:val="63FA6EBC"/>
    <w:rsid w:val="643D2D0B"/>
    <w:rsid w:val="650F4BE9"/>
    <w:rsid w:val="65406257"/>
    <w:rsid w:val="65856C59"/>
    <w:rsid w:val="65A83BCB"/>
    <w:rsid w:val="660051BA"/>
    <w:rsid w:val="66557ECD"/>
    <w:rsid w:val="665E3732"/>
    <w:rsid w:val="666A4F4D"/>
    <w:rsid w:val="66F54728"/>
    <w:rsid w:val="67096CCF"/>
    <w:rsid w:val="67236729"/>
    <w:rsid w:val="673152EA"/>
    <w:rsid w:val="673715E3"/>
    <w:rsid w:val="678533DE"/>
    <w:rsid w:val="6791101E"/>
    <w:rsid w:val="679A4C3E"/>
    <w:rsid w:val="68185BEC"/>
    <w:rsid w:val="683B10D2"/>
    <w:rsid w:val="687D6FD6"/>
    <w:rsid w:val="68815DFE"/>
    <w:rsid w:val="68AA0EB0"/>
    <w:rsid w:val="695D4175"/>
    <w:rsid w:val="696077C1"/>
    <w:rsid w:val="69702ECB"/>
    <w:rsid w:val="698931BC"/>
    <w:rsid w:val="69A1736A"/>
    <w:rsid w:val="69E509F7"/>
    <w:rsid w:val="69EE301F"/>
    <w:rsid w:val="6A07754C"/>
    <w:rsid w:val="6A372C18"/>
    <w:rsid w:val="6A70612A"/>
    <w:rsid w:val="6A9040D6"/>
    <w:rsid w:val="6AC326C7"/>
    <w:rsid w:val="6AD95A7D"/>
    <w:rsid w:val="6B783FE3"/>
    <w:rsid w:val="6B981494"/>
    <w:rsid w:val="6BA50055"/>
    <w:rsid w:val="6BB87D88"/>
    <w:rsid w:val="6BFF530D"/>
    <w:rsid w:val="6C1D7BEB"/>
    <w:rsid w:val="6C877A5A"/>
    <w:rsid w:val="6C974F09"/>
    <w:rsid w:val="6D050BD9"/>
    <w:rsid w:val="6D341690"/>
    <w:rsid w:val="6D837F22"/>
    <w:rsid w:val="6D856C94"/>
    <w:rsid w:val="6DA34120"/>
    <w:rsid w:val="6DB8616B"/>
    <w:rsid w:val="6DC17CBB"/>
    <w:rsid w:val="6DFD5F26"/>
    <w:rsid w:val="6E3B3977"/>
    <w:rsid w:val="6F152DFC"/>
    <w:rsid w:val="6F174DC6"/>
    <w:rsid w:val="6F316FAA"/>
    <w:rsid w:val="6F4D07E7"/>
    <w:rsid w:val="70022E55"/>
    <w:rsid w:val="700E441B"/>
    <w:rsid w:val="70622755"/>
    <w:rsid w:val="707A1AB0"/>
    <w:rsid w:val="708741CD"/>
    <w:rsid w:val="709B0D8D"/>
    <w:rsid w:val="70B825D8"/>
    <w:rsid w:val="71041022"/>
    <w:rsid w:val="710E21F8"/>
    <w:rsid w:val="71436346"/>
    <w:rsid w:val="714E6086"/>
    <w:rsid w:val="71603CBB"/>
    <w:rsid w:val="71A90121"/>
    <w:rsid w:val="71B40FF2"/>
    <w:rsid w:val="72004F7C"/>
    <w:rsid w:val="724F0E34"/>
    <w:rsid w:val="72563E57"/>
    <w:rsid w:val="72A050D2"/>
    <w:rsid w:val="72DC3463"/>
    <w:rsid w:val="733A5527"/>
    <w:rsid w:val="733C304D"/>
    <w:rsid w:val="736B65E7"/>
    <w:rsid w:val="73752023"/>
    <w:rsid w:val="73B76B77"/>
    <w:rsid w:val="73C44DF0"/>
    <w:rsid w:val="73CF5C6F"/>
    <w:rsid w:val="74237D69"/>
    <w:rsid w:val="74393A30"/>
    <w:rsid w:val="744877CF"/>
    <w:rsid w:val="75526B58"/>
    <w:rsid w:val="75672F6D"/>
    <w:rsid w:val="756B19C7"/>
    <w:rsid w:val="75734D20"/>
    <w:rsid w:val="757C1915"/>
    <w:rsid w:val="758E5811"/>
    <w:rsid w:val="759C6025"/>
    <w:rsid w:val="75A4312B"/>
    <w:rsid w:val="75BF1D13"/>
    <w:rsid w:val="75FC6AC3"/>
    <w:rsid w:val="76027301"/>
    <w:rsid w:val="76764AC8"/>
    <w:rsid w:val="76C765B5"/>
    <w:rsid w:val="77163BB5"/>
    <w:rsid w:val="771C7EFA"/>
    <w:rsid w:val="771F2A69"/>
    <w:rsid w:val="7726029C"/>
    <w:rsid w:val="773B4CB7"/>
    <w:rsid w:val="7755664A"/>
    <w:rsid w:val="775A6E99"/>
    <w:rsid w:val="77822FF8"/>
    <w:rsid w:val="779E1BF0"/>
    <w:rsid w:val="77EB6DF0"/>
    <w:rsid w:val="78445351"/>
    <w:rsid w:val="784B17E2"/>
    <w:rsid w:val="787D3ABE"/>
    <w:rsid w:val="78E72B68"/>
    <w:rsid w:val="792D7B75"/>
    <w:rsid w:val="7951570C"/>
    <w:rsid w:val="79635734"/>
    <w:rsid w:val="7A4D5B40"/>
    <w:rsid w:val="7A513882"/>
    <w:rsid w:val="7A8D418E"/>
    <w:rsid w:val="7A9E45ED"/>
    <w:rsid w:val="7B893F18"/>
    <w:rsid w:val="7BC71922"/>
    <w:rsid w:val="7BCD3F53"/>
    <w:rsid w:val="7C050062"/>
    <w:rsid w:val="7C4D0079"/>
    <w:rsid w:val="7C7C71B9"/>
    <w:rsid w:val="7C812849"/>
    <w:rsid w:val="7C880908"/>
    <w:rsid w:val="7D3263A6"/>
    <w:rsid w:val="7D3B041C"/>
    <w:rsid w:val="7DAC0DCF"/>
    <w:rsid w:val="7DDC7906"/>
    <w:rsid w:val="7E0F7090"/>
    <w:rsid w:val="7E39377D"/>
    <w:rsid w:val="7E486D4A"/>
    <w:rsid w:val="7EA13AF4"/>
    <w:rsid w:val="7F0C5FC9"/>
    <w:rsid w:val="7FCB16B2"/>
    <w:rsid w:val="7FEB76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4"/>
    <w:basedOn w:val="1"/>
    <w:next w:val="1"/>
    <w:qFormat/>
    <w:uiPriority w:val="0"/>
    <w:pPr>
      <w:keepNext/>
      <w:jc w:val="center"/>
      <w:outlineLvl w:val="3"/>
    </w:pPr>
    <w:rPr>
      <w:rFonts w:eastAsia="新宋体"/>
      <w:kern w:val="0"/>
      <w:sz w:val="30"/>
      <w:szCs w:val="21"/>
    </w:rPr>
  </w:style>
  <w:style w:type="paragraph" w:styleId="4">
    <w:name w:val="heading 6"/>
    <w:basedOn w:val="1"/>
    <w:next w:val="5"/>
    <w:qFormat/>
    <w:uiPriority w:val="0"/>
    <w:pPr>
      <w:keepNext/>
      <w:jc w:val="center"/>
      <w:outlineLvl w:val="5"/>
    </w:pPr>
    <w:rPr>
      <w:b/>
      <w:kern w:val="0"/>
      <w:sz w:val="44"/>
      <w:szCs w:val="20"/>
    </w:rPr>
  </w:style>
  <w:style w:type="character" w:default="1" w:styleId="15">
    <w:name w:val="Default Paragraph Font"/>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kern w:val="0"/>
      <w:sz w:val="20"/>
      <w:szCs w:val="20"/>
    </w:rPr>
  </w:style>
  <w:style w:type="paragraph" w:styleId="6">
    <w:name w:val="annotation text"/>
    <w:basedOn w:val="1"/>
    <w:qFormat/>
    <w:uiPriority w:val="0"/>
    <w:pPr>
      <w:jc w:val="left"/>
    </w:pPr>
  </w:style>
  <w:style w:type="paragraph" w:styleId="7">
    <w:name w:val="Body Text"/>
    <w:basedOn w:val="1"/>
    <w:next w:val="1"/>
    <w:qFormat/>
    <w:uiPriority w:val="99"/>
    <w:pPr>
      <w:spacing w:after="120"/>
    </w:pPr>
  </w:style>
  <w:style w:type="paragraph" w:styleId="8">
    <w:name w:val="footer"/>
    <w:basedOn w:val="1"/>
    <w:qFormat/>
    <w:uiPriority w:val="99"/>
    <w:pPr>
      <w:tabs>
        <w:tab w:val="center" w:pos="4153"/>
        <w:tab w:val="right" w:pos="8306"/>
      </w:tabs>
      <w:snapToGrid w:val="0"/>
      <w:jc w:val="left"/>
    </w:pPr>
    <w:rPr>
      <w:kern w:val="0"/>
      <w:sz w:val="18"/>
      <w:szCs w:val="20"/>
    </w:rPr>
  </w:style>
  <w:style w:type="paragraph" w:styleId="9">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11">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leftChars="500" w:hanging="1080" w:hangingChars="500"/>
    </w:pPr>
    <w:rPr>
      <w:rFonts w:ascii="Arial" w:hAnsi="Arial" w:eastAsia="宋体" w:cs="Arial"/>
      <w:kern w:val="2"/>
      <w:sz w:val="21"/>
      <w:szCs w:val="24"/>
      <w:lang w:val="en-US" w:eastAsia="zh-CN" w:bidi="ar-SA"/>
    </w:rPr>
  </w:style>
  <w:style w:type="paragraph" w:styleId="12">
    <w:name w:val="Normal (Web)"/>
    <w:basedOn w:val="1"/>
    <w:qFormat/>
    <w:uiPriority w:val="0"/>
    <w:pPr>
      <w:widowControl/>
      <w:spacing w:before="100" w:beforeAutospacing="1" w:after="100" w:afterAutospacing="1"/>
      <w:jc w:val="left"/>
    </w:pPr>
    <w:rPr>
      <w:rFonts w:ascii="宋体" w:hAnsi="宋体"/>
      <w:color w:val="000000"/>
      <w:kern w:val="0"/>
      <w:sz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rPr>
  </w:style>
  <w:style w:type="character" w:styleId="17">
    <w:name w:val="Hyperlink"/>
    <w:unhideWhenUsed/>
    <w:qFormat/>
    <w:uiPriority w:val="99"/>
    <w:rPr>
      <w:color w:val="0000FF"/>
      <w:u w:val="none"/>
    </w:rPr>
  </w:style>
  <w:style w:type="paragraph" w:customStyle="1" w:styleId="18">
    <w:name w:val="DAS正文"/>
    <w:basedOn w:val="1"/>
    <w:qFormat/>
    <w:uiPriority w:val="0"/>
    <w:pPr>
      <w:spacing w:line="360" w:lineRule="auto"/>
      <w:ind w:right="181" w:firstLine="480"/>
    </w:pPr>
    <w:rPr>
      <w:rFonts w:ascii="Verdana" w:hAnsi="Verdana"/>
    </w:rPr>
  </w:style>
  <w:style w:type="paragraph" w:customStyle="1" w:styleId="19">
    <w:name w:val="普通正文"/>
    <w:basedOn w:val="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20">
    <w:name w:val="正文缩进2格"/>
    <w:basedOn w:val="1"/>
    <w:qFormat/>
    <w:uiPriority w:val="0"/>
    <w:pPr>
      <w:spacing w:line="600" w:lineRule="exact"/>
      <w:ind w:firstLine="639" w:firstLineChars="206"/>
    </w:pPr>
    <w:rPr>
      <w:rFonts w:ascii="仿宋_GB2312" w:hAnsi="宋体" w:eastAsia="仿宋_GB2312"/>
      <w:kern w:val="0"/>
      <w:sz w:val="31"/>
      <w:szCs w:val="28"/>
    </w:rPr>
  </w:style>
  <w:style w:type="character" w:customStyle="1" w:styleId="21">
    <w:name w:val="NormalCharacter"/>
    <w:qFormat/>
    <w:uiPriority w:val="99"/>
  </w:style>
  <w:style w:type="paragraph" w:customStyle="1" w:styleId="22">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 w:type="paragraph" w:customStyle="1" w:styleId="23">
    <w:name w:val="索引 41"/>
    <w:basedOn w:val="1"/>
    <w:next w:val="1"/>
    <w:qFormat/>
    <w:uiPriority w:val="0"/>
    <w:pPr>
      <w:ind w:left="600"/>
      <w:jc w:val="both"/>
    </w:pPr>
    <w:rPr>
      <w:rFonts w:ascii="Calibri" w:hAnsi="Calibri" w:cs="Times New Roman"/>
      <w:sz w:val="21"/>
    </w:rPr>
  </w:style>
  <w:style w:type="table" w:customStyle="1" w:styleId="24">
    <w:name w:val="Table Normal"/>
    <w:unhideWhenUsed/>
    <w:qFormat/>
    <w:uiPriority w:val="0"/>
    <w:tblPr>
      <w:tblCellMar>
        <w:top w:w="0" w:type="dxa"/>
        <w:left w:w="0" w:type="dxa"/>
        <w:bottom w:w="0" w:type="dxa"/>
        <w:right w:w="0" w:type="dxa"/>
      </w:tblCellMar>
    </w:tblPr>
  </w:style>
  <w:style w:type="paragraph" w:customStyle="1" w:styleId="25">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6">
    <w:name w:val="p0"/>
    <w:basedOn w:val="1"/>
    <w:qFormat/>
    <w:uiPriority w:val="0"/>
    <w:pPr>
      <w:widowControl/>
    </w:pPr>
    <w:rPr>
      <w:kern w:val="0"/>
      <w:szCs w:val="21"/>
    </w:rPr>
  </w:style>
  <w:style w:type="paragraph" w:customStyle="1" w:styleId="27">
    <w:name w:val="*正文"/>
    <w:basedOn w:val="1"/>
    <w:qFormat/>
    <w:uiPriority w:val="0"/>
    <w:rPr>
      <w:rFonts w:ascii="宋体" w:hAnsi="宋体"/>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2527b9ae-ca4a-4137-896b-25bb5c794fbf</errorID>
      <errorWord>“.</errorWord>
      <group>L1_Punc</group>
      <groupName>标点问题</groupName>
      <ability>L2_Punc_CN</ability>
      <abilityName>标点符号问题</abilityName>
      <candidateList>
        <item>“</item>
      </candidateList>
      <explain/>
      <paraID> C10FB40</paraID>
      <start>75</start>
      <end>77</end>
      <status>ignored</status>
      <modifiedWord/>
      <trackRevisions>false</trackRevisions>
    </reviewItem>
    <reviewItem>
      <errorID>75f39597-637b-44c6-b9a7-094047ee84eb</errorID>
      <errorWord>“.</errorWord>
      <group>L1_Punc</group>
      <groupName>标点问题</groupName>
      <ability>L2_Punc_CN</ability>
      <abilityName>标点符号问题</abilityName>
      <candidateList>
        <item>“</item>
      </candidateList>
      <explain/>
      <paraID> C10FB40</paraID>
      <start>89</start>
      <end>91</end>
      <status>unmodified</status>
      <modifiedWord/>
      <trackRevisions>false</trackRevisions>
    </reviewItem>
    <reviewItem>
      <errorID>d961b8e0-bad7-4744-b84d-f37d81f7ec36</errorID>
      <errorWord>“.</errorWord>
      <group>L1_Punc</group>
      <groupName>标点问题</groupName>
      <ability>L2_Punc_CN</ability>
      <abilityName>标点符号问题</abilityName>
      <candidateList>
        <item>“</item>
      </candidateList>
      <explain/>
      <paraID>72685EB6</paraID>
      <start>11</start>
      <end>13</end>
      <status>unmodified</status>
      <modifiedWord/>
      <trackRevisions>false</trackRevisions>
    </reviewItem>
    <reviewItem>
      <errorID>40e5ef79-aea4-497b-8767-443be13e92b7</errorID>
      <errorWord>（</errorWord>
      <group>L1_Punc</group>
      <groupName>标点问题</groupName>
      <ability>L2_Punc_CN</ability>
      <abilityName>标点符号问题</abilityName>
      <candidateList/>
      <explain>同一形式括号套用。</explain>
      <paraID>5A7B6554</paraID>
      <start>35</start>
      <end>36</end>
      <status>unmodified</status>
      <modifiedWord/>
      <trackRevisions>false</trackRevisions>
    </reviewItem>
    <reviewItem>
      <errorID>8888addb-fa43-4950-8f6c-bfff0373aa23</errorID>
      <errorWord>）</errorWord>
      <group>L1_Punc</group>
      <groupName>标点问题</groupName>
      <ability>L2_Punc_CN</ability>
      <abilityName>标点符号问题</abilityName>
      <candidateList/>
      <explain>同一形式括号套用。</explain>
      <paraID>5A7B6554</paraID>
      <start>39</start>
      <end>40</end>
      <status>unmodified</status>
      <modifiedWord/>
      <trackRevisions>false</trackRevisions>
    </reviewItem>
    <reviewItem>
      <errorID>e8fce7b9-aab7-4e3d-a7ae-9adfb87de5af</errorID>
      <errorWord>间</errorWord>
      <group>L1_Word</group>
      <groupName>字词问题</groupName>
      <ability>L2_Typo</ability>
      <abilityName>字词错误</abilityName>
      <candidateList>
        <item>间之</item>
      </candidateList>
      <explain/>
      <paraID>12B1E4BA</paraID>
      <start>9</start>
      <end>10</end>
      <status>unmodified</status>
      <modifiedWord/>
      <trackRevisions>false</trackRevisions>
    </reviewItem>
    <reviewItem>
      <errorID>9ecaa2e6-b3c7-4036-afb0-42bd0c30578b</errorID>
      <errorWord>法律、法规</errorWord>
      <group>L1_Word</group>
      <groupName>字词问题</groupName>
      <ability>L2_Typo</ability>
      <abilityName>字词错误</abilityName>
      <candidateList>
        <item>法律法规</item>
      </candidateList>
      <explain/>
      <paraID>260FD7F4</paraID>
      <start>9</start>
      <end>14</end>
      <status>unmodified</status>
      <modifiedWord/>
      <trackRevisions>false</trackRevisions>
    </reviewItem>
    <reviewItem>
      <errorID>f478b280-fb3e-49ad-9c5b-e471ae4841e1</errorID>
      <errorWord>苏</errorWord>
      <group>L1_Word</group>
      <groupName>字词问题</groupName>
      <ability>L2_Typo</ability>
      <abilityName>字词错误</abilityName>
      <candidateList>
        <item>苏省</item>
      </candidateList>
      <explain/>
      <paraID>155210B6</paraID>
      <start>11</start>
      <end>12</end>
      <status>unmodified</status>
      <modifiedWord/>
      <trackRevisions>false</trackRevisions>
    </reviewItem>
    <reviewItem>
      <errorID>68128383-68bc-4967-ae4e-80a9658dec0f</errorID>
      <errorWord>&lt;</errorWord>
      <group>L1_Format</group>
      <groupName>格式问题</groupName>
      <ability>L2_HalfPunc_CN</ability>
      <abilityName>全半角问题</abilityName>
      <candidateList>
        <item>〈</item>
      </candidateList>
      <explain>文本全半角错误。</explain>
      <paraID>6AFE6234</paraID>
      <start>48</start>
      <end>49</end>
      <status>unmodified</status>
      <modifiedWord/>
      <trackRevisions>false</trackRevisions>
    </reviewItem>
    <reviewItem>
      <errorID>5aff0758-5b21-46de-bfdb-965e6d45b8d9</errorID>
      <errorWord>&lt;</errorWord>
      <group>L1_Format</group>
      <groupName>格式问题</groupName>
      <ability>L2_HalfPunc_CN</ability>
      <abilityName>全半角问题</abilityName>
      <candidateList>
        <item>〈</item>
      </candidateList>
      <explain>文本全半角错误。</explain>
      <paraID>5A918620</paraID>
      <start>48</start>
      <end>49</end>
      <status>unmodified</status>
      <modifiedWord/>
      <trackRevisions>false</trackRevisions>
    </reviewItem>
    <reviewItem>
      <errorID>2f4c705c-e09a-45d6-b00d-0e85bf432858</errorID>
      <errorWord>&lt;</errorWord>
      <group>L1_Format</group>
      <groupName>格式问题</groupName>
      <ability>L2_HalfPunc_CN</ability>
      <abilityName>全半角问题</abilityName>
      <candidateList>
        <item>〈</item>
      </candidateList>
      <explain>文本全半角错误。</explain>
      <paraID>4FEDA456</paraID>
      <start>33</start>
      <end>34</end>
      <status>unmodified</status>
      <modifiedWord/>
      <trackRevisions>false</trackRevisions>
    </reviewItem>
    <reviewItem>
      <errorID>b2081437-8f3e-49c3-a42b-817b51bfc3fd</errorID>
      <errorWord>法律、法规</errorWord>
      <group>L1_Word</group>
      <groupName>字词问题</groupName>
      <ability>L2_Typo</ability>
      <abilityName>字词错误</abilityName>
      <candidateList>
        <item>法律法规</item>
      </candidateList>
      <explain/>
      <paraID>268B446E</paraID>
      <start>8</start>
      <end>13</end>
      <status>unmodified</status>
      <modifiedWord/>
      <trackRevisions>false</trackRevisions>
    </reviewItem>
    <reviewItem>
      <errorID>aa3385f6-0d09-4f5f-be5e-4821fdbe35cf</errorID>
      <errorWord>(</errorWord>
      <group>L1_Format</group>
      <groupName>格式问题</groupName>
      <ability>L2_HalfPunc_CN</ability>
      <abilityName>全半角问题</abilityName>
      <candidateList>
        <item>（</item>
      </candidateList>
      <explain>文本全半角错误。</explain>
      <paraID>2143FAA3</paraID>
      <start>66</start>
      <end>67</end>
      <status>unmodified</status>
      <modifiedWord/>
      <trackRevisions>false</trackRevisions>
    </reviewItem>
    <reviewItem>
      <errorID>f4ac37ce-a181-41a8-b8b2-6491b3af5d1c</errorID>
      <errorWord>，)</errorWord>
      <group>L1_Punc</group>
      <groupName>标点问题</groupName>
      <ability>L2_Punc_CN</ability>
      <abilityName>标点符号问题</abilityName>
      <candidateList>
        <item>)</item>
      </candidateList>
      <explain/>
      <paraID>2143FAA3</paraID>
      <start>74</start>
      <end>76</end>
      <status>unmodified</status>
      <modifiedWord/>
      <trackRevisions>false</trackRevisions>
    </reviewItem>
    <reviewItem>
      <errorID>8e359e17-6bea-4135-9a01-6e59b4b046e4</errorID>
      <errorWord>(</errorWord>
      <group>L1_Format</group>
      <groupName>格式问题</groupName>
      <ability>L2_HalfPunc_CN</ability>
      <abilityName>全半角问题</abilityName>
      <candidateList>
        <item>（</item>
      </candidateList>
      <explain>文本全半角错误。</explain>
      <paraID>2143FAA3</paraID>
      <start>85</start>
      <end>86</end>
      <status>unmodified</status>
      <modifiedWord/>
      <trackRevisions>false</trackRevisions>
    </reviewItem>
    <reviewItem>
      <errorID>2dc43be7-cd73-47c3-a205-19d69c056ff8</errorID>
      <errorWord>)</errorWord>
      <group>L1_Format</group>
      <groupName>格式问题</groupName>
      <ability>L2_HalfPunc_CN</ability>
      <abilityName>全半角问题</abilityName>
      <candidateList>
        <item>）</item>
      </candidateList>
      <explain>文本全半角错误。</explain>
      <paraID>2143FAA3</paraID>
      <start>93</start>
      <end>94</end>
      <status>unmodified</status>
      <modifiedWord/>
      <trackRevisions>false</trackRevisions>
    </reviewItem>
    <reviewItem>
      <errorID>2fdd79ba-1d10-46ec-a0c5-6707afa6a522</errorID>
      <errorWord>(</errorWord>
      <group>L1_Format</group>
      <groupName>格式问题</groupName>
      <ability>L2_HalfPunc_CN</ability>
      <abilityName>全半角问题</abilityName>
      <candidateList>
        <item>（</item>
      </candidateList>
      <explain>文本全半角错误。</explain>
      <paraID>30EBEBB2</paraID>
      <start>28</start>
      <end>29</end>
      <status>unmodified</status>
      <modifiedWord/>
      <trackRevisions>false</trackRevisions>
    </reviewItem>
    <reviewItem>
      <errorID>08c95e7e-8a16-42c4-baff-6e66d8a7f098</errorID>
      <errorWord>,</errorWord>
      <group>L1_Format</group>
      <groupName>格式问题</groupName>
      <ability>L2_HalfPunc_CN</ability>
      <abilityName>全半角问题</abilityName>
      <candidateList>
        <item>，</item>
      </candidateList>
      <explain>文本全半角错误。</explain>
      <paraID>30EBEBB2</paraID>
      <start>53</start>
      <end>54</end>
      <status>unmodified</status>
      <modifiedWord/>
      <trackRevisions>false</trackRevisions>
    </reviewItem>
    <reviewItem>
      <errorID>53575ad3-4ce9-4347-b06a-dbb8e2d31b04</errorID>
      <errorWord>配</errorWord>
      <group>L1_Word</group>
      <groupName>字词问题</groupName>
      <ability>L2_Typo</ability>
      <abilityName>字词错误</abilityName>
      <candidateList>
        <item>配备</item>
      </candidateList>
      <explain/>
      <paraID>4FC7C9D7</paraID>
      <start>36</start>
      <end>37</end>
      <status>unmodified</status>
      <modifiedWord/>
      <trackRevisions>false</trackRevisions>
    </reviewItem>
    <reviewItem>
      <errorID>2b923a6d-2b14-4e1a-ab9c-c8af079d9fac</errorID>
      <errorWord>(</errorWord>
      <group>L1_Format</group>
      <groupName>格式问题</groupName>
      <ability>L2_HalfPunc_CN</ability>
      <abilityName>全半角问题</abilityName>
      <candidateList>
        <item>（</item>
      </candidateList>
      <explain>文本全半角错误。</explain>
      <paraID>5C00C3AE</paraID>
      <start>182</start>
      <end>183</end>
      <status>unmodified</status>
      <modifiedWord/>
      <trackRevisions>false</trackRevisions>
    </reviewItem>
    <reviewItem>
      <errorID>a178cd53-984a-4a4e-b74c-9797acdeb70d</errorID>
      <errorWord>)</errorWord>
      <group>L1_Format</group>
      <groupName>格式问题</groupName>
      <ability>L2_HalfPunc_CN</ability>
      <abilityName>全半角问题</abilityName>
      <candidateList>
        <item>）</item>
      </candidateList>
      <explain>文本全半角错误。</explain>
      <paraID>5C00C3AE</paraID>
      <start>187</start>
      <end>188</end>
      <status>unmodified</status>
      <modifiedWord/>
      <trackRevisions>false</trackRevisions>
    </reviewItem>
    <reviewItem>
      <errorID>19ce75e0-61b4-47e0-a437-496b367d0ec1</errorID>
      <errorWord>履约合同</errorWord>
      <group>L1_Word</group>
      <groupName>字词问题</groupName>
      <ability>L2_Typo</ability>
      <abilityName>字词错误</abilityName>
      <candidateList>
        <item>履行合同</item>
      </candidateList>
      <explain/>
      <paraID>6BDBA77D</paraID>
      <start>9</start>
      <end>13</end>
      <status>unmodified</status>
      <modifiedWord/>
      <trackRevisions>false</trackRevisions>
    </reviewItem>
    <reviewItem>
      <errorID>da8ecc72-57e1-4bf8-b7dd-0f2d21c55c76</errorID>
      <errorWord>:</errorWord>
      <group>L1_Format</group>
      <groupName>格式问题</groupName>
      <ability>L2_HalfPunc_CN</ability>
      <abilityName>全半角问题</abilityName>
      <candidateList>
        <item>：</item>
      </candidateList>
      <explain>文本全半角错误。</explain>
      <paraID>   22498</paraID>
      <start>3</start>
      <end>4</end>
      <status>unmodified</status>
      <modifiedWord/>
      <trackRevisions>false</trackRevisions>
    </reviewItem>
    <reviewItem>
      <errorID>ec8569d2-2d90-487b-9bb6-6a926b71b8de</errorID>
      <errorWord>:</errorWord>
      <group>L1_Format</group>
      <groupName>格式问题</groupName>
      <ability>L2_HalfPunc_CN</ability>
      <abilityName>全半角问题</abilityName>
      <candidateList>
        <item>：</item>
      </candidateList>
      <explain>文本全半角错误。</explain>
      <paraID>59C01E79</paraID>
      <start>3</start>
      <end>4</end>
      <status>unmodified</status>
      <modifiedWord/>
      <trackRevisions>false</trackRevisions>
    </reviewItem>
    <reviewItem>
      <errorID>aff5c7d1-aea5-4402-a896-556ed57ff43f</errorID>
      <errorWord>:</errorWord>
      <group>L1_Format</group>
      <groupName>格式问题</groupName>
      <ability>L2_HalfPunc_CN</ability>
      <abilityName>全半角问题</abilityName>
      <candidateList>
        <item>：</item>
      </candidateList>
      <explain>文本全半角错误。</explain>
      <paraID>1BCAA3EE</paraID>
      <start>4</start>
      <end>5</end>
      <status>unmodified</status>
      <modifiedWord/>
      <trackRevisions>false</trackRevisions>
    </reviewItem>
    <reviewItem>
      <errorID>315c929a-2421-4ae5-831c-12f5bd64bc76</errorID>
      <errorWord>:</errorWord>
      <group>L1_Format</group>
      <groupName>格式问题</groupName>
      <ability>L2_HalfPunc_CN</ability>
      <abilityName>全半角问题</abilityName>
      <candidateList>
        <item>：</item>
      </candidateList>
      <explain>文本全半角错误。</explain>
      <paraID>1BCAA3EE</paraID>
      <start>27</start>
      <end>28</end>
      <status>unmodified</status>
      <modifiedWord/>
      <trackRevisions>false</trackRevisions>
    </reviewItem>
    <reviewItem>
      <errorID>094efdfc-0557-4ccd-be24-3e739d0cbe7d</errorID>
      <errorWord>(</errorWord>
      <group>L1_Format</group>
      <groupName>格式问题</groupName>
      <ability>L2_HalfPunc_CN</ability>
      <abilityName>全半角问题</abilityName>
      <candidateList>
        <item>（</item>
      </candidateList>
      <explain>文本全半角错误。</explain>
      <paraID>23D46826</paraID>
      <start>175</start>
      <end>176</end>
      <status>unmodified</status>
      <modifiedWord/>
      <trackRevisions>false</trackRevisions>
    </reviewItem>
    <reviewItem>
      <errorID>af775d56-fea3-4e9b-8cca-7d6a9f8473c7</errorID>
      <errorWord>)</errorWord>
      <group>L1_Format</group>
      <groupName>格式问题</groupName>
      <ability>L2_HalfPunc_CN</ability>
      <abilityName>全半角问题</abilityName>
      <candidateList>
        <item>）</item>
      </candidateList>
      <explain>文本全半角错误。</explain>
      <paraID>23D46826</paraID>
      <start>180</start>
      <end>181</end>
      <status>unmodified</status>
      <modifiedWord/>
      <trackRevisions>false</trackRevisions>
    </reviewItem>
    <reviewItem>
      <errorID>d9fa2cec-2511-4290-97e0-3b4d225d3c3b</errorID>
      <errorWord>须承担</errorWord>
      <group>L1_Word</group>
      <groupName>字词问题</groupName>
      <ability>L2_Typo</ability>
      <abilityName>字词错误</abilityName>
      <candidateList>
        <item>需承担</item>
      </candidateList>
      <explain>存在发音相同字词的误用。</explain>
      <paraID>13A5FF07</paraID>
      <start>55</start>
      <end>58</end>
      <status>unmodified</status>
      <modifiedWord/>
      <trackRevisions>false</trackRevisions>
    </reviewItem>
    <reviewItem>
      <errorID>5a58c9ff-5f81-49b8-80d0-0e044f7cd347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1B8EC99D</paraID>
      <start>130</start>
      <end>131</end>
      <status>unmodified</status>
      <modifiedWord/>
      <trackRevisions>false</trackRevisions>
    </reviewItem>
    <reviewItem>
      <errorID>0c809897-1397-45de-bb0f-5a79cd91a4d5</errorID>
      <errorWord>(</errorWord>
      <group>L1_Format</group>
      <groupName>格式问题</groupName>
      <ability>L2_HalfPunc_CN</ability>
      <abilityName>全半角问题</abilityName>
      <candidateList>
        <item>（</item>
      </candidateList>
      <explain>文本全半角错误。</explain>
      <paraID> E5A75CC</paraID>
      <start>16</start>
      <end>17</end>
      <status>unmodified</status>
      <modifiedWord/>
      <trackRevisions>false</trackRevisions>
    </reviewItem>
    <reviewItem>
      <errorID>486afccd-1fe2-4ee2-a182-9407f2a84faf</errorID>
      <errorWord>)</errorWord>
      <group>L1_Format</group>
      <groupName>格式问题</groupName>
      <ability>L2_HalfPunc_CN</ability>
      <abilityName>全半角问题</abilityName>
      <candidateList>
        <item>）</item>
      </candidateList>
      <explain>文本全半角错误。</explain>
      <paraID> E5A75CC</paraID>
      <start>19</start>
      <end>20</end>
      <status>unmodified</status>
      <modifiedWord/>
      <trackRevisions>false</trackRevisions>
    </reviewItem>
    <reviewItem>
      <errorID>adde4263-30a6-44a6-b9ef-c45857259a7b</errorID>
      <errorWord>(</errorWord>
      <group>L1_Format</group>
      <groupName>格式问题</groupName>
      <ability>L2_HalfPunc_CN</ability>
      <abilityName>全半角问题</abilityName>
      <candidateList>
        <item>（</item>
      </candidateList>
      <explain>文本全半角错误。</explain>
      <paraID>7FBD4147</paraID>
      <start>16</start>
      <end>17</end>
      <status>unmodified</status>
      <modifiedWord/>
      <trackRevisions>false</trackRevisions>
    </reviewItem>
    <reviewItem>
      <errorID>0c3e53bc-fe1d-455c-8d05-b43d59b708e3</errorID>
      <errorWord>)</errorWord>
      <group>L1_Format</group>
      <groupName>格式问题</groupName>
      <ability>L2_HalfPunc_CN</ability>
      <abilityName>全半角问题</abilityName>
      <candidateList>
        <item>）</item>
      </candidateList>
      <explain>文本全半角错误。</explain>
      <paraID>7FBD4147</paraID>
      <start>19</start>
      <end>20</end>
      <status>unmodified</status>
      <modifiedWord/>
      <trackRevisions>false</trackRevisions>
    </reviewItem>
    <reviewItem>
      <errorID>d7e35c13-eb31-4edd-a130-3de6b8ec2055</errorID>
      <errorWord>(</errorWord>
      <group>L1_Format</group>
      <groupName>格式问题</groupName>
      <ability>L2_HalfPunc_CN</ability>
      <abilityName>全半角问题</abilityName>
      <candidateList>
        <item>（</item>
      </candidateList>
      <explain>文本全半角错误。</explain>
      <paraID>490FE982</paraID>
      <start>27</start>
      <end>28</end>
      <status>unmodified</status>
      <modifiedWord/>
      <trackRevisions>false</trackRevisions>
    </reviewItem>
    <reviewItem>
      <errorID>fe7d3f95-f57d-4a3e-8bf4-c6d0ef8cd551</errorID>
      <errorWord>)</errorWord>
      <group>L1_Format</group>
      <groupName>格式问题</groupName>
      <ability>L2_HalfPunc_CN</ability>
      <abilityName>全半角问题</abilityName>
      <candidateList>
        <item>）</item>
      </candidateList>
      <explain>文本全半角错误。</explain>
      <paraID>490FE982</paraID>
      <start>35</start>
      <end>36</end>
      <status>unmodified</status>
      <modifiedWord/>
      <trackRevisions>false</trackRevisions>
    </reviewItem>
    <reviewItem>
      <errorID>a1517cfd-4f83-4be9-8f2b-f6c45be46eab</errorID>
      <errorWord>晰</errorWord>
      <group>L1_Word</group>
      <groupName>字词问题</groupName>
      <ability>L2_Typo</ability>
      <abilityName>字词错误</abilityName>
      <candidateList>
        <item>晰地</item>
      </candidateList>
      <explain/>
      <paraID>5886BCB2</paraID>
      <start>1</start>
      <end>2</end>
      <status>unmodified</status>
      <modifiedWord/>
      <trackRevisions>false</trackRevisions>
    </reviewItem>
    <reviewItem>
      <errorID>e7f9dc30-ba03-4e96-9848-0b49e474d358</errorID>
      <errorWord>计</errorWord>
      <group>L1_Word</group>
      <groupName>字词问题</groupName>
      <ability>L2_Typo</ability>
      <abilityName>字词错误</abilityName>
      <candidateList>
        <item>计算</item>
      </candidateList>
      <explain/>
      <paraID>6B43102C</paraID>
      <start>18</start>
      <end>19</end>
      <status>unmodified</status>
      <modifiedWord/>
      <trackRevisions>false</trackRevisions>
    </reviewItem>
    <reviewItem>
      <errorID>02935472-5440-45ef-a641-71d0bfc99b6c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2E3AC67F</paraID>
      <start>125</start>
      <end>128</end>
      <status>unmodified</status>
      <modifiedWord/>
      <trackRevisions>false</trackRevisions>
    </reviewItem>
    <reviewItem>
      <errorID>54826528-58e1-4ffc-bba8-3ea2dc0563bd</errorID>
      <errorWord>法律、法规</errorWord>
      <group>L1_Word</group>
      <groupName>字词问题</groupName>
      <ability>L2_Typo</ability>
      <abilityName>字词错误</abilityName>
      <candidateList>
        <item>法律法规</item>
      </candidateList>
      <explain/>
      <paraID> BE2388C</paraID>
      <start>24</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b552ec-5d3e-4013-b46e-0ef65e0a7022}">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18577</Words>
  <Characters>19617</Characters>
  <Lines>0</Lines>
  <Paragraphs>0</Paragraphs>
  <TotalTime>1</TotalTime>
  <ScaleCrop>false</ScaleCrop>
  <LinksUpToDate>false</LinksUpToDate>
  <CharactersWithSpaces>20046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2026-05-18T01:21:00Z</dcterms:created>
  <dc:creator>Admin</dc:creator>
  <cp:lastModifiedBy>你好</cp:lastModifiedBy>
  <cp:lastPrinted>2026-08-03T06:13:00Z</cp:lastPrinted>
  <dcterms:modified xsi:type="dcterms:W3CDTF">2026-10-26T07:03:55Z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eyJoZGlkIjoiOTM3MmM5MWJiZjdkNTc1YmVlNzM4NDhiMzJlNjBmOGEiLCJ1c2VySWQiOiIzNDU4MTA4NzYifQ==</vt:lpwstr>
  </property>
  <property fmtid="{D5CDD505-2E9C-101B-9397-08002B2CF9AE}" pid="4" name="ICV">
    <vt:lpwstr>735056AECF714641A45B9724198A400E_13</vt:lpwstr>
  </property>
</Properties>
</file>