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ind w:firstLine="0"/>
        <w:rPr>
          <w:rFonts w:hint="eastAsia" w:eastAsia="黑体"/>
          <w:b/>
          <w:bCs/>
          <w:sz w:val="84"/>
          <w:highlight w:val="none"/>
        </w:rPr>
      </w:pPr>
      <w:r>
        <w:rPr>
          <w:rFonts w:hint="eastAsia" w:eastAsia="黑体"/>
          <w:b/>
          <w:bCs/>
          <w:sz w:val="84"/>
          <w:highlight w:val="none"/>
        </w:rPr>
        <w:t xml:space="preserve"> </w:t>
      </w:r>
      <w:r>
        <w:rPr>
          <w:rFonts w:eastAsia="黑体"/>
          <w:b/>
          <w:bCs/>
          <w:sz w:val="84"/>
          <w:highlight w:val="none"/>
        </w:rPr>
        <w:t xml:space="preserve">  </w:t>
      </w:r>
      <w:r>
        <w:rPr>
          <w:rFonts w:hint="eastAsia" w:eastAsia="黑体"/>
          <w:b/>
          <w:bCs/>
          <w:sz w:val="84"/>
          <w:highlight w:val="none"/>
        </w:rPr>
      </w:r>
      <w:r/>
    </w:p>
    <w:p>
      <w:pPr>
        <w:pStyle w:val="1038"/>
        <w:ind w:firstLine="0"/>
        <w:jc w:val="center"/>
        <w:rPr>
          <w:rFonts w:hint="eastAsia" w:ascii="方正小标宋_GBK" w:hAnsi="方正小标宋_GBK" w:eastAsia="方正小标宋_GBK" w:cs="方正小标宋_GBK"/>
          <w:sz w:val="40"/>
          <w:szCs w:val="40"/>
          <w:highlight w:val="none"/>
        </w:rPr>
      </w:pPr>
      <w:r>
        <w:rPr>
          <w:rFonts w:hint="eastAsia" w:ascii="方正小标宋_GBK" w:hAnsi="方正小标宋_GBK" w:eastAsia="方正小标宋_GBK" w:cs="方正小标宋_GBK"/>
          <w:sz w:val="40"/>
          <w:szCs w:val="40"/>
          <w:highlight w:val="none"/>
        </w:rPr>
        <w:t xml:space="preserve">招　标　文　件</w:t>
      </w:r>
      <w:r>
        <w:rPr>
          <w:sz w:val="36"/>
          <w:szCs w:val="36"/>
        </w:rPr>
      </w:r>
      <w:r/>
    </w:p>
    <w:p>
      <w:pPr>
        <w:pStyle w:val="1038"/>
        <w:ind w:firstLine="1968"/>
        <w:spacing w:line="400" w:lineRule="exact"/>
        <w:rPr>
          <w:rFonts w:hint="eastAsia"/>
          <w:b/>
          <w:bCs/>
          <w:sz w:val="28"/>
          <w:szCs w:val="28"/>
          <w:highlight w:val="none"/>
        </w:rPr>
      </w:pPr>
      <w:r>
        <w:rPr>
          <w:rFonts w:hint="eastAsia"/>
          <w:b/>
          <w:bCs/>
          <w:sz w:val="28"/>
          <w:szCs w:val="28"/>
          <w:highlight w:val="none"/>
        </w:rPr>
      </w:r>
      <w:r/>
    </w:p>
    <w:p>
      <w:pPr>
        <w:pStyle w:val="950"/>
        <w:ind w:firstLine="560"/>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项目名称：__南京信息职业技术学院部分楼宇和外环物业项目__</w:t>
      </w:r>
      <w:r>
        <w:rPr>
          <w:rFonts w:hint="eastAsia" w:ascii="方正黑体_GBK" w:hAnsi="方正黑体_GBK" w:eastAsia="方正黑体_GBK" w:cs="方正黑体_GBK"/>
          <w:color w:val="000000"/>
          <w:sz w:val="28"/>
          <w:szCs w:val="28"/>
          <w:highlight w:val="none"/>
        </w:rPr>
      </w:r>
      <w:r/>
    </w:p>
    <w:p>
      <w:pPr>
        <w:pStyle w:val="950"/>
        <w:ind w:firstLine="560"/>
        <w:jc w:val="left"/>
        <w:spacing w:before="120" w:after="120" w:line="400" w:lineRule="exact"/>
        <w:rPr>
          <w:rFonts w:hint="eastAsia"/>
          <w:b/>
          <w:color w:val="ff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eastAsia="方正黑体_GBK"/>
          <w:color w:val="000000"/>
          <w:sz w:val="28"/>
          <w:szCs w:val="28"/>
          <w:highlight w:val="none"/>
        </w:rPr>
        <w:t xml:space="preserve">JSZC-320000-SCZX-G2026-0482    </w:t>
      </w:r>
      <w:r>
        <w:rPr>
          <w:rFonts w:hint="eastAsia"/>
          <w:sz w:val="28"/>
          <w:szCs w:val="28"/>
          <w:highlight w:val="none"/>
        </w:rPr>
        <w:t xml:space="preserve">  </w:t>
      </w:r>
      <w:r>
        <w:rPr>
          <w:rFonts w:hint="eastAsia"/>
          <w:b/>
          <w:sz w:val="28"/>
          <w:szCs w:val="28"/>
          <w:highlight w:val="none"/>
        </w:rPr>
        <w:t xml:space="preserve">   </w:t>
      </w:r>
      <w:r>
        <w:rPr>
          <w:sz w:val="28"/>
          <w:szCs w:val="28"/>
          <w:highlight w:val="none"/>
        </w:rPr>
        <w:t xml:space="preserve">  </w:t>
      </w:r>
      <w:r>
        <w:rPr>
          <w:b/>
          <w:sz w:val="28"/>
          <w:szCs w:val="28"/>
          <w:highlight w:val="none"/>
        </w:rPr>
        <w:t xml:space="preserve"> </w:t>
      </w:r>
      <w:r>
        <w:rPr>
          <w:rFonts w:hint="eastAsia"/>
          <w:b/>
          <w:color w:val="ff0000"/>
          <w:sz w:val="28"/>
          <w:szCs w:val="28"/>
          <w:highlight w:val="none"/>
        </w:rPr>
      </w:r>
      <w:r/>
    </w:p>
    <w:p>
      <w:pPr>
        <w:pStyle w:val="103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3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3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3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3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3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3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50"/>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50"/>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w:t>
      </w:r>
      <w:r>
        <w:rPr>
          <w:rFonts w:hint="eastAsia" w:ascii="方正黑体_GBK" w:hAnsi="方正黑体_GBK" w:eastAsia="方正黑体_GBK" w:cs="方正黑体_GBK"/>
          <w:color w:val="000000"/>
          <w:sz w:val="28"/>
          <w:szCs w:val="28"/>
          <w:highlight w:val="none"/>
          <w:lang w:val="en-US" w:eastAsia="zh-CN"/>
        </w:rPr>
        <w:t xml:space="preserve">10</w:t>
      </w:r>
      <w:r>
        <w:rPr>
          <w:rFonts w:hint="eastAsia" w:ascii="方正黑体_GBK" w:hAnsi="方正黑体_GBK" w:eastAsia="方正黑体_GBK" w:cs="方正黑体_GBK"/>
          <w:color w:val="000000"/>
          <w:sz w:val="28"/>
          <w:szCs w:val="28"/>
          <w:highlight w:val="none"/>
        </w:rPr>
        <w:t xml:space="preserve">_月</w:t>
      </w:r>
      <w:r>
        <w:rPr>
          <w:rFonts w:hint="eastAsia" w:ascii="方正黑体_GBK" w:hAnsi="方正黑体_GBK" w:eastAsia="方正黑体_GBK" w:cs="方正黑体_GBK"/>
          <w:color w:val="000000"/>
          <w:sz w:val="28"/>
          <w:szCs w:val="28"/>
          <w:highlight w:val="none"/>
        </w:rPr>
      </w:r>
      <w:r/>
    </w:p>
    <w:p>
      <w:pPr>
        <w:pStyle w:val="1038"/>
        <w:ind w:firstLine="0"/>
        <w:rPr>
          <w:rFonts w:hint="eastAsia"/>
          <w:highlight w:val="none"/>
          <w:u w:val="single"/>
        </w:rPr>
      </w:pPr>
      <w:r>
        <w:rPr>
          <w:rFonts w:hint="eastAsia"/>
          <w:highlight w:val="none"/>
        </w:rPr>
        <w:t xml:space="preserve">                        </w:t>
      </w:r>
      <w:r>
        <w:rPr>
          <w:rFonts w:hint="eastAsia"/>
          <w:highlight w:val="none"/>
          <w:u w:val="single"/>
        </w:rPr>
      </w:r>
      <w:r/>
    </w:p>
    <w:p>
      <w:pPr>
        <w:pStyle w:val="1038"/>
        <w:ind w:firstLine="0"/>
        <w:jc w:val="center"/>
        <w:rPr>
          <w:rFonts w:hint="eastAsia"/>
          <w:highlight w:val="none"/>
        </w:rPr>
      </w:pPr>
      <w:r>
        <w:rPr>
          <w:rFonts w:hint="eastAsia"/>
          <w:highlight w:val="none"/>
        </w:rPr>
      </w:r>
      <w:r/>
    </w:p>
    <w:p>
      <w:pPr>
        <w:pStyle w:val="950"/>
        <w:jc w:val="center"/>
        <w:spacing w:line="400" w:lineRule="exact"/>
        <w:rPr>
          <w:rFonts w:hint="eastAsia" w:ascii="黑体" w:hAnsi="Arial" w:eastAsia="黑体"/>
          <w:b/>
          <w:sz w:val="28"/>
          <w:szCs w:val="28"/>
          <w:highlight w:val="none"/>
        </w:rPr>
        <w:outlineLvl w:val="0"/>
      </w:pPr>
      <w:r>
        <w:rPr>
          <w:highlight w:val="none"/>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方正黑体_GBK" w:hAnsi="方正黑体_GBK" w:eastAsia="方正黑体_GBK" w:cs="方正黑体_GBK"/>
          <w:b/>
          <w:color w:val="000000"/>
          <w:sz w:val="28"/>
          <w:szCs w:val="28"/>
          <w:highlight w:val="none"/>
        </w:rPr>
        <w:t xml:space="preserve"> </w:t>
      </w:r>
      <w:r>
        <w:rPr>
          <w:rFonts w:hint="eastAsia" w:ascii="方正黑体_GBK" w:hAnsi="方正黑体_GBK" w:eastAsia="方正黑体_GBK" w:cs="方正黑体_GBK"/>
          <w:bCs/>
          <w:color w:val="000000"/>
          <w:sz w:val="28"/>
          <w:szCs w:val="28"/>
          <w:highlight w:val="none"/>
        </w:rPr>
        <w:t xml:space="preserve">总  目  录</w:t>
      </w:r>
      <w:r>
        <w:rPr>
          <w:rFonts w:hint="eastAsia" w:ascii="黑体" w:hAnsi="Arial" w:eastAsia="黑体"/>
          <w:b/>
          <w:sz w:val="28"/>
          <w:szCs w:val="28"/>
          <w:highlight w:val="none"/>
        </w:rPr>
      </w:r>
      <w:r/>
    </w:p>
    <w:p>
      <w:pPr>
        <w:pStyle w:val="950"/>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50"/>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投标邀请……………………………………1</w:t>
      </w:r>
      <w:r>
        <w:rPr>
          <w:rFonts w:hint="eastAsia" w:ascii="方正黑体_GBK" w:hAnsi="方正黑体_GBK" w:eastAsia="方正黑体_GBK" w:cs="方正黑体_GBK"/>
          <w:color w:val="000000"/>
          <w:sz w:val="28"/>
          <w:szCs w:val="28"/>
          <w:highlight w:val="none"/>
        </w:rPr>
      </w:r>
      <w:r/>
    </w:p>
    <w:p>
      <w:pPr>
        <w:pStyle w:val="950"/>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第二章 投标人须知…………………………………4</w:t>
      </w:r>
      <w:r>
        <w:rPr>
          <w:rFonts w:hint="eastAsia" w:ascii="方正黑体_GBK" w:hAnsi="方正黑体_GBK" w:eastAsia="方正黑体_GBK" w:cs="方正黑体_GBK"/>
          <w:color w:val="000000"/>
          <w:sz w:val="28"/>
          <w:szCs w:val="28"/>
          <w:highlight w:val="none"/>
        </w:rPr>
      </w:r>
      <w:r/>
    </w:p>
    <w:p>
      <w:pPr>
        <w:pStyle w:val="950"/>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第三章 合同文本……………………………………</w:t>
      </w:r>
      <w:r>
        <w:rPr>
          <w:rFonts w:hint="eastAsia" w:ascii="方正黑体_GBK" w:hAnsi="方正黑体_GBK" w:eastAsia="方正黑体_GBK" w:cs="方正黑体_GBK"/>
          <w:color w:val="000000"/>
          <w:sz w:val="28"/>
          <w:szCs w:val="28"/>
          <w:highlight w:val="none"/>
          <w:lang w:val="en-US" w:eastAsia="zh-CN"/>
        </w:rPr>
        <w:t xml:space="preserve">14</w:t>
      </w:r>
      <w:r>
        <w:rPr>
          <w:rFonts w:ascii="方正黑体_GBK" w:hAnsi="方正黑体_GBK" w:eastAsia="方正黑体_GBK" w:cs="方正黑体_GBK"/>
          <w:color w:val="000000"/>
          <w:sz w:val="28"/>
          <w:szCs w:val="28"/>
          <w:highlight w:val="none"/>
          <w:lang w:val="en-US" w:eastAsia="zh-CN"/>
        </w:rPr>
      </w:r>
      <w:r/>
    </w:p>
    <w:p>
      <w:pPr>
        <w:pStyle w:val="950"/>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第四章 采购需求……………………………………</w:t>
      </w:r>
      <w:r>
        <w:rPr>
          <w:rFonts w:hint="eastAsia" w:ascii="方正黑体_GBK" w:hAnsi="方正黑体_GBK" w:eastAsia="方正黑体_GBK" w:cs="方正黑体_GBK"/>
          <w:color w:val="000000"/>
          <w:sz w:val="28"/>
          <w:szCs w:val="28"/>
          <w:highlight w:val="none"/>
          <w:lang w:val="en-US" w:eastAsia="zh-CN"/>
        </w:rPr>
        <w:t xml:space="preserve">18</w:t>
      </w:r>
      <w:r>
        <w:rPr>
          <w:rFonts w:ascii="方正黑体_GBK" w:hAnsi="方正黑体_GBK" w:eastAsia="方正黑体_GBK" w:cs="方正黑体_GBK"/>
          <w:color w:val="000000"/>
          <w:sz w:val="28"/>
          <w:szCs w:val="28"/>
          <w:highlight w:val="none"/>
          <w:lang w:val="en-US" w:eastAsia="zh-CN"/>
        </w:rPr>
      </w:r>
      <w:r/>
    </w:p>
    <w:p>
      <w:pPr>
        <w:pStyle w:val="950"/>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第五章 评标方法与评标标准………………………</w:t>
      </w:r>
      <w:r>
        <w:rPr>
          <w:rFonts w:hint="eastAsia" w:ascii="方正黑体_GBK" w:hAnsi="方正黑体_GBK" w:eastAsia="方正黑体_GBK" w:cs="方正黑体_GBK"/>
          <w:color w:val="000000"/>
          <w:sz w:val="28"/>
          <w:szCs w:val="28"/>
          <w:highlight w:val="none"/>
          <w:lang w:val="en-US" w:eastAsia="zh-CN"/>
        </w:rPr>
        <w:t xml:space="preserve">32</w:t>
      </w:r>
      <w:r>
        <w:rPr>
          <w:rFonts w:ascii="方正黑体_GBK" w:hAnsi="方正黑体_GBK" w:eastAsia="方正黑体_GBK" w:cs="方正黑体_GBK"/>
          <w:color w:val="000000"/>
          <w:sz w:val="28"/>
          <w:szCs w:val="28"/>
          <w:highlight w:val="none"/>
          <w:lang w:val="en-US" w:eastAsia="zh-CN"/>
        </w:rPr>
      </w:r>
      <w:r/>
    </w:p>
    <w:p>
      <w:pPr>
        <w:pStyle w:val="950"/>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第六章 投标文件格式………………………………</w:t>
      </w:r>
      <w:r>
        <w:rPr>
          <w:rFonts w:hint="eastAsia" w:ascii="方正黑体_GBK" w:hAnsi="方正黑体_GBK" w:eastAsia="方正黑体_GBK" w:cs="方正黑体_GBK"/>
          <w:color w:val="000000"/>
          <w:sz w:val="28"/>
          <w:szCs w:val="28"/>
          <w:highlight w:val="none"/>
          <w:lang w:val="en-US" w:eastAsia="zh-CN"/>
        </w:rPr>
        <w:t xml:space="preserve">39</w:t>
      </w:r>
      <w:r>
        <w:rPr>
          <w:rFonts w:ascii="方正黑体_GBK" w:hAnsi="方正黑体_GBK" w:eastAsia="方正黑体_GBK" w:cs="方正黑体_GBK"/>
          <w:color w:val="000000"/>
          <w:sz w:val="28"/>
          <w:szCs w:val="28"/>
          <w:highlight w:val="none"/>
          <w:lang w:val="en-US" w:eastAsia="zh-CN"/>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950"/>
        <w:jc w:val="center"/>
        <w:keepNext/>
        <w:spacing w:line="400" w:lineRule="exact"/>
        <w:rPr>
          <w:rFonts w:hint="eastAsia" w:ascii="方正黑体_GBK" w:hAnsi="方正黑体_GBK" w:eastAsia="方正黑体_GBK" w:cs="方正黑体_GBK"/>
          <w:color w:val="000000"/>
          <w:sz w:val="28"/>
          <w:szCs w:val="28"/>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highlight w:val="none"/>
        </w:rPr>
      </w:r>
      <w:r/>
    </w:p>
    <w:p>
      <w:pPr>
        <w:pStyle w:val="950"/>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受〔南京信息职业技术学院〕的委托，江苏省政府采购中心就〔南京信息职业技术学院部分楼宇和外环物业项目〕(〔JSZC-320000-SCZX-G2026-0482〕)项目进行公开招标采购，欢迎符合条件的供应商投标。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rPr>
          <w:rFonts w:hint="eastAsia" w:ascii="方正仿宋_GBK" w:hAnsi="方正仿宋_GBK" w:eastAsia="方正仿宋_GBK" w:cs="方正仿宋_GBK"/>
          <w:sz w:val="28"/>
          <w:szCs w:val="28"/>
          <w:highlight w:val="none"/>
        </w:rPr>
      </w:r>
      <w:r/>
    </w:p>
    <w:p>
      <w:pPr>
        <w:pStyle w:val="950"/>
        <w:ind w:firstLine="560"/>
        <w:spacing w:line="400" w:lineRule="exact"/>
        <w:rPr>
          <w:rFonts w:ascii="宋体" w:hAnsi="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南京信息职业技术学院部分楼宇和外环物业项目</w:t>
      </w:r>
      <w:r>
        <w:rPr>
          <w:rFonts w:hint="eastAsia" w:ascii="方正仿宋_GBK" w:hAnsi="方正仿宋_GBK" w:eastAsia="方正仿宋_GBK" w:cs="方正仿宋_GBK"/>
          <w:sz w:val="28"/>
          <w:szCs w:val="28"/>
          <w:highlight w:val="none"/>
        </w:rPr>
        <w:t xml:space="preserve">招标项目的潜在投标人可在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ascii="方正仿宋_GBK" w:hAnsi="方正仿宋_GBK" w:eastAsia="方正仿宋_GBK" w:cs="方正仿宋_GBK"/>
          <w:bCs/>
          <w:color w:val="000000"/>
          <w:sz w:val="28"/>
          <w:szCs w:val="28"/>
          <w:highlight w:val="none"/>
        </w:rPr>
        <w:t xml:space="preserve">11月</w:t>
      </w:r>
      <w:r>
        <w:rPr>
          <w:rFonts w:hint="eastAsia" w:eastAsia="方正仿宋_GBK"/>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sz w:val="28"/>
          <w:szCs w:val="28"/>
          <w:highlight w:val="none"/>
        </w:rPr>
        <w:t xml:space="preserve">分（北京时间）前递交投标文件</w:t>
      </w:r>
      <w:r>
        <w:rPr>
          <w:rFonts w:hint="eastAsia" w:ascii="方正仿宋_GBK" w:hAnsi="方正仿宋_GBK" w:eastAsia="方正仿宋_GBK" w:cs="方正仿宋_GBK"/>
          <w:sz w:val="28"/>
          <w:szCs w:val="28"/>
          <w:highlight w:val="none"/>
        </w:rPr>
        <w:t xml:space="preserve">。</w:t>
      </w:r>
      <w:r>
        <w:rPr>
          <w:rFonts w:ascii="宋体" w:hAnsi="宋体"/>
          <w:sz w:val="28"/>
          <w:szCs w:val="28"/>
          <w:highlight w:val="none"/>
        </w:rPr>
      </w:r>
      <w:r/>
    </w:p>
    <w:p>
      <w:pPr>
        <w:pStyle w:val="950"/>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：JSZC-320000-SCZX-G2026-0482  </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南京信息职业技术学院部分楼宇和外环物业项目</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bookmarkEnd w:id="11"/>
      <w:r>
        <w:rPr>
          <w:rFonts w:hint="eastAsia" w:ascii="方正仿宋_GBK" w:hAnsi="方正仿宋_GBK" w:eastAsia="方正仿宋_GBK" w:cs="方正仿宋_GBK"/>
          <w:color w:val="000000"/>
          <w:sz w:val="28"/>
          <w:szCs w:val="28"/>
          <w:highlight w:val="none"/>
        </w:rPr>
        <w:t xml:space="preserve">3.预算金额</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w:t>
            </w:r>
            <w:r>
              <w:rPr>
                <w:rFonts w:hint="eastAsia" w:ascii="方正仿宋_GBK" w:hAnsi="方正仿宋_GBK" w:eastAsia="方正仿宋_GBK" w:cs="方正仿宋_GBK"/>
                <w:sz w:val="28"/>
                <w:szCs w:val="28"/>
                <w:highlight w:val="none"/>
                <w:lang w:val="en-US" w:eastAsia="zh-CN"/>
              </w:rPr>
              <w:t xml:space="preserve">万</w:t>
            </w:r>
            <w:r>
              <w:rPr>
                <w:rFonts w:hint="eastAsia" w:ascii="方正仿宋_GBK" w:hAnsi="方正仿宋_GBK" w:eastAsia="方正仿宋_GBK" w:cs="方正仿宋_GBK"/>
                <w:sz w:val="28"/>
                <w:szCs w:val="28"/>
                <w:highlight w:val="none"/>
              </w:rPr>
              <w:t xml:space="preserve">元）</w:t>
            </w:r>
            <w:r>
              <w:rPr>
                <w:rFonts w:hint="eastAsia" w:ascii="方正仿宋_GBK" w:hAnsi="方正仿宋_GBK" w:eastAsia="方正仿宋_GBK" w:cs="方正仿宋_GBK"/>
                <w:sz w:val="28"/>
                <w:szCs w:val="28"/>
                <w:highlight w:val="none"/>
              </w:rPr>
            </w:r>
            <w:r/>
          </w:p>
        </w:tc>
      </w:tr>
      <w:tr>
        <w:trPr/>
        <w:tc>
          <w:tcPr>
            <w:tcW w:w="1092" w:type="dxa"/>
            <w:vAlign w:val="top"/>
            <w:textDirection w:val="lrTb"/>
            <w:noWrap w:val="false"/>
          </w:tcPr>
          <w:p>
            <w:pPr>
              <w:pStyle w:val="950"/>
              <w:ind w:firstLine="28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50"/>
              <w:ind w:firstLine="1120"/>
              <w:spacing w:line="40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356</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085</w:t>
            </w:r>
            <w:r>
              <w:rPr>
                <w:rFonts w:hint="eastAsia" w:ascii="方正仿宋_GBK" w:hAnsi="方正仿宋_GBK" w:eastAsia="方正仿宋_GBK" w:cs="方正仿宋_GBK"/>
                <w:sz w:val="28"/>
                <w:szCs w:val="28"/>
                <w:highlight w:val="none"/>
              </w:rPr>
            </w:r>
            <w:r/>
          </w:p>
        </w:tc>
      </w:tr>
    </w:tbl>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233"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w:t>
            </w:r>
            <w:r>
              <w:rPr>
                <w:rFonts w:hint="eastAsia" w:ascii="方正仿宋_GBK" w:hAnsi="方正仿宋_GBK" w:eastAsia="方正仿宋_GBK" w:cs="方正仿宋_GBK"/>
                <w:sz w:val="28"/>
                <w:szCs w:val="28"/>
                <w:highlight w:val="none"/>
                <w:lang w:val="en-US" w:eastAsia="zh-CN"/>
              </w:rPr>
              <w:t xml:space="preserve">万</w:t>
            </w:r>
            <w:r>
              <w:rPr>
                <w:rFonts w:hint="eastAsia" w:ascii="方正仿宋_GBK" w:hAnsi="方正仿宋_GBK" w:eastAsia="方正仿宋_GBK" w:cs="方正仿宋_GBK"/>
                <w:sz w:val="28"/>
                <w:szCs w:val="28"/>
                <w:highlight w:val="none"/>
              </w:rPr>
              <w:t xml:space="preserve">元）</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33"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356</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085</w:t>
            </w:r>
            <w:r>
              <w:rPr>
                <w:rFonts w:hint="eastAsia" w:ascii="方正仿宋_GBK" w:hAnsi="方正仿宋_GBK" w:eastAsia="方正仿宋_GBK" w:cs="方正仿宋_GBK"/>
                <w:sz w:val="28"/>
                <w:szCs w:val="28"/>
                <w:highlight w:val="none"/>
              </w:rPr>
            </w:r>
            <w:r/>
          </w:p>
        </w:tc>
      </w:tr>
    </w:tbl>
    <w:p>
      <w:pPr>
        <w:pStyle w:val="950"/>
        <w:ind w:firstLine="560"/>
        <w:spacing w:line="400" w:lineRule="exact"/>
        <w:rPr>
          <w:rFonts w:hint="eastAsia" w:ascii="方正仿宋_GBK" w:hAnsi="方正仿宋_GBK" w:eastAsia="方正仿宋_GBK" w:cs="方正仿宋_GBK"/>
          <w:sz w:val="28"/>
          <w:szCs w:val="28"/>
          <w:highlight w:val="none"/>
          <w:u w:val="single"/>
        </w:rPr>
      </w:pPr>
      <w:r/>
      <w:bookmarkStart w:id="12" w:name="_Toc28359080"/>
      <w:r/>
      <w:bookmarkStart w:id="13" w:name="_Toc35393791"/>
      <w:r/>
      <w:bookmarkStart w:id="14" w:name="_Toc28359003"/>
      <w:r/>
      <w:bookmarkStart w:id="15" w:name="_Toc38985264"/>
      <w:r/>
      <w:bookmarkStart w:id="16" w:name="_Toc35393622"/>
      <w:r>
        <w:rPr>
          <w:rFonts w:hint="eastAsia" w:ascii="方正仿宋_GBK" w:hAnsi="方正仿宋_GBK" w:eastAsia="方正仿宋_GBK" w:cs="方正仿宋_GBK"/>
          <w:sz w:val="28"/>
          <w:szCs w:val="28"/>
          <w:highlight w:val="none"/>
        </w:rPr>
        <w:t xml:space="preserve">5.采购需求(简介)：</w:t>
      </w:r>
      <w:r>
        <w:rPr>
          <w:rFonts w:hint="eastAsia" w:ascii="方正仿宋_GBK" w:hAnsi="方正仿宋_GBK" w:eastAsia="方正仿宋_GBK" w:cs="方正仿宋_GBK"/>
          <w:sz w:val="28"/>
          <w:szCs w:val="28"/>
          <w:highlight w:val="none"/>
        </w:rPr>
        <w:t xml:space="preserve">本项目是南京信息职业技术学院部分楼宇和外环物业项目，物业服务范围主要包括学校部分楼宇和外环：科技园C1、科技园C2、行健楼、行毅楼、行远楼、商业街一二号楼、心理健康中心和卫生所的物业服务及校园室外环境卫生。</w:t>
      </w:r>
      <w:r>
        <w:rPr>
          <w:rFonts w:hint="eastAsia" w:ascii="方正仿宋_GBK" w:hAnsi="方正仿宋_GBK" w:eastAsia="方正仿宋_GBK" w:cs="方正仿宋_GBK"/>
          <w:sz w:val="28"/>
          <w:szCs w:val="28"/>
          <w:highlight w:val="none"/>
        </w:rPr>
        <w:t xml:space="preserve">（详细内容见本招标文件第四章）</w:t>
      </w:r>
      <w:r>
        <w:rPr>
          <w:rFonts w:hint="eastAsia" w:ascii="方正仿宋_GBK" w:hAnsi="方正仿宋_GBK" w:eastAsia="方正仿宋_GBK" w:cs="方正仿宋_GBK"/>
          <w:sz w:val="28"/>
          <w:szCs w:val="28"/>
          <w:highlight w:val="none"/>
          <w:u w:val="single"/>
        </w:rPr>
      </w:r>
      <w:r/>
    </w:p>
    <w:p>
      <w:pPr>
        <w:pStyle w:val="950"/>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eastAsia="方正仿宋_GBK"/>
          <w:color w:val="000000"/>
          <w:sz w:val="28"/>
          <w:szCs w:val="28"/>
          <w:highlight w:val="none"/>
        </w:rPr>
        <w:t xml:space="preserve">2026年12月1日起至2028年7月31日止。</w:t>
      </w:r>
      <w:r>
        <w:rPr>
          <w:rFonts w:hint="eastAsia" w:ascii="方正仿宋_GBK" w:hAnsi="方正仿宋_GBK" w:eastAsia="方正仿宋_GBK" w:cs="方正仿宋_GBK"/>
          <w:color w:val="000000"/>
          <w:sz w:val="28"/>
          <w:szCs w:val="28"/>
          <w:highlight w:val="none"/>
          <w:u w:val="single"/>
        </w:rPr>
      </w:r>
      <w:r/>
    </w:p>
    <w:p>
      <w:pPr>
        <w:pStyle w:val="950"/>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50"/>
        <w:ind w:firstLine="560"/>
        <w:spacing w:line="400" w:lineRule="exact"/>
        <w:rPr>
          <w:rFonts w:hint="eastAsia" w:ascii="方正楷体_GBK" w:hAnsi="方正楷体_GBK" w:eastAsia="方正楷体_GBK" w:cs="方正楷体_GBK"/>
          <w:color w:val="000000"/>
          <w:sz w:val="28"/>
          <w:szCs w:val="28"/>
          <w:highlight w:val="none"/>
        </w:rPr>
      </w:pPr>
      <w:r/>
      <w:bookmarkStart w:id="17" w:name="_Toc38985265"/>
      <w:r/>
      <w:bookmarkStart w:id="18" w:name="_Toc28359004"/>
      <w:r/>
      <w:bookmarkStart w:id="19" w:name="_Toc28359081"/>
      <w:r/>
      <w:bookmarkStart w:id="20" w:name="_Toc35393623"/>
      <w:r/>
      <w:bookmarkStart w:id="21" w:name="_Toc35393792"/>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50"/>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50"/>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rFonts w:hint="eastAsia" w:ascii="方正仿宋_GBK" w:hAnsi="方正仿宋_GBK" w:eastAsia="方正仿宋_GBK" w:cs="方正仿宋_GBK"/>
          <w:sz w:val="28"/>
          <w:szCs w:val="28"/>
          <w:highlight w:val="none"/>
        </w:rPr>
      </w:r>
      <w:r/>
    </w:p>
    <w:p>
      <w:pPr>
        <w:pStyle w:val="950"/>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bookmarkStart w:id="27" w:name="_Toc28359084"/>
      <w:r/>
      <w:bookmarkStart w:id="28" w:name="_Toc35393625"/>
      <w:r/>
      <w:bookmarkStart w:id="29" w:name="_Toc28359007"/>
      <w:r/>
      <w:bookmarkStart w:id="30" w:name="_Toc38985267"/>
      <w:r/>
      <w:bookmarkStart w:id="31" w:name="_Toc35393794"/>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highlight w:val="none"/>
        </w:rPr>
      </w:r>
      <w:r/>
    </w:p>
    <w:p>
      <w:pPr>
        <w:pStyle w:val="950"/>
        <w:ind w:firstLine="560"/>
        <w:spacing w:line="400" w:lineRule="exact"/>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rPr>
          <w:rFonts w:ascii="宋体" w:hAnsi="宋体"/>
          <w:bCs/>
          <w:color w:val="000000"/>
          <w:sz w:val="28"/>
          <w:szCs w:val="28"/>
          <w:highlight w:val="none"/>
          <w:u w:val="singl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950"/>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27"/>
      <w:r/>
      <w:bookmarkEnd w:id="28"/>
      <w:r/>
      <w:bookmarkEnd w:id="29"/>
      <w:r/>
      <w:bookmarkEnd w:id="30"/>
      <w:r/>
      <w:bookmarkEnd w:id="31"/>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highlight w:val="none"/>
        </w:rPr>
        <w:t xml:space="preserve">五、公告期限</w:t>
      </w:r>
      <w:r>
        <w:rPr>
          <w:rFonts w:hint="eastAsia" w:ascii="方正黑体_GBK" w:hAnsi="方正黑体_GBK" w:eastAsia="方正黑体_GBK" w:cs="方正黑体_GBK"/>
          <w:color w:val="000000"/>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sz w:val="28"/>
          <w:szCs w:val="28"/>
          <w:highlight w:val="none"/>
        </w:rPr>
      </w:r>
      <w:r/>
    </w:p>
    <w:p>
      <w:pPr>
        <w:pStyle w:val="950"/>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32"/>
      <w:r/>
      <w:bookmarkEnd w:id="33"/>
      <w:r/>
      <w:bookmarkEnd w:id="34"/>
      <w:r/>
      <w:bookmarkStart w:id="35" w:name="_Toc35393627"/>
      <w:r/>
      <w:bookmarkStart w:id="36" w:name="_Toc38985269"/>
      <w:r/>
      <w:bookmarkStart w:id="37" w:name="_Toc35393796"/>
      <w:r/>
      <w:bookmarkStart w:id="38" w:name="_Toc28359085"/>
      <w:r/>
      <w:bookmarkStart w:id="39" w:name="_Toc28359008"/>
      <w:r>
        <w:rPr>
          <w:rFonts w:hint="eastAsia" w:ascii="方正黑体_GBK" w:hAnsi="方正黑体_GBK" w:eastAsia="方正黑体_GBK" w:cs="方正黑体_GBK"/>
          <w:color w:val="000000"/>
          <w:sz w:val="28"/>
          <w:szCs w:val="28"/>
          <w:highlight w:val="none"/>
        </w:rPr>
        <w:t xml:space="preserve">六、其他补充事宜</w:t>
      </w:r>
      <w:r>
        <w:rPr>
          <w:rFonts w:hint="eastAsia" w:ascii="方正黑体_GBK" w:hAnsi="方正黑体_GBK" w:eastAsia="方正黑体_GBK" w:cs="方正黑体_GBK"/>
          <w:color w:val="000000"/>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rPr>
      </w:r>
      <w:r/>
    </w:p>
    <w:p>
      <w:pPr>
        <w:pStyle w:val="950"/>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t xml:space="preserve">七、本次招标联系方式</w:t>
      </w:r>
      <w:r>
        <w:rPr>
          <w:rFonts w:hint="eastAsia" w:ascii="方正黑体_GBK" w:hAnsi="方正黑体_GBK" w:eastAsia="方正黑体_GBK" w:cs="方正黑体_GBK"/>
          <w:color w:val="000000"/>
          <w:sz w:val="28"/>
          <w:szCs w:val="28"/>
          <w:highlight w:val="none"/>
        </w:rPr>
      </w:r>
      <w:r/>
    </w:p>
    <w:p>
      <w:pPr>
        <w:pStyle w:val="95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50"/>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南京信息职业技术学院</w:t>
      </w:r>
      <w:r>
        <w:rPr>
          <w:rFonts w:hint="eastAsia" w:ascii="方正仿宋_GBK" w:hAnsi="方正仿宋_GBK" w:eastAsia="方正仿宋_GBK" w:cs="方正仿宋_GBK"/>
          <w:color w:val="000000"/>
          <w:sz w:val="28"/>
          <w:szCs w:val="28"/>
          <w:highlight w:val="none"/>
        </w:rPr>
      </w:r>
      <w:r/>
    </w:p>
    <w:p>
      <w:pPr>
        <w:pStyle w:val="950"/>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南京市文澜路99号　</w:t>
      </w:r>
      <w:r>
        <w:rPr>
          <w:rFonts w:hint="eastAsia" w:ascii="方正仿宋_GBK" w:hAnsi="方正仿宋_GBK" w:eastAsia="方正仿宋_GBK" w:cs="方正仿宋_GBK"/>
          <w:color w:val="000000"/>
          <w:sz w:val="28"/>
          <w:szCs w:val="28"/>
          <w:highlight w:val="none"/>
        </w:rPr>
      </w:r>
      <w:r/>
    </w:p>
    <w:p>
      <w:pPr>
        <w:pStyle w:val="950"/>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章老师   </w:t>
      </w:r>
      <w:r>
        <w:rPr>
          <w:rFonts w:hint="eastAsia" w:ascii="方正仿宋_GBK" w:hAnsi="方正仿宋_GBK" w:eastAsia="方正仿宋_GBK" w:cs="方正仿宋_GBK"/>
          <w:color w:val="000000"/>
          <w:sz w:val="28"/>
          <w:szCs w:val="28"/>
          <w:highlight w:val="none"/>
        </w:rPr>
      </w:r>
      <w:r/>
    </w:p>
    <w:p>
      <w:pPr>
        <w:pStyle w:val="950"/>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bookmarkStart w:id="40" w:name="_Toc28359086"/>
      <w:r/>
      <w:bookmarkStart w:id="41" w:name="_Toc28359009"/>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025-85842494　 </w:t>
      </w:r>
      <w:r>
        <w:rPr>
          <w:rFonts w:hint="eastAsia" w:ascii="方正仿宋_GBK" w:hAnsi="方正仿宋_GBK" w:eastAsia="方正仿宋_GBK" w:cs="方正仿宋_GBK"/>
          <w:color w:val="000000"/>
          <w:sz w:val="28"/>
          <w:szCs w:val="28"/>
          <w:highlight w:val="none"/>
          <w:u w:val="single"/>
        </w:rPr>
      </w:r>
      <w:r/>
    </w:p>
    <w:p>
      <w:pPr>
        <w:pStyle w:val="950"/>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50"/>
        <w:ind w:firstLine="48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南京市汉中门大街145号省政务中心二期3楼南区　</w:t>
      </w:r>
      <w:r>
        <w:rPr>
          <w:rFonts w:hint="eastAsia" w:ascii="方正仿宋_GBK" w:hAnsi="方正仿宋_GBK" w:eastAsia="方正仿宋_GBK" w:cs="方正仿宋_GBK"/>
          <w:color w:val="000000"/>
          <w:sz w:val="28"/>
          <w:szCs w:val="28"/>
          <w:highlight w:val="none"/>
          <w:u w:val="singl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厉彬彬、唐文                     </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highlight w:val="none"/>
          <w:u w:val="single"/>
        </w:rPr>
        <w:t xml:space="preserve">　025-83668517/83668519　　　　　　</w:t>
      </w:r>
      <w:r>
        <w:rPr>
          <w:rFonts w:hint="eastAsia" w:ascii="方正仿宋_GBK" w:hAnsi="方正仿宋_GBK" w:eastAsia="方正仿宋_GBK" w:cs="方正仿宋_GBK"/>
          <w:color w:val="000000"/>
          <w:sz w:val="28"/>
          <w:szCs w:val="28"/>
          <w:highlight w:val="none"/>
        </w:rPr>
      </w:r>
      <w:r/>
    </w:p>
    <w:p>
      <w:pPr>
        <w:pStyle w:val="950"/>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50"/>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rPr>
          <w:rFonts w:hint="eastAsia" w:ascii="方正仿宋_GBK" w:hAnsi="方正仿宋_GBK" w:eastAsia="方正仿宋_GBK" w:cs="方正仿宋_GBK"/>
          <w:bCs/>
          <w:sz w:val="28"/>
          <w:szCs w:val="28"/>
          <w:highlight w:val="none"/>
        </w:rPr>
      </w:r>
      <w:r/>
    </w:p>
    <w:p>
      <w:pPr>
        <w:pStyle w:val="950"/>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highlight w:val="none"/>
        </w:rPr>
      </w:r>
      <w:r/>
    </w:p>
    <w:p>
      <w:pPr>
        <w:pStyle w:val="950"/>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highlight w:val="none"/>
        </w:rPr>
      </w:r>
      <w:r/>
    </w:p>
    <w:p>
      <w:pPr>
        <w:pStyle w:val="950"/>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rFonts w:hint="eastAsia" w:ascii="方正仿宋_GBK" w:hAnsi="方正仿宋_GBK" w:eastAsia="方正仿宋_GBK" w:cs="方正仿宋_GBK"/>
          <w:bCs/>
          <w:sz w:val="28"/>
          <w:szCs w:val="28"/>
          <w:highlight w:val="none"/>
        </w:rPr>
      </w:r>
      <w:r/>
    </w:p>
    <w:p>
      <w:pPr>
        <w:pStyle w:val="950"/>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0"/>
        <w:ind w:right="839"/>
        <w:jc w:val="center"/>
        <w:keepLines w:val="0"/>
        <w:keepNext w:val="0"/>
        <w:pageBreakBefore w:val="0"/>
        <w:spacing w:line="400" w:lineRule="exact"/>
        <w:widowControl w:val="off"/>
        <w:rPr>
          <w:rFonts w:hint="eastAsia" w:ascii="宋体" w:hAnsi="宋体"/>
          <w:sz w:val="28"/>
          <w:szCs w:val="28"/>
          <w:highlight w:val="none"/>
        </w:rPr>
      </w:pPr>
      <w:r>
        <w:rPr>
          <w:rFonts w:ascii="宋体" w:hAnsi="宋体"/>
          <w:sz w:val="24"/>
          <w:szCs w:val="24"/>
          <w:highlight w:val="none"/>
        </w:rPr>
        <w:br w:type="page" w:clear="all"/>
      </w:r>
      <w:bookmarkStart w:id="44" w:name="_Toc120614211"/>
      <w:r>
        <w:rPr>
          <w:rFonts w:hint="eastAsia" w:ascii="方正黑体_GBK" w:hAnsi="方正黑体_GBK" w:eastAsia="方正黑体_GBK" w:cs="方正黑体_GBK"/>
          <w:color w:val="000000"/>
          <w:sz w:val="28"/>
          <w:szCs w:val="28"/>
          <w:highlight w:val="none"/>
        </w:rPr>
        <w:t xml:space="preserve">第二章  投标人须知</w:t>
      </w:r>
      <w:r>
        <w:rPr>
          <w:rFonts w:hint="eastAsia" w:ascii="宋体" w:hAnsi="宋体"/>
          <w:sz w:val="28"/>
          <w:szCs w:val="28"/>
          <w:highlight w:val="none"/>
        </w:rPr>
      </w:r>
      <w:r/>
    </w:p>
    <w:p>
      <w:pPr>
        <w:pStyle w:val="9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rFonts w:hint="eastAsia" w:ascii="方正黑体_GBK" w:hAnsi="方正黑体_GBK" w:eastAsia="方正黑体_GBK" w:cs="方正黑体_GBK"/>
          <w:color w:val="000000"/>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招标方式</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合格的投标人</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r>
        <w:rPr>
          <w:rFonts w:hint="eastAsia" w:ascii="方正仿宋_GBK" w:hAnsi="方正仿宋_GBK" w:eastAsia="方正仿宋_GBK" w:cs="方正仿宋_GBK"/>
          <w:bCs/>
          <w:sz w:val="28"/>
          <w:szCs w:val="28"/>
          <w:highlight w:val="none"/>
          <w:lang w:eastAsia="zh-CN"/>
        </w:rPr>
        <w:t xml:space="preserve">和标准</w:t>
      </w:r>
      <w:r>
        <w:rPr>
          <w:rFonts w:hint="eastAsia" w:ascii="方正仿宋_GBK" w:hAnsi="方正仿宋_GBK" w:eastAsia="方正仿宋_GBK" w:cs="方正仿宋_GBK"/>
          <w:bCs/>
          <w:sz w:val="28"/>
          <w:szCs w:val="28"/>
          <w:highlight w:val="none"/>
          <w:lang w:eastAsia="zh-CN"/>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highlight w:val="none"/>
          <w:lang w:val="en-US" w:eastAsia="zh-CN"/>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投标费用</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招标文件的约束力</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highlight w:val="none"/>
        </w:rPr>
      </w:r>
      <w:r/>
    </w:p>
    <w:p>
      <w:pPr>
        <w:pStyle w:val="9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rFonts w:hint="eastAsia" w:ascii="方正黑体_GBK" w:hAnsi="方正黑体_GBK" w:eastAsia="方正黑体_GBK" w:cs="方正黑体_GBK"/>
          <w:color w:val="000000"/>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招标文件构成</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招标文件的修改</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sz w:val="28"/>
          <w:szCs w:val="28"/>
          <w:highlight w:val="none"/>
        </w:rPr>
      </w:r>
      <w:r/>
    </w:p>
    <w:p>
      <w:pPr>
        <w:pStyle w:val="9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highlight w:val="none"/>
        </w:rPr>
      </w:r>
      <w:r/>
    </w:p>
    <w:p>
      <w:pPr>
        <w:pStyle w:val="9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rPr>
          <w:rFonts w:hint="eastAsia" w:ascii="方正黑体_GBK" w:hAnsi="方正黑体_GBK" w:eastAsia="方正黑体_GBK" w:cs="方正黑体_GBK"/>
          <w:color w:val="000000"/>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Cs w:val="0"/>
          <w:sz w:val="28"/>
          <w:szCs w:val="28"/>
          <w:highlight w:val="none"/>
        </w:rPr>
      </w:pPr>
      <w:r>
        <w:rPr>
          <w:rFonts w:hint="eastAsia" w:ascii="方正仿宋_GBK" w:hAnsi="方正仿宋_GBK" w:eastAsia="方正仿宋_GBK" w:cs="方正仿宋_GBK"/>
          <w:b w:val="0"/>
          <w:bCs w:val="0"/>
          <w:sz w:val="28"/>
          <w:szCs w:val="28"/>
          <w:highlight w:val="none"/>
        </w:rPr>
        <w:t xml:space="preserve">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投标文件的语言及度量衡单位</w:t>
      </w:r>
      <w:r>
        <w:rPr>
          <w:rFonts w:hint="eastAsia" w:ascii="方正仿宋_GBK" w:hAnsi="方正仿宋_GBK" w:eastAsia="方正仿宋_GBK" w:cs="方正仿宋_GBK"/>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投标文件构成</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10</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证明投标人及投标标的符合招标文件规定的文件</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11</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投标分项报价表</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投标人按照招标文件规定格式填报投标分项报价表。</w:t>
      </w:r>
      <w:r>
        <w:rPr>
          <w:rFonts w:hint="eastAsia" w:ascii="方正仿宋_GBK" w:hAnsi="方正仿宋_GBK" w:eastAsia="方正仿宋_GBK" w:cs="方正仿宋_GBK"/>
          <w:bCs/>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rPr>
          <w:rFonts w:hint="eastAsia" w:ascii="方正仿宋_GBK" w:hAnsi="方正仿宋_GBK" w:eastAsia="方正仿宋_GBK" w:cs="方正仿宋_GBK"/>
          <w:bCs/>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12</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技术要求响应及偏离表、商务要求响应及偏离表</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highlight w:val="none"/>
          <w:lang w:val="zh-CN"/>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highlight w:val="none"/>
          <w:lang w:val="zh-CN"/>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13</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投标函和开标一览表</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14</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rPr>
          <w:rFonts w:hint="eastAsia" w:ascii="方正仿宋_GBK" w:hAnsi="方正仿宋_GBK" w:eastAsia="方正仿宋_GBK" w:cs="方正仿宋_GBK"/>
          <w:bCs/>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15</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投标有效期的延长</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rPr>
          <w:rFonts w:hint="eastAsia" w:ascii="方正黑体_GBK" w:hAnsi="方正黑体_GBK" w:eastAsia="方正黑体_GBK" w:cs="方正黑体_GBK"/>
          <w:color w:val="000000"/>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16</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投标文件的递交</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rPr>
          <w:rFonts w:hint="eastAsia" w:ascii="方正仿宋_GBK" w:hAnsi="方正仿宋_GBK" w:eastAsia="方正仿宋_GBK" w:cs="方正仿宋_GBK"/>
          <w:bCs/>
          <w:sz w:val="28"/>
          <w:szCs w:val="28"/>
          <w:highlight w:val="none"/>
        </w:rPr>
      </w:r>
      <w:r/>
    </w:p>
    <w:p>
      <w:pPr>
        <w:pStyle w:val="1063"/>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r>
        <w:rPr>
          <w:rFonts w:hint="eastAsia" w:ascii="方正仿宋_GBK" w:hAnsi="方正仿宋_GBK" w:eastAsia="方正仿宋_GBK" w:cs="方正仿宋_GBK"/>
          <w:bCs/>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17.投标截止时间</w:t>
      </w:r>
      <w:r>
        <w:rPr>
          <w:rFonts w:hint="eastAsia" w:ascii="方正仿宋_GBK" w:hAnsi="方正仿宋_GBK" w:eastAsia="方正仿宋_GBK" w:cs="方正仿宋_GBK"/>
          <w:bCs/>
          <w:sz w:val="28"/>
          <w:szCs w:val="28"/>
          <w:highlight w:val="none"/>
          <w:lang w:val="en-US" w:eastAsia="zh-CN" w:bidi="ar-SA"/>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投标文件的拒收</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rPr>
          <w:rFonts w:hint="eastAsia" w:ascii="方正仿宋_GBK" w:hAnsi="方正仿宋_GBK" w:eastAsia="方正仿宋_GBK" w:cs="方正仿宋_GBK"/>
          <w:bCs/>
          <w:sz w:val="28"/>
          <w:szCs w:val="28"/>
          <w:highlight w:val="none"/>
        </w:rPr>
      </w:r>
      <w:r/>
    </w:p>
    <w:p>
      <w:pPr>
        <w:pStyle w:val="95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投标文件的撤回和修改</w:t>
      </w:r>
      <w:r>
        <w:rPr>
          <w:rFonts w:hint="eastAsia" w:ascii="方正仿宋_GBK" w:hAnsi="方正仿宋_GBK" w:eastAsia="方正仿宋_GBK" w:cs="方正仿宋_GBK"/>
          <w:b w:val="0"/>
          <w:bCs w:val="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rPr>
          <w:rFonts w:hint="eastAsia" w:ascii="方正仿宋_GBK" w:hAnsi="方正仿宋_GBK" w:eastAsia="方正仿宋_GBK" w:cs="方正仿宋_GBK"/>
          <w:bCs/>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highlight w:val="none"/>
        </w:rPr>
      </w:r>
      <w:r/>
    </w:p>
    <w:p>
      <w:pPr>
        <w:pStyle w:val="9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rPr>
          <w:rFonts w:hint="eastAsia" w:ascii="方正黑体_GBK" w:hAnsi="方正黑体_GBK" w:eastAsia="方正黑体_GBK" w:cs="方正黑体_GBK"/>
          <w:color w:val="000000"/>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开标</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评标委员会</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独立工作，负责评审所有投标文件并确定中标侯选人。</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评标过程的保密与公正</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投标文件的澄清</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highlight w:val="none"/>
        </w:rPr>
      </w:r>
      <w:r/>
    </w:p>
    <w:p>
      <w:pPr>
        <w:pStyle w:val="950"/>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highlight w:val="none"/>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24.对投标文件的初审</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24.1投标文件初审分为资格审查和符合性审查。</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（2）大写金额和小写金额不一致的，以大写金额为准。</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同时出现两种以上错误的，按照前款规定的顺序修正。</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 异常低价投标审查</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none"/>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25.无效投标条款和废标条款</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25.1无效投标条款</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25.1.2 投标人未按照招标文件要求上传电子投标文件的。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25.1.4投标人不具备招标文件中规定资格要求的。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25.1.5投标人的报价超过了采购预算或最高限价的。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25.1.6未通过符合性审查的。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rPr>
          <w:rFonts w:hint="eastAsia" w:ascii="方正仿宋_GBK" w:hAnsi="方正仿宋_GBK" w:eastAsia="方正仿宋_GBK" w:cs="方正仿宋_GBK"/>
          <w:bCs/>
          <w:i/>
          <w:sz w:val="28"/>
          <w:szCs w:val="28"/>
          <w:highlight w:val="none"/>
          <w:u w:val="single"/>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25.1.8 投标人被 “信用中国”网站（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25.1.9 投标文件含有采购人不能接受的附加条件的。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25.1.11 投标文件未按照招标文件要求加盖CA电子公章的。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highlight w:val="none"/>
          <w:lang w:val="en-US" w:eastAsia="zh-CN"/>
        </w:rPr>
      </w:r>
      <w:r/>
    </w:p>
    <w:p>
      <w:pPr>
        <w:pStyle w:val="950"/>
        <w:ind w:firstLine="723"/>
        <w:keepLines w:val="0"/>
        <w:keepNext w:val="0"/>
        <w:pageBreakBefore w:val="0"/>
        <w:spacing w:line="400" w:lineRule="exact"/>
        <w:widowControl w:val="off"/>
        <w:rPr>
          <w:rFonts w:hint="eastAsia" w:ascii="方正仿宋_GBK" w:hAnsi="方正仿宋_GBK" w:eastAsia="方正仿宋_GBK" w:cs="方正仿宋_GBK"/>
          <w:b/>
          <w:bCs/>
          <w:sz w:val="36"/>
          <w:szCs w:val="36"/>
          <w:highlight w:val="none"/>
          <w:lang w:val="en-US" w:eastAsia="zh-CN"/>
        </w:rPr>
      </w:pPr>
      <w:r>
        <w:rPr>
          <w:rFonts w:hint="eastAsia" w:ascii="方正仿宋_GBK" w:hAnsi="方正仿宋_GBK" w:eastAsia="方正仿宋_GBK" w:cs="方正仿宋_GBK"/>
          <w:b/>
          <w:bCs/>
          <w:sz w:val="36"/>
          <w:szCs w:val="36"/>
          <w:highlight w:val="none"/>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方正仿宋_GBK" w:hAnsi="方正仿宋_GBK" w:eastAsia="方正仿宋_GBK" w:cs="方正仿宋_GBK"/>
          <w:b/>
          <w:bCs/>
          <w:sz w:val="36"/>
          <w:szCs w:val="36"/>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25.2废标条款</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25.2.2出现影响采购公正的违法、违规行为的。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25.2.3因重大变故，采购任务取消的。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25.2.5 因苏采云系统故障原因造成开标不成功的。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highlight w:val="none"/>
          <w:lang w:val="en-US" w:eastAsia="zh-CN"/>
        </w:rPr>
      </w:r>
      <w:r/>
    </w:p>
    <w:p>
      <w:pPr>
        <w:pStyle w:val="9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rPr>
          <w:rFonts w:hint="eastAsia" w:ascii="方正黑体_GBK" w:hAnsi="方正黑体_GBK" w:eastAsia="方正黑体_GBK" w:cs="方正黑体_GBK"/>
          <w:color w:val="000000"/>
          <w:sz w:val="28"/>
          <w:szCs w:val="28"/>
          <w:highlight w:val="none"/>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26.确定中标单位</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26.4.1提供虚假材料谋取中标的。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26.4.2向采购人、采购中心行贿或者提供其他不正当利益的。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26.4.4与采购人或者其他供应商恶意串通的。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26.4.5采取不正当手段诋毁、排挤其他供应商的。</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26.5有下列情形之一的，视为投标人串通投标，投标无效：</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26.5.1不同投标人的投标文件由同一单位或者个人编制。</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26.5.2不同投标人委托同一单位或者个人办理投标事宜。</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27.质疑处理</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27.2.2对采购过程提出质疑的，为各采购程序环节结束之日；</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lang w:val="en-US" w:eastAsia="zh-CN"/>
        </w:rPr>
        <w:t xml:space="preserve">采购人质疑接收人及联系方式见招标文件第一章。</w:t>
      </w:r>
      <w:r>
        <w:rPr>
          <w:rFonts w:hint="eastAsia" w:ascii="方正仿宋_GBK" w:hAnsi="方正仿宋_GBK" w:eastAsia="方正仿宋_GBK" w:cs="方正仿宋_GBK"/>
          <w:b/>
          <w:sz w:val="28"/>
          <w:szCs w:val="28"/>
          <w:highlight w:val="none"/>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 以下情形的质疑不予受理</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27.5.2 超出政府采购法定期限的质疑。</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27.5.3 以传真、电子邮件等方式递交的非原件形式的质疑。</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28.中标通知书</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highlight w:val="none"/>
          <w:lang w:val="en-US" w:eastAsia="zh-CN"/>
        </w:rPr>
      </w:r>
      <w:r/>
    </w:p>
    <w:p>
      <w:pPr>
        <w:pStyle w:val="9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rPr>
          <w:rFonts w:hint="eastAsia" w:ascii="方正黑体_GBK" w:hAnsi="方正黑体_GBK" w:eastAsia="方正黑体_GBK" w:cs="方正黑体_GBK"/>
          <w:color w:val="000000"/>
          <w:sz w:val="28"/>
          <w:szCs w:val="28"/>
          <w:highlight w:val="none"/>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29.签订合同</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30.服务（包含与服务相关的货物）的追加</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highlight w:val="none"/>
          <w:lang w:val="en-US" w:eastAsia="zh-CN"/>
        </w:rPr>
      </w:r>
      <w:r/>
    </w:p>
    <w:p>
      <w:pPr>
        <w:pStyle w:val="950"/>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31.政府采购履约资金扶持政策</w:t>
      </w:r>
      <w:r>
        <w:rPr>
          <w:rFonts w:hint="eastAsia" w:ascii="方正仿宋_GBK" w:hAnsi="方正仿宋_GBK" w:eastAsia="方正仿宋_GBK" w:cs="方正仿宋_GBK"/>
          <w:sz w:val="28"/>
          <w:szCs w:val="28"/>
          <w:highlight w:val="none"/>
          <w:lang w:val="en-US" w:eastAsia="zh-CN"/>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中标供应商可凭政府采购合同办理融资贷款，详情请见江苏政府采购网“政采贷”专栏。</w:t>
      </w:r>
      <w:bookmarkEnd w:id="1"/>
      <w:r/>
      <w:bookmarkEnd w:id="2"/>
      <w:r/>
      <w:bookmarkEnd w:id="3"/>
      <w:r/>
      <w:bookmarkEnd w:id="4"/>
      <w:r/>
      <w:bookmarkEnd w:id="5"/>
      <w:r/>
      <w:bookmarkEnd w:id="44"/>
      <w:r/>
      <w:bookmarkStart w:id="45" w:name="_Toc513029242"/>
      <w:r/>
      <w:bookmarkStart w:id="46" w:name="_Toc479757207"/>
      <w:r/>
      <w:bookmarkStart w:id="47" w:name="_Toc120614221"/>
      <w:r/>
      <w:bookmarkStart w:id="48" w:name="_Toc20823314"/>
      <w:r/>
      <w:bookmarkStart w:id="49" w:name="_Toc16938558"/>
      <w:r>
        <w:rPr>
          <w:rFonts w:hint="eastAsia" w:ascii="方正仿宋_GBK" w:hAnsi="方正仿宋_GBK" w:eastAsia="方正仿宋_GBK" w:cs="方正仿宋_GBK"/>
          <w:sz w:val="28"/>
          <w:szCs w:val="28"/>
          <w:highlight w:val="none"/>
        </w:rPr>
      </w:r>
      <w:r/>
    </w:p>
    <w:p>
      <w:pPr>
        <w:pStyle w:val="965"/>
        <w:spacing w:line="400" w:lineRule="exact"/>
        <w:rPr>
          <w:rFonts w:hint="eastAsia" w:ascii="宋体" w:hAnsi="宋体"/>
          <w:bCs/>
          <w:sz w:val="24"/>
          <w:highlight w:val="none"/>
        </w:rPr>
      </w:pPr>
      <w:r>
        <w:rPr>
          <w:rFonts w:hint="eastAsia" w:ascii="宋体" w:hAnsi="宋体"/>
          <w:bCs/>
          <w:sz w:val="24"/>
          <w:highlight w:val="none"/>
        </w:rPr>
      </w:r>
      <w:r/>
    </w:p>
    <w:p>
      <w:pPr>
        <w:pStyle w:val="965"/>
        <w:spacing w:line="400" w:lineRule="exact"/>
        <w:rPr>
          <w:rFonts w:hint="eastAsia" w:ascii="宋体" w:hAnsi="宋体"/>
          <w:bCs/>
          <w:sz w:val="24"/>
          <w:highlight w:val="none"/>
        </w:rPr>
      </w:pPr>
      <w:r>
        <w:rPr>
          <w:rFonts w:hint="eastAsia" w:ascii="宋体" w:hAnsi="宋体"/>
          <w:bCs/>
          <w:sz w:val="24"/>
          <w:highlight w:val="none"/>
        </w:rPr>
      </w:r>
      <w:r/>
    </w:p>
    <w:p>
      <w:pPr>
        <w:pStyle w:val="965"/>
        <w:spacing w:line="400" w:lineRule="exact"/>
        <w:rPr>
          <w:rFonts w:hint="eastAsia" w:ascii="宋体" w:hAnsi="宋体"/>
          <w:bCs/>
          <w:sz w:val="24"/>
          <w:highlight w:val="none"/>
        </w:rPr>
      </w:pPr>
      <w:r>
        <w:rPr>
          <w:rFonts w:hint="eastAsia" w:ascii="宋体" w:hAnsi="宋体"/>
          <w:bCs/>
          <w:sz w:val="24"/>
          <w:highlight w:val="none"/>
        </w:rPr>
      </w:r>
      <w:r/>
    </w:p>
    <w:p>
      <w:pPr>
        <w:pStyle w:val="950"/>
        <w:ind w:right="839"/>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第三章  合同</w:t>
      </w:r>
      <w:bookmarkEnd w:id="45"/>
      <w:r/>
      <w:bookmarkEnd w:id="46"/>
      <w:r/>
      <w:bookmarkEnd w:id="47"/>
      <w:r/>
      <w:bookmarkEnd w:id="48"/>
      <w:r/>
      <w:bookmarkEnd w:id="49"/>
      <w:r>
        <w:rPr>
          <w:rFonts w:hint="eastAsia" w:ascii="方正黑体_GBK" w:hAnsi="方正黑体_GBK" w:eastAsia="方正黑体_GBK" w:cs="方正黑体_GBK"/>
          <w:color w:val="000000"/>
          <w:sz w:val="28"/>
          <w:szCs w:val="28"/>
          <w:highlight w:val="none"/>
        </w:rPr>
        <w:t xml:space="preserve">文本</w:t>
      </w:r>
      <w:r>
        <w:rPr>
          <w:rFonts w:hint="eastAsia" w:ascii="方正黑体_GBK" w:hAnsi="方正黑体_GBK" w:eastAsia="方正黑体_GBK" w:cs="方正黑体_GBK"/>
          <w:color w:val="000000"/>
          <w:sz w:val="28"/>
          <w:szCs w:val="28"/>
          <w:highlight w:val="none"/>
        </w:rPr>
      </w:r>
      <w:r/>
    </w:p>
    <w:p>
      <w:pPr>
        <w:pStyle w:val="950"/>
        <w:ind w:firstLine="560"/>
        <w:spacing w:line="400" w:lineRule="exact"/>
        <w:rPr>
          <w:rFonts w:hint="eastAsia" w:ascii="方正仿宋_GBK" w:hAnsi="方正仿宋_GBK" w:eastAsia="方正仿宋_GBK" w:cs="方正仿宋_GBK"/>
          <w:bCs/>
          <w:sz w:val="28"/>
          <w:szCs w:val="28"/>
          <w:highlight w:val="none"/>
        </w:rPr>
      </w:pPr>
      <w:r/>
      <w:bookmarkStart w:id="50" w:name="_Toc20823315"/>
      <w:r/>
      <w:bookmarkStart w:id="51" w:name="_Toc16938559"/>
      <w:r/>
      <w:bookmarkStart w:id="52" w:name="_Toc513029243"/>
      <w:r>
        <w:rPr>
          <w:rFonts w:hint="eastAsia" w:ascii="方正仿宋_GBK" w:hAnsi="方正仿宋_GBK" w:eastAsia="方正仿宋_GBK" w:cs="方正仿宋_GBK"/>
          <w:bCs/>
          <w:sz w:val="28"/>
          <w:szCs w:val="28"/>
          <w:highlight w:val="none"/>
        </w:rPr>
      </w:r>
      <w:r/>
    </w:p>
    <w:p>
      <w:pPr>
        <w:pStyle w:val="982"/>
        <w:jc w:val="center"/>
        <w:spacing w:line="40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r>
      <w:r/>
    </w:p>
    <w:p>
      <w:pPr>
        <w:pStyle w:val="982"/>
        <w:jc w:val="center"/>
        <w:spacing w:line="40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江苏省政府采购合同（服务）（合同编号）</w:t>
      </w:r>
      <w:r>
        <w:rPr>
          <w:rFonts w:hint="eastAsia" w:ascii="方正黑体_GBK" w:hAnsi="方正黑体_GBK" w:eastAsia="方正黑体_GBK" w:cs="方正黑体_GBK"/>
          <w:spacing w:val="-20"/>
          <w:highlight w:val="none"/>
        </w:rPr>
      </w:r>
      <w:r/>
    </w:p>
    <w:p>
      <w:pPr>
        <w:pStyle w:val="950"/>
        <w:ind w:firstLine="560"/>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eastAsia="方正仿宋_GBK"/>
          <w:color w:val="000000"/>
          <w:sz w:val="28"/>
          <w:szCs w:val="28"/>
          <w:highlight w:val="none"/>
        </w:rPr>
        <w:t xml:space="preserve">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0"/>
        <w:ind w:firstLine="560"/>
        <w:spacing w:before="120" w:after="120" w:line="400" w:lineRule="exact"/>
        <w:rPr>
          <w:rFonts w:hint="eastAsia" w:ascii="方正仿宋_GBK" w:hAnsi="方正仿宋_GBK" w:eastAsia="方正仿宋_GBK" w:cs="方正仿宋_GBK"/>
          <w:color w:val="ff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ff0000"/>
          <w:sz w:val="28"/>
          <w:szCs w:val="28"/>
          <w:highlight w:val="none"/>
        </w:rPr>
        <w:t xml:space="preserve"> </w:t>
      </w:r>
      <w:r>
        <w:rPr>
          <w:rFonts w:hint="eastAsia" w:ascii="方正仿宋_GBK" w:hAnsi="方正仿宋_GBK" w:eastAsia="方正仿宋_GBK" w:cs="方正仿宋_GBK"/>
          <w:color w:val="ff0000"/>
          <w:sz w:val="28"/>
          <w:szCs w:val="28"/>
          <w:highlight w:val="none"/>
        </w:rPr>
      </w:r>
      <w:r/>
    </w:p>
    <w:p>
      <w:pPr>
        <w:pStyle w:val="950"/>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项目公开招标的结果，签署本合同。</w:t>
      </w:r>
      <w:r>
        <w:rPr>
          <w:rFonts w:hint="eastAsia" w:ascii="方正仿宋_GBK" w:hAnsi="方正仿宋_GBK" w:eastAsia="方正仿宋_GBK" w:cs="方正仿宋_GBK"/>
          <w:b/>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一、合同内容</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1.2标的质量：</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二、合同金额</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本合同金额为（大写）：________圆（________元）人民币或其他币种。</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三、技术资料</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四、知识产权</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五、产权担保</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六、履约保证金</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本项目不收取履约保证金。</w:t>
      </w:r>
      <w:r>
        <w:rPr>
          <w:rFonts w:hint="eastAsia" w:ascii="方正仿宋_GBK" w:hAnsi="方正仿宋_GBK" w:eastAsia="方正仿宋_GBK" w:cs="方正仿宋_GBK"/>
          <w:sz w:val="28"/>
          <w:szCs w:val="28"/>
          <w:highlight w:val="none"/>
          <w:lang w:val="en-US" w:eastAsia="zh-CN"/>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七、合同转包或分包</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rPr>
          <w:rFonts w:hint="eastAsia" w:ascii="方正仿宋_GBK" w:hAnsi="方正仿宋_GBK" w:eastAsia="方正仿宋_GBK" w:cs="方正仿宋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八、合同款项支付</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8.1合同款项的支付方式及进度安排</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分7期付款，前6期于履行合同每满3个月后验收，经验收合格后支付合同总价的15%，第7期于合同期满后进行验收，经验收合格后支付合同总价的10%。</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九、税费</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9.1本合同执行中相关的一切税费均由乙方负担。</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十、项目验收</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甲方依法组织履约验收工作。</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十一、违约责任</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的违约金。</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每日向乙方支付违约金。</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的违约金，如造成甲方损失超过违约金的，超出部分由乙方继续承担赔偿责任。 </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十二、不可抗力事件处理</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不可抗力事件发生后，应立即通知对方，并寄送有关权威机构出具的证明。</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 不可抗力事件延续120天以上，双方应通过友好协商，确定是否继续履行合同。</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十三、解决争议的方法</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hAnsi="宋体"/>
          <w:sz w:val="28"/>
          <w:szCs w:val="28"/>
          <w:highlight w:val="none"/>
        </w:rPr>
      </w:pPr>
      <w:r>
        <w:rPr>
          <w:rFonts w:hint="eastAsia" w:ascii="方正仿宋_GBK" w:hAnsi="方正仿宋_GBK" w:eastAsia="方正仿宋_GBK" w:cs="方正仿宋_GBK"/>
          <w:sz w:val="28"/>
          <w:szCs w:val="28"/>
          <w:highlight w:val="none"/>
        </w:rPr>
        <w:t xml:space="preserve">13.1双方在签订、履行合同中所发生的一切争议，应通过友好协商解决。如协商不成，由甲方住所地人民法院管辖。</w:t>
      </w:r>
      <w:r>
        <w:rPr>
          <w:rFonts w:hint="eastAsia" w:hAnsi="宋体"/>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十四、合同生效及其它</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合同经双方法定代表人或授权委托代表人签字并加盖单位公章后生效。</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14.2本合同未尽事宜，遵照中华人民共和国现行法律法规有关条文执行。</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本合同正本一式两份，具有同等法律效力，甲方、乙方各执一份。</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                        乙方： </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地址： </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法定代表人或授权代表：        法定代表人或授权代表：</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sz w:val="28"/>
          <w:szCs w:val="28"/>
          <w:highlight w:val="none"/>
        </w:rPr>
      </w:pPr>
      <w:r>
        <w:rPr>
          <w:rFonts w:hint="eastAsia" w:ascii="方正仿宋_GBK" w:hAnsi="方正仿宋_GBK" w:eastAsia="方正仿宋_GBK" w:cs="方正仿宋_GBK"/>
          <w:sz w:val="28"/>
          <w:szCs w:val="28"/>
          <w:highlight w:val="none"/>
        </w:rPr>
        <w:t xml:space="preserve">联系电话：                    联系电话：    </w:t>
      </w:r>
      <w:r>
        <w:rPr>
          <w:rFonts w:hint="eastAsia" w:hAnsi="宋体"/>
          <w:sz w:val="28"/>
          <w:szCs w:val="28"/>
          <w:highlight w:val="none"/>
        </w:rPr>
        <w:t xml:space="preserve">      </w:t>
      </w:r>
      <w:r>
        <w:rPr>
          <w:rFonts w:hint="eastAsia"/>
          <w:sz w:val="28"/>
          <w:szCs w:val="28"/>
          <w:highlight w:val="none"/>
        </w:rPr>
      </w:r>
      <w:r/>
    </w:p>
    <w:p>
      <w:pPr>
        <w:pStyle w:val="989"/>
        <w:jc w:val="center"/>
        <w:spacing w:before="120" w:after="120" w:line="400" w:lineRule="exact"/>
        <w:rPr>
          <w:sz w:val="28"/>
          <w:szCs w:val="28"/>
          <w:highlight w:val="none"/>
        </w:rPr>
      </w:pPr>
      <w:r>
        <w:rPr>
          <w:rFonts w:hint="eastAsia"/>
          <w:sz w:val="28"/>
          <w:szCs w:val="28"/>
          <w:highlight w:val="none"/>
        </w:rPr>
        <w:t xml:space="preserve">                                         </w:t>
      </w:r>
      <w:r>
        <w:rPr>
          <w:sz w:val="28"/>
          <w:szCs w:val="28"/>
          <w:highlight w:val="none"/>
        </w:rPr>
      </w:r>
      <w:r/>
    </w:p>
    <w:p>
      <w:pPr>
        <w:pStyle w:val="989"/>
        <w:jc w:val="right"/>
        <w:spacing w:before="120" w:after="120" w:line="400" w:lineRule="exact"/>
        <w:rPr>
          <w:sz w:val="28"/>
          <w:szCs w:val="28"/>
          <w:highlight w:val="none"/>
        </w:rPr>
      </w:pPr>
      <w:r>
        <w:rPr>
          <w:rFonts w:hint="eastAsia"/>
          <w:sz w:val="28"/>
          <w:szCs w:val="28"/>
          <w:highlight w:val="none"/>
        </w:rPr>
        <w:t xml:space="preserve"> </w:t>
      </w:r>
      <w:r>
        <w:rPr>
          <w:sz w:val="28"/>
          <w:szCs w:val="28"/>
          <w:highlight w:val="none"/>
        </w:rPr>
      </w:r>
      <w:r/>
    </w:p>
    <w:p>
      <w:pPr>
        <w:pStyle w:val="989"/>
        <w:jc w:val="center"/>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仿宋_GBK" w:hAnsi="方正仿宋_GBK" w:eastAsia="方正仿宋_GBK" w:cs="方正仿宋_GBK"/>
          <w:sz w:val="28"/>
          <w:szCs w:val="28"/>
          <w:highlight w:val="none"/>
        </w:rPr>
        <w:t xml:space="preserve">签订日期：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bookmarkEnd w:id="50"/>
      <w:r/>
      <w:bookmarkEnd w:id="51"/>
      <w:r/>
      <w:bookmarkEnd w:id="52"/>
      <w:r/>
      <w:bookmarkStart w:id="53" w:name="_Hlt16619369"/>
      <w:r/>
      <w:bookmarkEnd w:id="53"/>
      <w:r/>
      <w:bookmarkStart w:id="54" w:name="_Hlt16619350"/>
      <w:r/>
      <w:bookmarkStart w:id="55" w:name="_Toc120614244"/>
      <w:r/>
      <w:bookmarkStart w:id="56" w:name="_Toc20823346"/>
      <w:r/>
      <w:bookmarkStart w:id="57" w:name="_Toc16938590"/>
      <w:r/>
      <w:bookmarkStart w:id="58" w:name="_Toc462564139"/>
      <w:r/>
      <w:bookmarkStart w:id="59" w:name="_Toc479757211"/>
      <w:r>
        <w:rPr>
          <w:rFonts w:ascii="黑体" w:eastAsia="黑体"/>
          <w:bCs/>
          <w:sz w:val="28"/>
          <w:szCs w:val="28"/>
          <w:highlight w:val="none"/>
        </w:rPr>
        <w:br w:type="page" w:clear="all"/>
      </w:r>
      <w:r>
        <w:rPr>
          <w:rFonts w:hint="eastAsia" w:ascii="方正黑体_GBK" w:hAnsi="方正黑体_GBK" w:eastAsia="方正黑体_GBK" w:cs="方正黑体_GBK"/>
          <w:color w:val="000000"/>
          <w:sz w:val="28"/>
          <w:szCs w:val="28"/>
          <w:highlight w:val="none"/>
        </w:rPr>
        <w:t xml:space="preserve">第</w:t>
      </w:r>
      <w:bookmarkEnd w:id="54"/>
      <w:r>
        <w:rPr>
          <w:rFonts w:hint="eastAsia" w:ascii="方正黑体_GBK" w:hAnsi="方正黑体_GBK" w:eastAsia="方正黑体_GBK" w:cs="方正黑体_GBK"/>
          <w:color w:val="000000"/>
          <w:sz w:val="28"/>
          <w:szCs w:val="28"/>
          <w:highlight w:val="none"/>
        </w:rPr>
        <w:t xml:space="preserve">四章 采购需求</w:t>
      </w:r>
      <w:bookmarkEnd w:id="55"/>
      <w:r/>
      <w:bookmarkEnd w:id="56"/>
      <w:r/>
      <w:bookmarkEnd w:id="57"/>
      <w:r>
        <w:rPr>
          <w:rFonts w:hint="eastAsia" w:ascii="方正黑体_GBK" w:hAnsi="方正黑体_GBK" w:eastAsia="方正黑体_GBK" w:cs="方正黑体_GBK"/>
          <w:bCs/>
          <w:color w:val="000000"/>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bookmarkStart w:id="60" w:name="_Toc26554093"/>
      <w:r/>
      <w:bookmarkStart w:id="61" w:name="_Toc49090575"/>
      <w:r>
        <w:rPr>
          <w:rFonts w:hint="eastAsia" w:ascii="方正黑体_GBK" w:hAnsi="方正黑体_GBK" w:eastAsia="方正黑体_GBK" w:cs="方正黑体_GBK"/>
          <w:bCs/>
          <w:sz w:val="28"/>
          <w:szCs w:val="28"/>
          <w:highlight w:val="none"/>
        </w:rPr>
        <w:t xml:space="preserve">一、采购标的清单</w:t>
      </w:r>
      <w:r>
        <w:rPr>
          <w:rFonts w:hint="eastAsia" w:ascii="方正黑体_GBK" w:hAnsi="方正黑体_GBK" w:eastAsia="方正黑体_GBK" w:cs="方正黑体_GBK"/>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66"/>
        <w:gridCol w:w="3523"/>
        <w:gridCol w:w="2438"/>
      </w:tblGrid>
      <w:tr>
        <w:trPr>
          <w:cantSplit/>
          <w:trHeight w:val="701"/>
        </w:trPr>
        <w:tc>
          <w:tcPr>
            <w:tcW w:w="790"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523"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2438"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790"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r>
            <w:r/>
          </w:p>
        </w:tc>
        <w:tc>
          <w:tcPr>
            <w:tcW w:w="966"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523" w:type="dxa"/>
            <w:vAlign w:val="top"/>
            <w:textDirection w:val="lrTb"/>
            <w:noWrap w:val="false"/>
          </w:tcPr>
          <w:p>
            <w:pPr>
              <w:pStyle w:val="950"/>
              <w:jc w:val="center"/>
              <w:spacing w:line="400" w:lineRule="exact"/>
              <w:tabs>
                <w:tab w:val="left" w:pos="2020" w:leader="none"/>
              </w:tabs>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南京信息职业技术学院部分楼宇和外环物业服务</w:t>
            </w:r>
            <w:r>
              <w:rPr>
                <w:rFonts w:hint="eastAsia" w:ascii="方正仿宋_GBK" w:hAnsi="方正仿宋_GBK" w:eastAsia="方正仿宋_GBK" w:cs="方正仿宋_GBK"/>
                <w:sz w:val="28"/>
                <w:szCs w:val="28"/>
                <w:highlight w:val="none"/>
              </w:rPr>
            </w:r>
            <w:r/>
          </w:p>
        </w:tc>
        <w:tc>
          <w:tcPr>
            <w:tcW w:w="2438" w:type="dxa"/>
            <w:vAlign w:val="top"/>
            <w:textDirection w:val="lrTb"/>
            <w:noWrap w:val="false"/>
          </w:tcPr>
          <w:p>
            <w:pPr>
              <w:pStyle w:val="950"/>
              <w:jc w:val="center"/>
              <w:spacing w:line="400" w:lineRule="exact"/>
              <w:tabs>
                <w:tab w:val="left" w:pos="2020" w:leader="none"/>
              </w:tabs>
              <w:rPr>
                <w:rFonts w:eastAsia="方正仿宋_GBK"/>
                <w:color w:val="000000"/>
                <w:sz w:val="28"/>
                <w:szCs w:val="28"/>
                <w:highlight w:val="none"/>
              </w:rPr>
            </w:pPr>
            <w:r>
              <w:rPr>
                <w:rFonts w:hint="eastAsia" w:eastAsia="方正仿宋_GBK"/>
                <w:color w:val="000000"/>
                <w:sz w:val="28"/>
                <w:szCs w:val="28"/>
                <w:highlight w:val="none"/>
              </w:rPr>
              <w:t xml:space="preserve">物业管理服务</w:t>
            </w:r>
            <w:r>
              <w:rPr>
                <w:rFonts w:eastAsia="方正仿宋_GBK"/>
                <w:color w:val="000000"/>
                <w:sz w:val="28"/>
                <w:szCs w:val="28"/>
                <w:highlight w:val="none"/>
              </w:rPr>
            </w:r>
            <w:r/>
          </w:p>
        </w:tc>
      </w:tr>
    </w:tbl>
    <w:p>
      <w:pPr>
        <w:pStyle w:val="989"/>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项目属性:服务类项目。</w:t>
      </w:r>
      <w:r>
        <w:rPr>
          <w:rFonts w:hint="eastAsia" w:ascii="方正黑体_GBK" w:hAnsi="方正黑体_GBK" w:eastAsia="方正黑体_GBK" w:cs="方正黑体_GBK"/>
          <w:bCs/>
          <w:sz w:val="28"/>
          <w:szCs w:val="28"/>
          <w:highlight w:val="none"/>
        </w:rPr>
      </w:r>
      <w:r/>
    </w:p>
    <w:p>
      <w:pPr>
        <w:pStyle w:val="989"/>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二、政府采购中实施本国产品标准及相关政策</w:t>
      </w:r>
      <w:r>
        <w:rPr>
          <w:rFonts w:hint="eastAsia" w:ascii="方正黑体_GBK" w:hAnsi="方正黑体_GBK" w:eastAsia="方正黑体_GBK" w:cs="方正黑体_GBK"/>
          <w:bCs/>
          <w:sz w:val="28"/>
          <w:szCs w:val="28"/>
          <w:highlight w:val="none"/>
        </w:rPr>
      </w:r>
      <w:r/>
    </w:p>
    <w:p>
      <w:pPr>
        <w:pStyle w:val="950"/>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highlight w:val="none"/>
        </w:rPr>
      </w:r>
      <w:r/>
    </w:p>
    <w:p>
      <w:pPr>
        <w:pStyle w:val="950"/>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highlight w:val="none"/>
        </w:rPr>
      </w:r>
      <w:r/>
    </w:p>
    <w:p>
      <w:pPr>
        <w:pStyle w:val="950"/>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3.本国产品应当在中国境内生产，即在中华人民共和国关境内实现从原材料、组件到产品的属性改变。从具体情形看，在国内保税区、综合保税区等海关特殊监</w:t>
      </w:r>
      <w:r>
        <w:rPr>
          <w:rFonts w:hint="eastAsia" w:ascii="方正仿宋_GBK" w:hAnsi="方正仿宋_GBK" w:eastAsia="方正仿宋_GBK" w:cs="方正仿宋_GBK"/>
          <w:bCs/>
          <w:sz w:val="28"/>
          <w:szCs w:val="28"/>
          <w:highlight w:val="none"/>
        </w:rPr>
        <w:t xml:space="preserve">管区域生产的产品，属于在中国境内生产的产品；对医疗器械产品，取得药品监督管理部门授予的准字号医疗器械注册证的，属于在中国境内生产的产品；其</w:t>
      </w:r>
      <w:r>
        <w:rPr>
          <w:rFonts w:hint="eastAsia" w:ascii="方正仿宋_GBK" w:hAnsi="方正仿宋_GBK" w:eastAsia="方正仿宋_GBK" w:cs="方正仿宋_GBK"/>
          <w:sz w:val="28"/>
          <w:szCs w:val="28"/>
          <w:highlight w:val="none"/>
        </w:rPr>
        <w:t xml:space="preserve">他产品，根据实际情况判断是否在中国境内生产。</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三、采购项目概况</w:t>
      </w:r>
      <w:r>
        <w:rPr>
          <w:rFonts w:hint="eastAsia" w:ascii="方正黑体_GBK" w:hAnsi="方正黑体_GBK" w:eastAsia="方正黑体_GBK" w:cs="方正黑体_GBK"/>
          <w:bCs/>
          <w:sz w:val="28"/>
          <w:szCs w:val="28"/>
          <w:highlight w:val="none"/>
        </w:rPr>
      </w:r>
      <w:r/>
    </w:p>
    <w:p>
      <w:pPr>
        <w:pStyle w:val="989"/>
        <w:ind w:firstLine="562"/>
        <w:spacing w:line="46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（一）项目服务范围和物业费用</w:t>
      </w:r>
      <w:r>
        <w:rPr>
          <w:rFonts w:hint="eastAsia" w:ascii="方正仿宋_GBK" w:hAnsi="方正仿宋_GBK" w:eastAsia="方正仿宋_GBK" w:cs="方正仿宋_GBK"/>
          <w:b/>
          <w:sz w:val="28"/>
          <w:szCs w:val="28"/>
          <w:highlight w:val="none"/>
        </w:rPr>
      </w:r>
      <w:r/>
    </w:p>
    <w:p>
      <w:pPr>
        <w:pStyle w:val="989"/>
        <w:ind w:firstLine="560"/>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学校部分楼宇和外环：科技园C1、科技园C2、行健楼、行毅楼、行远楼、商业街一二号楼、心理健康中心和卫生所的物业服务及校园室外环境卫生。</w:t>
      </w:r>
      <w:r>
        <w:rPr>
          <w:rFonts w:hint="eastAsia" w:ascii="方正仿宋_GBK" w:hAnsi="方正仿宋_GBK" w:eastAsia="方正仿宋_GBK" w:cs="方正仿宋_GBK"/>
          <w:bCs/>
          <w:sz w:val="28"/>
          <w:szCs w:val="28"/>
          <w:highlight w:val="none"/>
        </w:rPr>
      </w:r>
      <w:r/>
    </w:p>
    <w:p>
      <w:pPr>
        <w:pStyle w:val="989"/>
        <w:ind w:firstLine="560"/>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楼宇项目总建筑面积约9万平方米，校园室外环境卫生约10万平方米，常驻人员设定不低于50人，其中缴纳社保人员不少于18人。</w:t>
      </w:r>
      <w:r>
        <w:rPr>
          <w:rFonts w:hint="eastAsia" w:ascii="方正仿宋_GBK" w:hAnsi="方正仿宋_GBK" w:eastAsia="方正仿宋_GBK" w:cs="方正仿宋_GBK"/>
          <w:bCs/>
          <w:sz w:val="28"/>
          <w:szCs w:val="28"/>
          <w:highlight w:val="none"/>
        </w:rPr>
      </w:r>
      <w:r/>
    </w:p>
    <w:p>
      <w:pPr>
        <w:pStyle w:val="989"/>
        <w:ind w:firstLine="560"/>
        <w:spacing w:line="46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物业服务采购时间为20个月：从2026年12月1日起至2028年7月31日止。服务期间预算上限控制价设定为：</w:t>
      </w:r>
      <w:r>
        <w:rPr>
          <w:rFonts w:hint="eastAsia" w:ascii="方正仿宋_GBK" w:hAnsi="方正仿宋_GBK" w:eastAsia="方正仿宋_GBK" w:cs="方正仿宋_GBK"/>
          <w:bCs/>
          <w:sz w:val="28"/>
          <w:szCs w:val="28"/>
          <w:highlight w:val="none"/>
        </w:rPr>
        <w:t xml:space="preserve">356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085</w:t>
      </w:r>
      <w:r>
        <w:rPr>
          <w:rFonts w:hint="eastAsia" w:ascii="方正仿宋_GBK" w:hAnsi="方正仿宋_GBK" w:eastAsia="方正仿宋_GBK" w:cs="方正仿宋_GBK"/>
          <w:bCs/>
          <w:sz w:val="28"/>
          <w:szCs w:val="28"/>
          <w:highlight w:val="none"/>
          <w:lang w:val="en-US" w:eastAsia="zh-CN"/>
        </w:rPr>
        <w:t xml:space="preserve">万</w:t>
      </w:r>
      <w:r>
        <w:rPr>
          <w:rFonts w:hint="eastAsia" w:ascii="方正仿宋_GBK" w:hAnsi="方正仿宋_GBK" w:eastAsia="方正仿宋_GBK" w:cs="方正仿宋_GBK"/>
          <w:bCs/>
          <w:sz w:val="28"/>
          <w:szCs w:val="28"/>
          <w:highlight w:val="none"/>
        </w:rPr>
        <w:t xml:space="preserve">元</w:t>
      </w:r>
      <w:r>
        <w:rPr>
          <w:rFonts w:ascii="方正仿宋_GBK" w:hAnsi="方正仿宋_GBK" w:eastAsia="方正仿宋_GBK" w:cs="方正仿宋_GBK"/>
          <w:bCs/>
          <w:sz w:val="28"/>
          <w:szCs w:val="28"/>
          <w:highlight w:val="none"/>
        </w:rPr>
        <w:t xml:space="preserve">。供应商的报价包含但不限于：人员工资（包括</w:t>
      </w:r>
      <w:r>
        <w:rPr>
          <w:rFonts w:hint="eastAsia" w:ascii="方正仿宋_GBK" w:hAnsi="方正仿宋_GBK" w:eastAsia="方正仿宋_GBK" w:cs="方正仿宋_GBK"/>
          <w:bCs/>
          <w:sz w:val="28"/>
          <w:szCs w:val="28"/>
          <w:highlight w:val="none"/>
        </w:rPr>
        <w:t xml:space="preserve">员工</w:t>
      </w:r>
      <w:r>
        <w:rPr>
          <w:rFonts w:ascii="方正仿宋_GBK" w:hAnsi="方正仿宋_GBK" w:eastAsia="方正仿宋_GBK" w:cs="方正仿宋_GBK"/>
          <w:bCs/>
          <w:sz w:val="28"/>
          <w:szCs w:val="28"/>
          <w:highlight w:val="none"/>
        </w:rPr>
        <w:t xml:space="preserve">福利、各类保险、公积金、法定节假日工资）、保洁和维修耗材费、人员服装费、环境布置费、办公费、各类税费等。</w:t>
      </w:r>
      <w:r>
        <w:rPr>
          <w:rFonts w:ascii="方正仿宋_GBK" w:hAnsi="方正仿宋_GBK" w:eastAsia="方正仿宋_GBK" w:cs="方正仿宋_GBK"/>
          <w:bCs/>
          <w:sz w:val="28"/>
          <w:szCs w:val="28"/>
          <w:highlight w:val="none"/>
        </w:rPr>
      </w:r>
      <w:r/>
    </w:p>
    <w:p>
      <w:pPr>
        <w:pStyle w:val="989"/>
        <w:ind w:firstLine="560"/>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服务期间，一般每三个月考核验收一次，经考核验收合格后，支付相应的物业费用。</w:t>
      </w:r>
      <w:r>
        <w:rPr>
          <w:rFonts w:hint="eastAsia" w:ascii="方正仿宋_GBK" w:hAnsi="方正仿宋_GBK" w:eastAsia="方正仿宋_GBK" w:cs="方正仿宋_GBK"/>
          <w:bCs/>
          <w:sz w:val="28"/>
          <w:szCs w:val="28"/>
          <w:highlight w:val="none"/>
        </w:rPr>
      </w:r>
      <w:r/>
    </w:p>
    <w:p>
      <w:pPr>
        <w:pStyle w:val="989"/>
        <w:ind w:firstLine="560"/>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20个月合同期内，当政策性最低工资标准和社保出现调整时，物业费不再增减；因采购方需要，当服务范围和所需人数出现变动时，经双方协商和核算，可对物业费用进行相应的增减。</w:t>
      </w:r>
      <w:r>
        <w:rPr>
          <w:rFonts w:hint="eastAsia" w:ascii="方正仿宋_GBK" w:hAnsi="方正仿宋_GBK" w:eastAsia="方正仿宋_GBK" w:cs="方正仿宋_GBK"/>
          <w:bCs/>
          <w:sz w:val="28"/>
          <w:szCs w:val="28"/>
          <w:highlight w:val="none"/>
        </w:rPr>
      </w:r>
      <w:r/>
    </w:p>
    <w:p>
      <w:pPr>
        <w:pStyle w:val="950"/>
        <w:ind w:firstLine="420"/>
        <w:spacing w:line="46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（二）项目服务内容</w:t>
      </w:r>
      <w:r>
        <w:rPr>
          <w:rFonts w:hint="eastAsia" w:ascii="方正仿宋_GBK" w:hAnsi="方正仿宋_GBK" w:eastAsia="方正仿宋_GBK" w:cs="方正仿宋_GBK"/>
          <w:b/>
          <w:sz w:val="28"/>
          <w:szCs w:val="28"/>
          <w:highlight w:val="none"/>
        </w:rPr>
      </w:r>
      <w:r/>
    </w:p>
    <w:p>
      <w:pPr>
        <w:pStyle w:val="1064"/>
        <w:ind w:firstLine="632"/>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1、一般服务内容</w:t>
      </w:r>
      <w:r>
        <w:rPr>
          <w:rFonts w:hint="eastAsia" w:ascii="方正仿宋_GBK" w:hAnsi="方正仿宋_GBK" w:eastAsia="方正仿宋_GBK" w:cs="方正仿宋_GBK"/>
          <w:bCs/>
          <w:sz w:val="28"/>
          <w:szCs w:val="28"/>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6223"/>
      </w:tblGrid>
      <w:tr>
        <w:trPr/>
        <w:tc>
          <w:tcPr>
            <w:tcW w:w="846" w:type="dxa"/>
            <w:vAlign w:val="top"/>
            <w:textDirection w:val="lrTb"/>
            <w:noWrap w:val="false"/>
          </w:tcPr>
          <w:p>
            <w:pPr>
              <w:pStyle w:val="1064"/>
              <w:spacing w:line="360" w:lineRule="exact"/>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rPr>
              <w:t xml:space="preserve">序号</w:t>
            </w:r>
            <w:r>
              <w:rPr>
                <w:rFonts w:hint="eastAsia" w:ascii="方正仿宋_GBK" w:hAnsi="方正仿宋_GBK" w:eastAsia="方正仿宋_GBK" w:cs="方正仿宋_GBK"/>
                <w:b/>
                <w:bCs/>
                <w:sz w:val="24"/>
                <w:szCs w:val="24"/>
                <w:highlight w:val="none"/>
              </w:rPr>
            </w:r>
            <w:r/>
          </w:p>
        </w:tc>
        <w:tc>
          <w:tcPr>
            <w:tcW w:w="1843" w:type="dxa"/>
            <w:vAlign w:val="top"/>
            <w:textDirection w:val="lrTb"/>
            <w:noWrap w:val="false"/>
          </w:tcPr>
          <w:p>
            <w:pPr>
              <w:pStyle w:val="950"/>
              <w:jc w:val="center"/>
              <w:spacing w:line="360" w:lineRule="exact"/>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rPr>
              <w:t xml:space="preserve">服务项目</w:t>
            </w:r>
            <w:r>
              <w:rPr>
                <w:rFonts w:hint="eastAsia" w:ascii="方正仿宋_GBK" w:hAnsi="方正仿宋_GBK" w:eastAsia="方正仿宋_GBK" w:cs="方正仿宋_GBK"/>
                <w:b/>
                <w:bCs/>
                <w:sz w:val="24"/>
                <w:szCs w:val="24"/>
                <w:highlight w:val="none"/>
              </w:rPr>
            </w:r>
            <w:r/>
          </w:p>
        </w:tc>
        <w:tc>
          <w:tcPr>
            <w:tcW w:w="6223" w:type="dxa"/>
            <w:vAlign w:val="top"/>
            <w:textDirection w:val="lrTb"/>
            <w:noWrap w:val="false"/>
          </w:tcPr>
          <w:p>
            <w:pPr>
              <w:pStyle w:val="950"/>
              <w:jc w:val="center"/>
              <w:spacing w:line="360" w:lineRule="exact"/>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rPr>
              <w:t xml:space="preserve">一般服务内容</w:t>
            </w:r>
            <w:r>
              <w:rPr>
                <w:rFonts w:hint="eastAsia" w:ascii="方正仿宋_GBK" w:hAnsi="方正仿宋_GBK" w:eastAsia="方正仿宋_GBK" w:cs="方正仿宋_GBK"/>
                <w:b/>
                <w:bCs/>
                <w:sz w:val="24"/>
                <w:szCs w:val="24"/>
                <w:highlight w:val="none"/>
              </w:rPr>
            </w:r>
            <w:r/>
          </w:p>
        </w:tc>
      </w:tr>
      <w:tr>
        <w:trPr>
          <w:trHeight w:val="2387"/>
        </w:trPr>
        <w:tc>
          <w:tcPr>
            <w:tcW w:w="846"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W w:w="1843"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保洁工作服务</w:t>
            </w:r>
            <w:r>
              <w:rPr>
                <w:rFonts w:hint="eastAsia" w:ascii="方正仿宋_GBK" w:hAnsi="方正仿宋_GBK" w:eastAsia="方正仿宋_GBK" w:cs="方正仿宋_GBK"/>
                <w:sz w:val="24"/>
                <w:szCs w:val="24"/>
                <w:highlight w:val="none"/>
              </w:rPr>
            </w:r>
            <w:r/>
          </w:p>
        </w:tc>
        <w:tc>
          <w:tcPr>
            <w:tcW w:w="6223" w:type="dxa"/>
            <w:vAlign w:val="center"/>
            <w:textDirection w:val="lrTb"/>
            <w:noWrap w:val="false"/>
          </w:tcPr>
          <w:p>
            <w:pPr>
              <w:pStyle w:val="950"/>
              <w:jc w:val="left"/>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1、楼宇内：按时完成楼宇规定的环境保洁服务、垃圾收集清运。提供整洁、卫生、安全、美观的环境。保持办公楼整体的景观效果。</w:t>
            </w:r>
            <w:r>
              <w:rPr>
                <w:rFonts w:hint="eastAsia" w:ascii="方正仿宋_GBK" w:hAnsi="方正仿宋_GBK" w:eastAsia="方正仿宋_GBK" w:cs="方正仿宋_GBK"/>
                <w:sz w:val="24"/>
                <w:szCs w:val="24"/>
                <w:highlight w:val="none"/>
              </w:rPr>
            </w:r>
            <w:r/>
          </w:p>
          <w:p>
            <w:pPr>
              <w:pStyle w:val="1064"/>
              <w:spacing w:line="360" w:lineRule="exact"/>
              <w:tabs>
                <w:tab w:val="left" w:pos="312" w:leader="none"/>
              </w:tabs>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2、校园室外环境卫生：校园内道路、景观道、绿化带、绿篱和各楼宇台阶以下环境卫生，体育场、篮球场、拓展基地、钢结构大棚及西篮球场公厕的环境卫生；河面、喷泉池等景观河面等区域。</w:t>
            </w:r>
            <w:r>
              <w:rPr>
                <w:rFonts w:hint="eastAsia" w:ascii="方正仿宋_GBK" w:hAnsi="方正仿宋_GBK" w:eastAsia="方正仿宋_GBK" w:cs="方正仿宋_GBK"/>
                <w:color w:val="000000"/>
                <w:sz w:val="24"/>
                <w:szCs w:val="24"/>
                <w:highlight w:val="none"/>
              </w:rPr>
            </w:r>
            <w:r/>
          </w:p>
          <w:p>
            <w:pPr>
              <w:pStyle w:val="1064"/>
              <w:spacing w:line="360" w:lineRule="exact"/>
              <w:tabs>
                <w:tab w:val="left" w:pos="312" w:leader="none"/>
              </w:tabs>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3、保洁工作所需保洁耗材、必要的保洁工具和办公用品均由中标方承担相关费用。</w:t>
            </w:r>
            <w:r>
              <w:rPr>
                <w:rFonts w:hint="eastAsia" w:ascii="方正仿宋_GBK" w:hAnsi="方正仿宋_GBK" w:eastAsia="方正仿宋_GBK" w:cs="方正仿宋_GBK"/>
                <w:color w:val="000000"/>
                <w:sz w:val="24"/>
                <w:szCs w:val="24"/>
                <w:highlight w:val="none"/>
              </w:rPr>
            </w:r>
            <w:r/>
          </w:p>
        </w:tc>
      </w:tr>
      <w:tr>
        <w:trPr/>
        <w:tc>
          <w:tcPr>
            <w:tcW w:w="846"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w:t>
            </w:r>
            <w:r>
              <w:rPr>
                <w:rFonts w:hint="eastAsia" w:ascii="方正仿宋_GBK" w:hAnsi="方正仿宋_GBK" w:eastAsia="方正仿宋_GBK" w:cs="方正仿宋_GBK"/>
                <w:sz w:val="24"/>
                <w:szCs w:val="24"/>
                <w:highlight w:val="none"/>
              </w:rPr>
            </w:r>
            <w:r/>
          </w:p>
        </w:tc>
        <w:tc>
          <w:tcPr>
            <w:tcW w:w="1843"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楼宇安全</w:t>
            </w:r>
            <w:r>
              <w:rPr>
                <w:rFonts w:hint="eastAsia" w:ascii="方正仿宋_GBK" w:hAnsi="方正仿宋_GBK" w:eastAsia="方正仿宋_GBK" w:cs="方正仿宋_GBK"/>
                <w:sz w:val="24"/>
                <w:szCs w:val="24"/>
                <w:highlight w:val="none"/>
              </w:rPr>
            </w:r>
            <w:r/>
          </w:p>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管理服务</w:t>
            </w:r>
            <w:r>
              <w:rPr>
                <w:rFonts w:hint="eastAsia" w:ascii="方正仿宋_GBK" w:hAnsi="方正仿宋_GBK" w:eastAsia="方正仿宋_GBK" w:cs="方正仿宋_GBK"/>
                <w:sz w:val="24"/>
                <w:szCs w:val="24"/>
                <w:highlight w:val="none"/>
              </w:rPr>
            </w:r>
            <w:r/>
          </w:p>
        </w:tc>
        <w:tc>
          <w:tcPr>
            <w:tcW w:w="6223" w:type="dxa"/>
            <w:vAlign w:val="center"/>
            <w:textDirection w:val="lrTb"/>
            <w:noWrap w:val="false"/>
          </w:tcPr>
          <w:p>
            <w:pPr>
              <w:pStyle w:val="1065"/>
              <w:ind w:firstLine="480"/>
              <w:spacing w:line="360" w:lineRule="exact"/>
              <w:widowControl/>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应为楼宇提供公共秩序维护服务和安全服务、门岗值守、大型活动安保秩序维护、突发事件处理预案与演练、防台防汛。维护学院楼宇内的人员、财产和建筑物的安全，安排人员24小时值班。须结合项目实际，常态化组织物业全体员工开展消防技能、安全防范、应急处置等专项培训及实战演练，建立培训台账、留存培训记录，确保全员熟练掌握相关操作流程与岗位职责。</w:t>
            </w:r>
            <w:r>
              <w:rPr>
                <w:rFonts w:hint="eastAsia" w:ascii="方正仿宋_GBK" w:hAnsi="方正仿宋_GBK" w:eastAsia="方正仿宋_GBK" w:cs="方正仿宋_GBK"/>
                <w:sz w:val="24"/>
                <w:szCs w:val="24"/>
                <w:highlight w:val="none"/>
              </w:rPr>
            </w:r>
            <w:r/>
          </w:p>
        </w:tc>
      </w:tr>
      <w:tr>
        <w:trPr/>
        <w:tc>
          <w:tcPr>
            <w:tcW w:w="846"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w:t>
            </w:r>
            <w:r>
              <w:rPr>
                <w:rFonts w:hint="eastAsia" w:ascii="方正仿宋_GBK" w:hAnsi="方正仿宋_GBK" w:eastAsia="方正仿宋_GBK" w:cs="方正仿宋_GBK"/>
                <w:sz w:val="24"/>
                <w:szCs w:val="24"/>
                <w:highlight w:val="none"/>
              </w:rPr>
            </w:r>
            <w:r/>
          </w:p>
        </w:tc>
        <w:tc>
          <w:tcPr>
            <w:tcW w:w="1843"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小型维修服务</w:t>
            </w:r>
            <w:r>
              <w:rPr>
                <w:rFonts w:hint="eastAsia" w:ascii="方正仿宋_GBK" w:hAnsi="方正仿宋_GBK" w:eastAsia="方正仿宋_GBK" w:cs="方正仿宋_GBK"/>
                <w:sz w:val="24"/>
                <w:szCs w:val="24"/>
                <w:highlight w:val="none"/>
              </w:rPr>
            </w:r>
            <w:r/>
          </w:p>
        </w:tc>
        <w:tc>
          <w:tcPr>
            <w:tcW w:w="6223" w:type="dxa"/>
            <w:vAlign w:val="center"/>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维修人员需依托自身完备专业资质开展精细化运维，配合学校做好设备保养，合规开展低压配电房、线路、动力电气设备的巡检和保养；常态化落实设备预防性保养，减少突发故障频次，延长设备使用寿命。严格遵照学校节能降耗管理规定，通过科学方法落实学院节能降耗目标，从源头减少无效能耗。</w:t>
            </w:r>
            <w:r>
              <w:rPr>
                <w:rFonts w:hint="eastAsia" w:ascii="方正仿宋_GBK" w:hAnsi="方正仿宋_GBK" w:eastAsia="方正仿宋_GBK" w:cs="方正仿宋_GBK"/>
                <w:sz w:val="24"/>
                <w:szCs w:val="24"/>
                <w:highlight w:val="none"/>
              </w:rPr>
            </w:r>
            <w:r/>
          </w:p>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建立健全管理服务的房屋、内部设施相关巡查、维修档案。维修人员需建立快速响应机制，及时受理、闭环处置校内各使用部门提交的维修报修，并持有应急管理厅颁发的</w:t>
            </w:r>
            <w:r>
              <w:rPr>
                <w:rFonts w:hint="eastAsia" w:ascii="方正仿宋_GBK" w:hAnsi="方正仿宋_GBK" w:eastAsia="方正仿宋_GBK" w:cs="方正仿宋_GBK"/>
                <w:bCs/>
                <w:sz w:val="24"/>
                <w:szCs w:val="24"/>
                <w:highlight w:val="none"/>
              </w:rPr>
              <w:t xml:space="preserve">特种作业操作证--低压电工作业证</w:t>
            </w:r>
            <w:r>
              <w:rPr>
                <w:rFonts w:hint="eastAsia" w:ascii="方正仿宋_GBK" w:hAnsi="方正仿宋_GBK" w:eastAsia="方正仿宋_GBK" w:cs="方正仿宋_GBK"/>
                <w:sz w:val="24"/>
                <w:szCs w:val="24"/>
                <w:highlight w:val="none"/>
              </w:rPr>
              <w:t xml:space="preserve">；属于小修范围的（单项单件500元及以内）项目，当日组织维修；属于大、中修范围的应在24小时内向学校后勤部门提出报告。物业应自行维修的项目，室内固定设施，常规单项单件500元及以内小型维修项目。</w:t>
            </w:r>
            <w:r>
              <w:rPr>
                <w:rFonts w:hint="eastAsia" w:ascii="方正仿宋_GBK" w:hAnsi="方正仿宋_GBK" w:eastAsia="方正仿宋_GBK" w:cs="方正仿宋_GBK"/>
                <w:sz w:val="24"/>
                <w:szCs w:val="24"/>
                <w:highlight w:val="none"/>
              </w:rPr>
            </w:r>
            <w:r/>
          </w:p>
        </w:tc>
      </w:tr>
    </w:tbl>
    <w:p>
      <w:pPr>
        <w:pStyle w:val="1064"/>
        <w:ind w:firstLine="632"/>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2、其他服务内容</w:t>
      </w:r>
      <w:r>
        <w:rPr>
          <w:rFonts w:hint="eastAsia" w:ascii="方正仿宋_GBK" w:hAnsi="方正仿宋_GBK" w:eastAsia="方正仿宋_GBK" w:cs="方正仿宋_GBK"/>
          <w:bCs/>
          <w:sz w:val="28"/>
          <w:szCs w:val="28"/>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01"/>
        <w:gridCol w:w="6237"/>
      </w:tblGrid>
      <w:tr>
        <w:trPr>
          <w:trHeight w:val="392"/>
        </w:trPr>
        <w:tc>
          <w:tcPr>
            <w:tcW w:w="710" w:type="dxa"/>
            <w:vAlign w:val="top"/>
            <w:textDirection w:val="lrTb"/>
            <w:noWrap w:val="false"/>
          </w:tcPr>
          <w:p>
            <w:pPr>
              <w:pStyle w:val="950"/>
              <w:jc w:val="center"/>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序号</w:t>
            </w:r>
            <w:r>
              <w:rPr>
                <w:rFonts w:hint="eastAsia" w:ascii="黑体" w:hAnsi="黑体" w:eastAsia="黑体" w:cs="黑体"/>
                <w:sz w:val="24"/>
                <w:szCs w:val="24"/>
                <w:highlight w:val="none"/>
              </w:rPr>
            </w:r>
            <w:r/>
          </w:p>
        </w:tc>
        <w:tc>
          <w:tcPr>
            <w:tcW w:w="1701" w:type="dxa"/>
            <w:vAlign w:val="top"/>
            <w:textDirection w:val="lrTb"/>
            <w:noWrap w:val="false"/>
          </w:tcPr>
          <w:p>
            <w:pPr>
              <w:pStyle w:val="950"/>
              <w:ind w:firstLine="480"/>
              <w:jc w:val="center"/>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服务项目</w:t>
            </w:r>
            <w:r>
              <w:rPr>
                <w:rFonts w:hint="eastAsia" w:ascii="黑体" w:hAnsi="黑体" w:eastAsia="黑体" w:cs="黑体"/>
                <w:sz w:val="24"/>
                <w:szCs w:val="24"/>
                <w:highlight w:val="none"/>
              </w:rPr>
            </w:r>
            <w:r/>
          </w:p>
        </w:tc>
        <w:tc>
          <w:tcPr>
            <w:tcW w:w="6237" w:type="dxa"/>
            <w:vAlign w:val="top"/>
            <w:textDirection w:val="lrTb"/>
            <w:noWrap w:val="false"/>
          </w:tcPr>
          <w:p>
            <w:pPr>
              <w:pStyle w:val="950"/>
              <w:ind w:firstLine="480"/>
              <w:jc w:val="center"/>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服务内容</w:t>
            </w:r>
            <w:r>
              <w:rPr>
                <w:rFonts w:hint="eastAsia" w:ascii="黑体" w:hAnsi="黑体" w:eastAsia="黑体" w:cs="黑体"/>
                <w:sz w:val="24"/>
                <w:szCs w:val="24"/>
                <w:highlight w:val="none"/>
              </w:rPr>
            </w:r>
            <w:r/>
          </w:p>
        </w:tc>
      </w:tr>
      <w:tr>
        <w:trPr>
          <w:trHeight w:val="838"/>
        </w:trPr>
        <w:tc>
          <w:tcPr>
            <w:tcW w:w="710"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W w:w="1701"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物业项目整体设想与策划</w:t>
            </w:r>
            <w:r>
              <w:rPr>
                <w:rFonts w:hint="eastAsia" w:ascii="方正仿宋_GBK" w:hAnsi="方正仿宋_GBK" w:eastAsia="方正仿宋_GBK" w:cs="方正仿宋_GBK"/>
                <w:sz w:val="24"/>
                <w:szCs w:val="24"/>
                <w:highlight w:val="none"/>
              </w:rPr>
            </w:r>
            <w:r/>
          </w:p>
        </w:tc>
        <w:tc>
          <w:tcPr>
            <w:tcW w:w="6237" w:type="dxa"/>
            <w:vAlign w:val="center"/>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在日常服务工作中，能够根据本项目高校物业项目特点和需求、管理中的重点和难点，制定出与本项目相匹配的物业定位、服务理念、管理思路。</w:t>
            </w:r>
            <w:r>
              <w:rPr>
                <w:rFonts w:hint="eastAsia" w:ascii="方正仿宋_GBK" w:hAnsi="方正仿宋_GBK" w:eastAsia="方正仿宋_GBK" w:cs="方正仿宋_GBK"/>
                <w:sz w:val="24"/>
                <w:szCs w:val="24"/>
                <w:highlight w:val="none"/>
              </w:rPr>
            </w:r>
            <w:r/>
          </w:p>
        </w:tc>
      </w:tr>
      <w:tr>
        <w:trPr>
          <w:trHeight w:val="1161"/>
        </w:trPr>
        <w:tc>
          <w:tcPr>
            <w:tcW w:w="710"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w:t>
            </w:r>
            <w:r>
              <w:rPr>
                <w:rFonts w:hint="eastAsia" w:ascii="方正仿宋_GBK" w:hAnsi="方正仿宋_GBK" w:eastAsia="方正仿宋_GBK" w:cs="方正仿宋_GBK"/>
                <w:sz w:val="24"/>
                <w:szCs w:val="24"/>
                <w:highlight w:val="none"/>
              </w:rPr>
            </w:r>
            <w:r/>
          </w:p>
        </w:tc>
        <w:tc>
          <w:tcPr>
            <w:tcW w:w="1701"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物业项目组织管理服务</w:t>
            </w:r>
            <w:r>
              <w:rPr>
                <w:rFonts w:hint="eastAsia" w:ascii="方正仿宋_GBK" w:hAnsi="方正仿宋_GBK" w:eastAsia="方正仿宋_GBK" w:cs="方正仿宋_GBK"/>
                <w:sz w:val="24"/>
                <w:szCs w:val="24"/>
                <w:highlight w:val="none"/>
              </w:rPr>
            </w:r>
            <w:r/>
          </w:p>
        </w:tc>
        <w:tc>
          <w:tcPr>
            <w:tcW w:w="6237" w:type="dxa"/>
            <w:vAlign w:val="center"/>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在日常服务工作中，能够根据本项目特点和需求，提供管理组织架构及管理规章制度，如：岗位责任制、档案管理、安全管理制度、设施设备等管理制度等，严格执行各岗位工作标准、工作职责，并制定具体的落实措施和考核办法。</w:t>
            </w:r>
            <w:r>
              <w:rPr>
                <w:rFonts w:hint="eastAsia" w:ascii="方正仿宋_GBK" w:hAnsi="方正仿宋_GBK" w:eastAsia="方正仿宋_GBK" w:cs="方正仿宋_GBK"/>
                <w:sz w:val="24"/>
                <w:szCs w:val="24"/>
                <w:highlight w:val="none"/>
              </w:rPr>
            </w:r>
            <w:r/>
          </w:p>
        </w:tc>
      </w:tr>
      <w:tr>
        <w:trPr>
          <w:trHeight w:val="1162"/>
        </w:trPr>
        <w:tc>
          <w:tcPr>
            <w:tcW w:w="710"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w:t>
            </w:r>
            <w:r>
              <w:rPr>
                <w:rFonts w:hint="eastAsia" w:ascii="方正仿宋_GBK" w:hAnsi="方正仿宋_GBK" w:eastAsia="方正仿宋_GBK" w:cs="方正仿宋_GBK"/>
                <w:sz w:val="24"/>
                <w:szCs w:val="24"/>
                <w:highlight w:val="none"/>
              </w:rPr>
            </w:r>
            <w:r/>
          </w:p>
        </w:tc>
        <w:tc>
          <w:tcPr>
            <w:tcW w:w="1701"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物业项目应急保障服务</w:t>
            </w:r>
            <w:r>
              <w:rPr>
                <w:rFonts w:hint="eastAsia" w:ascii="方正仿宋_GBK" w:hAnsi="方正仿宋_GBK" w:eastAsia="方正仿宋_GBK" w:cs="方正仿宋_GBK"/>
                <w:sz w:val="24"/>
                <w:szCs w:val="24"/>
                <w:highlight w:val="none"/>
              </w:rPr>
            </w:r>
            <w:r/>
          </w:p>
        </w:tc>
        <w:tc>
          <w:tcPr>
            <w:tcW w:w="6237" w:type="dxa"/>
            <w:vAlign w:val="center"/>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对自然灾害、事故灾害、公共卫生事件和社会安全事件等突发公共事件建立应急预案，组织实施培训、演习、评价和改进，事发时按规定途径及时报告，采取相应措施。</w:t>
            </w:r>
            <w:r>
              <w:rPr>
                <w:rFonts w:hint="eastAsia" w:ascii="方正仿宋_GBK" w:hAnsi="方正仿宋_GBK" w:eastAsia="方正仿宋_GBK" w:cs="方正仿宋_GBK"/>
                <w:sz w:val="24"/>
                <w:szCs w:val="24"/>
                <w:highlight w:val="none"/>
              </w:rPr>
            </w:r>
            <w:r/>
          </w:p>
        </w:tc>
      </w:tr>
      <w:tr>
        <w:trPr/>
        <w:tc>
          <w:tcPr>
            <w:tcW w:w="710"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w:t>
            </w:r>
            <w:r>
              <w:rPr>
                <w:rFonts w:hint="eastAsia" w:ascii="方正仿宋_GBK" w:hAnsi="方正仿宋_GBK" w:eastAsia="方正仿宋_GBK" w:cs="方正仿宋_GBK"/>
                <w:sz w:val="24"/>
                <w:szCs w:val="24"/>
                <w:highlight w:val="none"/>
              </w:rPr>
            </w:r>
            <w:r/>
          </w:p>
        </w:tc>
        <w:tc>
          <w:tcPr>
            <w:tcW w:w="1701"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物业项目进退场交接管理</w:t>
            </w:r>
            <w:r>
              <w:rPr>
                <w:rFonts w:hint="eastAsia" w:ascii="方正仿宋_GBK" w:hAnsi="方正仿宋_GBK" w:eastAsia="方正仿宋_GBK" w:cs="方正仿宋_GBK"/>
                <w:sz w:val="24"/>
                <w:szCs w:val="24"/>
                <w:highlight w:val="none"/>
              </w:rPr>
            </w:r>
            <w:r/>
          </w:p>
        </w:tc>
        <w:tc>
          <w:tcPr>
            <w:tcW w:w="6237" w:type="dxa"/>
            <w:vAlign w:val="center"/>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做好物业服务开始及合同到期时的交接工作，保证交接工作的平稳过渡，确保员工稳定。</w:t>
            </w:r>
            <w:r>
              <w:rPr>
                <w:rFonts w:hint="eastAsia" w:ascii="方正仿宋_GBK" w:hAnsi="方正仿宋_GBK" w:eastAsia="方正仿宋_GBK" w:cs="方正仿宋_GBK"/>
                <w:sz w:val="24"/>
                <w:szCs w:val="24"/>
                <w:highlight w:val="none"/>
              </w:rPr>
            </w:r>
            <w:r/>
          </w:p>
        </w:tc>
      </w:tr>
      <w:tr>
        <w:trPr/>
        <w:tc>
          <w:tcPr>
            <w:tcW w:w="710"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w:t>
            </w:r>
            <w:r>
              <w:rPr>
                <w:rFonts w:hint="eastAsia" w:ascii="方正仿宋_GBK" w:hAnsi="方正仿宋_GBK" w:eastAsia="方正仿宋_GBK" w:cs="方正仿宋_GBK"/>
                <w:sz w:val="24"/>
                <w:szCs w:val="24"/>
                <w:highlight w:val="none"/>
              </w:rPr>
            </w:r>
            <w:r/>
          </w:p>
        </w:tc>
        <w:tc>
          <w:tcPr>
            <w:tcW w:w="1701"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物业项目传染病防控管理</w:t>
            </w:r>
            <w:r>
              <w:rPr>
                <w:rFonts w:hint="eastAsia" w:ascii="方正仿宋_GBK" w:hAnsi="方正仿宋_GBK" w:eastAsia="方正仿宋_GBK" w:cs="方正仿宋_GBK"/>
                <w:sz w:val="24"/>
                <w:szCs w:val="24"/>
                <w:highlight w:val="none"/>
              </w:rPr>
            </w:r>
            <w:r/>
          </w:p>
        </w:tc>
        <w:tc>
          <w:tcPr>
            <w:tcW w:w="6237" w:type="dxa"/>
            <w:vAlign w:val="center"/>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根据项目特点，有针对性地制定传染病防控工作方案，对重点区域和部位防控工作进行细化，储备一定必需物资。</w:t>
            </w:r>
            <w:r>
              <w:rPr>
                <w:rFonts w:hint="eastAsia" w:ascii="方正仿宋_GBK" w:hAnsi="方正仿宋_GBK" w:eastAsia="方正仿宋_GBK" w:cs="方正仿宋_GBK"/>
                <w:sz w:val="24"/>
                <w:szCs w:val="24"/>
                <w:highlight w:val="none"/>
              </w:rPr>
            </w:r>
            <w:r/>
          </w:p>
        </w:tc>
      </w:tr>
      <w:tr>
        <w:trPr/>
        <w:tc>
          <w:tcPr>
            <w:tcW w:w="710"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6</w:t>
            </w:r>
            <w:r>
              <w:rPr>
                <w:rFonts w:hint="eastAsia" w:ascii="方正仿宋_GBK" w:hAnsi="方正仿宋_GBK" w:eastAsia="方正仿宋_GBK" w:cs="方正仿宋_GBK"/>
                <w:sz w:val="24"/>
                <w:szCs w:val="24"/>
                <w:highlight w:val="none"/>
              </w:rPr>
            </w:r>
            <w:r/>
          </w:p>
        </w:tc>
        <w:tc>
          <w:tcPr>
            <w:tcW w:w="1701" w:type="dxa"/>
            <w:vAlign w:val="center"/>
            <w:textDirection w:val="lrTb"/>
            <w:noWrap w:val="false"/>
          </w:tcPr>
          <w:p>
            <w:pPr>
              <w:pStyle w:val="950"/>
              <w:ind w:left="181"/>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校园文化建设</w:t>
            </w:r>
            <w:r>
              <w:rPr>
                <w:rFonts w:hint="eastAsia" w:ascii="方正仿宋_GBK" w:hAnsi="方正仿宋_GBK" w:eastAsia="方正仿宋_GBK" w:cs="方正仿宋_GBK"/>
                <w:sz w:val="24"/>
                <w:szCs w:val="24"/>
                <w:highlight w:val="none"/>
              </w:rPr>
            </w:r>
            <w:r/>
          </w:p>
        </w:tc>
        <w:tc>
          <w:tcPr>
            <w:tcW w:w="6237" w:type="dxa"/>
            <w:vAlign w:val="center"/>
            <w:textDirection w:val="lrTb"/>
            <w:noWrap w:val="false"/>
          </w:tcPr>
          <w:p>
            <w:pPr>
              <w:pStyle w:val="950"/>
              <w:ind w:left="181" w:firstLine="560"/>
              <w:spacing w:line="360" w:lineRule="exact"/>
              <w:rPr>
                <w:rFonts w:hint="eastAsia" w:ascii="方正仿宋_GBK" w:hAnsi="方正仿宋_GBK" w:eastAsia="方正仿宋_GBK" w:cs="方正仿宋_GBK"/>
                <w:sz w:val="24"/>
                <w:szCs w:val="24"/>
                <w:highlight w:val="none"/>
              </w:rPr>
            </w:pPr>
            <w:r>
              <w:rPr>
                <w:rFonts w:hint="eastAsia" w:ascii="宋体" w:hAnsi="宋体" w:cs="宋体"/>
                <w:color w:val="000000"/>
                <w:sz w:val="28"/>
                <w:szCs w:val="28"/>
                <w:highlight w:val="none"/>
                <w:lang w:bidi="ar"/>
              </w:rPr>
              <w:t xml:space="preserve">积极做好校园后勤管理服务育人工作，开展针对性文化建设活动，包括但不限于配合学校开展学生思想政治教育工作、组织劳动实践课、节假日氛围营造等。</w:t>
            </w:r>
            <w:r>
              <w:rPr>
                <w:rFonts w:hint="eastAsia" w:ascii="方正仿宋_GBK" w:hAnsi="方正仿宋_GBK" w:eastAsia="方正仿宋_GBK" w:cs="方正仿宋_GBK"/>
                <w:sz w:val="24"/>
                <w:szCs w:val="24"/>
                <w:highlight w:val="none"/>
              </w:rPr>
            </w:r>
            <w:r/>
          </w:p>
        </w:tc>
      </w:tr>
    </w:tbl>
    <w:p>
      <w:pPr>
        <w:pStyle w:val="950"/>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四、人员配置及要求</w:t>
      </w:r>
      <w:r>
        <w:rPr>
          <w:rFonts w:hint="eastAsia" w:ascii="黑体" w:hAnsi="黑体" w:eastAsia="黑体" w:cs="黑体"/>
          <w:sz w:val="28"/>
          <w:szCs w:val="28"/>
          <w:highlight w:val="none"/>
        </w:rPr>
      </w:r>
      <w:r/>
    </w:p>
    <w:p>
      <w:pPr>
        <w:pStyle w:val="1043"/>
        <w:ind w:left="0"/>
        <w:spacing w:line="460" w:lineRule="exact"/>
        <w:rPr>
          <w:rFonts w:hint="eastAsia" w:ascii="方正仿宋_GBK" w:hAnsi="方正仿宋_GBK" w:eastAsia="方正仿宋_GBK" w:cs="方正仿宋_GBK"/>
          <w:b/>
          <w:bCs/>
          <w:sz w:val="28"/>
          <w:szCs w:val="28"/>
          <w:highlight w:val="none"/>
          <w:lang w:eastAsia="zh-CN"/>
        </w:rPr>
      </w:pPr>
      <w:r>
        <w:rPr>
          <w:rFonts w:hint="eastAsia" w:ascii="方正仿宋_GBK" w:hAnsi="方正仿宋_GBK" w:eastAsia="方正仿宋_GBK" w:cs="方正仿宋_GBK"/>
          <w:b/>
          <w:bCs/>
          <w:sz w:val="28"/>
          <w:szCs w:val="28"/>
          <w:highlight w:val="none"/>
          <w:lang w:eastAsia="zh-CN"/>
        </w:rPr>
        <w:t xml:space="preserve">（一）人员要求</w:t>
      </w:r>
      <w:r>
        <w:rPr>
          <w:rFonts w:hint="eastAsia" w:ascii="方正仿宋_GBK" w:hAnsi="方正仿宋_GBK" w:eastAsia="方正仿宋_GBK" w:cs="方正仿宋_GBK"/>
          <w:b/>
          <w:bCs/>
          <w:sz w:val="28"/>
          <w:szCs w:val="28"/>
          <w:highlight w:val="none"/>
          <w:lang w:eastAsia="zh-CN"/>
        </w:rPr>
      </w:r>
      <w:r/>
    </w:p>
    <w:p>
      <w:pPr>
        <w:pStyle w:val="1043"/>
        <w:ind w:left="0"/>
        <w:spacing w:line="460" w:lineRule="exact"/>
        <w:rPr>
          <w:rFonts w:ascii="方正仿宋_GBK" w:hAnsi="方正仿宋_GBK" w:eastAsia="方正仿宋_GBK" w:cs="方正仿宋_GBK"/>
          <w:b/>
          <w:bCs/>
          <w:sz w:val="28"/>
          <w:szCs w:val="28"/>
          <w:highlight w:val="none"/>
          <w:lang w:eastAsia="zh-CN"/>
        </w:rPr>
      </w:pPr>
      <w:r>
        <w:rPr>
          <w:rFonts w:hint="eastAsia" w:ascii="方正仿宋_GBK" w:hAnsi="方正仿宋_GBK" w:eastAsia="方正仿宋_GBK" w:cs="方正仿宋_GBK"/>
          <w:b/>
          <w:bCs/>
          <w:sz w:val="28"/>
          <w:szCs w:val="28"/>
          <w:highlight w:val="none"/>
          <w:lang w:eastAsia="zh-CN"/>
        </w:rPr>
        <w:t xml:space="preserve">1、数量要求</w:t>
      </w:r>
      <w:r>
        <w:rPr>
          <w:rFonts w:ascii="方正仿宋_GBK" w:hAnsi="方正仿宋_GBK" w:eastAsia="方正仿宋_GBK" w:cs="方正仿宋_GBK"/>
          <w:b/>
          <w:bCs/>
          <w:sz w:val="28"/>
          <w:szCs w:val="28"/>
          <w:highlight w:val="none"/>
          <w:lang w:eastAsia="zh-CN"/>
        </w:rPr>
      </w:r>
      <w:r/>
    </w:p>
    <w:tbl>
      <w:tblPr>
        <w:tblW w:w="8175" w:type="dxa"/>
        <w:tblInd w:w="-128" w:type="dxa"/>
        <w:tblLayout w:type="fixed"/>
        <w:tblCellMar>
          <w:left w:w="30" w:type="dxa"/>
          <w:top w:w="0" w:type="dxa"/>
          <w:right w:w="30" w:type="dxa"/>
          <w:bottom w:w="0" w:type="dxa"/>
        </w:tblCellMar>
        <w:tblLook w:val="04A0" w:firstRow="1" w:lastRow="0" w:firstColumn="1" w:lastColumn="0" w:noHBand="0" w:noVBand="1"/>
      </w:tblPr>
      <w:tblGrid>
        <w:gridCol w:w="1725"/>
        <w:gridCol w:w="845"/>
        <w:gridCol w:w="1023"/>
        <w:gridCol w:w="1175"/>
        <w:gridCol w:w="1198"/>
        <w:gridCol w:w="928"/>
        <w:gridCol w:w="1281"/>
      </w:tblGrid>
      <w:tr>
        <w:trPr>
          <w:trHeight w:val="339"/>
        </w:trPr>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950"/>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楼宇名称</w:t>
            </w:r>
            <w:r>
              <w:rPr>
                <w:rFonts w:hint="eastAsia" w:ascii="黑体" w:hAnsi="黑体" w:eastAsia="黑体" w:cs="黑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45" w:type="dxa"/>
            <w:vAlign w:val="top"/>
            <w:textDirection w:val="lrTb"/>
            <w:noWrap w:val="false"/>
          </w:tcPr>
          <w:p>
            <w:pPr>
              <w:pStyle w:val="950"/>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管理员</w:t>
            </w:r>
            <w:r>
              <w:rPr>
                <w:rFonts w:hint="eastAsia" w:ascii="黑体" w:hAnsi="黑体" w:eastAsia="黑体" w:cs="黑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23" w:type="dxa"/>
            <w:vAlign w:val="top"/>
            <w:textDirection w:val="lrTb"/>
            <w:noWrap w:val="false"/>
          </w:tcPr>
          <w:p>
            <w:pPr>
              <w:pStyle w:val="950"/>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值班员</w:t>
            </w:r>
            <w:r>
              <w:rPr>
                <w:rFonts w:hint="eastAsia" w:ascii="黑体" w:hAnsi="黑体" w:eastAsia="黑体" w:cs="黑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top"/>
            <w:textDirection w:val="lrTb"/>
            <w:noWrap w:val="false"/>
          </w:tcPr>
          <w:p>
            <w:pPr>
              <w:pStyle w:val="950"/>
              <w:ind w:firstLine="240"/>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保洁员</w:t>
            </w:r>
            <w:r>
              <w:rPr>
                <w:rFonts w:hint="eastAsia" w:ascii="黑体" w:hAnsi="黑体" w:eastAsia="黑体" w:cs="黑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0"/>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项目</w:t>
            </w:r>
            <w:r>
              <w:rPr>
                <w:rFonts w:hint="eastAsia" w:ascii="黑体" w:hAnsi="黑体" w:eastAsia="黑体" w:cs="黑体"/>
                <w:sz w:val="24"/>
                <w:szCs w:val="24"/>
                <w:highlight w:val="none"/>
              </w:rPr>
              <w:t xml:space="preserve">经理</w:t>
            </w:r>
            <w:r>
              <w:rPr>
                <w:rFonts w:hint="eastAsia" w:ascii="黑体" w:hAnsi="黑体" w:eastAsia="黑体" w:cs="黑体"/>
                <w:sz w:val="24"/>
                <w:szCs w:val="24"/>
                <w:highlight w:val="none"/>
              </w:rPr>
            </w:r>
            <w:r/>
          </w:p>
        </w:tc>
        <w:tc>
          <w:tcPr>
            <w:tcBorders>
              <w:top w:val="single" w:color="000000" w:sz="6" w:space="0"/>
              <w:left w:val="single" w:color="000000" w:sz="6" w:space="0"/>
              <w:bottom w:val="single" w:color="000000" w:sz="6" w:space="0"/>
              <w:right w:val="single" w:color="000000" w:sz="6" w:space="0"/>
            </w:tcBorders>
            <w:tcW w:w="928" w:type="dxa"/>
            <w:vAlign w:val="top"/>
            <w:textDirection w:val="lrTb"/>
            <w:noWrap w:val="false"/>
          </w:tcPr>
          <w:p>
            <w:pPr>
              <w:pStyle w:val="950"/>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维修工</w:t>
            </w:r>
            <w:r>
              <w:rPr>
                <w:rFonts w:hint="eastAsia" w:ascii="黑体" w:hAnsi="黑体" w:eastAsia="黑体" w:cs="黑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281" w:type="dxa"/>
            <w:vAlign w:val="top"/>
            <w:textDirection w:val="lrTb"/>
            <w:noWrap w:val="false"/>
          </w:tcPr>
          <w:p>
            <w:pPr>
              <w:pStyle w:val="950"/>
              <w:ind w:firstLine="480"/>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合计</w:t>
            </w:r>
            <w:r>
              <w:rPr>
                <w:rFonts w:hint="eastAsia" w:ascii="黑体" w:hAnsi="黑体" w:eastAsia="黑体" w:cs="黑体"/>
                <w:sz w:val="24"/>
                <w:szCs w:val="24"/>
                <w:highlight w:val="none"/>
              </w:rPr>
            </w:r>
            <w:r/>
          </w:p>
        </w:tc>
      </w:tr>
      <w:tr>
        <w:trPr>
          <w:trHeight w:val="339"/>
        </w:trPr>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科技园C1</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none" w:color="000000" w:sz="4" w:space="0"/>
              <w:right w:val="single" w:color="000000" w:sz="6" w:space="0"/>
            </w:tcBorders>
            <w:tcW w:w="845" w:type="dxa"/>
            <w:vAlign w:val="center"/>
            <w:vMerge w:val="restart"/>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023"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none" w:color="000000" w:sz="0" w:space="0"/>
              <w:right w:val="single" w:color="000000" w:sz="6" w:space="0"/>
            </w:tcBorders>
            <w:tcW w:w="1198" w:type="dxa"/>
            <w:vAlign w:val="center"/>
            <w:vMerge w:val="restart"/>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none" w:color="000000" w:sz="4" w:space="0"/>
              <w:right w:val="single" w:color="000000" w:sz="6" w:space="0"/>
            </w:tcBorders>
            <w:tcW w:w="928" w:type="dxa"/>
            <w:vAlign w:val="top"/>
            <w:vMerge w:val="restart"/>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none" w:color="000000" w:sz="4" w:space="0"/>
              <w:right w:val="single" w:color="000000" w:sz="6" w:space="0"/>
            </w:tcBorders>
            <w:tcW w:w="1281" w:type="dxa"/>
            <w:vAlign w:val="center"/>
            <w:vMerge w:val="restart"/>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50</w:t>
            </w:r>
            <w:r>
              <w:rPr>
                <w:rFonts w:hint="eastAsia" w:ascii="方正仿宋_GBK" w:hAnsi="方正仿宋_GBK" w:eastAsia="方正仿宋_GBK" w:cs="方正仿宋_GBK"/>
                <w:sz w:val="24"/>
                <w:szCs w:val="24"/>
                <w:highlight w:val="none"/>
              </w:rPr>
            </w:r>
            <w:r/>
          </w:p>
        </w:tc>
      </w:tr>
      <w:tr>
        <w:trPr>
          <w:trHeight w:val="339"/>
        </w:trPr>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科技园C2</w:t>
            </w: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single" w:color="000000" w:sz="6" w:space="0"/>
              <w:right w:val="single" w:color="000000" w:sz="6" w:space="0"/>
            </w:tcBorders>
            <w:tcW w:w="845"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023"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w:t>
            </w:r>
            <w:r>
              <w:rPr>
                <w:rFonts w:hint="eastAsia" w:ascii="方正仿宋_GBK" w:hAnsi="方正仿宋_GBK" w:eastAsia="方正仿宋_GBK" w:cs="方正仿宋_GBK"/>
                <w:sz w:val="24"/>
                <w:szCs w:val="24"/>
                <w:highlight w:val="none"/>
              </w:rPr>
            </w:r>
            <w:r/>
          </w:p>
        </w:tc>
        <w:tc>
          <w:tcPr>
            <w:tcBorders>
              <w:top w:val="none" w:color="000000" w:sz="0" w:space="0"/>
              <w:left w:val="single" w:color="000000" w:sz="6" w:space="0"/>
              <w:bottom w:val="none" w:color="000000" w:sz="0" w:space="0"/>
              <w:right w:val="single" w:color="000000" w:sz="6" w:space="0"/>
            </w:tcBorders>
            <w:tcW w:w="119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92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1281"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r>
      <w:tr>
        <w:trPr>
          <w:trHeight w:val="339"/>
        </w:trPr>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行健楼</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none" w:color="000000" w:sz="4" w:space="0"/>
              <w:right w:val="single" w:color="000000" w:sz="6" w:space="0"/>
            </w:tcBorders>
            <w:tcW w:w="845" w:type="dxa"/>
            <w:vAlign w:val="center"/>
            <w:vMerge w:val="restart"/>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023"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w:t>
            </w:r>
            <w:r>
              <w:rPr>
                <w:rFonts w:hint="eastAsia" w:ascii="方正仿宋_GBK" w:hAnsi="方正仿宋_GBK" w:eastAsia="方正仿宋_GBK" w:cs="方正仿宋_GBK"/>
                <w:sz w:val="24"/>
                <w:szCs w:val="24"/>
                <w:highlight w:val="none"/>
              </w:rPr>
            </w:r>
            <w:r/>
          </w:p>
        </w:tc>
        <w:tc>
          <w:tcPr>
            <w:tcBorders>
              <w:top w:val="none" w:color="000000" w:sz="0" w:space="0"/>
              <w:left w:val="single" w:color="000000" w:sz="6" w:space="0"/>
              <w:bottom w:val="none" w:color="000000" w:sz="0" w:space="0"/>
              <w:right w:val="single" w:color="000000" w:sz="6" w:space="0"/>
            </w:tcBorders>
            <w:tcW w:w="119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92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1281"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r>
      <w:tr>
        <w:trPr>
          <w:trHeight w:val="339"/>
        </w:trPr>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行毅楼</w:t>
            </w: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845"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023"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6</w:t>
            </w:r>
            <w:r>
              <w:rPr>
                <w:rFonts w:hint="eastAsia" w:ascii="方正仿宋_GBK" w:hAnsi="方正仿宋_GBK" w:eastAsia="方正仿宋_GBK" w:cs="方正仿宋_GBK"/>
                <w:sz w:val="24"/>
                <w:szCs w:val="24"/>
                <w:highlight w:val="none"/>
              </w:rPr>
            </w:r>
            <w:r/>
          </w:p>
        </w:tc>
        <w:tc>
          <w:tcPr>
            <w:tcBorders>
              <w:top w:val="none" w:color="000000" w:sz="0" w:space="0"/>
              <w:left w:val="single" w:color="000000" w:sz="6" w:space="0"/>
              <w:bottom w:val="none" w:color="000000" w:sz="0" w:space="0"/>
              <w:right w:val="single" w:color="000000" w:sz="6" w:space="0"/>
            </w:tcBorders>
            <w:tcW w:w="119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92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1281"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r>
      <w:tr>
        <w:trPr>
          <w:trHeight w:val="339"/>
        </w:trPr>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行远楼</w:t>
            </w: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single" w:color="000000" w:sz="6" w:space="0"/>
              <w:right w:val="single" w:color="000000" w:sz="6" w:space="0"/>
            </w:tcBorders>
            <w:tcW w:w="845"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023"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w:t>
            </w:r>
            <w:r>
              <w:rPr>
                <w:rFonts w:hint="eastAsia" w:ascii="方正仿宋_GBK" w:hAnsi="方正仿宋_GBK" w:eastAsia="方正仿宋_GBK" w:cs="方正仿宋_GBK"/>
                <w:sz w:val="24"/>
                <w:szCs w:val="24"/>
                <w:highlight w:val="none"/>
              </w:rPr>
            </w:r>
            <w:r/>
          </w:p>
        </w:tc>
        <w:tc>
          <w:tcPr>
            <w:tcBorders>
              <w:top w:val="none" w:color="000000" w:sz="0" w:space="0"/>
              <w:left w:val="single" w:color="000000" w:sz="6" w:space="0"/>
              <w:bottom w:val="none" w:color="000000" w:sz="0" w:space="0"/>
              <w:right w:val="single" w:color="000000" w:sz="6" w:space="0"/>
            </w:tcBorders>
            <w:tcW w:w="119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92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1281"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r>
      <w:tr>
        <w:trPr>
          <w:trHeight w:val="339"/>
        </w:trPr>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商业街卫生所 </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845"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023"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w:t>
            </w:r>
            <w:r>
              <w:rPr>
                <w:rFonts w:hint="eastAsia" w:ascii="方正仿宋_GBK" w:hAnsi="方正仿宋_GBK" w:eastAsia="方正仿宋_GBK" w:cs="方正仿宋_GBK"/>
                <w:sz w:val="24"/>
                <w:szCs w:val="24"/>
                <w:highlight w:val="none"/>
              </w:rPr>
            </w:r>
            <w:r/>
          </w:p>
        </w:tc>
        <w:tc>
          <w:tcPr>
            <w:tcBorders>
              <w:top w:val="none" w:color="000000" w:sz="0" w:space="0"/>
              <w:left w:val="single" w:color="000000" w:sz="6" w:space="0"/>
              <w:bottom w:val="none" w:color="000000" w:sz="0" w:space="0"/>
              <w:right w:val="single" w:color="000000" w:sz="6" w:space="0"/>
            </w:tcBorders>
            <w:tcW w:w="119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92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none" w:color="000000" w:sz="4" w:space="0"/>
              <w:right w:val="single" w:color="000000" w:sz="6" w:space="0"/>
            </w:tcBorders>
            <w:tcW w:w="1281"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r>
      <w:tr>
        <w:trPr>
          <w:trHeight w:val="339"/>
        </w:trPr>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室外环境卫生</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845"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 </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023"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 </w:t>
            </w:r>
            <w:r>
              <w:rPr>
                <w:rFonts w:hint="eastAsia" w:ascii="方正仿宋_GBK" w:hAnsi="方正仿宋_GBK" w:eastAsia="方正仿宋_GBK" w:cs="方正仿宋_GBK"/>
                <w:sz w:val="24"/>
                <w:szCs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top"/>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9</w:t>
            </w:r>
            <w:r>
              <w:rPr>
                <w:rFonts w:hint="eastAsia" w:ascii="方正仿宋_GBK" w:hAnsi="方正仿宋_GBK" w:eastAsia="方正仿宋_GBK" w:cs="方正仿宋_GBK"/>
                <w:sz w:val="24"/>
                <w:szCs w:val="24"/>
                <w:highlight w:val="none"/>
              </w:rPr>
            </w:r>
            <w:r/>
          </w:p>
        </w:tc>
        <w:tc>
          <w:tcPr>
            <w:tcBorders>
              <w:top w:val="none" w:color="000000" w:sz="0" w:space="0"/>
              <w:left w:val="single" w:color="000000" w:sz="6" w:space="0"/>
              <w:bottom w:val="single" w:color="000000" w:sz="6" w:space="0"/>
              <w:right w:val="single" w:color="000000" w:sz="6" w:space="0"/>
            </w:tcBorders>
            <w:tcW w:w="119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single" w:color="000000" w:sz="6" w:space="0"/>
              <w:right w:val="single" w:color="000000" w:sz="6" w:space="0"/>
            </w:tcBorders>
            <w:tcW w:w="928"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c>
          <w:tcPr>
            <w:tcBorders>
              <w:top w:val="none" w:color="000000" w:sz="4" w:space="0"/>
              <w:left w:val="single" w:color="000000" w:sz="6" w:space="0"/>
              <w:bottom w:val="single" w:color="000000" w:sz="6" w:space="0"/>
              <w:right w:val="single" w:color="000000" w:sz="6" w:space="0"/>
            </w:tcBorders>
            <w:tcW w:w="1281" w:type="dxa"/>
            <w:vAlign w:val="top"/>
            <w:vMerge w:val="continue"/>
            <w:textDirection w:val="lrTb"/>
            <w:noWrap w:val="false"/>
          </w:tcPr>
          <w:p>
            <w:pPr>
              <w:pStyle w:val="950"/>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r>
    </w:tbl>
    <w:p>
      <w:pPr>
        <w:pStyle w:val="1043"/>
        <w:ind w:left="0"/>
        <w:spacing w:line="460" w:lineRule="exact"/>
        <w:rPr>
          <w:rFonts w:hint="eastAsia" w:ascii="方正仿宋_GBK" w:hAnsi="方正仿宋_GBK" w:eastAsia="方正仿宋_GBK" w:cs="方正仿宋_GBK"/>
          <w:b/>
          <w:bCs/>
          <w:sz w:val="28"/>
          <w:szCs w:val="28"/>
          <w:highlight w:val="none"/>
          <w:lang w:eastAsia="zh-CN"/>
        </w:rPr>
      </w:pPr>
      <w:r>
        <w:rPr>
          <w:rFonts w:hint="eastAsia" w:ascii="方正仿宋_GBK" w:hAnsi="方正仿宋_GBK" w:eastAsia="方正仿宋_GBK" w:cs="方正仿宋_GBK"/>
          <w:b/>
          <w:bCs/>
          <w:sz w:val="28"/>
          <w:szCs w:val="28"/>
          <w:highlight w:val="none"/>
          <w:lang w:eastAsia="zh-CN"/>
        </w:rPr>
        <w:t xml:space="preserve">2、素质要求</w:t>
      </w:r>
      <w:r>
        <w:rPr>
          <w:rFonts w:hint="eastAsia" w:ascii="方正仿宋_GBK" w:hAnsi="方正仿宋_GBK" w:eastAsia="方正仿宋_GBK" w:cs="方正仿宋_GBK"/>
          <w:b/>
          <w:bCs/>
          <w:sz w:val="28"/>
          <w:szCs w:val="28"/>
          <w:highlight w:val="none"/>
          <w:lang w:eastAsia="zh-CN"/>
        </w:rPr>
      </w:r>
      <w:r/>
    </w:p>
    <w:tbl>
      <w:tblPr>
        <w:tblW w:w="48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9"/>
        <w:gridCol w:w="7373"/>
      </w:tblGrid>
      <w:tr>
        <w:trPr>
          <w:trHeight w:val="662"/>
        </w:trPr>
        <w:tc>
          <w:tcPr>
            <w:tcW w:w="877" w:type="dxa"/>
            <w:vAlign w:val="center"/>
            <w:textDirection w:val="lrTb"/>
            <w:noWrap w:val="false"/>
          </w:tcPr>
          <w:p>
            <w:pPr>
              <w:pStyle w:val="950"/>
              <w:jc w:val="center"/>
              <w:spacing w:line="360" w:lineRule="exact"/>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rPr>
              <w:t xml:space="preserve">岗位名称</w:t>
            </w:r>
            <w:r>
              <w:rPr>
                <w:rFonts w:hint="eastAsia" w:ascii="方正仿宋_GBK" w:hAnsi="方正仿宋_GBK" w:eastAsia="方正仿宋_GBK" w:cs="方正仿宋_GBK"/>
                <w:b/>
                <w:bCs/>
                <w:sz w:val="24"/>
                <w:szCs w:val="24"/>
                <w:highlight w:val="none"/>
              </w:rPr>
            </w:r>
            <w:r/>
          </w:p>
        </w:tc>
        <w:tc>
          <w:tcPr>
            <w:tcW w:w="4122" w:type="dxa"/>
            <w:vAlign w:val="center"/>
            <w:textDirection w:val="lrTb"/>
            <w:noWrap w:val="false"/>
          </w:tcPr>
          <w:p>
            <w:pPr>
              <w:pStyle w:val="950"/>
              <w:jc w:val="center"/>
              <w:spacing w:line="360" w:lineRule="exact"/>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rPr>
              <w:t xml:space="preserve">人员要求</w:t>
            </w:r>
            <w:r>
              <w:rPr>
                <w:rFonts w:hint="eastAsia" w:ascii="方正仿宋_GBK" w:hAnsi="方正仿宋_GBK" w:eastAsia="方正仿宋_GBK" w:cs="方正仿宋_GBK"/>
                <w:b/>
                <w:bCs/>
                <w:sz w:val="24"/>
                <w:szCs w:val="24"/>
                <w:highlight w:val="none"/>
              </w:rPr>
            </w:r>
            <w:r/>
          </w:p>
        </w:tc>
      </w:tr>
      <w:tr>
        <w:trPr>
          <w:trHeight w:val="1481"/>
        </w:trPr>
        <w:tc>
          <w:tcPr>
            <w:tcW w:w="87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项目经理</w:t>
            </w:r>
            <w:r>
              <w:rPr>
                <w:rFonts w:hint="eastAsia" w:ascii="方正仿宋_GBK" w:hAnsi="方正仿宋_GBK" w:eastAsia="方正仿宋_GBK" w:cs="方正仿宋_GBK"/>
                <w:sz w:val="24"/>
                <w:szCs w:val="24"/>
                <w:highlight w:val="none"/>
              </w:rPr>
            </w:r>
            <w:r/>
          </w:p>
        </w:tc>
        <w:tc>
          <w:tcPr>
            <w:tcW w:w="4122" w:type="dxa"/>
            <w:vAlign w:val="center"/>
            <w:textDirection w:val="lrTb"/>
            <w:noWrap w:val="false"/>
          </w:tcPr>
          <w:p>
            <w:pPr>
              <w:pStyle w:val="950"/>
              <w:jc w:val="left"/>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男女不限；具有本科及以上学历；具有管理类或政工专业或经济类或工程类中级及以上职称；具有物业相关岗位证书。具有5年及以上类似项目管理经验，能熟练操作电脑，具有一定的协调能力，现场指挥能力和处理复杂事务的能力，责任心强，爱岗敬业，吃苦耐劳。</w:t>
            </w:r>
            <w:r>
              <w:rPr>
                <w:rFonts w:hint="eastAsia" w:ascii="方正仿宋_GBK" w:hAnsi="方正仿宋_GBK" w:eastAsia="方正仿宋_GBK" w:cs="方正仿宋_GBK"/>
                <w:sz w:val="24"/>
                <w:szCs w:val="24"/>
                <w:highlight w:val="none"/>
              </w:rPr>
            </w:r>
            <w:r/>
          </w:p>
        </w:tc>
      </w:tr>
      <w:tr>
        <w:trPr/>
        <w:tc>
          <w:tcPr>
            <w:tcW w:w="87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管理员</w:t>
            </w:r>
            <w:r>
              <w:rPr>
                <w:rFonts w:hint="eastAsia" w:ascii="方正仿宋_GBK" w:hAnsi="方正仿宋_GBK" w:eastAsia="方正仿宋_GBK" w:cs="方正仿宋_GBK"/>
                <w:sz w:val="24"/>
                <w:szCs w:val="24"/>
                <w:highlight w:val="none"/>
              </w:rPr>
            </w:r>
            <w:r/>
          </w:p>
        </w:tc>
        <w:tc>
          <w:tcPr>
            <w:tcW w:w="4122" w:type="dxa"/>
            <w:vAlign w:val="center"/>
            <w:textDirection w:val="lrTb"/>
            <w:noWrap w:val="false"/>
          </w:tcPr>
          <w:p>
            <w:pPr>
              <w:pStyle w:val="950"/>
              <w:jc w:val="left"/>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男女不限；具有大专及以上学历；具有初级或以上职称；具有物业相关岗位证书。具有3年及以上类似项目管理经验，能熟练操作电脑，具有一定的协调能力，现场指挥能力和处理复杂事务的能力，责任心强，爱岗敬业，吃苦耐劳。</w:t>
            </w:r>
            <w:r>
              <w:rPr>
                <w:rFonts w:hint="eastAsia" w:ascii="方正仿宋_GBK" w:hAnsi="方正仿宋_GBK" w:eastAsia="方正仿宋_GBK" w:cs="方正仿宋_GBK"/>
                <w:sz w:val="24"/>
                <w:szCs w:val="24"/>
                <w:highlight w:val="none"/>
              </w:rPr>
            </w:r>
            <w:r/>
          </w:p>
        </w:tc>
      </w:tr>
      <w:tr>
        <w:trPr>
          <w:trHeight w:val="672"/>
        </w:trPr>
        <w:tc>
          <w:tcPr>
            <w:tcW w:w="87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值班员</w:t>
            </w:r>
            <w:r>
              <w:rPr>
                <w:rFonts w:hint="eastAsia" w:ascii="方正仿宋_GBK" w:hAnsi="方正仿宋_GBK" w:eastAsia="方正仿宋_GBK" w:cs="方正仿宋_GBK"/>
                <w:sz w:val="24"/>
                <w:szCs w:val="24"/>
                <w:highlight w:val="none"/>
              </w:rPr>
            </w:r>
            <w:r/>
          </w:p>
        </w:tc>
        <w:tc>
          <w:tcPr>
            <w:tcW w:w="4122"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女，具备高中及以上文化程度，有良好的语言沟通能力，具有1年及以上类似项目管理经验，责任心强，爱岗敬业，吃苦耐劳。</w:t>
            </w:r>
            <w:r>
              <w:rPr>
                <w:rFonts w:hint="eastAsia" w:ascii="方正仿宋_GBK" w:hAnsi="方正仿宋_GBK" w:eastAsia="方正仿宋_GBK" w:cs="方正仿宋_GBK"/>
                <w:sz w:val="24"/>
                <w:szCs w:val="24"/>
                <w:highlight w:val="none"/>
              </w:rPr>
            </w:r>
            <w:r/>
          </w:p>
        </w:tc>
      </w:tr>
      <w:tr>
        <w:trPr/>
        <w:tc>
          <w:tcPr>
            <w:tcW w:w="87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保洁员</w:t>
            </w:r>
            <w:r>
              <w:rPr>
                <w:rFonts w:hint="eastAsia" w:ascii="方正仿宋_GBK" w:hAnsi="方正仿宋_GBK" w:eastAsia="方正仿宋_GBK" w:cs="方正仿宋_GBK"/>
                <w:sz w:val="24"/>
                <w:szCs w:val="24"/>
                <w:highlight w:val="none"/>
              </w:rPr>
            </w:r>
            <w:r/>
          </w:p>
        </w:tc>
        <w:tc>
          <w:tcPr>
            <w:tcW w:w="4122"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楼宇内：女，具备初中及以上文化程度，具有一定的保洁专业操作技能，会配比消毒水，责任心强，爱岗敬业，吃苦耐劳，严守纪律。</w:t>
            </w:r>
            <w:r>
              <w:rPr>
                <w:rFonts w:hint="eastAsia" w:ascii="方正仿宋_GBK" w:hAnsi="方正仿宋_GBK" w:eastAsia="方正仿宋_GBK" w:cs="方正仿宋_GBK"/>
                <w:sz w:val="24"/>
                <w:szCs w:val="24"/>
                <w:highlight w:val="none"/>
              </w:rPr>
            </w:r>
            <w:r/>
          </w:p>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室外环境卫生：作业期间统一着装。按规定时间对包干路段进行清扫保洁，保洁时严禁串岗、聚岗、坐岗，擅自离岗、干私活、捡拾废品。</w:t>
            </w:r>
            <w:r>
              <w:rPr>
                <w:rFonts w:hint="eastAsia" w:ascii="方正仿宋_GBK" w:hAnsi="方正仿宋_GBK" w:eastAsia="方正仿宋_GBK" w:cs="方正仿宋_GBK"/>
                <w:sz w:val="24"/>
                <w:szCs w:val="24"/>
                <w:highlight w:val="none"/>
              </w:rPr>
            </w:r>
            <w:r/>
          </w:p>
        </w:tc>
      </w:tr>
      <w:tr>
        <w:trPr>
          <w:trHeight w:val="1238"/>
        </w:trPr>
        <w:tc>
          <w:tcPr>
            <w:tcW w:w="87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维修工</w:t>
            </w:r>
            <w:r>
              <w:rPr>
                <w:rFonts w:hint="eastAsia" w:ascii="方正仿宋_GBK" w:hAnsi="方正仿宋_GBK" w:eastAsia="方正仿宋_GBK" w:cs="方正仿宋_GBK"/>
                <w:sz w:val="24"/>
                <w:szCs w:val="24"/>
                <w:highlight w:val="none"/>
              </w:rPr>
            </w:r>
            <w:r/>
          </w:p>
        </w:tc>
        <w:tc>
          <w:tcPr>
            <w:tcW w:w="4122"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男；具有大专及以上学历；二年及以上工作经验；具有电工作业证或特种作业操作证（低压）电工作业证；具有四级及以上维修电工（电工）证书；具备较高的维修电工专业知识，熟知安全规范和操作规范，具备较高的纪律性、责任心、执行能力、语言表达能力、学习能力，良好的团队合作精神。</w:t>
            </w:r>
            <w:r>
              <w:rPr>
                <w:rFonts w:hint="eastAsia" w:ascii="方正仿宋_GBK" w:hAnsi="方正仿宋_GBK" w:eastAsia="方正仿宋_GBK" w:cs="方正仿宋_GBK"/>
                <w:sz w:val="24"/>
                <w:szCs w:val="24"/>
                <w:highlight w:val="none"/>
              </w:rPr>
            </w:r>
            <w:r/>
          </w:p>
        </w:tc>
      </w:tr>
    </w:tbl>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管理服务人员应按规定统一着装、着装整齐清洁，应接受过相关专业技能的培训，掌握物业管理基本法律法规，熟悉楼宇的基本情况，能正确使用相关专用设备。在服务过程中应保持良好的精神状态；表情自然亲切；举止大方有礼；用语文明规范；服务主动热情、耐心周到及时。</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（二）岗位要求</w:t>
      </w:r>
      <w:r>
        <w:rPr>
          <w:rFonts w:hint="eastAsia" w:ascii="方正仿宋_GBK" w:hAnsi="方正仿宋_GBK" w:eastAsia="方正仿宋_GBK" w:cs="方正仿宋_GBK"/>
          <w:b/>
          <w:bCs/>
          <w:sz w:val="28"/>
          <w:szCs w:val="28"/>
          <w:highlight w:val="none"/>
        </w:rPr>
      </w:r>
      <w:r/>
    </w:p>
    <w:p>
      <w:pPr>
        <w:pStyle w:val="950"/>
        <w:spacing w:line="360" w:lineRule="exac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1、项目经理岗位要求</w:t>
      </w:r>
      <w:r>
        <w:rPr>
          <w:rFonts w:ascii="方正仿宋_GBK" w:hAnsi="方正仿宋_GBK" w:eastAsia="方正仿宋_GBK" w:cs="方正仿宋_GBK"/>
          <w:b/>
          <w:bCs/>
          <w:sz w:val="28"/>
          <w:szCs w:val="28"/>
          <w:highlight w:val="none"/>
        </w:rPr>
      </w:r>
      <w:r/>
    </w:p>
    <w:p>
      <w:pPr>
        <w:pStyle w:val="1064"/>
        <w:ind w:left="181" w:firstLine="48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sz w:val="28"/>
          <w:szCs w:val="28"/>
          <w:highlight w:val="none"/>
        </w:rPr>
        <w:t xml:space="preserve">男女不限；具有本科及以上学历；具有管理类或政工专业或经济类或工程类中级及以上职称；具有物业相关岗位证书。具有5年及以上类似项目管理经验，能熟练操作电脑，具有一定的协调能力，现场指挥能力和处理复杂事务的能力，责任心强，爱岗敬业，吃苦耐劳。</w:t>
      </w:r>
      <w:r>
        <w:rPr>
          <w:rFonts w:hint="eastAsia" w:ascii="方正仿宋_GBK" w:hAnsi="方正仿宋_GBK" w:eastAsia="方正仿宋_GBK" w:cs="方正仿宋_GBK"/>
          <w:b w:val="0"/>
          <w:bCs w:val="0"/>
          <w:sz w:val="28"/>
          <w:szCs w:val="28"/>
          <w:highlight w:val="none"/>
        </w:rPr>
      </w:r>
      <w:r/>
    </w:p>
    <w:p>
      <w:pPr>
        <w:pStyle w:val="1064"/>
        <w:ind w:firstLine="48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2、管理员岗位要求</w:t>
      </w:r>
      <w:r>
        <w:rPr>
          <w:rFonts w:hint="eastAsia" w:ascii="方正仿宋_GBK" w:hAnsi="方正仿宋_GBK" w:eastAsia="方正仿宋_GBK" w:cs="方正仿宋_GBK"/>
          <w:b/>
          <w:bCs/>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a.负责楼宇内的日常管理工作，坚决贯彻上级管理部门的各项规章制度，按时完成上级管理部门安排的各项工作任务。</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b.定期召开站内员工例会，及时传达上级部门最新指示精神，查找问题、解决存在问题、布置工作，做好会议记录并每月上交。</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c.负责本站员工的正常排班和日常考勤工作，配合上级对本站员工的管理、奖惩、考核等工作。</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d.负责规范管理和使用各类台帐，每日查看《值班记录本》、《日常报修记录单》等记录本并签字确认。</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e.负责楼宇和地下车库内的防火、防盗、防意外事故等安全管理工作，遇突发事件须立即前往处理并在第一时间向上级汇报。</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f.负责站内办公用品、保洁用品的申购保管、领用、分发登记工作，厉行节约、杜绝浪费。</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g.负责组织本站人员落实疫情防控的各项规定要求。配合上级部门做好各种临时性活动工作安排。</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t xml:space="preserve">3</w:t>
      </w:r>
      <w:r>
        <w:rPr>
          <w:rFonts w:hint="eastAsia" w:ascii="方正仿宋_GBK" w:hAnsi="方正仿宋_GBK" w:eastAsia="方正仿宋_GBK" w:cs="方正仿宋_GBK"/>
          <w:b/>
          <w:bCs/>
          <w:sz w:val="28"/>
          <w:szCs w:val="28"/>
          <w:highlight w:val="none"/>
        </w:rPr>
        <w:t xml:space="preserve">、值班员岗位要求</w:t>
      </w:r>
      <w:r>
        <w:rPr>
          <w:rFonts w:hint="eastAsia" w:ascii="方正仿宋_GBK" w:hAnsi="方正仿宋_GBK" w:eastAsia="方正仿宋_GBK" w:cs="方正仿宋_GBK"/>
          <w:b/>
          <w:bCs/>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a.在管理员的直接领导下，负责楼宇的日常服务工作。</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b.遵守后勤各项规章制度，按时上下班，认真做好值班记录和交接班工作，工作时间不得擅自脱岗，不做与工作无关的事情。</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c.负责楼宇和地下车库的值班和安全保卫工作，按时开关大门，严格执行外来人员进出登记制度，禁止无关人员出入，特殊情况需先查验证件并登记，经相关部门的批准，方可入内。</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d.熟悉楼内各院系的分布情况，做好来访者登记引导服务工作。负责保管相关钥匙，严格执行借用钥匙登记手续，做好记录。</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e.保持值班室内整洁，保持良好的工作和接待环境。适时做好消毒防疫，防止疾病传播。</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f.每天做好日常设施设备的检查、报修、维修跟踪等服务工作，保证楼宇内的设施设备完好并能够正常运转。</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g.严格按照工作流程值班、巡查、清场，有异常情况及时向责任人和相关部门汇报，并做好相应的记录。</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h.完成上级领导交办的其他任务。</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t xml:space="preserve">4</w:t>
      </w:r>
      <w:r>
        <w:rPr>
          <w:rFonts w:hint="eastAsia" w:ascii="方正仿宋_GBK" w:hAnsi="方正仿宋_GBK" w:eastAsia="方正仿宋_GBK" w:cs="方正仿宋_GBK"/>
          <w:b/>
          <w:bCs/>
          <w:sz w:val="28"/>
          <w:szCs w:val="28"/>
          <w:highlight w:val="none"/>
        </w:rPr>
        <w:t xml:space="preserve">、保洁员岗位要求</w:t>
      </w:r>
      <w:r>
        <w:rPr>
          <w:rFonts w:hint="eastAsia" w:ascii="方正仿宋_GBK" w:hAnsi="方正仿宋_GBK" w:eastAsia="方正仿宋_GBK" w:cs="方正仿宋_GBK"/>
          <w:b/>
          <w:bCs/>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a.服从管理员的领导及工作安排，接受责任人的检查监督。</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b.严格遵守上级主管部门的各项规章制度，遵守作息时间，上班不做与工作无关的事情。拾到学生用品需及时交给管理人员并由管理人员做好记录。</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c.熟练掌握日常的保洁方法，严格按操作要求工作，严格落实政府关于垃圾分类的规定要求。</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d.合理安排每日清洁工作，定时打扫指定公共区域，保证地面整洁干净。无灰尘、无纸屑、无痰迹，墙面无蜘蛛网，门窗玻璃、栏杆扶手、消防器材等洁净明亮。</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e.落实消毒</w:t>
      </w:r>
      <w:r>
        <w:rPr>
          <w:rFonts w:hint="eastAsia" w:ascii="方正仿宋_GBK" w:hAnsi="方正仿宋_GBK" w:eastAsia="方正仿宋_GBK" w:cs="方正仿宋_GBK"/>
          <w:color w:val="000000"/>
          <w:sz w:val="28"/>
          <w:szCs w:val="28"/>
          <w:highlight w:val="none"/>
        </w:rPr>
        <w:t xml:space="preserve">和传染病防控</w:t>
      </w:r>
      <w:r>
        <w:rPr>
          <w:rFonts w:hint="eastAsia" w:ascii="方正仿宋_GBK" w:hAnsi="方正仿宋_GBK" w:eastAsia="方正仿宋_GBK" w:cs="方正仿宋_GBK"/>
          <w:sz w:val="28"/>
          <w:szCs w:val="28"/>
          <w:highlight w:val="none"/>
        </w:rPr>
        <w:t xml:space="preserve">各项规定，及时打扫卫生间，保持清洁不堵塞，无异味，防止疾病传播。打扫卫生时要注意节水、节电，如有滴、漏及损坏现象及时报予管理员登记。</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f.定期对垃圾桶进行清洁，消毒及每天对垃圾的清运工作；定期清除楼宇天台的杂物，保持下水道通畅。节约保洁用品，爱惜保洁工具，保洁完后工具摆放在指定位置。</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g.完成上级领导交办的其他工作任务</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t xml:space="preserve">5</w:t>
      </w:r>
      <w:r>
        <w:rPr>
          <w:rFonts w:hint="eastAsia" w:ascii="方正仿宋_GBK" w:hAnsi="方正仿宋_GBK" w:eastAsia="方正仿宋_GBK" w:cs="方正仿宋_GBK"/>
          <w:b/>
          <w:bCs/>
          <w:sz w:val="28"/>
          <w:szCs w:val="28"/>
          <w:highlight w:val="none"/>
        </w:rPr>
        <w:t xml:space="preserve">、维修工岗位要求</w:t>
      </w:r>
      <w:r>
        <w:rPr>
          <w:rFonts w:hint="eastAsia" w:ascii="方正仿宋_GBK" w:hAnsi="方正仿宋_GBK" w:eastAsia="方正仿宋_GBK" w:cs="方正仿宋_GBK"/>
          <w:b/>
          <w:bCs/>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a.服从管理员的领导及工作安排，接受责任人的检查监督。</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b.严格遵守上级主管部门的各项规章制度，遵守作息时间，上班不做与工作无关的事情。</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c.做好楼宇内门窗、水路、电路、其他设施的检修、维修、维护工作。</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d.做好与站长、管理员、保洁员的相关配合工作。</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e.工作中要语言文明、行为得体，态度和蔼。</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f.保管好所用工具，做好工具、配件的领取登记工作，使用物品损坏或丢失要及时上报。</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g.履行好相关维修工作的交接、报修手续。</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sz w:val="28"/>
          <w:szCs w:val="28"/>
          <w:highlight w:val="none"/>
        </w:rPr>
        <w:t xml:space="preserve">h.完成上级主管部门安排的其他临时性工作。</w:t>
      </w:r>
      <w:r>
        <w:rPr>
          <w:rFonts w:hint="eastAsia" w:ascii="方正仿宋_GBK" w:hAnsi="方正仿宋_GBK" w:eastAsia="方正仿宋_GBK" w:cs="方正仿宋_GBK"/>
          <w:b/>
          <w:color w:val="000000"/>
          <w:sz w:val="28"/>
          <w:szCs w:val="28"/>
          <w:highlight w:val="none"/>
        </w:rPr>
      </w:r>
      <w:r/>
    </w:p>
    <w:p>
      <w:pPr>
        <w:pStyle w:val="950"/>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五、项目服务方案</w:t>
      </w:r>
      <w:r>
        <w:rPr>
          <w:rFonts w:hint="eastAsia" w:ascii="黑体" w:hAnsi="黑体" w:eastAsia="黑体" w:cs="黑体"/>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（一）整体设想与策划</w:t>
      </w:r>
      <w:r>
        <w:rPr>
          <w:rFonts w:hint="eastAsia" w:ascii="方正仿宋_GBK" w:hAnsi="方正仿宋_GBK" w:eastAsia="方正仿宋_GBK" w:cs="方正仿宋_GBK"/>
          <w:b/>
          <w:bCs/>
          <w:sz w:val="28"/>
          <w:szCs w:val="28"/>
          <w:highlight w:val="none"/>
        </w:rPr>
      </w:r>
      <w:r/>
    </w:p>
    <w:p>
      <w:pPr>
        <w:pStyle w:val="962"/>
        <w:ind w:firstLine="560"/>
        <w:tabs>
          <w:tab w:val="right" w:pos="8720" w:leader="dot"/>
        </w:tabs>
        <w:rPr>
          <w:rFonts w:hint="eastAsia" w:ascii="宋体" w:hAnsi="宋体" w:eastAsia="宋体" w:cs="Times New Roman"/>
          <w:color w:val="000000"/>
          <w:sz w:val="24"/>
          <w:szCs w:val="24"/>
          <w:highlight w:val="none"/>
          <w:lang w:val="en-US" w:eastAsia="zh-CN"/>
        </w:rPr>
      </w:pPr>
      <w:r>
        <w:rPr>
          <w:rFonts w:hint="eastAsia" w:ascii="方正仿宋_GBK" w:hAnsi="方正仿宋_GBK" w:eastAsia="方正仿宋_GBK" w:cs="方正仿宋_GBK"/>
          <w:color w:val="000000"/>
          <w:sz w:val="28"/>
          <w:szCs w:val="28"/>
          <w:highlight w:val="none"/>
        </w:rPr>
        <w:t xml:space="preserve">投标人应根据采购需求和本项目实际，提供本项目整体设想与策划，包括但不限于以下内容：</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项目服务特点分析</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项目定位</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拟定管理思路</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服务设想</w:t>
      </w:r>
      <w:r>
        <w:rPr>
          <w:rFonts w:hint="eastAsia" w:ascii="方正仿宋_GBK" w:hAnsi="方正仿宋_GBK" w:eastAsia="方正仿宋_GBK" w:cs="方正仿宋_GBK"/>
          <w:color w:val="000000"/>
          <w:sz w:val="28"/>
          <w:szCs w:val="28"/>
          <w:highlight w:val="none"/>
          <w:lang w:val="en-US" w:eastAsia="zh-CN"/>
        </w:rPr>
        <w:t xml:space="preserve">；5）项目重难点分析；6）服务目标；</w:t>
      </w:r>
      <w:r>
        <w:rPr>
          <w:rFonts w:hint="eastAsia" w:ascii="方正仿宋_GBK" w:hAnsi="方正仿宋_GBK" w:eastAsia="方正仿宋_GBK" w:cs="方正仿宋_GBK"/>
          <w:color w:val="000000"/>
          <w:sz w:val="28"/>
          <w:szCs w:val="28"/>
          <w:highlight w:val="none"/>
        </w:rPr>
        <w:t xml:space="preserve">要求方案细致完整、针对性强、措施有力，方案的贯彻应能满足本项目各项服务要求。</w:t>
      </w:r>
      <w:r>
        <w:rPr>
          <w:rFonts w:hint="eastAsia" w:ascii="宋体" w:hAnsi="宋体" w:eastAsia="宋体" w:cs="Times New Roman"/>
          <w:color w:val="000000"/>
          <w:sz w:val="24"/>
          <w:szCs w:val="24"/>
          <w:highlight w:val="none"/>
          <w:lang w:val="en-US" w:eastAsia="zh-CN"/>
        </w:rPr>
      </w:r>
      <w:r/>
    </w:p>
    <w:p>
      <w:pPr>
        <w:pStyle w:val="95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（二）项目组织管理服务方案</w:t>
      </w:r>
      <w:r>
        <w:rPr>
          <w:rFonts w:hint="eastAsia" w:ascii="方正仿宋_GBK" w:hAnsi="方正仿宋_GBK" w:eastAsia="方正仿宋_GBK" w:cs="方正仿宋_GBK"/>
          <w:b/>
          <w:bCs/>
          <w:sz w:val="28"/>
          <w:szCs w:val="28"/>
          <w:highlight w:val="none"/>
        </w:rPr>
      </w:r>
      <w:r/>
    </w:p>
    <w:p>
      <w:pPr>
        <w:pStyle w:val="962"/>
        <w:ind w:firstLine="560"/>
        <w:tabs>
          <w:tab w:val="right" w:pos="8720" w:leader="dot"/>
        </w:tabs>
        <w:rPr>
          <w:rFonts w:hint="eastAsia" w:ascii="宋体" w:hAnsi="宋体" w:eastAsia="宋体" w:cs="Times New Roman"/>
          <w:color w:val="000000"/>
          <w:sz w:val="24"/>
          <w:szCs w:val="24"/>
          <w:highlight w:val="none"/>
          <w:lang w:val="en-US" w:eastAsia="zh-CN"/>
        </w:rPr>
      </w:pPr>
      <w:r>
        <w:rPr>
          <w:rFonts w:hint="eastAsia" w:ascii="方正仿宋_GBK" w:hAnsi="方正仿宋_GBK" w:eastAsia="方正仿宋_GBK" w:cs="方正仿宋_GBK"/>
          <w:color w:val="000000"/>
          <w:sz w:val="28"/>
          <w:szCs w:val="28"/>
          <w:highlight w:val="none"/>
        </w:rPr>
        <w:t xml:space="preserve">投标人应根据采购需求和本项目实际，提供本项目组织管理服务方案，包括但不限于以下内容：</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制定切实可行的内部管理规章制度；</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加强工作人员的业务培训；</w:t>
      </w:r>
      <w:r>
        <w:rPr>
          <w:rFonts w:hint="eastAsia" w:ascii="方正仿宋_GBK" w:hAnsi="方正仿宋_GBK" w:eastAsia="方正仿宋_GBK" w:cs="方正仿宋_GBK"/>
          <w:color w:val="000000"/>
          <w:sz w:val="28"/>
          <w:szCs w:val="28"/>
          <w:highlight w:val="none"/>
          <w:lang w:val="en-US" w:eastAsia="zh-CN"/>
        </w:rPr>
        <w:t xml:space="preserve">3）组织架构</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4）岗位职责</w:t>
      </w:r>
      <w:r>
        <w:rPr>
          <w:rFonts w:hint="eastAsia" w:ascii="方正仿宋_GBK" w:hAnsi="方正仿宋_GBK" w:eastAsia="方正仿宋_GBK" w:cs="方正仿宋_GBK"/>
          <w:color w:val="000000"/>
          <w:sz w:val="28"/>
          <w:szCs w:val="28"/>
          <w:highlight w:val="none"/>
        </w:rPr>
        <w:t xml:space="preserve">；要求方案细致完整、针对性强、措施有力，方案的贯彻应能满足本项目各项服务要求。</w:t>
      </w:r>
      <w:r>
        <w:rPr>
          <w:rFonts w:hint="eastAsia" w:ascii="宋体" w:hAnsi="宋体" w:eastAsia="宋体" w:cs="Times New Roman"/>
          <w:color w:val="000000"/>
          <w:sz w:val="24"/>
          <w:szCs w:val="24"/>
          <w:highlight w:val="none"/>
          <w:lang w:val="en-US" w:eastAsia="zh-CN"/>
        </w:rPr>
      </w:r>
      <w:r/>
    </w:p>
    <w:p>
      <w:pPr>
        <w:pStyle w:val="95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（三）工程维修服务方案及要求 </w:t>
      </w:r>
      <w:r>
        <w:rPr>
          <w:rFonts w:hint="eastAsia" w:ascii="方正仿宋_GBK" w:hAnsi="方正仿宋_GBK" w:eastAsia="方正仿宋_GBK" w:cs="方正仿宋_GBK"/>
          <w:b/>
          <w:bCs/>
          <w:sz w:val="28"/>
          <w:szCs w:val="28"/>
          <w:highlight w:val="none"/>
        </w:rPr>
      </w:r>
      <w:r/>
    </w:p>
    <w:p>
      <w:pPr>
        <w:pStyle w:val="1064"/>
        <w:ind w:left="210" w:right="210" w:firstLine="480"/>
        <w:spacing w:line="4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投标人应根据采购需求和本项目实际，提供本项目工程维修服务方案，方案应包括：1）零星维修服务实施计划；2）零星维修受理服务实施流程；3）计划性维修实施方案；4）维修设备及工具管理；5）建立维修物料仓库；要求方案细致完整、针对性强、措施有力，方案的贯彻应能满足本项目各项服务要求。</w:t>
      </w:r>
      <w:r>
        <w:rPr>
          <w:rFonts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1、本项维修费用包含在供应商的报价中。属于小修范围的（单项单件500元及以内）项目，当日组织维修；属于大、中修范围的应在24小时内向学校后勤部门提出报告。</w:t>
      </w:r>
      <w:r>
        <w:rPr>
          <w:rFonts w:hint="eastAsia" w:ascii="方正仿宋_GBK" w:hAnsi="方正仿宋_GBK" w:eastAsia="方正仿宋_GBK" w:cs="方正仿宋_GBK"/>
          <w:bCs/>
          <w:sz w:val="28"/>
          <w:szCs w:val="28"/>
          <w:highlight w:val="none"/>
        </w:rPr>
        <w:t xml:space="preserve">物业应自行维修的项目（但不限于表中所示项目），</w:t>
      </w:r>
      <w:r>
        <w:rPr>
          <w:rFonts w:hint="eastAsia" w:ascii="方正仿宋_GBK" w:hAnsi="方正仿宋_GBK" w:eastAsia="方正仿宋_GBK" w:cs="方正仿宋_GBK"/>
          <w:sz w:val="28"/>
          <w:szCs w:val="28"/>
          <w:highlight w:val="none"/>
        </w:rPr>
        <w:t xml:space="preserve">室内固定设施，常规单项单件500元及以内小型维修项目。</w:t>
      </w:r>
      <w:r>
        <w:rPr>
          <w:rFonts w:hint="eastAsia" w:ascii="方正仿宋_GBK" w:hAnsi="方正仿宋_GBK" w:eastAsia="方正仿宋_GBK" w:cs="方正仿宋_GBK"/>
          <w:sz w:val="28"/>
          <w:szCs w:val="28"/>
          <w:highlight w:val="none"/>
        </w:rPr>
      </w:r>
      <w:r/>
    </w:p>
    <w:tbl>
      <w:tblPr>
        <w:tblW w:w="5000" w:type="pct"/>
        <w:jc w:val="center"/>
        <w:tblInd w:w="-15"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468"/>
        <w:gridCol w:w="7515"/>
      </w:tblGrid>
      <w:tr>
        <w:trPr>
          <w:trHeight w:val="404"/>
        </w:trPr>
        <w:tc>
          <w:tcPr>
            <w:tcW w:w="81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门</w:t>
            </w:r>
            <w:r>
              <w:rPr>
                <w:rFonts w:hint="eastAsia" w:ascii="方正仿宋_GBK" w:hAnsi="方正仿宋_GBK" w:eastAsia="方正仿宋_GBK" w:cs="方正仿宋_GBK"/>
                <w:sz w:val="24"/>
                <w:szCs w:val="24"/>
                <w:highlight w:val="none"/>
              </w:rPr>
            </w:r>
            <w:r/>
          </w:p>
        </w:tc>
        <w:tc>
          <w:tcPr>
            <w:tcW w:w="4183"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门锁，防盗门锁、塑钢门锁、木门锁、铰链、搭扣、插销、拉手的修理与更换</w:t>
            </w:r>
            <w:r>
              <w:rPr>
                <w:rFonts w:hint="eastAsia" w:ascii="方正仿宋_GBK" w:hAnsi="方正仿宋_GBK" w:eastAsia="方正仿宋_GBK" w:cs="方正仿宋_GBK"/>
                <w:sz w:val="24"/>
                <w:szCs w:val="24"/>
                <w:highlight w:val="none"/>
              </w:rPr>
            </w:r>
            <w:r/>
          </w:p>
        </w:tc>
      </w:tr>
      <w:tr>
        <w:trPr>
          <w:trHeight w:val="808"/>
        </w:trPr>
        <w:tc>
          <w:tcPr>
            <w:tcW w:w="81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窗户及玻璃</w:t>
            </w:r>
            <w:r>
              <w:rPr>
                <w:rFonts w:hint="eastAsia" w:ascii="方正仿宋_GBK" w:hAnsi="方正仿宋_GBK" w:eastAsia="方正仿宋_GBK" w:cs="方正仿宋_GBK"/>
                <w:sz w:val="24"/>
                <w:szCs w:val="24"/>
                <w:highlight w:val="none"/>
              </w:rPr>
            </w:r>
            <w:r/>
          </w:p>
        </w:tc>
        <w:tc>
          <w:tcPr>
            <w:tcW w:w="4183"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窗户及其附属配件（搭扣、把手、窗帘轨道）的修理与更换，</w:t>
            </w:r>
            <w:r>
              <w:rPr>
                <w:rFonts w:hint="eastAsia" w:ascii="方正仿宋_GBK" w:hAnsi="方正仿宋_GBK" w:eastAsia="方正仿宋_GBK" w:cs="方正仿宋_GBK"/>
                <w:sz w:val="24"/>
                <w:szCs w:val="24"/>
                <w:highlight w:val="none"/>
              </w:rPr>
            </w:r>
            <w:r/>
          </w:p>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普通玻璃钢化玻璃和高度超过2.5米的普通玻璃不在此范围</w:t>
            </w:r>
            <w:r>
              <w:rPr>
                <w:rFonts w:hint="eastAsia" w:ascii="方正仿宋_GBK" w:hAnsi="方正仿宋_GBK" w:eastAsia="方正仿宋_GBK" w:cs="方正仿宋_GBK"/>
                <w:sz w:val="24"/>
                <w:szCs w:val="24"/>
                <w:highlight w:val="none"/>
              </w:rPr>
            </w:r>
            <w:r/>
          </w:p>
        </w:tc>
      </w:tr>
      <w:tr>
        <w:trPr>
          <w:trHeight w:val="805"/>
        </w:trPr>
        <w:tc>
          <w:tcPr>
            <w:tcW w:w="81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水路</w:t>
            </w:r>
            <w:r>
              <w:rPr>
                <w:rFonts w:hint="eastAsia" w:ascii="方正仿宋_GBK" w:hAnsi="方正仿宋_GBK" w:eastAsia="方正仿宋_GBK" w:cs="方正仿宋_GBK"/>
                <w:sz w:val="24"/>
                <w:szCs w:val="24"/>
                <w:highlight w:val="none"/>
              </w:rPr>
            </w:r>
            <w:r/>
          </w:p>
        </w:tc>
        <w:tc>
          <w:tcPr>
            <w:tcW w:w="4183"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自来水室内阀门，冲水阀、水龙头、水管、地漏，盥洗池、拖把池等配套</w:t>
            </w:r>
            <w:r>
              <w:rPr>
                <w:rFonts w:hint="eastAsia" w:ascii="方正仿宋_GBK" w:hAnsi="方正仿宋_GBK" w:eastAsia="方正仿宋_GBK" w:cs="方正仿宋_GBK"/>
                <w:sz w:val="24"/>
                <w:szCs w:val="24"/>
                <w:highlight w:val="none"/>
              </w:rPr>
            </w:r>
            <w:r/>
          </w:p>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设施的修理更换，以及水管、上下水管道的小型治漏和疏通修理(不含土建工程)</w:t>
            </w:r>
            <w:r>
              <w:rPr>
                <w:rFonts w:hint="eastAsia" w:ascii="方正仿宋_GBK" w:hAnsi="方正仿宋_GBK" w:eastAsia="方正仿宋_GBK" w:cs="方正仿宋_GBK"/>
                <w:sz w:val="24"/>
                <w:szCs w:val="24"/>
                <w:highlight w:val="none"/>
              </w:rPr>
            </w:r>
            <w:r/>
          </w:p>
        </w:tc>
      </w:tr>
      <w:tr>
        <w:trPr>
          <w:trHeight w:val="675"/>
        </w:trPr>
        <w:tc>
          <w:tcPr>
            <w:tcW w:w="81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电路及电器</w:t>
            </w:r>
            <w:r>
              <w:rPr>
                <w:rFonts w:hint="eastAsia" w:ascii="方正仿宋_GBK" w:hAnsi="方正仿宋_GBK" w:eastAsia="方正仿宋_GBK" w:cs="方正仿宋_GBK"/>
                <w:sz w:val="24"/>
                <w:szCs w:val="24"/>
                <w:highlight w:val="none"/>
              </w:rPr>
            </w:r>
            <w:r/>
          </w:p>
        </w:tc>
        <w:tc>
          <w:tcPr>
            <w:tcW w:w="4183"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电路设备的维护、修理，小型零配件（小型漏保，空开，灯管、LED灯</w:t>
            </w:r>
            <w:r>
              <w:rPr>
                <w:rFonts w:hint="eastAsia" w:ascii="方正仿宋_GBK" w:hAnsi="方正仿宋_GBK" w:eastAsia="方正仿宋_GBK" w:cs="方正仿宋_GBK"/>
                <w:sz w:val="24"/>
                <w:szCs w:val="24"/>
                <w:highlight w:val="none"/>
              </w:rPr>
            </w:r>
            <w:r/>
          </w:p>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及面板灯、插座面板、室内线路简单的检查检修）的更换</w:t>
            </w:r>
            <w:r>
              <w:rPr>
                <w:rFonts w:hint="eastAsia" w:ascii="方正仿宋_GBK" w:hAnsi="方正仿宋_GBK" w:eastAsia="方正仿宋_GBK" w:cs="方正仿宋_GBK"/>
                <w:sz w:val="24"/>
                <w:szCs w:val="24"/>
                <w:highlight w:val="none"/>
              </w:rPr>
            </w:r>
            <w:r/>
          </w:p>
        </w:tc>
      </w:tr>
      <w:tr>
        <w:trPr>
          <w:trHeight w:val="675"/>
        </w:trPr>
        <w:tc>
          <w:tcPr>
            <w:tcW w:w="81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饮水设备</w:t>
            </w:r>
            <w:r>
              <w:rPr>
                <w:rFonts w:hint="eastAsia" w:ascii="方正仿宋_GBK" w:hAnsi="方正仿宋_GBK" w:eastAsia="方正仿宋_GBK" w:cs="方正仿宋_GBK"/>
                <w:sz w:val="24"/>
                <w:szCs w:val="24"/>
                <w:highlight w:val="none"/>
              </w:rPr>
            </w:r>
            <w:r/>
          </w:p>
        </w:tc>
        <w:tc>
          <w:tcPr>
            <w:tcW w:w="4183" w:type="dxa"/>
            <w:vAlign w:val="center"/>
            <w:textDirection w:val="lrTb"/>
            <w:noWrap w:val="false"/>
          </w:tcPr>
          <w:p>
            <w:pPr>
              <w:pStyle w:val="950"/>
              <w:spacing w:line="360" w:lineRule="exact"/>
              <w:tabs>
                <w:tab w:val="left" w:pos="312"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外部出水管的维修更换。</w:t>
            </w:r>
            <w:r>
              <w:rPr>
                <w:rFonts w:hint="eastAsia" w:ascii="方正仿宋_GBK" w:hAnsi="方正仿宋_GBK" w:eastAsia="方正仿宋_GBK" w:cs="方正仿宋_GBK"/>
                <w:sz w:val="24"/>
                <w:szCs w:val="24"/>
                <w:highlight w:val="none"/>
              </w:rPr>
            </w:r>
            <w:r/>
          </w:p>
          <w:p>
            <w:pPr>
              <w:pStyle w:val="950"/>
              <w:spacing w:line="360" w:lineRule="exact"/>
              <w:tabs>
                <w:tab w:val="left" w:pos="312"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当水龙头出现问题时，由甲方提供水龙头，乙方负责更换。</w:t>
            </w:r>
            <w:r>
              <w:rPr>
                <w:rFonts w:hint="eastAsia" w:ascii="方正仿宋_GBK" w:hAnsi="方正仿宋_GBK" w:eastAsia="方正仿宋_GBK" w:cs="方正仿宋_GBK"/>
                <w:sz w:val="24"/>
                <w:szCs w:val="24"/>
                <w:highlight w:val="none"/>
              </w:rPr>
            </w:r>
            <w:r/>
          </w:p>
        </w:tc>
      </w:tr>
      <w:tr>
        <w:trPr>
          <w:trHeight w:val="230"/>
        </w:trPr>
        <w:tc>
          <w:tcPr>
            <w:tcW w:w="81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房屋内</w:t>
            </w:r>
            <w:r>
              <w:rPr>
                <w:rFonts w:hint="eastAsia" w:ascii="方正仿宋_GBK" w:hAnsi="方正仿宋_GBK" w:eastAsia="方正仿宋_GBK" w:cs="方正仿宋_GBK"/>
                <w:sz w:val="24"/>
                <w:szCs w:val="24"/>
                <w:highlight w:val="none"/>
              </w:rPr>
            </w:r>
            <w:r/>
          </w:p>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其他设施</w:t>
            </w:r>
            <w:r>
              <w:rPr>
                <w:rFonts w:hint="eastAsia" w:ascii="方正仿宋_GBK" w:hAnsi="方正仿宋_GBK" w:eastAsia="方正仿宋_GBK" w:cs="方正仿宋_GBK"/>
                <w:sz w:val="24"/>
                <w:szCs w:val="24"/>
                <w:highlight w:val="none"/>
              </w:rPr>
            </w:r>
            <w:r/>
          </w:p>
        </w:tc>
        <w:tc>
          <w:tcPr>
            <w:tcW w:w="4183"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电灯、电风扇</w:t>
            </w:r>
            <w:r>
              <w:rPr>
                <w:rFonts w:hint="eastAsia" w:ascii="方正仿宋_GBK" w:hAnsi="方正仿宋_GBK" w:eastAsia="方正仿宋_GBK" w:cs="方正仿宋_GBK"/>
                <w:sz w:val="24"/>
                <w:szCs w:val="24"/>
                <w:highlight w:val="none"/>
              </w:rPr>
            </w:r>
            <w:r/>
          </w:p>
        </w:tc>
      </w:tr>
      <w:tr>
        <w:trPr>
          <w:trHeight w:val="310"/>
        </w:trPr>
        <w:tc>
          <w:tcPr>
            <w:tcW w:w="817" w:type="dxa"/>
            <w:vAlign w:val="center"/>
            <w:textDirection w:val="lrTb"/>
            <w:noWrap w:val="false"/>
          </w:tcPr>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厕所内</w:t>
            </w:r>
            <w:r>
              <w:rPr>
                <w:rFonts w:hint="eastAsia" w:ascii="方正仿宋_GBK" w:hAnsi="方正仿宋_GBK" w:eastAsia="方正仿宋_GBK" w:cs="方正仿宋_GBK"/>
                <w:sz w:val="24"/>
                <w:szCs w:val="24"/>
                <w:highlight w:val="none"/>
              </w:rPr>
            </w:r>
            <w:r/>
          </w:p>
          <w:p>
            <w:pPr>
              <w:pStyle w:val="950"/>
              <w:jc w:val="center"/>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设备设施</w:t>
            </w:r>
            <w:r>
              <w:rPr>
                <w:rFonts w:hint="eastAsia" w:ascii="方正仿宋_GBK" w:hAnsi="方正仿宋_GBK" w:eastAsia="方正仿宋_GBK" w:cs="方正仿宋_GBK"/>
                <w:sz w:val="24"/>
                <w:szCs w:val="24"/>
                <w:highlight w:val="none"/>
              </w:rPr>
            </w:r>
            <w:r/>
          </w:p>
        </w:tc>
        <w:tc>
          <w:tcPr>
            <w:tcW w:w="4183"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水龙头、隔板、大小便设施、水路、阀门、水管</w:t>
            </w:r>
            <w:r>
              <w:rPr>
                <w:rFonts w:hint="eastAsia" w:ascii="方正仿宋_GBK" w:hAnsi="方正仿宋_GBK" w:eastAsia="方正仿宋_GBK" w:cs="方正仿宋_GBK"/>
                <w:sz w:val="24"/>
                <w:szCs w:val="24"/>
                <w:highlight w:val="none"/>
              </w:rPr>
            </w:r>
            <w:r/>
          </w:p>
        </w:tc>
      </w:tr>
    </w:tbl>
    <w:p>
      <w:pPr>
        <w:pStyle w:val="1064"/>
        <w:ind w:firstLine="480"/>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2、前面已经确定的楼宇在维修范围内，安全管理处南北门、体育部西和北两个仓库、后勤水泵房的相关维修也在维修范围内。</w:t>
      </w:r>
      <w:r>
        <w:rPr>
          <w:rFonts w:hint="eastAsia" w:ascii="方正仿宋_GBK" w:hAnsi="方正仿宋_GBK" w:eastAsia="方正仿宋_GBK" w:cs="方正仿宋_GBK"/>
          <w:bCs/>
          <w:sz w:val="28"/>
          <w:szCs w:val="28"/>
          <w:highlight w:val="none"/>
        </w:rPr>
      </w:r>
      <w:r/>
    </w:p>
    <w:p>
      <w:pPr>
        <w:pStyle w:val="950"/>
        <w:spacing w:line="46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（四）保洁工作服务方案及要求</w:t>
      </w:r>
      <w:r>
        <w:rPr>
          <w:rFonts w:ascii="方正仿宋_GBK" w:hAnsi="方正仿宋_GBK" w:eastAsia="方正仿宋_GBK" w:cs="方正仿宋_GBK"/>
          <w:b/>
          <w:sz w:val="28"/>
          <w:szCs w:val="28"/>
          <w:highlight w:val="none"/>
        </w:rPr>
      </w:r>
      <w:r/>
    </w:p>
    <w:p>
      <w:pPr>
        <w:pStyle w:val="950"/>
        <w:ind w:firstLine="560"/>
        <w:rPr>
          <w:rFonts w:hint="eastAsia" w:ascii="Times New Roman" w:hAnsi="Times New Roman" w:eastAsia="宋体" w:cs="Times New Roman"/>
          <w:color w:val="000000"/>
          <w:sz w:val="21"/>
          <w:szCs w:val="21"/>
          <w:highlight w:val="none"/>
          <w:lang w:eastAsia="zh-CN"/>
        </w:rPr>
      </w:pPr>
      <w:r>
        <w:rPr>
          <w:rFonts w:hint="eastAsia" w:ascii="方正仿宋_GBK" w:hAnsi="方正仿宋_GBK" w:eastAsia="方正仿宋_GBK" w:cs="方正仿宋_GBK"/>
          <w:color w:val="000000"/>
          <w:sz w:val="28"/>
          <w:szCs w:val="28"/>
          <w:highlight w:val="none"/>
        </w:rPr>
        <w:t xml:space="preserve">投标人应根据采购需求和本项目实际，提供本项目保洁工作服务方案，方案应包括：1）建筑物日常保洁；2）专项保洁；3）垃圾分类；4）垃圾清运；5）垃圾站卫生管理；6）机械化设备使用管理；要求方案细致完整、针对性强、措施有力，方案的贯彻应能满足本项目各项服务要求。</w:t>
      </w:r>
      <w:r>
        <w:rPr>
          <w:rFonts w:hint="eastAsia" w:ascii="Times New Roman" w:hAnsi="Times New Roman" w:eastAsia="宋体" w:cs="Times New Roman"/>
          <w:color w:val="000000"/>
          <w:sz w:val="21"/>
          <w:szCs w:val="21"/>
          <w:highlight w:val="none"/>
          <w:lang w:eastAsia="zh-CN"/>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1、楼宇内环境保洁：根据项目服务要求及保洁强度，对楼宇和地下车库进行经常性的清洁和保洁服务，保持5米以下清洁卫生，如下表所示：</w:t>
      </w:r>
      <w:r>
        <w:rPr>
          <w:rFonts w:hint="eastAsia" w:ascii="方正仿宋_GBK" w:hAnsi="方正仿宋_GBK" w:eastAsia="方正仿宋_GBK" w:cs="方正仿宋_GBK"/>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5548"/>
        <w:gridCol w:w="1849"/>
      </w:tblGrid>
      <w:tr>
        <w:trPr>
          <w:cantSplit/>
          <w:trHeight w:val="90"/>
        </w:trPr>
        <w:tc>
          <w:tcPr>
            <w:tcW w:w="966" w:type="dxa"/>
            <w:vAlign w:val="center"/>
            <w:textDirection w:val="lrTb"/>
            <w:noWrap w:val="false"/>
          </w:tcPr>
          <w:p>
            <w:pPr>
              <w:pStyle w:val="950"/>
              <w:jc w:val="center"/>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项目</w:t>
            </w:r>
            <w:r>
              <w:rPr>
                <w:rFonts w:hint="eastAsia" w:ascii="黑体" w:hAnsi="黑体" w:eastAsia="黑体" w:cs="黑体"/>
                <w:sz w:val="24"/>
                <w:szCs w:val="24"/>
                <w:highlight w:val="none"/>
              </w:rPr>
            </w:r>
            <w:r/>
          </w:p>
        </w:tc>
        <w:tc>
          <w:tcPr>
            <w:tcW w:w="3024" w:type="dxa"/>
            <w:vAlign w:val="center"/>
            <w:textDirection w:val="lrTb"/>
            <w:noWrap w:val="false"/>
          </w:tcPr>
          <w:p>
            <w:pPr>
              <w:pStyle w:val="950"/>
              <w:jc w:val="center"/>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服务要求</w:t>
            </w:r>
            <w:r>
              <w:rPr>
                <w:rFonts w:hint="eastAsia" w:ascii="黑体" w:hAnsi="黑体" w:eastAsia="黑体" w:cs="黑体"/>
                <w:sz w:val="24"/>
                <w:szCs w:val="24"/>
                <w:highlight w:val="none"/>
              </w:rPr>
            </w:r>
            <w:r/>
          </w:p>
        </w:tc>
        <w:tc>
          <w:tcPr>
            <w:tcW w:w="1008" w:type="dxa"/>
            <w:vAlign w:val="center"/>
            <w:textDirection w:val="lrTb"/>
            <w:noWrap w:val="false"/>
          </w:tcPr>
          <w:p>
            <w:pPr>
              <w:pStyle w:val="950"/>
              <w:jc w:val="center"/>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保洁强度</w:t>
            </w:r>
            <w:r>
              <w:rPr>
                <w:rFonts w:hint="eastAsia" w:ascii="黑体" w:hAnsi="黑体" w:eastAsia="黑体" w:cs="黑体"/>
                <w:sz w:val="24"/>
                <w:szCs w:val="24"/>
                <w:highlight w:val="none"/>
              </w:rPr>
            </w:r>
            <w:r/>
          </w:p>
        </w:tc>
      </w:tr>
      <w:tr>
        <w:trPr>
          <w:cantSplit/>
          <w:trHeight w:val="1158"/>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场馆内部、走廊、门厅、大堂、电梯厅、自习室、阅览室、楼梯或消防梯地面</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地表面、接缝、角落、边线等处洁净，地面干净有光泽，无垃圾、杂物、灰尘、污迹、划痕等现象，保持地面材质原貌。</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每日集中清洁不少于四次（上午下午各两次）并循环保洁</w:t>
            </w: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门、窗、指示牌</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保持干净、无灰尘、光亮。门框、窗框、窗台、金属件表面光亮、无灰尘、无污渍、无絮状物。旋转门、门中轴、门框、门边缝部位光亮、无痕迹、无灰尘。指示牌、广告牌无灰尘、无污迹、无痕迹，金属件表面光亮，无痕迹。</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每周清洁不少于一次</w:t>
            </w: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消防栓、消防箱、公共设施</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保持表面干净，无灰尘、无污渍。报警器、火警通讯电话插座、灭火器表面光亮、无灰尘、无污迹。喷淋盖、烟感器、喇叭无灰尘、无污渍。监控摄像头、门警器表面光亮、无灰尘、无斑点、无絮状物。消防栓外表面光亮、无痕迹、无灰尘，内侧无灰尘、无污迹。</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每月清洁不少于一次</w:t>
            </w: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天花板、风口</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目视无灰尘、无污迹、无蜘蛛网，表面、接缝、角落、边线等处无污渍、无灰尘、无斑点。</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每天清理，保持整洁</w:t>
            </w:r>
            <w:r>
              <w:rPr>
                <w:rFonts w:hint="eastAsia" w:ascii="方正仿宋_GBK" w:hAnsi="方正仿宋_GBK" w:eastAsia="方正仿宋_GBK" w:cs="方正仿宋_GBK"/>
                <w:sz w:val="24"/>
                <w:szCs w:val="24"/>
                <w:highlight w:val="none"/>
              </w:rPr>
            </w:r>
            <w:r/>
          </w:p>
        </w:tc>
      </w:tr>
      <w:tr>
        <w:trPr>
          <w:cantSplit/>
          <w:trHeight w:val="898"/>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走廊、楼梯窗玻璃、大堂门厅、电梯厅玻璃、室内外玻璃</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保持洁净、光亮、无灰尘、无污迹、无水迹。室内外玻璃3.5米（含）以下无积尘、无蛛网、无痰迹。</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每日清洁不少于一次</w:t>
            </w:r>
            <w:r>
              <w:rPr>
                <w:rFonts w:hint="eastAsia" w:ascii="方正仿宋_GBK" w:hAnsi="方正仿宋_GBK" w:eastAsia="方正仿宋_GBK" w:cs="方正仿宋_GBK"/>
                <w:sz w:val="24"/>
                <w:szCs w:val="24"/>
                <w:highlight w:val="none"/>
              </w:rPr>
            </w:r>
            <w:r/>
          </w:p>
        </w:tc>
      </w:tr>
      <w:tr>
        <w:trPr>
          <w:cantSplit/>
          <w:trHeight w:val="981"/>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平台、屋顶</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无杂物、垃圾，排水口畅通，水沟无污垢、杂草，保持檐沟、雨水口、落水管的畅通。</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定期检查，每月至少保证两次集中清洁</w:t>
            </w: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服务功能性用房（如会议室、接待室、茶水间）</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保持干净、整洁、无垃圾。热水炉外壳应无污迹、水渍。不锈钢台面无水迹、无污渍、无擦痕。不锈钢水槽干净、无斑点、无污迹无杂物、水垢，落水口无污垢。冷、热水龙头表面光亮、无污渍、无水垢。下水道无异味、定期滴入消毒液。</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每日根据使用情况进行定时全面清洁</w:t>
            </w:r>
            <w:r>
              <w:rPr>
                <w:rFonts w:hint="eastAsia" w:ascii="方正仿宋_GBK" w:hAnsi="方正仿宋_GBK" w:eastAsia="方正仿宋_GBK" w:cs="方正仿宋_GBK"/>
                <w:sz w:val="24"/>
                <w:szCs w:val="24"/>
                <w:highlight w:val="none"/>
              </w:rPr>
            </w:r>
            <w:r/>
          </w:p>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公共卫生间</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座厕内、小便池内刷洗干净、喷洒消毒，保持无异味、无污迹、无水渍、无垃圾、无积水，镜面保持光亮，无水迹，面盆无水锈。台面无水迹、无皂迹、无毛发，光洁明亮。洁具应表面光洁、明亮、内外侧无污渍、无毛发、无异味、定时消毒。镜子明净、无水渍、无擦痕、镜框边缘无灰尘。废物箱表面无污迹、无灰尘、无异味，定时消毒。外露水管连接处无碱性污垢,管道表面光亮、无灰尘。卫生间内保持空气清新、无异味。</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每日集中清洁不少于四次（上午下午各两次）并循环保洁</w:t>
            </w:r>
            <w:r>
              <w:rPr>
                <w:rFonts w:hint="eastAsia" w:ascii="方正仿宋_GBK" w:hAnsi="方正仿宋_GBK" w:eastAsia="方正仿宋_GBK" w:cs="方正仿宋_GBK"/>
                <w:sz w:val="24"/>
                <w:szCs w:val="24"/>
                <w:highlight w:val="none"/>
              </w:rPr>
            </w:r>
            <w:r/>
          </w:p>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垃圾收集</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垃圾收集点周围地面无散落垃圾、无污水、无污迹、无异味、干净整洁。垃圾箱外侧表面光洁、无灰尘。无残留物、无异味、定时消毒。废弃物及时收集，不满溢。</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垃圾日产日清</w:t>
            </w: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电梯轿厢</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轿厢壁无浮灰；不锈钢表面光亮、无污迹。垂直升降电梯轿厢四壁光洁明亮,操作面板无污迹、无灰尘、无擦痕,保持空气清新、无异味。</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每日清洁不少于两次并循环保洁</w:t>
            </w: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室外台阶</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台阶地面干净。无杂物，无积水。无积灰、积水、无污迹、油渍，地面应保持原色。各类告示牌、照明灯具、栏杆、立柱、反光镜等表面无积灰、无污垢、无污迹。绿地、花坛、隔离带、周围无杂物、无积水。</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每日清洁不少于两次并循环保洁</w:t>
            </w: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设备机房、管道</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无卫生死角、无垃圾堆积，无灰尘、目视无蜘蛛网、无污渍、无水渍。</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每周进行巡查清洁一次</w:t>
            </w:r>
            <w:r>
              <w:rPr>
                <w:rFonts w:hint="eastAsia" w:ascii="方正仿宋_GBK" w:hAnsi="方正仿宋_GBK" w:eastAsia="方正仿宋_GBK" w:cs="方正仿宋_GBK"/>
                <w:sz w:val="24"/>
                <w:szCs w:val="24"/>
                <w:highlight w:val="none"/>
              </w:rPr>
            </w:r>
            <w:r/>
          </w:p>
        </w:tc>
      </w:tr>
      <w:tr>
        <w:trPr>
          <w:cantSplit/>
          <w:trHeight w:val="363"/>
        </w:trPr>
        <w:tc>
          <w:tcPr>
            <w:tcW w:w="966"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电器设施</w:t>
            </w:r>
            <w:r>
              <w:rPr>
                <w:rFonts w:hint="eastAsia" w:ascii="方正仿宋_GBK" w:hAnsi="方正仿宋_GBK" w:eastAsia="方正仿宋_GBK" w:cs="方正仿宋_GBK"/>
                <w:sz w:val="24"/>
                <w:szCs w:val="24"/>
                <w:highlight w:val="none"/>
              </w:rPr>
            </w:r>
            <w:r/>
          </w:p>
        </w:tc>
        <w:tc>
          <w:tcPr>
            <w:tcW w:w="3024"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公共灯具、灯泡、灯管无灰尘。灯罩无灰尘、无污迹。空调、吊扇、喇叭等悬挂物无灰尘、光亮、无污迹。空调出风口无灰尘、无污迹。其它装饰件无灰尘、光亮、无污迹。开关、插座、配电箱无灰尘、无污迹。</w:t>
            </w:r>
            <w:r>
              <w:rPr>
                <w:rFonts w:hint="eastAsia" w:ascii="方正仿宋_GBK" w:hAnsi="方正仿宋_GBK" w:eastAsia="方正仿宋_GBK" w:cs="方正仿宋_GBK"/>
                <w:sz w:val="24"/>
                <w:szCs w:val="24"/>
                <w:highlight w:val="none"/>
              </w:rPr>
            </w:r>
            <w:r/>
          </w:p>
        </w:tc>
        <w:tc>
          <w:tcPr>
            <w:tcW w:w="1008" w:type="dxa"/>
            <w:vAlign w:val="center"/>
            <w:textDirection w:val="lrTb"/>
            <w:noWrap w:val="false"/>
          </w:tcPr>
          <w:p>
            <w:pPr>
              <w:pStyle w:val="95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每周清洁不少于一次并循环保洁</w:t>
            </w:r>
            <w:r>
              <w:rPr>
                <w:rFonts w:hint="eastAsia" w:ascii="方正仿宋_GBK" w:hAnsi="方正仿宋_GBK" w:eastAsia="方正仿宋_GBK" w:cs="方正仿宋_GBK"/>
                <w:sz w:val="24"/>
                <w:szCs w:val="24"/>
                <w:highlight w:val="none"/>
              </w:rPr>
            </w:r>
            <w:r/>
          </w:p>
        </w:tc>
      </w:tr>
    </w:tbl>
    <w:p>
      <w:pPr>
        <w:pStyle w:val="950"/>
        <w:ind w:left="42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2、室外环境卫生：</w:t>
      </w:r>
      <w:r>
        <w:rPr>
          <w:rFonts w:hint="eastAsia" w:ascii="方正仿宋_GBK" w:hAnsi="方正仿宋_GBK" w:eastAsia="方正仿宋_GBK" w:cs="方正仿宋_GBK"/>
          <w:color w:val="000000"/>
          <w:sz w:val="28"/>
          <w:szCs w:val="28"/>
          <w:highlight w:val="none"/>
        </w:rPr>
      </w:r>
      <w:r/>
    </w:p>
    <w:p>
      <w:pPr>
        <w:pStyle w:val="950"/>
        <w:ind w:firstLine="56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a、将学校划分为6个保洁区域，专职卫生保洁人员7人，垃圾拖运2人，定岗定人定时，以师生作息时间调整，避开上课、下课、吃饭时间。同时配合校方做好学生劳动养成课相关工作，正常教学期间带领学生做好责任区域的卫生保洁工作，做好学生的考勤及劳动成果考核工作。</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b、保洁人员，男女不限，作业期间统一着装。按规定时间对包干路段进行清扫保洁，保洁时严禁串岗、聚岗、坐岗，擅自离岗、干私活、捡拾废品。作业范围严禁有暴露垃圾堆，及时清扫。严禁焚烧垃圾；对作业范围内的地面宣传单、沿街小广告、胶带纸、烟头等杂物要及时清理。</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c、每周对窨井盖、垃圾箱、路灯杆、电箱、广告栏等进行清洗；负责学院垃圾箱管理和维护工作，垃圾箱内的垃圾需及时清理，并需套装垃圾袋。</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d、每日须对管养范围内的景观设施（如坐凳）进行擦拭。配合绿化工在绿化作业时对地面树枝等垃圾及时清扫。</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e、按照合同接受甲方日常检查及考核，乙方须对保洁工实行环境卫生考核。规定保洁作息时间，上午和下午各一次整体保洁，双休日需正常保洁。垃圾一律用袋装。垃圾集中后在两个小时以内需用垃圾车送至垃圾站，防止二次污染。</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f、按校方要求给校门口处喷泉池换水，保持水质洁净。保持校园景观水体水面无垃圾袋、树叶等漂浮物。定期给体育场沙坑松土翻新，因学院有在建工程或者大型活动时，乙方需积极配合。遇到季节性的大规模落叶、杨絮柳絮等情况时乙方应及时增派人手，加强清扫。</w:t>
      </w:r>
      <w:r>
        <w:rPr>
          <w:rFonts w:hint="eastAsia" w:ascii="方正仿宋_GBK" w:hAnsi="方正仿宋_GBK" w:eastAsia="方正仿宋_GBK" w:cs="方正仿宋_GBK"/>
          <w:sz w:val="28"/>
          <w:szCs w:val="28"/>
          <w:highlight w:val="none"/>
        </w:rPr>
      </w:r>
      <w:r/>
    </w:p>
    <w:p>
      <w:pPr>
        <w:pStyle w:val="950"/>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g、在节假日、寒暑假期间仍保持环境保洁的日常工作。</w:t>
      </w:r>
      <w:r>
        <w:rPr>
          <w:rFonts w:hint="eastAsia" w:ascii="方正仿宋_GBK" w:hAnsi="方正仿宋_GBK" w:eastAsia="方正仿宋_GBK" w:cs="方正仿宋_GBK"/>
          <w:sz w:val="28"/>
          <w:szCs w:val="28"/>
          <w:highlight w:val="none"/>
        </w:rPr>
      </w:r>
      <w:r/>
    </w:p>
    <w:p>
      <w:pPr>
        <w:pStyle w:val="950"/>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h、负责垃圾站的日常管理及打扫，监督校园内非生活垃圾的相关情况并及时反馈甲方。</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（五）安全管理服务方案及要求</w:t>
      </w:r>
      <w:r>
        <w:rPr>
          <w:rFonts w:hint="eastAsia" w:ascii="方正仿宋_GBK" w:hAnsi="方正仿宋_GBK" w:eastAsia="方正仿宋_GBK" w:cs="方正仿宋_GBK"/>
          <w:b/>
          <w:bCs/>
          <w:sz w:val="28"/>
          <w:szCs w:val="28"/>
          <w:highlight w:val="none"/>
        </w:rPr>
      </w:r>
      <w:r/>
    </w:p>
    <w:p>
      <w:pPr>
        <w:pStyle w:val="1064"/>
        <w:ind w:firstLine="480"/>
        <w:spacing w:line="4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投标人应根据采购需求和本项目实际，提供本项目安全管理服务方案，方案应包括：1）公共秩序维护；2）教学服务保障；3）节能服务；4）治安防范；要求方案细致完整、针对性强、措施有力，方案的贯彻应能满足本项目各项服务要求。</w:t>
      </w:r>
      <w:r>
        <w:rPr>
          <w:rFonts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1、公共秩序维护</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加强对楼宇治安防范，坚持定期检查防盗与安全设施，坚持上下班交接检查制度。坚持值班巡逻，对重点区域、重点部位、重点设备机房至少每3小时巡视一次并记录。发现违法、违章行为应及时制止。</w:t>
      </w:r>
      <w:r>
        <w:rPr>
          <w:rFonts w:hint="eastAsia" w:ascii="方正仿宋_GBK" w:hAnsi="方正仿宋_GBK" w:eastAsia="方正仿宋_GBK" w:cs="方正仿宋_GBK"/>
          <w:sz w:val="28"/>
          <w:szCs w:val="28"/>
          <w:highlight w:val="none"/>
        </w:rPr>
      </w:r>
      <w:r/>
    </w:p>
    <w:p>
      <w:pPr>
        <w:pStyle w:val="1064"/>
        <w:ind w:firstLine="480"/>
        <w:spacing w:line="460" w:lineRule="exact"/>
        <w:rPr>
          <w:rFonts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rPr>
        <w:t xml:space="preserve">2、教学服务保障</w:t>
      </w:r>
      <w:r>
        <w:rPr>
          <w:rFonts w:ascii="方正仿宋_GBK" w:hAnsi="方正仿宋_GBK" w:eastAsia="方正仿宋_GBK" w:cs="方正仿宋_GBK"/>
          <w:sz w:val="28"/>
          <w:szCs w:val="28"/>
          <w:highlight w:val="none"/>
          <w:lang w:val="en-US"/>
        </w:rPr>
      </w:r>
      <w:r/>
    </w:p>
    <w:p>
      <w:pPr>
        <w:pStyle w:val="1064"/>
        <w:ind w:firstLine="480"/>
        <w:spacing w:line="4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rPr>
        <w:t xml:space="preserve">认真做好水电气保障。</w:t>
      </w:r>
      <w:r>
        <w:rPr>
          <w:rFonts w:ascii="方正仿宋_GBK" w:hAnsi="方正仿宋_GBK" w:eastAsia="方正仿宋_GBK" w:cs="方正仿宋_GBK"/>
          <w:sz w:val="28"/>
          <w:szCs w:val="28"/>
          <w:highlight w:val="none"/>
        </w:rPr>
      </w:r>
      <w:r/>
    </w:p>
    <w:p>
      <w:pPr>
        <w:pStyle w:val="1064"/>
        <w:ind w:firstLine="480"/>
        <w:spacing w:line="4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rPr>
        <w:t xml:space="preserve">严格按照采购人相关部门的要求做好教室、教师休息室、会议室等的开放、使用和管理。</w:t>
      </w:r>
      <w:r>
        <w:rPr>
          <w:rFonts w:ascii="方正仿宋_GBK" w:hAnsi="方正仿宋_GBK" w:eastAsia="方正仿宋_GBK" w:cs="方正仿宋_GBK"/>
          <w:sz w:val="28"/>
          <w:szCs w:val="28"/>
          <w:highlight w:val="none"/>
        </w:rPr>
      </w:r>
      <w:r/>
    </w:p>
    <w:p>
      <w:pPr>
        <w:pStyle w:val="1064"/>
        <w:ind w:firstLine="480"/>
        <w:spacing w:line="4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rPr>
        <w:t xml:space="preserve">负责摆放、清点教室内粉笔、黑板擦等易耗品等</w:t>
      </w:r>
      <w:r>
        <w:rPr>
          <w:rFonts w:hint="eastAsia" w:ascii="方正仿宋_GBK" w:hAnsi="方正仿宋_GBK" w:eastAsia="方正仿宋_GBK" w:cs="方正仿宋_GBK"/>
          <w:b w:val="0"/>
          <w:bCs w:val="0"/>
          <w:sz w:val="28"/>
          <w:szCs w:val="28"/>
          <w:highlight w:val="none"/>
          <w:lang w:val="en-US"/>
        </w:rPr>
        <w:t xml:space="preserve">。</w:t>
      </w:r>
      <w:r>
        <w:rPr>
          <w:rFonts w:ascii="方正仿宋_GBK" w:hAnsi="方正仿宋_GBK" w:eastAsia="方正仿宋_GBK" w:cs="方正仿宋_GBK"/>
          <w:sz w:val="28"/>
          <w:szCs w:val="28"/>
          <w:highlight w:val="none"/>
        </w:rPr>
      </w:r>
      <w:r/>
    </w:p>
    <w:p>
      <w:pPr>
        <w:pStyle w:val="1064"/>
        <w:ind w:firstLine="480"/>
        <w:spacing w:line="4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lang w:val="en-US"/>
        </w:rPr>
        <w:t xml:space="preserve">定期或不定期检查教学设备、课桌椅、运动器材等设施设备的完好情况，发现问题及时报修，确保正常办学秩序。</w:t>
      </w:r>
      <w:r>
        <w:rPr>
          <w:rFonts w:ascii="方正仿宋_GBK" w:hAnsi="方正仿宋_GBK" w:eastAsia="方正仿宋_GBK" w:cs="方正仿宋_GBK"/>
          <w:sz w:val="28"/>
          <w:szCs w:val="28"/>
          <w:highlight w:val="none"/>
        </w:rPr>
      </w:r>
      <w:r/>
    </w:p>
    <w:p>
      <w:pPr>
        <w:pStyle w:val="1064"/>
        <w:ind w:firstLine="480"/>
        <w:spacing w:line="460" w:lineRule="exact"/>
        <w:rPr>
          <w:rFonts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rPr>
        <w:t xml:space="preserve">节能服务</w:t>
      </w:r>
      <w:r>
        <w:rPr>
          <w:rFonts w:ascii="方正仿宋_GBK" w:hAnsi="方正仿宋_GBK" w:eastAsia="方正仿宋_GBK" w:cs="方正仿宋_GBK"/>
          <w:sz w:val="28"/>
          <w:szCs w:val="28"/>
          <w:highlight w:val="none"/>
          <w:lang w:val="en-US"/>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rPr>
        <w:t xml:space="preserve">根据采购人节能要求和相关规定，加强节能减排的巡查力度，特别对公共部位出现常明灯和常流水现象进行纠正和处理。在楼内开展节能宣传，倡导师生员工节约水电资源。</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4、治安防范</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物业人员应提供群防群治的安全防范服务，协助保卫部门和公安机关预防和制止违法犯罪行为，对于违反服务承诺和服务标准，疏于管理，违反合同约定义务的，应当承担责任。</w:t>
      </w:r>
      <w:r>
        <w:rPr>
          <w:rFonts w:hint="eastAsia" w:ascii="方正仿宋_GBK" w:hAnsi="方正仿宋_GBK" w:eastAsia="方正仿宋_GBK" w:cs="方正仿宋_GBK"/>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（六）校园应急服务方案及要求</w:t>
      </w:r>
      <w:r>
        <w:rPr>
          <w:rFonts w:hint="eastAsia" w:ascii="方正仿宋_GBK" w:hAnsi="方正仿宋_GBK" w:eastAsia="方正仿宋_GBK" w:cs="方正仿宋_GBK"/>
          <w:b/>
          <w:bCs/>
          <w:sz w:val="28"/>
          <w:szCs w:val="28"/>
          <w:highlight w:val="none"/>
        </w:rPr>
      </w:r>
      <w:r/>
    </w:p>
    <w:p>
      <w:pPr>
        <w:pStyle w:val="1064"/>
        <w:ind w:firstLine="480"/>
        <w:spacing w:line="46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应根据采购需求和本项目实际，提供本项目校园应急服务方案，方案应包括：1）应急管理组织体系；2）各类突发事件处理预案；3）大型活动应急保障预案；4）应急活动演练；要求方案细致完整、针对性强、措施有力，方案的贯彻应能满足本项目各项服务要求。</w:t>
      </w:r>
      <w:r>
        <w:rPr>
          <w:rFonts w:ascii="方正仿宋_GBK" w:hAnsi="方正仿宋_GBK" w:eastAsia="方正仿宋_GBK" w:cs="方正仿宋_GBK"/>
          <w:color w:val="000000"/>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（七）传染病防控方案及要求</w:t>
      </w:r>
      <w:r>
        <w:rPr>
          <w:rFonts w:hint="eastAsia" w:ascii="方正仿宋_GBK" w:hAnsi="方正仿宋_GBK" w:eastAsia="方正仿宋_GBK" w:cs="方正仿宋_GBK"/>
          <w:b/>
          <w:bCs/>
          <w:sz w:val="28"/>
          <w:szCs w:val="28"/>
          <w:highlight w:val="none"/>
        </w:rPr>
      </w:r>
      <w:r/>
    </w:p>
    <w:p>
      <w:pPr>
        <w:pStyle w:val="950"/>
        <w:ind w:firstLine="480"/>
        <w:spacing w:line="46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应根据采购需求和本项目实际，提供本项目传染病防控服务方案，方案应包括：1）重点区域防控；2）重点人群防控；3）应急演练培训；4）传染病防控专项培训；要求方案细致完整、针对性强、措施有力，方案的贯彻应能满足本项目各项服务要求。</w:t>
      </w:r>
      <w:r>
        <w:rPr>
          <w:rFonts w:ascii="方正仿宋_GBK" w:hAnsi="方正仿宋_GBK" w:eastAsia="方正仿宋_GBK" w:cs="方正仿宋_GBK"/>
          <w:color w:val="000000"/>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（八）进退场交接服务方案</w:t>
      </w:r>
      <w:r>
        <w:rPr>
          <w:rFonts w:hint="eastAsia" w:ascii="方正仿宋_GBK" w:hAnsi="方正仿宋_GBK" w:eastAsia="方正仿宋_GBK" w:cs="方正仿宋_GBK"/>
          <w:b/>
          <w:bCs/>
          <w:sz w:val="28"/>
          <w:szCs w:val="28"/>
          <w:highlight w:val="none"/>
        </w:rPr>
      </w:r>
      <w:r/>
    </w:p>
    <w:p>
      <w:pPr>
        <w:pStyle w:val="1066"/>
        <w:ind w:firstLine="420"/>
        <w:spacing w:line="46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应根据采购需求和本项目实际，提供本项目进退场交接服务方案，方案应包括：1）进场交接步骤；2）交接时效；3）退场交接程序；4）交接工作安排与内容；5）退场时间节点；要求方案细致完整、针对性强、措施有力，方案的贯彻应能满足本项目各项服务要求。</w:t>
      </w:r>
      <w:r>
        <w:rPr>
          <w:rFonts w:ascii="方正仿宋_GBK" w:hAnsi="方正仿宋_GBK" w:eastAsia="方正仿宋_GBK" w:cs="方正仿宋_GBK"/>
          <w:color w:val="000000"/>
          <w:sz w:val="28"/>
          <w:szCs w:val="28"/>
          <w:highlight w:val="none"/>
        </w:rPr>
      </w:r>
      <w:r/>
    </w:p>
    <w:p>
      <w:pPr>
        <w:pStyle w:val="950"/>
        <w:spacing w:line="46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（九）校园文化建设服务方案</w:t>
      </w:r>
      <w:r>
        <w:rPr>
          <w:rFonts w:hint="eastAsia" w:ascii="方正仿宋_GBK" w:hAnsi="方正仿宋_GBK" w:eastAsia="方正仿宋_GBK" w:cs="方正仿宋_GBK"/>
          <w:b/>
          <w:bCs/>
          <w:sz w:val="28"/>
          <w:szCs w:val="28"/>
          <w:highlight w:val="none"/>
        </w:rPr>
      </w:r>
      <w:r/>
    </w:p>
    <w:p>
      <w:pPr>
        <w:pStyle w:val="1066"/>
        <w:ind w:firstLine="420"/>
        <w:spacing w:line="460" w:lineRule="exact"/>
        <w:rPr>
          <w:rFonts w:ascii="宋体" w:hAnsi="宋体" w:cs="宋体"/>
          <w:color w:val="000000"/>
          <w:sz w:val="28"/>
          <w:szCs w:val="28"/>
          <w:highlight w:val="none"/>
          <w:lang w:bidi="ar"/>
        </w:rPr>
      </w:pPr>
      <w:r>
        <w:rPr>
          <w:rFonts w:hint="eastAsia" w:ascii="方正仿宋_GBK" w:hAnsi="方正仿宋_GBK" w:eastAsia="方正仿宋_GBK" w:cs="方正仿宋_GBK"/>
          <w:color w:val="000000"/>
          <w:sz w:val="28"/>
          <w:szCs w:val="28"/>
          <w:highlight w:val="none"/>
        </w:rPr>
        <w:t xml:space="preserve">投标人应根据采购需求和本项目实际，提供本项目校园文化建设服务方案，方案应包括：1）文化育人工作；2）学生思想政治教育工作；3）劳动实践基地建设；4）节假日氛围营造；5）一站式服务中心打造；6）校园暖心服务；要求方案细致完整、针对性强、措施有力，方案的贯彻应能满足本项目各项服务要求。</w:t>
      </w:r>
      <w:r>
        <w:rPr>
          <w:rFonts w:ascii="宋体" w:hAnsi="宋体" w:cs="宋体"/>
          <w:color w:val="000000"/>
          <w:sz w:val="28"/>
          <w:szCs w:val="28"/>
          <w:highlight w:val="none"/>
          <w:lang w:bidi="ar"/>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六、考核要求</w:t>
      </w:r>
      <w:r>
        <w:rPr>
          <w:rFonts w:hint="eastAsia" w:ascii="方正黑体_GBK" w:hAnsi="方正黑体_GBK" w:eastAsia="方正黑体_GBK" w:cs="方正黑体_GBK"/>
          <w:bCs/>
          <w:sz w:val="28"/>
          <w:szCs w:val="28"/>
          <w:highlight w:val="none"/>
        </w:rPr>
      </w:r>
      <w:r/>
    </w:p>
    <w:p>
      <w:pPr>
        <w:pStyle w:val="1064"/>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1、编制物业管理工作考核表，由后勤部门负责对物业公司进行考核。</w:t>
      </w:r>
      <w:r>
        <w:rPr>
          <w:rFonts w:hint="eastAsia" w:ascii="方正仿宋_GBK" w:hAnsi="方正仿宋_GBK" w:eastAsia="方正仿宋_GBK" w:cs="方正仿宋_GBK"/>
          <w:color w:val="000000"/>
          <w:sz w:val="28"/>
          <w:szCs w:val="28"/>
          <w:highlight w:val="none"/>
        </w:rPr>
      </w:r>
      <w:r/>
    </w:p>
    <w:p>
      <w:pPr>
        <w:pStyle w:val="1064"/>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2、后勤部门按季度开展考核，并将考核情况及时反馈至各物业公司。</w:t>
      </w:r>
      <w:r>
        <w:rPr>
          <w:rFonts w:hint="eastAsia" w:ascii="方正仿宋_GBK" w:hAnsi="方正仿宋_GBK" w:eastAsia="方正仿宋_GBK" w:cs="方正仿宋_GBK"/>
          <w:color w:val="000000"/>
          <w:sz w:val="28"/>
          <w:szCs w:val="28"/>
          <w:highlight w:val="none"/>
        </w:rPr>
      </w:r>
      <w:r/>
    </w:p>
    <w:p>
      <w:pPr>
        <w:pStyle w:val="1064"/>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3、考核等级标准：</w:t>
      </w:r>
      <w:r>
        <w:rPr>
          <w:rFonts w:hint="eastAsia" w:ascii="方正仿宋_GBK" w:hAnsi="方正仿宋_GBK" w:eastAsia="方正仿宋_GBK" w:cs="方正仿宋_GBK"/>
          <w:color w:val="000000"/>
          <w:sz w:val="28"/>
          <w:szCs w:val="28"/>
          <w:highlight w:val="none"/>
        </w:rPr>
      </w:r>
      <w:r/>
    </w:p>
    <w:p>
      <w:pPr>
        <w:pStyle w:val="1064"/>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考核分数在90分（含）以上的，为“优秀”等次；</w:t>
      </w:r>
      <w:r>
        <w:rPr>
          <w:rFonts w:hint="eastAsia" w:ascii="方正仿宋_GBK" w:hAnsi="方正仿宋_GBK" w:eastAsia="方正仿宋_GBK" w:cs="方正仿宋_GBK"/>
          <w:color w:val="000000"/>
          <w:sz w:val="28"/>
          <w:szCs w:val="28"/>
          <w:highlight w:val="none"/>
        </w:rPr>
      </w:r>
      <w:r/>
    </w:p>
    <w:p>
      <w:pPr>
        <w:pStyle w:val="1064"/>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89分-85分（含）的，为“合格”等次；</w:t>
      </w:r>
      <w:r>
        <w:rPr>
          <w:rFonts w:hint="eastAsia" w:ascii="方正仿宋_GBK" w:hAnsi="方正仿宋_GBK" w:eastAsia="方正仿宋_GBK" w:cs="方正仿宋_GBK"/>
          <w:color w:val="000000"/>
          <w:sz w:val="28"/>
          <w:szCs w:val="28"/>
          <w:highlight w:val="none"/>
        </w:rPr>
      </w:r>
      <w:r/>
    </w:p>
    <w:p>
      <w:pPr>
        <w:pStyle w:val="1064"/>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84分-70分(含)的，为“基本合格”等次；</w:t>
      </w:r>
      <w:r>
        <w:rPr>
          <w:rFonts w:hint="eastAsia" w:ascii="方正仿宋_GBK" w:hAnsi="方正仿宋_GBK" w:eastAsia="方正仿宋_GBK" w:cs="方正仿宋_GBK"/>
          <w:color w:val="000000"/>
          <w:sz w:val="28"/>
          <w:szCs w:val="28"/>
          <w:highlight w:val="none"/>
        </w:rPr>
      </w:r>
      <w:r/>
    </w:p>
    <w:p>
      <w:pPr>
        <w:pStyle w:val="1064"/>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低于70（不含70）分的，为“不合格”等次。</w:t>
      </w:r>
      <w:r>
        <w:rPr>
          <w:rFonts w:hint="eastAsia" w:ascii="方正仿宋_GBK" w:hAnsi="方正仿宋_GBK" w:eastAsia="方正仿宋_GBK" w:cs="方正仿宋_GBK"/>
          <w:color w:val="000000"/>
          <w:sz w:val="28"/>
          <w:szCs w:val="28"/>
          <w:highlight w:val="none"/>
        </w:rPr>
      </w:r>
      <w:r/>
    </w:p>
    <w:p>
      <w:pPr>
        <w:pStyle w:val="1064"/>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根据考核结果，物业公司对照下表进行申请付款。</w:t>
      </w:r>
      <w:r>
        <w:rPr>
          <w:rFonts w:hint="eastAsia" w:ascii="方正仿宋_GBK" w:hAnsi="方正仿宋_GBK" w:eastAsia="方正仿宋_GBK" w:cs="方正仿宋_GBK"/>
          <w:color w:val="000000"/>
          <w:sz w:val="28"/>
          <w:szCs w:val="28"/>
          <w:highlight w:val="none"/>
        </w:rPr>
      </w:r>
      <w:r/>
    </w:p>
    <w:tbl>
      <w:tblPr>
        <w:tblW w:w="772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296"/>
        <w:gridCol w:w="3299"/>
        <w:gridCol w:w="2128"/>
      </w:tblGrid>
      <w:tr>
        <w:trPr>
          <w:trHeight w:val="33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64"/>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综合考核评定结果</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付款及惩罚措施</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备注</w:t>
            </w:r>
            <w:r>
              <w:rPr>
                <w:rFonts w:hint="eastAsia" w:ascii="方正仿宋_GBK" w:hAnsi="方正仿宋_GBK" w:eastAsia="方正仿宋_GBK" w:cs="方正仿宋_GBK"/>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85分及以上</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全额付季度款项</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按季度考核</w:t>
            </w:r>
            <w:r>
              <w:rPr>
                <w:rFonts w:hint="eastAsia" w:ascii="方正仿宋_GBK" w:hAnsi="方正仿宋_GBK" w:eastAsia="方正仿宋_GBK" w:cs="方正仿宋_GBK"/>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84分-70分</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在应付季度款项扣除1000元</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按季度考核</w:t>
            </w:r>
            <w:r>
              <w:rPr>
                <w:rFonts w:hint="eastAsia" w:ascii="方正仿宋_GBK" w:hAnsi="方正仿宋_GBK" w:eastAsia="方正仿宋_GBK" w:cs="方正仿宋_GBK"/>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69分-60分</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在应付季度款项扣除5000元</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按季度考核</w:t>
            </w:r>
            <w:r>
              <w:rPr>
                <w:rFonts w:hint="eastAsia" w:ascii="方正仿宋_GBK" w:hAnsi="方正仿宋_GBK" w:eastAsia="方正仿宋_GBK" w:cs="方正仿宋_GBK"/>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59分以下</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64"/>
              <w:ind w:firstLine="21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在应付季度款项扣除10000元</w:t>
            </w:r>
            <w:r>
              <w:rPr>
                <w:rFonts w:hint="eastAsia" w:ascii="方正仿宋_GBK" w:hAnsi="方正仿宋_GBK"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64"/>
              <w:ind w:firstLine="48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按季度考核</w:t>
            </w:r>
            <w:r>
              <w:rPr>
                <w:rFonts w:hint="eastAsia" w:ascii="方正仿宋_GBK" w:hAnsi="方正仿宋_GBK" w:eastAsia="方正仿宋_GBK" w:cs="方正仿宋_GBK"/>
                <w:sz w:val="24"/>
                <w:szCs w:val="24"/>
                <w:highlight w:val="none"/>
              </w:rPr>
            </w:r>
            <w:r/>
          </w:p>
        </w:tc>
      </w:tr>
    </w:tbl>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4、后勤部门对物业开展不定期的抽查，在抽查中如发现由于物业公司管理不严，工作人员凡发生以下行为者，视情况进行处罚，在每季度支付物业管理费时进行扣除。</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对项目内发生的违纪违规事件知情不报、重情轻报、处置不力、放任发展或隐情不报、急情缓报、延误最佳处置时机，视情节物业内部开处罚单，罚款金额20-100元，扣2-3分；造成严重后果的，视情况我校有权责令相关物业公司缴纳300-500元的违约金，扣4-6分，期间造成的一切后果由物业公司负责。</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凡在楼宇内发生因管理不善，导致学生斗殴致残、夜间男女生滞留楼宇、学生伤亡等安全责任事故。视情节物业内部开处罚单，罚款金额50-100元，扣2-5分；经调查认定管理站负有主要责任的，校方有权责令相关物业公司缴纳300-500元的违约金，扣5-8分，期间造成的一切后果由相关物业公司负责。</w:t>
      </w:r>
      <w:r>
        <w:rPr>
          <w:rFonts w:hint="eastAsia" w:ascii="方正仿宋_GBK" w:hAnsi="方正仿宋_GBK" w:eastAsia="方正仿宋_GBK" w:cs="方正仿宋_GBK"/>
          <w:sz w:val="28"/>
          <w:szCs w:val="28"/>
          <w:highlight w:val="none"/>
        </w:rPr>
      </w:r>
      <w:r/>
    </w:p>
    <w:p>
      <w:pPr>
        <w:pStyle w:val="1064"/>
        <w:ind w:firstLine="48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在上班期间出现脱岗或串岗情况、管理工作不到位、不规范，发现一次进行内部通报，两次视情况物业内部开处罚单，罚款金额50-100元，扣2-3分；屡次不改或造成严重后果的，校方有权责令物业公司缴纳200－500元的违约金，扣6-8分，期间造成的一切后果由物业公司负责。</w:t>
      </w:r>
      <w:r>
        <w:rPr>
          <w:rFonts w:hint="eastAsia" w:ascii="方正仿宋_GBK" w:hAnsi="方正仿宋_GBK" w:eastAsia="方正仿宋_GBK" w:cs="方正仿宋_GBK"/>
          <w:sz w:val="28"/>
          <w:szCs w:val="28"/>
          <w:highlight w:val="none"/>
        </w:rPr>
      </w:r>
      <w:r/>
    </w:p>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对师生态度蛮横，不服从分配，对所分配的工作处理不及时、不到位或置之不理者,物业内部开处罚单，罚款金额50-200元，扣2-3分;屡次不改或造成严重后果的，校方有权责令相关物业公司更换相关管理人员，并缴纳500－1000元的违约金，扣6-8分，期间造成的一切后果由相关物业公司负责。</w:t>
      </w:r>
      <w:r>
        <w:rPr>
          <w:rFonts w:hint="eastAsia" w:ascii="方正仿宋_GBK" w:hAnsi="方正仿宋_GBK" w:eastAsia="方正仿宋_GBK" w:cs="方正仿宋_GBK"/>
          <w:sz w:val="28"/>
          <w:szCs w:val="28"/>
          <w:highlight w:val="none"/>
        </w:rPr>
      </w:r>
      <w:r/>
    </w:p>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（5）如因发生火灾造成财产损失、人员伤亡等重大事故，经调查认定管理站负有主要责任的，校方有权责令相关物业公司缴纳1000-5000元的违约金，扣除20-30分，期间造成的一切后果由物业公司负责。</w:t>
      </w:r>
      <w:r>
        <w:rPr>
          <w:rFonts w:hint="eastAsia" w:ascii="方正仿宋_GBK" w:hAnsi="方正仿宋_GBK" w:eastAsia="方正仿宋_GBK" w:cs="方正仿宋_GBK"/>
          <w:sz w:val="28"/>
          <w:szCs w:val="28"/>
          <w:highlight w:val="none"/>
        </w:rPr>
      </w:r>
      <w:r/>
    </w:p>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（6）上班期间，物业公司不按核定人数进行物业服务的，按300元/人·日处罚，扣3分。环境保洁服务未达到相关标准要求的，按50-100元/处·次进行处罚，扣2-3分。</w:t>
      </w:r>
      <w:r>
        <w:rPr>
          <w:rFonts w:hint="eastAsia" w:ascii="方正仿宋_GBK" w:hAnsi="方正仿宋_GBK" w:eastAsia="方正仿宋_GBK" w:cs="方正仿宋_GBK"/>
          <w:sz w:val="28"/>
          <w:szCs w:val="28"/>
          <w:highlight w:val="none"/>
        </w:rPr>
      </w:r>
      <w:r/>
    </w:p>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（7）物业公司对合同内项目不及时维修的，甲方可指定工程队代为维修，产生的费用由物业公司承担，扣2-3分，按50-100元/处·次进行处罚。</w:t>
      </w:r>
      <w:r>
        <w:rPr>
          <w:rFonts w:hint="eastAsia" w:ascii="方正仿宋_GBK" w:hAnsi="方正仿宋_GBK" w:eastAsia="方正仿宋_GBK" w:cs="方正仿宋_GBK"/>
          <w:sz w:val="28"/>
          <w:szCs w:val="28"/>
          <w:highlight w:val="none"/>
        </w:rPr>
      </w:r>
      <w:r/>
    </w:p>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 在学校质量监控处组织的满意度测评中，若满意度结果整体低于85%，每低一个百分点，按合同总额的的0.1%处罚，扣5-10分。</w:t>
      </w:r>
      <w:r>
        <w:rPr>
          <w:rFonts w:hint="eastAsia" w:ascii="方正仿宋_GBK" w:hAnsi="方正仿宋_GBK" w:eastAsia="方正仿宋_GBK" w:cs="方正仿宋_GBK"/>
          <w:sz w:val="28"/>
          <w:szCs w:val="28"/>
          <w:highlight w:val="none"/>
        </w:rPr>
      </w:r>
      <w:r/>
    </w:p>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(9)物业人员请假后需向后勤部门报备，未到后勤部门报备的，按脱岗处理。</w:t>
      </w:r>
      <w:r>
        <w:rPr>
          <w:rFonts w:hint="eastAsia" w:ascii="方正仿宋_GBK" w:hAnsi="方正仿宋_GBK" w:eastAsia="方正仿宋_GBK" w:cs="方正仿宋_GBK"/>
          <w:sz w:val="28"/>
          <w:szCs w:val="28"/>
          <w:highlight w:val="none"/>
        </w:rPr>
      </w:r>
      <w:r/>
    </w:p>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(10)未按规定落实传染病防控要求，情节较轻的，按50-100元/次处罚，扣2-3分。情节较重的，按500元以上/次处罚，扣5-8分。</w:t>
      </w:r>
      <w:r>
        <w:rPr>
          <w:rFonts w:hint="eastAsia" w:ascii="方正仿宋_GBK" w:hAnsi="方正仿宋_GBK" w:eastAsia="方正仿宋_GBK" w:cs="方正仿宋_GBK"/>
          <w:sz w:val="28"/>
          <w:szCs w:val="28"/>
          <w:highlight w:val="none"/>
        </w:rPr>
      </w:r>
      <w:r/>
    </w:p>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（11）发生师生投诉，经查证属于物业公司原因造成的，按50-100元/次处罚，扣2-3分。</w:t>
      </w:r>
      <w:r>
        <w:rPr>
          <w:rFonts w:hint="eastAsia" w:ascii="方正仿宋_GBK" w:hAnsi="方正仿宋_GBK" w:eastAsia="方正仿宋_GBK" w:cs="方正仿宋_GBK"/>
          <w:sz w:val="28"/>
          <w:szCs w:val="28"/>
          <w:highlight w:val="none"/>
        </w:rPr>
      </w:r>
      <w:r/>
    </w:p>
    <w:p>
      <w:pPr>
        <w:pStyle w:val="1064"/>
        <w:ind w:firstLine="42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（12）物业公司发生其他违约行为，未及时整改，情节较轻的，按50-100元/次处罚，扣2-3分；情节较重的，由学校相关程序作出处罚，扣6-8分。</w:t>
      </w:r>
      <w:r>
        <w:rPr>
          <w:rFonts w:hint="eastAsia" w:ascii="方正仿宋_GBK" w:hAnsi="方正仿宋_GBK" w:eastAsia="方正仿宋_GBK" w:cs="方正仿宋_GBK"/>
          <w:sz w:val="28"/>
          <w:szCs w:val="28"/>
          <w:highlight w:val="none"/>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七、商务要求</w:t>
      </w:r>
      <w:r>
        <w:rPr>
          <w:rFonts w:hint="eastAsia" w:ascii="方正黑体_GBK" w:hAnsi="方正黑体_GBK" w:eastAsia="方正黑体_GBK" w:cs="方正黑体_GBK"/>
          <w:bCs/>
          <w:sz w:val="28"/>
          <w:szCs w:val="28"/>
          <w:highlight w:val="none"/>
        </w:rPr>
      </w:r>
      <w:r/>
    </w:p>
    <w:p>
      <w:pPr>
        <w:pStyle w:val="950"/>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
          <w:bCs/>
          <w:sz w:val="28"/>
          <w:szCs w:val="28"/>
          <w:highlight w:val="none"/>
        </w:rPr>
      </w:r>
      <w:r/>
    </w:p>
    <w:p>
      <w:pPr>
        <w:pStyle w:val="950"/>
        <w:ind w:firstLine="562"/>
        <w:keepLines w:val="0"/>
        <w:keepNext w:val="0"/>
        <w:pageBreakBefore w:val="0"/>
        <w:spacing w:line="46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b/>
          <w:bCs/>
          <w:sz w:val="28"/>
          <w:szCs w:val="28"/>
          <w:highlight w:val="none"/>
          <w:lang w:val="en-US" w:eastAsia="zh-CN" w:bidi="ar-SA"/>
        </w:rPr>
        <w:t xml:space="preserve">（一）实施期限：</w:t>
      </w:r>
      <w:r>
        <w:rPr>
          <w:rFonts w:hint="eastAsia" w:ascii="方正仿宋_GBK" w:hAnsi="方正仿宋_GBK" w:eastAsia="方正仿宋_GBK" w:cs="方正仿宋_GBK"/>
          <w:sz w:val="28"/>
          <w:szCs w:val="28"/>
          <w:highlight w:val="none"/>
          <w:lang w:val="en-US" w:eastAsia="zh-CN" w:bidi="ar-SA"/>
        </w:rPr>
        <w:t xml:space="preserve">2026年12月1日起至2028年7月31日止。</w:t>
      </w:r>
      <w:r>
        <w:rPr>
          <w:rFonts w:hint="eastAsia" w:ascii="方正仿宋_GBK" w:hAnsi="方正仿宋_GBK" w:eastAsia="方正仿宋_GBK" w:cs="方正仿宋_GBK"/>
          <w:sz w:val="28"/>
          <w:szCs w:val="28"/>
          <w:highlight w:val="none"/>
          <w:lang w:val="en-US" w:eastAsia="zh-CN" w:bidi="ar-SA"/>
        </w:rPr>
      </w:r>
      <w:r/>
    </w:p>
    <w:p>
      <w:pPr>
        <w:pStyle w:val="962"/>
        <w:ind w:firstLine="562"/>
        <w:keepLines w:val="0"/>
        <w:keepNext w:val="0"/>
        <w:pageBreakBefore w:val="0"/>
        <w:spacing w:before="0" w:after="0" w:line="460" w:lineRule="exact"/>
        <w:widowControl w:val="off"/>
        <w:tabs>
          <w:tab w:val="right" w:pos="8720" w:leader="dot"/>
        </w:tabs>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b/>
          <w:bCs/>
          <w:sz w:val="28"/>
          <w:szCs w:val="28"/>
          <w:highlight w:val="none"/>
          <w:lang w:val="en-US" w:eastAsia="zh-CN" w:bidi="ar-SA"/>
        </w:rPr>
        <w:t xml:space="preserve">（二）付款方式：</w:t>
      </w:r>
      <w:r>
        <w:rPr>
          <w:rFonts w:hint="eastAsia" w:ascii="方正仿宋_GBK" w:hAnsi="方正仿宋_GBK" w:eastAsia="方正仿宋_GBK" w:cs="方正仿宋_GBK"/>
          <w:sz w:val="28"/>
          <w:szCs w:val="28"/>
          <w:highlight w:val="none"/>
          <w:lang w:val="en-US" w:eastAsia="zh-CN" w:bidi="ar-SA"/>
        </w:rPr>
        <w:t xml:space="preserve">分7期付款，前6期于履行合同每满3个月后验收，经验收合格后支付合同总价的15%，第7期于合同期满后进行验收，经验收合格后支付合同总价的10%。</w:t>
      </w:r>
      <w:r>
        <w:rPr>
          <w:rFonts w:hint="eastAsia" w:ascii="方正仿宋_GBK" w:hAnsi="方正仿宋_GBK" w:eastAsia="方正仿宋_GBK" w:cs="方正仿宋_GBK"/>
          <w:sz w:val="28"/>
          <w:szCs w:val="28"/>
          <w:highlight w:val="none"/>
          <w:lang w:val="en-US" w:eastAsia="zh-CN" w:bidi="ar-SA"/>
        </w:rPr>
      </w:r>
      <w:r/>
    </w:p>
    <w:p>
      <w:pPr>
        <w:pStyle w:val="950"/>
        <w:ind w:firstLine="562"/>
        <w:keepLines w:val="0"/>
        <w:keepNext w:val="0"/>
        <w:pageBreakBefore w:val="0"/>
        <w:spacing w:line="46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b/>
          <w:bCs/>
          <w:sz w:val="28"/>
          <w:szCs w:val="28"/>
          <w:highlight w:val="none"/>
          <w:lang w:val="en-US" w:eastAsia="zh-CN" w:bidi="ar-SA"/>
        </w:rPr>
        <w:t xml:space="preserve">（三）履约保证金：</w:t>
      </w:r>
      <w:r>
        <w:rPr>
          <w:rFonts w:hint="eastAsia" w:ascii="方正仿宋_GBK" w:hAnsi="方正仿宋_GBK" w:eastAsia="方正仿宋_GBK" w:cs="方正仿宋_GBK"/>
          <w:sz w:val="28"/>
          <w:szCs w:val="28"/>
          <w:highlight w:val="none"/>
          <w:lang w:val="en-US" w:eastAsia="zh-CN" w:bidi="ar-SA"/>
        </w:rPr>
        <w:t xml:space="preserve">不收履约保证金。</w:t>
      </w:r>
      <w:r>
        <w:rPr>
          <w:rFonts w:hint="eastAsia" w:ascii="方正仿宋_GBK" w:hAnsi="方正仿宋_GBK" w:eastAsia="方正仿宋_GBK" w:cs="方正仿宋_GBK"/>
          <w:sz w:val="28"/>
          <w:szCs w:val="28"/>
          <w:highlight w:val="none"/>
          <w:lang w:val="en-US" w:eastAsia="zh-CN" w:bidi="ar-SA"/>
        </w:rPr>
      </w:r>
      <w:r/>
    </w:p>
    <w:p>
      <w:pPr>
        <w:pStyle w:val="950"/>
        <w:rPr>
          <w:rFonts w:hint="eastAsia" w:ascii="黑体" w:eastAsia="黑体"/>
          <w:bCs/>
          <w:sz w:val="44"/>
          <w:highlight w:val="none"/>
        </w:rPr>
      </w:pPr>
      <w:r/>
      <w:bookmarkStart w:id="62" w:name="_Toc120614281"/>
      <w:r>
        <w:rPr>
          <w:rFonts w:hint="eastAsia" w:ascii="黑体" w:eastAsia="黑体"/>
          <w:bCs/>
          <w:sz w:val="44"/>
          <w:highlight w:val="none"/>
        </w:rPr>
      </w:r>
      <w:r/>
    </w:p>
    <w:p>
      <w:pPr>
        <w:pStyle w:val="952"/>
        <w:spacing w:line="400" w:lineRule="exact"/>
        <w:rPr>
          <w:rFonts w:hint="eastAsia" w:ascii="黑体" w:hAnsi="黑体" w:eastAsia="黑体"/>
          <w:sz w:val="28"/>
          <w:szCs w:val="28"/>
          <w:highlight w:val="none"/>
        </w:rPr>
      </w:pPr>
      <w:r>
        <w:rPr>
          <w:rFonts w:hint="eastAsia" w:ascii="黑体" w:hAnsi="黑体" w:eastAsia="黑体"/>
          <w:sz w:val="28"/>
          <w:szCs w:val="28"/>
          <w:highlight w:val="none"/>
        </w:rPr>
        <w:br w:type="page" w:clear="all"/>
      </w:r>
      <w:r>
        <w:rPr>
          <w:rFonts w:hint="eastAsia" w:ascii="黑体" w:hAnsi="黑体" w:eastAsia="黑体"/>
          <w:sz w:val="28"/>
          <w:szCs w:val="28"/>
          <w:highlight w:val="none"/>
        </w:rPr>
        <w:t xml:space="preserve">第五章  评标方法与评标标准</w:t>
      </w:r>
      <w:r>
        <w:rPr>
          <w:rFonts w:hint="eastAsia" w:ascii="黑体" w:hAnsi="黑体" w:eastAsia="黑体"/>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rPr>
          <w:rFonts w:hint="eastAsia" w:ascii="方正仿宋_GBK" w:hAnsi="方正仿宋_GBK" w:eastAsia="方正仿宋_GBK" w:cs="方正仿宋_GBK"/>
          <w:sz w:val="28"/>
          <w:szCs w:val="28"/>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rFonts w:hint="eastAsia" w:ascii="方正仿宋_GBK" w:hAnsi="方正仿宋_GBK" w:eastAsia="方正仿宋_GBK" w:cs="方正仿宋_GBK"/>
                <w:sz w:val="28"/>
                <w:szCs w:val="28"/>
                <w:highlight w:val="none"/>
              </w:rPr>
            </w:r>
            <w:r/>
          </w:p>
        </w:tc>
        <w:tc>
          <w:tcPr>
            <w:tcW w:w="5134"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rFonts w:hint="eastAsia" w:ascii="方正仿宋_GBK" w:hAnsi="方正仿宋_GBK" w:eastAsia="方正仿宋_GBK" w:cs="方正仿宋_GBK"/>
                <w:sz w:val="28"/>
                <w:szCs w:val="28"/>
                <w:highlight w:val="none"/>
              </w:rPr>
            </w:r>
            <w:r/>
          </w:p>
        </w:tc>
      </w:tr>
      <w:tr>
        <w:trPr/>
        <w:tc>
          <w:tcPr>
            <w:tcW w:w="160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134" w:type="dxa"/>
            <w:vAlign w:val="top"/>
            <w:textDirection w:val="lrTb"/>
            <w:noWrap w:val="false"/>
          </w:tcPr>
          <w:p>
            <w:pPr>
              <w:pStyle w:val="95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highlight w:val="none"/>
              </w:rPr>
            </w:r>
            <w:r/>
          </w:p>
        </w:tc>
      </w:tr>
    </w:tbl>
    <w:p>
      <w:pPr>
        <w:pStyle w:val="1038"/>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b/>
          <w:sz w:val="28"/>
          <w:szCs w:val="28"/>
          <w:highlight w:val="none"/>
        </w:rPr>
      </w:r>
      <w:r/>
    </w:p>
    <w:p>
      <w:pPr>
        <w:pStyle w:val="103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1038"/>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（1）本项目对小型和微型企业提供的服务给予10%的扣除价格，用扣除后的价格参与评审。</w:t>
      </w:r>
      <w:r>
        <w:rPr>
          <w:rFonts w:hint="eastAsia" w:ascii="宋体" w:hAnsi="宋体"/>
          <w:sz w:val="28"/>
          <w:szCs w:val="28"/>
          <w:highlight w:val="none"/>
        </w:rPr>
      </w:r>
      <w:r/>
    </w:p>
    <w:p>
      <w:pPr>
        <w:pStyle w:val="103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103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28"/>
          <w:szCs w:val="28"/>
          <w:highlight w:val="none"/>
        </w:rPr>
      </w:r>
      <w:r/>
    </w:p>
    <w:p>
      <w:pPr>
        <w:pStyle w:val="103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1038"/>
        <w:ind w:left="120"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宋体" w:hAnsi="宋体"/>
          <w:sz w:val="28"/>
          <w:szCs w:val="28"/>
          <w:highlight w:val="none"/>
        </w:rPr>
      </w:r>
      <w:r/>
    </w:p>
    <w:p>
      <w:pPr>
        <w:pStyle w:val="1038"/>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1038"/>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103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103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103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103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103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1038"/>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highlight w:val="none"/>
        </w:rPr>
      </w:r>
      <w:r/>
    </w:p>
    <w:p>
      <w:pPr>
        <w:pStyle w:val="1038"/>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sz w:val="28"/>
          <w:szCs w:val="28"/>
          <w:highlight w:val="none"/>
        </w:rPr>
      </w:r>
      <w:r/>
    </w:p>
    <w:p>
      <w:pPr>
        <w:pStyle w:val="950"/>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7.采购本国产品的支持政策</w:t>
      </w:r>
      <w:r>
        <w:rPr>
          <w:rFonts w:hint="eastAsia" w:ascii="方正仿宋_GBK" w:hAnsi="方正仿宋_GBK" w:eastAsia="方正仿宋_GBK" w:cs="方正仿宋_GBK"/>
          <w:sz w:val="28"/>
          <w:szCs w:val="28"/>
          <w:highlight w:val="none"/>
        </w:rPr>
      </w:r>
      <w:r/>
    </w:p>
    <w:p>
      <w:pPr>
        <w:pStyle w:val="950"/>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highlight w:val="none"/>
          <w:u w:val="single"/>
        </w:rPr>
        <w:t xml:space="preserve">20%</w:t>
      </w:r>
      <w:r>
        <w:rPr>
          <w:rFonts w:hint="eastAsia" w:ascii="方正仿宋_GBK" w:hAnsi="方正仿宋_GBK" w:eastAsia="方正仿宋_GBK" w:cs="方正仿宋_GBK"/>
          <w:sz w:val="28"/>
          <w:szCs w:val="28"/>
          <w:highlight w:val="none"/>
        </w:rPr>
        <w:t xml:space="preserve">的价格扣除，用扣除后的价格参与评审。供应商未填写比例数值，或比例数值不足</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950"/>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highlight w:val="none"/>
        </w:rPr>
      </w:r>
      <w:r/>
    </w:p>
    <w:p>
      <w:pPr>
        <w:pStyle w:val="950"/>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highlight w:val="none"/>
          <w:u w:val="single"/>
        </w:rPr>
        <w:t xml:space="preserve">“  /  ”</w:t>
      </w:r>
      <w:r>
        <w:rPr>
          <w:rFonts w:hint="eastAsia" w:ascii="方正仿宋_GBK" w:hAnsi="方正仿宋_GBK" w:eastAsia="方正仿宋_GBK" w:cs="方正仿宋_GBK"/>
          <w:sz w:val="28"/>
          <w:szCs w:val="28"/>
          <w:highlight w:val="none"/>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highlight w:val="none"/>
        </w:rPr>
      </w:r>
      <w:r/>
    </w:p>
    <w:p>
      <w:pPr>
        <w:pStyle w:val="950"/>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highlight w:val="none"/>
        </w:rPr>
      </w:r>
      <w:r/>
    </w:p>
    <w:p>
      <w:pPr>
        <w:pStyle w:val="1038"/>
        <w:ind w:firstLine="562"/>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50"/>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950"/>
        <w:ind w:firstLine="44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一、投标价格（20分）</w:t>
      </w:r>
      <w:r>
        <w:rPr>
          <w:rFonts w:hint="eastAsia" w:ascii="方正仿宋_GBK" w:hAnsi="方正仿宋_GBK" w:eastAsia="方正仿宋_GBK" w:cs="方正仿宋_GBK"/>
          <w:b/>
          <w:bCs/>
          <w:color w:val="000000"/>
          <w:sz w:val="28"/>
          <w:szCs w:val="28"/>
          <w:highlight w:val="none"/>
        </w:rPr>
      </w:r>
      <w:r/>
    </w:p>
    <w:p>
      <w:pPr>
        <w:pStyle w:val="950"/>
        <w:ind w:firstLine="480"/>
        <w:spacing w:line="4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价格分采用低价优先法计算，即满足招标文件要求且报价最低的供应商报价为评标基准价，其价格分为满分</w:t>
      </w:r>
      <w:r>
        <w:rPr>
          <w:rFonts w:hint="eastAsia" w:ascii="方正仿宋_GBK" w:hAnsi="方正仿宋_GBK" w:eastAsia="方正仿宋_GBK" w:cs="方正仿宋_GBK"/>
          <w:color w:val="000000"/>
          <w:sz w:val="28"/>
          <w:szCs w:val="28"/>
          <w:highlight w:val="none"/>
          <w:u w:val="single"/>
        </w:rPr>
        <w:t xml:space="preserve">20</w:t>
      </w:r>
      <w:r>
        <w:rPr>
          <w:rFonts w:hint="eastAsia" w:ascii="方正仿宋_GBK" w:hAnsi="方正仿宋_GBK" w:eastAsia="方正仿宋_GBK" w:cs="方正仿宋_GBK"/>
          <w:color w:val="000000"/>
          <w:sz w:val="28"/>
          <w:szCs w:val="28"/>
          <w:highlight w:val="none"/>
        </w:rPr>
        <w:t xml:space="preserve">分，其他投标人的价格分统一按照以下公式计算：投标报价得分=（评标基准价/该投标人的投标报价）×20。</w:t>
      </w:r>
      <w:r>
        <w:rPr>
          <w:rFonts w:hint="eastAsia" w:ascii="方正仿宋_GBK" w:hAnsi="方正仿宋_GBK" w:eastAsia="方正仿宋_GBK" w:cs="方正仿宋_GBK"/>
          <w:color w:val="000000"/>
          <w:sz w:val="28"/>
          <w:szCs w:val="28"/>
          <w:highlight w:val="none"/>
        </w:rPr>
      </w:r>
      <w:r/>
    </w:p>
    <w:p>
      <w:pPr>
        <w:pStyle w:val="950"/>
        <w:ind w:firstLine="562"/>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二、技术服务方案（45分）</w:t>
      </w:r>
      <w:r>
        <w:rPr>
          <w:rFonts w:hint="eastAsia" w:ascii="方正仿宋_GBK" w:hAnsi="方正仿宋_GBK" w:eastAsia="方正仿宋_GBK" w:cs="方正仿宋_GBK"/>
          <w:b/>
          <w:color w:val="000000"/>
          <w:sz w:val="28"/>
          <w:szCs w:val="28"/>
          <w:highlight w:val="none"/>
        </w:rPr>
      </w:r>
      <w:r/>
    </w:p>
    <w:p>
      <w:pPr>
        <w:pStyle w:val="950"/>
        <w:ind w:firstLine="48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由评委根据投标人所提供的服务方案进行打分，具体打分如下：</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2.1项目整体设想与策划（5分）</w:t>
      </w:r>
      <w:r>
        <w:rPr>
          <w:rFonts w:hint="eastAsia" w:ascii="方正仿宋_GBK" w:hAnsi="方正仿宋_GBK" w:eastAsia="方正仿宋_GBK" w:cs="方正仿宋_GBK"/>
          <w:b/>
          <w:bCs/>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评委根据投标文件对第四章“采购需求”中“整体设想与策划”响应情况进行评审。</w:t>
      </w:r>
      <w:r>
        <w:rPr>
          <w:rFonts w:ascii="方正仿宋_GBK" w:hAnsi="方正仿宋_GBK" w:eastAsia="方正仿宋_GBK" w:cs="方正仿宋_GBK"/>
          <w:b w:val="0"/>
          <w:bCs w:val="0"/>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（1）经评委认定，投标文件对“整体设想与策划”中“</w:t>
      </w:r>
      <w:r>
        <w:rPr>
          <w:rFonts w:hint="eastAsia" w:ascii="方正仿宋_GBK" w:hAnsi="方正仿宋_GBK" w:eastAsia="方正仿宋_GBK" w:cs="方正仿宋_GBK"/>
          <w:b w:val="0"/>
          <w:bCs w:val="0"/>
          <w:color w:val="000000"/>
          <w:sz w:val="28"/>
          <w:szCs w:val="28"/>
          <w:highlight w:val="none"/>
        </w:rPr>
        <w:t xml:space="preserve">项目服务特点分析</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项目定位</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拟定管理思路</w:t>
      </w:r>
      <w:r>
        <w:rPr>
          <w:rFonts w:ascii="方正仿宋_GBK" w:hAnsi="方正仿宋_GBK" w:eastAsia="方正仿宋_GBK" w:cs="方正仿宋_GBK"/>
          <w:b w:val="0"/>
          <w:bCs w:val="0"/>
          <w:color w:val="000000"/>
          <w:sz w:val="28"/>
          <w:szCs w:val="28"/>
          <w:highlight w:val="none"/>
        </w:rPr>
        <w:t xml:space="preserve">”三项要求的响应内容全部优于招标文件要求的（投标文件对上述三项以外的其他要求响应内容符合招标文件要求），本项得</w:t>
      </w:r>
      <w:r>
        <w:rPr>
          <w:rFonts w:hint="eastAsia" w:ascii="方正仿宋_GBK" w:hAnsi="方正仿宋_GBK" w:eastAsia="方正仿宋_GBK" w:cs="方正仿宋_GBK"/>
          <w:b w:val="0"/>
          <w:bCs w:val="0"/>
          <w:color w:val="000000"/>
          <w:sz w:val="28"/>
          <w:szCs w:val="28"/>
          <w:highlight w:val="none"/>
        </w:rPr>
        <w:t xml:space="preserve">5</w:t>
      </w:r>
      <w:r>
        <w:rPr>
          <w:rFonts w:ascii="方正仿宋_GBK" w:hAnsi="方正仿宋_GBK" w:eastAsia="方正仿宋_GBK" w:cs="方正仿宋_GBK"/>
          <w:b w:val="0"/>
          <w:bCs w:val="0"/>
          <w:color w:val="000000"/>
          <w:sz w:val="28"/>
          <w:szCs w:val="28"/>
          <w:highlight w:val="none"/>
        </w:rPr>
        <w:t xml:space="preserve">分。</w:t>
      </w:r>
      <w:r>
        <w:rPr>
          <w:rFonts w:ascii="方正仿宋_GBK" w:hAnsi="方正仿宋_GBK" w:eastAsia="方正仿宋_GBK" w:cs="方正仿宋_GBK"/>
          <w:b w:val="0"/>
          <w:bCs w:val="0"/>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（2）投标文件符合“整体设想与策划”中全部条款要求的，视为符合招标文件，本项得</w:t>
      </w:r>
      <w:r>
        <w:rPr>
          <w:rFonts w:hint="eastAsia" w:ascii="方正仿宋_GBK" w:hAnsi="方正仿宋_GBK" w:eastAsia="方正仿宋_GBK" w:cs="方正仿宋_GBK"/>
          <w:b w:val="0"/>
          <w:bCs w:val="0"/>
          <w:color w:val="000000"/>
          <w:sz w:val="28"/>
          <w:szCs w:val="28"/>
          <w:highlight w:val="none"/>
        </w:rPr>
        <w:t xml:space="preserve">3</w:t>
      </w:r>
      <w:r>
        <w:rPr>
          <w:rFonts w:ascii="方正仿宋_GBK" w:hAnsi="方正仿宋_GBK" w:eastAsia="方正仿宋_GBK" w:cs="方正仿宋_GBK"/>
          <w:b w:val="0"/>
          <w:bCs w:val="0"/>
          <w:color w:val="000000"/>
          <w:sz w:val="28"/>
          <w:szCs w:val="28"/>
          <w:highlight w:val="none"/>
        </w:rPr>
        <w:t xml:space="preserve">分。</w:t>
      </w:r>
      <w:r>
        <w:rPr>
          <w:rFonts w:ascii="方正仿宋_GBK" w:hAnsi="方正仿宋_GBK" w:eastAsia="方正仿宋_GBK" w:cs="方正仿宋_GBK"/>
          <w:b w:val="0"/>
          <w:bCs w:val="0"/>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（3）投标文件未符合“整体设想与策划”中全部条款要求的，视为不符合招标文件，本项得0分。</w:t>
      </w:r>
      <w:r>
        <w:rPr>
          <w:rFonts w:ascii="方正仿宋_GBK" w:hAnsi="方正仿宋_GBK" w:eastAsia="方正仿宋_GBK" w:cs="方正仿宋_GBK"/>
          <w:b w:val="0"/>
          <w:bCs w:val="0"/>
          <w:color w:val="000000"/>
          <w:sz w:val="28"/>
          <w:szCs w:val="28"/>
          <w:highlight w:val="none"/>
        </w:rPr>
      </w:r>
      <w:r/>
    </w:p>
    <w:p>
      <w:pPr>
        <w:pStyle w:val="950"/>
        <w:ind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2.2项目组织管理方案（5分）</w:t>
      </w:r>
      <w:r>
        <w:rPr>
          <w:rFonts w:hint="eastAsia" w:ascii="方正仿宋_GBK" w:hAnsi="方正仿宋_GBK" w:eastAsia="方正仿宋_GBK" w:cs="方正仿宋_GBK"/>
          <w:b/>
          <w:bCs/>
          <w:color w:val="000000"/>
          <w:sz w:val="28"/>
          <w:szCs w:val="28"/>
          <w:highlight w:val="none"/>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评委根据投标文件对第四章“采购需求”中“项目组织管理服务”响应情况进行评审。</w:t>
      </w:r>
      <w:r>
        <w:rPr>
          <w:rFonts w:ascii="方正仿宋_GBK" w:hAnsi="方正仿宋_GBK" w:eastAsia="方正仿宋_GBK" w:cs="方正仿宋_GBK"/>
          <w:b w:val="0"/>
          <w:bCs w:val="0"/>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（1）经评委认定，投标文件对“项目组织管理服务”中“</w:t>
      </w:r>
      <w:r>
        <w:rPr>
          <w:rFonts w:hint="eastAsia" w:ascii="方正仿宋_GBK" w:hAnsi="方正仿宋_GBK" w:eastAsia="方正仿宋_GBK" w:cs="方正仿宋_GBK"/>
          <w:b w:val="0"/>
          <w:bCs w:val="0"/>
          <w:color w:val="000000"/>
          <w:sz w:val="28"/>
          <w:szCs w:val="28"/>
          <w:highlight w:val="none"/>
        </w:rPr>
        <w:t xml:space="preserve">内部管理规章制度</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人员业务培训</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组织架构</w:t>
      </w:r>
      <w:r>
        <w:rPr>
          <w:rFonts w:ascii="方正仿宋_GBK" w:hAnsi="方正仿宋_GBK" w:eastAsia="方正仿宋_GBK" w:cs="方正仿宋_GBK"/>
          <w:b w:val="0"/>
          <w:bCs w:val="0"/>
          <w:color w:val="000000"/>
          <w:sz w:val="28"/>
          <w:szCs w:val="28"/>
          <w:highlight w:val="none"/>
        </w:rPr>
        <w:t xml:space="preserve">”三项要求的响应内容全部优于招标文件要求的（投标文件对上述三项以外的其他要求响应内容符合招标文件要求），本项得</w:t>
      </w:r>
      <w:r>
        <w:rPr>
          <w:rFonts w:hint="eastAsia" w:ascii="方正仿宋_GBK" w:hAnsi="方正仿宋_GBK" w:eastAsia="方正仿宋_GBK" w:cs="方正仿宋_GBK"/>
          <w:b w:val="0"/>
          <w:bCs w:val="0"/>
          <w:color w:val="000000"/>
          <w:sz w:val="28"/>
          <w:szCs w:val="28"/>
          <w:highlight w:val="none"/>
        </w:rPr>
        <w:t xml:space="preserve">5</w:t>
      </w:r>
      <w:r>
        <w:rPr>
          <w:rFonts w:ascii="方正仿宋_GBK" w:hAnsi="方正仿宋_GBK" w:eastAsia="方正仿宋_GBK" w:cs="方正仿宋_GBK"/>
          <w:b w:val="0"/>
          <w:bCs w:val="0"/>
          <w:color w:val="000000"/>
          <w:sz w:val="28"/>
          <w:szCs w:val="28"/>
          <w:highlight w:val="none"/>
        </w:rPr>
        <w:t xml:space="preserve">分。</w:t>
      </w:r>
      <w:r>
        <w:rPr>
          <w:rFonts w:ascii="方正仿宋_GBK" w:hAnsi="方正仿宋_GBK" w:eastAsia="方正仿宋_GBK" w:cs="方正仿宋_GBK"/>
          <w:b w:val="0"/>
          <w:bCs w:val="0"/>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（2）投标文件符合“项目组织管理服务”中全部条款要求的，视为符合招标文件，本项得</w:t>
      </w:r>
      <w:r>
        <w:rPr>
          <w:rFonts w:hint="eastAsia" w:ascii="方正仿宋_GBK" w:hAnsi="方正仿宋_GBK" w:eastAsia="方正仿宋_GBK" w:cs="方正仿宋_GBK"/>
          <w:b w:val="0"/>
          <w:bCs w:val="0"/>
          <w:color w:val="000000"/>
          <w:sz w:val="28"/>
          <w:szCs w:val="28"/>
          <w:highlight w:val="none"/>
        </w:rPr>
        <w:t xml:space="preserve">3</w:t>
      </w:r>
      <w:r>
        <w:rPr>
          <w:rFonts w:ascii="方正仿宋_GBK" w:hAnsi="方正仿宋_GBK" w:eastAsia="方正仿宋_GBK" w:cs="方正仿宋_GBK"/>
          <w:b w:val="0"/>
          <w:bCs w:val="0"/>
          <w:color w:val="000000"/>
          <w:sz w:val="28"/>
          <w:szCs w:val="28"/>
          <w:highlight w:val="none"/>
        </w:rPr>
        <w:t xml:space="preserve">分。</w:t>
      </w:r>
      <w:r>
        <w:rPr>
          <w:rFonts w:ascii="方正仿宋_GBK" w:hAnsi="方正仿宋_GBK" w:eastAsia="方正仿宋_GBK" w:cs="方正仿宋_GBK"/>
          <w:b w:val="0"/>
          <w:bCs w:val="0"/>
          <w:color w:val="000000"/>
          <w:sz w:val="28"/>
          <w:szCs w:val="28"/>
          <w:highlight w:val="none"/>
        </w:rPr>
      </w:r>
      <w:r/>
    </w:p>
    <w:p>
      <w:pPr>
        <w:pStyle w:val="950"/>
        <w:ind w:firstLine="482"/>
        <w:spacing w:line="460" w:lineRule="exact"/>
        <w:rPr>
          <w:rFonts w:ascii="方正仿宋_GBK" w:hAnsi="方正仿宋_GBK" w:eastAsia="方正仿宋_GBK" w:cs="方正仿宋_GBK"/>
          <w:b/>
          <w:bCs/>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（3）投标文件未符合“项目组织管理服务”中全部条款要求的，视为不符合招标文件，本项得0分。</w:t>
      </w:r>
      <w:r>
        <w:rPr>
          <w:rFonts w:ascii="方正仿宋_GBK" w:hAnsi="方正仿宋_GBK" w:eastAsia="方正仿宋_GBK" w:cs="方正仿宋_GBK"/>
          <w:b/>
          <w:bCs/>
          <w:color w:val="000000"/>
          <w:sz w:val="28"/>
          <w:szCs w:val="28"/>
          <w:highlight w:val="none"/>
        </w:rPr>
      </w:r>
      <w:r/>
    </w:p>
    <w:p>
      <w:pPr>
        <w:pStyle w:val="950"/>
        <w:ind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2.3工程维修服务方案（5分）</w:t>
      </w:r>
      <w:r>
        <w:rPr>
          <w:rFonts w:hint="eastAsia" w:ascii="方正仿宋_GBK" w:hAnsi="方正仿宋_GBK" w:eastAsia="方正仿宋_GBK" w:cs="方正仿宋_GBK"/>
          <w:b/>
          <w:bCs/>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评委根据投标文件对第四章“采购需求”中“工程维修服务方案及要求”的响应情况进行评审。</w:t>
      </w:r>
      <w:r>
        <w:rPr>
          <w:rFonts w:ascii="方正仿宋_GBK" w:hAnsi="方正仿宋_GBK" w:eastAsia="方正仿宋_GBK" w:cs="方正仿宋_GBK"/>
          <w:b w:val="0"/>
          <w:bCs w:val="0"/>
          <w:color w:val="000000"/>
          <w:sz w:val="28"/>
          <w:szCs w:val="28"/>
          <w:highlight w:val="none"/>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（1）经评委认定，投标文件对“工程维修服务方案及要求”中 “</w:t>
      </w:r>
      <w:r>
        <w:rPr>
          <w:rFonts w:hint="eastAsia" w:ascii="方正仿宋_GBK" w:hAnsi="方正仿宋_GBK" w:eastAsia="方正仿宋_GBK" w:cs="方正仿宋_GBK"/>
          <w:b w:val="0"/>
          <w:bCs w:val="0"/>
          <w:color w:val="000000"/>
          <w:sz w:val="28"/>
          <w:szCs w:val="28"/>
          <w:highlight w:val="none"/>
        </w:rPr>
        <w:t xml:space="preserve">零星维修服务实施计划</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零星维修受理服务实施流程</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计划性维修实施方案</w:t>
      </w:r>
      <w:r>
        <w:rPr>
          <w:rFonts w:ascii="方正仿宋_GBK" w:hAnsi="方正仿宋_GBK" w:eastAsia="方正仿宋_GBK" w:cs="方正仿宋_GBK"/>
          <w:b w:val="0"/>
          <w:bCs w:val="0"/>
          <w:color w:val="000000"/>
          <w:sz w:val="28"/>
          <w:szCs w:val="28"/>
          <w:highlight w:val="none"/>
        </w:rPr>
        <w:t xml:space="preserve">”三项要求的响应内容全部优于招标文件要求的（投标文件对上述三项以外的其他要求响应内容符合招标文件要求），本项得</w:t>
      </w:r>
      <w:r>
        <w:rPr>
          <w:rFonts w:hint="eastAsia" w:ascii="方正仿宋_GBK" w:hAnsi="方正仿宋_GBK" w:eastAsia="方正仿宋_GBK" w:cs="方正仿宋_GBK"/>
          <w:b w:val="0"/>
          <w:bCs w:val="0"/>
          <w:color w:val="000000"/>
          <w:sz w:val="28"/>
          <w:szCs w:val="28"/>
          <w:highlight w:val="none"/>
        </w:rPr>
        <w:t xml:space="preserve">5</w:t>
      </w:r>
      <w:r>
        <w:rPr>
          <w:rFonts w:ascii="方正仿宋_GBK" w:hAnsi="方正仿宋_GBK" w:eastAsia="方正仿宋_GBK" w:cs="方正仿宋_GBK"/>
          <w:b w:val="0"/>
          <w:bCs w:val="0"/>
          <w:color w:val="000000"/>
          <w:sz w:val="28"/>
          <w:szCs w:val="28"/>
          <w:highlight w:val="none"/>
        </w:rPr>
        <w:t xml:space="preserve">分。</w:t>
      </w:r>
      <w:r>
        <w:rPr>
          <w:rFonts w:ascii="方正仿宋_GBK" w:hAnsi="方正仿宋_GBK" w:eastAsia="方正仿宋_GBK" w:cs="方正仿宋_GBK"/>
          <w:b w:val="0"/>
          <w:bCs w:val="0"/>
          <w:color w:val="000000"/>
          <w:sz w:val="28"/>
          <w:szCs w:val="28"/>
          <w:highlight w:val="none"/>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（2）投标文件符合“工程维修服务方案及要求”中全部条款要求的，视为符合招标文件，本项得</w:t>
      </w:r>
      <w:r>
        <w:rPr>
          <w:rFonts w:hint="eastAsia" w:ascii="方正仿宋_GBK" w:hAnsi="方正仿宋_GBK" w:eastAsia="方正仿宋_GBK" w:cs="方正仿宋_GBK"/>
          <w:b w:val="0"/>
          <w:bCs w:val="0"/>
          <w:color w:val="000000"/>
          <w:sz w:val="28"/>
          <w:szCs w:val="28"/>
          <w:highlight w:val="none"/>
        </w:rPr>
        <w:t xml:space="preserve">3</w:t>
      </w:r>
      <w:r>
        <w:rPr>
          <w:rFonts w:ascii="方正仿宋_GBK" w:hAnsi="方正仿宋_GBK" w:eastAsia="方正仿宋_GBK" w:cs="方正仿宋_GBK"/>
          <w:b w:val="0"/>
          <w:bCs w:val="0"/>
          <w:color w:val="000000"/>
          <w:sz w:val="28"/>
          <w:szCs w:val="28"/>
          <w:highlight w:val="none"/>
        </w:rPr>
        <w:t xml:space="preserve">分。</w:t>
      </w:r>
      <w:r>
        <w:rPr>
          <w:rFonts w:ascii="方正仿宋_GBK" w:hAnsi="方正仿宋_GBK" w:eastAsia="方正仿宋_GBK" w:cs="方正仿宋_GBK"/>
          <w:b w:val="0"/>
          <w:bCs w:val="0"/>
          <w:color w:val="000000"/>
          <w:sz w:val="28"/>
          <w:szCs w:val="28"/>
          <w:highlight w:val="none"/>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（3）投标文件未符合“工程维修服务方案及要求”中全部条款要求的，视为不符合招标文件，本项得0分。</w:t>
      </w:r>
      <w:r>
        <w:rPr>
          <w:rFonts w:ascii="方正仿宋_GBK" w:hAnsi="方正仿宋_GBK" w:eastAsia="方正仿宋_GBK" w:cs="方正仿宋_GBK"/>
          <w:b w:val="0"/>
          <w:bCs w:val="0"/>
          <w:color w:val="000000"/>
          <w:sz w:val="28"/>
          <w:szCs w:val="28"/>
          <w:highlight w:val="none"/>
        </w:rPr>
      </w:r>
      <w:r/>
    </w:p>
    <w:p>
      <w:pPr>
        <w:pStyle w:val="950"/>
        <w:ind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2.4保洁工作服务方案（5分）</w:t>
      </w:r>
      <w:r>
        <w:rPr>
          <w:rFonts w:hint="eastAsia" w:ascii="方正仿宋_GBK" w:hAnsi="方正仿宋_GBK" w:eastAsia="方正仿宋_GBK" w:cs="方正仿宋_GBK"/>
          <w:b/>
          <w:bCs/>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评委根据投标文件对第四章“采购需求”中“保洁工作服务方案及要求”的响应情况进行评审。</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（1）经评委认定，投标文件对“保洁工作服务方案及要求”中“</w:t>
      </w:r>
      <w:r>
        <w:rPr>
          <w:rFonts w:hint="eastAsia" w:ascii="方正仿宋_GBK" w:hAnsi="方正仿宋_GBK" w:eastAsia="方正仿宋_GBK" w:cs="方正仿宋_GBK"/>
          <w:b w:val="0"/>
          <w:bCs w:val="0"/>
          <w:color w:val="000000"/>
          <w:sz w:val="28"/>
          <w:szCs w:val="28"/>
          <w:highlight w:val="none"/>
        </w:rPr>
        <w:t xml:space="preserve">“建筑物日常保洁”、“专项保洁、</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垃圾分类</w:t>
      </w:r>
      <w:r>
        <w:rPr>
          <w:rFonts w:ascii="方正仿宋_GBK" w:hAnsi="方正仿宋_GBK" w:eastAsia="方正仿宋_GBK" w:cs="方正仿宋_GBK"/>
          <w:b w:val="0"/>
          <w:bCs w:val="0"/>
          <w:color w:val="000000"/>
          <w:sz w:val="28"/>
          <w:szCs w:val="28"/>
          <w:highlight w:val="none"/>
          <w:lang w:val="en-US"/>
        </w:rPr>
        <w:t xml:space="preserve">”</w:t>
      </w:r>
      <w:r>
        <w:rPr>
          <w:rFonts w:ascii="方正仿宋_GBK" w:hAnsi="方正仿宋_GBK" w:eastAsia="方正仿宋_GBK" w:cs="方正仿宋_GBK"/>
          <w:b w:val="0"/>
          <w:bCs w:val="0"/>
          <w:color w:val="000000"/>
          <w:sz w:val="28"/>
          <w:szCs w:val="28"/>
          <w:highlight w:val="none"/>
          <w:lang w:val="en-US"/>
        </w:rPr>
        <w:t xml:space="preserve">”三项要求的响应内容全部优于招标文件要求的（投标文件对上述三项以外的其他要求响应内容符合招标文件要求），本项得</w:t>
      </w:r>
      <w:r>
        <w:rPr>
          <w:rFonts w:hint="eastAsia" w:ascii="方正仿宋_GBK" w:hAnsi="方正仿宋_GBK" w:eastAsia="方正仿宋_GBK" w:cs="方正仿宋_GBK"/>
          <w:b w:val="0"/>
          <w:bCs w:val="0"/>
          <w:color w:val="000000"/>
          <w:sz w:val="28"/>
          <w:szCs w:val="28"/>
          <w:highlight w:val="none"/>
        </w:rPr>
        <w:t xml:space="preserve">5</w:t>
      </w:r>
      <w:r>
        <w:rPr>
          <w:rFonts w:ascii="方正仿宋_GBK" w:hAnsi="方正仿宋_GBK" w:eastAsia="方正仿宋_GBK" w:cs="方正仿宋_GBK"/>
          <w:b w:val="0"/>
          <w:bCs w:val="0"/>
          <w:color w:val="000000"/>
          <w:sz w:val="28"/>
          <w:szCs w:val="28"/>
          <w:highlight w:val="none"/>
          <w:lang w:val="en-US"/>
        </w:rPr>
        <w:t xml:space="preserve">分。</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（2）投标文件符合“保洁工作服务方案及要求”中全部条款要求的，视为符合招标文件，本项得3分。</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bCs/>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（3）投标文件未符合“保洁工作服务方案及要求”中全部条款要求的，视为不符合招标文件，本项得0分。</w:t>
      </w:r>
      <w:r>
        <w:rPr>
          <w:rFonts w:ascii="方正仿宋_GBK" w:hAnsi="方正仿宋_GBK" w:eastAsia="方正仿宋_GBK" w:cs="方正仿宋_GBK"/>
          <w:b/>
          <w:bCs/>
          <w:color w:val="000000"/>
          <w:sz w:val="28"/>
          <w:szCs w:val="28"/>
          <w:highlight w:val="none"/>
          <w:lang w:val="en-US"/>
        </w:rPr>
      </w:r>
      <w:r/>
    </w:p>
    <w:p>
      <w:pPr>
        <w:pStyle w:val="950"/>
        <w:ind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2.5安全管理服务方案（5分）</w:t>
      </w:r>
      <w:r>
        <w:rPr>
          <w:rFonts w:hint="eastAsia" w:ascii="方正仿宋_GBK" w:hAnsi="方正仿宋_GBK" w:eastAsia="方正仿宋_GBK" w:cs="方正仿宋_GBK"/>
          <w:b/>
          <w:bCs/>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评委根据投标文件对第四章“采购需求”中“安全管理服务方案及要求”的响应情况进行评审。</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（1）经评委认定，投标文件对“安全管理服务方案及要求”中“</w:t>
      </w:r>
      <w:r>
        <w:rPr>
          <w:rFonts w:hint="eastAsia" w:ascii="方正仿宋_GBK" w:hAnsi="方正仿宋_GBK" w:eastAsia="方正仿宋_GBK" w:cs="方正仿宋_GBK"/>
          <w:b w:val="0"/>
          <w:bCs w:val="0"/>
          <w:color w:val="000000"/>
          <w:sz w:val="28"/>
          <w:szCs w:val="28"/>
          <w:highlight w:val="none"/>
        </w:rPr>
        <w:t xml:space="preserve">公共秩序维护</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教学服务保障</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节能服务</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三</w:t>
      </w:r>
      <w:r>
        <w:rPr>
          <w:rFonts w:ascii="方正仿宋_GBK" w:hAnsi="方正仿宋_GBK" w:eastAsia="方正仿宋_GBK" w:cs="方正仿宋_GBK"/>
          <w:b w:val="0"/>
          <w:bCs w:val="0"/>
          <w:color w:val="000000"/>
          <w:sz w:val="28"/>
          <w:szCs w:val="28"/>
          <w:highlight w:val="none"/>
          <w:lang w:val="en-US"/>
        </w:rPr>
        <w:t xml:space="preserve">项要求的响应内容全部优于招标文件要求的（投标文件对上述三项以外的其他要求响应内容符合招标文件要求），本项得</w:t>
      </w:r>
      <w:r>
        <w:rPr>
          <w:rFonts w:hint="eastAsia" w:ascii="方正仿宋_GBK" w:hAnsi="方正仿宋_GBK" w:eastAsia="方正仿宋_GBK" w:cs="方正仿宋_GBK"/>
          <w:b w:val="0"/>
          <w:bCs w:val="0"/>
          <w:color w:val="000000"/>
          <w:sz w:val="28"/>
          <w:szCs w:val="28"/>
          <w:highlight w:val="none"/>
        </w:rPr>
        <w:t xml:space="preserve">5</w:t>
      </w:r>
      <w:r>
        <w:rPr>
          <w:rFonts w:ascii="方正仿宋_GBK" w:hAnsi="方正仿宋_GBK" w:eastAsia="方正仿宋_GBK" w:cs="方正仿宋_GBK"/>
          <w:b w:val="0"/>
          <w:bCs w:val="0"/>
          <w:color w:val="000000"/>
          <w:sz w:val="28"/>
          <w:szCs w:val="28"/>
          <w:highlight w:val="none"/>
          <w:lang w:val="en-US"/>
        </w:rPr>
        <w:t xml:space="preserve">分。</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（2）投标文件符合“安全管理服务方案及要求”中全部条款要求的，视为符合招标文件，本项得3分。</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bCs/>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（3）投标文件未符合“安全管理服务方案及要求”中全部条款要求的，视为不符合招标文件，本项得0分。</w:t>
      </w:r>
      <w:r>
        <w:rPr>
          <w:rFonts w:ascii="方正仿宋_GBK" w:hAnsi="方正仿宋_GBK" w:eastAsia="方正仿宋_GBK" w:cs="方正仿宋_GBK"/>
          <w:b/>
          <w:bCs/>
          <w:color w:val="000000"/>
          <w:sz w:val="28"/>
          <w:szCs w:val="28"/>
          <w:highlight w:val="none"/>
          <w:lang w:val="en-US"/>
        </w:rPr>
      </w:r>
      <w:r/>
    </w:p>
    <w:p>
      <w:pPr>
        <w:pStyle w:val="950"/>
        <w:ind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2.6校园应急措施方案（5分）</w:t>
      </w:r>
      <w:r>
        <w:rPr>
          <w:rFonts w:hint="eastAsia" w:ascii="方正仿宋_GBK" w:hAnsi="方正仿宋_GBK" w:eastAsia="方正仿宋_GBK" w:cs="方正仿宋_GBK"/>
          <w:b/>
          <w:bCs/>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lang w:val="en-US" w:eastAsia="zh-CN"/>
        </w:rPr>
      </w:pPr>
      <w:r>
        <w:rPr>
          <w:rFonts w:ascii="方正仿宋_GBK" w:hAnsi="方正仿宋_GBK" w:eastAsia="方正仿宋_GBK" w:cs="方正仿宋_GBK"/>
          <w:b w:val="0"/>
          <w:bCs w:val="0"/>
          <w:color w:val="000000"/>
          <w:sz w:val="28"/>
          <w:szCs w:val="28"/>
          <w:highlight w:val="none"/>
          <w:lang w:val="en-US" w:eastAsia="zh-CN"/>
        </w:rPr>
        <w:t xml:space="preserve">评委根据投标文件对第四章“采购需求”中“校园应急措施及要求”的响应情况进行评审。</w:t>
      </w:r>
      <w:r>
        <w:rPr>
          <w:rFonts w:ascii="方正仿宋_GBK" w:hAnsi="方正仿宋_GBK" w:eastAsia="方正仿宋_GBK" w:cs="方正仿宋_GBK"/>
          <w:b w:val="0"/>
          <w:bCs w:val="0"/>
          <w:color w:val="000000"/>
          <w:sz w:val="28"/>
          <w:szCs w:val="28"/>
          <w:highlight w:val="none"/>
          <w:lang w:val="en-US" w:eastAsia="zh-CN"/>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eastAsia="zh-CN"/>
        </w:rPr>
      </w:pPr>
      <w:r>
        <w:rPr>
          <w:rFonts w:ascii="方正仿宋_GBK" w:hAnsi="方正仿宋_GBK" w:eastAsia="方正仿宋_GBK" w:cs="方正仿宋_GBK"/>
          <w:b w:val="0"/>
          <w:bCs w:val="0"/>
          <w:color w:val="000000"/>
          <w:sz w:val="28"/>
          <w:szCs w:val="28"/>
          <w:highlight w:val="none"/>
          <w:lang w:val="en-US" w:eastAsia="zh-CN"/>
        </w:rPr>
        <w:t xml:space="preserve">（1）经评委认定，投标文件对“校园应急措施及要求”中“</w:t>
      </w:r>
      <w:r>
        <w:rPr>
          <w:rFonts w:hint="eastAsia" w:ascii="方正仿宋_GBK" w:hAnsi="方正仿宋_GBK" w:eastAsia="方正仿宋_GBK" w:cs="方正仿宋_GBK"/>
          <w:b w:val="0"/>
          <w:bCs w:val="0"/>
          <w:color w:val="000000"/>
          <w:sz w:val="28"/>
          <w:szCs w:val="28"/>
          <w:highlight w:val="none"/>
        </w:rPr>
        <w:t xml:space="preserve">应急管理组织体系</w:t>
      </w:r>
      <w:r>
        <w:rPr>
          <w:rFonts w:ascii="方正仿宋_GBK" w:hAnsi="方正仿宋_GBK" w:eastAsia="方正仿宋_GBK" w:cs="方正仿宋_GBK"/>
          <w:b w:val="0"/>
          <w:bCs w:val="0"/>
          <w:color w:val="000000"/>
          <w:sz w:val="28"/>
          <w:szCs w:val="28"/>
          <w:highlight w:val="none"/>
          <w:lang w:val="en-US"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lang w:val="en-US" w:eastAsia="zh-CN"/>
        </w:rPr>
        <w:t xml:space="preserve">“</w:t>
      </w:r>
      <w:r>
        <w:rPr>
          <w:rFonts w:hint="eastAsia" w:ascii="方正仿宋_GBK" w:hAnsi="方正仿宋_GBK" w:eastAsia="方正仿宋_GBK" w:cs="方正仿宋_GBK"/>
          <w:b w:val="0"/>
          <w:bCs w:val="0"/>
          <w:color w:val="000000"/>
          <w:sz w:val="28"/>
          <w:szCs w:val="28"/>
          <w:highlight w:val="none"/>
        </w:rPr>
        <w:t xml:space="preserve">各类突发事件处理预案</w:t>
      </w:r>
      <w:r>
        <w:rPr>
          <w:rFonts w:ascii="方正仿宋_GBK" w:hAnsi="方正仿宋_GBK" w:eastAsia="方正仿宋_GBK" w:cs="方正仿宋_GBK"/>
          <w:b w:val="0"/>
          <w:bCs w:val="0"/>
          <w:color w:val="000000"/>
          <w:sz w:val="28"/>
          <w:szCs w:val="28"/>
          <w:highlight w:val="none"/>
          <w:lang w:val="en-US" w:eastAsia="zh-CN"/>
        </w:rPr>
        <w:t xml:space="preserve">”</w:t>
      </w:r>
      <w:r>
        <w:rPr>
          <w:rFonts w:hint="eastAsia" w:ascii="方正仿宋_GBK" w:hAnsi="方正仿宋_GBK" w:eastAsia="方正仿宋_GBK" w:cs="方正仿宋_GBK"/>
          <w:b w:val="0"/>
          <w:bCs w:val="0"/>
          <w:color w:val="000000"/>
          <w:sz w:val="28"/>
          <w:szCs w:val="28"/>
          <w:highlight w:val="none"/>
        </w:rPr>
        <w:t xml:space="preserve">大型活动应急保障预案</w:t>
      </w:r>
      <w:r>
        <w:rPr>
          <w:rFonts w:hint="eastAsia" w:ascii="方正仿宋_GBK" w:hAnsi="方正仿宋_GBK" w:eastAsia="方正仿宋_GBK" w:cs="方正仿宋_GBK"/>
          <w:b w:val="0"/>
          <w:bCs w:val="0"/>
          <w:color w:val="000000"/>
          <w:sz w:val="28"/>
          <w:szCs w:val="28"/>
          <w:highlight w:val="none"/>
        </w:rPr>
        <w:t xml:space="preserve">三</w:t>
      </w:r>
      <w:r>
        <w:rPr>
          <w:rFonts w:ascii="方正仿宋_GBK" w:hAnsi="方正仿宋_GBK" w:eastAsia="方正仿宋_GBK" w:cs="方正仿宋_GBK"/>
          <w:b w:val="0"/>
          <w:bCs w:val="0"/>
          <w:color w:val="000000"/>
          <w:sz w:val="28"/>
          <w:szCs w:val="28"/>
          <w:highlight w:val="none"/>
          <w:lang w:val="en-US" w:eastAsia="zh-CN"/>
        </w:rPr>
        <w:t xml:space="preserve">项要求的响应内容全部优于招标文件要求的（投标文件对上述</w:t>
      </w:r>
      <w:r>
        <w:rPr>
          <w:rFonts w:hint="eastAsia" w:ascii="方正仿宋_GBK" w:hAnsi="方正仿宋_GBK" w:eastAsia="方正仿宋_GBK" w:cs="方正仿宋_GBK"/>
          <w:b w:val="0"/>
          <w:bCs w:val="0"/>
          <w:color w:val="000000"/>
          <w:sz w:val="28"/>
          <w:szCs w:val="28"/>
          <w:highlight w:val="none"/>
        </w:rPr>
        <w:t xml:space="preserve">三</w:t>
      </w:r>
      <w:r>
        <w:rPr>
          <w:rFonts w:ascii="方正仿宋_GBK" w:hAnsi="方正仿宋_GBK" w:eastAsia="方正仿宋_GBK" w:cs="方正仿宋_GBK"/>
          <w:b w:val="0"/>
          <w:bCs w:val="0"/>
          <w:color w:val="000000"/>
          <w:sz w:val="28"/>
          <w:szCs w:val="28"/>
          <w:highlight w:val="none"/>
          <w:lang w:val="en-US" w:eastAsia="zh-CN"/>
        </w:rPr>
        <w:t xml:space="preserve">项以外的其他要求响应内容符合招标文件要求），本项得</w:t>
      </w:r>
      <w:r>
        <w:rPr>
          <w:rFonts w:hint="eastAsia" w:ascii="方正仿宋_GBK" w:hAnsi="方正仿宋_GBK" w:eastAsia="方正仿宋_GBK" w:cs="方正仿宋_GBK"/>
          <w:b w:val="0"/>
          <w:bCs w:val="0"/>
          <w:color w:val="000000"/>
          <w:sz w:val="28"/>
          <w:szCs w:val="28"/>
          <w:highlight w:val="none"/>
        </w:rPr>
        <w:t xml:space="preserve">5</w:t>
      </w:r>
      <w:r>
        <w:rPr>
          <w:rFonts w:ascii="方正仿宋_GBK" w:hAnsi="方正仿宋_GBK" w:eastAsia="方正仿宋_GBK" w:cs="方正仿宋_GBK"/>
          <w:b w:val="0"/>
          <w:bCs w:val="0"/>
          <w:color w:val="000000"/>
          <w:sz w:val="28"/>
          <w:szCs w:val="28"/>
          <w:highlight w:val="none"/>
          <w:lang w:val="en-US" w:eastAsia="zh-CN"/>
        </w:rPr>
        <w:t xml:space="preserve">分。</w:t>
      </w:r>
      <w:r>
        <w:rPr>
          <w:rFonts w:ascii="方正仿宋_GBK" w:hAnsi="方正仿宋_GBK" w:eastAsia="方正仿宋_GBK" w:cs="方正仿宋_GBK"/>
          <w:b w:val="0"/>
          <w:bCs w:val="0"/>
          <w:color w:val="000000"/>
          <w:sz w:val="28"/>
          <w:szCs w:val="28"/>
          <w:highlight w:val="none"/>
          <w:lang w:val="en-US" w:eastAsia="zh-CN"/>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eastAsia="zh-CN"/>
        </w:rPr>
      </w:pPr>
      <w:r>
        <w:rPr>
          <w:rFonts w:ascii="方正仿宋_GBK" w:hAnsi="方正仿宋_GBK" w:eastAsia="方正仿宋_GBK" w:cs="方正仿宋_GBK"/>
          <w:b w:val="0"/>
          <w:bCs w:val="0"/>
          <w:color w:val="000000"/>
          <w:sz w:val="28"/>
          <w:szCs w:val="28"/>
          <w:highlight w:val="none"/>
          <w:lang w:val="en-US" w:eastAsia="zh-CN"/>
        </w:rPr>
        <w:t xml:space="preserve">（2）投标文件符合“校园应急措施及要求”中全部条款要求的，视为符合招标文件，本项得3分。</w:t>
      </w:r>
      <w:r>
        <w:rPr>
          <w:rFonts w:ascii="方正仿宋_GBK" w:hAnsi="方正仿宋_GBK" w:eastAsia="方正仿宋_GBK" w:cs="方正仿宋_GBK"/>
          <w:b w:val="0"/>
          <w:bCs w:val="0"/>
          <w:color w:val="000000"/>
          <w:sz w:val="28"/>
          <w:szCs w:val="28"/>
          <w:highlight w:val="none"/>
          <w:lang w:val="en-US" w:eastAsia="zh-CN"/>
        </w:rPr>
      </w:r>
      <w:r/>
    </w:p>
    <w:p>
      <w:pPr>
        <w:pStyle w:val="950"/>
        <w:ind w:left="181" w:firstLine="482"/>
        <w:spacing w:line="460" w:lineRule="exact"/>
        <w:rPr>
          <w:rFonts w:hint="eastAsia"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（3）投标文件未符合“校园应急措施及要求”中全部条款要求的，视为不符合招标文件，本项得0分。</w:t>
      </w:r>
      <w:r>
        <w:rPr>
          <w:rFonts w:hint="eastAsia" w:ascii="方正仿宋_GBK" w:hAnsi="方正仿宋_GBK" w:eastAsia="方正仿宋_GBK" w:cs="方正仿宋_GBK"/>
          <w:b w:val="0"/>
          <w:bCs w:val="0"/>
          <w:color w:val="000000"/>
          <w:sz w:val="28"/>
          <w:szCs w:val="28"/>
          <w:highlight w:val="none"/>
        </w:rPr>
      </w:r>
      <w:r/>
    </w:p>
    <w:p>
      <w:pPr>
        <w:pStyle w:val="950"/>
        <w:ind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2.7传染病防控方案（5分）</w:t>
      </w:r>
      <w:r>
        <w:rPr>
          <w:rFonts w:hint="eastAsia" w:ascii="方正仿宋_GBK" w:hAnsi="方正仿宋_GBK" w:eastAsia="方正仿宋_GBK" w:cs="方正仿宋_GBK"/>
          <w:b/>
          <w:bCs/>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评委根据投标文件对第四章“采购需求”中“传染病防控方案及要求”的响应情况进行评审。</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（1）经评委认定，投标文件对“传染病防控方案及要求”中“重点区域防控”</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lang w:val="en-US"/>
        </w:rPr>
        <w:t xml:space="preserve">“重点人群防控”</w:t>
      </w:r>
      <w:r>
        <w:rPr>
          <w:rFonts w:hint="eastAsia" w:ascii="方正仿宋_GBK" w:hAnsi="方正仿宋_GBK" w:eastAsia="方正仿宋_GBK" w:cs="方正仿宋_GBK"/>
          <w:b w:val="0"/>
          <w:bCs w:val="0"/>
          <w:color w:val="000000"/>
          <w:sz w:val="28"/>
          <w:szCs w:val="28"/>
          <w:highlight w:val="none"/>
        </w:rPr>
        <w:t xml:space="preserve">应急演练培训计划三</w:t>
      </w:r>
      <w:r>
        <w:rPr>
          <w:rFonts w:ascii="方正仿宋_GBK" w:hAnsi="方正仿宋_GBK" w:eastAsia="方正仿宋_GBK" w:cs="方正仿宋_GBK"/>
          <w:b w:val="0"/>
          <w:bCs w:val="0"/>
          <w:color w:val="000000"/>
          <w:sz w:val="28"/>
          <w:szCs w:val="28"/>
          <w:highlight w:val="none"/>
          <w:lang w:val="en-US"/>
        </w:rPr>
        <w:t xml:space="preserve">项要求的响应内容全部优于招标文件要求的（投标文件对上述</w:t>
      </w:r>
      <w:r>
        <w:rPr>
          <w:rFonts w:hint="eastAsia" w:ascii="方正仿宋_GBK" w:hAnsi="方正仿宋_GBK" w:eastAsia="方正仿宋_GBK" w:cs="方正仿宋_GBK"/>
          <w:b w:val="0"/>
          <w:bCs w:val="0"/>
          <w:color w:val="000000"/>
          <w:sz w:val="28"/>
          <w:szCs w:val="28"/>
          <w:highlight w:val="none"/>
        </w:rPr>
        <w:t xml:space="preserve">三</w:t>
      </w:r>
      <w:r>
        <w:rPr>
          <w:rFonts w:ascii="方正仿宋_GBK" w:hAnsi="方正仿宋_GBK" w:eastAsia="方正仿宋_GBK" w:cs="方正仿宋_GBK"/>
          <w:b w:val="0"/>
          <w:bCs w:val="0"/>
          <w:color w:val="000000"/>
          <w:sz w:val="28"/>
          <w:szCs w:val="28"/>
          <w:highlight w:val="none"/>
          <w:lang w:val="en-US"/>
        </w:rPr>
        <w:t xml:space="preserve">项以外的其他要求响应内容符合招标文件要求），本项得5分。</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（2）投标文件符合“传染病防控方案及要求”中全部条款要求的，视为符合招标文件，本项得3分。</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（3）投标文件未符合“传染病防控方案及要求”中全部条款要求的，视为不符合招标文件，本项得0分。</w:t>
      </w:r>
      <w:r>
        <w:rPr>
          <w:rFonts w:ascii="方正仿宋_GBK" w:hAnsi="方正仿宋_GBK" w:eastAsia="方正仿宋_GBK" w:cs="方正仿宋_GBK"/>
          <w:b w:val="0"/>
          <w:bCs w:val="0"/>
          <w:color w:val="000000"/>
          <w:sz w:val="28"/>
          <w:szCs w:val="28"/>
          <w:highlight w:val="none"/>
          <w:lang w:val="en-US"/>
        </w:rPr>
      </w:r>
      <w:r/>
    </w:p>
    <w:p>
      <w:pPr>
        <w:pStyle w:val="950"/>
        <w:ind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2.8进退场交接方案（5分）</w:t>
      </w:r>
      <w:r>
        <w:rPr>
          <w:rFonts w:hint="eastAsia" w:ascii="方正仿宋_GBK" w:hAnsi="方正仿宋_GBK" w:eastAsia="方正仿宋_GBK" w:cs="方正仿宋_GBK"/>
          <w:b/>
          <w:bCs/>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评委根据投标文件对第四章“采购需求”中“进退场交接要求”的响应情况进行评审。</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（1）经评委认定，投标文件对“进退场交接要求”中“</w:t>
      </w:r>
      <w:r>
        <w:rPr>
          <w:rFonts w:hint="eastAsia" w:ascii="方正仿宋_GBK" w:hAnsi="方正仿宋_GBK" w:eastAsia="方正仿宋_GBK" w:cs="方正仿宋_GBK"/>
          <w:b w:val="0"/>
          <w:bCs w:val="0"/>
          <w:color w:val="000000"/>
          <w:sz w:val="28"/>
          <w:szCs w:val="28"/>
          <w:highlight w:val="none"/>
        </w:rPr>
        <w:t xml:space="preserve">进场交接步骤</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交接时效</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退场交接程序</w:t>
      </w:r>
      <w:r>
        <w:rPr>
          <w:rFonts w:ascii="方正仿宋_GBK" w:hAnsi="方正仿宋_GBK" w:eastAsia="方正仿宋_GBK" w:cs="方正仿宋_GBK"/>
          <w:b w:val="0"/>
          <w:bCs w:val="0"/>
          <w:color w:val="000000"/>
          <w:sz w:val="28"/>
          <w:szCs w:val="28"/>
          <w:highlight w:val="none"/>
          <w:lang w:val="en-US"/>
        </w:rPr>
        <w:t xml:space="preserve">”</w:t>
      </w:r>
      <w:r>
        <w:rPr>
          <w:rFonts w:hint="eastAsia" w:ascii="方正仿宋_GBK" w:hAnsi="方正仿宋_GBK" w:eastAsia="方正仿宋_GBK" w:cs="方正仿宋_GBK"/>
          <w:b w:val="0"/>
          <w:bCs w:val="0"/>
          <w:color w:val="000000"/>
          <w:sz w:val="28"/>
          <w:szCs w:val="28"/>
          <w:highlight w:val="none"/>
        </w:rPr>
        <w:t xml:space="preserve">、“交接工作安排与内容”四</w:t>
      </w:r>
      <w:r>
        <w:rPr>
          <w:rFonts w:ascii="方正仿宋_GBK" w:hAnsi="方正仿宋_GBK" w:eastAsia="方正仿宋_GBK" w:cs="方正仿宋_GBK"/>
          <w:b w:val="0"/>
          <w:bCs w:val="0"/>
          <w:color w:val="000000"/>
          <w:sz w:val="28"/>
          <w:szCs w:val="28"/>
          <w:highlight w:val="none"/>
          <w:lang w:val="en-US"/>
        </w:rPr>
        <w:t xml:space="preserve">项要求的响应内容全部优于招标文件要求的（投标文件对上述</w:t>
      </w:r>
      <w:r>
        <w:rPr>
          <w:rFonts w:hint="eastAsia" w:ascii="方正仿宋_GBK" w:hAnsi="方正仿宋_GBK" w:eastAsia="方正仿宋_GBK" w:cs="方正仿宋_GBK"/>
          <w:b w:val="0"/>
          <w:bCs w:val="0"/>
          <w:color w:val="000000"/>
          <w:sz w:val="28"/>
          <w:szCs w:val="28"/>
          <w:highlight w:val="none"/>
        </w:rPr>
        <w:t xml:space="preserve">四</w:t>
      </w:r>
      <w:r>
        <w:rPr>
          <w:rFonts w:ascii="方正仿宋_GBK" w:hAnsi="方正仿宋_GBK" w:eastAsia="方正仿宋_GBK" w:cs="方正仿宋_GBK"/>
          <w:b w:val="0"/>
          <w:bCs w:val="0"/>
          <w:color w:val="000000"/>
          <w:sz w:val="28"/>
          <w:szCs w:val="28"/>
          <w:highlight w:val="none"/>
          <w:lang w:val="en-US"/>
        </w:rPr>
        <w:t xml:space="preserve">项以外的其他要求响应内容符合招标文件要求），本项得5分。</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（2）投标文件符合“进退场交接要求”中全部条款要求的，视为符合招标文件，本项得3分。</w:t>
      </w:r>
      <w:r>
        <w:rPr>
          <w:rFonts w:ascii="方正仿宋_GBK" w:hAnsi="方正仿宋_GBK" w:eastAsia="方正仿宋_GBK" w:cs="方正仿宋_GBK"/>
          <w:b w:val="0"/>
          <w:bCs w:val="0"/>
          <w:color w:val="000000"/>
          <w:sz w:val="28"/>
          <w:szCs w:val="28"/>
          <w:highlight w:val="none"/>
          <w:lang w:val="en-US"/>
        </w:rPr>
      </w:r>
      <w:r/>
    </w:p>
    <w:p>
      <w:pPr>
        <w:pStyle w:val="950"/>
        <w:ind w:left="181" w:firstLine="482"/>
        <w:spacing w:line="460" w:lineRule="exact"/>
        <w:rPr>
          <w:rFonts w:hint="eastAsia" w:ascii="方正仿宋_GBK" w:hAnsi="方正仿宋_GBK" w:eastAsia="方正仿宋_GBK" w:cs="方正仿宋_GBK"/>
          <w:b w:val="0"/>
          <w:bCs w:val="0"/>
          <w:color w:val="000000"/>
          <w:sz w:val="28"/>
          <w:szCs w:val="28"/>
          <w:highlight w:val="none"/>
          <w:lang w:val="en-US"/>
        </w:rPr>
      </w:pPr>
      <w:r>
        <w:rPr>
          <w:rFonts w:ascii="方正仿宋_GBK" w:hAnsi="方正仿宋_GBK" w:eastAsia="方正仿宋_GBK" w:cs="方正仿宋_GBK"/>
          <w:b w:val="0"/>
          <w:bCs w:val="0"/>
          <w:color w:val="000000"/>
          <w:sz w:val="28"/>
          <w:szCs w:val="28"/>
          <w:highlight w:val="none"/>
          <w:lang w:val="en-US"/>
        </w:rPr>
        <w:t xml:space="preserve">（3）投标文件未符合“进退场交接要求”中全部条款要求的，视为不符合招标文件，本项得0分。</w:t>
      </w:r>
      <w:r>
        <w:rPr>
          <w:rFonts w:hint="eastAsia" w:ascii="方正仿宋_GBK" w:hAnsi="方正仿宋_GBK" w:eastAsia="方正仿宋_GBK" w:cs="方正仿宋_GBK"/>
          <w:b w:val="0"/>
          <w:bCs w:val="0"/>
          <w:color w:val="000000"/>
          <w:sz w:val="28"/>
          <w:szCs w:val="28"/>
          <w:highlight w:val="none"/>
          <w:lang w:val="en-US"/>
        </w:rPr>
      </w:r>
      <w:r/>
    </w:p>
    <w:p>
      <w:pPr>
        <w:pStyle w:val="950"/>
        <w:ind w:left="210" w:right="210"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2.9校园文化建设服务（5分）</w:t>
      </w:r>
      <w:r>
        <w:rPr>
          <w:rFonts w:hint="eastAsia" w:ascii="方正仿宋_GBK" w:hAnsi="方正仿宋_GBK" w:eastAsia="方正仿宋_GBK" w:cs="方正仿宋_GBK"/>
          <w:b/>
          <w:bCs/>
          <w:color w:val="000000"/>
          <w:sz w:val="28"/>
          <w:szCs w:val="28"/>
          <w:highlight w:val="none"/>
        </w:rPr>
      </w:r>
      <w:r/>
    </w:p>
    <w:p>
      <w:pPr>
        <w:pStyle w:val="950"/>
        <w:ind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评委根据投标文件对第四章“采购需求”中“</w:t>
      </w:r>
      <w:r>
        <w:rPr>
          <w:rFonts w:hint="eastAsia" w:ascii="方正仿宋_GBK" w:hAnsi="方正仿宋_GBK" w:eastAsia="方正仿宋_GBK" w:cs="方正仿宋_GBK"/>
          <w:b w:val="0"/>
          <w:bCs w:val="0"/>
          <w:color w:val="000000"/>
          <w:sz w:val="28"/>
          <w:szCs w:val="28"/>
          <w:highlight w:val="none"/>
        </w:rPr>
        <w:t xml:space="preserve">校园文化建设服务</w:t>
      </w:r>
      <w:r>
        <w:rPr>
          <w:rFonts w:ascii="方正仿宋_GBK" w:hAnsi="方正仿宋_GBK" w:eastAsia="方正仿宋_GBK" w:cs="方正仿宋_GBK"/>
          <w:b w:val="0"/>
          <w:bCs w:val="0"/>
          <w:color w:val="000000"/>
          <w:sz w:val="28"/>
          <w:szCs w:val="28"/>
          <w:highlight w:val="none"/>
        </w:rPr>
        <w:t xml:space="preserve">”的响应情况进行评审。</w:t>
      </w:r>
      <w:r>
        <w:rPr>
          <w:rFonts w:ascii="方正仿宋_GBK" w:hAnsi="方正仿宋_GBK" w:eastAsia="方正仿宋_GBK" w:cs="方正仿宋_GBK"/>
          <w:b w:val="0"/>
          <w:bCs w:val="0"/>
          <w:color w:val="000000"/>
          <w:sz w:val="28"/>
          <w:szCs w:val="28"/>
          <w:highlight w:val="none"/>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（1）经评委认定，投标文件对“</w:t>
      </w:r>
      <w:r>
        <w:rPr>
          <w:rFonts w:hint="eastAsia" w:ascii="方正仿宋_GBK" w:hAnsi="方正仿宋_GBK" w:eastAsia="方正仿宋_GBK" w:cs="方正仿宋_GBK"/>
          <w:b w:val="0"/>
          <w:bCs w:val="0"/>
          <w:color w:val="000000"/>
          <w:sz w:val="28"/>
          <w:szCs w:val="28"/>
          <w:highlight w:val="none"/>
        </w:rPr>
        <w:t xml:space="preserve">校园文化建设服务</w:t>
      </w:r>
      <w:r>
        <w:rPr>
          <w:rFonts w:ascii="方正仿宋_GBK" w:hAnsi="方正仿宋_GBK" w:eastAsia="方正仿宋_GBK" w:cs="方正仿宋_GBK"/>
          <w:b w:val="0"/>
          <w:bCs w:val="0"/>
          <w:color w:val="000000"/>
          <w:sz w:val="28"/>
          <w:szCs w:val="28"/>
          <w:highlight w:val="none"/>
        </w:rPr>
        <w:t xml:space="preserve">”中“</w:t>
      </w:r>
      <w:r>
        <w:rPr>
          <w:rFonts w:hint="eastAsia" w:ascii="方正仿宋_GBK" w:hAnsi="方正仿宋_GBK" w:eastAsia="方正仿宋_GBK" w:cs="方正仿宋_GBK"/>
          <w:b w:val="0"/>
          <w:bCs w:val="0"/>
          <w:color w:val="000000"/>
          <w:sz w:val="28"/>
          <w:szCs w:val="28"/>
          <w:highlight w:val="none"/>
        </w:rPr>
        <w:t xml:space="preserve">劳动实践基地建设</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、“节假日氛围营造”、</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一站式服务中心打造</w:t>
      </w:r>
      <w:r>
        <w:rPr>
          <w:rFonts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color w:val="000000"/>
          <w:sz w:val="28"/>
          <w:szCs w:val="28"/>
          <w:highlight w:val="none"/>
        </w:rPr>
        <w:t xml:space="preserve">三</w:t>
      </w:r>
      <w:r>
        <w:rPr>
          <w:rFonts w:ascii="方正仿宋_GBK" w:hAnsi="方正仿宋_GBK" w:eastAsia="方正仿宋_GBK" w:cs="方正仿宋_GBK"/>
          <w:b w:val="0"/>
          <w:bCs w:val="0"/>
          <w:color w:val="000000"/>
          <w:sz w:val="28"/>
          <w:szCs w:val="28"/>
          <w:highlight w:val="none"/>
        </w:rPr>
        <w:t xml:space="preserve">项要求的响应内容全部优于招标文件要求的（投标文件对上述</w:t>
      </w:r>
      <w:r>
        <w:rPr>
          <w:rFonts w:hint="eastAsia" w:ascii="方正仿宋_GBK" w:hAnsi="方正仿宋_GBK" w:eastAsia="方正仿宋_GBK" w:cs="方正仿宋_GBK"/>
          <w:b w:val="0"/>
          <w:bCs w:val="0"/>
          <w:color w:val="000000"/>
          <w:sz w:val="28"/>
          <w:szCs w:val="28"/>
          <w:highlight w:val="none"/>
        </w:rPr>
        <w:t xml:space="preserve">三</w:t>
      </w:r>
      <w:r>
        <w:rPr>
          <w:rFonts w:ascii="方正仿宋_GBK" w:hAnsi="方正仿宋_GBK" w:eastAsia="方正仿宋_GBK" w:cs="方正仿宋_GBK"/>
          <w:b w:val="0"/>
          <w:bCs w:val="0"/>
          <w:color w:val="000000"/>
          <w:sz w:val="28"/>
          <w:szCs w:val="28"/>
          <w:highlight w:val="none"/>
        </w:rPr>
        <w:t xml:space="preserve">项以外的其他要求响应内容符合招标文件要求），本项得5分。</w:t>
      </w:r>
      <w:r>
        <w:rPr>
          <w:rFonts w:ascii="方正仿宋_GBK" w:hAnsi="方正仿宋_GBK" w:eastAsia="方正仿宋_GBK" w:cs="方正仿宋_GBK"/>
          <w:b w:val="0"/>
          <w:bCs w:val="0"/>
          <w:color w:val="000000"/>
          <w:sz w:val="28"/>
          <w:szCs w:val="28"/>
          <w:highlight w:val="none"/>
        </w:rPr>
      </w:r>
      <w:r/>
    </w:p>
    <w:p>
      <w:pPr>
        <w:pStyle w:val="950"/>
        <w:ind w:left="181" w:firstLine="482"/>
        <w:spacing w:line="460" w:lineRule="exact"/>
        <w:rPr>
          <w:rFonts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（2）投标文件符合“</w:t>
      </w:r>
      <w:r>
        <w:rPr>
          <w:rFonts w:hint="eastAsia" w:ascii="方正仿宋_GBK" w:hAnsi="方正仿宋_GBK" w:eastAsia="方正仿宋_GBK" w:cs="方正仿宋_GBK"/>
          <w:b w:val="0"/>
          <w:bCs w:val="0"/>
          <w:color w:val="000000"/>
          <w:sz w:val="28"/>
          <w:szCs w:val="28"/>
          <w:highlight w:val="none"/>
        </w:rPr>
        <w:t xml:space="preserve">校园文化建设服务</w:t>
      </w:r>
      <w:r>
        <w:rPr>
          <w:rFonts w:ascii="方正仿宋_GBK" w:hAnsi="方正仿宋_GBK" w:eastAsia="方正仿宋_GBK" w:cs="方正仿宋_GBK"/>
          <w:b w:val="0"/>
          <w:bCs w:val="0"/>
          <w:color w:val="000000"/>
          <w:sz w:val="28"/>
          <w:szCs w:val="28"/>
          <w:highlight w:val="none"/>
        </w:rPr>
        <w:t xml:space="preserve">”中全部条款要求的，视为符合招标文件，本项得3分。</w:t>
      </w:r>
      <w:r>
        <w:rPr>
          <w:rFonts w:ascii="方正仿宋_GBK" w:hAnsi="方正仿宋_GBK" w:eastAsia="方正仿宋_GBK" w:cs="方正仿宋_GBK"/>
          <w:b w:val="0"/>
          <w:bCs w:val="0"/>
          <w:color w:val="000000"/>
          <w:sz w:val="28"/>
          <w:szCs w:val="28"/>
          <w:highlight w:val="none"/>
        </w:rPr>
      </w:r>
      <w:r/>
    </w:p>
    <w:p>
      <w:pPr>
        <w:pStyle w:val="950"/>
        <w:ind w:left="181" w:firstLine="482"/>
        <w:spacing w:line="460" w:lineRule="exact"/>
        <w:rPr>
          <w:rFonts w:hint="eastAsia" w:ascii="方正仿宋_GBK" w:hAnsi="方正仿宋_GBK" w:eastAsia="方正仿宋_GBK" w:cs="方正仿宋_GBK"/>
          <w:b w:val="0"/>
          <w:bCs w:val="0"/>
          <w:color w:val="000000"/>
          <w:sz w:val="28"/>
          <w:szCs w:val="28"/>
          <w:highlight w:val="none"/>
        </w:rPr>
      </w:pPr>
      <w:r>
        <w:rPr>
          <w:rFonts w:ascii="方正仿宋_GBK" w:hAnsi="方正仿宋_GBK" w:eastAsia="方正仿宋_GBK" w:cs="方正仿宋_GBK"/>
          <w:b w:val="0"/>
          <w:bCs w:val="0"/>
          <w:color w:val="000000"/>
          <w:sz w:val="28"/>
          <w:szCs w:val="28"/>
          <w:highlight w:val="none"/>
        </w:rPr>
        <w:t xml:space="preserve">（3）投标文件未符合“</w:t>
      </w:r>
      <w:r>
        <w:rPr>
          <w:rFonts w:hint="eastAsia" w:ascii="方正仿宋_GBK" w:hAnsi="方正仿宋_GBK" w:eastAsia="方正仿宋_GBK" w:cs="方正仿宋_GBK"/>
          <w:b w:val="0"/>
          <w:bCs w:val="0"/>
          <w:color w:val="000000"/>
          <w:sz w:val="28"/>
          <w:szCs w:val="28"/>
          <w:highlight w:val="none"/>
        </w:rPr>
        <w:t xml:space="preserve">校园文化建设服务</w:t>
      </w:r>
      <w:r>
        <w:rPr>
          <w:rFonts w:ascii="方正仿宋_GBK" w:hAnsi="方正仿宋_GBK" w:eastAsia="方正仿宋_GBK" w:cs="方正仿宋_GBK"/>
          <w:b w:val="0"/>
          <w:bCs w:val="0"/>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b w:val="0"/>
          <w:bCs w:val="0"/>
          <w:color w:val="000000"/>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三、人员配备情况（22分）</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3.1项目经理（5分）</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①具有本科及以上学历</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得1分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②具有管理类或政工专业或经济类或工程类中级及以上职称</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得2分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③具有5年及以上类似项目管理经验</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得2分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3.2管理员</w:t>
      </w:r>
      <w:r>
        <w:rPr>
          <w:rFonts w:hint="eastAsia" w:ascii="方正仿宋_GBK" w:hAnsi="方正仿宋_GBK" w:eastAsia="方正仿宋_GBK" w:cs="方正仿宋_GBK"/>
          <w:color w:val="000000"/>
          <w:sz w:val="28"/>
          <w:szCs w:val="28"/>
          <w:highlight w:val="none"/>
        </w:rPr>
        <w:t xml:space="preserve">（不含项目经理）</w:t>
      </w:r>
      <w:r>
        <w:rPr>
          <w:rFonts w:hint="eastAsia" w:ascii="方正仿宋_GBK" w:hAnsi="方正仿宋_GBK" w:eastAsia="方正仿宋_GBK" w:cs="方正仿宋_GBK"/>
          <w:b/>
          <w:color w:val="000000"/>
          <w:sz w:val="28"/>
          <w:szCs w:val="28"/>
          <w:highlight w:val="none"/>
        </w:rPr>
        <w:t xml:space="preserve">（7分）</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①具有大专及以上学历，每有1人得1.5分，最高3分。</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②具有3年及以上类似项目管理经验</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每有1人得2分，最高4分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3.3值班员（4分）</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具有1年及以上类似项目管理经验</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每有1人得1分，最高4分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3.4维修</w:t>
      </w:r>
      <w:r>
        <w:rPr>
          <w:rFonts w:hint="eastAsia" w:ascii="方正仿宋_GBK" w:hAnsi="方正仿宋_GBK" w:eastAsia="方正仿宋_GBK" w:cs="方正仿宋_GBK"/>
          <w:b/>
          <w:color w:val="000000"/>
          <w:sz w:val="28"/>
          <w:szCs w:val="28"/>
          <w:highlight w:val="none"/>
          <w:lang w:val="en-US" w:eastAsia="zh-CN"/>
        </w:rPr>
        <w:t xml:space="preserve">工</w:t>
      </w:r>
      <w:r>
        <w:rPr>
          <w:rFonts w:hint="eastAsia" w:ascii="方正仿宋_GBK" w:hAnsi="方正仿宋_GBK" w:eastAsia="方正仿宋_GBK" w:cs="方正仿宋_GBK"/>
          <w:b/>
          <w:color w:val="000000"/>
          <w:sz w:val="28"/>
          <w:szCs w:val="28"/>
          <w:highlight w:val="none"/>
        </w:rPr>
        <w:t xml:space="preserve">（6分）</w:t>
      </w:r>
      <w:r>
        <w:rPr>
          <w:rFonts w:hint="eastAsia" w:ascii="方正仿宋_GBK" w:hAnsi="方正仿宋_GBK" w:eastAsia="方正仿宋_GBK" w:cs="方正仿宋_GBK"/>
          <w:color w:val="000000"/>
          <w:sz w:val="28"/>
          <w:szCs w:val="28"/>
          <w:highlight w:val="none"/>
        </w:rPr>
      </w:r>
      <w:r/>
    </w:p>
    <w:p>
      <w:pPr>
        <w:pStyle w:val="950"/>
        <w:ind w:firstLine="48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①具有大专及以上学历得1分；</w:t>
      </w:r>
      <w:r>
        <w:rPr>
          <w:rFonts w:hint="eastAsia" w:ascii="方正仿宋_GBK" w:hAnsi="方正仿宋_GBK" w:eastAsia="方正仿宋_GBK" w:cs="方正仿宋_GBK"/>
          <w:color w:val="000000"/>
          <w:sz w:val="28"/>
          <w:szCs w:val="28"/>
          <w:highlight w:val="none"/>
        </w:rPr>
      </w:r>
      <w:r/>
    </w:p>
    <w:p>
      <w:pPr>
        <w:pStyle w:val="950"/>
        <w:ind w:firstLine="48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②具有机电工程或电气自动化或电子信息或工程类中级及以上职称得2分；</w:t>
      </w:r>
      <w:r>
        <w:rPr>
          <w:rFonts w:hint="eastAsia" w:ascii="方正仿宋_GBK" w:hAnsi="方正仿宋_GBK" w:eastAsia="方正仿宋_GBK" w:cs="方正仿宋_GBK"/>
          <w:color w:val="000000"/>
          <w:sz w:val="28"/>
          <w:szCs w:val="28"/>
          <w:highlight w:val="none"/>
        </w:rPr>
      </w:r>
      <w:r/>
    </w:p>
    <w:p>
      <w:pPr>
        <w:pStyle w:val="950"/>
        <w:ind w:firstLine="48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③具有特种作业操作证（高压或低压）电工作业证得2分；</w:t>
      </w:r>
      <w:r>
        <w:rPr>
          <w:rFonts w:hint="eastAsia" w:ascii="方正仿宋_GBK" w:hAnsi="方正仿宋_GBK" w:eastAsia="方正仿宋_GBK" w:cs="方正仿宋_GBK"/>
          <w:color w:val="000000"/>
          <w:sz w:val="28"/>
          <w:szCs w:val="28"/>
          <w:highlight w:val="none"/>
        </w:rPr>
      </w:r>
      <w:r/>
    </w:p>
    <w:p>
      <w:pPr>
        <w:pStyle w:val="950"/>
        <w:ind w:firstLine="480"/>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color w:val="000000"/>
          <w:sz w:val="28"/>
          <w:szCs w:val="28"/>
          <w:highlight w:val="none"/>
        </w:rPr>
        <w:t xml:space="preserve">④</w:t>
      </w:r>
      <w:r>
        <w:rPr>
          <w:rFonts w:ascii="方正仿宋_GBK" w:hAnsi="方正仿宋_GBK" w:eastAsia="方正仿宋_GBK" w:cs="方正仿宋_GBK"/>
          <w:color w:val="000000"/>
          <w:sz w:val="28"/>
          <w:szCs w:val="28"/>
          <w:highlight w:val="none"/>
        </w:rPr>
        <w:t xml:space="preserve">具有维修电工（电工）中级工（四级）及以上职业资格证书，计 1 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50"/>
        <w:ind w:firstLine="482"/>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1、投标人需提供上述人员证书复印件或扫描件并加盖投标人公章；2、管理经验需提供业主或业主单位管理部门出具的工作经历证明并加盖业主或业主单位管理部门公章；3、须提供投标人为其缴纳的近3个月中任意一个月的社保证明及满足评分要求的相关证明材料。</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四、</w:t>
      </w:r>
      <w:r>
        <w:rPr>
          <w:rFonts w:hint="eastAsia" w:ascii="方正仿宋_GBK" w:hAnsi="方正仿宋_GBK" w:eastAsia="方正仿宋_GBK" w:cs="方正仿宋_GBK"/>
          <w:b/>
          <w:bCs/>
          <w:color w:val="000000"/>
          <w:sz w:val="28"/>
          <w:szCs w:val="28"/>
          <w:highlight w:val="none"/>
          <w:lang w:val="en-US" w:eastAsia="zh-CN"/>
        </w:rPr>
        <w:t xml:space="preserve">业绩案例及评价（10分）</w:t>
      </w:r>
      <w:r>
        <w:rPr>
          <w:rFonts w:hint="eastAsia" w:ascii="方正仿宋_GBK" w:hAnsi="方正仿宋_GBK" w:eastAsia="方正仿宋_GBK" w:cs="方正仿宋_GBK"/>
          <w:b/>
          <w:bCs/>
          <w:color w:val="000000"/>
          <w:sz w:val="28"/>
          <w:szCs w:val="28"/>
          <w:highlight w:val="none"/>
        </w:rPr>
      </w:r>
      <w:r/>
    </w:p>
    <w:p>
      <w:pPr>
        <w:pStyle w:val="950"/>
        <w:ind w:firstLine="480"/>
        <w:spacing w:line="460" w:lineRule="exact"/>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rPr>
        <w:t xml:space="preserve">4.1</w:t>
      </w:r>
      <w:r>
        <w:rPr>
          <w:rFonts w:hint="eastAsia" w:ascii="方正仿宋_GBK" w:hAnsi="方正仿宋_GBK" w:eastAsia="方正仿宋_GBK" w:cs="方正仿宋_GBK"/>
          <w:b/>
          <w:bCs/>
          <w:color w:val="000000"/>
          <w:sz w:val="28"/>
          <w:szCs w:val="28"/>
          <w:highlight w:val="none"/>
          <w:lang w:val="en-US" w:eastAsia="zh-CN"/>
        </w:rPr>
        <w:t xml:space="preserve">业绩</w:t>
      </w:r>
      <w:r>
        <w:rPr>
          <w:rFonts w:hint="eastAsia" w:ascii="方正仿宋_GBK" w:hAnsi="方正仿宋_GBK" w:eastAsia="方正仿宋_GBK" w:cs="方正仿宋_GBK"/>
          <w:b/>
          <w:bCs/>
          <w:color w:val="000000"/>
          <w:sz w:val="28"/>
          <w:szCs w:val="28"/>
          <w:highlight w:val="none"/>
        </w:rPr>
        <w:t xml:space="preserve">（7.5分）</w:t>
      </w:r>
      <w:r>
        <w:rPr>
          <w:rFonts w:hint="eastAsia" w:ascii="方正仿宋_GBK" w:hAnsi="方正仿宋_GBK" w:eastAsia="方正仿宋_GBK" w:cs="方正仿宋_GBK"/>
          <w:b/>
          <w:bCs/>
          <w:color w:val="000000"/>
          <w:sz w:val="28"/>
          <w:szCs w:val="28"/>
          <w:highlight w:val="none"/>
          <w:lang w:val="en-US" w:eastAsia="zh-CN"/>
        </w:rPr>
      </w:r>
      <w:r/>
    </w:p>
    <w:p>
      <w:pPr>
        <w:pStyle w:val="950"/>
        <w:ind w:firstLine="48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投标单位提供自2023年1月1日以来（以合同签订时间为准）管理的不同单位的非住宅类物业项目（以合同内容为准）案例</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案例</w:t>
      </w:r>
      <w:r>
        <w:rPr>
          <w:rFonts w:hint="eastAsia" w:ascii="方正仿宋_GBK" w:hAnsi="方正仿宋_GBK" w:eastAsia="方正仿宋_GBK" w:cs="方正仿宋_GBK"/>
          <w:color w:val="000000"/>
          <w:sz w:val="28"/>
          <w:szCs w:val="28"/>
          <w:highlight w:val="none"/>
        </w:rPr>
        <w:t xml:space="preserve">服务内容</w:t>
      </w:r>
      <w:r>
        <w:rPr>
          <w:rFonts w:hint="eastAsia" w:ascii="方正仿宋_GBK" w:hAnsi="方正仿宋_GBK" w:eastAsia="方正仿宋_GBK" w:cs="方正仿宋_GBK"/>
          <w:color w:val="000000"/>
          <w:sz w:val="28"/>
          <w:szCs w:val="28"/>
          <w:highlight w:val="none"/>
          <w:lang w:val="en-US" w:eastAsia="zh-CN"/>
        </w:rPr>
        <w:t xml:space="preserve">须</w:t>
      </w:r>
      <w:r>
        <w:rPr>
          <w:rFonts w:hint="eastAsia" w:ascii="方正仿宋_GBK" w:hAnsi="方正仿宋_GBK" w:eastAsia="方正仿宋_GBK" w:cs="方正仿宋_GBK"/>
          <w:color w:val="000000"/>
          <w:sz w:val="28"/>
          <w:szCs w:val="28"/>
          <w:highlight w:val="none"/>
        </w:rPr>
        <w:t xml:space="preserve">包含保洁、保安、维修、会务、楼宇值班中</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任意三项及以上</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每</w:t>
      </w:r>
      <w:r>
        <w:rPr>
          <w:rFonts w:hint="eastAsia" w:ascii="方正仿宋_GBK" w:hAnsi="方正仿宋_GBK" w:eastAsia="方正仿宋_GBK" w:cs="方正仿宋_GBK"/>
          <w:color w:val="000000"/>
          <w:sz w:val="28"/>
          <w:szCs w:val="28"/>
          <w:highlight w:val="none"/>
          <w:lang w:val="en-US" w:eastAsia="zh-CN"/>
        </w:rPr>
        <w:t xml:space="preserve">按要求</w:t>
      </w:r>
      <w:r>
        <w:rPr>
          <w:rFonts w:hint="eastAsia" w:ascii="方正仿宋_GBK" w:hAnsi="方正仿宋_GBK" w:eastAsia="方正仿宋_GBK" w:cs="方正仿宋_GBK"/>
          <w:color w:val="000000"/>
          <w:sz w:val="28"/>
          <w:szCs w:val="28"/>
          <w:highlight w:val="none"/>
        </w:rPr>
        <w:t xml:space="preserve">提供一个案例得1.5分，最高7.5分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0"/>
        <w:ind w:firstLine="48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投标文件中必须提供合同复印件（须体现合同首页、服务内容页、服务起止时间页、甲乙方签字盖章页等关键页）并加盖投标单位公章</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在同一家单位服务的不同物业合同只算一个案例。</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zh-CN"/>
        </w:rPr>
        <w:t xml:space="preserve">4</w:t>
      </w:r>
      <w:r>
        <w:rPr>
          <w:rFonts w:hint="eastAsia" w:ascii="方正仿宋_GBK" w:hAnsi="方正仿宋_GBK" w:eastAsia="方正仿宋_GBK" w:cs="方正仿宋_GBK"/>
          <w:b/>
          <w:color w:val="000000"/>
          <w:sz w:val="28"/>
          <w:szCs w:val="28"/>
          <w:highlight w:val="none"/>
          <w:lang w:val="en-US" w:eastAsia="zh-CN"/>
        </w:rPr>
        <w:t xml:space="preserve">.2</w:t>
      </w:r>
      <w:r>
        <w:rPr>
          <w:rFonts w:hint="eastAsia" w:ascii="方正仿宋_GBK" w:hAnsi="方正仿宋_GBK" w:eastAsia="方正仿宋_GBK" w:cs="方正仿宋_GBK"/>
          <w:b/>
          <w:color w:val="000000"/>
          <w:sz w:val="28"/>
          <w:szCs w:val="28"/>
          <w:highlight w:val="none"/>
        </w:rPr>
        <w:t xml:space="preserve">服务评价（2.5分）</w:t>
      </w:r>
      <w:r>
        <w:rPr>
          <w:rFonts w:hint="eastAsia" w:ascii="方正仿宋_GBK" w:hAnsi="方正仿宋_GBK" w:eastAsia="方正仿宋_GBK" w:cs="方正仿宋_GBK"/>
          <w:b/>
          <w:color w:val="000000"/>
          <w:sz w:val="28"/>
          <w:szCs w:val="28"/>
          <w:highlight w:val="none"/>
        </w:rPr>
      </w:r>
      <w:r/>
    </w:p>
    <w:p>
      <w:pPr>
        <w:pStyle w:val="950"/>
        <w:ind w:firstLine="48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满足以上4.1要求的业绩中，业主单位评价为优秀或满意的，每有一个得0.5分，最高2.5分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0"/>
        <w:ind w:firstLine="48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t xml:space="preserve">提供业主或业主单位管理部门盖章的评价为优或优秀或满意的证明材料，同一服务单位只认一份，不重复得分。</w:t>
      </w:r>
      <w:r>
        <w:rPr>
          <w:rFonts w:hint="eastAsia" w:ascii="方正仿宋_GBK" w:hAnsi="方正仿宋_GBK" w:eastAsia="方正仿宋_GBK" w:cs="方正仿宋_GBK"/>
          <w:color w:val="000000"/>
          <w:sz w:val="28"/>
          <w:szCs w:val="28"/>
          <w:highlight w:val="none"/>
        </w:rPr>
      </w:r>
      <w:r/>
    </w:p>
    <w:p>
      <w:pPr>
        <w:pStyle w:val="950"/>
        <w:ind w:firstLine="482"/>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zh-CN"/>
        </w:rPr>
        <w:t xml:space="preserve">五</w:t>
      </w:r>
      <w:r>
        <w:rPr>
          <w:rFonts w:hint="eastAsia" w:ascii="方正仿宋_GBK" w:hAnsi="方正仿宋_GBK" w:eastAsia="方正仿宋_GBK" w:cs="方正仿宋_GBK"/>
          <w:b/>
          <w:color w:val="000000"/>
          <w:sz w:val="28"/>
          <w:szCs w:val="28"/>
          <w:highlight w:val="none"/>
        </w:rPr>
        <w:t xml:space="preserve">、企业资信评价（3分）</w:t>
      </w:r>
      <w:r>
        <w:rPr>
          <w:rFonts w:hint="eastAsia" w:ascii="方正仿宋_GBK" w:hAnsi="方正仿宋_GBK" w:eastAsia="方正仿宋_GBK" w:cs="方正仿宋_GBK"/>
          <w:b/>
          <w:color w:val="000000"/>
          <w:sz w:val="28"/>
          <w:szCs w:val="28"/>
          <w:highlight w:val="none"/>
        </w:rPr>
      </w:r>
      <w:r/>
    </w:p>
    <w:p>
      <w:pPr>
        <w:pStyle w:val="950"/>
        <w:ind w:firstLine="48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.1具有有效认证期内的ISO9001质量管理体系证书、ISO14001环境管理体系证书、ISO45001职业健康安全管理体系证书，每提供一份得1分，没有不得分，最高3分。</w:t>
      </w:r>
      <w:r>
        <w:rPr>
          <w:rFonts w:hint="eastAsia" w:ascii="方正仿宋_GBK" w:hAnsi="方正仿宋_GBK" w:eastAsia="方正仿宋_GBK" w:cs="方正仿宋_GBK"/>
          <w:color w:val="000000"/>
          <w:sz w:val="28"/>
          <w:szCs w:val="28"/>
          <w:highlight w:val="none"/>
        </w:rPr>
      </w:r>
      <w:r/>
    </w:p>
    <w:p>
      <w:pPr>
        <w:pStyle w:val="950"/>
        <w:ind w:firstLine="48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t xml:space="preserve">提供有效期内的认证证书复印件</w:t>
      </w:r>
      <w:r>
        <w:rPr>
          <w:rFonts w:hint="eastAsia" w:ascii="方正仿宋_GBK" w:hAnsi="方正仿宋_GBK" w:eastAsia="方正仿宋_GBK" w:cs="方正仿宋_GBK"/>
          <w:sz w:val="28"/>
          <w:szCs w:val="28"/>
          <w:highlight w:val="none"/>
        </w:rPr>
        <w:t xml:space="preserve">或扫描件</w:t>
      </w:r>
      <w:r>
        <w:rPr>
          <w:rFonts w:hint="eastAsia" w:ascii="方正仿宋_GBK" w:hAnsi="方正仿宋_GBK" w:eastAsia="方正仿宋_GBK" w:cs="方正仿宋_GBK"/>
          <w:sz w:val="28"/>
          <w:szCs w:val="28"/>
          <w:highlight w:val="none"/>
        </w:rPr>
        <w:t xml:space="preserve">并加盖单位公章）</w:t>
      </w:r>
      <w:r>
        <w:rPr>
          <w:rFonts w:hint="eastAsia" w:ascii="方正仿宋_GBK" w:hAnsi="方正仿宋_GBK" w:eastAsia="方正仿宋_GBK" w:cs="方正仿宋_GBK"/>
          <w:b/>
          <w:color w:val="000000"/>
          <w:sz w:val="28"/>
          <w:szCs w:val="28"/>
          <w:highlight w:val="none"/>
        </w:rPr>
      </w:r>
      <w:r/>
    </w:p>
    <w:p>
      <w:pPr>
        <w:pStyle w:val="950"/>
        <w:rPr>
          <w:rFonts w:hint="eastAsia"/>
          <w:highlight w:val="none"/>
        </w:rPr>
      </w:pPr>
      <w:r>
        <w:rPr>
          <w:rFonts w:hint="eastAsia"/>
          <w:highlight w:val="none"/>
        </w:rPr>
      </w:r>
      <w:r/>
    </w:p>
    <w:p>
      <w:pPr>
        <w:pStyle w:val="951"/>
        <w:rPr>
          <w:rFonts w:ascii="黑体" w:eastAsia="黑体"/>
          <w:bCs/>
          <w:sz w:val="44"/>
          <w:highlight w:val="none"/>
        </w:rPr>
      </w:pPr>
      <w:r>
        <w:rPr>
          <w:rFonts w:ascii="黑体" w:eastAsia="黑体"/>
          <w:bCs/>
          <w:sz w:val="44"/>
          <w:highlight w:val="none"/>
        </w:rPr>
      </w:r>
      <w:r/>
    </w:p>
    <w:p>
      <w:pPr>
        <w:pStyle w:val="950"/>
        <w:rPr>
          <w:rFonts w:ascii="黑体" w:eastAsia="黑体"/>
          <w:bCs/>
          <w:sz w:val="44"/>
          <w:highlight w:val="none"/>
        </w:rPr>
      </w:pPr>
      <w:r>
        <w:rPr>
          <w:rFonts w:ascii="黑体" w:eastAsia="黑体"/>
          <w:bCs/>
          <w:sz w:val="44"/>
          <w:highlight w:val="none"/>
        </w:rPr>
      </w:r>
      <w:r/>
    </w:p>
    <w:p>
      <w:pPr>
        <w:pStyle w:val="950"/>
        <w:rPr>
          <w:rFonts w:ascii="黑体" w:eastAsia="黑体"/>
          <w:bCs/>
          <w:sz w:val="44"/>
          <w:highlight w:val="none"/>
        </w:rPr>
      </w:pPr>
      <w:r>
        <w:rPr>
          <w:rFonts w:ascii="黑体" w:eastAsia="黑体"/>
          <w:bCs/>
          <w:sz w:val="44"/>
          <w:highlight w:val="none"/>
        </w:rPr>
      </w:r>
      <w:r/>
    </w:p>
    <w:p>
      <w:pPr>
        <w:shd w:val="nil" w:color="auto"/>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br w:type="page" w:clear="all"/>
      </w:r>
      <w:r>
        <w:rPr>
          <w:rFonts w:hint="eastAsia" w:ascii="方正黑体_GBK" w:hAnsi="方正黑体_GBK" w:eastAsia="方正黑体_GBK" w:cs="方正黑体_GBK"/>
          <w:color w:val="000000"/>
          <w:sz w:val="28"/>
          <w:szCs w:val="28"/>
          <w:highlight w:val="none"/>
        </w:rPr>
      </w:r>
      <w:r/>
    </w:p>
    <w:p>
      <w:pPr>
        <w:pStyle w:val="950"/>
        <w:ind w:right="839"/>
        <w:jc w:val="center"/>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第六章  投标</w:t>
      </w:r>
      <w:bookmarkEnd w:id="60"/>
      <w:r/>
      <w:bookmarkEnd w:id="61"/>
      <w:r/>
      <w:bookmarkEnd w:id="62"/>
      <w:r>
        <w:rPr>
          <w:rFonts w:hint="eastAsia" w:ascii="方正黑体_GBK" w:hAnsi="方正黑体_GBK" w:eastAsia="方正黑体_GBK" w:cs="方正黑体_GBK"/>
          <w:color w:val="000000"/>
          <w:sz w:val="28"/>
          <w:szCs w:val="28"/>
          <w:highlight w:val="none"/>
        </w:rPr>
        <w:t xml:space="preserve">文件格式 </w:t>
      </w:r>
      <w:r>
        <w:rPr>
          <w:rFonts w:hint="eastAsia" w:ascii="方正黑体_GBK" w:hAnsi="方正黑体_GBK" w:eastAsia="方正黑体_GBK" w:cs="方正黑体_GBK"/>
          <w:color w:val="000000"/>
          <w:sz w:val="28"/>
          <w:szCs w:val="28"/>
          <w:highlight w:val="none"/>
        </w:rPr>
      </w:r>
      <w:r/>
    </w:p>
    <w:p>
      <w:pPr>
        <w:pStyle w:val="950"/>
        <w:jc w:val="center"/>
        <w:rPr>
          <w:rFonts w:hint="eastAsia" w:ascii="宋体" w:hAnsi="宋体"/>
          <w:b/>
          <w:sz w:val="28"/>
          <w:szCs w:val="28"/>
          <w:highlight w:val="none"/>
        </w:rPr>
      </w:pPr>
      <w:r/>
      <w:bookmarkStart w:id="63" w:name="_Hlt26671244"/>
      <w:r/>
      <w:bookmarkEnd w:id="63"/>
      <w:r/>
      <w:bookmarkStart w:id="64" w:name="_Hlt26955039"/>
      <w:r/>
      <w:bookmarkEnd w:id="64"/>
      <w:r/>
      <w:bookmarkStart w:id="65" w:name="_Toc120614282"/>
      <w:r/>
      <w:bookmarkStart w:id="66" w:name="_Toc26554094"/>
      <w:r/>
      <w:bookmarkStart w:id="67" w:name="_Toc49090576"/>
      <w:r>
        <w:rPr>
          <w:rFonts w:hint="eastAsia" w:ascii="宋体" w:hAnsi="宋体"/>
          <w:b/>
          <w:sz w:val="28"/>
          <w:szCs w:val="28"/>
          <w:highlight w:val="none"/>
        </w:rPr>
      </w:r>
      <w:r/>
    </w:p>
    <w:p>
      <w:pPr>
        <w:pStyle w:val="950"/>
        <w:jc w:val="center"/>
        <w:rPr>
          <w:rFonts w:hint="eastAsia"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r>
      <w:r/>
    </w:p>
    <w:p>
      <w:pPr>
        <w:pStyle w:val="950"/>
        <w:jc w:val="center"/>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投  标  文  件</w:t>
      </w:r>
      <w:r>
        <w:rPr>
          <w:rFonts w:hint="eastAsia" w:ascii="方正小标宋_GBK" w:hAnsi="方正小标宋_GBK" w:eastAsia="方正小标宋_GBK" w:cs="方正小标宋_GBK"/>
          <w:bCs/>
          <w:sz w:val="32"/>
          <w:szCs w:val="32"/>
          <w:highlight w:val="none"/>
        </w:rPr>
      </w:r>
      <w:r/>
    </w:p>
    <w:p>
      <w:pPr>
        <w:pStyle w:val="950"/>
        <w:jc w:val="center"/>
        <w:rPr>
          <w:rFonts w:hint="eastAsia" w:ascii="宋体" w:hAnsi="宋体"/>
          <w:b/>
          <w:sz w:val="28"/>
          <w:szCs w:val="28"/>
          <w:highlight w:val="none"/>
        </w:rPr>
      </w:pPr>
      <w:r>
        <w:rPr>
          <w:rFonts w:hint="eastAsia" w:ascii="宋体" w:hAnsi="宋体"/>
          <w:b/>
          <w:sz w:val="28"/>
          <w:szCs w:val="28"/>
          <w:highlight w:val="none"/>
        </w:rPr>
      </w:r>
      <w:r/>
    </w:p>
    <w:p>
      <w:pPr>
        <w:pStyle w:val="950"/>
        <w:jc w:val="center"/>
        <w:rPr>
          <w:rFonts w:hint="eastAsia" w:ascii="宋体" w:hAnsi="宋体"/>
          <w:b/>
          <w:sz w:val="28"/>
          <w:szCs w:val="28"/>
          <w:highlight w:val="none"/>
        </w:rPr>
      </w:pPr>
      <w:r>
        <w:rPr>
          <w:rFonts w:hint="eastAsia" w:ascii="宋体" w:hAnsi="宋体"/>
          <w:b/>
          <w:sz w:val="28"/>
          <w:szCs w:val="28"/>
          <w:highlight w:val="none"/>
        </w:rPr>
      </w:r>
      <w:r/>
    </w:p>
    <w:p>
      <w:pPr>
        <w:pStyle w:val="950"/>
        <w:jc w:val="center"/>
        <w:rPr>
          <w:rFonts w:hint="eastAsia" w:ascii="宋体" w:hAnsi="宋体"/>
          <w:b/>
          <w:sz w:val="28"/>
          <w:szCs w:val="28"/>
          <w:highlight w:val="none"/>
        </w:rPr>
      </w:pPr>
      <w:r>
        <w:rPr>
          <w:rFonts w:hint="eastAsia" w:ascii="宋体" w:hAnsi="宋体"/>
          <w:b/>
          <w:sz w:val="28"/>
          <w:szCs w:val="28"/>
          <w:highlight w:val="none"/>
        </w:rPr>
      </w:r>
      <w:r/>
    </w:p>
    <w:p>
      <w:pPr>
        <w:pStyle w:val="950"/>
        <w:jc w:val="center"/>
        <w:rPr>
          <w:rFonts w:hint="eastAsia" w:ascii="宋体" w:hAnsi="宋体"/>
          <w:b/>
          <w:sz w:val="28"/>
          <w:szCs w:val="28"/>
          <w:highlight w:val="none"/>
        </w:rPr>
      </w:pPr>
      <w:r>
        <w:rPr>
          <w:rFonts w:hint="eastAsia" w:ascii="宋体" w:hAnsi="宋体"/>
          <w:b/>
          <w:sz w:val="28"/>
          <w:szCs w:val="28"/>
          <w:highlight w:val="none"/>
        </w:rPr>
      </w:r>
      <w:r/>
    </w:p>
    <w:p>
      <w:pPr>
        <w:pStyle w:val="950"/>
        <w:jc w:val="center"/>
        <w:rPr>
          <w:rFonts w:hint="eastAsia" w:ascii="宋体" w:hAnsi="宋体"/>
          <w:b/>
          <w:sz w:val="28"/>
          <w:szCs w:val="28"/>
          <w:highlight w:val="none"/>
        </w:rPr>
      </w:pPr>
      <w:r>
        <w:rPr>
          <w:rFonts w:hint="eastAsia" w:ascii="宋体" w:hAnsi="宋体"/>
          <w:b/>
          <w:sz w:val="28"/>
          <w:szCs w:val="28"/>
          <w:highlight w:val="none"/>
        </w:rPr>
      </w:r>
      <w:r/>
    </w:p>
    <w:p>
      <w:pPr>
        <w:pStyle w:val="950"/>
        <w:ind w:firstLine="84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项 目 名 称：</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rPr>
      </w:r>
      <w:r/>
    </w:p>
    <w:p>
      <w:pPr>
        <w:pStyle w:val="950"/>
        <w:ind w:firstLine="840"/>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采 购 编 号：</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u w:val="single"/>
        </w:rPr>
      </w:r>
      <w:r/>
    </w:p>
    <w:p>
      <w:pPr>
        <w:pStyle w:val="950"/>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投标人名称 ：</w:t>
      </w:r>
      <w:r>
        <w:rPr>
          <w:rFonts w:hint="eastAsia" w:ascii="方正黑体_GBK" w:hAnsi="方正黑体_GBK" w:eastAsia="方正黑体_GBK" w:cs="方正黑体_GBK"/>
          <w:bCs/>
          <w:sz w:val="28"/>
          <w:szCs w:val="28"/>
          <w:highlight w:val="none"/>
          <w:u w:val="single"/>
        </w:rPr>
        <w:t xml:space="preserve">（加盖CA电子公章）</w:t>
      </w:r>
      <w:r>
        <w:rPr>
          <w:rFonts w:hint="eastAsia" w:ascii="方正黑体_GBK" w:hAnsi="方正黑体_GBK" w:eastAsia="方正黑体_GBK" w:cs="方正黑体_GBK"/>
          <w:bCs/>
          <w:sz w:val="28"/>
          <w:szCs w:val="28"/>
          <w:highlight w:val="none"/>
          <w:u w:val="single"/>
        </w:rPr>
      </w:r>
      <w:r/>
    </w:p>
    <w:p>
      <w:pPr>
        <w:pStyle w:val="950"/>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日      期 ：</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u w:val="single"/>
        </w:rPr>
      </w:r>
      <w:r/>
    </w:p>
    <w:p>
      <w:pPr>
        <w:pStyle w:val="950"/>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50"/>
        <w:spacing w:line="440" w:lineRule="exact"/>
        <w:rPr>
          <w:rFonts w:ascii="宋体" w:hAnsi="宋体"/>
          <w:highlight w:val="none"/>
        </w:rPr>
      </w:pPr>
      <w:r>
        <w:rPr>
          <w:rFonts w:ascii="宋体" w:hAnsi="宋体"/>
          <w:highlight w:val="none"/>
        </w:rPr>
      </w:r>
      <w:r/>
    </w:p>
    <w:p>
      <w:pPr>
        <w:pStyle w:val="950"/>
        <w:ind w:firstLine="1084"/>
        <w:rPr>
          <w:rFonts w:ascii="宋体" w:hAnsi="宋体"/>
          <w:b/>
          <w:bCs/>
          <w:sz w:val="32"/>
          <w:szCs w:val="32"/>
          <w:highlight w:val="none"/>
        </w:rPr>
      </w:pPr>
      <w:r>
        <w:rPr>
          <w:rFonts w:ascii="宋体" w:hAnsi="宋体"/>
          <w:b/>
          <w:sz w:val="36"/>
          <w:highlight w:val="none"/>
          <w:u w:val="single"/>
        </w:rPr>
        <w:br w:type="page" w:clear="all"/>
      </w:r>
      <w:r>
        <w:rPr>
          <w:rFonts w:ascii="宋体" w:hAnsi="宋体"/>
          <w:b/>
          <w:bCs/>
          <w:sz w:val="32"/>
          <w:szCs w:val="32"/>
          <w:highlight w:val="none"/>
        </w:rPr>
      </w:r>
      <w:r/>
    </w:p>
    <w:p>
      <w:pPr>
        <w:pStyle w:val="950"/>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rPr>
          <w:rFonts w:hint="eastAsia" w:ascii="方正黑体_GBK" w:hAnsi="方正黑体_GBK" w:eastAsia="方正黑体_GBK" w:cs="方正黑体_GBK"/>
          <w:sz w:val="28"/>
          <w:szCs w:val="28"/>
          <w:highlight w:val="none"/>
        </w:rPr>
      </w:r>
      <w:r/>
    </w:p>
    <w:p>
      <w:pPr>
        <w:pStyle w:val="950"/>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950"/>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rPr>
          <w:rFonts w:hint="eastAsia" w:ascii="方正黑体_GBK" w:hAnsi="方正黑体_GBK" w:eastAsia="方正黑体_GBK" w:cs="方正黑体_GBK"/>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0"/>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rPr>
          <w:rFonts w:hint="eastAsia" w:ascii="方正黑体_GBK" w:hAnsi="方正黑体_GBK" w:eastAsia="方正黑体_GBK" w:cs="方正黑体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2.上一年度的财务状况报告（投标人成立不满一年无需提供）</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8.法人授权书（格式见附件7）</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9.投标函（格式见附件8）</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总备注：上述“资格审查内容”中1-6条、8、9条投标人必须在投标文件中提供相关材料，否则作无效投标处理。</w:t>
      </w:r>
      <w:r>
        <w:rPr>
          <w:rFonts w:hint="eastAsia" w:ascii="方正仿宋_GBK" w:hAnsi="方正仿宋_GBK" w:eastAsia="方正仿宋_GBK" w:cs="方正仿宋_GBK"/>
          <w:sz w:val="28"/>
          <w:szCs w:val="28"/>
          <w:highlight w:val="none"/>
        </w:rPr>
      </w:r>
      <w:r/>
    </w:p>
    <w:p>
      <w:pPr>
        <w:pStyle w:val="950"/>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rPr>
          <w:rFonts w:hint="eastAsia" w:ascii="方正黑体_GBK" w:hAnsi="方正黑体_GBK" w:eastAsia="方正黑体_GBK" w:cs="方正黑体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highlight w:val="none"/>
        </w:rPr>
      </w:r>
      <w:r/>
    </w:p>
    <w:p>
      <w:pPr>
        <w:pStyle w:val="950"/>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rPr>
          <w:rFonts w:hint="eastAsia" w:ascii="方正黑体_GBK" w:hAnsi="方正黑体_GBK" w:eastAsia="方正黑体_GBK" w:cs="方正黑体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3.关于符合本国产品标准的声明函（格式见附件13）</w:t>
      </w:r>
      <w:r>
        <w:rPr>
          <w:rFonts w:hint="eastAsia" w:ascii="方正仿宋_GBK" w:hAnsi="方正仿宋_GBK" w:eastAsia="方正仿宋_GBK" w:cs="方正仿宋_GBK"/>
          <w:sz w:val="28"/>
          <w:szCs w:val="28"/>
          <w:highlight w:val="none"/>
        </w:rPr>
      </w:r>
      <w:r/>
    </w:p>
    <w:p>
      <w:pPr>
        <w:pStyle w:val="1027"/>
        <w:ind w:firstLine="560"/>
        <w:tabs>
          <w:tab w:val="right" w:pos="8720" w:leader="dot"/>
        </w:tabs>
        <w:rPr>
          <w:highlight w:val="none"/>
        </w:rPr>
      </w:pPr>
      <w:r>
        <w:rPr>
          <w:rFonts w:hint="eastAsia" w:ascii="方正仿宋_GBK" w:hAnsi="方正仿宋_GBK" w:eastAsia="方正仿宋_GBK" w:cs="方正仿宋_GBK"/>
          <w:sz w:val="28"/>
          <w:szCs w:val="28"/>
          <w:highlight w:val="none"/>
        </w:rPr>
        <w:t xml:space="preserve">4.提供服务的人员均为订立劳动合同的从业人员的书面声明（格式见附件14）</w:t>
      </w:r>
      <w:r>
        <w:rPr>
          <w:highlight w:val="none"/>
        </w:rPr>
      </w:r>
      <w:r/>
    </w:p>
    <w:p>
      <w:pPr>
        <w:pStyle w:val="950"/>
        <w:spacing w:line="400" w:lineRule="exact"/>
        <w:rPr>
          <w:rFonts w:ascii="宋体" w:hAnsi="宋体"/>
          <w:sz w:val="28"/>
          <w:szCs w:val="28"/>
          <w:highlight w:val="none"/>
        </w:rPr>
      </w:pPr>
      <w:r>
        <w:rPr>
          <w:rFonts w:ascii="宋体" w:hAnsi="宋体"/>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50"/>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rPr>
          <w:rFonts w:hint="eastAsia" w:ascii="方正黑体_GBK" w:hAnsi="方正黑体_GBK" w:eastAsia="方正黑体_GBK" w:cs="方正黑体_GBK"/>
          <w:sz w:val="28"/>
          <w:szCs w:val="28"/>
          <w:highlight w:val="none"/>
        </w:rPr>
      </w:r>
      <w:r/>
    </w:p>
    <w:p>
      <w:pPr>
        <w:pStyle w:val="950"/>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rFonts w:hint="eastAsia" w:ascii="方正仿宋_GBK" w:hAnsi="方正仿宋_GBK" w:eastAsia="方正仿宋_GBK" w:cs="方正仿宋_GBK"/>
          <w:sz w:val="28"/>
          <w:szCs w:val="28"/>
          <w:highlight w:val="none"/>
        </w:rPr>
      </w:r>
      <w:r/>
    </w:p>
    <w:p>
      <w:pPr>
        <w:pStyle w:val="950"/>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color w:val="000000"/>
          <w:sz w:val="28"/>
          <w:szCs w:val="28"/>
          <w:highlight w:val="none"/>
        </w:rPr>
        <w:t xml:space="preserve">XXXX</w:t>
      </w:r>
      <w:r>
        <w:rPr>
          <w:rFonts w:ascii="方正仿宋_GBK" w:hAnsi="方正仿宋_GBK" w:eastAsia="方正仿宋_GBK" w:cs="方正仿宋_GBK"/>
          <w:sz w:val="28"/>
          <w:szCs w:val="28"/>
          <w:highlight w:val="none"/>
        </w:rPr>
      </w:r>
      <w:r/>
    </w:p>
    <w:p>
      <w:pPr>
        <w:pStyle w:val="950"/>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0"/>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rFonts w:ascii="方正仿宋_GBK" w:hAnsi="方正仿宋_GBK" w:eastAsia="方正仿宋_GBK" w:cs="方正仿宋_GBK"/>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rPr>
                <w:rFonts w:hint="eastAsia" w:ascii="方正仿宋_GBK" w:hAnsi="方正仿宋_GBK" w:eastAsia="方正仿宋_GBK" w:cs="方正仿宋_GBK"/>
                <w:sz w:val="28"/>
                <w:szCs w:val="28"/>
                <w:highlight w:val="none"/>
              </w:rPr>
            </w:r>
            <w:r/>
          </w:p>
        </w:tc>
      </w:tr>
      <w:tr>
        <w:trPr>
          <w:cantSplit/>
          <w:trHeight w:val="612"/>
        </w:trPr>
        <w:tc>
          <w:tcPr>
            <w:tcW w:w="8934" w:type="dxa"/>
            <w:vAlign w:val="center"/>
            <w:textDirection w:val="lrTb"/>
            <w:noWrap w:val="false"/>
          </w:tcPr>
          <w:p>
            <w:pPr>
              <w:pStyle w:val="1038"/>
              <w:ind w:firstLine="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rFonts w:hint="eastAsia" w:ascii="方正仿宋_GBK" w:hAnsi="方正仿宋_GBK" w:eastAsia="方正仿宋_GBK" w:cs="方正仿宋_GBK"/>
                <w:sz w:val="28"/>
                <w:szCs w:val="28"/>
                <w:highlight w:val="none"/>
              </w:rPr>
            </w:r>
            <w:r/>
          </w:p>
        </w:tc>
      </w:tr>
    </w:tbl>
    <w:p>
      <w:pPr>
        <w:pStyle w:val="950"/>
        <w:ind w:firstLine="480"/>
        <w:spacing w:line="400" w:lineRule="exact"/>
        <w:rPr>
          <w:rFonts w:hint="eastAsia" w:ascii="宋体" w:hAnsi="宋体"/>
          <w:sz w:val="28"/>
          <w:szCs w:val="28"/>
          <w:highlight w:val="none"/>
        </w:rPr>
      </w:pPr>
      <w:r>
        <w:rPr>
          <w:rFonts w:hint="eastAsia" w:ascii="宋体" w:hAnsi="宋体"/>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附件2 投标分项报价表（采购包号：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04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rPr>
            </w:r>
            <w:r/>
          </w:p>
        </w:tc>
      </w:tr>
      <w:tr>
        <w:trPr>
          <w:cantSplit/>
          <w:trHeight w:val="294"/>
        </w:trPr>
        <w:tc>
          <w:tcPr>
            <w:tcW w:w="7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分项服务名称/货物名称</w:t>
            </w: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rPr>
                <w:rFonts w:hint="eastAsia" w:ascii="方正仿宋_GBK" w:hAnsi="方正仿宋_GBK" w:eastAsia="方正仿宋_GBK" w:cs="方正仿宋_GBK"/>
                <w:sz w:val="28"/>
                <w:szCs w:val="28"/>
                <w:highlight w:val="none"/>
              </w:rPr>
            </w:r>
            <w:r/>
          </w:p>
        </w:tc>
        <w:tc>
          <w:tcPr>
            <w:tcW w:w="104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交付期/服务期</w:t>
            </w: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rPr>
                <w:rFonts w:hint="eastAsia" w:ascii="方正仿宋_GBK" w:hAnsi="方正仿宋_GBK" w:eastAsia="方正仿宋_GBK" w:cs="方正仿宋_GBK"/>
                <w:sz w:val="28"/>
                <w:szCs w:val="28"/>
                <w:highlight w:val="none"/>
              </w:rPr>
            </w:r>
            <w:r/>
          </w:p>
        </w:tc>
      </w:tr>
      <w:tr>
        <w:trPr>
          <w:cantSplit/>
          <w:trHeight w:val="696"/>
        </w:trPr>
        <w:tc>
          <w:tcPr>
            <w:tcW w:w="7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u w:val="single"/>
              </w:rPr>
            </w:r>
            <w:r/>
          </w:p>
        </w:tc>
        <w:tc>
          <w:tcPr>
            <w:tcW w:w="8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724"/>
        </w:trPr>
        <w:tc>
          <w:tcPr>
            <w:tcW w:w="7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7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580"/>
        </w:trPr>
        <w:tc>
          <w:tcPr>
            <w:tcW w:w="7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434"/>
        </w:trPr>
        <w:tc>
          <w:tcPr>
            <w:gridSpan w:val="10"/>
            <w:tcW w:w="9861" w:type="dxa"/>
            <w:vAlign w:val="top"/>
            <w:textDirection w:val="lrTb"/>
            <w:noWrap w:val="false"/>
          </w:tcPr>
          <w:p>
            <w:pPr>
              <w:pStyle w:val="95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tc>
      </w:tr>
      <w:tr>
        <w:trPr>
          <w:cantSplit/>
          <w:trHeight w:val="757"/>
        </w:trPr>
        <w:tc>
          <w:tcPr>
            <w:gridSpan w:val="10"/>
            <w:tcW w:w="9861" w:type="dxa"/>
            <w:vAlign w:val="top"/>
            <w:textDirection w:val="lrTb"/>
            <w:noWrap w:val="false"/>
          </w:tcPr>
          <w:p>
            <w:pPr>
              <w:pStyle w:val="1012"/>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50"/>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0"/>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highlight w:val="none"/>
        </w:rPr>
      </w:r>
      <w:r/>
    </w:p>
    <w:p>
      <w:pPr>
        <w:pStyle w:val="950"/>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sz w:val="28"/>
          <w:szCs w:val="28"/>
          <w:highlight w:val="none"/>
        </w:rPr>
      </w:r>
      <w:r/>
    </w:p>
    <w:p>
      <w:pPr>
        <w:pStyle w:val="950"/>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3.分项服务不需填写品牌、规格型号、制造商、产地。</w:t>
      </w:r>
      <w:r>
        <w:rPr>
          <w:rFonts w:hint="eastAsia" w:ascii="方正仿宋_GBK" w:hAnsi="方正仿宋_GBK" w:eastAsia="方正仿宋_GBK" w:cs="方正仿宋_GBK"/>
          <w:sz w:val="28"/>
          <w:szCs w:val="28"/>
          <w:highlight w:val="none"/>
        </w:rPr>
      </w:r>
      <w:r/>
    </w:p>
    <w:p>
      <w:pPr>
        <w:pStyle w:val="950"/>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950"/>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5.项目经办人可以根据项目实际需要对表格结构进行调整。</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人员工资、社会保险和公积金三项费用报价表（采购包号：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trHeight w:val="369"/>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总价1</w:t>
            </w:r>
            <w:r>
              <w:rPr>
                <w:rFonts w:hint="eastAsia" w:ascii="方正仿宋_GBK" w:hAnsi="方正仿宋_GBK" w:eastAsia="方正仿宋_GBK" w:cs="方正仿宋_GBK"/>
                <w:b/>
                <w:bCs/>
                <w:sz w:val="28"/>
                <w:szCs w:val="28"/>
                <w:highlight w:val="none"/>
              </w:rPr>
            </w:r>
            <w:r/>
          </w:p>
        </w:tc>
        <w:tc>
          <w:tcPr>
            <w:tcW w:w="1663" w:type="dxa"/>
            <w:vAlign w:val="center"/>
            <w:vMerge w:val="restart"/>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rPr>
                <w:rFonts w:hint="eastAsia" w:ascii="方正仿宋_GBK" w:hAnsi="方正仿宋_GBK" w:eastAsia="方正仿宋_GBK" w:cs="方正仿宋_GBK"/>
                <w:b/>
                <w:bCs/>
                <w:sz w:val="28"/>
                <w:szCs w:val="28"/>
                <w:highlight w:val="none"/>
              </w:rPr>
            </w:r>
            <w:r/>
          </w:p>
        </w:tc>
      </w:tr>
      <w:tr>
        <w:trPr>
          <w:trHeight w:val="369"/>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人员工资</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rPr>
                <w:rFonts w:hint="eastAsia" w:ascii="方正仿宋_GBK" w:hAnsi="方正仿宋_GBK" w:eastAsia="方正仿宋_GBK" w:cs="方正仿宋_GBK"/>
                <w:b/>
                <w:bCs/>
                <w:sz w:val="28"/>
                <w:szCs w:val="28"/>
                <w:highlight w:val="none"/>
              </w:rPr>
            </w:r>
            <w:r/>
          </w:p>
        </w:tc>
        <w:tc>
          <w:tcPr>
            <w:tcW w:w="1663" w:type="dxa"/>
            <w:vAlign w:val="center"/>
            <w:vMerge w:val="continue"/>
            <w:textDirection w:val="lrTb"/>
            <w:noWrap w:val="false"/>
          </w:tcPr>
          <w:p>
            <w:pPr>
              <w:pStyle w:val="95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50"/>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529"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15" w:type="dxa"/>
            <w:vAlign w:val="top"/>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1663" w:type="dxa"/>
            <w:vAlign w:val="center"/>
            <w:textDirection w:val="lrTb"/>
            <w:noWrap w:val="false"/>
          </w:tcPr>
          <w:p>
            <w:pPr>
              <w:pStyle w:val="95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50"/>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529"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15" w:type="dxa"/>
            <w:vAlign w:val="top"/>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1663" w:type="dxa"/>
            <w:vAlign w:val="center"/>
            <w:textDirection w:val="lrTb"/>
            <w:noWrap w:val="false"/>
          </w:tcPr>
          <w:p>
            <w:pPr>
              <w:pStyle w:val="95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50"/>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529"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15" w:type="dxa"/>
            <w:vAlign w:val="top"/>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1663" w:type="dxa"/>
            <w:vAlign w:val="center"/>
            <w:textDirection w:val="lrTb"/>
            <w:noWrap w:val="false"/>
          </w:tcPr>
          <w:p>
            <w:pPr>
              <w:pStyle w:val="95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pStyle w:val="950"/>
              <w:jc w:val="left"/>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分项总价1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rPr>
                <w:rFonts w:hint="eastAsia" w:ascii="方正仿宋_GBK" w:hAnsi="方正仿宋_GBK" w:eastAsia="方正仿宋_GBK" w:cs="方正仿宋_GBK"/>
                <w:b/>
                <w:sz w:val="28"/>
                <w:szCs w:val="28"/>
                <w:highlight w:val="none"/>
              </w:rPr>
            </w:r>
            <w:r/>
          </w:p>
        </w:tc>
      </w:tr>
      <w:tr>
        <w:trPr>
          <w:trHeight w:val="369"/>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 期 限</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总价2</w:t>
            </w:r>
            <w:r>
              <w:rPr>
                <w:rFonts w:hint="eastAsia" w:ascii="方正仿宋_GBK" w:hAnsi="方正仿宋_GBK" w:eastAsia="方正仿宋_GBK" w:cs="方正仿宋_GBK"/>
                <w:b/>
                <w:bCs/>
                <w:sz w:val="28"/>
                <w:szCs w:val="28"/>
                <w:highlight w:val="none"/>
              </w:rPr>
            </w:r>
            <w:r/>
          </w:p>
        </w:tc>
        <w:tc>
          <w:tcPr>
            <w:tcW w:w="1663" w:type="dxa"/>
            <w:vAlign w:val="center"/>
            <w:vMerge w:val="restart"/>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rPr>
                <w:rFonts w:hint="eastAsia" w:ascii="方正仿宋_GBK" w:hAnsi="方正仿宋_GBK" w:eastAsia="方正仿宋_GBK" w:cs="方正仿宋_GBK"/>
                <w:b/>
                <w:bCs/>
                <w:sz w:val="28"/>
                <w:szCs w:val="28"/>
                <w:highlight w:val="none"/>
              </w:rPr>
            </w:r>
            <w:r/>
          </w:p>
        </w:tc>
      </w:tr>
      <w:tr>
        <w:trPr>
          <w:trHeight w:val="628"/>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社会保险</w:t>
            </w:r>
            <w:r>
              <w:rPr>
                <w:rFonts w:hint="eastAsia" w:ascii="方正仿宋_GBK" w:hAnsi="方正仿宋_GBK" w:eastAsia="方正仿宋_GBK" w:cs="方正仿宋_GBK"/>
                <w:b/>
                <w:bCs/>
                <w:sz w:val="28"/>
                <w:szCs w:val="28"/>
                <w:highlight w:val="none"/>
              </w:rPr>
            </w:r>
            <w:r/>
          </w:p>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费用</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rPr>
                <w:rFonts w:hint="eastAsia" w:ascii="方正仿宋_GBK" w:hAnsi="方正仿宋_GBK" w:eastAsia="方正仿宋_GBK" w:cs="方正仿宋_GBK"/>
                <w:b/>
                <w:bCs/>
                <w:sz w:val="28"/>
                <w:szCs w:val="28"/>
                <w:highlight w:val="none"/>
              </w:rPr>
            </w:r>
            <w:r/>
          </w:p>
        </w:tc>
        <w:tc>
          <w:tcPr>
            <w:tcW w:w="1663" w:type="dxa"/>
            <w:vAlign w:val="center"/>
            <w:vMerge w:val="continue"/>
            <w:textDirection w:val="lrTb"/>
            <w:noWrap w:val="false"/>
          </w:tcPr>
          <w:p>
            <w:pPr>
              <w:pStyle w:val="950"/>
              <w:jc w:val="left"/>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r>
            <w:r/>
          </w:p>
        </w:tc>
      </w:tr>
      <w:tr>
        <w:trPr>
          <w:trHeight w:val="563"/>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vMerge w:val="restart"/>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该人员正常缴纳社会保</w:t>
            </w:r>
            <w:r>
              <w:rPr>
                <w:rFonts w:hint="eastAsia" w:ascii="方正仿宋_GBK" w:hAnsi="方正仿宋_GBK" w:eastAsia="方正仿宋_GBK" w:cs="方正仿宋_GBK"/>
                <w:sz w:val="28"/>
                <w:szCs w:val="28"/>
                <w:highlight w:val="none"/>
              </w:rPr>
            </w:r>
            <w:r/>
          </w:p>
          <w:p>
            <w:pPr>
              <w:pStyle w:val="95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险/</w:t>
            </w:r>
            <w:r>
              <w:rPr>
                <w:rFonts w:hint="eastAsia" w:ascii="方正仿宋_GBK" w:hAnsi="方正仿宋_GBK" w:eastAsia="方正仿宋_GBK" w:cs="方正仿宋_GBK"/>
                <w:iCs/>
                <w:sz w:val="28"/>
                <w:szCs w:val="28"/>
                <w:highlight w:val="none"/>
              </w:rPr>
              <w:t xml:space="preserve">如该人员依法享受社会保险费用缴纳减免政策，请在此框内进行说明</w:t>
            </w:r>
            <w:r>
              <w:rPr>
                <w:rFonts w:hint="eastAsia" w:ascii="方正仿宋_GBK" w:hAnsi="方正仿宋_GBK" w:eastAsia="方正仿宋_GBK" w:cs="方正仿宋_GBK"/>
                <w:sz w:val="28"/>
                <w:szCs w:val="28"/>
                <w:highlight w:val="none"/>
              </w:rPr>
            </w:r>
            <w:r/>
          </w:p>
        </w:tc>
      </w:tr>
      <w:tr>
        <w:trPr>
          <w:trHeight w:val="261"/>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vMerge w:val="continue"/>
            <w:textDirection w:val="lrTb"/>
            <w:noWrap w:val="false"/>
          </w:tcPr>
          <w:p>
            <w:pPr>
              <w:pStyle w:val="950"/>
              <w:jc w:val="left"/>
              <w:spacing w:line="4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r>
            <w:r/>
          </w:p>
        </w:tc>
      </w:tr>
      <w:tr>
        <w:trPr>
          <w:trHeight w:val="261"/>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textDirection w:val="lrTb"/>
            <w:noWrap w:val="false"/>
          </w:tcPr>
          <w:p>
            <w:pPr>
              <w:pStyle w:val="95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261"/>
        </w:trPr>
        <w:tc>
          <w:tcPr>
            <w:gridSpan w:val="7"/>
            <w:tcW w:w="9119" w:type="dxa"/>
            <w:vAlign w:val="center"/>
            <w:textDirection w:val="lrTb"/>
            <w:noWrap w:val="false"/>
          </w:tcPr>
          <w:p>
            <w:pPr>
              <w:pStyle w:val="950"/>
              <w:jc w:val="left"/>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分项总价2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rPr>
                <w:rFonts w:hint="eastAsia" w:ascii="方正仿宋_GBK" w:hAnsi="方正仿宋_GBK" w:eastAsia="方正仿宋_GBK" w:cs="方正仿宋_GBK"/>
                <w:b/>
                <w:sz w:val="28"/>
                <w:szCs w:val="28"/>
                <w:highlight w:val="none"/>
              </w:rPr>
            </w:r>
            <w:r/>
          </w:p>
        </w:tc>
      </w:tr>
      <w:tr>
        <w:trPr>
          <w:trHeight w:val="261"/>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总价3</w:t>
            </w:r>
            <w:r>
              <w:rPr>
                <w:rFonts w:hint="eastAsia" w:ascii="方正仿宋_GBK" w:hAnsi="方正仿宋_GBK" w:eastAsia="方正仿宋_GBK" w:cs="方正仿宋_GBK"/>
                <w:b/>
                <w:bCs/>
                <w:sz w:val="28"/>
                <w:szCs w:val="28"/>
                <w:highlight w:val="none"/>
              </w:rPr>
            </w:r>
            <w:r/>
          </w:p>
        </w:tc>
        <w:tc>
          <w:tcPr>
            <w:tcW w:w="1663" w:type="dxa"/>
            <w:vAlign w:val="center"/>
            <w:vMerge w:val="restart"/>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rPr>
                <w:rFonts w:hint="eastAsia" w:ascii="方正仿宋_GBK" w:hAnsi="方正仿宋_GBK" w:eastAsia="方正仿宋_GBK" w:cs="方正仿宋_GBK"/>
                <w:b/>
                <w:bCs/>
                <w:sz w:val="28"/>
                <w:szCs w:val="28"/>
                <w:highlight w:val="none"/>
              </w:rPr>
            </w:r>
            <w:r/>
          </w:p>
        </w:tc>
      </w:tr>
      <w:tr>
        <w:trPr>
          <w:trHeight w:val="261"/>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w:t>
            </w:r>
            <w:r>
              <w:rPr>
                <w:rFonts w:hint="eastAsia" w:ascii="方正仿宋_GBK" w:hAnsi="方正仿宋_GBK" w:eastAsia="方正仿宋_GBK" w:cs="方正仿宋_GBK"/>
                <w:b/>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住房公积金</w:t>
            </w:r>
            <w:r>
              <w:rPr>
                <w:rFonts w:hint="eastAsia" w:ascii="方正仿宋_GBK" w:hAnsi="方正仿宋_GBK" w:eastAsia="方正仿宋_GBK" w:cs="方正仿宋_GBK"/>
                <w:b/>
                <w:sz w:val="28"/>
                <w:szCs w:val="28"/>
                <w:highlight w:val="none"/>
              </w:rPr>
            </w:r>
            <w:r/>
          </w:p>
        </w:tc>
        <w:tc>
          <w:tcPr>
            <w:tcW w:w="396"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50"/>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rPr>
                <w:rFonts w:hint="eastAsia" w:ascii="方正仿宋_GBK" w:hAnsi="方正仿宋_GBK" w:eastAsia="方正仿宋_GBK" w:cs="方正仿宋_GBK"/>
                <w:b/>
                <w:bCs/>
                <w:sz w:val="28"/>
                <w:szCs w:val="28"/>
                <w:highlight w:val="none"/>
              </w:rPr>
            </w:r>
            <w:r/>
          </w:p>
        </w:tc>
        <w:tc>
          <w:tcPr>
            <w:tcW w:w="1663" w:type="dxa"/>
            <w:vAlign w:val="center"/>
            <w:vMerge w:val="continue"/>
            <w:textDirection w:val="lrTb"/>
            <w:noWrap w:val="false"/>
          </w:tcPr>
          <w:p>
            <w:pPr>
              <w:pStyle w:val="950"/>
              <w:jc w:val="left"/>
              <w:spacing w:line="4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r>
            <w:r/>
          </w:p>
        </w:tc>
      </w:tr>
      <w:tr>
        <w:trPr>
          <w:trHeight w:val="369"/>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top"/>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vMerge w:val="restart"/>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该人员正常缴存住房公</w:t>
            </w:r>
            <w:r>
              <w:rPr>
                <w:rFonts w:hint="eastAsia" w:ascii="方正仿宋_GBK" w:hAnsi="方正仿宋_GBK" w:eastAsia="方正仿宋_GBK" w:cs="方正仿宋_GBK"/>
                <w:sz w:val="28"/>
                <w:szCs w:val="28"/>
                <w:highlight w:val="none"/>
              </w:rPr>
            </w:r>
            <w:r/>
          </w:p>
          <w:p>
            <w:pPr>
              <w:pStyle w:val="950"/>
              <w:spacing w:line="4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积金/</w:t>
            </w:r>
            <w:r>
              <w:rPr>
                <w:rFonts w:hint="eastAsia" w:ascii="方正仿宋_GBK" w:hAnsi="方正仿宋_GBK" w:eastAsia="方正仿宋_GBK" w:cs="方正仿宋_GBK"/>
                <w:iCs/>
                <w:sz w:val="28"/>
                <w:szCs w:val="28"/>
                <w:highlight w:val="none"/>
              </w:rPr>
              <w:t xml:space="preserve">如该人员依法享受住房公积金缴存减免政策，请在此框内进行说明</w:t>
            </w:r>
            <w:r>
              <w:rPr>
                <w:rFonts w:hint="eastAsia" w:ascii="方正仿宋_GBK" w:hAnsi="方正仿宋_GBK" w:eastAsia="方正仿宋_GBK" w:cs="方正仿宋_GBK"/>
                <w:i/>
                <w:sz w:val="28"/>
                <w:szCs w:val="28"/>
                <w:highlight w:val="none"/>
                <w:u w:val="single"/>
              </w:rPr>
            </w:r>
            <w:r/>
          </w:p>
        </w:tc>
      </w:tr>
      <w:tr>
        <w:trPr>
          <w:trHeight w:val="369"/>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top"/>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vMerge w:val="continue"/>
            <w:textDirection w:val="lrTb"/>
            <w:noWrap w:val="false"/>
          </w:tcPr>
          <w:p>
            <w:pPr>
              <w:pStyle w:val="95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top"/>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50"/>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textDirection w:val="lrTb"/>
            <w:noWrap w:val="false"/>
          </w:tcPr>
          <w:p>
            <w:pPr>
              <w:pStyle w:val="95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pStyle w:val="95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分项总价3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rPr>
                <w:rFonts w:hint="eastAsia" w:ascii="方正仿宋_GBK" w:hAnsi="方正仿宋_GBK" w:eastAsia="方正仿宋_GBK" w:cs="方正仿宋_GBK"/>
                <w:sz w:val="28"/>
                <w:szCs w:val="28"/>
                <w:highlight w:val="none"/>
              </w:rPr>
            </w:r>
            <w:r/>
          </w:p>
        </w:tc>
      </w:tr>
    </w:tbl>
    <w:p>
      <w:pPr>
        <w:pStyle w:val="95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1.本表仅适用物业管理服务品目政府采购项目，供应商需在投标（响应）文件中填报此表。</w:t>
      </w:r>
      <w:r>
        <w:rPr>
          <w:rFonts w:hint="eastAsia" w:ascii="方正仿宋_GBK" w:hAnsi="方正仿宋_GBK" w:eastAsia="方正仿宋_GBK" w:cs="方正仿宋_GBK"/>
          <w:iCs/>
          <w:sz w:val="28"/>
          <w:szCs w:val="28"/>
          <w:highlight w:val="none"/>
        </w:rPr>
      </w:r>
      <w:r/>
    </w:p>
    <w:p>
      <w:pPr>
        <w:pStyle w:val="95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2.供应商在投标（响应）文件中响应的拟投入本项目的服务人员不得是全日制在校学生。</w:t>
      </w:r>
      <w:r>
        <w:rPr>
          <w:rFonts w:hint="eastAsia" w:ascii="方正仿宋_GBK" w:hAnsi="方正仿宋_GBK" w:eastAsia="方正仿宋_GBK" w:cs="方正仿宋_GBK"/>
          <w:iCs/>
          <w:sz w:val="28"/>
          <w:szCs w:val="28"/>
          <w:highlight w:val="none"/>
        </w:rPr>
      </w:r>
      <w:r/>
    </w:p>
    <w:p>
      <w:pPr>
        <w:pStyle w:val="950"/>
        <w:spacing w:line="400" w:lineRule="exact"/>
        <w:rPr>
          <w:rFonts w:hint="eastAsia" w:ascii="方正魏碑_GBK" w:hAnsi="方正魏碑_GBK" w:eastAsia="方正魏碑_GBK" w:cs="方正魏碑_GBK"/>
          <w:b/>
          <w:bCs/>
          <w:color w:val="ff0000"/>
          <w:sz w:val="28"/>
          <w:szCs w:val="28"/>
          <w:highlight w:val="none"/>
        </w:rPr>
      </w:pPr>
      <w:r>
        <w:rPr>
          <w:rFonts w:hint="eastAsia" w:ascii="方正魏碑_GBK" w:hAnsi="方正魏碑_GBK" w:eastAsia="方正魏碑_GBK" w:cs="方正魏碑_GBK"/>
          <w:b/>
          <w:bCs/>
          <w:color w:val="ff0000"/>
          <w:sz w:val="28"/>
          <w:szCs w:val="28"/>
          <w:highlight w:val="none"/>
        </w:rPr>
      </w:r>
      <w:r/>
    </w:p>
    <w:p>
      <w:pPr>
        <w:pStyle w:val="950"/>
        <w:spacing w:line="400" w:lineRule="exact"/>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0"/>
        <w:jc w:val="left"/>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rPr>
          <w:rFonts w:ascii="宋体" w:hAnsi="宋体"/>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296"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rPr>
          <w:rFonts w:hint="eastAsia" w:ascii="方正仿宋_GBK" w:hAnsi="方正仿宋_GBK" w:eastAsia="方正仿宋_GBK" w:cs="方正仿宋_GBK"/>
          <w:sz w:val="28"/>
          <w:szCs w:val="28"/>
          <w:highlight w:val="none"/>
        </w:rPr>
      </w:r>
      <w:r/>
    </w:p>
    <w:p>
      <w:pPr>
        <w:pStyle w:val="950"/>
        <w:spacing w:line="400" w:lineRule="exact"/>
        <w:rPr>
          <w:rFonts w:ascii="宋体" w:hAnsi="宋体"/>
          <w:sz w:val="28"/>
          <w:szCs w:val="28"/>
          <w:highlight w:val="none"/>
        </w:rPr>
      </w:pPr>
      <w:r>
        <w:rPr>
          <w:rFonts w:ascii="宋体" w:hAnsi="宋体"/>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宋体" w:hAnsi="宋体"/>
          <w:b/>
          <w:sz w:val="28"/>
          <w:szCs w:val="28"/>
          <w:highlight w:val="none"/>
        </w:rPr>
      </w:r>
      <w:r/>
    </w:p>
    <w:p>
      <w:pPr>
        <w:pStyle w:val="95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0"/>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rPr>
          <w:rFonts w:ascii="宋体" w:hAnsi="宋体"/>
          <w:b/>
          <w:color w:val="000000"/>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0"/>
        <w:jc w:val="center"/>
        <w:spacing w:line="400" w:lineRule="exact"/>
        <w:rPr>
          <w:rFonts w:ascii="宋体" w:hAnsi="宋体"/>
          <w:bCs/>
          <w:color w:val="000000"/>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rPr>
          <w:rFonts w:ascii="宋体" w:hAnsi="宋体"/>
          <w:bCs/>
          <w:color w:val="000000"/>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rPr>
          <w:rFonts w:hint="eastAsia" w:ascii="方正黑体_GBK" w:hAnsi="方正黑体_GBK" w:eastAsia="方正黑体_GBK" w:cs="方正黑体_GBK"/>
          <w:bCs/>
          <w:sz w:val="28"/>
          <w:szCs w:val="28"/>
          <w:highlight w:val="none"/>
        </w:rPr>
      </w:r>
      <w:r/>
    </w:p>
    <w:p>
      <w:pPr>
        <w:pStyle w:val="950"/>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50"/>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0"/>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被授权人联系电话：（手机）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0"/>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0"/>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授权单位名称：</w:t>
      </w:r>
      <w:r>
        <w:rPr>
          <w:rFonts w:hint="eastAsia" w:ascii="方正仿宋_GBK" w:hAnsi="方正仿宋_GBK" w:eastAsia="方正仿宋_GBK" w:cs="方正仿宋_GBK"/>
          <w:sz w:val="28"/>
          <w:szCs w:val="28"/>
          <w:highlight w:val="none"/>
          <w:u w:val="single"/>
        </w:rPr>
        <w:t xml:space="preserve">（加盖CA电子公章）</w:t>
      </w:r>
      <w:r>
        <w:rPr>
          <w:rFonts w:hint="eastAsia" w:ascii="方正仿宋_GBK" w:hAnsi="方正仿宋_GBK" w:eastAsia="方正仿宋_GBK" w:cs="方正仿宋_GBK"/>
          <w:sz w:val="28"/>
          <w:szCs w:val="28"/>
          <w:highlight w:val="none"/>
        </w:rPr>
      </w:r>
      <w:r/>
    </w:p>
    <w:p>
      <w:pPr>
        <w:pStyle w:val="950"/>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单位地址：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0"/>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50"/>
        <w:jc w:val="center"/>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sz w:val="28"/>
          <w:szCs w:val="28"/>
          <w:highlight w:val="none"/>
        </w:rPr>
        <w:t xml:space="preserve">附件8              投标函</w:t>
      </w:r>
      <w:r>
        <w:rPr>
          <w:rFonts w:ascii="黑体" w:hAnsi="黑体" w:eastAsia="黑体"/>
          <w:b/>
          <w:i/>
          <w:color w:val="000000"/>
          <w:sz w:val="28"/>
          <w:szCs w:val="28"/>
          <w:highlight w:val="none"/>
          <w:u w:val="single"/>
        </w:rPr>
      </w:r>
      <w:r/>
    </w:p>
    <w:p>
      <w:pPr>
        <w:pStyle w:val="950"/>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103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olor w:val="000000"/>
          <w:sz w:val="28"/>
          <w:szCs w:val="28"/>
          <w:highlight w:val="none"/>
        </w:rPr>
        <w:t xml:space="preserve">JSZC-320000-SCZX-G20XX-XXXX</w:t>
      </w:r>
      <w:r>
        <w:rPr>
          <w:rFonts w:ascii="Times New Roman" w:hAnsi="Times New Roman" w:eastAsia="方正仿宋_GBK"/>
          <w:sz w:val="28"/>
          <w:szCs w:val="28"/>
          <w:highlight w:val="none"/>
        </w:rPr>
        <w:t xml:space="preserve">，</w:t>
      </w:r>
      <w:r>
        <w:rPr>
          <w:rFonts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sz w:val="28"/>
          <w:szCs w:val="28"/>
          <w:highlight w:val="none"/>
        </w:rPr>
        <w:t xml:space="preserve">，正式授权下述签字人</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（投标人的名称），全权处理本次项目投标的有关事宜。</w:t>
      </w:r>
      <w:r>
        <w:rPr>
          <w:rFonts w:hint="eastAsia" w:ascii="方正仿宋_GBK" w:hAnsi="方正仿宋_GBK" w:eastAsia="方正仿宋_GBK" w:cs="方正仿宋_GBK"/>
          <w:sz w:val="28"/>
          <w:szCs w:val="28"/>
          <w:highlight w:val="none"/>
        </w:rPr>
      </w:r>
      <w:r/>
    </w:p>
    <w:p>
      <w:pPr>
        <w:pStyle w:val="103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签字人兹宣布同意如下：</w:t>
      </w:r>
      <w:r>
        <w:rPr>
          <w:rFonts w:hint="eastAsia" w:ascii="方正仿宋_GBK" w:hAnsi="方正仿宋_GBK" w:eastAsia="方正仿宋_GBK" w:cs="方正仿宋_GBK"/>
          <w:sz w:val="28"/>
          <w:szCs w:val="28"/>
          <w:highlight w:val="none"/>
        </w:rPr>
      </w:r>
      <w:r/>
    </w:p>
    <w:p>
      <w:pPr>
        <w:pStyle w:val="103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1.按招标文件规定的各项要求，向买方提供所需服务（包含与服务相关的货物）。</w:t>
      </w:r>
      <w:r>
        <w:rPr>
          <w:rFonts w:hint="eastAsia" w:ascii="方正仿宋_GBK" w:hAnsi="方正仿宋_GBK" w:eastAsia="方正仿宋_GBK" w:cs="方正仿宋_GBK"/>
          <w:sz w:val="28"/>
          <w:szCs w:val="28"/>
          <w:highlight w:val="none"/>
        </w:rPr>
      </w:r>
      <w:r/>
    </w:p>
    <w:p>
      <w:pPr>
        <w:pStyle w:val="103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2.我们完全理解贵方不一定将合同授予最低报价的投标人。</w:t>
      </w:r>
      <w:r>
        <w:rPr>
          <w:rFonts w:hint="eastAsia" w:ascii="方正仿宋_GBK" w:hAnsi="方正仿宋_GBK" w:eastAsia="方正仿宋_GBK" w:cs="方正仿宋_GBK"/>
          <w:sz w:val="28"/>
          <w:szCs w:val="28"/>
          <w:highlight w:val="none"/>
        </w:rPr>
      </w:r>
      <w:r/>
    </w:p>
    <w:p>
      <w:pPr>
        <w:pStyle w:val="103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3.我们已详细审核全部招标文件及其有效补充文件。</w:t>
      </w:r>
      <w:r>
        <w:rPr>
          <w:rFonts w:hint="eastAsia" w:ascii="方正仿宋_GBK" w:hAnsi="方正仿宋_GBK" w:eastAsia="方正仿宋_GBK" w:cs="方正仿宋_GBK"/>
          <w:sz w:val="28"/>
          <w:szCs w:val="28"/>
          <w:highlight w:val="none"/>
        </w:rPr>
      </w:r>
      <w:r/>
    </w:p>
    <w:p>
      <w:pPr>
        <w:pStyle w:val="103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highlight w:val="none"/>
        </w:rPr>
      </w:r>
      <w:r/>
    </w:p>
    <w:p>
      <w:pPr>
        <w:pStyle w:val="103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highlight w:val="none"/>
        </w:rPr>
      </w:r>
      <w:r/>
    </w:p>
    <w:p>
      <w:pPr>
        <w:pStyle w:val="103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highlight w:val="none"/>
        </w:rPr>
      </w:r>
      <w:r/>
    </w:p>
    <w:p>
      <w:pPr>
        <w:pStyle w:val="103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7.与本投标有关的正式通讯地址为：</w:t>
      </w:r>
      <w:r>
        <w:rPr>
          <w:rFonts w:hint="eastAsia" w:ascii="方正仿宋_GBK" w:hAnsi="方正仿宋_GBK" w:eastAsia="方正仿宋_GBK" w:cs="方正仿宋_GBK"/>
          <w:sz w:val="28"/>
          <w:szCs w:val="28"/>
          <w:highlight w:val="none"/>
        </w:rPr>
      </w:r>
      <w:r/>
    </w:p>
    <w:p>
      <w:pPr>
        <w:pStyle w:val="103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rPr>
      </w:r>
      <w:r/>
    </w:p>
    <w:p>
      <w:pPr>
        <w:pStyle w:val="103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rPr>
          <w:rFonts w:hint="eastAsia" w:ascii="方正仿宋_GBK" w:hAnsi="方正仿宋_GBK" w:eastAsia="方正仿宋_GBK" w:cs="方正仿宋_GBK"/>
          <w:sz w:val="28"/>
          <w:szCs w:val="28"/>
          <w:highlight w:val="none"/>
        </w:rPr>
      </w:r>
      <w:r/>
    </w:p>
    <w:p>
      <w:pPr>
        <w:pStyle w:val="103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rPr>
          <w:rFonts w:hint="eastAsia" w:ascii="方正仿宋_GBK" w:hAnsi="方正仿宋_GBK" w:eastAsia="方正仿宋_GBK" w:cs="方正仿宋_GBK"/>
          <w:sz w:val="28"/>
          <w:szCs w:val="28"/>
          <w:highlight w:val="none"/>
        </w:rPr>
      </w:r>
      <w:r/>
    </w:p>
    <w:p>
      <w:pPr>
        <w:pStyle w:val="103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rPr>
          <w:rFonts w:hint="eastAsia" w:ascii="方正仿宋_GBK" w:hAnsi="方正仿宋_GBK" w:eastAsia="方正仿宋_GBK" w:cs="方正仿宋_GBK"/>
          <w:sz w:val="28"/>
          <w:szCs w:val="28"/>
          <w:highlight w:val="none"/>
        </w:rPr>
      </w:r>
      <w:r/>
    </w:p>
    <w:p>
      <w:pPr>
        <w:pStyle w:val="103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投标人开户行：</w:t>
      </w:r>
      <w:r>
        <w:rPr>
          <w:rFonts w:hint="eastAsia" w:ascii="方正仿宋_GBK" w:hAnsi="方正仿宋_GBK" w:eastAsia="方正仿宋_GBK" w:cs="方正仿宋_GBK"/>
          <w:sz w:val="28"/>
          <w:szCs w:val="28"/>
          <w:highlight w:val="none"/>
        </w:rPr>
      </w:r>
      <w:r/>
    </w:p>
    <w:p>
      <w:pPr>
        <w:pStyle w:val="103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rPr>
          <w:rFonts w:hint="eastAsia" w:ascii="方正仿宋_GBK" w:hAnsi="方正仿宋_GBK" w:eastAsia="方正仿宋_GBK" w:cs="方正仿宋_GBK"/>
          <w:sz w:val="28"/>
          <w:szCs w:val="28"/>
          <w:highlight w:val="none"/>
        </w:rPr>
      </w:r>
      <w:r/>
    </w:p>
    <w:p>
      <w:pPr>
        <w:pStyle w:val="1038"/>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38"/>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38"/>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38"/>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95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1038"/>
        <w:jc w:val="center"/>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rPr>
        <w:t xml:space="preserve">                            日      期：___年____月____日</w:t>
      </w:r>
      <w:r>
        <w:rPr>
          <w:rFonts w:hint="eastAsia" w:ascii="方正仿宋_GBK" w:hAnsi="方正仿宋_GBK" w:eastAsia="方正仿宋_GBK" w:cs="方正仿宋_GBK"/>
          <w:bCs/>
          <w:color w:val="000000"/>
          <w:sz w:val="28"/>
          <w:szCs w:val="28"/>
          <w:highlight w:val="none"/>
        </w:rPr>
      </w:r>
      <w:r/>
    </w:p>
    <w:p>
      <w:pPr>
        <w:pStyle w:val="950"/>
        <w:ind w:firstLine="560"/>
        <w:spacing w:line="400" w:lineRule="exact"/>
        <w:rPr>
          <w:rFonts w:ascii="宋体" w:hAnsi="宋体"/>
          <w:sz w:val="28"/>
          <w:szCs w:val="28"/>
          <w:highlight w:val="none"/>
        </w:rPr>
      </w:pPr>
      <w:r>
        <w:rPr>
          <w:rFonts w:ascii="宋体" w:hAnsi="宋体"/>
          <w:sz w:val="28"/>
          <w:szCs w:val="28"/>
          <w:highlight w:val="none"/>
        </w:rPr>
      </w:r>
      <w:r/>
    </w:p>
    <w:p>
      <w:pPr>
        <w:pStyle w:val="950"/>
        <w:ind w:firstLine="560"/>
        <w:spacing w:line="400" w:lineRule="exact"/>
        <w:rPr>
          <w:rFonts w:ascii="宋体" w:hAnsi="宋体"/>
          <w:sz w:val="28"/>
          <w:szCs w:val="28"/>
          <w:highlight w:val="none"/>
        </w:rPr>
      </w:pPr>
      <w:r>
        <w:rPr>
          <w:rFonts w:ascii="宋体" w:hAnsi="宋体"/>
          <w:sz w:val="28"/>
          <w:szCs w:val="28"/>
          <w:highlight w:val="none"/>
        </w:rPr>
      </w:r>
      <w:r/>
    </w:p>
    <w:p>
      <w:pPr>
        <w:pStyle w:val="950"/>
        <w:ind w:firstLine="560"/>
        <w:spacing w:line="400" w:lineRule="exact"/>
        <w:rPr>
          <w:rFonts w:ascii="宋体" w:hAnsi="宋体"/>
          <w:sz w:val="28"/>
          <w:szCs w:val="28"/>
          <w:highlight w:val="none"/>
        </w:rPr>
      </w:pPr>
      <w:r>
        <w:rPr>
          <w:rFonts w:ascii="宋体" w:hAnsi="宋体"/>
          <w:sz w:val="28"/>
          <w:szCs w:val="28"/>
          <w:highlight w:val="none"/>
        </w:rPr>
      </w:r>
      <w:r/>
    </w:p>
    <w:p>
      <w:pPr>
        <w:pStyle w:val="950"/>
        <w:ind w:firstLine="560"/>
        <w:spacing w:line="400" w:lineRule="exact"/>
        <w:rPr>
          <w:rFonts w:ascii="宋体" w:hAnsi="宋体"/>
          <w:sz w:val="28"/>
          <w:szCs w:val="28"/>
          <w:highlight w:val="none"/>
        </w:rPr>
      </w:pPr>
      <w:r>
        <w:rPr>
          <w:rFonts w:ascii="宋体" w:hAnsi="宋体"/>
          <w:sz w:val="28"/>
          <w:szCs w:val="28"/>
          <w:highlight w:val="none"/>
        </w:rPr>
      </w:r>
      <w:r/>
    </w:p>
    <w:p>
      <w:pPr>
        <w:pStyle w:val="950"/>
        <w:ind w:firstLine="560"/>
        <w:spacing w:line="400" w:lineRule="exact"/>
        <w:rPr>
          <w:rFonts w:ascii="宋体" w:hAnsi="宋体"/>
          <w:sz w:val="28"/>
          <w:szCs w:val="28"/>
          <w:highlight w:val="none"/>
        </w:rPr>
      </w:pPr>
      <w:r>
        <w:rPr>
          <w:rFonts w:ascii="宋体" w:hAnsi="宋体"/>
          <w:sz w:val="28"/>
          <w:szCs w:val="28"/>
          <w:highlight w:val="none"/>
        </w:rPr>
      </w:r>
      <w:r/>
    </w:p>
    <w:p>
      <w:pPr>
        <w:pStyle w:val="950"/>
        <w:jc w:val="center"/>
        <w:spacing w:line="400" w:lineRule="exact"/>
        <w:rPr>
          <w:rFonts w:hint="eastAsia" w:ascii="方正黑体_GBK" w:hAnsi="方正黑体_GBK" w:eastAsia="方正黑体_GBK" w:cs="方正黑体_GBK"/>
          <w:bCs/>
          <w:sz w:val="28"/>
          <w:szCs w:val="28"/>
          <w:highlight w:val="none"/>
        </w:rPr>
      </w:pPr>
      <w:r/>
      <w:bookmarkEnd w:id="65"/>
      <w:r/>
      <w:bookmarkEnd w:id="66"/>
      <w:r/>
      <w:bookmarkEnd w:id="67"/>
      <w:r/>
      <w:bookmarkStart w:id="68" w:name="_Toc120614284"/>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附件9 中小微企业声明函（服务类项目）（采购包号：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（单位名称）采购编号为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eastAsia="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50"/>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950"/>
        <w:ind w:right="720"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0"/>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企业名称（加盖CA电子公章）：</w:t>
      </w:r>
      <w:r>
        <w:rPr>
          <w:rFonts w:hint="eastAsia" w:ascii="方正仿宋_GBK" w:hAnsi="方正仿宋_GBK" w:eastAsia="方正仿宋_GBK" w:cs="方正仿宋_GBK"/>
          <w:sz w:val="28"/>
          <w:szCs w:val="28"/>
          <w:highlight w:val="none"/>
        </w:rPr>
      </w:r>
      <w:r/>
    </w:p>
    <w:p>
      <w:pPr>
        <w:pStyle w:val="950"/>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     期：___年___月___日 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highlight w:val="none"/>
        </w:rPr>
        <w:br w:type="page" w:clear="all"/>
      </w:r>
      <w:r>
        <w:rPr>
          <w:rFonts w:hint="eastAsia" w:ascii="方正黑体_GBK" w:hAnsi="方正黑体_GBK" w:eastAsia="方正黑体_GBK" w:cs="方正黑体_GBK"/>
          <w:bCs/>
          <w:sz w:val="28"/>
          <w:szCs w:val="28"/>
          <w:highlight w:val="none"/>
        </w:rPr>
        <w:t xml:space="preserve">附件10 残疾人福利性单位声明函（服务类项目）（采购包号：</w:t>
      </w:r>
      <w:r>
        <w:rPr>
          <w:rFonts w:hint="eastAsia"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宋体" w:hAnsi="宋体"/>
          <w:color w:val="ff0000"/>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黑体_GBK"/>
          <w:bCs/>
          <w:sz w:val="28"/>
          <w:szCs w:val="28"/>
          <w:highlight w:val="none"/>
        </w:rPr>
        <w:t xml:space="preserve">XX</w:t>
      </w:r>
      <w:r>
        <w:rPr>
          <w:rFonts w:hint="eastAsia" w:ascii="方正仿宋_GBK" w:hAnsi="方正仿宋_GBK" w:eastAsia="方正仿宋_GBK" w:cs="方正仿宋_GBK"/>
          <w:sz w:val="28"/>
          <w:szCs w:val="28"/>
          <w:highlight w:val="none"/>
        </w:rPr>
        <w:t xml:space="preserve">）采购活动由本单位提供服务。</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950"/>
        <w:ind w:firstLine="584"/>
        <w:spacing w:line="400" w:lineRule="exact"/>
        <w:rPr>
          <w:rFonts w:hint="eastAsia" w:ascii="方正仿宋_GBK" w:hAnsi="方正仿宋_GBK" w:eastAsia="方正仿宋_GBK" w:cs="方正仿宋_GBK"/>
          <w:spacing w:val="6"/>
          <w:sz w:val="28"/>
          <w:szCs w:val="28"/>
          <w:highlight w:val="none"/>
        </w:rPr>
      </w:pPr>
      <w:r>
        <w:rPr>
          <w:rFonts w:hint="eastAsia" w:ascii="方正仿宋_GBK" w:hAnsi="方正仿宋_GBK" w:eastAsia="方正仿宋_GBK" w:cs="方正仿宋_GBK"/>
          <w:spacing w:val="6"/>
          <w:sz w:val="28"/>
          <w:szCs w:val="28"/>
          <w:highlight w:val="none"/>
        </w:rPr>
      </w:r>
      <w:r/>
    </w:p>
    <w:p>
      <w:pPr>
        <w:pStyle w:val="950"/>
        <w:ind w:right="1559" w:firstLine="584"/>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950"/>
        <w:ind w:right="1559" w:firstLine="560"/>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     期：___年____月____日   </w:t>
      </w:r>
      <w:r>
        <w:rPr>
          <w:rFonts w:hint="eastAsia" w:ascii="方正仿宋_GBK" w:hAnsi="方正仿宋_GBK" w:eastAsia="方正仿宋_GBK" w:cs="方正仿宋_GBK"/>
          <w:sz w:val="28"/>
          <w:szCs w:val="28"/>
          <w:highlight w:val="none"/>
        </w:rPr>
      </w:r>
      <w:r/>
    </w:p>
    <w:p>
      <w:pPr>
        <w:pStyle w:val="950"/>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0"/>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0"/>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附件11 联合体协议（参考格式）（采购包号：XX）</w:t>
      </w:r>
      <w:r>
        <w:rPr>
          <w:rFonts w:hint="eastAsia" w:ascii="方正黑体_GBK" w:hAnsi="方正黑体_GBK" w:eastAsia="方正黑体_GBK" w:cs="方正黑体_GBK"/>
          <w:bCs/>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项目（项目名称）（采购包号：XX）的政府采购活动，我联合体指定</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（供应商全称）为牵头单位（牵头单位必须为联合体成员）。</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2.若我们联合中标、成交，</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0"/>
        <w:ind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日期：___年____月____日     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rPr>
          <w:rFonts w:hint="eastAsia" w:ascii="方正仿宋_GBK" w:hAnsi="方正仿宋_GBK" w:eastAsia="方正仿宋_GBK" w:cs="方正仿宋_GBK"/>
          <w:sz w:val="28"/>
          <w:szCs w:val="28"/>
          <w:highlight w:val="none"/>
        </w:rPr>
      </w:r>
      <w:r/>
    </w:p>
    <w:p>
      <w:pPr>
        <w:pStyle w:val="950"/>
        <w:ind w:firstLine="645"/>
        <w:spacing w:line="400" w:lineRule="exact"/>
        <w:rPr>
          <w:rFonts w:hint="eastAsia" w:ascii="宋体" w:hAnsi="宋体"/>
          <w:sz w:val="28"/>
          <w:szCs w:val="28"/>
          <w:highlight w:val="none"/>
        </w:rPr>
      </w:pPr>
      <w:r>
        <w:rPr>
          <w:rFonts w:hint="eastAsia" w:ascii="宋体" w:hAnsi="宋体"/>
          <w:sz w:val="28"/>
          <w:szCs w:val="28"/>
          <w:highlight w:val="none"/>
        </w:rPr>
      </w:r>
      <w:r/>
    </w:p>
    <w:p>
      <w:pPr>
        <w:pStyle w:val="950"/>
        <w:spacing w:line="400" w:lineRule="exact"/>
        <w:rPr>
          <w:rFonts w:hint="eastAsia" w:ascii="宋体" w:hAnsi="宋体"/>
          <w:sz w:val="28"/>
          <w:szCs w:val="28"/>
          <w:highlight w:val="none"/>
        </w:rPr>
      </w:pPr>
      <w:r>
        <w:rPr>
          <w:rFonts w:hint="eastAsia" w:ascii="宋体" w:hAnsi="宋体"/>
          <w:sz w:val="28"/>
          <w:szCs w:val="28"/>
          <w:highlight w:val="none"/>
        </w:rPr>
      </w:r>
      <w:r/>
    </w:p>
    <w:p>
      <w:pPr>
        <w:pStyle w:val="950"/>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附件12 实质性要求响应及偏离表（采购包号：XX）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609"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r>
            <w:r/>
          </w:p>
        </w:tc>
        <w:tc>
          <w:tcPr>
            <w:tcW w:w="3317"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1526" w:type="dxa"/>
            <w:vAlign w:val="center"/>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5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rFonts w:hint="eastAsia" w:ascii="方正仿宋_GBK" w:hAnsi="方正仿宋_GBK" w:eastAsia="方正仿宋_GBK" w:cs="方正仿宋_GBK"/>
          <w:sz w:val="28"/>
          <w:szCs w:val="28"/>
          <w:highlight w:val="none"/>
        </w:rPr>
      </w:r>
      <w:r/>
    </w:p>
    <w:p>
      <w:pPr>
        <w:pStyle w:val="95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sz w:val="28"/>
          <w:szCs w:val="28"/>
          <w:highlight w:val="none"/>
        </w:rPr>
        <w:t xml:space="preserve">逐条做出明确响应，否则作无效投标处理。</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highlight w:val="none"/>
        </w:rPr>
      </w:r>
      <w:r/>
    </w:p>
    <w:p>
      <w:pPr>
        <w:pStyle w:val="950"/>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p>
    <w:p>
      <w:pPr>
        <w:pStyle w:val="950"/>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50"/>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50"/>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50"/>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50"/>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50"/>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50"/>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50"/>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附件13  关于符合本国产品标准的声明函（采购包号：XX）</w:t>
      </w:r>
      <w:r>
        <w:rPr>
          <w:rFonts w:hint="eastAsia" w:ascii="方正黑体_GBK" w:hAnsi="方正黑体_GBK" w:eastAsia="方正黑体_GBK" w:cs="方正黑体_GBK"/>
          <w:bCs/>
          <w:sz w:val="28"/>
          <w:szCs w:val="28"/>
          <w:highlight w:val="none"/>
        </w:rPr>
      </w:r>
      <w:r/>
    </w:p>
    <w:p>
      <w:pPr>
        <w:pStyle w:val="1012"/>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24"/>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24"/>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24"/>
          <w:rFonts w:hint="eastAsia" w:ascii="方正仿宋_GBK" w:hAnsi="方正仿宋_GBK" w:eastAsia="方正仿宋_GBK" w:cs="方正仿宋_GBK"/>
          <w:i w:val="0"/>
          <w:sz w:val="28"/>
          <w:szCs w:val="28"/>
          <w:highlight w:val="none"/>
          <w:u w:val="single"/>
          <w:shd w:val="clear" w:color="auto" w:fill="ffffff"/>
        </w:rPr>
        <w:t xml:space="preserve">（厂名）</w:t>
      </w:r>
      <w:r>
        <w:rPr>
          <w:rStyle w:val="1024"/>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24"/>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24"/>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24"/>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24"/>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1012"/>
        <w:ind w:firstLine="560"/>
        <w:jc w:val="right"/>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公司（单位）名称（加盖CA电子公章）：　        </w:t>
      </w:r>
      <w:r>
        <w:rPr>
          <w:rFonts w:hint="eastAsia" w:ascii="方正仿宋_GBK" w:hAnsi="方正仿宋_GBK" w:eastAsia="方正仿宋_GBK" w:cs="方正仿宋_GBK"/>
          <w:sz w:val="28"/>
          <w:szCs w:val="28"/>
          <w:highlight w:val="none"/>
        </w:rPr>
      </w:r>
      <w:r/>
    </w:p>
    <w:p>
      <w:pPr>
        <w:pStyle w:val="1012"/>
        <w:ind w:firstLine="560"/>
        <w:jc w:val="center"/>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 xml:space="preserve">___年____月____日</w:t>
      </w:r>
      <w:r>
        <w:rPr>
          <w:rFonts w:hint="eastAsia" w:ascii="方正仿宋_GBK" w:hAnsi="方正仿宋_GBK" w:eastAsia="方正仿宋_GBK" w:cs="方正仿宋_GBK"/>
          <w:sz w:val="28"/>
          <w:szCs w:val="28"/>
          <w:highlight w:val="none"/>
          <w:shd w:val="clear" w:color="auto" w:fill="ffffff"/>
        </w:rPr>
        <w:t xml:space="preserve">        </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__________________</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highlight w:val="none"/>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highlight w:val="none"/>
          <w:shd w:val="clear" w:color="auto" w:fill="ffffff"/>
        </w:rPr>
      </w:r>
      <w:r/>
    </w:p>
    <w:p>
      <w:pPr>
        <w:pStyle w:val="1012"/>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24"/>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rPr>
          <w:rFonts w:hint="eastAsia" w:ascii="方正仿宋_GBK" w:hAnsi="方正仿宋_GBK" w:eastAsia="方正仿宋_GBK" w:cs="方正仿宋_GBK"/>
          <w:sz w:val="28"/>
          <w:szCs w:val="28"/>
          <w:highlight w:val="none"/>
          <w:shd w:val="clear" w:color="auto" w:fill="ffffff"/>
        </w:rPr>
      </w:r>
      <w:r/>
    </w:p>
    <w:p>
      <w:pPr>
        <w:pStyle w:val="950"/>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pStyle w:val="95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5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5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5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50"/>
        <w:spacing w:line="400" w:lineRule="exact"/>
        <w:rPr>
          <w:rFonts w:hint="eastAsia"/>
          <w:sz w:val="28"/>
          <w:szCs w:val="28"/>
          <w:highlight w:val="none"/>
        </w:rPr>
      </w:pPr>
      <w:r>
        <w:rPr>
          <w:rFonts w:hint="eastAsia"/>
          <w:sz w:val="28"/>
          <w:szCs w:val="28"/>
          <w:highlight w:val="none"/>
        </w:rPr>
      </w:r>
      <w:r/>
    </w:p>
    <w:p>
      <w:pPr>
        <w:pStyle w:val="950"/>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0"/>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0"/>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0"/>
        <w:ind w:firstLine="560"/>
        <w:spacing w:line="400" w:lineRule="exact"/>
        <w:rPr>
          <w:rFonts w:hint="eastAsia" w:ascii="方正黑体_GBK" w:hAnsi="方正黑体_GBK" w:eastAsia="方正黑体_GBK" w:cs="方正黑体_GBK"/>
          <w:bCs/>
          <w:sz w:val="28"/>
          <w:szCs w:val="28"/>
          <w:highlight w:val="none"/>
        </w:rPr>
      </w:pPr>
      <w:r/>
      <w:bookmarkEnd w:id="58"/>
      <w:r/>
      <w:bookmarkEnd w:id="59"/>
      <w:r/>
      <w:bookmarkEnd w:id="68"/>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附件14</w:t>
      </w:r>
      <w:r>
        <w:rPr>
          <w:rFonts w:hint="eastAsia" w:ascii="方正黑体_GBK" w:hAnsi="方正黑体_GBK" w:eastAsia="方正黑体_GBK" w:cs="方正黑体_GBK"/>
          <w:bCs/>
          <w:sz w:val="28"/>
          <w:szCs w:val="28"/>
          <w:highlight w:val="none"/>
        </w:rPr>
      </w:r>
      <w:r/>
    </w:p>
    <w:p>
      <w:pPr>
        <w:pStyle w:val="962"/>
        <w:tabs>
          <w:tab w:val="right" w:pos="8720" w:leader="dot"/>
        </w:tabs>
        <w:rPr>
          <w:highlight w:val="none"/>
          <w:lang w:val="en-US" w:eastAsia="zh-CN"/>
        </w:rPr>
      </w:pPr>
      <w:r>
        <w:rPr>
          <w:highlight w:val="none"/>
          <w:lang w:val="en-US" w:eastAsia="zh-CN"/>
        </w:rPr>
      </w:r>
      <w:r/>
    </w:p>
    <w:p>
      <w:pPr>
        <w:pStyle w:val="950"/>
        <w:ind w:firstLine="56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提供服务的人员均为订立劳动合同的从业人员的书面声明</w:t>
      </w:r>
      <w:r>
        <w:rPr>
          <w:rFonts w:hint="eastAsia" w:ascii="方正黑体_GBK" w:hAnsi="方正黑体_GBK" w:eastAsia="方正黑体_GBK" w:cs="方正黑体_GBK"/>
          <w:bCs/>
          <w:sz w:val="28"/>
          <w:szCs w:val="28"/>
          <w:highlight w:val="none"/>
        </w:rPr>
      </w:r>
      <w:r/>
    </w:p>
    <w:p>
      <w:pPr>
        <w:pStyle w:val="950"/>
        <w:ind w:firstLine="56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（采购包号：XX）</w:t>
      </w:r>
      <w:r>
        <w:rPr>
          <w:rFonts w:hint="eastAsia" w:ascii="方正黑体_GBK" w:hAnsi="方正黑体_GBK" w:eastAsia="方正黑体_GBK" w:cs="方正黑体_GBK"/>
          <w:bCs/>
          <w:sz w:val="28"/>
          <w:szCs w:val="28"/>
          <w:highlight w:val="none"/>
        </w:rPr>
      </w:r>
      <w:r/>
    </w:p>
    <w:p>
      <w:pPr>
        <w:pStyle w:val="950"/>
        <w:ind w:firstLine="640"/>
        <w:spacing w:line="560" w:lineRule="atLeast"/>
        <w:rPr>
          <w:rFonts w:hint="eastAsia" w:eastAsia="方正仿宋_GBK"/>
          <w:sz w:val="32"/>
          <w:szCs w:val="20"/>
          <w:highlight w:val="none"/>
        </w:rPr>
      </w:pPr>
      <w:r>
        <w:rPr>
          <w:rFonts w:hint="eastAsia" w:eastAsia="方正仿宋_GBK"/>
          <w:sz w:val="32"/>
          <w:szCs w:val="20"/>
          <w:highlight w:val="none"/>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eastAsia="方正仿宋_GBK"/>
          <w:sz w:val="32"/>
          <w:szCs w:val="20"/>
          <w:highlight w:val="none"/>
        </w:rPr>
      </w:r>
      <w:r/>
    </w:p>
    <w:p>
      <w:pPr>
        <w:pStyle w:val="950"/>
        <w:ind w:firstLine="640"/>
        <w:spacing w:line="560" w:lineRule="atLeast"/>
        <w:rPr>
          <w:rFonts w:hint="eastAsia" w:eastAsia="方正仿宋_GBK"/>
          <w:sz w:val="32"/>
          <w:szCs w:val="20"/>
          <w:highlight w:val="none"/>
        </w:rPr>
      </w:pPr>
      <w:r>
        <w:rPr>
          <w:rFonts w:hint="eastAsia" w:eastAsia="方正仿宋_GBK"/>
          <w:sz w:val="32"/>
          <w:szCs w:val="20"/>
          <w:highlight w:val="none"/>
        </w:rPr>
        <w:t xml:space="preserve">本企业（联合体）对上述声明的真实性负责。如有虚假，将依法承担相应责任。</w:t>
      </w:r>
      <w:r>
        <w:rPr>
          <w:rFonts w:hint="eastAsia" w:eastAsia="方正仿宋_GBK"/>
          <w:sz w:val="32"/>
          <w:szCs w:val="20"/>
          <w:highlight w:val="none"/>
        </w:rPr>
      </w:r>
      <w:r/>
    </w:p>
    <w:p>
      <w:pPr>
        <w:pStyle w:val="950"/>
        <w:ind w:firstLine="56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0"/>
        <w:ind w:firstLine="56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Cs/>
          <w:sz w:val="28"/>
          <w:szCs w:val="28"/>
          <w:highlight w:val="none"/>
        </w:rPr>
      </w:r>
      <w:r/>
    </w:p>
    <w:p>
      <w:pPr>
        <w:pStyle w:val="950"/>
        <w:ind w:firstLine="56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质疑函范本</w:t>
      </w:r>
      <w:r>
        <w:rPr>
          <w:rFonts w:hint="eastAsia" w:ascii="方正黑体_GBK" w:hAnsi="方正黑体_GBK" w:eastAsia="方正黑体_GBK" w:cs="方正黑体_GBK"/>
          <w:bCs/>
          <w:sz w:val="28"/>
          <w:szCs w:val="28"/>
          <w:highlight w:val="none"/>
        </w:rPr>
      </w:r>
      <w:r/>
    </w:p>
    <w:p>
      <w:pPr>
        <w:pStyle w:val="950"/>
        <w:ind w:firstLine="560"/>
        <w:spacing w:before="29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rPr>
          <w:rFonts w:hint="eastAsia" w:ascii="方正仿宋_GBK" w:hAnsi="方正仿宋_GBK" w:eastAsia="方正仿宋_GBK" w:cs="方正仿宋_GBK"/>
          <w:bCs/>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rPr>
          <w:rFonts w:hint="eastAsia" w:ascii="方正仿宋_GBK" w:hAnsi="方正仿宋_GBK" w:eastAsia="方正仿宋_GBK" w:cs="方正仿宋_GBK"/>
          <w:bCs/>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rPr>
          <w:rFonts w:hint="eastAsia" w:ascii="方正仿宋_GBK" w:hAnsi="方正仿宋_GBK" w:eastAsia="方正仿宋_GBK" w:cs="方正仿宋_GBK"/>
          <w:bCs/>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0"/>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rPr>
          <w:rFonts w:hint="eastAsia" w:ascii="方正仿宋_GBK" w:hAnsi="方正仿宋_GBK" w:eastAsia="方正仿宋_GBK" w:cs="方正仿宋_GBK"/>
          <w:sz w:val="28"/>
          <w:szCs w:val="28"/>
          <w:highlight w:val="none"/>
          <w:u w:val="singl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rPr>
          <w:rFonts w:hint="eastAsia" w:ascii="方正仿宋_GBK" w:hAnsi="方正仿宋_GBK" w:eastAsia="方正仿宋_GBK" w:cs="方正仿宋_GBK"/>
          <w:bCs/>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rPr>
          <w:rFonts w:hint="eastAsia" w:ascii="方正仿宋_GBK" w:hAnsi="方正仿宋_GBK" w:eastAsia="方正仿宋_GBK" w:cs="方正仿宋_GBK"/>
          <w:sz w:val="28"/>
          <w:szCs w:val="28"/>
          <w:highlight w:val="none"/>
        </w:rPr>
      </w:r>
      <w:r/>
    </w:p>
    <w:p>
      <w:pPr>
        <w:pStyle w:val="950"/>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rPr>
          <w:rFonts w:hint="eastAsia" w:ascii="方正仿宋_GBK" w:hAnsi="方正仿宋_GBK" w:eastAsia="方正仿宋_GBK" w:cs="方正仿宋_GBK"/>
          <w:sz w:val="28"/>
          <w:szCs w:val="28"/>
          <w:highlight w:val="none"/>
        </w:rPr>
      </w:r>
      <w:r/>
    </w:p>
    <w:p>
      <w:pPr>
        <w:pStyle w:val="950"/>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rPr>
          <w:rFonts w:hint="eastAsia" w:ascii="方正仿宋_GBK" w:hAnsi="方正仿宋_GBK" w:eastAsia="方正仿宋_GBK" w:cs="方正仿宋_GBK"/>
          <w:b/>
          <w:sz w:val="28"/>
          <w:szCs w:val="28"/>
          <w:highlight w:val="none"/>
        </w:rPr>
      </w:r>
      <w:r/>
    </w:p>
    <w:p>
      <w:pPr>
        <w:pStyle w:val="950"/>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rPr>
          <w:rFonts w:hint="eastAsia" w:ascii="方正仿宋_GBK" w:hAnsi="方正仿宋_GBK" w:eastAsia="方正仿宋_GBK" w:cs="方正仿宋_GBK"/>
          <w:sz w:val="28"/>
          <w:szCs w:val="28"/>
          <w:highlight w:val="none"/>
        </w:rPr>
      </w:r>
      <w:r/>
    </w:p>
    <w:p>
      <w:pPr>
        <w:pStyle w:val="950"/>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highlight w:val="none"/>
        </w:rPr>
      </w:r>
      <w:r/>
    </w:p>
    <w:p>
      <w:pPr>
        <w:pStyle w:val="950"/>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sz w:val="28"/>
          <w:szCs w:val="28"/>
          <w:highlight w:val="none"/>
        </w:rPr>
      </w:r>
      <w:r/>
    </w:p>
    <w:p>
      <w:pPr>
        <w:pStyle w:val="950"/>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sz w:val="28"/>
          <w:szCs w:val="28"/>
          <w:highlight w:val="none"/>
        </w:rPr>
      </w:r>
      <w:r/>
    </w:p>
    <w:p>
      <w:pPr>
        <w:pStyle w:val="950"/>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rPr>
          <w:rFonts w:hint="eastAsia" w:ascii="方正仿宋_GBK" w:hAnsi="方正仿宋_GBK" w:eastAsia="方正仿宋_GBK" w:cs="方正仿宋_GBK"/>
          <w:sz w:val="28"/>
          <w:szCs w:val="28"/>
          <w:highlight w:val="none"/>
        </w:rPr>
      </w:r>
      <w:r/>
    </w:p>
    <w:p>
      <w:pPr>
        <w:pStyle w:val="950"/>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highlight w:val="none"/>
        </w:rPr>
      </w:r>
      <w:r/>
    </w:p>
    <w:p>
      <w:pPr>
        <w:pStyle w:val="965"/>
        <w:spacing w:line="400" w:lineRule="exact"/>
        <w:rPr>
          <w:rFonts w:hint="eastAsia"/>
          <w:sz w:val="28"/>
          <w:szCs w:val="28"/>
          <w:highlight w:val="none"/>
        </w:rPr>
      </w:pPr>
      <w:r>
        <w:rPr>
          <w:rFonts w:hint="eastAsia"/>
          <w:sz w:val="28"/>
          <w:szCs w:val="28"/>
          <w:highlight w:val="none"/>
        </w:rPr>
      </w:r>
      <w:r/>
    </w:p>
    <w:p>
      <w:pPr>
        <w:pStyle w:val="965"/>
        <w:rPr>
          <w:sz w:val="24"/>
          <w:szCs w:val="24"/>
          <w:highlight w:val="none"/>
        </w:rPr>
      </w:pPr>
      <w:r>
        <w:rPr>
          <w:sz w:val="24"/>
          <w:szCs w:val="24"/>
          <w:highlight w:val="none"/>
        </w:rPr>
      </w:r>
      <w:r/>
    </w:p>
    <w:sectPr>
      <w:footerReference w:type="defaul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rPr>
        <w:rStyle w:val="1022"/>
      </w:rPr>
    </w:r>
    <w:r/>
  </w:p>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0"/>
                    </w:pPr>
                    <w:r/>
                    <w:r/>
                  </w:p>
                </w:txbxContent>
              </v:textbox>
            </v:shape>
          </w:pict>
        </mc:Fallback>
      </mc:AlternateContent>
    </w:r>
    <w:r/>
  </w:p>
  <w:p>
    <w:pPr>
      <w:pStyle w:val="99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0"/>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0"/>
      <w:isLgl w:val="false"/>
      <w:suff w:val="tab"/>
      <w:lvlText w:val="附录%1."/>
      <w:lvlJc w:val="left"/>
      <w:pPr>
        <w:pStyle w:val="95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7"/>
      <w:isLgl w:val="false"/>
      <w:suff w:val="tab"/>
      <w:lvlText w:val="%1."/>
      <w:lvlJc w:val="left"/>
      <w:pPr>
        <w:pStyle w:val="950"/>
        <w:ind w:left="709" w:hanging="709"/>
        <w:tabs>
          <w:tab w:val="num" w:pos="709" w:leader="none"/>
        </w:tabs>
      </w:pPr>
      <w:rPr>
        <w:rFonts w:hint="eastAsia"/>
      </w:rPr>
    </w:lvl>
    <w:lvl w:ilvl="1">
      <w:start w:val="1"/>
      <w:numFmt w:val="decimal"/>
      <w:isLgl w:val="false"/>
      <w:suff w:val="tab"/>
      <w:lvlText w:val="%1.%2"/>
      <w:lvlJc w:val="left"/>
      <w:pPr>
        <w:pStyle w:val="950"/>
        <w:ind w:left="709" w:hanging="709"/>
        <w:tabs>
          <w:tab w:val="num" w:pos="709" w:leader="none"/>
        </w:tabs>
      </w:pPr>
      <w:rPr>
        <w:rFonts w:hint="eastAsia"/>
      </w:rPr>
    </w:lvl>
    <w:lvl w:ilvl="2">
      <w:start w:val="1"/>
      <w:numFmt w:val="decimal"/>
      <w:isLgl w:val="false"/>
      <w:suff w:val="tab"/>
      <w:lvlText w:val="%1.%2.%3."/>
      <w:lvlJc w:val="left"/>
      <w:pPr>
        <w:pStyle w:val="950"/>
        <w:ind w:left="425" w:hanging="425"/>
        <w:tabs>
          <w:tab w:val="num" w:pos="425" w:leader="none"/>
        </w:tabs>
      </w:pPr>
      <w:rPr>
        <w:rFonts w:hint="eastAsia"/>
      </w:rPr>
    </w:lvl>
    <w:lvl w:ilvl="3">
      <w:start w:val="1"/>
      <w:numFmt w:val="decimal"/>
      <w:isLgl w:val="false"/>
      <w:suff w:val="tab"/>
      <w:lvlText w:val="%1.%2.%3.%4."/>
      <w:lvlJc w:val="left"/>
      <w:pPr>
        <w:pStyle w:val="950"/>
        <w:ind w:left="851" w:hanging="851"/>
        <w:tabs>
          <w:tab w:val="num" w:pos="851" w:leader="none"/>
        </w:tabs>
      </w:pPr>
      <w:rPr>
        <w:rFonts w:hint="eastAsia"/>
      </w:rPr>
    </w:lvl>
    <w:lvl w:ilvl="4">
      <w:start w:val="1"/>
      <w:numFmt w:val="decimal"/>
      <w:isLgl w:val="false"/>
      <w:suff w:val="tab"/>
      <w:lvlText w:val="%1.%2.%3.%4.%5."/>
      <w:lvlJc w:val="left"/>
      <w:pPr>
        <w:pStyle w:val="950"/>
        <w:ind w:left="992" w:hanging="992"/>
        <w:tabs>
          <w:tab w:val="num" w:pos="992" w:leader="none"/>
        </w:tabs>
      </w:pPr>
      <w:rPr>
        <w:rFonts w:hint="eastAsia"/>
      </w:rPr>
    </w:lvl>
    <w:lvl w:ilvl="5">
      <w:start w:val="1"/>
      <w:numFmt w:val="decimal"/>
      <w:isLgl w:val="false"/>
      <w:suff w:val="tab"/>
      <w:lvlText w:val="%1.%2.%3.%4.%5.%6."/>
      <w:lvlJc w:val="left"/>
      <w:pPr>
        <w:pStyle w:val="950"/>
        <w:ind w:left="1134" w:hanging="1134"/>
        <w:tabs>
          <w:tab w:val="num" w:pos="1134" w:leader="none"/>
        </w:tabs>
      </w:pPr>
      <w:rPr>
        <w:rFonts w:hint="eastAsia"/>
      </w:rPr>
    </w:lvl>
    <w:lvl w:ilvl="6">
      <w:start w:val="1"/>
      <w:numFmt w:val="decimal"/>
      <w:isLgl w:val="false"/>
      <w:suff w:val="tab"/>
      <w:lvlText w:val="%1.%2.%3.%4.%5.%6.%7."/>
      <w:lvlJc w:val="left"/>
      <w:pPr>
        <w:pStyle w:val="950"/>
        <w:ind w:left="1276" w:hanging="1276"/>
        <w:tabs>
          <w:tab w:val="num" w:pos="1276" w:leader="none"/>
        </w:tabs>
      </w:pPr>
      <w:rPr>
        <w:rFonts w:hint="eastAsia"/>
      </w:rPr>
    </w:lvl>
    <w:lvl w:ilvl="7">
      <w:start w:val="1"/>
      <w:numFmt w:val="decimal"/>
      <w:isLgl w:val="false"/>
      <w:suff w:val="tab"/>
      <w:lvlText w:val="%1.%2.%3.%4.%5.%6.%7.%8."/>
      <w:lvlJc w:val="left"/>
      <w:pPr>
        <w:pStyle w:val="950"/>
        <w:ind w:left="1418" w:hanging="1418"/>
        <w:tabs>
          <w:tab w:val="num" w:pos="1418" w:leader="none"/>
        </w:tabs>
      </w:pPr>
      <w:rPr>
        <w:rFonts w:hint="eastAsia"/>
      </w:rPr>
    </w:lvl>
    <w:lvl w:ilvl="8">
      <w:start w:val="1"/>
      <w:numFmt w:val="decimal"/>
      <w:isLgl w:val="false"/>
      <w:suff w:val="tab"/>
      <w:lvlText w:val="%1.%2.%3.%4.%5.%6.%7.%8.%9."/>
      <w:lvlJc w:val="left"/>
      <w:pPr>
        <w:pStyle w:val="950"/>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50"/>
        <w:ind w:left="0" w:firstLine="0"/>
      </w:pPr>
      <w:rPr>
        <w:rFonts w:hint="eastAsia"/>
      </w:rPr>
    </w:lvl>
    <w:lvl w:ilvl="1">
      <w:start w:val="1"/>
      <w:numFmt w:val="decimal"/>
      <w:isLgl w:val="false"/>
      <w:suff w:val="nothing"/>
      <w:lvlText w:val="%2、"/>
      <w:lvlJc w:val="left"/>
      <w:pPr>
        <w:pStyle w:val="950"/>
        <w:ind w:left="0" w:firstLine="0"/>
      </w:pPr>
      <w:rPr>
        <w:rFonts w:hint="eastAsia"/>
      </w:rPr>
    </w:lvl>
    <w:lvl w:ilvl="2">
      <w:start w:val="1"/>
      <w:numFmt w:val="decimal"/>
      <w:isLgl w:val="false"/>
      <w:suff w:val="nothing"/>
      <w:lvlText w:val="%2.%3 "/>
      <w:lvlJc w:val="left"/>
      <w:pPr>
        <w:pStyle w:val="950"/>
        <w:ind w:left="0" w:firstLine="0"/>
      </w:pPr>
      <w:rPr>
        <w:rFonts w:hint="eastAsia"/>
      </w:rPr>
    </w:lvl>
    <w:lvl w:ilvl="3">
      <w:start w:val="1"/>
      <w:numFmt w:val="decimal"/>
      <w:isLgl w:val="false"/>
      <w:suff w:val="nothing"/>
      <w:lvlText w:val="%2.%3.%4 "/>
      <w:lvlJc w:val="left"/>
      <w:pPr>
        <w:pStyle w:val="950"/>
        <w:ind w:left="0" w:firstLine="0"/>
      </w:pPr>
      <w:rPr>
        <w:rFonts w:hint="eastAsia"/>
      </w:rPr>
    </w:lvl>
    <w:lvl w:ilvl="4">
      <w:start w:val="1"/>
      <w:numFmt w:val="decimal"/>
      <w:isLgl w:val="false"/>
      <w:suff w:val="nothing"/>
      <w:lvlText w:val="%2.%3.%4.%5 "/>
      <w:lvlJc w:val="left"/>
      <w:pPr>
        <w:pStyle w:val="950"/>
        <w:ind w:left="0" w:firstLine="0"/>
      </w:pPr>
      <w:rPr>
        <w:rFonts w:hint="eastAsia"/>
      </w:rPr>
    </w:lvl>
    <w:lvl w:ilvl="5">
      <w:start w:val="1"/>
      <w:numFmt w:val="decimal"/>
      <w:pStyle w:val="956"/>
      <w:isLgl w:val="false"/>
      <w:suff w:val="nothing"/>
      <w:lvlText w:val=""/>
      <w:lvlJc w:val="left"/>
      <w:pPr>
        <w:pStyle w:val="950"/>
        <w:ind w:left="0" w:firstLine="0"/>
      </w:pPr>
      <w:rPr>
        <w:rFonts w:hint="eastAsia"/>
      </w:rPr>
    </w:lvl>
    <w:lvl w:ilvl="6">
      <w:start w:val="1"/>
      <w:numFmt w:val="decimal"/>
      <w:pStyle w:val="957"/>
      <w:isLgl w:val="false"/>
      <w:suff w:val="nothing"/>
      <w:lvlText w:val=""/>
      <w:lvlJc w:val="left"/>
      <w:pPr>
        <w:pStyle w:val="950"/>
        <w:ind w:left="0" w:firstLine="0"/>
      </w:pPr>
      <w:rPr>
        <w:rFonts w:hint="eastAsia"/>
      </w:rPr>
    </w:lvl>
    <w:lvl w:ilvl="7">
      <w:start w:val="1"/>
      <w:numFmt w:val="decimal"/>
      <w:pStyle w:val="958"/>
      <w:isLgl w:val="false"/>
      <w:suff w:val="nothing"/>
      <w:lvlText w:val=""/>
      <w:lvlJc w:val="left"/>
      <w:pPr>
        <w:pStyle w:val="950"/>
        <w:ind w:left="0" w:firstLine="0"/>
      </w:pPr>
      <w:rPr>
        <w:rFonts w:hint="eastAsia"/>
      </w:rPr>
    </w:lvl>
    <w:lvl w:ilvl="8">
      <w:start w:val="1"/>
      <w:numFmt w:val="decimal"/>
      <w:pStyle w:val="959"/>
      <w:isLgl w:val="false"/>
      <w:suff w:val="nothing"/>
      <w:lvlText w:val=""/>
      <w:lvlJc w:val="left"/>
      <w:pPr>
        <w:pStyle w:val="950"/>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50"/>
    <w:next w:val="950"/>
    <w:link w:val="773"/>
    <w:uiPriority w:val="9"/>
    <w:qFormat/>
    <w:pPr>
      <w:keepLines/>
      <w:keepNext/>
      <w:spacing w:before="480" w:after="200"/>
      <w:outlineLvl w:val="0"/>
    </w:pPr>
    <w:rPr>
      <w:rFonts w:ascii="Arial" w:hAnsi="Arial" w:eastAsia="Arial" w:cs="Arial"/>
      <w:sz w:val="40"/>
      <w:szCs w:val="40"/>
    </w:rPr>
  </w:style>
  <w:style w:type="character" w:styleId="773">
    <w:name w:val="Heading 1 Char"/>
    <w:link w:val="772"/>
    <w:uiPriority w:val="9"/>
    <w:rPr>
      <w:rFonts w:ascii="Arial" w:hAnsi="Arial" w:eastAsia="Arial" w:cs="Arial"/>
      <w:sz w:val="40"/>
      <w:szCs w:val="40"/>
    </w:rPr>
  </w:style>
  <w:style w:type="paragraph" w:styleId="774">
    <w:name w:val="Heading 2"/>
    <w:basedOn w:val="950"/>
    <w:next w:val="950"/>
    <w:link w:val="775"/>
    <w:uiPriority w:val="9"/>
    <w:unhideWhenUsed/>
    <w:qFormat/>
    <w:pPr>
      <w:keepLines/>
      <w:keepNext/>
      <w:spacing w:before="360" w:after="200"/>
      <w:outlineLvl w:val="1"/>
    </w:pPr>
    <w:rPr>
      <w:rFonts w:ascii="Arial" w:hAnsi="Arial" w:eastAsia="Arial" w:cs="Arial"/>
      <w:sz w:val="34"/>
    </w:rPr>
  </w:style>
  <w:style w:type="character" w:styleId="775">
    <w:name w:val="Heading 2 Char"/>
    <w:link w:val="774"/>
    <w:uiPriority w:val="9"/>
    <w:rPr>
      <w:rFonts w:ascii="Arial" w:hAnsi="Arial" w:eastAsia="Arial" w:cs="Arial"/>
      <w:sz w:val="34"/>
    </w:rPr>
  </w:style>
  <w:style w:type="paragraph" w:styleId="776">
    <w:name w:val="Heading 3"/>
    <w:basedOn w:val="950"/>
    <w:next w:val="950"/>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link w:val="776"/>
    <w:uiPriority w:val="9"/>
    <w:rPr>
      <w:rFonts w:ascii="Arial" w:hAnsi="Arial" w:eastAsia="Arial" w:cs="Arial"/>
      <w:sz w:val="30"/>
      <w:szCs w:val="30"/>
    </w:rPr>
  </w:style>
  <w:style w:type="paragraph" w:styleId="778">
    <w:name w:val="Heading 4"/>
    <w:basedOn w:val="950"/>
    <w:next w:val="950"/>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link w:val="778"/>
    <w:uiPriority w:val="9"/>
    <w:rPr>
      <w:rFonts w:ascii="Arial" w:hAnsi="Arial" w:eastAsia="Arial" w:cs="Arial"/>
      <w:b/>
      <w:bCs/>
      <w:sz w:val="26"/>
      <w:szCs w:val="26"/>
    </w:rPr>
  </w:style>
  <w:style w:type="paragraph" w:styleId="780">
    <w:name w:val="Heading 5"/>
    <w:basedOn w:val="950"/>
    <w:next w:val="950"/>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link w:val="780"/>
    <w:uiPriority w:val="9"/>
    <w:rPr>
      <w:rFonts w:ascii="Arial" w:hAnsi="Arial" w:eastAsia="Arial" w:cs="Arial"/>
      <w:b/>
      <w:bCs/>
      <w:sz w:val="24"/>
      <w:szCs w:val="24"/>
    </w:rPr>
  </w:style>
  <w:style w:type="paragraph" w:styleId="782">
    <w:name w:val="Heading 6"/>
    <w:basedOn w:val="950"/>
    <w:next w:val="950"/>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link w:val="782"/>
    <w:uiPriority w:val="9"/>
    <w:rPr>
      <w:rFonts w:ascii="Arial" w:hAnsi="Arial" w:eastAsia="Arial" w:cs="Arial"/>
      <w:b/>
      <w:bCs/>
      <w:sz w:val="22"/>
      <w:szCs w:val="22"/>
    </w:rPr>
  </w:style>
  <w:style w:type="paragraph" w:styleId="784">
    <w:name w:val="Heading 7"/>
    <w:basedOn w:val="950"/>
    <w:next w:val="950"/>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link w:val="784"/>
    <w:uiPriority w:val="9"/>
    <w:rPr>
      <w:rFonts w:ascii="Arial" w:hAnsi="Arial" w:eastAsia="Arial" w:cs="Arial"/>
      <w:b/>
      <w:bCs/>
      <w:i/>
      <w:iCs/>
      <w:sz w:val="22"/>
      <w:szCs w:val="22"/>
    </w:rPr>
  </w:style>
  <w:style w:type="paragraph" w:styleId="786">
    <w:name w:val="Heading 8"/>
    <w:basedOn w:val="950"/>
    <w:next w:val="950"/>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link w:val="786"/>
    <w:uiPriority w:val="9"/>
    <w:rPr>
      <w:rFonts w:ascii="Arial" w:hAnsi="Arial" w:eastAsia="Arial" w:cs="Arial"/>
      <w:i/>
      <w:iCs/>
      <w:sz w:val="22"/>
      <w:szCs w:val="22"/>
    </w:rPr>
  </w:style>
  <w:style w:type="paragraph" w:styleId="788">
    <w:name w:val="Heading 9"/>
    <w:basedOn w:val="950"/>
    <w:next w:val="950"/>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link w:val="788"/>
    <w:uiPriority w:val="9"/>
    <w:rPr>
      <w:rFonts w:ascii="Arial" w:hAnsi="Arial" w:eastAsia="Arial" w:cs="Arial"/>
      <w:i/>
      <w:iCs/>
      <w:sz w:val="21"/>
      <w:szCs w:val="21"/>
    </w:rPr>
  </w:style>
  <w:style w:type="paragraph" w:styleId="790">
    <w:name w:val="List Paragraph"/>
    <w:basedOn w:val="950"/>
    <w:uiPriority w:val="34"/>
    <w:qFormat/>
    <w:pPr>
      <w:contextualSpacing/>
      <w:ind w:left="720"/>
    </w:pPr>
  </w:style>
  <w:style w:type="paragraph" w:styleId="791">
    <w:name w:val="No Spacing"/>
    <w:uiPriority w:val="1"/>
    <w:qFormat/>
    <w:pPr>
      <w:spacing w:before="0" w:after="0" w:line="240" w:lineRule="auto"/>
    </w:p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5"/>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uiPriority w:val="35"/>
    <w:semiHidden/>
    <w:unhideWhenUsed/>
    <w:qFormat/>
    <w:pPr>
      <w:spacing w:line="276" w:lineRule="auto"/>
    </w:pPr>
    <w:rPr>
      <w:b/>
      <w:bCs/>
      <w:color w:val="4f81bd" w:themeColor="accent1"/>
      <w:sz w:val="18"/>
      <w:szCs w:val="18"/>
    </w:rPr>
  </w:style>
  <w:style w:type="character" w:styleId="805">
    <w:name w:val="Caption Char"/>
    <w:basedOn w:val="804"/>
    <w:link w:val="802"/>
    <w:uiPriority w:val="99"/>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62"/>
    <w:link w:val="950"/>
    <w:qFormat/>
    <w:pPr>
      <w:jc w:val="both"/>
      <w:widowControl w:val="off"/>
    </w:pPr>
    <w:rPr>
      <w:rFonts w:ascii="Times New Roman" w:hAnsi="Times New Roman"/>
      <w:sz w:val="21"/>
      <w:szCs w:val="21"/>
      <w:lang w:val="en-US" w:eastAsia="zh-CN" w:bidi="ar-SA"/>
    </w:rPr>
  </w:style>
  <w:style w:type="paragraph" w:styleId="951">
    <w:name w:val="标题 1"/>
    <w:basedOn w:val="950"/>
    <w:next w:val="950"/>
    <w:link w:val="963"/>
    <w:qFormat/>
    <w:pPr>
      <w:jc w:val="center"/>
      <w:keepNext/>
      <w:outlineLvl w:val="0"/>
    </w:pPr>
    <w:rPr>
      <w:rFonts w:ascii="楷体_GB2312" w:eastAsia="楷体_GB2312"/>
      <w:sz w:val="28"/>
      <w:szCs w:val="28"/>
    </w:rPr>
  </w:style>
  <w:style w:type="paragraph" w:styleId="952">
    <w:name w:val="标题 2"/>
    <w:basedOn w:val="950"/>
    <w:next w:val="965"/>
    <w:link w:val="964"/>
    <w:qFormat/>
    <w:pPr>
      <w:jc w:val="center"/>
      <w:keepLines/>
      <w:keepNext/>
      <w:spacing w:before="260" w:after="260" w:line="416" w:lineRule="auto"/>
      <w:outlineLvl w:val="1"/>
    </w:pPr>
    <w:rPr>
      <w:rFonts w:ascii="Arial" w:hAnsi="Arial" w:eastAsia="幼圆" w:cs="Arial"/>
      <w:b/>
      <w:bCs/>
      <w:sz w:val="44"/>
      <w:szCs w:val="44"/>
    </w:rPr>
  </w:style>
  <w:style w:type="paragraph" w:styleId="953">
    <w:name w:val="标题 3"/>
    <w:basedOn w:val="950"/>
    <w:next w:val="965"/>
    <w:link w:val="967"/>
    <w:qFormat/>
    <w:pPr>
      <w:keepLines/>
      <w:keepNext/>
      <w:spacing w:before="260" w:after="260" w:line="416" w:lineRule="auto"/>
      <w:outlineLvl w:val="2"/>
    </w:pPr>
    <w:rPr>
      <w:b/>
      <w:bCs/>
      <w:sz w:val="32"/>
      <w:szCs w:val="32"/>
    </w:rPr>
  </w:style>
  <w:style w:type="paragraph" w:styleId="954">
    <w:name w:val="标题 4"/>
    <w:basedOn w:val="950"/>
    <w:next w:val="965"/>
    <w:link w:val="968"/>
    <w:qFormat/>
    <w:pPr>
      <w:keepLines/>
      <w:keepNext/>
      <w:spacing w:before="280" w:after="290" w:line="376" w:lineRule="auto"/>
      <w:outlineLvl w:val="3"/>
    </w:pPr>
    <w:rPr>
      <w:rFonts w:ascii="Arial" w:hAnsi="Arial" w:eastAsia="黑体" w:cs="Arial"/>
      <w:b/>
      <w:bCs/>
      <w:sz w:val="28"/>
      <w:szCs w:val="28"/>
    </w:rPr>
  </w:style>
  <w:style w:type="paragraph" w:styleId="955">
    <w:name w:val="标题 5"/>
    <w:basedOn w:val="950"/>
    <w:next w:val="965"/>
    <w:link w:val="969"/>
    <w:qFormat/>
    <w:pPr>
      <w:keepNext/>
      <w:outlineLvl w:val="4"/>
    </w:pPr>
    <w:rPr>
      <w:rFonts w:ascii="宋体"/>
      <w:color w:val="000000"/>
      <w:sz w:val="28"/>
      <w:szCs w:val="28"/>
    </w:rPr>
  </w:style>
  <w:style w:type="paragraph" w:styleId="956">
    <w:name w:val="标题 6"/>
    <w:basedOn w:val="950"/>
    <w:next w:val="950"/>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7">
    <w:name w:val="标题 7"/>
    <w:basedOn w:val="950"/>
    <w:next w:val="950"/>
    <w:link w:val="971"/>
    <w:qFormat/>
    <w:pPr>
      <w:numPr>
        <w:ilvl w:val="6"/>
        <w:numId w:val="1"/>
      </w:numPr>
      <w:keepLines/>
      <w:keepNext/>
      <w:spacing w:before="240" w:after="64" w:line="320" w:lineRule="auto"/>
      <w:outlineLvl w:val="6"/>
    </w:pPr>
    <w:rPr>
      <w:b/>
      <w:bCs/>
      <w:sz w:val="24"/>
      <w:szCs w:val="24"/>
    </w:rPr>
  </w:style>
  <w:style w:type="paragraph" w:styleId="958">
    <w:name w:val="标题 8"/>
    <w:basedOn w:val="950"/>
    <w:next w:val="950"/>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59">
    <w:name w:val="标题 9"/>
    <w:basedOn w:val="950"/>
    <w:next w:val="950"/>
    <w:link w:val="973"/>
    <w:qFormat/>
    <w:pPr>
      <w:numPr>
        <w:ilvl w:val="8"/>
        <w:numId w:val="1"/>
      </w:numPr>
      <w:keepLines/>
      <w:keepNext/>
      <w:spacing w:before="240" w:after="64" w:line="320" w:lineRule="auto"/>
      <w:outlineLvl w:val="8"/>
    </w:pPr>
    <w:rPr>
      <w:rFonts w:ascii="Arial" w:hAnsi="Arial" w:eastAsia="黑体"/>
    </w:rPr>
  </w:style>
  <w:style w:type="character" w:styleId="960">
    <w:name w:val="默认段落字体"/>
    <w:next w:val="960"/>
    <w:link w:val="950"/>
    <w:uiPriority w:val="1"/>
    <w:unhideWhenUsed/>
  </w:style>
  <w:style w:type="table" w:styleId="961">
    <w:name w:val="普通表格"/>
    <w:next w:val="961"/>
    <w:link w:val="950"/>
    <w:uiPriority w:val="99"/>
    <w:unhideWhenUsed/>
    <w:tblPr/>
  </w:style>
  <w:style w:type="paragraph" w:styleId="962">
    <w:name w:val="目录 1"/>
    <w:basedOn w:val="950"/>
    <w:next w:val="950"/>
    <w:link w:val="950"/>
    <w:semiHidden/>
    <w:pPr>
      <w:jc w:val="left"/>
      <w:spacing w:before="120" w:after="120" w:line="400" w:lineRule="exact"/>
      <w:tabs>
        <w:tab w:val="right" w:pos="8720" w:leader="dot"/>
      </w:tabs>
    </w:pPr>
    <w:rPr>
      <w:rFonts w:ascii="宋体" w:hAnsi="宋体"/>
      <w:caps/>
      <w:sz w:val="24"/>
      <w:szCs w:val="24"/>
    </w:rPr>
  </w:style>
  <w:style w:type="character" w:styleId="963">
    <w:name w:val="标题 1 字符"/>
    <w:next w:val="963"/>
    <w:link w:val="951"/>
    <w:rPr>
      <w:rFonts w:ascii="楷体_GB2312" w:hAnsi="Times New Roman" w:eastAsia="楷体_GB2312" w:cs="Times New Roman"/>
      <w:sz w:val="28"/>
      <w:szCs w:val="28"/>
    </w:rPr>
  </w:style>
  <w:style w:type="character" w:styleId="964">
    <w:name w:val="标题 2 字符"/>
    <w:next w:val="964"/>
    <w:link w:val="952"/>
    <w:rPr>
      <w:rFonts w:ascii="Arial" w:hAnsi="Arial" w:eastAsia="幼圆" w:cs="Arial"/>
      <w:b/>
      <w:bCs/>
      <w:sz w:val="44"/>
      <w:szCs w:val="44"/>
    </w:rPr>
  </w:style>
  <w:style w:type="paragraph" w:styleId="965">
    <w:name w:val="正文缩进"/>
    <w:basedOn w:val="950"/>
    <w:next w:val="965"/>
    <w:link w:val="966"/>
    <w:pPr>
      <w:ind w:firstLine="420"/>
    </w:pPr>
  </w:style>
  <w:style w:type="character" w:styleId="966">
    <w:name w:val="正文缩进 字符"/>
    <w:next w:val="966"/>
    <w:link w:val="965"/>
    <w:rPr>
      <w:rFonts w:ascii="Times New Roman" w:hAnsi="Times New Roman" w:eastAsia="宋体" w:cs="Times New Roman"/>
      <w:szCs w:val="21"/>
    </w:rPr>
  </w:style>
  <w:style w:type="character" w:styleId="967">
    <w:name w:val="标题 3 字符"/>
    <w:next w:val="967"/>
    <w:link w:val="953"/>
    <w:rPr>
      <w:rFonts w:ascii="Times New Roman" w:hAnsi="Times New Roman" w:eastAsia="宋体" w:cs="Times New Roman"/>
      <w:b/>
      <w:bCs/>
      <w:sz w:val="32"/>
      <w:szCs w:val="32"/>
    </w:rPr>
  </w:style>
  <w:style w:type="character" w:styleId="968">
    <w:name w:val="标题 4 字符"/>
    <w:next w:val="968"/>
    <w:link w:val="954"/>
    <w:rPr>
      <w:rFonts w:ascii="Arial" w:hAnsi="Arial" w:eastAsia="黑体" w:cs="Arial"/>
      <w:b/>
      <w:bCs/>
      <w:sz w:val="28"/>
      <w:szCs w:val="28"/>
    </w:rPr>
  </w:style>
  <w:style w:type="character" w:styleId="969">
    <w:name w:val="标题 5 字符"/>
    <w:next w:val="969"/>
    <w:link w:val="955"/>
    <w:rPr>
      <w:rFonts w:ascii="宋体" w:hAnsi="Times New Roman" w:eastAsia="宋体" w:cs="Times New Roman"/>
      <w:color w:val="000000"/>
      <w:sz w:val="28"/>
      <w:szCs w:val="28"/>
    </w:rPr>
  </w:style>
  <w:style w:type="character" w:styleId="970">
    <w:name w:val="标题 6 字符"/>
    <w:next w:val="970"/>
    <w:link w:val="956"/>
    <w:rPr>
      <w:rFonts w:ascii="Arial" w:hAnsi="Arial" w:eastAsia="黑体" w:cs="Times New Roman"/>
      <w:b/>
      <w:bCs/>
      <w:sz w:val="24"/>
      <w:szCs w:val="24"/>
    </w:rPr>
  </w:style>
  <w:style w:type="character" w:styleId="971">
    <w:name w:val="标题 7 字符"/>
    <w:next w:val="971"/>
    <w:link w:val="957"/>
    <w:rPr>
      <w:rFonts w:ascii="Times New Roman" w:hAnsi="Times New Roman" w:eastAsia="宋体" w:cs="Times New Roman"/>
      <w:b/>
      <w:bCs/>
      <w:sz w:val="24"/>
      <w:szCs w:val="24"/>
    </w:rPr>
  </w:style>
  <w:style w:type="character" w:styleId="972">
    <w:name w:val="标题 8 字符"/>
    <w:next w:val="972"/>
    <w:link w:val="958"/>
    <w:rPr>
      <w:rFonts w:ascii="Arial" w:hAnsi="Arial" w:eastAsia="黑体" w:cs="Times New Roman"/>
      <w:sz w:val="24"/>
      <w:szCs w:val="24"/>
    </w:rPr>
  </w:style>
  <w:style w:type="character" w:styleId="973">
    <w:name w:val="标题 9 字符"/>
    <w:next w:val="973"/>
    <w:link w:val="959"/>
    <w:rPr>
      <w:rFonts w:ascii="Arial" w:hAnsi="Arial" w:eastAsia="黑体" w:cs="Times New Roman"/>
      <w:szCs w:val="21"/>
    </w:rPr>
  </w:style>
  <w:style w:type="paragraph" w:styleId="974">
    <w:name w:val="列表 3"/>
    <w:basedOn w:val="950"/>
    <w:next w:val="974"/>
    <w:link w:val="950"/>
    <w:pPr>
      <w:ind w:left="100" w:hanging="200"/>
    </w:pPr>
  </w:style>
  <w:style w:type="paragraph" w:styleId="975">
    <w:name w:val="目录 7"/>
    <w:basedOn w:val="950"/>
    <w:next w:val="950"/>
    <w:link w:val="950"/>
    <w:semiHidden/>
    <w:pPr>
      <w:ind w:left="1260"/>
      <w:jc w:val="left"/>
    </w:pPr>
  </w:style>
  <w:style w:type="paragraph" w:styleId="976">
    <w:name w:val="文档结构图"/>
    <w:basedOn w:val="950"/>
    <w:next w:val="976"/>
    <w:link w:val="977"/>
    <w:semiHidden/>
    <w:pPr>
      <w:shd w:val="clear" w:color="auto" w:fill="000080"/>
    </w:pPr>
  </w:style>
  <w:style w:type="character" w:styleId="977">
    <w:name w:val="文档结构图 字符"/>
    <w:next w:val="977"/>
    <w:link w:val="976"/>
    <w:semiHidden/>
    <w:rPr>
      <w:rFonts w:ascii="Times New Roman" w:hAnsi="Times New Roman" w:eastAsia="宋体" w:cs="Times New Roman"/>
      <w:szCs w:val="21"/>
      <w:shd w:val="clear" w:color="auto" w:fill="000080"/>
    </w:rPr>
  </w:style>
  <w:style w:type="paragraph" w:styleId="978">
    <w:name w:val="批注文字"/>
    <w:basedOn w:val="950"/>
    <w:next w:val="978"/>
    <w:link w:val="979"/>
    <w:semiHidden/>
    <w:pPr>
      <w:jc w:val="left"/>
    </w:pPr>
  </w:style>
  <w:style w:type="character" w:styleId="979">
    <w:name w:val="批注文字 字符"/>
    <w:next w:val="979"/>
    <w:link w:val="978"/>
    <w:semiHidden/>
    <w:rPr>
      <w:rFonts w:ascii="Times New Roman" w:hAnsi="Times New Roman" w:eastAsia="宋体" w:cs="Times New Roman"/>
      <w:szCs w:val="21"/>
    </w:rPr>
  </w:style>
  <w:style w:type="paragraph" w:styleId="980">
    <w:name w:val="正文文本 3"/>
    <w:basedOn w:val="950"/>
    <w:next w:val="980"/>
    <w:link w:val="981"/>
    <w:rPr>
      <w:rFonts w:ascii="仿宋_GB2312" w:hAnsi="Arial" w:eastAsia="仿宋_GB2312"/>
      <w:sz w:val="32"/>
      <w:szCs w:val="32"/>
    </w:rPr>
  </w:style>
  <w:style w:type="character" w:styleId="981">
    <w:name w:val="正文文本 3 字符"/>
    <w:next w:val="981"/>
    <w:link w:val="980"/>
    <w:rPr>
      <w:rFonts w:ascii="仿宋_GB2312" w:hAnsi="Arial" w:eastAsia="仿宋_GB2312" w:cs="Times New Roman"/>
      <w:sz w:val="32"/>
      <w:szCs w:val="32"/>
    </w:rPr>
  </w:style>
  <w:style w:type="paragraph" w:styleId="982">
    <w:name w:val="正文文本"/>
    <w:basedOn w:val="950"/>
    <w:next w:val="982"/>
    <w:link w:val="983"/>
    <w:rPr>
      <w:rFonts w:ascii="楷体_GB2312" w:hAnsi="Arial" w:eastAsia="楷体_GB2312"/>
      <w:sz w:val="28"/>
      <w:szCs w:val="28"/>
    </w:rPr>
  </w:style>
  <w:style w:type="character" w:styleId="983">
    <w:name w:val="正文文本 字符"/>
    <w:next w:val="983"/>
    <w:link w:val="982"/>
    <w:rPr>
      <w:rFonts w:ascii="楷体_GB2312" w:hAnsi="Arial" w:eastAsia="楷体_GB2312" w:cs="Times New Roman"/>
      <w:sz w:val="28"/>
      <w:szCs w:val="28"/>
    </w:rPr>
  </w:style>
  <w:style w:type="paragraph" w:styleId="984">
    <w:name w:val="正文文本缩进"/>
    <w:basedOn w:val="950"/>
    <w:next w:val="984"/>
    <w:link w:val="985"/>
    <w:pPr>
      <w:ind w:firstLine="645"/>
    </w:pPr>
    <w:rPr>
      <w:rFonts w:ascii="楷体_GB2312" w:eastAsia="楷体_GB2312"/>
      <w:sz w:val="32"/>
      <w:szCs w:val="32"/>
    </w:rPr>
  </w:style>
  <w:style w:type="character" w:styleId="985">
    <w:name w:val="正文文本缩进 字符"/>
    <w:next w:val="985"/>
    <w:link w:val="984"/>
    <w:rPr>
      <w:rFonts w:ascii="楷体_GB2312" w:hAnsi="Times New Roman" w:eastAsia="楷体_GB2312" w:cs="Times New Roman"/>
      <w:sz w:val="32"/>
      <w:szCs w:val="32"/>
    </w:rPr>
  </w:style>
  <w:style w:type="paragraph" w:styleId="986">
    <w:name w:val="列表 2"/>
    <w:basedOn w:val="950"/>
    <w:next w:val="986"/>
    <w:link w:val="950"/>
    <w:pPr>
      <w:ind w:left="100" w:hanging="200"/>
    </w:pPr>
  </w:style>
  <w:style w:type="paragraph" w:styleId="987">
    <w:name w:val="目录 5"/>
    <w:basedOn w:val="950"/>
    <w:next w:val="950"/>
    <w:link w:val="950"/>
    <w:semiHidden/>
    <w:pPr>
      <w:ind w:left="840"/>
      <w:jc w:val="left"/>
    </w:pPr>
  </w:style>
  <w:style w:type="paragraph" w:styleId="988">
    <w:name w:val="目录 3"/>
    <w:basedOn w:val="950"/>
    <w:next w:val="950"/>
    <w:link w:val="950"/>
    <w:semiHidden/>
    <w:pPr>
      <w:ind w:left="420"/>
      <w:jc w:val="left"/>
    </w:pPr>
    <w:rPr>
      <w:i/>
      <w:iCs/>
      <w:szCs w:val="24"/>
    </w:rPr>
  </w:style>
  <w:style w:type="paragraph" w:styleId="989">
    <w:name w:val="纯文本"/>
    <w:basedOn w:val="950"/>
    <w:next w:val="989"/>
    <w:link w:val="990"/>
    <w:rPr>
      <w:rFonts w:ascii="宋体" w:hAnsi="Courier New" w:cs="Courier New"/>
    </w:rPr>
  </w:style>
  <w:style w:type="character" w:styleId="990">
    <w:name w:val="纯文本 字符"/>
    <w:next w:val="990"/>
    <w:link w:val="989"/>
    <w:rPr>
      <w:rFonts w:ascii="宋体" w:hAnsi="Courier New" w:eastAsia="宋体" w:cs="Courier New"/>
      <w:szCs w:val="21"/>
    </w:rPr>
  </w:style>
  <w:style w:type="paragraph" w:styleId="991">
    <w:name w:val="目录 8"/>
    <w:basedOn w:val="950"/>
    <w:next w:val="950"/>
    <w:link w:val="950"/>
    <w:semiHidden/>
    <w:pPr>
      <w:ind w:left="1470"/>
      <w:jc w:val="left"/>
    </w:pPr>
  </w:style>
  <w:style w:type="paragraph" w:styleId="992">
    <w:name w:val="日期"/>
    <w:basedOn w:val="950"/>
    <w:next w:val="950"/>
    <w:link w:val="993"/>
    <w:rPr>
      <w:sz w:val="24"/>
      <w:szCs w:val="24"/>
    </w:rPr>
  </w:style>
  <w:style w:type="character" w:styleId="993">
    <w:name w:val="日期 字符"/>
    <w:next w:val="993"/>
    <w:link w:val="992"/>
    <w:rPr>
      <w:rFonts w:ascii="Times New Roman" w:hAnsi="Times New Roman" w:eastAsia="宋体" w:cs="Times New Roman"/>
      <w:sz w:val="24"/>
      <w:szCs w:val="24"/>
    </w:rPr>
  </w:style>
  <w:style w:type="paragraph" w:styleId="994">
    <w:name w:val="正文文本缩进 2"/>
    <w:basedOn w:val="950"/>
    <w:next w:val="994"/>
    <w:link w:val="995"/>
    <w:pPr>
      <w:ind w:left="630" w:firstLine="645"/>
    </w:pPr>
    <w:rPr>
      <w:rFonts w:ascii="Arial" w:hAnsi="Arial" w:eastAsia="仿宋_GB2312" w:cs="Arial"/>
      <w:sz w:val="32"/>
      <w:szCs w:val="32"/>
    </w:rPr>
  </w:style>
  <w:style w:type="character" w:styleId="995">
    <w:name w:val="正文文本缩进 2 字符"/>
    <w:next w:val="995"/>
    <w:link w:val="994"/>
    <w:rPr>
      <w:rFonts w:ascii="Arial" w:hAnsi="Arial" w:eastAsia="仿宋_GB2312" w:cs="Arial"/>
      <w:sz w:val="32"/>
      <w:szCs w:val="32"/>
    </w:rPr>
  </w:style>
  <w:style w:type="paragraph" w:styleId="996">
    <w:name w:val="批注框文本"/>
    <w:basedOn w:val="950"/>
    <w:next w:val="996"/>
    <w:link w:val="997"/>
    <w:semiHidden/>
    <w:rPr>
      <w:sz w:val="18"/>
      <w:szCs w:val="18"/>
    </w:rPr>
  </w:style>
  <w:style w:type="character" w:styleId="997">
    <w:name w:val="批注框文本 字符"/>
    <w:next w:val="997"/>
    <w:link w:val="996"/>
    <w:semiHidden/>
    <w:rPr>
      <w:rFonts w:ascii="Times New Roman" w:hAnsi="Times New Roman" w:eastAsia="宋体" w:cs="Times New Roman"/>
      <w:sz w:val="18"/>
      <w:szCs w:val="18"/>
    </w:rPr>
  </w:style>
  <w:style w:type="paragraph" w:styleId="998">
    <w:name w:val="页脚"/>
    <w:basedOn w:val="950"/>
    <w:next w:val="998"/>
    <w:link w:val="999"/>
    <w:uiPriority w:val="99"/>
    <w:pPr>
      <w:jc w:val="left"/>
      <w:tabs>
        <w:tab w:val="center" w:pos="4153" w:leader="none"/>
        <w:tab w:val="right" w:pos="8306" w:leader="none"/>
      </w:tabs>
    </w:pPr>
    <w:rPr>
      <w:sz w:val="18"/>
      <w:szCs w:val="18"/>
    </w:rPr>
  </w:style>
  <w:style w:type="character" w:styleId="999">
    <w:name w:val="页脚 字符"/>
    <w:next w:val="999"/>
    <w:link w:val="998"/>
    <w:uiPriority w:val="99"/>
    <w:rPr>
      <w:rFonts w:ascii="Times New Roman" w:hAnsi="Times New Roman" w:eastAsia="宋体" w:cs="Times New Roman"/>
      <w:sz w:val="18"/>
      <w:szCs w:val="18"/>
    </w:rPr>
  </w:style>
  <w:style w:type="paragraph" w:styleId="1000">
    <w:name w:val="页眉"/>
    <w:basedOn w:val="950"/>
    <w:next w:val="1000"/>
    <w:link w:val="1001"/>
    <w:pPr>
      <w:jc w:val="center"/>
      <w:tabs>
        <w:tab w:val="center" w:pos="4153" w:leader="none"/>
        <w:tab w:val="right" w:pos="8306" w:leader="none"/>
      </w:tabs>
      <w:pBdr>
        <w:bottom w:val="single" w:color="000000" w:sz="6" w:space="1"/>
      </w:pBdr>
    </w:pPr>
    <w:rPr>
      <w:sz w:val="18"/>
      <w:szCs w:val="18"/>
    </w:rPr>
  </w:style>
  <w:style w:type="character" w:styleId="1001">
    <w:name w:val="页眉 字符"/>
    <w:next w:val="1001"/>
    <w:link w:val="1000"/>
    <w:rPr>
      <w:rFonts w:ascii="Times New Roman" w:hAnsi="Times New Roman" w:eastAsia="宋体" w:cs="Times New Roman"/>
      <w:sz w:val="18"/>
      <w:szCs w:val="18"/>
    </w:rPr>
  </w:style>
  <w:style w:type="paragraph" w:styleId="1002">
    <w:name w:val="目录 4"/>
    <w:basedOn w:val="950"/>
    <w:next w:val="950"/>
    <w:link w:val="950"/>
    <w:semiHidden/>
    <w:pPr>
      <w:ind w:left="630"/>
      <w:jc w:val="left"/>
    </w:pPr>
  </w:style>
  <w:style w:type="paragraph" w:styleId="1003">
    <w:name w:val="列表"/>
    <w:basedOn w:val="950"/>
    <w:next w:val="1003"/>
    <w:link w:val="950"/>
    <w:pPr>
      <w:ind w:left="200" w:hanging="200"/>
    </w:pPr>
  </w:style>
  <w:style w:type="paragraph" w:styleId="1004">
    <w:name w:val="目录 6"/>
    <w:basedOn w:val="950"/>
    <w:next w:val="950"/>
    <w:link w:val="950"/>
    <w:semiHidden/>
    <w:pPr>
      <w:ind w:left="1050"/>
      <w:jc w:val="left"/>
    </w:pPr>
  </w:style>
  <w:style w:type="paragraph" w:styleId="1005">
    <w:name w:val="正文文本缩进 3"/>
    <w:basedOn w:val="950"/>
    <w:next w:val="1005"/>
    <w:link w:val="1006"/>
    <w:pPr>
      <w:ind w:left="645" w:firstLine="645"/>
    </w:pPr>
    <w:rPr>
      <w:rFonts w:ascii="Arial" w:hAnsi="Arial" w:eastAsia="仿宋_GB2312" w:cs="Arial"/>
      <w:color w:val="ffff00"/>
      <w:sz w:val="32"/>
      <w:szCs w:val="32"/>
    </w:rPr>
  </w:style>
  <w:style w:type="character" w:styleId="1006">
    <w:name w:val="正文文本缩进 3 字符"/>
    <w:next w:val="1006"/>
    <w:link w:val="1005"/>
    <w:rPr>
      <w:rFonts w:ascii="Arial" w:hAnsi="Arial" w:eastAsia="仿宋_GB2312" w:cs="Arial"/>
      <w:color w:val="ffff00"/>
      <w:sz w:val="32"/>
      <w:szCs w:val="32"/>
    </w:rPr>
  </w:style>
  <w:style w:type="paragraph" w:styleId="1007">
    <w:name w:val="图表目录"/>
    <w:basedOn w:val="950"/>
    <w:next w:val="950"/>
    <w:link w:val="950"/>
    <w:semiHidden/>
    <w:pPr>
      <w:ind w:left="840" w:hanging="420"/>
    </w:pPr>
  </w:style>
  <w:style w:type="paragraph" w:styleId="1008">
    <w:name w:val="目录 2"/>
    <w:basedOn w:val="950"/>
    <w:next w:val="950"/>
    <w:link w:val="950"/>
    <w:semiHidden/>
    <w:pPr>
      <w:ind w:left="210"/>
      <w:jc w:val="left"/>
    </w:pPr>
    <w:rPr>
      <w:smallCaps/>
      <w:szCs w:val="24"/>
    </w:rPr>
  </w:style>
  <w:style w:type="paragraph" w:styleId="1009">
    <w:name w:val="目录 9"/>
    <w:basedOn w:val="950"/>
    <w:next w:val="950"/>
    <w:link w:val="950"/>
    <w:semiHidden/>
    <w:pPr>
      <w:ind w:left="1680"/>
      <w:jc w:val="left"/>
    </w:pPr>
  </w:style>
  <w:style w:type="paragraph" w:styleId="1010">
    <w:name w:val="正文文本 2"/>
    <w:basedOn w:val="950"/>
    <w:next w:val="1010"/>
    <w:link w:val="1011"/>
    <w:pPr>
      <w:jc w:val="center"/>
      <w:widowControl/>
    </w:pPr>
    <w:rPr>
      <w:rFonts w:ascii="楷体_GB2312" w:eastAsia="楷体_GB2312"/>
      <w:sz w:val="28"/>
      <w:szCs w:val="28"/>
    </w:rPr>
  </w:style>
  <w:style w:type="character" w:styleId="1011">
    <w:name w:val="正文文本 2 字符"/>
    <w:next w:val="1011"/>
    <w:link w:val="1010"/>
    <w:rPr>
      <w:rFonts w:ascii="楷体_GB2312" w:hAnsi="Times New Roman" w:eastAsia="楷体_GB2312" w:cs="Times New Roman"/>
      <w:sz w:val="28"/>
      <w:szCs w:val="28"/>
    </w:rPr>
  </w:style>
  <w:style w:type="paragraph" w:styleId="1012">
    <w:name w:val="普通(网站)"/>
    <w:basedOn w:val="950"/>
    <w:next w:val="1012"/>
    <w:link w:val="950"/>
    <w:uiPriority w:val="99"/>
    <w:pPr>
      <w:jc w:val="left"/>
      <w:spacing w:before="100" w:beforeAutospacing="1" w:after="100" w:afterAutospacing="1"/>
      <w:widowControl/>
    </w:pPr>
    <w:rPr>
      <w:rFonts w:ascii="宋体" w:hAnsi="宋体" w:cs="宋体"/>
      <w:sz w:val="24"/>
      <w:szCs w:val="24"/>
    </w:rPr>
  </w:style>
  <w:style w:type="paragraph" w:styleId="1013">
    <w:name w:val="索引 1"/>
    <w:basedOn w:val="950"/>
    <w:next w:val="950"/>
    <w:link w:val="950"/>
    <w:semiHidden/>
    <w:pPr>
      <w:spacing w:line="240" w:lineRule="atLeast"/>
    </w:pPr>
    <w:rPr>
      <w:b/>
      <w:bCs/>
    </w:rPr>
  </w:style>
  <w:style w:type="paragraph" w:styleId="1014">
    <w:name w:val="批注主题"/>
    <w:basedOn w:val="978"/>
    <w:next w:val="978"/>
    <w:link w:val="1015"/>
    <w:semiHidden/>
    <w:rPr>
      <w:b/>
      <w:bCs/>
    </w:rPr>
  </w:style>
  <w:style w:type="character" w:styleId="1015">
    <w:name w:val="批注主题 字符"/>
    <w:next w:val="1015"/>
    <w:link w:val="1014"/>
    <w:semiHidden/>
    <w:rPr>
      <w:rFonts w:ascii="Times New Roman" w:hAnsi="Times New Roman" w:eastAsia="宋体" w:cs="Times New Roman"/>
      <w:b/>
      <w:bCs/>
      <w:szCs w:val="21"/>
    </w:rPr>
  </w:style>
  <w:style w:type="paragraph" w:styleId="1016">
    <w:name w:val="正文首行缩进"/>
    <w:basedOn w:val="950"/>
    <w:next w:val="1016"/>
    <w:link w:val="1017"/>
    <w:pPr>
      <w:ind w:firstLine="200"/>
      <w:spacing w:line="360" w:lineRule="auto"/>
    </w:pPr>
    <w:rPr>
      <w:rFonts w:ascii="仿宋_GB2312" w:eastAsia="仿宋_GB2312"/>
      <w:sz w:val="30"/>
      <w:szCs w:val="30"/>
    </w:rPr>
  </w:style>
  <w:style w:type="character" w:styleId="1017">
    <w:name w:val="正文文本首行缩进 字符"/>
    <w:next w:val="1017"/>
    <w:link w:val="1016"/>
    <w:rPr>
      <w:rFonts w:ascii="仿宋_GB2312" w:hAnsi="Times New Roman" w:eastAsia="仿宋_GB2312" w:cs="Times New Roman"/>
      <w:sz w:val="30"/>
      <w:szCs w:val="30"/>
    </w:rPr>
  </w:style>
  <w:style w:type="paragraph" w:styleId="1018">
    <w:name w:val="正文首行缩进 2"/>
    <w:basedOn w:val="984"/>
    <w:next w:val="1018"/>
    <w:link w:val="1019"/>
    <w:pPr>
      <w:ind w:firstLine="420"/>
      <w:spacing w:line="360" w:lineRule="auto"/>
    </w:pPr>
    <w:rPr>
      <w:rFonts w:ascii="宋体" w:hAnsi="宋体" w:eastAsia="宋体"/>
      <w:sz w:val="21"/>
      <w:szCs w:val="20"/>
    </w:rPr>
  </w:style>
  <w:style w:type="character" w:styleId="1019">
    <w:name w:val="正文文本首行缩进 2 字符"/>
    <w:next w:val="1019"/>
    <w:link w:val="1018"/>
    <w:rPr>
      <w:rFonts w:ascii="宋体" w:hAnsi="宋体" w:eastAsia="宋体" w:cs="Times New Roman"/>
      <w:sz w:val="32"/>
      <w:szCs w:val="20"/>
    </w:rPr>
  </w:style>
  <w:style w:type="table" w:styleId="1020">
    <w:name w:val="网格型"/>
    <w:basedOn w:val="961"/>
    <w:next w:val="1020"/>
    <w:link w:val="950"/>
    <w:pPr>
      <w:jc w:val="both"/>
      <w:widowControl w:val="off"/>
    </w:pPr>
    <w:rPr>
      <w:rFonts w:ascii="Times New Roman" w:hAnsi="Times New Roman" w:eastAsia="宋体" w:cs="Times New Roman"/>
      <w:sz w:val="20"/>
      <w:szCs w:val="20"/>
    </w:rPr>
    <w:tblPr/>
  </w:style>
  <w:style w:type="character" w:styleId="1021">
    <w:name w:val="要点"/>
    <w:next w:val="1021"/>
    <w:link w:val="950"/>
    <w:qFormat/>
    <w:rPr>
      <w:b/>
      <w:bCs/>
    </w:rPr>
  </w:style>
  <w:style w:type="character" w:styleId="1022">
    <w:name w:val="页码"/>
    <w:next w:val="1022"/>
    <w:link w:val="950"/>
  </w:style>
  <w:style w:type="character" w:styleId="1023">
    <w:name w:val="已访问的超链接"/>
    <w:next w:val="1023"/>
    <w:link w:val="950"/>
    <w:rPr>
      <w:color w:val="800080"/>
      <w:u w:val="single"/>
    </w:rPr>
  </w:style>
  <w:style w:type="character" w:styleId="1024">
    <w:name w:val="强调"/>
    <w:next w:val="1024"/>
    <w:link w:val="950"/>
    <w:qFormat/>
    <w:rPr>
      <w:i/>
    </w:rPr>
  </w:style>
  <w:style w:type="character" w:styleId="1025">
    <w:name w:val="超链接"/>
    <w:next w:val="1025"/>
    <w:link w:val="950"/>
    <w:rPr>
      <w:color w:val="0000ff"/>
      <w:u w:val="single"/>
    </w:rPr>
  </w:style>
  <w:style w:type="character" w:styleId="1026">
    <w:name w:val="批注引用"/>
    <w:next w:val="1026"/>
    <w:link w:val="950"/>
    <w:semiHidden/>
    <w:rPr>
      <w:sz w:val="21"/>
      <w:szCs w:val="21"/>
    </w:rPr>
  </w:style>
  <w:style w:type="paragraph" w:styleId="1027">
    <w:name w:val="目录 11"/>
    <w:basedOn w:val="950"/>
    <w:next w:val="950"/>
    <w:link w:val="950"/>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028">
    <w:name w:val="font5 Char"/>
    <w:next w:val="1028"/>
    <w:link w:val="950"/>
    <w:rPr>
      <w:rFonts w:ascii="宋体" w:hAnsi="宋体" w:eastAsia="宋体"/>
      <w:sz w:val="28"/>
      <w:szCs w:val="28"/>
      <w:lang w:val="en-US" w:eastAsia="zh-CN" w:bidi="ar-SA"/>
    </w:rPr>
  </w:style>
  <w:style w:type="character" w:styleId="1029">
    <w:name w:val="二级目录 Char"/>
    <w:next w:val="1029"/>
    <w:link w:val="1030"/>
    <w:rPr>
      <w:b/>
      <w:sz w:val="30"/>
      <w:szCs w:val="28"/>
    </w:rPr>
  </w:style>
  <w:style w:type="paragraph" w:styleId="1030">
    <w:name w:val="二级目录"/>
    <w:next w:val="950"/>
    <w:link w:val="1029"/>
    <w:pPr>
      <w:numPr>
        <w:ilvl w:val="0"/>
        <w:numId w:val="2"/>
      </w:numPr>
      <w:tabs>
        <w:tab w:val="left" w:pos="907" w:leader="none"/>
        <w:tab w:val="left" w:pos="1145" w:leader="none"/>
      </w:tabs>
      <w:outlineLvl w:val="1"/>
    </w:pPr>
    <w:rPr>
      <w:b/>
      <w:sz w:val="30"/>
      <w:szCs w:val="28"/>
      <w:lang w:val="en-US" w:eastAsia="zh-CN" w:bidi="ar-SA"/>
    </w:rPr>
  </w:style>
  <w:style w:type="character" w:styleId="1031">
    <w:name w:val="列出段落 Char,Bullet List Char,numbered Char,FooterText Char,List Paragraph1 Char,Paragraphe de liste1 Char"/>
    <w:next w:val="1031"/>
    <w:link w:val="1032"/>
    <w:rPr>
      <w:rFonts w:ascii="Calibri" w:hAnsi="Calibri"/>
      <w:sz w:val="24"/>
      <w:szCs w:val="24"/>
      <w:lang w:eastAsia="en-US" w:bidi="en-US"/>
    </w:rPr>
  </w:style>
  <w:style w:type="paragraph" w:styleId="1032">
    <w:name w:val="列出段落1"/>
    <w:basedOn w:val="950"/>
    <w:next w:val="1032"/>
    <w:link w:val="1031"/>
    <w:qFormat/>
    <w:pPr>
      <w:contextualSpacing/>
      <w:ind w:left="720"/>
      <w:jc w:val="left"/>
      <w:widowControl/>
    </w:pPr>
    <w:rPr>
      <w:rFonts w:ascii="Calibri" w:hAnsi="Calibri" w:eastAsia="宋体" w:cs="Times New Roman"/>
      <w:sz w:val="24"/>
      <w:szCs w:val="24"/>
      <w:lang w:eastAsia="en-US" w:bidi="en-US"/>
    </w:rPr>
  </w:style>
  <w:style w:type="paragraph" w:styleId="1033">
    <w:name w:val="Body Text(ch)"/>
    <w:basedOn w:val="950"/>
    <w:next w:val="982"/>
    <w:link w:val="950"/>
    <w:pPr>
      <w:spacing w:after="120"/>
    </w:pPr>
    <w:rPr>
      <w:rFonts w:ascii="宋体" w:hAnsi="Arial"/>
      <w:bCs/>
      <w:iCs/>
      <w:szCs w:val="24"/>
    </w:rPr>
  </w:style>
  <w:style w:type="paragraph" w:styleId="1034">
    <w:name w:val="xl27"/>
    <w:basedOn w:val="950"/>
    <w:next w:val="1034"/>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name w:val="xl26"/>
    <w:basedOn w:val="950"/>
    <w:next w:val="1035"/>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name w:val="Char"/>
    <w:basedOn w:val="950"/>
    <w:next w:val="1036"/>
    <w:link w:val="950"/>
    <w:pPr>
      <w:ind w:firstLine="200"/>
      <w:tabs>
        <w:tab w:val="left" w:pos="360" w:leader="none"/>
      </w:tabs>
    </w:pPr>
    <w:rPr>
      <w:sz w:val="28"/>
      <w:szCs w:val="30"/>
    </w:rPr>
  </w:style>
  <w:style w:type="paragraph" w:styleId="1037">
    <w:name w:val=" Char"/>
    <w:basedOn w:val="976"/>
    <w:next w:val="1037"/>
    <w:link w:val="950"/>
    <w:rPr>
      <w:rFonts w:ascii="Tahoma" w:hAnsi="Tahoma"/>
      <w:sz w:val="24"/>
      <w:szCs w:val="24"/>
    </w:rPr>
  </w:style>
  <w:style w:type="paragraph" w:styleId="1038">
    <w:name w:val="普通正文"/>
    <w:basedOn w:val="950"/>
    <w:next w:val="1038"/>
    <w:link w:val="950"/>
    <w:pPr>
      <w:ind w:firstLine="480"/>
      <w:jc w:val="left"/>
      <w:spacing w:before="120" w:after="120" w:line="360" w:lineRule="auto"/>
    </w:pPr>
    <w:rPr>
      <w:rFonts w:ascii="Arial" w:hAnsi="Arial"/>
      <w:sz w:val="24"/>
      <w:szCs w:val="24"/>
    </w:rPr>
  </w:style>
  <w:style w:type="paragraph" w:styleId="1039">
    <w:name w:val="table_lines"/>
    <w:basedOn w:val="950"/>
    <w:next w:val="1039"/>
    <w:link w:val="950"/>
    <w:pPr>
      <w:jc w:val="left"/>
      <w:widowControl/>
    </w:pPr>
    <w:rPr>
      <w:sz w:val="20"/>
      <w:szCs w:val="20"/>
      <w:lang w:val="de-DE" w:eastAsia="de-DE"/>
    </w:rPr>
  </w:style>
  <w:style w:type="paragraph" w:styleId="1040">
    <w:name w:val="附录1"/>
    <w:next w:val="1040"/>
    <w:link w:val="95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1">
    <w:name w:val="font7"/>
    <w:basedOn w:val="950"/>
    <w:next w:val="1041"/>
    <w:link w:val="950"/>
    <w:pPr>
      <w:jc w:val="left"/>
      <w:spacing w:before="100" w:beforeAutospacing="1" w:after="100" w:afterAutospacing="1"/>
      <w:widowControl/>
    </w:pPr>
    <w:rPr>
      <w:rFonts w:hint="eastAsia" w:ascii="宋体" w:hAnsi="宋体"/>
      <w:sz w:val="18"/>
      <w:szCs w:val="18"/>
    </w:rPr>
  </w:style>
  <w:style w:type="paragraph" w:styleId="1042">
    <w:name w:val=" Char Char Char Char"/>
    <w:basedOn w:val="976"/>
    <w:next w:val="1042"/>
    <w:link w:val="950"/>
    <w:pPr>
      <w:spacing w:line="360" w:lineRule="auto"/>
    </w:pPr>
    <w:rPr>
      <w:rFonts w:ascii="Tahoma" w:hAnsi="Tahoma"/>
      <w:sz w:val="24"/>
      <w:szCs w:val="24"/>
    </w:rPr>
  </w:style>
  <w:style w:type="paragraph" w:styleId="1043">
    <w:name w:val="列表段落"/>
    <w:basedOn w:val="950"/>
    <w:next w:val="1043"/>
    <w:link w:val="950"/>
    <w:qFormat/>
    <w:pPr>
      <w:contextualSpacing/>
      <w:ind w:left="720"/>
      <w:jc w:val="left"/>
      <w:widowControl/>
    </w:pPr>
    <w:rPr>
      <w:rFonts w:ascii="Calibri" w:hAnsi="Calibri"/>
      <w:sz w:val="24"/>
      <w:szCs w:val="24"/>
      <w:lang w:eastAsia="en-US" w:bidi="en-US"/>
    </w:rPr>
  </w:style>
  <w:style w:type="paragraph" w:styleId="1044">
    <w:name w:val="4"/>
    <w:basedOn w:val="950"/>
    <w:next w:val="1005"/>
    <w:link w:val="950"/>
    <w:pPr>
      <w:ind w:firstLine="420"/>
      <w:spacing w:line="360" w:lineRule="auto"/>
    </w:pPr>
    <w:rPr>
      <w:color w:val="ff0000"/>
      <w:sz w:val="24"/>
      <w:szCs w:val="24"/>
    </w:rPr>
  </w:style>
  <w:style w:type="paragraph" w:styleId="1045">
    <w:name w:val="普通 (Web)"/>
    <w:basedOn w:val="950"/>
    <w:next w:val="1045"/>
    <w:link w:val="950"/>
    <w:pPr>
      <w:jc w:val="left"/>
      <w:spacing w:before="100" w:beforeAutospacing="1" w:after="100" w:afterAutospacing="1"/>
      <w:widowControl/>
    </w:pPr>
    <w:rPr>
      <w:rFonts w:ascii="宋体" w:hAnsi="宋体"/>
      <w:sz w:val="24"/>
      <w:szCs w:val="24"/>
    </w:rPr>
  </w:style>
  <w:style w:type="paragraph" w:styleId="1046">
    <w:name w:val=" Char Char Char Char Char Char Char Char Char Char"/>
    <w:basedOn w:val="950"/>
    <w:next w:val="1046"/>
    <w:link w:val="950"/>
    <w:pPr>
      <w:spacing w:line="360" w:lineRule="auto"/>
    </w:pPr>
    <w:rPr>
      <w:sz w:val="24"/>
      <w:szCs w:val="20"/>
    </w:rPr>
  </w:style>
  <w:style w:type="paragraph" w:styleId="1047">
    <w:name w:val="样式1"/>
    <w:basedOn w:val="950"/>
    <w:next w:val="1047"/>
    <w:link w:val="950"/>
    <w:pPr>
      <w:numPr>
        <w:ilvl w:val="0"/>
        <w:numId w:val="3"/>
      </w:numPr>
      <w:tabs>
        <w:tab w:val="left" w:pos="709" w:leader="none"/>
      </w:tabs>
    </w:pPr>
    <w:rPr>
      <w:rFonts w:ascii="宋体" w:hAnsi="宋体"/>
    </w:rPr>
  </w:style>
  <w:style w:type="paragraph" w:styleId="1048">
    <w:name w:val="font6"/>
    <w:basedOn w:val="950"/>
    <w:next w:val="1048"/>
    <w:link w:val="950"/>
    <w:pPr>
      <w:jc w:val="left"/>
      <w:spacing w:before="100" w:beforeAutospacing="1" w:after="100" w:afterAutospacing="1"/>
      <w:widowControl/>
    </w:pPr>
    <w:rPr>
      <w:rFonts w:hint="eastAsia" w:ascii="宋体" w:hAnsi="宋体"/>
      <w:sz w:val="28"/>
      <w:szCs w:val="28"/>
      <w:u w:val="single"/>
    </w:rPr>
  </w:style>
  <w:style w:type="paragraph" w:styleId="1049">
    <w:name w:val="xl25"/>
    <w:basedOn w:val="950"/>
    <w:next w:val="1049"/>
    <w:link w:val="95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name w:val="图标"/>
    <w:basedOn w:val="950"/>
    <w:next w:val="950"/>
    <w:link w:val="95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1">
    <w:name w:val="标题3"/>
    <w:basedOn w:val="950"/>
    <w:next w:val="950"/>
    <w:link w:val="950"/>
    <w:pPr>
      <w:ind w:firstLine="624"/>
      <w:spacing w:line="590" w:lineRule="atLeast"/>
    </w:pPr>
    <w:rPr>
      <w:rFonts w:ascii="方正黑体_GBK" w:eastAsia="方正黑体_GBK"/>
      <w:sz w:val="32"/>
      <w:szCs w:val="32"/>
    </w:rPr>
  </w:style>
  <w:style w:type="paragraph" w:styleId="1052">
    <w:name w:val="xl24"/>
    <w:basedOn w:val="950"/>
    <w:next w:val="1052"/>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name w:val="xl29"/>
    <w:basedOn w:val="950"/>
    <w:next w:val="1053"/>
    <w:link w:val="95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name w:val="Char Char Char Char Char Char Char Char"/>
    <w:basedOn w:val="950"/>
    <w:next w:val="1054"/>
    <w:link w:val="950"/>
    <w:pPr>
      <w:jc w:val="left"/>
      <w:spacing w:after="160" w:line="240" w:lineRule="exact"/>
      <w:widowControl/>
    </w:pPr>
    <w:rPr>
      <w:rFonts w:ascii="Verdana" w:hAnsi="Verdana"/>
      <w:sz w:val="20"/>
      <w:szCs w:val="20"/>
      <w:lang w:eastAsia="en-US"/>
    </w:rPr>
  </w:style>
  <w:style w:type="paragraph" w:styleId="1055">
    <w:name w:val="xl28"/>
    <w:basedOn w:val="950"/>
    <w:next w:val="1055"/>
    <w:link w:val="9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name w:val=" Char Char Char Char Char Char Char Char"/>
    <w:basedOn w:val="950"/>
    <w:next w:val="1056"/>
    <w:link w:val="950"/>
    <w:pPr>
      <w:jc w:val="left"/>
      <w:spacing w:after="160" w:line="240" w:lineRule="exact"/>
      <w:widowControl/>
    </w:pPr>
    <w:rPr>
      <w:rFonts w:ascii="Verdana" w:hAnsi="Verdana"/>
      <w:sz w:val="20"/>
      <w:szCs w:val="20"/>
      <w:lang w:eastAsia="en-US"/>
    </w:rPr>
  </w:style>
  <w:style w:type="paragraph" w:styleId="1057">
    <w:name w:val="xl30"/>
    <w:basedOn w:val="950"/>
    <w:next w:val="1057"/>
    <w:link w:val="950"/>
    <w:pPr>
      <w:jc w:val="center"/>
      <w:spacing w:before="100" w:beforeAutospacing="1" w:after="100" w:afterAutospacing="1"/>
      <w:widowControl/>
    </w:pPr>
    <w:rPr>
      <w:rFonts w:ascii="宋体" w:hAnsi="宋体"/>
      <w:b/>
      <w:bCs/>
      <w:sz w:val="36"/>
      <w:szCs w:val="36"/>
    </w:rPr>
  </w:style>
  <w:style w:type="paragraph" w:styleId="1058">
    <w:name w:val="Char Char Char Char"/>
    <w:basedOn w:val="976"/>
    <w:next w:val="1058"/>
    <w:link w:val="950"/>
    <w:pPr>
      <w:spacing w:line="360" w:lineRule="auto"/>
    </w:pPr>
    <w:rPr>
      <w:rFonts w:ascii="Tahoma" w:hAnsi="Tahoma"/>
      <w:sz w:val="24"/>
      <w:szCs w:val="24"/>
    </w:rPr>
  </w:style>
  <w:style w:type="paragraph" w:styleId="1059">
    <w:name w:val="table_1stline"/>
    <w:basedOn w:val="950"/>
    <w:next w:val="1059"/>
    <w:link w:val="950"/>
    <w:pPr>
      <w:jc w:val="left"/>
      <w:spacing w:before="120"/>
      <w:widowControl/>
    </w:pPr>
    <w:rPr>
      <w:bCs/>
      <w:sz w:val="20"/>
      <w:szCs w:val="20"/>
      <w:lang w:val="de-DE" w:eastAsia="de-DE"/>
    </w:rPr>
  </w:style>
  <w:style w:type="paragraph" w:styleId="1060">
    <w:name w:val="font5"/>
    <w:basedOn w:val="950"/>
    <w:next w:val="1060"/>
    <w:link w:val="950"/>
    <w:pPr>
      <w:jc w:val="left"/>
      <w:spacing w:before="100" w:beforeAutospacing="1" w:after="100" w:afterAutospacing="1"/>
      <w:widowControl/>
    </w:pPr>
    <w:rPr>
      <w:rFonts w:hint="eastAsia" w:ascii="宋体" w:hAnsi="宋体"/>
      <w:sz w:val="28"/>
      <w:szCs w:val="28"/>
    </w:rPr>
  </w:style>
  <w:style w:type="paragraph" w:styleId="1061">
    <w:name w:val="标题1"/>
    <w:basedOn w:val="950"/>
    <w:next w:val="950"/>
    <w:link w:val="95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name w:val="修订"/>
    <w:next w:val="1062"/>
    <w:link w:val="950"/>
    <w:uiPriority w:val="99"/>
    <w:semiHidden/>
    <w:rPr>
      <w:rFonts w:ascii="Times New Roman" w:hAnsi="Times New Roman"/>
      <w:sz w:val="21"/>
      <w:szCs w:val="21"/>
      <w:lang w:val="en-US" w:eastAsia="zh-CN" w:bidi="ar-SA"/>
    </w:rPr>
  </w:style>
  <w:style w:type="paragraph" w:styleId="1063">
    <w:name w:val="无间隔"/>
    <w:next w:val="1063"/>
    <w:link w:val="950"/>
    <w:uiPriority w:val="99"/>
    <w:qFormat/>
    <w:pPr>
      <w:jc w:val="both"/>
      <w:widowControl w:val="off"/>
    </w:pPr>
    <w:rPr>
      <w:rFonts w:ascii="Times New Roman" w:hAnsi="Times New Roman"/>
      <w:sz w:val="21"/>
      <w:szCs w:val="21"/>
      <w:lang w:val="en-US" w:eastAsia="zh-CN" w:bidi="ar-SA"/>
    </w:rPr>
  </w:style>
  <w:style w:type="paragraph" w:styleId="1064">
    <w:name w:val="无间隔11"/>
    <w:next w:val="1064"/>
    <w:link w:val="950"/>
    <w:uiPriority w:val="99"/>
    <w:qFormat/>
    <w:pPr>
      <w:jc w:val="both"/>
      <w:widowControl w:val="off"/>
    </w:pPr>
    <w:rPr>
      <w:rFonts w:ascii="Times New Roman" w:hAnsi="Times New Roman"/>
      <w:sz w:val="21"/>
      <w:szCs w:val="21"/>
      <w:lang w:val="en-US" w:eastAsia="zh-CN" w:bidi="ar-SA"/>
    </w:rPr>
  </w:style>
  <w:style w:type="paragraph" w:styleId="1065">
    <w:name w:val="无间隔1"/>
    <w:basedOn w:val="950"/>
    <w:next w:val="1065"/>
    <w:link w:val="950"/>
    <w:qFormat/>
  </w:style>
  <w:style w:type="paragraph" w:styleId="1066">
    <w:name w:val="biaoge"/>
    <w:basedOn w:val="950"/>
    <w:next w:val="1066"/>
    <w:link w:val="950"/>
    <w:qFormat/>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厉彬彬</cp:lastModifiedBy>
  <cp:revision>5</cp:revision>
  <dcterms:created xsi:type="dcterms:W3CDTF">2026-10-09T06:54:00Z</dcterms:created>
  <dcterms:modified xsi:type="dcterms:W3CDTF">2026-10-16T03:04:43Z</dcterms:modified>
</cp:coreProperties>
</file>