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75F88B">
      <w:pPr>
        <w:pStyle w:val="27"/>
        <w:pageBreakBefore w:val="0"/>
        <w:kinsoku/>
        <w:bidi w:val="0"/>
        <w:adjustRightInd/>
        <w:spacing w:line="360" w:lineRule="auto"/>
        <w:ind w:firstLine="1928"/>
        <w:jc w:val="center"/>
        <w:rPr>
          <w:rFonts w:hint="eastAsia" w:ascii="新宋体" w:hAnsi="新宋体" w:eastAsia="新宋体"/>
          <w:b/>
          <w:bCs/>
          <w:sz w:val="96"/>
          <w:highlight w:val="none"/>
        </w:rPr>
      </w:pPr>
    </w:p>
    <w:p w14:paraId="19CCA5D2">
      <w:pPr>
        <w:pStyle w:val="27"/>
        <w:pageBreakBefore w:val="0"/>
        <w:kinsoku/>
        <w:bidi w:val="0"/>
        <w:adjustRightInd/>
        <w:spacing w:line="360" w:lineRule="auto"/>
        <w:ind w:firstLine="472" w:firstLineChars="56"/>
        <w:jc w:val="center"/>
        <w:rPr>
          <w:rFonts w:hint="eastAsia" w:ascii="新宋体" w:hAnsi="新宋体" w:eastAsia="新宋体"/>
          <w:b/>
          <w:bCs/>
          <w:sz w:val="96"/>
          <w:highlight w:val="none"/>
        </w:rPr>
      </w:pPr>
      <w:r>
        <w:rPr>
          <w:rFonts w:hint="eastAsia" w:ascii="新宋体" w:hAnsi="新宋体" w:eastAsia="新宋体"/>
          <w:b/>
          <w:bCs/>
          <w:sz w:val="84"/>
          <w:szCs w:val="84"/>
          <w:highlight w:val="none"/>
        </w:rPr>
        <w:t>竞争性磋商文件</w:t>
      </w:r>
    </w:p>
    <w:p w14:paraId="5B021B0A">
      <w:pPr>
        <w:pStyle w:val="27"/>
        <w:pageBreakBefore w:val="0"/>
        <w:kinsoku/>
        <w:bidi w:val="0"/>
        <w:adjustRightInd/>
        <w:spacing w:line="360" w:lineRule="auto"/>
        <w:ind w:firstLine="0" w:firstLineChars="0"/>
        <w:jc w:val="center"/>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（全流程电子化）</w:t>
      </w:r>
    </w:p>
    <w:p w14:paraId="7AD43FD9">
      <w:pPr>
        <w:pStyle w:val="27"/>
        <w:pageBreakBefore w:val="0"/>
        <w:kinsoku/>
        <w:bidi w:val="0"/>
        <w:adjustRightInd/>
        <w:spacing w:line="360" w:lineRule="auto"/>
        <w:rPr>
          <w:rFonts w:hint="eastAsia" w:ascii="新宋体" w:hAnsi="新宋体" w:eastAsia="新宋体"/>
          <w:b/>
          <w:bCs/>
          <w:highlight w:val="none"/>
        </w:rPr>
      </w:pPr>
    </w:p>
    <w:p w14:paraId="3BA25348">
      <w:pPr>
        <w:pStyle w:val="27"/>
        <w:pageBreakBefore w:val="0"/>
        <w:kinsoku/>
        <w:bidi w:val="0"/>
        <w:adjustRightInd/>
        <w:spacing w:line="360" w:lineRule="auto"/>
        <w:rPr>
          <w:rFonts w:hint="eastAsia" w:ascii="新宋体" w:hAnsi="新宋体" w:eastAsia="新宋体"/>
          <w:b/>
          <w:bCs/>
          <w:highlight w:val="none"/>
        </w:rPr>
      </w:pPr>
    </w:p>
    <w:p w14:paraId="5D61B6EA">
      <w:pPr>
        <w:pStyle w:val="27"/>
        <w:pageBreakBefore w:val="0"/>
        <w:kinsoku/>
        <w:bidi w:val="0"/>
        <w:adjustRightInd/>
        <w:spacing w:line="360" w:lineRule="auto"/>
        <w:rPr>
          <w:rFonts w:hint="eastAsia" w:ascii="新宋体" w:hAnsi="新宋体" w:eastAsia="新宋体"/>
          <w:b/>
          <w:bCs/>
          <w:highlight w:val="none"/>
        </w:rPr>
      </w:pPr>
    </w:p>
    <w:p w14:paraId="08B30CF9">
      <w:pPr>
        <w:pStyle w:val="27"/>
        <w:pageBreakBefore w:val="0"/>
        <w:kinsoku/>
        <w:bidi w:val="0"/>
        <w:adjustRightInd/>
        <w:spacing w:line="360" w:lineRule="auto"/>
        <w:rPr>
          <w:rFonts w:hint="eastAsia" w:ascii="新宋体" w:hAnsi="新宋体" w:eastAsia="新宋体"/>
          <w:b/>
          <w:bCs/>
          <w:highlight w:val="none"/>
        </w:rPr>
      </w:pPr>
    </w:p>
    <w:p w14:paraId="58055764">
      <w:pPr>
        <w:pStyle w:val="27"/>
        <w:pageBreakBefore w:val="0"/>
        <w:kinsoku/>
        <w:bidi w:val="0"/>
        <w:adjustRightInd/>
        <w:spacing w:line="360" w:lineRule="auto"/>
        <w:rPr>
          <w:rFonts w:hint="eastAsia" w:ascii="新宋体" w:hAnsi="新宋体" w:eastAsia="新宋体"/>
          <w:b/>
          <w:bCs/>
          <w:highlight w:val="none"/>
        </w:rPr>
      </w:pPr>
    </w:p>
    <w:p w14:paraId="5FF6743D">
      <w:pPr>
        <w:pStyle w:val="27"/>
        <w:pageBreakBefore w:val="0"/>
        <w:kinsoku/>
        <w:bidi w:val="0"/>
        <w:adjustRightInd/>
        <w:spacing w:line="360" w:lineRule="auto"/>
        <w:rPr>
          <w:rFonts w:hint="eastAsia" w:ascii="新宋体" w:hAnsi="新宋体" w:eastAsia="新宋体"/>
          <w:b/>
          <w:bCs/>
          <w:highlight w:val="none"/>
        </w:rPr>
      </w:pPr>
    </w:p>
    <w:p w14:paraId="0CD62AFE">
      <w:pPr>
        <w:pStyle w:val="27"/>
        <w:pageBreakBefore w:val="0"/>
        <w:kinsoku/>
        <w:bidi w:val="0"/>
        <w:adjustRightInd/>
        <w:spacing w:line="360" w:lineRule="auto"/>
        <w:ind w:firstLine="0" w:firstLineChars="0"/>
        <w:jc w:val="both"/>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项目名称：</w:t>
      </w:r>
      <w:r>
        <w:rPr>
          <w:rFonts w:hint="eastAsia" w:ascii="新宋体" w:hAnsi="新宋体" w:eastAsia="新宋体"/>
          <w:b/>
          <w:bCs/>
          <w:sz w:val="32"/>
          <w:szCs w:val="32"/>
          <w:highlight w:val="none"/>
          <w:lang w:eastAsia="zh-CN"/>
        </w:rPr>
        <w:t>“中国医药城大健康产业论坛”策划执行服务项目</w:t>
      </w:r>
    </w:p>
    <w:p w14:paraId="0F3C1C28">
      <w:pPr>
        <w:pStyle w:val="27"/>
        <w:pageBreakBefore w:val="0"/>
        <w:kinsoku/>
        <w:bidi w:val="0"/>
        <w:adjustRightInd/>
        <w:spacing w:line="360" w:lineRule="auto"/>
        <w:ind w:firstLine="0" w:firstLineChars="0"/>
        <w:jc w:val="both"/>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项目编号：</w:t>
      </w:r>
      <w:r>
        <w:rPr>
          <w:rFonts w:hint="eastAsia" w:ascii="新宋体" w:hAnsi="新宋体" w:eastAsia="新宋体"/>
          <w:b/>
          <w:bCs/>
          <w:sz w:val="32"/>
          <w:szCs w:val="32"/>
          <w:highlight w:val="none"/>
          <w:lang w:eastAsia="zh-CN"/>
        </w:rPr>
        <w:t>JSZC-321203-HQGC-C2026-0037</w:t>
      </w:r>
    </w:p>
    <w:p w14:paraId="1010E1C2">
      <w:pPr>
        <w:pageBreakBefore w:val="0"/>
        <w:kinsoku/>
        <w:bidi w:val="0"/>
        <w:spacing w:line="360" w:lineRule="auto"/>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rPr>
        <w:t>采 购 人：</w:t>
      </w:r>
      <w:r>
        <w:rPr>
          <w:rFonts w:hint="eastAsia" w:ascii="新宋体" w:hAnsi="新宋体" w:eastAsia="新宋体"/>
          <w:b/>
          <w:bCs/>
          <w:sz w:val="32"/>
          <w:szCs w:val="32"/>
          <w:highlight w:val="none"/>
          <w:lang w:eastAsia="zh-CN"/>
        </w:rPr>
        <w:t xml:space="preserve">泰州医药高新技术产业开发区（泰州市高港区）医药产业园管理办公室 </w:t>
      </w:r>
    </w:p>
    <w:p w14:paraId="72B17DEE">
      <w:pPr>
        <w:pStyle w:val="11"/>
        <w:pageBreakBefore w:val="0"/>
        <w:kinsoku/>
        <w:bidi w:val="0"/>
        <w:spacing w:line="360" w:lineRule="auto"/>
        <w:rPr>
          <w:rFonts w:hint="eastAsia" w:ascii="新宋体" w:hAnsi="新宋体" w:eastAsia="新宋体"/>
          <w:b/>
          <w:bCs/>
          <w:sz w:val="32"/>
          <w:szCs w:val="32"/>
          <w:highlight w:val="none"/>
        </w:rPr>
      </w:pPr>
    </w:p>
    <w:p w14:paraId="0C80CBDB">
      <w:pPr>
        <w:pStyle w:val="11"/>
        <w:pageBreakBefore w:val="0"/>
        <w:kinsoku/>
        <w:bidi w:val="0"/>
        <w:spacing w:line="360" w:lineRule="auto"/>
        <w:rPr>
          <w:rFonts w:hint="eastAsia" w:ascii="新宋体" w:hAnsi="新宋体" w:eastAsia="新宋体"/>
          <w:b/>
          <w:bCs/>
          <w:sz w:val="32"/>
          <w:szCs w:val="32"/>
          <w:highlight w:val="none"/>
        </w:rPr>
      </w:pPr>
    </w:p>
    <w:p w14:paraId="44194CA7">
      <w:pPr>
        <w:pStyle w:val="11"/>
        <w:pageBreakBefore w:val="0"/>
        <w:kinsoku/>
        <w:bidi w:val="0"/>
        <w:spacing w:line="360" w:lineRule="auto"/>
        <w:rPr>
          <w:rFonts w:hint="eastAsia" w:ascii="新宋体" w:hAnsi="新宋体" w:eastAsia="新宋体"/>
          <w:b/>
          <w:bCs/>
          <w:sz w:val="32"/>
          <w:szCs w:val="32"/>
          <w:highlight w:val="none"/>
        </w:rPr>
      </w:pPr>
    </w:p>
    <w:p w14:paraId="199E7012">
      <w:pPr>
        <w:pStyle w:val="11"/>
        <w:pageBreakBefore w:val="0"/>
        <w:kinsoku/>
        <w:bidi w:val="0"/>
        <w:spacing w:line="360" w:lineRule="auto"/>
        <w:rPr>
          <w:rFonts w:hint="eastAsia" w:ascii="新宋体" w:hAnsi="新宋体" w:eastAsia="新宋体"/>
          <w:b/>
          <w:bCs/>
          <w:sz w:val="32"/>
          <w:szCs w:val="32"/>
          <w:highlight w:val="none"/>
        </w:rPr>
      </w:pPr>
    </w:p>
    <w:p w14:paraId="6E3E2E5D">
      <w:pPr>
        <w:pageBreakBefore w:val="0"/>
        <w:kinsoku/>
        <w:bidi w:val="0"/>
        <w:spacing w:line="360" w:lineRule="auto"/>
        <w:jc w:val="center"/>
        <w:rPr>
          <w:rFonts w:hint="eastAsia" w:ascii="新宋体" w:hAnsi="新宋体" w:eastAsia="新宋体"/>
          <w:b/>
          <w:bCs/>
          <w:sz w:val="32"/>
          <w:szCs w:val="32"/>
          <w:highlight w:val="none"/>
        </w:rPr>
      </w:pPr>
      <w:r>
        <w:rPr>
          <w:rFonts w:hint="eastAsia" w:ascii="新宋体" w:hAnsi="新宋体" w:eastAsia="新宋体"/>
          <w:b/>
          <w:bCs/>
          <w:sz w:val="32"/>
          <w:szCs w:val="32"/>
          <w:highlight w:val="none"/>
        </w:rPr>
        <w:t>采购代理机构：江苏华强工程投资管理咨询有限公司</w:t>
      </w:r>
    </w:p>
    <w:p w14:paraId="62859F18">
      <w:pPr>
        <w:pStyle w:val="27"/>
        <w:pageBreakBefore w:val="0"/>
        <w:kinsoku/>
        <w:bidi w:val="0"/>
        <w:adjustRightInd/>
        <w:spacing w:line="360" w:lineRule="auto"/>
        <w:ind w:firstLine="643"/>
        <w:jc w:val="center"/>
        <w:rPr>
          <w:rFonts w:hint="eastAsia" w:ascii="新宋体" w:hAnsi="新宋体" w:eastAsia="新宋体"/>
          <w:b/>
          <w:bCs/>
          <w:sz w:val="32"/>
          <w:szCs w:val="32"/>
          <w:highlight w:val="none"/>
        </w:rPr>
      </w:pPr>
      <w:r>
        <w:rPr>
          <w:rFonts w:hint="eastAsia" w:ascii="新宋体" w:hAnsi="新宋体" w:eastAsia="新宋体"/>
          <w:b/>
          <w:bCs/>
          <w:sz w:val="32"/>
          <w:szCs w:val="32"/>
          <w:highlight w:val="none"/>
          <w:lang w:eastAsia="zh-CN"/>
        </w:rPr>
        <w:t>2026年</w:t>
      </w:r>
      <w:r>
        <w:rPr>
          <w:rFonts w:hint="eastAsia" w:ascii="新宋体" w:hAnsi="新宋体" w:eastAsia="新宋体"/>
          <w:b/>
          <w:bCs/>
          <w:sz w:val="32"/>
          <w:szCs w:val="32"/>
          <w:highlight w:val="none"/>
          <w:lang w:val="en-US" w:eastAsia="zh-CN"/>
        </w:rPr>
        <w:t>10</w:t>
      </w:r>
      <w:r>
        <w:rPr>
          <w:rFonts w:hint="eastAsia" w:ascii="新宋体" w:hAnsi="新宋体" w:eastAsia="新宋体"/>
          <w:b/>
          <w:bCs/>
          <w:sz w:val="32"/>
          <w:szCs w:val="32"/>
          <w:highlight w:val="none"/>
        </w:rPr>
        <w:t>月</w:t>
      </w:r>
    </w:p>
    <w:p w14:paraId="3B35388E">
      <w:pPr>
        <w:pStyle w:val="27"/>
        <w:pageBreakBefore w:val="0"/>
        <w:kinsoku/>
        <w:bidi w:val="0"/>
        <w:adjustRightInd/>
        <w:spacing w:line="360" w:lineRule="auto"/>
        <w:jc w:val="center"/>
        <w:rPr>
          <w:rFonts w:hint="eastAsia" w:ascii="新宋体" w:hAnsi="新宋体" w:eastAsia="新宋体"/>
          <w:b/>
          <w:bCs/>
          <w:highlight w:val="none"/>
        </w:rPr>
        <w:sectPr>
          <w:footerReference r:id="rId5" w:type="first"/>
          <w:headerReference r:id="rId3" w:type="default"/>
          <w:footerReference r:id="rId4" w:type="default"/>
          <w:pgSz w:w="11906" w:h="16838"/>
          <w:pgMar w:top="1701" w:right="1134" w:bottom="1134" w:left="1134" w:header="851" w:footer="992" w:gutter="0"/>
          <w:cols w:space="720" w:num="1"/>
          <w:docGrid w:type="lines" w:linePitch="312" w:charSpace="0"/>
        </w:sectPr>
      </w:pPr>
    </w:p>
    <w:p w14:paraId="03C77B74">
      <w:pPr>
        <w:pStyle w:val="27"/>
        <w:pageBreakBefore w:val="0"/>
        <w:kinsoku/>
        <w:bidi w:val="0"/>
        <w:adjustRightInd/>
        <w:spacing w:line="360" w:lineRule="auto"/>
        <w:jc w:val="center"/>
        <w:rPr>
          <w:rFonts w:hint="eastAsia" w:ascii="新宋体" w:hAnsi="新宋体" w:eastAsia="新宋体"/>
          <w:b/>
          <w:bCs/>
          <w:highlight w:val="none"/>
        </w:rPr>
      </w:pPr>
    </w:p>
    <w:p w14:paraId="16D7B8C8">
      <w:pPr>
        <w:pStyle w:val="27"/>
        <w:pageBreakBefore w:val="0"/>
        <w:kinsoku/>
        <w:bidi w:val="0"/>
        <w:adjustRightInd/>
        <w:spacing w:line="360" w:lineRule="auto"/>
        <w:jc w:val="center"/>
        <w:rPr>
          <w:rFonts w:hint="eastAsia" w:ascii="新宋体" w:hAnsi="新宋体" w:eastAsia="新宋体"/>
          <w:b/>
          <w:bCs/>
          <w:highlight w:val="none"/>
        </w:rPr>
      </w:pPr>
    </w:p>
    <w:p w14:paraId="6CD88780">
      <w:pPr>
        <w:pStyle w:val="28"/>
        <w:pageBreakBefore w:val="0"/>
        <w:kinsoku/>
        <w:bidi w:val="0"/>
        <w:spacing w:before="0" w:line="360" w:lineRule="auto"/>
        <w:jc w:val="center"/>
        <w:rPr>
          <w:rFonts w:hint="eastAsia" w:ascii="宋体" w:hAnsi="宋体" w:eastAsia="宋体"/>
          <w:b/>
          <w:color w:val="auto"/>
          <w:sz w:val="40"/>
          <w:highlight w:val="none"/>
          <w:lang w:val="zh-CN"/>
        </w:rPr>
      </w:pPr>
      <w:r>
        <w:rPr>
          <w:rFonts w:ascii="宋体" w:hAnsi="宋体" w:eastAsia="宋体"/>
          <w:b/>
          <w:color w:val="auto"/>
          <w:sz w:val="40"/>
          <w:highlight w:val="none"/>
          <w:lang w:val="zh-CN"/>
        </w:rPr>
        <w:t>目</w:t>
      </w:r>
      <w:r>
        <w:rPr>
          <w:rFonts w:hint="eastAsia" w:ascii="宋体" w:hAnsi="宋体" w:eastAsia="宋体"/>
          <w:b/>
          <w:color w:val="auto"/>
          <w:sz w:val="40"/>
          <w:highlight w:val="none"/>
        </w:rPr>
        <w:t xml:space="preserve">  </w:t>
      </w:r>
      <w:r>
        <w:rPr>
          <w:rFonts w:ascii="宋体" w:hAnsi="宋体" w:eastAsia="宋体"/>
          <w:b/>
          <w:color w:val="auto"/>
          <w:sz w:val="40"/>
          <w:highlight w:val="none"/>
          <w:lang w:val="zh-CN"/>
        </w:rPr>
        <w:t>录</w:t>
      </w:r>
    </w:p>
    <w:p w14:paraId="49D33834">
      <w:pPr>
        <w:pageBreakBefore w:val="0"/>
        <w:kinsoku/>
        <w:bidi w:val="0"/>
        <w:spacing w:line="360" w:lineRule="auto"/>
        <w:ind w:firstLine="420" w:firstLineChars="200"/>
        <w:rPr>
          <w:highlight w:val="none"/>
          <w:lang w:val="zh-CN"/>
        </w:rPr>
      </w:pPr>
    </w:p>
    <w:p w14:paraId="472002B9">
      <w:pPr>
        <w:pStyle w:val="15"/>
        <w:pageBreakBefore w:val="0"/>
        <w:kinsoku/>
        <w:bidi w:val="0"/>
        <w:spacing w:line="360" w:lineRule="auto"/>
        <w:rPr>
          <w:rFonts w:hint="eastAsia" w:ascii="宋体" w:hAnsi="宋体" w:eastAsia="宋体"/>
          <w:caps w:val="0"/>
          <w:sz w:val="21"/>
          <w:szCs w:val="21"/>
          <w:highlight w:val="none"/>
        </w:rPr>
      </w:pPr>
      <w:r>
        <w:rPr>
          <w:rStyle w:val="24"/>
          <w:rFonts w:ascii="宋体" w:hAnsi="宋体"/>
          <w:color w:val="auto"/>
          <w:highlight w:val="none"/>
        </w:rPr>
        <w:fldChar w:fldCharType="begin"/>
      </w:r>
      <w:r>
        <w:rPr>
          <w:rStyle w:val="24"/>
          <w:rFonts w:ascii="宋体" w:hAnsi="宋体"/>
          <w:color w:val="auto"/>
          <w:highlight w:val="none"/>
        </w:rPr>
        <w:instrText xml:space="preserve"> TOC \o "1-1" \h \z \u </w:instrText>
      </w:r>
      <w:r>
        <w:rPr>
          <w:rStyle w:val="24"/>
          <w:rFonts w:ascii="宋体" w:hAnsi="宋体"/>
          <w:color w:val="auto"/>
          <w:highlight w:val="none"/>
        </w:rPr>
        <w:fldChar w:fldCharType="separate"/>
      </w: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第一章 竞争性磋商采购公告</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begin"/>
      </w:r>
      <w:r>
        <w:rPr>
          <w:rFonts w:hint="eastAsia" w:ascii="宋体" w:hAnsi="宋体" w:eastAsia="宋体"/>
          <w:caps w:val="0"/>
          <w:sz w:val="21"/>
          <w:szCs w:val="21"/>
          <w:highlight w:val="none"/>
        </w:rPr>
        <w:instrText xml:space="preserve"> PAGEREF _Toc86268900 \h </w:instrText>
      </w:r>
      <w:r>
        <w:rPr>
          <w:rFonts w:hint="eastAsia" w:ascii="宋体" w:hAnsi="宋体" w:eastAsia="宋体"/>
          <w:caps w:val="0"/>
          <w:sz w:val="21"/>
          <w:szCs w:val="21"/>
          <w:highlight w:val="none"/>
        </w:rPr>
        <w:fldChar w:fldCharType="separate"/>
      </w:r>
      <w:r>
        <w:rPr>
          <w:rFonts w:hint="eastAsia" w:ascii="宋体" w:hAnsi="宋体" w:eastAsia="宋体"/>
          <w:caps w:val="0"/>
          <w:sz w:val="21"/>
          <w:szCs w:val="21"/>
          <w:highlight w:val="none"/>
        </w:rPr>
        <w:t>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rPr>
        <w:fldChar w:fldCharType="end"/>
      </w:r>
    </w:p>
    <w:p w14:paraId="32155943">
      <w:pPr>
        <w:pStyle w:val="15"/>
        <w:pageBreakBefore w:val="0"/>
        <w:kinsoku/>
        <w:bidi w:val="0"/>
        <w:spacing w:line="360" w:lineRule="auto"/>
        <w:rPr>
          <w:rFonts w:hint="eastAsia" w:ascii="宋体" w:hAnsi="宋体" w:eastAsia="宋体"/>
          <w:caps w:val="0"/>
          <w:sz w:val="21"/>
          <w:szCs w:val="21"/>
          <w:highlight w:val="none"/>
        </w:rPr>
      </w:pPr>
      <w:r>
        <w:rPr>
          <w:highlight w:val="none"/>
        </w:rPr>
        <w:fldChar w:fldCharType="begin"/>
      </w:r>
      <w:r>
        <w:rPr>
          <w:highlight w:val="none"/>
        </w:rPr>
        <w:instrText xml:space="preserve"> HYPERLINK \l "_Toc86268900" </w:instrText>
      </w:r>
      <w:r>
        <w:rPr>
          <w:highlight w:val="none"/>
        </w:rPr>
        <w:fldChar w:fldCharType="separate"/>
      </w:r>
      <w:r>
        <w:rPr>
          <w:rFonts w:hint="eastAsia" w:ascii="宋体" w:hAnsi="宋体" w:eastAsia="宋体"/>
          <w:caps w:val="0"/>
          <w:sz w:val="21"/>
          <w:szCs w:val="21"/>
          <w:highlight w:val="none"/>
        </w:rPr>
        <w:t>第二章 参加磋商供应商须知</w:t>
      </w:r>
      <w:r>
        <w:rPr>
          <w:rFonts w:hint="eastAsia" w:ascii="宋体" w:hAnsi="宋体" w:eastAsia="宋体"/>
          <w:caps w:val="0"/>
          <w:sz w:val="21"/>
          <w:szCs w:val="21"/>
          <w:highlight w:val="none"/>
        </w:rPr>
        <w:tab/>
      </w:r>
      <w:r>
        <w:rPr>
          <w:rFonts w:hint="eastAsia" w:ascii="宋体" w:hAnsi="宋体" w:eastAsia="宋体"/>
          <w:caps w:val="0"/>
          <w:sz w:val="21"/>
          <w:szCs w:val="21"/>
          <w:highlight w:val="none"/>
          <w:lang w:val="en-US" w:eastAsia="zh-CN"/>
        </w:rPr>
        <w:t>8</w:t>
      </w:r>
      <w:r>
        <w:rPr>
          <w:rFonts w:hint="eastAsia" w:ascii="宋体" w:hAnsi="宋体" w:eastAsia="宋体"/>
          <w:caps w:val="0"/>
          <w:sz w:val="21"/>
          <w:szCs w:val="21"/>
          <w:highlight w:val="none"/>
        </w:rPr>
        <w:fldChar w:fldCharType="end"/>
      </w:r>
    </w:p>
    <w:p w14:paraId="780E21F3">
      <w:pPr>
        <w:pStyle w:val="15"/>
        <w:pageBreakBefore w:val="0"/>
        <w:kinsoku/>
        <w:bidi w:val="0"/>
        <w:spacing w:line="360" w:lineRule="auto"/>
        <w:rPr>
          <w:rFonts w:hint="eastAsia" w:ascii="宋体" w:hAnsi="宋体" w:eastAsia="宋体"/>
          <w:caps w:val="0"/>
          <w:sz w:val="21"/>
          <w:szCs w:val="21"/>
          <w:highlight w:val="none"/>
          <w:lang w:eastAsia="zh-CN"/>
        </w:rPr>
      </w:pPr>
      <w:r>
        <w:rPr>
          <w:highlight w:val="none"/>
        </w:rPr>
        <w:fldChar w:fldCharType="begin"/>
      </w:r>
      <w:r>
        <w:rPr>
          <w:highlight w:val="none"/>
        </w:rPr>
        <w:instrText xml:space="preserve"> HYPERLINK \l "_Toc86268901" </w:instrText>
      </w:r>
      <w:r>
        <w:rPr>
          <w:highlight w:val="none"/>
        </w:rPr>
        <w:fldChar w:fldCharType="separate"/>
      </w:r>
      <w:r>
        <w:rPr>
          <w:rFonts w:hint="eastAsia" w:ascii="宋体" w:hAnsi="宋体" w:eastAsia="宋体"/>
          <w:caps w:val="0"/>
          <w:sz w:val="21"/>
          <w:szCs w:val="21"/>
          <w:highlight w:val="none"/>
        </w:rPr>
        <w:t>第三章 合同条款及格式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t>2</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0</w:t>
      </w:r>
    </w:p>
    <w:p w14:paraId="51395379">
      <w:pPr>
        <w:pStyle w:val="15"/>
        <w:pageBreakBefore w:val="0"/>
        <w:kinsoku/>
        <w:bidi w:val="0"/>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"_Toc86268902" </w:instrText>
      </w:r>
      <w:r>
        <w:rPr>
          <w:highlight w:val="none"/>
        </w:rPr>
        <w:fldChar w:fldCharType="separate"/>
      </w:r>
      <w:r>
        <w:rPr>
          <w:rFonts w:hint="eastAsia" w:ascii="宋体" w:hAnsi="宋体" w:eastAsia="宋体"/>
          <w:caps w:val="0"/>
          <w:sz w:val="21"/>
          <w:szCs w:val="21"/>
          <w:highlight w:val="none"/>
        </w:rPr>
        <w:t>第四章 项目需求</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24</w:t>
      </w:r>
    </w:p>
    <w:p w14:paraId="1F442DE3">
      <w:pPr>
        <w:pStyle w:val="15"/>
        <w:pageBreakBefore w:val="0"/>
        <w:kinsoku/>
        <w:bidi w:val="0"/>
        <w:spacing w:line="360" w:lineRule="auto"/>
        <w:rPr>
          <w:rFonts w:hint="default" w:ascii="宋体" w:hAnsi="宋体" w:eastAsia="宋体"/>
          <w:caps w:val="0"/>
          <w:sz w:val="21"/>
          <w:szCs w:val="21"/>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第五章 评审方法和评审标准</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30</w:t>
      </w:r>
    </w:p>
    <w:p w14:paraId="15A12AA5">
      <w:pPr>
        <w:pStyle w:val="15"/>
        <w:pageBreakBefore w:val="0"/>
        <w:kinsoku/>
        <w:bidi w:val="0"/>
        <w:spacing w:line="360" w:lineRule="auto"/>
        <w:rPr>
          <w:rStyle w:val="24"/>
          <w:rFonts w:hint="eastAsia" w:ascii="宋体" w:hAnsi="宋体" w:eastAsia="宋体"/>
          <w:color w:val="auto"/>
          <w:highlight w:val="none"/>
          <w:lang w:val="en-US" w:eastAsia="zh-CN"/>
        </w:rPr>
      </w:pPr>
      <w:r>
        <w:rPr>
          <w:highlight w:val="none"/>
        </w:rPr>
        <w:fldChar w:fldCharType="begin"/>
      </w:r>
      <w:r>
        <w:rPr>
          <w:highlight w:val="none"/>
        </w:rPr>
        <w:instrText xml:space="preserve"> HYPERLINK \l "_Toc86268903" </w:instrText>
      </w:r>
      <w:r>
        <w:rPr>
          <w:highlight w:val="none"/>
        </w:rPr>
        <w:fldChar w:fldCharType="separate"/>
      </w:r>
      <w:r>
        <w:rPr>
          <w:rFonts w:hint="eastAsia" w:ascii="宋体" w:hAnsi="宋体" w:eastAsia="宋体"/>
          <w:caps w:val="0"/>
          <w:sz w:val="21"/>
          <w:szCs w:val="21"/>
          <w:highlight w:val="none"/>
        </w:rPr>
        <w:t>第六章 响应文件的组成和格式</w:t>
      </w:r>
      <w:r>
        <w:rPr>
          <w:rFonts w:hint="eastAsia" w:ascii="宋体" w:hAnsi="宋体" w:eastAsia="宋体"/>
          <w:caps w:val="0"/>
          <w:sz w:val="21"/>
          <w:szCs w:val="21"/>
          <w:highlight w:val="none"/>
        </w:rPr>
        <w:tab/>
      </w:r>
      <w:r>
        <w:rPr>
          <w:rFonts w:hint="eastAsia" w:ascii="宋体" w:hAnsi="宋体" w:eastAsia="宋体"/>
          <w:caps w:val="0"/>
          <w:sz w:val="21"/>
          <w:szCs w:val="21"/>
          <w:highlight w:val="none"/>
        </w:rPr>
        <w:t>3</w:t>
      </w:r>
      <w:r>
        <w:rPr>
          <w:rFonts w:hint="eastAsia" w:ascii="宋体" w:hAnsi="宋体" w:eastAsia="宋体"/>
          <w:caps w:val="0"/>
          <w:sz w:val="21"/>
          <w:szCs w:val="21"/>
          <w:highlight w:val="none"/>
        </w:rPr>
        <w:fldChar w:fldCharType="end"/>
      </w:r>
      <w:r>
        <w:rPr>
          <w:rFonts w:hint="eastAsia" w:ascii="宋体" w:hAnsi="宋体" w:eastAsia="宋体"/>
          <w:caps w:val="0"/>
          <w:sz w:val="21"/>
          <w:szCs w:val="21"/>
          <w:highlight w:val="none"/>
          <w:lang w:val="en-US" w:eastAsia="zh-CN"/>
        </w:rPr>
        <w:t>6</w:t>
      </w:r>
    </w:p>
    <w:p w14:paraId="62EDB2DD">
      <w:pPr>
        <w:pStyle w:val="15"/>
        <w:pageBreakBefore w:val="0"/>
        <w:kinsoku/>
        <w:bidi w:val="0"/>
        <w:spacing w:line="360" w:lineRule="auto"/>
        <w:rPr>
          <w:rStyle w:val="24"/>
          <w:rFonts w:hint="eastAsia" w:ascii="宋体" w:hAnsi="宋体"/>
          <w:color w:val="auto"/>
          <w:highlight w:val="none"/>
        </w:rPr>
      </w:pPr>
      <w:r>
        <w:rPr>
          <w:rStyle w:val="24"/>
          <w:rFonts w:ascii="宋体" w:hAnsi="宋体"/>
          <w:color w:val="auto"/>
          <w:highlight w:val="none"/>
        </w:rPr>
        <w:fldChar w:fldCharType="end"/>
      </w:r>
    </w:p>
    <w:p w14:paraId="53F3A798">
      <w:pPr>
        <w:pStyle w:val="15"/>
        <w:pageBreakBefore w:val="0"/>
        <w:kinsoku/>
        <w:bidi w:val="0"/>
        <w:spacing w:line="360" w:lineRule="auto"/>
        <w:rPr>
          <w:rStyle w:val="24"/>
          <w:rFonts w:hint="eastAsia" w:ascii="宋体" w:hAnsi="宋体"/>
          <w:color w:val="auto"/>
          <w:highlight w:val="none"/>
        </w:rPr>
      </w:pPr>
    </w:p>
    <w:p w14:paraId="45714DDB">
      <w:pPr>
        <w:pStyle w:val="15"/>
        <w:pageBreakBefore w:val="0"/>
        <w:kinsoku/>
        <w:bidi w:val="0"/>
        <w:spacing w:line="360" w:lineRule="auto"/>
        <w:rPr>
          <w:rStyle w:val="24"/>
          <w:rFonts w:hint="eastAsia" w:ascii="宋体" w:hAnsi="宋体"/>
          <w:color w:val="auto"/>
          <w:highlight w:val="none"/>
        </w:rPr>
      </w:pPr>
    </w:p>
    <w:p w14:paraId="26C4AA05">
      <w:pPr>
        <w:pStyle w:val="27"/>
        <w:pageBreakBefore w:val="0"/>
        <w:kinsoku/>
        <w:bidi w:val="0"/>
        <w:adjustRightInd/>
        <w:spacing w:line="360" w:lineRule="auto"/>
        <w:ind w:firstLine="360"/>
        <w:jc w:val="center"/>
        <w:rPr>
          <w:rStyle w:val="24"/>
          <w:rFonts w:hint="eastAsia" w:ascii="宋体" w:hAnsi="宋体"/>
          <w:caps/>
          <w:color w:val="auto"/>
          <w:kern w:val="2"/>
          <w:sz w:val="18"/>
          <w:szCs w:val="28"/>
          <w:highlight w:val="none"/>
        </w:rPr>
        <w:sectPr>
          <w:pgSz w:w="11906" w:h="16838"/>
          <w:pgMar w:top="1701" w:right="1134" w:bottom="1134" w:left="1134" w:header="851" w:footer="992" w:gutter="0"/>
          <w:cols w:space="720" w:num="1"/>
          <w:docGrid w:type="lines" w:linePitch="312" w:charSpace="0"/>
        </w:sectPr>
      </w:pPr>
    </w:p>
    <w:p w14:paraId="61BB4506">
      <w:pPr>
        <w:pStyle w:val="5"/>
        <w:pageBreakBefore w:val="0"/>
        <w:kinsoku/>
        <w:bidi w:val="0"/>
        <w:spacing w:line="360" w:lineRule="auto"/>
        <w:ind w:firstLine="422" w:firstLineChars="200"/>
        <w:jc w:val="center"/>
        <w:rPr>
          <w:rFonts w:hint="eastAsia" w:ascii="宋体" w:hAnsi="宋体" w:eastAsia="宋体"/>
          <w:b/>
          <w:sz w:val="21"/>
          <w:szCs w:val="21"/>
          <w:highlight w:val="none"/>
        </w:rPr>
      </w:pPr>
      <w:bookmarkStart w:id="0" w:name="_Toc86268900"/>
      <w:r>
        <w:rPr>
          <w:rFonts w:hint="eastAsia" w:ascii="宋体" w:hAnsi="宋体" w:eastAsia="宋体"/>
          <w:b/>
          <w:sz w:val="21"/>
          <w:szCs w:val="21"/>
          <w:highlight w:val="none"/>
        </w:rPr>
        <w:t>第一章 竞争性磋商采购公告</w:t>
      </w:r>
      <w:bookmarkEnd w:id="0"/>
    </w:p>
    <w:p w14:paraId="6853F4C2">
      <w:pPr>
        <w:pageBreakBefore w:val="0"/>
        <w:widowControl/>
        <w:kinsoku/>
        <w:bidi w:val="0"/>
        <w:spacing w:line="360" w:lineRule="auto"/>
        <w:jc w:val="left"/>
        <w:rPr>
          <w:rFonts w:hint="eastAsia" w:ascii="宋体" w:hAnsi="宋体" w:cs="仿宋_GB2312"/>
          <w:szCs w:val="21"/>
          <w:highlight w:val="none"/>
        </w:rPr>
      </w:pPr>
      <w:bookmarkStart w:id="1" w:name="_Toc35393798"/>
      <w:bookmarkStart w:id="2" w:name="_Toc28359089"/>
      <w:bookmarkStart w:id="3" w:name="_Toc28359012"/>
      <w:bookmarkStart w:id="4" w:name="_Toc35393629"/>
      <w:bookmarkStart w:id="5" w:name="_Toc61149549"/>
      <w:bookmarkStart w:id="6" w:name="_Toc14577347"/>
      <w:bookmarkStart w:id="7" w:name="_Toc513029209"/>
      <w:r>
        <w:rPr>
          <w:rFonts w:hint="eastAsia" w:ascii="宋体" w:hAnsi="宋体" w:cs="仿宋_GB2312"/>
          <w:b/>
          <w:bCs/>
          <w:szCs w:val="21"/>
          <w:highlight w:val="none"/>
        </w:rPr>
        <w:t>项目概况</w:t>
      </w:r>
    </w:p>
    <w:p w14:paraId="77E1A0CC">
      <w:pPr>
        <w:pageBreakBefore w:val="0"/>
        <w:kinsoku/>
        <w:bidi w:val="0"/>
        <w:spacing w:line="360" w:lineRule="auto"/>
        <w:ind w:firstLine="420" w:firstLineChars="200"/>
        <w:rPr>
          <w:rFonts w:hint="eastAsia" w:ascii="宋体" w:hAnsi="宋体" w:cs="仿宋_GB2312"/>
          <w:szCs w:val="21"/>
          <w:highlight w:val="none"/>
        </w:rPr>
      </w:pPr>
      <w:r>
        <w:rPr>
          <w:rFonts w:hint="eastAsia" w:ascii="宋体" w:hAnsi="宋体" w:cs="仿宋_GB2312"/>
          <w:szCs w:val="21"/>
          <w:highlight w:val="none"/>
          <w:u w:val="single"/>
          <w:lang w:eastAsia="zh-CN"/>
        </w:rPr>
        <w:t>“中国医药城大健康产业论坛”策划执行服务项目</w:t>
      </w:r>
      <w:r>
        <w:rPr>
          <w:rFonts w:hint="eastAsia" w:ascii="宋体" w:hAnsi="宋体" w:cs="仿宋_GB2312"/>
          <w:szCs w:val="21"/>
          <w:highlight w:val="none"/>
        </w:rPr>
        <w:t>的潜在供应商应在</w:t>
      </w:r>
      <w:r>
        <w:rPr>
          <w:rFonts w:hint="eastAsia" w:ascii="宋体" w:hAnsi="宋体" w:cs="仿宋_GB2312"/>
          <w:b/>
          <w:bCs/>
          <w:szCs w:val="21"/>
          <w:highlight w:val="none"/>
          <w:u w:val="single"/>
        </w:rPr>
        <w:t>江苏政府采购网</w:t>
      </w:r>
      <w:r>
        <w:rPr>
          <w:rFonts w:hint="eastAsia" w:ascii="宋体" w:hAnsi="宋体" w:cs="仿宋_GB2312"/>
          <w:szCs w:val="21"/>
          <w:highlight w:val="none"/>
        </w:rPr>
        <w:t>获取采购文件，并于</w:t>
      </w:r>
      <w:r>
        <w:rPr>
          <w:rFonts w:hint="eastAsia" w:ascii="宋体" w:hAnsi="宋体" w:cs="仿宋_GB2312"/>
          <w:color w:val="FF0000"/>
          <w:szCs w:val="21"/>
          <w:highlight w:val="none"/>
          <w:lang w:eastAsia="zh-CN"/>
        </w:rPr>
        <w:t>2026年</w:t>
      </w:r>
      <w:r>
        <w:rPr>
          <w:rFonts w:hint="eastAsia" w:ascii="宋体" w:hAnsi="宋体" w:cs="仿宋_GB2312"/>
          <w:color w:val="FF0000"/>
          <w:szCs w:val="21"/>
          <w:highlight w:val="none"/>
          <w:lang w:val="en-US" w:eastAsia="zh-CN"/>
        </w:rPr>
        <w:t>10</w:t>
      </w:r>
      <w:r>
        <w:rPr>
          <w:rFonts w:hint="eastAsia" w:ascii="宋体" w:hAnsi="宋体" w:cs="仿宋_GB2312"/>
          <w:color w:val="FF0000"/>
          <w:szCs w:val="21"/>
          <w:highlight w:val="none"/>
        </w:rPr>
        <w:t>月</w:t>
      </w:r>
      <w:r>
        <w:rPr>
          <w:rFonts w:hint="eastAsia" w:ascii="宋体" w:hAnsi="宋体" w:cs="仿宋_GB2312"/>
          <w:color w:val="FF0000"/>
          <w:szCs w:val="21"/>
          <w:highlight w:val="none"/>
          <w:lang w:val="en-US" w:eastAsia="zh-CN"/>
        </w:rPr>
        <w:t>19</w:t>
      </w:r>
      <w:r>
        <w:rPr>
          <w:rFonts w:hint="eastAsia" w:ascii="宋体" w:hAnsi="宋体"/>
          <w:color w:val="FF0000"/>
          <w:szCs w:val="21"/>
          <w:highlight w:val="none"/>
        </w:rPr>
        <w:t>日9</w:t>
      </w:r>
      <w:r>
        <w:rPr>
          <w:rFonts w:hint="eastAsia" w:ascii="宋体" w:hAnsi="宋体" w:cs="仿宋_GB2312"/>
          <w:color w:val="FF0000"/>
          <w:szCs w:val="21"/>
          <w:highlight w:val="none"/>
        </w:rPr>
        <w:t>点00分</w:t>
      </w:r>
      <w:r>
        <w:rPr>
          <w:rFonts w:hint="eastAsia" w:ascii="宋体" w:hAnsi="宋体" w:cs="仿宋_GB2312"/>
          <w:szCs w:val="21"/>
          <w:highlight w:val="none"/>
        </w:rPr>
        <w:t>（北京时间）前提交响应文件。</w:t>
      </w:r>
    </w:p>
    <w:p w14:paraId="25E2A8A6">
      <w:pPr>
        <w:pageBreakBefore w:val="0"/>
        <w:kinsoku/>
        <w:bidi w:val="0"/>
        <w:spacing w:line="360" w:lineRule="auto"/>
        <w:rPr>
          <w:rFonts w:hint="eastAsia" w:ascii="宋体" w:hAnsi="宋体" w:cs="宋体"/>
          <w:b/>
          <w:bCs/>
          <w:szCs w:val="21"/>
          <w:highlight w:val="none"/>
        </w:rPr>
      </w:pPr>
      <w:r>
        <w:rPr>
          <w:rFonts w:hint="eastAsia" w:ascii="宋体" w:hAnsi="宋体" w:cs="宋体"/>
          <w:b/>
          <w:bCs/>
          <w:szCs w:val="21"/>
          <w:highlight w:val="none"/>
        </w:rPr>
        <w:t>一、项目基本情况</w:t>
      </w:r>
      <w:bookmarkEnd w:id="1"/>
      <w:bookmarkEnd w:id="2"/>
      <w:bookmarkEnd w:id="3"/>
      <w:bookmarkEnd w:id="4"/>
    </w:p>
    <w:p w14:paraId="036CA992">
      <w:pPr>
        <w:pageBreakBefore w:val="0"/>
        <w:kinsoku/>
        <w:autoSpaceDE w:val="0"/>
        <w:autoSpaceDN w:val="0"/>
        <w:bidi w:val="0"/>
        <w:spacing w:line="360" w:lineRule="auto"/>
        <w:ind w:firstLine="422" w:firstLineChars="200"/>
        <w:rPr>
          <w:rFonts w:hint="eastAsia" w:ascii="宋体" w:hAnsi="宋体" w:eastAsia="宋体" w:cs="宋体"/>
          <w:szCs w:val="21"/>
          <w:highlight w:val="none"/>
          <w:lang w:eastAsia="zh-CN"/>
        </w:rPr>
      </w:pPr>
      <w:bookmarkStart w:id="8" w:name="_Toc28359090"/>
      <w:bookmarkStart w:id="9" w:name="_Toc28359013"/>
      <w:bookmarkStart w:id="10" w:name="_Toc35393630"/>
      <w:bookmarkStart w:id="11" w:name="_Toc35393799"/>
      <w:r>
        <w:rPr>
          <w:rFonts w:hint="eastAsia" w:ascii="宋体" w:hAnsi="宋体" w:cs="宋体"/>
          <w:b/>
          <w:bCs/>
          <w:szCs w:val="21"/>
          <w:highlight w:val="none"/>
        </w:rPr>
        <w:t>项目编号：</w:t>
      </w:r>
      <w:r>
        <w:rPr>
          <w:rFonts w:hint="eastAsia" w:ascii="宋体" w:hAnsi="宋体" w:cs="宋体"/>
          <w:szCs w:val="21"/>
          <w:highlight w:val="none"/>
          <w:lang w:eastAsia="zh-CN"/>
        </w:rPr>
        <w:t>JSZC-321203-HQGC-C2026-0037</w:t>
      </w:r>
    </w:p>
    <w:p w14:paraId="7AB20187">
      <w:pPr>
        <w:pageBreakBefore w:val="0"/>
        <w:kinsoku/>
        <w:autoSpaceDE w:val="0"/>
        <w:autoSpaceDN w:val="0"/>
        <w:bidi w:val="0"/>
        <w:spacing w:line="360" w:lineRule="auto"/>
        <w:ind w:firstLine="422" w:firstLineChars="200"/>
        <w:rPr>
          <w:rFonts w:hint="eastAsia" w:ascii="宋体" w:hAnsi="宋体" w:eastAsia="宋体" w:cs="宋体"/>
          <w:szCs w:val="21"/>
          <w:highlight w:val="none"/>
          <w:lang w:eastAsia="zh-CN"/>
        </w:rPr>
      </w:pPr>
      <w:r>
        <w:rPr>
          <w:rFonts w:hint="eastAsia" w:ascii="宋体" w:hAnsi="宋体" w:cs="宋体"/>
          <w:b/>
          <w:bCs/>
          <w:szCs w:val="21"/>
          <w:highlight w:val="none"/>
        </w:rPr>
        <w:t>项目名称：</w:t>
      </w:r>
      <w:r>
        <w:rPr>
          <w:rFonts w:hint="eastAsia" w:ascii="宋体" w:hAnsi="宋体" w:cs="宋体"/>
          <w:szCs w:val="21"/>
          <w:highlight w:val="none"/>
          <w:lang w:eastAsia="zh-CN"/>
        </w:rPr>
        <w:t>“中国医药城大健康产业论坛”策划执行服务项目</w:t>
      </w:r>
    </w:p>
    <w:p w14:paraId="19F1A0CA">
      <w:pPr>
        <w:pageBreakBefore w:val="0"/>
        <w:kinsoku/>
        <w:autoSpaceDE w:val="0"/>
        <w:autoSpaceDN w:val="0"/>
        <w:bidi w:val="0"/>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采购方式：</w:t>
      </w:r>
      <w:r>
        <w:rPr>
          <w:rFonts w:hint="eastAsia" w:ascii="宋体" w:hAnsi="宋体" w:cs="宋体"/>
          <w:szCs w:val="21"/>
          <w:highlight w:val="none"/>
        </w:rPr>
        <w:t xml:space="preserve">竞争性磋商 </w:t>
      </w:r>
    </w:p>
    <w:p w14:paraId="65B22BE3">
      <w:pPr>
        <w:pageBreakBefore w:val="0"/>
        <w:kinsoku/>
        <w:autoSpaceDE w:val="0"/>
        <w:autoSpaceDN w:val="0"/>
        <w:bidi w:val="0"/>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预算金额：</w:t>
      </w:r>
      <w:r>
        <w:rPr>
          <w:rFonts w:hint="eastAsia" w:ascii="宋体" w:hAnsi="宋体" w:cs="宋体"/>
          <w:szCs w:val="21"/>
          <w:highlight w:val="none"/>
          <w:lang w:val="en-US" w:eastAsia="zh-CN"/>
        </w:rPr>
        <w:t>307</w:t>
      </w:r>
      <w:r>
        <w:rPr>
          <w:rFonts w:hint="eastAsia" w:ascii="宋体" w:hAnsi="宋体" w:cs="宋体"/>
          <w:szCs w:val="21"/>
          <w:highlight w:val="none"/>
        </w:rPr>
        <w:t>万元人民币</w:t>
      </w:r>
    </w:p>
    <w:p w14:paraId="7F4AA0BE">
      <w:pPr>
        <w:pageBreakBefore w:val="0"/>
        <w:kinsoku/>
        <w:bidi w:val="0"/>
        <w:spacing w:line="360" w:lineRule="auto"/>
        <w:ind w:firstLine="420"/>
        <w:rPr>
          <w:rFonts w:hint="eastAsia" w:ascii="宋体" w:hAnsi="宋体" w:eastAsia="宋体" w:cs="宋体"/>
          <w:szCs w:val="21"/>
          <w:highlight w:val="none"/>
        </w:rPr>
      </w:pPr>
      <w:r>
        <w:rPr>
          <w:rFonts w:hint="eastAsia" w:ascii="宋体" w:hAnsi="宋体" w:cs="宋体"/>
          <w:b/>
          <w:bCs/>
          <w:szCs w:val="21"/>
          <w:highlight w:val="none"/>
        </w:rPr>
        <w:t>最高限价：</w:t>
      </w:r>
      <w:r>
        <w:rPr>
          <w:rFonts w:hint="eastAsia" w:ascii="宋体" w:hAnsi="宋体" w:eastAsia="宋体" w:cs="宋体"/>
          <w:szCs w:val="21"/>
          <w:highlight w:val="none"/>
        </w:rPr>
        <w:t>总价</w:t>
      </w:r>
      <w:r>
        <w:rPr>
          <w:rFonts w:hint="eastAsia" w:ascii="宋体" w:hAnsi="宋体" w:eastAsia="宋体" w:cs="宋体"/>
          <w:szCs w:val="21"/>
          <w:highlight w:val="none"/>
          <w:lang w:val="en-US" w:eastAsia="zh-CN"/>
        </w:rPr>
        <w:t>307万元</w:t>
      </w:r>
      <w:r>
        <w:rPr>
          <w:rFonts w:hint="eastAsia" w:ascii="宋体" w:hAnsi="宋体" w:eastAsia="宋体" w:cs="宋体"/>
          <w:szCs w:val="21"/>
          <w:highlight w:val="none"/>
        </w:rPr>
        <w:t>人民币；超过最高限价（单价）按无效响应处理。 </w:t>
      </w:r>
    </w:p>
    <w:p w14:paraId="6D058DD6">
      <w:pPr>
        <w:pageBreakBefore w:val="0"/>
        <w:kinsoku/>
        <w:bidi w:val="0"/>
        <w:spacing w:line="360" w:lineRule="auto"/>
        <w:ind w:firstLine="420"/>
        <w:rPr>
          <w:rFonts w:hint="eastAsia" w:ascii="宋体" w:hAnsi="宋体" w:eastAsia="宋体" w:cs="宋体"/>
          <w:highlight w:val="none"/>
        </w:rPr>
      </w:pPr>
      <w:r>
        <w:rPr>
          <w:rFonts w:hint="eastAsia" w:ascii="宋体" w:hAnsi="宋体" w:eastAsia="宋体" w:cs="宋体"/>
          <w:b/>
          <w:bCs/>
          <w:szCs w:val="21"/>
          <w:highlight w:val="none"/>
        </w:rPr>
        <w:t>采购需求：</w:t>
      </w:r>
      <w:r>
        <w:rPr>
          <w:rFonts w:hint="eastAsia" w:ascii="宋体" w:hAnsi="宋体" w:eastAsia="宋体" w:cs="宋体"/>
          <w:szCs w:val="21"/>
          <w:highlight w:val="none"/>
          <w:lang w:eastAsia="zh-CN"/>
        </w:rPr>
        <w:t>根据会议主办</w:t>
      </w:r>
      <w:r>
        <w:rPr>
          <w:rFonts w:hint="eastAsia" w:ascii="宋体" w:hAnsi="宋体" w:eastAsia="宋体" w:cs="宋体"/>
          <w:highlight w:val="none"/>
          <w:lang w:eastAsia="zh-CN"/>
        </w:rPr>
        <w:t>方要求，供应商须做好中国医药城大健康产业论坛全程各项活动的具体策划与执行工作，具体内容包括但不限于：</w:t>
      </w:r>
      <w:r>
        <w:rPr>
          <w:rFonts w:hint="eastAsia" w:ascii="宋体" w:hAnsi="宋体" w:cs="宋体"/>
          <w:highlight w:val="none"/>
          <w:lang w:eastAsia="zh-CN"/>
        </w:rPr>
        <w:t>活动</w:t>
      </w:r>
      <w:r>
        <w:rPr>
          <w:rFonts w:hint="eastAsia" w:ascii="宋体" w:hAnsi="宋体" w:eastAsia="宋体" w:cs="宋体"/>
          <w:highlight w:val="none"/>
          <w:lang w:val="en-US" w:eastAsia="zh-CN"/>
        </w:rPr>
        <w:t>整体</w:t>
      </w:r>
      <w:r>
        <w:rPr>
          <w:rFonts w:hint="eastAsia" w:ascii="宋体" w:hAnsi="宋体" w:eastAsia="宋体" w:cs="宋体"/>
          <w:highlight w:val="none"/>
          <w:lang w:eastAsia="zh-CN"/>
        </w:rPr>
        <w:t>策划、</w:t>
      </w:r>
      <w:r>
        <w:rPr>
          <w:rFonts w:hint="eastAsia" w:ascii="宋体" w:hAnsi="宋体" w:eastAsia="宋体" w:cs="宋体"/>
          <w:highlight w:val="none"/>
          <w:lang w:val="en-US" w:eastAsia="zh-CN"/>
        </w:rPr>
        <w:t>视觉设计、签到注册、</w:t>
      </w:r>
      <w:r>
        <w:rPr>
          <w:rFonts w:hint="eastAsia" w:ascii="宋体" w:hAnsi="宋体" w:eastAsia="宋体" w:cs="宋体"/>
          <w:highlight w:val="none"/>
          <w:lang w:eastAsia="zh-CN"/>
        </w:rPr>
        <w:t>活动推广、会务组织、会务执行、嘉宾邀请、</w:t>
      </w:r>
      <w:r>
        <w:rPr>
          <w:rFonts w:hint="eastAsia" w:ascii="宋体" w:hAnsi="宋体" w:eastAsia="宋体" w:cs="宋体"/>
          <w:highlight w:val="none"/>
          <w:lang w:val="en-US" w:eastAsia="zh-CN"/>
        </w:rPr>
        <w:t>成果展示、</w:t>
      </w:r>
      <w:r>
        <w:rPr>
          <w:rFonts w:hint="eastAsia" w:ascii="宋体" w:hAnsi="宋体" w:eastAsia="宋体" w:cs="宋体"/>
          <w:highlight w:val="none"/>
          <w:lang w:eastAsia="zh-CN"/>
        </w:rPr>
        <w:t>摄影摄像、会场搭建和服务（</w:t>
      </w:r>
      <w:r>
        <w:rPr>
          <w:rFonts w:hint="eastAsia" w:ascii="宋体" w:hAnsi="宋体" w:eastAsia="宋体" w:cs="宋体"/>
          <w:highlight w:val="none"/>
          <w:lang w:val="en-US" w:eastAsia="zh-CN"/>
        </w:rPr>
        <w:t>包括主会场及分会议室的规划、场馆室内外的氛围布置等）</w:t>
      </w:r>
      <w:r>
        <w:rPr>
          <w:rFonts w:hint="eastAsia" w:ascii="宋体" w:hAnsi="宋体" w:eastAsia="宋体" w:cs="宋体"/>
          <w:highlight w:val="none"/>
          <w:lang w:eastAsia="zh-CN"/>
        </w:rPr>
        <w:t>、</w:t>
      </w:r>
      <w:r>
        <w:rPr>
          <w:rFonts w:hint="eastAsia" w:ascii="宋体" w:hAnsi="宋体" w:eastAsia="宋体" w:cs="宋体"/>
          <w:highlight w:val="none"/>
          <w:lang w:val="en-US" w:eastAsia="zh-CN"/>
        </w:rPr>
        <w:t>重要嘉宾及演讲嘉宾的交通、住宿、餐饮、接送等</w:t>
      </w:r>
      <w:r>
        <w:rPr>
          <w:rFonts w:hint="eastAsia" w:ascii="宋体" w:hAnsi="宋体" w:eastAsia="宋体" w:cs="宋体"/>
          <w:highlight w:val="none"/>
          <w:lang w:eastAsia="zh-CN"/>
        </w:rPr>
        <w:t>接待保障</w:t>
      </w:r>
      <w:r>
        <w:rPr>
          <w:rFonts w:hint="eastAsia" w:ascii="宋体" w:hAnsi="宋体" w:eastAsia="宋体" w:cs="宋体"/>
          <w:highlight w:val="none"/>
          <w:lang w:val="en-US" w:eastAsia="zh-CN"/>
        </w:rPr>
        <w:t>工作、</w:t>
      </w:r>
      <w:r>
        <w:rPr>
          <w:rFonts w:hint="eastAsia" w:ascii="宋体" w:hAnsi="宋体" w:eastAsia="宋体" w:cs="宋体"/>
          <w:highlight w:val="none"/>
          <w:lang w:eastAsia="zh-CN"/>
        </w:rPr>
        <w:t>宣传</w:t>
      </w:r>
      <w:r>
        <w:rPr>
          <w:rFonts w:hint="eastAsia" w:ascii="宋体" w:hAnsi="宋体" w:eastAsia="宋体" w:cs="宋体"/>
          <w:highlight w:val="none"/>
          <w:lang w:val="en-US" w:eastAsia="zh-CN"/>
        </w:rPr>
        <w:t>报道</w:t>
      </w:r>
      <w:r>
        <w:rPr>
          <w:rFonts w:hint="eastAsia" w:ascii="宋体" w:hAnsi="宋体" w:eastAsia="宋体" w:cs="宋体"/>
          <w:highlight w:val="none"/>
          <w:lang w:eastAsia="zh-CN"/>
        </w:rPr>
        <w:t>、</w:t>
      </w:r>
      <w:r>
        <w:rPr>
          <w:rFonts w:hint="eastAsia" w:ascii="宋体" w:hAnsi="宋体" w:eastAsia="宋体" w:cs="宋体"/>
          <w:highlight w:val="none"/>
          <w:lang w:val="en-US" w:eastAsia="zh-CN"/>
        </w:rPr>
        <w:t>印刷及</w:t>
      </w:r>
      <w:r>
        <w:rPr>
          <w:rFonts w:hint="eastAsia" w:ascii="宋体" w:hAnsi="宋体" w:eastAsia="宋体" w:cs="宋体"/>
          <w:highlight w:val="none"/>
          <w:lang w:eastAsia="zh-CN"/>
        </w:rPr>
        <w:t>物料保障，以及礼仪、速记、</w:t>
      </w:r>
      <w:r>
        <w:rPr>
          <w:rFonts w:hint="eastAsia" w:ascii="宋体" w:hAnsi="宋体" w:eastAsia="宋体" w:cs="宋体"/>
          <w:highlight w:val="none"/>
          <w:lang w:val="en-US" w:eastAsia="zh-CN"/>
        </w:rPr>
        <w:t>直播</w:t>
      </w:r>
      <w:r>
        <w:rPr>
          <w:rFonts w:hint="eastAsia" w:ascii="宋体" w:hAnsi="宋体" w:eastAsia="宋体" w:cs="宋体"/>
          <w:highlight w:val="none"/>
          <w:lang w:eastAsia="zh-CN"/>
        </w:rPr>
        <w:t>等相关会议协调保障工作。</w:t>
      </w:r>
      <w:r>
        <w:rPr>
          <w:rFonts w:hint="eastAsia" w:ascii="宋体" w:hAnsi="宋体" w:eastAsia="宋体" w:cs="宋体"/>
          <w:highlight w:val="none"/>
        </w:rPr>
        <w:t>具体内容见磋商文件第四章 项目需求。</w:t>
      </w:r>
    </w:p>
    <w:p w14:paraId="54E9886E">
      <w:pPr>
        <w:pageBreakBefore w:val="0"/>
        <w:kinsoku/>
        <w:bidi w:val="0"/>
        <w:spacing w:line="360" w:lineRule="auto"/>
        <w:ind w:firstLine="420"/>
        <w:rPr>
          <w:rFonts w:hint="default" w:ascii="宋体" w:hAnsi="宋体" w:cs="宋体"/>
          <w:b/>
          <w:bCs/>
          <w:szCs w:val="21"/>
          <w:highlight w:val="none"/>
          <w:lang w:val="en-US"/>
        </w:rPr>
      </w:pPr>
      <w:r>
        <w:rPr>
          <w:rFonts w:hint="eastAsia" w:ascii="宋体" w:hAnsi="宋体" w:cs="宋体"/>
          <w:b/>
          <w:bCs/>
          <w:szCs w:val="21"/>
          <w:highlight w:val="none"/>
        </w:rPr>
        <w:t>合同履行期限：</w:t>
      </w:r>
      <w:r>
        <w:rPr>
          <w:rFonts w:hint="eastAsia" w:ascii="宋体" w:hAnsi="宋体" w:eastAsia="宋体" w:cs="宋体"/>
          <w:highlight w:val="none"/>
          <w:lang w:val="en-US" w:eastAsia="zh-CN"/>
        </w:rPr>
        <w:t>2026年11月19日—21日（星期四至星期六）。</w:t>
      </w:r>
    </w:p>
    <w:p w14:paraId="0BD3ADFB">
      <w:pPr>
        <w:pageBreakBefore w:val="0"/>
        <w:kinsoku/>
        <w:bidi w:val="0"/>
        <w:spacing w:line="360" w:lineRule="auto"/>
        <w:ind w:firstLine="420"/>
        <w:rPr>
          <w:rFonts w:hint="eastAsia" w:ascii="宋体" w:hAnsi="宋体" w:cs="宋体"/>
          <w:b/>
          <w:bCs/>
          <w:szCs w:val="21"/>
          <w:highlight w:val="none"/>
        </w:rPr>
      </w:pPr>
      <w:r>
        <w:rPr>
          <w:rFonts w:hint="eastAsia" w:ascii="宋体" w:hAnsi="宋体" w:cs="宋体"/>
          <w:b/>
          <w:bCs/>
          <w:szCs w:val="21"/>
          <w:highlight w:val="none"/>
        </w:rPr>
        <w:t>本项目是否接受联合体投标：否。</w:t>
      </w:r>
    </w:p>
    <w:p w14:paraId="52C634AC">
      <w:pPr>
        <w:pageBreakBefore w:val="0"/>
        <w:kinsoku/>
        <w:autoSpaceDE w:val="0"/>
        <w:autoSpaceDN w:val="0"/>
        <w:bidi w:val="0"/>
        <w:spacing w:line="360" w:lineRule="auto"/>
        <w:rPr>
          <w:rFonts w:hint="eastAsia" w:ascii="宋体" w:hAnsi="宋体" w:cs="宋体"/>
          <w:b/>
          <w:bCs/>
          <w:szCs w:val="21"/>
          <w:highlight w:val="none"/>
        </w:rPr>
      </w:pPr>
      <w:r>
        <w:rPr>
          <w:rFonts w:hint="eastAsia" w:ascii="宋体" w:hAnsi="宋体" w:cs="宋体"/>
          <w:b/>
          <w:bCs/>
          <w:szCs w:val="21"/>
          <w:highlight w:val="none"/>
        </w:rPr>
        <w:t>二、申请人的资格要求：</w:t>
      </w:r>
      <w:bookmarkEnd w:id="8"/>
      <w:bookmarkEnd w:id="9"/>
      <w:bookmarkEnd w:id="10"/>
      <w:bookmarkEnd w:id="11"/>
    </w:p>
    <w:p w14:paraId="18DF970F">
      <w:pPr>
        <w:pageBreakBefore w:val="0"/>
        <w:kinsoku/>
        <w:bidi w:val="0"/>
        <w:spacing w:line="360" w:lineRule="auto"/>
        <w:ind w:firstLine="420" w:firstLineChars="200"/>
        <w:rPr>
          <w:rFonts w:hint="eastAsia" w:ascii="宋体" w:hAnsi="宋体" w:cs="宋体"/>
          <w:highlight w:val="none"/>
        </w:rPr>
      </w:pPr>
      <w:bookmarkStart w:id="12" w:name="_Toc28359014"/>
      <w:bookmarkStart w:id="13" w:name="_Toc35393631"/>
      <w:bookmarkStart w:id="14" w:name="_Toc28359091"/>
      <w:bookmarkStart w:id="15" w:name="_Toc35393800"/>
      <w:r>
        <w:rPr>
          <w:rFonts w:hint="eastAsia" w:ascii="宋体" w:hAnsi="宋体" w:cs="宋体"/>
          <w:highlight w:val="none"/>
        </w:rPr>
        <w:t>1.满足《中华人民共和国政府采购法》第二十二条的规定：</w:t>
      </w:r>
    </w:p>
    <w:p w14:paraId="54B2D57E">
      <w:pPr>
        <w:pageBreakBefore w:val="0"/>
        <w:kinsoku/>
        <w:bidi w:val="0"/>
        <w:spacing w:line="360" w:lineRule="auto"/>
        <w:ind w:firstLine="420"/>
        <w:rPr>
          <w:rFonts w:hint="eastAsia" w:ascii="宋体" w:hAnsi="宋体" w:cs="宋体"/>
          <w:highlight w:val="none"/>
        </w:rPr>
      </w:pPr>
      <w:r>
        <w:rPr>
          <w:rFonts w:hint="eastAsia" w:ascii="宋体" w:hAnsi="宋体" w:cs="宋体"/>
          <w:highlight w:val="none"/>
        </w:rPr>
        <w:t>1.1</w:t>
      </w:r>
      <w:r>
        <w:rPr>
          <w:rFonts w:ascii="宋体" w:hAnsi="宋体" w:cs="宋体"/>
          <w:highlight w:val="none"/>
        </w:rPr>
        <w:t>具有独立承担民事责任的能力；</w:t>
      </w:r>
    </w:p>
    <w:p w14:paraId="6BB521B5">
      <w:pPr>
        <w:pageBreakBefore w:val="0"/>
        <w:kinsoku/>
        <w:bidi w:val="0"/>
        <w:spacing w:line="360" w:lineRule="auto"/>
        <w:ind w:firstLine="420"/>
        <w:rPr>
          <w:rFonts w:hint="eastAsia" w:ascii="宋体" w:hAnsi="宋体" w:cs="宋体"/>
          <w:highlight w:val="none"/>
        </w:rPr>
      </w:pPr>
      <w:r>
        <w:rPr>
          <w:rFonts w:hint="eastAsia" w:ascii="宋体" w:hAnsi="宋体" w:cs="宋体"/>
          <w:highlight w:val="none"/>
        </w:rPr>
        <w:t>1.2</w:t>
      </w:r>
      <w:r>
        <w:rPr>
          <w:rFonts w:ascii="宋体" w:hAnsi="宋体" w:cs="宋体"/>
          <w:highlight w:val="none"/>
        </w:rPr>
        <w:t>具有良好的商业信誉和健全的财务会计制度；</w:t>
      </w:r>
    </w:p>
    <w:p w14:paraId="1EDAFBEA">
      <w:pPr>
        <w:pageBreakBefore w:val="0"/>
        <w:kinsoku/>
        <w:bidi w:val="0"/>
        <w:spacing w:line="360" w:lineRule="auto"/>
        <w:ind w:firstLine="420"/>
        <w:rPr>
          <w:rFonts w:hint="eastAsia" w:ascii="宋体" w:hAnsi="宋体" w:cs="宋体"/>
          <w:highlight w:val="none"/>
        </w:rPr>
      </w:pPr>
      <w:r>
        <w:rPr>
          <w:rFonts w:hint="eastAsia" w:ascii="宋体" w:hAnsi="宋体" w:cs="宋体"/>
          <w:highlight w:val="none"/>
        </w:rPr>
        <w:t>1.3具</w:t>
      </w:r>
      <w:r>
        <w:rPr>
          <w:rFonts w:ascii="宋体" w:hAnsi="宋体" w:cs="宋体"/>
          <w:highlight w:val="none"/>
        </w:rPr>
        <w:t>有依法缴纳税收和社会保障资金的良好记录；</w:t>
      </w:r>
    </w:p>
    <w:p w14:paraId="51FF0DDC">
      <w:pPr>
        <w:pageBreakBefore w:val="0"/>
        <w:kinsoku/>
        <w:bidi w:val="0"/>
        <w:spacing w:line="360" w:lineRule="auto"/>
        <w:ind w:firstLine="420"/>
        <w:rPr>
          <w:rFonts w:hint="eastAsia" w:ascii="宋体" w:hAnsi="宋体" w:cs="宋体"/>
          <w:highlight w:val="none"/>
        </w:rPr>
      </w:pPr>
      <w:r>
        <w:rPr>
          <w:rFonts w:hint="eastAsia" w:ascii="宋体" w:hAnsi="宋体" w:cs="宋体"/>
          <w:highlight w:val="none"/>
        </w:rPr>
        <w:t>1.4</w:t>
      </w:r>
      <w:r>
        <w:rPr>
          <w:rFonts w:ascii="宋体" w:hAnsi="宋体" w:cs="宋体"/>
          <w:highlight w:val="none"/>
        </w:rPr>
        <w:t>具</w:t>
      </w:r>
      <w:r>
        <w:rPr>
          <w:rFonts w:hint="eastAsia" w:ascii="宋体" w:hAnsi="宋体" w:cs="宋体"/>
          <w:highlight w:val="none"/>
        </w:rPr>
        <w:t>备</w:t>
      </w:r>
      <w:r>
        <w:rPr>
          <w:rFonts w:ascii="宋体" w:hAnsi="宋体" w:cs="宋体"/>
          <w:highlight w:val="none"/>
        </w:rPr>
        <w:t>履行合同</w:t>
      </w:r>
      <w:r>
        <w:rPr>
          <w:rFonts w:hint="eastAsia" w:ascii="宋体" w:hAnsi="宋体" w:cs="宋体"/>
          <w:highlight w:val="none"/>
        </w:rPr>
        <w:t>所必需的</w:t>
      </w:r>
      <w:r>
        <w:rPr>
          <w:rFonts w:ascii="宋体" w:hAnsi="宋体" w:cs="宋体"/>
          <w:highlight w:val="none"/>
        </w:rPr>
        <w:t>设备和专业技术能力；</w:t>
      </w:r>
    </w:p>
    <w:p w14:paraId="40C38032">
      <w:pPr>
        <w:pageBreakBefore w:val="0"/>
        <w:kinsoku/>
        <w:bidi w:val="0"/>
        <w:spacing w:line="360" w:lineRule="auto"/>
        <w:ind w:firstLine="420"/>
        <w:rPr>
          <w:rFonts w:hint="eastAsia" w:ascii="宋体" w:hAnsi="宋体" w:cs="宋体"/>
          <w:highlight w:val="none"/>
        </w:rPr>
      </w:pPr>
      <w:r>
        <w:rPr>
          <w:rFonts w:hint="eastAsia" w:ascii="宋体" w:hAnsi="宋体" w:cs="宋体"/>
          <w:highlight w:val="none"/>
        </w:rPr>
        <w:t>1.5</w:t>
      </w:r>
      <w:r>
        <w:rPr>
          <w:rFonts w:ascii="宋体" w:hAnsi="宋体" w:cs="宋体"/>
          <w:highlight w:val="none"/>
        </w:rPr>
        <w:t>参加政府采购活动前三年内，在经营活动中没有重大违法记录；</w:t>
      </w:r>
    </w:p>
    <w:p w14:paraId="2719DEC0">
      <w:pPr>
        <w:pageBreakBefore w:val="0"/>
        <w:kinsoku/>
        <w:bidi w:val="0"/>
        <w:spacing w:line="360" w:lineRule="auto"/>
        <w:ind w:firstLine="420"/>
        <w:rPr>
          <w:rFonts w:hint="eastAsia" w:ascii="宋体" w:hAnsi="宋体" w:cs="宋体"/>
          <w:highlight w:val="none"/>
        </w:rPr>
      </w:pPr>
      <w:r>
        <w:rPr>
          <w:rFonts w:hint="eastAsia" w:ascii="宋体" w:hAnsi="宋体" w:cs="宋体"/>
          <w:highlight w:val="none"/>
        </w:rPr>
        <w:t>1.6</w:t>
      </w:r>
      <w:r>
        <w:rPr>
          <w:rFonts w:ascii="宋体" w:hAnsi="宋体" w:cs="宋体"/>
          <w:highlight w:val="none"/>
        </w:rPr>
        <w:t>法律、行政法规规定的其他条件。</w:t>
      </w:r>
    </w:p>
    <w:p w14:paraId="26832466">
      <w:pPr>
        <w:pageBreakBefore w:val="0"/>
        <w:kinsoku/>
        <w:bidi w:val="0"/>
        <w:spacing w:line="360" w:lineRule="auto"/>
        <w:ind w:firstLine="420" w:firstLineChars="200"/>
        <w:contextualSpacing/>
        <w:rPr>
          <w:rFonts w:hint="eastAsia" w:cs="宋体" w:asciiTheme="minorEastAsia" w:hAnsiTheme="minorEastAsia" w:eastAsiaTheme="minorEastAsia"/>
          <w:szCs w:val="21"/>
          <w:highlight w:val="none"/>
        </w:rPr>
      </w:pPr>
      <w:r>
        <w:rPr>
          <w:rFonts w:hint="eastAsia" w:ascii="宋体" w:hAnsi="宋体" w:cs="宋体"/>
          <w:highlight w:val="none"/>
        </w:rPr>
        <w:t>2.落实政府采购政策需满足的资格要求：</w:t>
      </w:r>
      <w:r>
        <w:rPr>
          <w:rFonts w:hint="eastAsia" w:ascii="宋体" w:hAnsi="宋体" w:cs="宋体"/>
          <w:b/>
          <w:bCs/>
          <w:szCs w:val="21"/>
          <w:highlight w:val="none"/>
        </w:rPr>
        <w:t>本项目专门面向中小企业，所属行业</w:t>
      </w:r>
      <w:r>
        <w:rPr>
          <w:rFonts w:hint="eastAsia" w:ascii="宋体" w:hAnsi="宋体" w:cs="宋体"/>
          <w:b/>
          <w:bCs/>
          <w:szCs w:val="21"/>
          <w:highlight w:val="none"/>
          <w:u w:val="single"/>
        </w:rPr>
        <w:t>其他未列明行业</w:t>
      </w:r>
      <w:r>
        <w:rPr>
          <w:rFonts w:hint="eastAsia" w:ascii="宋体" w:hAnsi="宋体" w:cs="宋体"/>
          <w:b/>
          <w:bCs/>
          <w:szCs w:val="21"/>
          <w:highlight w:val="none"/>
        </w:rPr>
        <w:t>。</w:t>
      </w:r>
      <w:r>
        <w:rPr>
          <w:rFonts w:hint="eastAsia" w:asciiTheme="minorEastAsia" w:hAnsiTheme="minorEastAsia" w:eastAsiaTheme="minorEastAsia"/>
          <w:szCs w:val="21"/>
          <w:highlight w:val="none"/>
          <w:lang w:val="en-US" w:eastAsia="zh-CN"/>
        </w:rPr>
        <w:t>供应商</w:t>
      </w:r>
      <w:r>
        <w:rPr>
          <w:rFonts w:hint="eastAsia" w:asciiTheme="minorEastAsia" w:hAnsiTheme="minorEastAsia" w:eastAsiaTheme="minorEastAsia"/>
          <w:szCs w:val="21"/>
          <w:highlight w:val="none"/>
        </w:rPr>
        <w:t>应当按照《政府采购促进中小企业发展管理办法》（财库〔2020〕46号）的规定提供《中小企业声明函》（中小企业划型标准详见《关于印发中小企业划型标准规定的通知》工信部联企</w:t>
      </w:r>
      <w:r>
        <w:rPr>
          <w:rFonts w:hint="eastAsia" w:asciiTheme="minorEastAsia" w:hAnsiTheme="minorEastAsia"/>
          <w:szCs w:val="21"/>
          <w:highlight w:val="none"/>
        </w:rPr>
        <w:t>业</w:t>
      </w:r>
      <w:r>
        <w:rPr>
          <w:rFonts w:hint="eastAsia" w:asciiTheme="minorEastAsia" w:hAnsiTheme="minorEastAsia" w:eastAsiaTheme="minorEastAsia"/>
          <w:szCs w:val="21"/>
          <w:highlight w:val="none"/>
        </w:rPr>
        <w:t>〔2011〕300号）。</w:t>
      </w:r>
    </w:p>
    <w:p w14:paraId="241E2B86">
      <w:pPr>
        <w:pageBreakBefore w:val="0"/>
        <w:kinsoku/>
        <w:bidi w:val="0"/>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cs="宋体"/>
          <w:bCs/>
          <w:szCs w:val="21"/>
          <w:highlight w:val="none"/>
        </w:rPr>
        <w:t>3.本项目的特定资格要求：</w:t>
      </w:r>
      <w:r>
        <w:rPr>
          <w:rFonts w:hint="eastAsia" w:ascii="宋体" w:hAnsi="宋体" w:cs="宋体"/>
          <w:bCs/>
          <w:szCs w:val="21"/>
          <w:highlight w:val="none"/>
          <w:lang w:val="en-US" w:eastAsia="zh-CN"/>
        </w:rPr>
        <w:t>无。</w:t>
      </w:r>
    </w:p>
    <w:p w14:paraId="08166DDF">
      <w:pPr>
        <w:pageBreakBefore w:val="0"/>
        <w:tabs>
          <w:tab w:val="left" w:pos="900"/>
        </w:tabs>
        <w:kinsoku/>
        <w:bidi w:val="0"/>
        <w:spacing w:line="360" w:lineRule="auto"/>
        <w:ind w:left="420" w:leftChars="200"/>
        <w:rPr>
          <w:rFonts w:hint="eastAsia" w:ascii="宋体" w:hAnsi="宋体" w:cs="宋体"/>
          <w:bCs/>
          <w:szCs w:val="21"/>
          <w:highlight w:val="none"/>
        </w:rPr>
      </w:pPr>
      <w:r>
        <w:rPr>
          <w:rFonts w:hint="eastAsia" w:ascii="宋体" w:hAnsi="宋体" w:cs="宋体"/>
          <w:bCs/>
          <w:szCs w:val="21"/>
          <w:highlight w:val="none"/>
        </w:rPr>
        <w:t>4.拒绝下述供应商参加本次采购活动：</w:t>
      </w:r>
    </w:p>
    <w:p w14:paraId="5F81C5B9">
      <w:pPr>
        <w:pageBreakBefore w:val="0"/>
        <w:tabs>
          <w:tab w:val="left" w:pos="900"/>
        </w:tabs>
        <w:kinsoku/>
        <w:bidi w:val="0"/>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4.1供应商单位负责人为同一人或者存在直接控股、管理关系的不同供应商，不得参加同一合同项下的政府采购活动。</w:t>
      </w:r>
    </w:p>
    <w:p w14:paraId="108B2F83">
      <w:pPr>
        <w:pageBreakBefore w:val="0"/>
        <w:tabs>
          <w:tab w:val="left" w:pos="900"/>
        </w:tabs>
        <w:kinsoku/>
        <w:bidi w:val="0"/>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4.2凡为本采购项目提供整体设计、规范编制或者项目管理、监理、检测等服务的供应商，不得再参加本采购项目的其他采购活动；</w:t>
      </w:r>
    </w:p>
    <w:p w14:paraId="46AA7E3F">
      <w:pPr>
        <w:pageBreakBefore w:val="0"/>
        <w:tabs>
          <w:tab w:val="left" w:pos="900"/>
        </w:tabs>
        <w:kinsoku/>
        <w:bidi w:val="0"/>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4.3供应商被“信用中国”网站（www.creditchina.gov.cn）、“中国政府采购网”（www.ccgp.gov.cn）列入严重失信主体名单、政府采购严重违法失信行为记录名单。</w:t>
      </w:r>
    </w:p>
    <w:p w14:paraId="15B9FF92">
      <w:pPr>
        <w:pageBreakBefore w:val="0"/>
        <w:kinsoku/>
        <w:bidi w:val="0"/>
        <w:spacing w:line="360" w:lineRule="auto"/>
        <w:rPr>
          <w:rFonts w:hint="eastAsia" w:ascii="宋体" w:hAnsi="宋体" w:cs="宋体"/>
          <w:b/>
          <w:bCs/>
          <w:szCs w:val="21"/>
          <w:highlight w:val="none"/>
        </w:rPr>
      </w:pPr>
      <w:r>
        <w:rPr>
          <w:rFonts w:hint="eastAsia" w:ascii="宋体" w:hAnsi="宋体" w:cs="宋体"/>
          <w:b/>
          <w:bCs/>
          <w:szCs w:val="21"/>
          <w:highlight w:val="none"/>
        </w:rPr>
        <w:t>三、获取采购文件</w:t>
      </w:r>
      <w:bookmarkEnd w:id="12"/>
      <w:bookmarkEnd w:id="13"/>
      <w:bookmarkEnd w:id="14"/>
      <w:bookmarkEnd w:id="15"/>
    </w:p>
    <w:p w14:paraId="130E979F">
      <w:pPr>
        <w:pageBreakBefore w:val="0"/>
        <w:tabs>
          <w:tab w:val="left" w:pos="900"/>
        </w:tabs>
        <w:kinsoku/>
        <w:topLinePunct w:val="0"/>
        <w:bidi w:val="0"/>
        <w:adjustRightInd/>
        <w:snapToGrid/>
        <w:spacing w:line="360" w:lineRule="auto"/>
        <w:ind w:firstLine="420" w:firstLineChars="200"/>
        <w:rPr>
          <w:rFonts w:hint="eastAsia" w:cs="宋体" w:asciiTheme="majorEastAsia" w:hAnsiTheme="majorEastAsia" w:eastAsiaTheme="majorEastAsia"/>
          <w:bCs/>
          <w:color w:val="auto"/>
          <w:szCs w:val="21"/>
          <w:highlight w:val="none"/>
        </w:rPr>
      </w:pPr>
      <w:bookmarkStart w:id="16" w:name="_Toc35393801"/>
      <w:bookmarkStart w:id="17" w:name="_Toc35393632"/>
      <w:bookmarkStart w:id="18" w:name="_Toc28359092"/>
      <w:bookmarkStart w:id="19" w:name="_Toc28359015"/>
      <w:r>
        <w:rPr>
          <w:rFonts w:hint="eastAsia" w:cs="宋体" w:asciiTheme="majorEastAsia" w:hAnsiTheme="majorEastAsia" w:eastAsiaTheme="majorEastAsia"/>
          <w:bCs/>
          <w:color w:val="auto"/>
          <w:szCs w:val="21"/>
          <w:highlight w:val="none"/>
        </w:rPr>
        <w:t>1.获取时间</w:t>
      </w:r>
      <w:r>
        <w:rPr>
          <w:rFonts w:hint="eastAsia" w:ascii="宋体" w:hAnsi="宋体" w:cs="宋体"/>
          <w:color w:val="auto"/>
          <w:szCs w:val="21"/>
          <w:highlight w:val="none"/>
          <w:lang w:eastAsia="zh-CN"/>
        </w:rPr>
        <w:t>：自公告发布之日起5个工作日。</w:t>
      </w:r>
    </w:p>
    <w:p w14:paraId="1A5ABCA0">
      <w:pPr>
        <w:pageBreakBefore w:val="0"/>
        <w:tabs>
          <w:tab w:val="left" w:pos="900"/>
        </w:tabs>
        <w:kinsoku/>
        <w:topLinePunct w:val="0"/>
        <w:bidi w:val="0"/>
        <w:adjustRightInd/>
        <w:snapToGrid/>
        <w:spacing w:line="360" w:lineRule="auto"/>
        <w:ind w:firstLine="420" w:firstLineChars="200"/>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2.地点：网上注册登记成功后可在系统内免费下载。</w:t>
      </w:r>
    </w:p>
    <w:p w14:paraId="07B97709">
      <w:pPr>
        <w:pageBreakBefore w:val="0"/>
        <w:tabs>
          <w:tab w:val="left" w:pos="900"/>
        </w:tabs>
        <w:kinsoku/>
        <w:topLinePunct w:val="0"/>
        <w:bidi w:val="0"/>
        <w:adjustRightInd/>
        <w:snapToGrid/>
        <w:spacing w:line="360" w:lineRule="auto"/>
        <w:ind w:firstLine="420" w:firstLineChars="200"/>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3.获取方式：本项目采用网上注册登记方式。</w:t>
      </w:r>
    </w:p>
    <w:p w14:paraId="5FE9E398">
      <w:pPr>
        <w:pageBreakBefore w:val="0"/>
        <w:tabs>
          <w:tab w:val="left" w:pos="900"/>
        </w:tabs>
        <w:kinsoku/>
        <w:topLinePunct w:val="0"/>
        <w:bidi w:val="0"/>
        <w:adjustRightInd/>
        <w:snapToGrid/>
        <w:spacing w:line="360" w:lineRule="auto"/>
        <w:ind w:firstLine="420" w:firstLineChars="200"/>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3.1供应商如确定参加</w:t>
      </w:r>
      <w:r>
        <w:rPr>
          <w:rFonts w:hint="eastAsia" w:cs="宋体" w:asciiTheme="majorEastAsia" w:hAnsiTheme="majorEastAsia" w:eastAsiaTheme="majorEastAsia"/>
          <w:bCs/>
          <w:color w:val="auto"/>
          <w:szCs w:val="21"/>
          <w:highlight w:val="none"/>
          <w:lang w:eastAsia="zh-CN"/>
        </w:rPr>
        <w:t>竞争性磋商活动</w:t>
      </w:r>
      <w:r>
        <w:rPr>
          <w:rFonts w:hint="eastAsia" w:cs="宋体" w:asciiTheme="majorEastAsia" w:hAnsiTheme="majorEastAsia" w:eastAsiaTheme="majorEastAsia"/>
          <w:bCs/>
          <w:color w:val="auto"/>
          <w:szCs w:val="21"/>
          <w:highlight w:val="none"/>
        </w:rPr>
        <w:t>，可自行下载采购文件及有关资料，按照采购文件规定进行注册、领取CA和办理电子签章</w:t>
      </w:r>
      <w:r>
        <w:rPr>
          <w:rFonts w:hint="eastAsia" w:cs="宋体" w:asciiTheme="majorEastAsia" w:hAnsiTheme="majorEastAsia" w:eastAsiaTheme="majorEastAsia"/>
          <w:bCs/>
          <w:color w:val="auto"/>
          <w:szCs w:val="21"/>
          <w:highlight w:val="none"/>
          <w:lang w:eastAsia="zh-CN"/>
        </w:rPr>
        <w:t>，请</w:t>
      </w:r>
      <w:r>
        <w:rPr>
          <w:rFonts w:hint="eastAsia" w:cs="宋体" w:asciiTheme="majorEastAsia" w:hAnsiTheme="majorEastAsia" w:eastAsiaTheme="majorEastAsia"/>
          <w:bCs/>
          <w:color w:val="auto"/>
          <w:szCs w:val="21"/>
          <w:highlight w:val="none"/>
        </w:rPr>
        <w:t>至泰州市高港区泰州大道388号</w:t>
      </w:r>
      <w:r>
        <w:rPr>
          <w:rFonts w:hint="eastAsia" w:cs="宋体" w:asciiTheme="majorEastAsia" w:hAnsiTheme="majorEastAsia" w:eastAsiaTheme="majorEastAsia"/>
          <w:bCs/>
          <w:color w:val="auto"/>
          <w:szCs w:val="21"/>
          <w:highlight w:val="none"/>
          <w:lang w:eastAsia="zh-CN"/>
        </w:rPr>
        <w:t>（</w:t>
      </w:r>
      <w:r>
        <w:rPr>
          <w:rFonts w:hint="eastAsia" w:cs="宋体" w:asciiTheme="majorEastAsia" w:hAnsiTheme="majorEastAsia" w:eastAsiaTheme="majorEastAsia"/>
          <w:bCs/>
          <w:color w:val="auto"/>
          <w:szCs w:val="21"/>
          <w:highlight w:val="none"/>
        </w:rPr>
        <w:t>中国医药城会展</w:t>
      </w:r>
      <w:r>
        <w:rPr>
          <w:rFonts w:hint="eastAsia" w:cs="宋体" w:asciiTheme="majorEastAsia" w:hAnsiTheme="majorEastAsia" w:eastAsiaTheme="majorEastAsia"/>
          <w:bCs/>
          <w:color w:val="auto"/>
          <w:szCs w:val="21"/>
          <w:highlight w:val="none"/>
          <w:lang w:eastAsia="zh-CN"/>
        </w:rPr>
        <w:t>政务服务中心</w:t>
      </w:r>
      <w:r>
        <w:rPr>
          <w:rFonts w:hint="eastAsia" w:cs="宋体" w:asciiTheme="majorEastAsia" w:hAnsiTheme="majorEastAsia" w:eastAsiaTheme="majorEastAsia"/>
          <w:bCs/>
          <w:color w:val="auto"/>
          <w:szCs w:val="21"/>
          <w:highlight w:val="none"/>
        </w:rPr>
        <w:t>W3馆西南角</w:t>
      </w:r>
      <w:r>
        <w:rPr>
          <w:rFonts w:hint="eastAsia" w:cs="宋体" w:asciiTheme="majorEastAsia" w:hAnsiTheme="majorEastAsia" w:eastAsiaTheme="majorEastAsia"/>
          <w:bCs/>
          <w:color w:val="auto"/>
          <w:szCs w:val="21"/>
          <w:highlight w:val="none"/>
          <w:lang w:eastAsia="zh-CN"/>
        </w:rPr>
        <w:t>）</w:t>
      </w:r>
      <w:r>
        <w:rPr>
          <w:rFonts w:hint="eastAsia" w:cs="宋体" w:asciiTheme="majorEastAsia" w:hAnsiTheme="majorEastAsia" w:eastAsiaTheme="majorEastAsia"/>
          <w:bCs/>
          <w:color w:val="auto"/>
          <w:szCs w:val="21"/>
          <w:highlight w:val="none"/>
        </w:rPr>
        <w:t>公共资源交易大厅6号窗口办理，电话：0523-81568158，17327800634</w:t>
      </w:r>
      <w:r>
        <w:rPr>
          <w:rFonts w:hint="eastAsia" w:cs="宋体" w:asciiTheme="majorEastAsia" w:hAnsiTheme="majorEastAsia" w:eastAsiaTheme="majorEastAsia"/>
          <w:bCs/>
          <w:color w:val="auto"/>
          <w:szCs w:val="21"/>
          <w:highlight w:val="none"/>
          <w:lang w:eastAsia="zh-CN"/>
        </w:rPr>
        <w:t>。</w:t>
      </w:r>
      <w:r>
        <w:rPr>
          <w:rFonts w:hint="eastAsia" w:cs="宋体" w:asciiTheme="majorEastAsia" w:hAnsiTheme="majorEastAsia" w:eastAsiaTheme="majorEastAsia"/>
          <w:bCs/>
          <w:color w:val="auto"/>
          <w:szCs w:val="21"/>
          <w:highlight w:val="none"/>
        </w:rPr>
        <w:t>根据《“苏采云”系统供应商操作手册http://www.ccgp-jiangsu.gov.cn/jiangsu/zlxz/ee/ee3a4bc5a3454aa2b0d9312230633ce9.html》规定，在“苏采云”（ http://jszfcg.jsczt.cn/jszc/login）中按要求制作、上传电子响应文件（技术支持电话：0523-8763396</w:t>
      </w:r>
      <w:r>
        <w:rPr>
          <w:rFonts w:hint="eastAsia" w:cs="宋体" w:asciiTheme="majorEastAsia" w:hAnsiTheme="majorEastAsia" w:eastAsiaTheme="majorEastAsia"/>
          <w:bCs/>
          <w:color w:val="auto"/>
          <w:szCs w:val="21"/>
          <w:highlight w:val="none"/>
          <w:lang w:eastAsia="zh-CN"/>
        </w:rPr>
        <w:t>5、</w:t>
      </w:r>
      <w:r>
        <w:rPr>
          <w:rFonts w:hint="eastAsia" w:cs="宋体" w:asciiTheme="majorEastAsia" w:hAnsiTheme="majorEastAsia" w:eastAsiaTheme="majorEastAsia"/>
          <w:bCs/>
          <w:color w:val="auto"/>
          <w:szCs w:val="21"/>
          <w:highlight w:val="none"/>
        </w:rPr>
        <w:t>0523-86897512；客服QQ：70933924</w:t>
      </w:r>
      <w:r>
        <w:rPr>
          <w:rFonts w:hint="eastAsia" w:cs="宋体" w:asciiTheme="majorEastAsia" w:hAnsiTheme="majorEastAsia" w:eastAsiaTheme="majorEastAsia"/>
          <w:bCs/>
          <w:color w:val="auto"/>
          <w:szCs w:val="21"/>
          <w:highlight w:val="none"/>
          <w:lang w:eastAsia="zh-CN"/>
        </w:rPr>
        <w:t>4、</w:t>
      </w:r>
      <w:r>
        <w:rPr>
          <w:rFonts w:hint="eastAsia" w:cs="宋体" w:asciiTheme="majorEastAsia" w:hAnsiTheme="majorEastAsia" w:eastAsiaTheme="majorEastAsia"/>
          <w:bCs/>
          <w:color w:val="auto"/>
          <w:szCs w:val="21"/>
          <w:highlight w:val="none"/>
        </w:rPr>
        <w:t>1195486789）。有关本次</w:t>
      </w:r>
      <w:r>
        <w:rPr>
          <w:rFonts w:hint="eastAsia" w:cs="宋体" w:asciiTheme="majorEastAsia" w:hAnsiTheme="majorEastAsia" w:eastAsiaTheme="majorEastAsia"/>
          <w:bCs/>
          <w:color w:val="auto"/>
          <w:szCs w:val="21"/>
          <w:highlight w:val="none"/>
          <w:lang w:val="en-US" w:eastAsia="zh-CN"/>
        </w:rPr>
        <w:t>采购</w:t>
      </w:r>
      <w:r>
        <w:rPr>
          <w:rFonts w:hint="eastAsia" w:cs="宋体" w:asciiTheme="majorEastAsia" w:hAnsiTheme="majorEastAsia" w:eastAsiaTheme="majorEastAsia"/>
          <w:bCs/>
          <w:color w:val="auto"/>
          <w:szCs w:val="21"/>
          <w:highlight w:val="none"/>
        </w:rPr>
        <w:t>的事项若存在变动或修改，敬请及时关注“江苏政府采购网”发布的更正公告。</w:t>
      </w:r>
    </w:p>
    <w:p w14:paraId="16C57459">
      <w:pPr>
        <w:pageBreakBefore w:val="0"/>
        <w:tabs>
          <w:tab w:val="left" w:pos="900"/>
        </w:tabs>
        <w:kinsoku/>
        <w:topLinePunct w:val="0"/>
        <w:bidi w:val="0"/>
        <w:adjustRightInd/>
        <w:snapToGrid/>
        <w:spacing w:line="360" w:lineRule="auto"/>
        <w:ind w:firstLine="420" w:firstLineChars="200"/>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lang w:val="en-US" w:eastAsia="zh-CN"/>
        </w:rPr>
        <w:t>3.2</w:t>
      </w:r>
      <w:r>
        <w:rPr>
          <w:rFonts w:hint="eastAsia" w:cs="宋体" w:asciiTheme="majorEastAsia" w:hAnsiTheme="majorEastAsia" w:eastAsiaTheme="majorEastAsia"/>
          <w:bCs/>
          <w:color w:val="auto"/>
          <w:szCs w:val="21"/>
          <w:highlight w:val="none"/>
        </w:rPr>
        <w:t>供应商插入CA证书登录“苏采云”系统后选择具体项目，点击“我要参与”并签章提交《投标供应商确认函》，提交《投标供应商确认函》日期视同为依法获取招标文件日期。</w:t>
      </w:r>
    </w:p>
    <w:p w14:paraId="5F78096B">
      <w:pPr>
        <w:pageBreakBefore w:val="0"/>
        <w:tabs>
          <w:tab w:val="left" w:pos="900"/>
        </w:tabs>
        <w:kinsoku/>
        <w:topLinePunct w:val="0"/>
        <w:bidi w:val="0"/>
        <w:adjustRightInd/>
        <w:snapToGrid/>
        <w:spacing w:line="360" w:lineRule="auto"/>
        <w:ind w:firstLine="420" w:firstLineChars="200"/>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3.</w:t>
      </w:r>
      <w:r>
        <w:rPr>
          <w:rFonts w:hint="eastAsia" w:cs="宋体" w:asciiTheme="majorEastAsia" w:hAnsiTheme="majorEastAsia" w:eastAsiaTheme="majorEastAsia"/>
          <w:bCs/>
          <w:color w:val="auto"/>
          <w:szCs w:val="21"/>
          <w:highlight w:val="none"/>
          <w:lang w:val="en-US" w:eastAsia="zh-CN"/>
        </w:rPr>
        <w:t>3</w:t>
      </w:r>
      <w:r>
        <w:rPr>
          <w:rFonts w:hint="eastAsia" w:cs="宋体" w:asciiTheme="majorEastAsia" w:hAnsiTheme="majorEastAsia" w:eastAsiaTheme="majorEastAsia"/>
          <w:bCs/>
          <w:color w:val="auto"/>
          <w:szCs w:val="21"/>
          <w:highlight w:val="none"/>
        </w:rPr>
        <w:t>请潜在供应商提前安装相应的控件（详见《江苏省政府采购管理交易系统（苏采云）供应商操作手册》）并使用谷歌浏览器登录“苏采云”系统参与不见面开评标。</w:t>
      </w:r>
    </w:p>
    <w:p w14:paraId="42D562E4">
      <w:pPr>
        <w:pageBreakBefore w:val="0"/>
        <w:tabs>
          <w:tab w:val="left" w:pos="900"/>
        </w:tabs>
        <w:kinsoku/>
        <w:topLinePunct w:val="0"/>
        <w:bidi w:val="0"/>
        <w:adjustRightInd/>
        <w:snapToGrid/>
        <w:spacing w:line="360" w:lineRule="auto"/>
        <w:ind w:firstLine="420" w:firstLineChars="200"/>
        <w:rPr>
          <w:rFonts w:hint="eastAsia" w:cs="宋体" w:asciiTheme="majorEastAsia" w:hAnsiTheme="majorEastAsia" w:eastAsiaTheme="majorEastAsia"/>
          <w:bCs/>
          <w:color w:val="auto"/>
          <w:szCs w:val="21"/>
          <w:highlight w:val="none"/>
        </w:rPr>
      </w:pPr>
      <w:r>
        <w:rPr>
          <w:rFonts w:hint="eastAsia" w:cs="宋体" w:asciiTheme="majorEastAsia" w:hAnsiTheme="majorEastAsia" w:eastAsiaTheme="majorEastAsia"/>
          <w:bCs/>
          <w:color w:val="auto"/>
          <w:szCs w:val="21"/>
          <w:highlight w:val="none"/>
        </w:rPr>
        <w:t>3.</w:t>
      </w:r>
      <w:r>
        <w:rPr>
          <w:rFonts w:hint="eastAsia" w:cs="宋体" w:asciiTheme="majorEastAsia" w:hAnsiTheme="majorEastAsia" w:eastAsiaTheme="majorEastAsia"/>
          <w:bCs/>
          <w:color w:val="auto"/>
          <w:szCs w:val="21"/>
          <w:highlight w:val="none"/>
          <w:lang w:val="en-US" w:eastAsia="zh-CN"/>
        </w:rPr>
        <w:t>4</w:t>
      </w:r>
      <w:r>
        <w:rPr>
          <w:rFonts w:hint="eastAsia" w:cs="宋体" w:asciiTheme="majorEastAsia" w:hAnsiTheme="majorEastAsia" w:eastAsiaTheme="majorEastAsia"/>
          <w:bCs/>
          <w:color w:val="auto"/>
          <w:szCs w:val="21"/>
          <w:highlight w:val="none"/>
        </w:rPr>
        <w:t>开评标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55A29137">
      <w:pPr>
        <w:pageBreakBefore w:val="0"/>
        <w:tabs>
          <w:tab w:val="left" w:pos="900"/>
        </w:tabs>
        <w:kinsoku/>
        <w:topLinePunct w:val="0"/>
        <w:bidi w:val="0"/>
        <w:adjustRightInd/>
        <w:snapToGrid/>
        <w:spacing w:line="360" w:lineRule="auto"/>
        <w:ind w:firstLine="422" w:firstLineChars="200"/>
        <w:rPr>
          <w:rFonts w:hint="eastAsia" w:cs="宋体" w:asciiTheme="majorEastAsia" w:hAnsiTheme="majorEastAsia" w:eastAsiaTheme="majorEastAsia"/>
          <w:b/>
          <w:color w:val="auto"/>
          <w:szCs w:val="21"/>
          <w:highlight w:val="none"/>
        </w:rPr>
      </w:pPr>
      <w:r>
        <w:rPr>
          <w:rFonts w:hint="eastAsia" w:cs="宋体" w:asciiTheme="majorEastAsia" w:hAnsiTheme="majorEastAsia" w:eastAsiaTheme="majorEastAsia"/>
          <w:b/>
          <w:color w:val="auto"/>
          <w:szCs w:val="21"/>
          <w:highlight w:val="none"/>
        </w:rPr>
        <w:t>注：如潜在供应商未按上述要求操作，将自行承担所产生的风险。</w:t>
      </w:r>
    </w:p>
    <w:p w14:paraId="0182638B">
      <w:pPr>
        <w:pageBreakBefore w:val="0"/>
        <w:kinsoku/>
        <w:bidi w:val="0"/>
        <w:spacing w:line="360" w:lineRule="auto"/>
        <w:rPr>
          <w:rFonts w:hint="eastAsia" w:ascii="宋体" w:hAnsi="宋体" w:cs="宋体"/>
          <w:b/>
          <w:bCs/>
          <w:szCs w:val="21"/>
          <w:highlight w:val="none"/>
        </w:rPr>
      </w:pPr>
      <w:r>
        <w:rPr>
          <w:rFonts w:hint="eastAsia" w:ascii="宋体" w:hAnsi="宋体" w:cs="宋体"/>
          <w:b/>
          <w:bCs/>
          <w:szCs w:val="21"/>
          <w:highlight w:val="none"/>
        </w:rPr>
        <w:t>四、响应文件提交</w:t>
      </w:r>
      <w:bookmarkEnd w:id="16"/>
      <w:bookmarkEnd w:id="17"/>
      <w:bookmarkEnd w:id="18"/>
      <w:bookmarkEnd w:id="19"/>
    </w:p>
    <w:p w14:paraId="023174A3">
      <w:pPr>
        <w:pageBreakBefore w:val="0"/>
        <w:kinsoku/>
        <w:bidi w:val="0"/>
        <w:spacing w:line="360" w:lineRule="auto"/>
        <w:ind w:firstLine="420" w:firstLineChars="200"/>
        <w:rPr>
          <w:rFonts w:hint="eastAsia" w:ascii="宋体" w:hAnsi="宋体" w:cs="宋体"/>
          <w:szCs w:val="21"/>
          <w:highlight w:val="none"/>
        </w:rPr>
      </w:pPr>
      <w:bookmarkStart w:id="20" w:name="_Toc28359016"/>
      <w:bookmarkStart w:id="21" w:name="_Toc35393633"/>
      <w:bookmarkStart w:id="22" w:name="_Toc28359093"/>
      <w:bookmarkStart w:id="23" w:name="_Toc35393802"/>
      <w:r>
        <w:rPr>
          <w:rFonts w:hint="eastAsia" w:ascii="宋体" w:hAnsi="宋体" w:cs="宋体"/>
          <w:szCs w:val="21"/>
          <w:highlight w:val="none"/>
        </w:rPr>
        <w:t>1.响应文件提交截止时间：</w:t>
      </w:r>
      <w:r>
        <w:rPr>
          <w:rFonts w:hint="eastAsia" w:ascii="宋体" w:hAnsi="宋体" w:cs="宋体"/>
          <w:color w:val="FF0000"/>
          <w:szCs w:val="21"/>
          <w:highlight w:val="none"/>
          <w:lang w:eastAsia="zh-CN"/>
        </w:rPr>
        <w:t>2026年</w:t>
      </w:r>
      <w:r>
        <w:rPr>
          <w:rFonts w:hint="eastAsia" w:ascii="宋体" w:hAnsi="宋体" w:cs="宋体"/>
          <w:color w:val="FF0000"/>
          <w:szCs w:val="21"/>
          <w:highlight w:val="none"/>
          <w:lang w:val="en-US" w:eastAsia="zh-CN"/>
        </w:rPr>
        <w:t>10</w:t>
      </w:r>
      <w:r>
        <w:rPr>
          <w:rFonts w:hint="eastAsia" w:ascii="宋体" w:hAnsi="宋体" w:cs="宋体"/>
          <w:color w:val="FF0000"/>
          <w:szCs w:val="21"/>
          <w:highlight w:val="none"/>
        </w:rPr>
        <w:t>月</w:t>
      </w:r>
      <w:r>
        <w:rPr>
          <w:rFonts w:hint="eastAsia" w:ascii="宋体" w:hAnsi="宋体" w:cs="宋体"/>
          <w:color w:val="FF0000"/>
          <w:szCs w:val="21"/>
          <w:highlight w:val="none"/>
          <w:lang w:val="en-US" w:eastAsia="zh-CN"/>
        </w:rPr>
        <w:t>19</w:t>
      </w:r>
      <w:r>
        <w:rPr>
          <w:rFonts w:hint="eastAsia" w:ascii="宋体" w:hAnsi="宋体" w:cs="宋体"/>
          <w:color w:val="FF0000"/>
          <w:szCs w:val="21"/>
          <w:highlight w:val="none"/>
        </w:rPr>
        <w:t>日09时00分（北京时间）</w:t>
      </w:r>
      <w:r>
        <w:rPr>
          <w:rFonts w:hint="eastAsia" w:ascii="宋体" w:hAnsi="宋体" w:cs="宋体"/>
          <w:szCs w:val="21"/>
          <w:highlight w:val="none"/>
        </w:rPr>
        <w:t>。逾期，“苏采云”系统将拒绝接收上传响应文件电子文档。</w:t>
      </w:r>
    </w:p>
    <w:p w14:paraId="3E5439FA">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lang w:eastAsia="en-US"/>
        </w:rPr>
        <w:t>地点：“苏采云”系统（网址：http://jszfcg.jsczt.cn/）</w:t>
      </w:r>
    </w:p>
    <w:p w14:paraId="404109F7">
      <w:pPr>
        <w:pageBreakBefore w:val="0"/>
        <w:kinsoku/>
        <w:bidi w:val="0"/>
        <w:spacing w:line="360" w:lineRule="auto"/>
        <w:rPr>
          <w:rFonts w:hint="eastAsia" w:ascii="宋体" w:hAnsi="宋体" w:cs="宋体"/>
          <w:b/>
          <w:bCs/>
          <w:szCs w:val="21"/>
          <w:highlight w:val="none"/>
        </w:rPr>
      </w:pPr>
      <w:r>
        <w:rPr>
          <w:rFonts w:hint="eastAsia" w:ascii="宋体" w:hAnsi="宋体" w:cs="宋体"/>
          <w:b/>
          <w:bCs/>
          <w:szCs w:val="21"/>
          <w:highlight w:val="none"/>
        </w:rPr>
        <w:t>五、开启（</w:t>
      </w:r>
      <w:r>
        <w:rPr>
          <w:rFonts w:hint="eastAsia" w:ascii="宋体" w:hAnsi="宋体" w:cs="宋体"/>
          <w:b/>
          <w:bCs/>
          <w:i/>
          <w:szCs w:val="21"/>
          <w:highlight w:val="none"/>
        </w:rPr>
        <w:t>竞争性磋商方式必须填写</w:t>
      </w:r>
      <w:r>
        <w:rPr>
          <w:rFonts w:hint="eastAsia" w:ascii="宋体" w:hAnsi="宋体" w:cs="宋体"/>
          <w:b/>
          <w:bCs/>
          <w:szCs w:val="21"/>
          <w:highlight w:val="none"/>
        </w:rPr>
        <w:t>）</w:t>
      </w:r>
      <w:bookmarkEnd w:id="20"/>
      <w:bookmarkEnd w:id="21"/>
      <w:bookmarkEnd w:id="22"/>
      <w:bookmarkEnd w:id="23"/>
    </w:p>
    <w:p w14:paraId="1A2827AB">
      <w:pPr>
        <w:pageBreakBefore w:val="0"/>
        <w:kinsoku/>
        <w:bidi w:val="0"/>
        <w:spacing w:line="360" w:lineRule="auto"/>
        <w:ind w:firstLine="420" w:firstLineChars="200"/>
        <w:rPr>
          <w:rFonts w:hint="eastAsia" w:ascii="宋体" w:hAnsi="宋体" w:cs="宋体"/>
          <w:szCs w:val="21"/>
          <w:highlight w:val="none"/>
        </w:rPr>
      </w:pPr>
      <w:bookmarkStart w:id="24" w:name="_Toc28359017"/>
      <w:bookmarkStart w:id="25" w:name="_Toc35393803"/>
      <w:bookmarkStart w:id="26" w:name="_Toc28359094"/>
      <w:bookmarkStart w:id="27" w:name="_Toc35393634"/>
      <w:r>
        <w:rPr>
          <w:rFonts w:hint="eastAsia" w:ascii="宋体" w:hAnsi="宋体" w:cs="宋体"/>
          <w:szCs w:val="21"/>
          <w:highlight w:val="none"/>
        </w:rPr>
        <w:t>1.时间：</w:t>
      </w:r>
      <w:r>
        <w:rPr>
          <w:rFonts w:hint="eastAsia" w:ascii="宋体" w:hAnsi="宋体" w:cs="宋体"/>
          <w:color w:val="FF0000"/>
          <w:szCs w:val="21"/>
          <w:highlight w:val="none"/>
          <w:lang w:eastAsia="zh-CN"/>
        </w:rPr>
        <w:t>2026年</w:t>
      </w:r>
      <w:r>
        <w:rPr>
          <w:rFonts w:hint="eastAsia" w:ascii="宋体" w:hAnsi="宋体" w:cs="宋体"/>
          <w:color w:val="FF0000"/>
          <w:szCs w:val="21"/>
          <w:highlight w:val="none"/>
          <w:lang w:val="en-US" w:eastAsia="zh-CN"/>
        </w:rPr>
        <w:t>10</w:t>
      </w:r>
      <w:r>
        <w:rPr>
          <w:rFonts w:hint="eastAsia" w:ascii="宋体" w:hAnsi="宋体" w:cs="宋体"/>
          <w:color w:val="FF0000"/>
          <w:szCs w:val="21"/>
          <w:highlight w:val="none"/>
          <w:lang w:eastAsia="zh-CN"/>
        </w:rPr>
        <w:t>月</w:t>
      </w:r>
      <w:r>
        <w:rPr>
          <w:rFonts w:hint="eastAsia" w:ascii="宋体" w:hAnsi="宋体" w:cs="宋体"/>
          <w:color w:val="FF0000"/>
          <w:szCs w:val="21"/>
          <w:highlight w:val="none"/>
          <w:lang w:val="en-US" w:eastAsia="zh-CN"/>
        </w:rPr>
        <w:t>19</w:t>
      </w:r>
      <w:r>
        <w:rPr>
          <w:rFonts w:hint="eastAsia" w:ascii="宋体" w:hAnsi="宋体" w:cs="宋体"/>
          <w:color w:val="FF0000"/>
          <w:szCs w:val="21"/>
          <w:highlight w:val="none"/>
          <w:lang w:eastAsia="zh-CN"/>
        </w:rPr>
        <w:t>日09时00分</w:t>
      </w:r>
      <w:r>
        <w:rPr>
          <w:rFonts w:hint="eastAsia" w:ascii="宋体" w:hAnsi="宋体" w:cs="宋体"/>
          <w:szCs w:val="21"/>
          <w:highlight w:val="none"/>
        </w:rPr>
        <w:t>（北京时间）。</w:t>
      </w:r>
    </w:p>
    <w:p w14:paraId="118683EB">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2.地点：</w:t>
      </w:r>
      <w:r>
        <w:rPr>
          <w:rFonts w:hint="eastAsia" w:ascii="宋体" w:hAnsi="宋体" w:cs="宋体"/>
          <w:szCs w:val="21"/>
          <w:highlight w:val="none"/>
          <w:lang w:eastAsia="en-US"/>
        </w:rPr>
        <w:t>“苏采云”系统（网址：http://jszfcg.jsczt.cn/）“开标大厅”</w:t>
      </w:r>
    </w:p>
    <w:p w14:paraId="707F9C12">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3.响应文件的解密：开标当天各供应商及时登录不见面开标大厅，响应文件递交截止时间后，采购人将在系统内公布供应商名单，然后通过开标会议区发出响应文件解密的指令，</w:t>
      </w:r>
      <w:r>
        <w:rPr>
          <w:rFonts w:hint="eastAsia" w:ascii="宋体" w:hAnsi="宋体" w:cs="宋体"/>
          <w:szCs w:val="21"/>
          <w:highlight w:val="none"/>
          <w:lang w:eastAsia="zh-CN"/>
        </w:rPr>
        <w:t>响应</w:t>
      </w:r>
      <w:r>
        <w:rPr>
          <w:rFonts w:hint="eastAsia" w:ascii="宋体" w:hAnsi="宋体" w:cs="宋体"/>
          <w:szCs w:val="21"/>
          <w:highlight w:val="none"/>
        </w:rPr>
        <w:t>供应商在开标室按规定时间自行</w:t>
      </w:r>
      <w:r>
        <w:rPr>
          <w:rFonts w:hint="eastAsia" w:ascii="宋体" w:hAnsi="宋体" w:cs="宋体"/>
          <w:szCs w:val="21"/>
          <w:highlight w:val="none"/>
          <w:lang w:eastAsia="zh-CN"/>
        </w:rPr>
        <w:t>进行</w:t>
      </w:r>
      <w:r>
        <w:rPr>
          <w:rFonts w:hint="eastAsia" w:ascii="宋体" w:hAnsi="宋体" w:cs="宋体"/>
          <w:szCs w:val="21"/>
          <w:highlight w:val="none"/>
        </w:rPr>
        <w:t>远程解密，</w:t>
      </w:r>
      <w:r>
        <w:rPr>
          <w:rFonts w:hint="eastAsia" w:ascii="宋体" w:hAnsi="宋体" w:cs="宋体"/>
          <w:b/>
          <w:bCs/>
          <w:szCs w:val="21"/>
          <w:highlight w:val="none"/>
        </w:rPr>
        <w:t>投标供应商解密限定在开标后30分钟之内完成</w:t>
      </w:r>
      <w:r>
        <w:rPr>
          <w:rFonts w:hint="eastAsia" w:ascii="宋体" w:hAnsi="宋体" w:cs="宋体"/>
          <w:szCs w:val="21"/>
          <w:highlight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6A93463D">
      <w:pPr>
        <w:pageBreakBefore w:val="0"/>
        <w:kinsoku/>
        <w:bidi w:val="0"/>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注：</w:t>
      </w:r>
      <w:r>
        <w:rPr>
          <w:rFonts w:hint="eastAsia" w:ascii="宋体" w:hAnsi="宋体" w:cs="宋体"/>
          <w:szCs w:val="21"/>
          <w:highlight w:val="none"/>
        </w:rPr>
        <w:t>各供应商请关注开标大厅交流区，在开标结束后，请勿离开开标大厅。采购人或采购代理机构通知最后报价填报后，</w:t>
      </w:r>
      <w:r>
        <w:rPr>
          <w:rFonts w:hint="eastAsia" w:ascii="宋体" w:hAnsi="宋体" w:cs="宋体"/>
          <w:szCs w:val="21"/>
          <w:highlight w:val="none"/>
          <w:lang w:eastAsia="zh-CN"/>
        </w:rPr>
        <w:t>所有</w:t>
      </w:r>
      <w:r>
        <w:rPr>
          <w:rFonts w:hint="eastAsia" w:ascii="宋体" w:hAnsi="宋体" w:cs="宋体"/>
          <w:szCs w:val="21"/>
          <w:highlight w:val="none"/>
        </w:rPr>
        <w:t>响应供应商须在15分钟内填写并提交最后报价，未在规定时间内提交最后报价的，视作无效响应处理。</w:t>
      </w:r>
    </w:p>
    <w:p w14:paraId="2EFA7AFC">
      <w:pPr>
        <w:pageBreakBefore w:val="0"/>
        <w:kinsoku/>
        <w:bidi w:val="0"/>
        <w:spacing w:line="360" w:lineRule="auto"/>
        <w:rPr>
          <w:rFonts w:hint="eastAsia" w:ascii="宋体" w:hAnsi="宋体" w:cs="宋体"/>
          <w:b/>
          <w:bCs/>
          <w:szCs w:val="21"/>
          <w:highlight w:val="none"/>
        </w:rPr>
      </w:pPr>
      <w:r>
        <w:rPr>
          <w:rFonts w:hint="eastAsia" w:ascii="宋体" w:hAnsi="宋体" w:cs="宋体"/>
          <w:b/>
          <w:bCs/>
          <w:szCs w:val="21"/>
          <w:highlight w:val="none"/>
        </w:rPr>
        <w:t>六、公告期限</w:t>
      </w:r>
      <w:bookmarkEnd w:id="24"/>
      <w:bookmarkEnd w:id="25"/>
      <w:bookmarkEnd w:id="26"/>
      <w:bookmarkEnd w:id="27"/>
    </w:p>
    <w:p w14:paraId="5A4CF3CE">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自本公告发布之日起3个工作日。</w:t>
      </w:r>
      <w:bookmarkStart w:id="28" w:name="_Toc35393804"/>
      <w:bookmarkStart w:id="29" w:name="_Toc35393635"/>
    </w:p>
    <w:p w14:paraId="55321301">
      <w:pPr>
        <w:pageBreakBefore w:val="0"/>
        <w:numPr>
          <w:ilvl w:val="0"/>
          <w:numId w:val="1"/>
        </w:numPr>
        <w:kinsoku/>
        <w:bidi w:val="0"/>
        <w:spacing w:line="360" w:lineRule="auto"/>
        <w:rPr>
          <w:rFonts w:hint="eastAsia" w:ascii="宋体" w:hAnsi="宋体" w:cs="宋体"/>
          <w:b/>
          <w:bCs/>
          <w:szCs w:val="21"/>
          <w:highlight w:val="none"/>
        </w:rPr>
      </w:pPr>
      <w:r>
        <w:rPr>
          <w:rFonts w:hint="eastAsia" w:ascii="宋体" w:hAnsi="宋体" w:cs="宋体"/>
          <w:b/>
          <w:bCs/>
          <w:szCs w:val="21"/>
          <w:highlight w:val="none"/>
        </w:rPr>
        <w:t>其他补充事宜</w:t>
      </w:r>
      <w:bookmarkEnd w:id="28"/>
      <w:bookmarkEnd w:id="29"/>
      <w:bookmarkStart w:id="30" w:name="_Toc35393805"/>
      <w:bookmarkStart w:id="31" w:name="_Toc28359018"/>
      <w:bookmarkStart w:id="32" w:name="_Toc28359095"/>
      <w:bookmarkStart w:id="33" w:name="_Toc35393636"/>
    </w:p>
    <w:p w14:paraId="7D100026">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1.项目磋商活动模式：不见面远程磋商模式，供应商在各自地点通过不见面交易系统参加开标会。 </w:t>
      </w:r>
    </w:p>
    <w:p w14:paraId="69E2BC7F">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p>
    <w:p w14:paraId="3A66365E">
      <w:pPr>
        <w:pageBreakBefore w:val="0"/>
        <w:kinsoku/>
        <w:bidi w:val="0"/>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3.本项目按照政府采购法律制度规定，在磋商中任何一方不得透露与磋商有关的其他供应商的技术资料、价格和其他信息，因此不公开唱标。最终成交供应商名称和成交金额可通过江苏省政府采购网站发布成交结果公告获得。</w:t>
      </w:r>
    </w:p>
    <w:p w14:paraId="0E548BEC">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4.相关法律法规规定：《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cs="宋体"/>
          <w:b/>
          <w:bCs/>
          <w:szCs w:val="21"/>
          <w:highlight w:val="none"/>
        </w:rPr>
        <w:t>符合《政府采购竞争性磋商采购方式管理办法》第三条第四项及《财政部关于竞争性磋商采购方式管理暂行办法有关问题的补充通知》（财库〔2015〕124号）规定情形的，提交最后报价的供应商可以为2家。</w:t>
      </w:r>
    </w:p>
    <w:p w14:paraId="5C888844">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p>
    <w:p w14:paraId="7CE086FF">
      <w:pPr>
        <w:pageBreakBefore w:val="0"/>
        <w:kinsoku/>
        <w:bidi w:val="0"/>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5.本项目为固定总价合同</w:t>
      </w:r>
      <w:r>
        <w:rPr>
          <w:rFonts w:hint="eastAsia" w:ascii="宋体" w:hAnsi="宋体" w:cs="宋体"/>
          <w:szCs w:val="21"/>
          <w:highlight w:val="none"/>
        </w:rPr>
        <w:t>，包含但不限于项目服务期间人员、嘉宾劳务差旅、车辆、搭建、物料、媒体、保险、税费、驻场、多会场统筹、应急、整改等完成本项目全部工作的所有费用，含不可预见费、风险费用及利润。供应商须充分考虑合同实施阶段可能产生的各项费用，并承担相关风险。</w:t>
      </w:r>
    </w:p>
    <w:p w14:paraId="48C7E95B">
      <w:pPr>
        <w:pageBreakBefore w:val="0"/>
        <w:kinsoku/>
        <w:bidi w:val="0"/>
        <w:adjustRightInd w:val="0"/>
        <w:snapToGrid w:val="0"/>
        <w:spacing w:line="360" w:lineRule="auto"/>
        <w:rPr>
          <w:rFonts w:hint="eastAsia" w:ascii="宋体" w:hAnsi="宋体" w:cs="宋体"/>
          <w:b/>
          <w:bCs/>
          <w:szCs w:val="21"/>
          <w:highlight w:val="none"/>
        </w:rPr>
      </w:pPr>
      <w:r>
        <w:rPr>
          <w:rFonts w:hint="eastAsia" w:ascii="宋体" w:hAnsi="宋体" w:cs="宋体"/>
          <w:b/>
          <w:bCs/>
          <w:szCs w:val="21"/>
          <w:highlight w:val="none"/>
        </w:rPr>
        <w:t>八、凡对本次采购提出询问，请按以下方式联系</w:t>
      </w:r>
      <w:bookmarkEnd w:id="30"/>
      <w:bookmarkEnd w:id="31"/>
      <w:bookmarkEnd w:id="32"/>
      <w:bookmarkEnd w:id="33"/>
      <w:r>
        <w:rPr>
          <w:rFonts w:hint="eastAsia" w:ascii="宋体" w:hAnsi="宋体" w:cs="宋体"/>
          <w:b/>
          <w:bCs/>
          <w:szCs w:val="21"/>
          <w:highlight w:val="none"/>
        </w:rPr>
        <w:t>。</w:t>
      </w:r>
    </w:p>
    <w:p w14:paraId="3850311C">
      <w:pPr>
        <w:pageBreakBefore w:val="0"/>
        <w:kinsoku/>
        <w:bidi w:val="0"/>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lang w:bidi="ar"/>
        </w:rPr>
        <w:t>1.采购单位：</w:t>
      </w:r>
      <w:r>
        <w:rPr>
          <w:rFonts w:hint="eastAsia" w:ascii="宋体" w:hAnsi="宋体" w:cs="宋体"/>
          <w:kern w:val="2"/>
          <w:szCs w:val="21"/>
          <w:highlight w:val="none"/>
          <w:lang w:eastAsia="zh-CN" w:bidi="ar"/>
        </w:rPr>
        <w:t xml:space="preserve">泰州医药高新技术产业开发区（泰州市高港区）医药产业园管理办公室 </w:t>
      </w:r>
    </w:p>
    <w:p w14:paraId="7778CBF8">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bidi="ar"/>
        </w:rPr>
        <w:t>地址：泰州鼓楼南路303号</w:t>
      </w:r>
    </w:p>
    <w:p w14:paraId="39615E93">
      <w:pPr>
        <w:pageBreakBefore w:val="0"/>
        <w:kinsoku/>
        <w:overflowPunct/>
        <w:bidi w:val="0"/>
        <w:spacing w:line="360" w:lineRule="auto"/>
        <w:ind w:firstLine="420" w:firstLineChars="200"/>
        <w:contextualSpacing/>
        <w:rPr>
          <w:rFonts w:hint="eastAsia" w:cs="宋体" w:asciiTheme="minorEastAsia" w:hAnsiTheme="minorEastAsia" w:eastAsiaTheme="minorEastAsia"/>
          <w:bCs/>
          <w:szCs w:val="21"/>
          <w:highlight w:val="none"/>
          <w:lang w:eastAsia="zh-CN"/>
        </w:rPr>
      </w:pPr>
      <w:r>
        <w:rPr>
          <w:rFonts w:hint="eastAsia" w:ascii="宋体" w:hAnsi="宋体" w:cs="宋体"/>
          <w:szCs w:val="21"/>
          <w:highlight w:val="none"/>
          <w:lang w:bidi="ar"/>
        </w:rPr>
        <w:t>联系</w:t>
      </w:r>
      <w:r>
        <w:rPr>
          <w:rFonts w:hint="eastAsia" w:ascii="宋体" w:hAnsi="宋体" w:cs="宋体"/>
          <w:szCs w:val="21"/>
          <w:highlight w:val="none"/>
          <w:lang w:val="en-US" w:eastAsia="zh-CN" w:bidi="ar"/>
        </w:rPr>
        <w:t>人</w:t>
      </w:r>
      <w:r>
        <w:rPr>
          <w:rFonts w:hint="eastAsia" w:ascii="宋体" w:hAnsi="宋体" w:cs="宋体"/>
          <w:szCs w:val="21"/>
          <w:highlight w:val="none"/>
          <w:lang w:bidi="ar"/>
        </w:rPr>
        <w:t>：</w:t>
      </w:r>
      <w:r>
        <w:rPr>
          <w:rFonts w:hint="eastAsia" w:ascii="宋体" w:hAnsi="宋体" w:cs="宋体"/>
          <w:szCs w:val="21"/>
          <w:highlight w:val="none"/>
          <w:lang w:val="en-US" w:eastAsia="zh-CN" w:bidi="ar"/>
        </w:rPr>
        <w:t>黄女士  联系电话：</w:t>
      </w:r>
      <w:r>
        <w:rPr>
          <w:rFonts w:hint="eastAsia" w:cs="宋体" w:asciiTheme="minorEastAsia" w:hAnsiTheme="minorEastAsia" w:eastAsiaTheme="minorEastAsia"/>
          <w:bCs/>
          <w:szCs w:val="21"/>
          <w:highlight w:val="none"/>
        </w:rPr>
        <w:t>0523-</w:t>
      </w:r>
      <w:r>
        <w:rPr>
          <w:rFonts w:hint="eastAsia" w:cs="宋体" w:asciiTheme="minorEastAsia" w:hAnsiTheme="minorEastAsia" w:eastAsiaTheme="minorEastAsia"/>
          <w:bCs/>
          <w:szCs w:val="21"/>
          <w:highlight w:val="none"/>
          <w:lang w:val="en-US" w:eastAsia="zh-CN"/>
        </w:rPr>
        <w:t xml:space="preserve">86200282 </w:t>
      </w:r>
    </w:p>
    <w:p w14:paraId="604F2E41">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bidi="ar"/>
        </w:rPr>
        <w:t>2.代理机构：江苏华强工程投资管理咨询有限公司</w:t>
      </w:r>
    </w:p>
    <w:p w14:paraId="58AE4D73">
      <w:pPr>
        <w:pageBreakBefore w:val="0"/>
        <w:kinsoku/>
        <w:bidi w:val="0"/>
        <w:spacing w:line="360" w:lineRule="auto"/>
        <w:ind w:firstLine="420" w:firstLineChars="200"/>
        <w:rPr>
          <w:rFonts w:hint="eastAsia" w:ascii="宋体" w:hAnsi="宋体" w:eastAsia="宋体" w:cs="宋体"/>
          <w:szCs w:val="21"/>
          <w:highlight w:val="none"/>
          <w:lang w:eastAsia="zh-CN"/>
        </w:rPr>
      </w:pPr>
      <w:r>
        <w:rPr>
          <w:rFonts w:hint="eastAsia" w:ascii="宋体" w:hAnsi="宋体" w:cs="宋体"/>
          <w:szCs w:val="21"/>
          <w:highlight w:val="none"/>
          <w:lang w:bidi="ar"/>
        </w:rPr>
        <w:t>联 系 人：杨女士 联系电话：</w:t>
      </w:r>
      <w:r>
        <w:rPr>
          <w:rFonts w:hint="eastAsia" w:ascii="宋体" w:hAnsi="宋体" w:cs="宋体"/>
          <w:szCs w:val="21"/>
          <w:highlight w:val="none"/>
          <w:lang w:eastAsia="zh-CN" w:bidi="ar"/>
        </w:rPr>
        <w:t>0523-82987125</w:t>
      </w:r>
    </w:p>
    <w:p w14:paraId="31DE2CD0">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bidi="ar"/>
        </w:rPr>
        <w:t>办公地址：泰州市海陵南路179号华诚大厦B座9楼西侧 邮政编码：225300</w:t>
      </w:r>
    </w:p>
    <w:p w14:paraId="336A00F4">
      <w:pPr>
        <w:pageBreakBefore w:val="0"/>
        <w:kinsoku/>
        <w:bidi w:val="0"/>
        <w:spacing w:line="360" w:lineRule="auto"/>
        <w:ind w:firstLine="420" w:firstLineChars="200"/>
        <w:rPr>
          <w:rFonts w:hint="eastAsia" w:ascii="宋体" w:hAnsi="宋体" w:cs="宋体"/>
          <w:szCs w:val="21"/>
          <w:highlight w:val="none"/>
        </w:rPr>
      </w:pPr>
      <w:bookmarkStart w:id="34" w:name="_Toc35393639"/>
      <w:bookmarkStart w:id="35" w:name="_Toc28359021"/>
      <w:bookmarkStart w:id="36" w:name="_Toc35393808"/>
      <w:bookmarkStart w:id="37" w:name="_Toc28359098"/>
      <w:r>
        <w:rPr>
          <w:rFonts w:hint="eastAsia" w:ascii="宋体" w:hAnsi="宋体" w:cs="宋体"/>
          <w:szCs w:val="21"/>
          <w:highlight w:val="none"/>
          <w:lang w:bidi="ar"/>
        </w:rPr>
        <w:t>3.项目联系方式</w:t>
      </w:r>
      <w:bookmarkEnd w:id="34"/>
      <w:bookmarkEnd w:id="35"/>
      <w:bookmarkEnd w:id="36"/>
      <w:bookmarkEnd w:id="37"/>
    </w:p>
    <w:p w14:paraId="04B35EDF">
      <w:pPr>
        <w:pageBreakBefore w:val="0"/>
        <w:kinsoku/>
        <w:bidi w:val="0"/>
        <w:spacing w:line="360" w:lineRule="auto"/>
        <w:ind w:firstLine="420" w:firstLineChars="200"/>
        <w:rPr>
          <w:rFonts w:hint="eastAsia" w:ascii="宋体" w:hAnsi="宋体" w:eastAsia="宋体"/>
          <w:b/>
          <w:szCs w:val="21"/>
          <w:highlight w:val="none"/>
          <w:lang w:eastAsia="zh-CN"/>
        </w:rPr>
        <w:sectPr>
          <w:footerReference r:id="rId6" w:type="default"/>
          <w:pgSz w:w="11907" w:h="16840"/>
          <w:pgMar w:top="1247" w:right="1080" w:bottom="1247" w:left="1080" w:header="851" w:footer="851" w:gutter="0"/>
          <w:cols w:space="720" w:num="1"/>
          <w:docGrid w:linePitch="312" w:charSpace="0"/>
        </w:sectPr>
      </w:pPr>
      <w:r>
        <w:rPr>
          <w:rFonts w:hint="eastAsia" w:ascii="宋体" w:hAnsi="宋体" w:cs="宋体"/>
          <w:szCs w:val="21"/>
          <w:highlight w:val="none"/>
          <w:lang w:bidi="ar"/>
        </w:rPr>
        <w:t>项目联系人：杨女士     联系电话：</w:t>
      </w:r>
      <w:r>
        <w:rPr>
          <w:rFonts w:hint="eastAsia" w:ascii="宋体" w:hAnsi="宋体" w:cs="宋体"/>
          <w:szCs w:val="21"/>
          <w:highlight w:val="none"/>
          <w:lang w:eastAsia="zh-CN" w:bidi="ar"/>
        </w:rPr>
        <w:t>0523-</w:t>
      </w:r>
      <w:r>
        <w:rPr>
          <w:rFonts w:hint="eastAsia" w:ascii="宋体" w:hAnsi="宋体" w:cs="宋体"/>
          <w:szCs w:val="21"/>
          <w:highlight w:val="none"/>
          <w:lang w:val="en-US" w:eastAsia="zh-CN" w:bidi="ar"/>
        </w:rPr>
        <w:t>86933690</w:t>
      </w:r>
    </w:p>
    <w:p w14:paraId="704B3666">
      <w:pPr>
        <w:pageBreakBefore w:val="0"/>
        <w:kinsoku/>
        <w:bidi w:val="0"/>
        <w:spacing w:line="360" w:lineRule="auto"/>
        <w:ind w:firstLine="422" w:firstLineChars="200"/>
        <w:jc w:val="center"/>
        <w:rPr>
          <w:rFonts w:hint="eastAsia" w:ascii="宋体" w:hAnsi="宋体"/>
          <w:b/>
          <w:szCs w:val="21"/>
          <w:highlight w:val="none"/>
        </w:rPr>
      </w:pPr>
      <w:r>
        <w:rPr>
          <w:rFonts w:hint="eastAsia" w:ascii="宋体" w:hAnsi="宋体"/>
          <w:b/>
          <w:szCs w:val="21"/>
          <w:highlight w:val="none"/>
        </w:rPr>
        <w:t>第二章 参加磋商供应商须知</w:t>
      </w:r>
    </w:p>
    <w:p w14:paraId="1072D966">
      <w:pPr>
        <w:pageBreakBefore w:val="0"/>
        <w:kinsoku/>
        <w:bidi w:val="0"/>
        <w:spacing w:line="360" w:lineRule="auto"/>
        <w:ind w:firstLine="420" w:firstLineChars="200"/>
        <w:jc w:val="center"/>
        <w:rPr>
          <w:rFonts w:hint="eastAsia" w:ascii="宋体" w:hAnsi="宋体"/>
          <w:b/>
          <w:bCs/>
          <w:szCs w:val="21"/>
          <w:highlight w:val="none"/>
        </w:rPr>
      </w:pPr>
      <w:r>
        <w:rPr>
          <w:rFonts w:hint="eastAsia" w:ascii="宋体" w:hAnsi="宋体"/>
          <w:bCs/>
          <w:szCs w:val="21"/>
          <w:highlight w:val="none"/>
        </w:rPr>
        <w:t>（参加竞争性磋商的供应商以下简称“磋商供应商”）</w:t>
      </w:r>
    </w:p>
    <w:bookmarkEnd w:id="5"/>
    <w:bookmarkEnd w:id="6"/>
    <w:bookmarkEnd w:id="7"/>
    <w:p w14:paraId="210AD8BA">
      <w:pPr>
        <w:pageBreakBefore w:val="0"/>
        <w:tabs>
          <w:tab w:val="left" w:pos="900"/>
        </w:tabs>
        <w:kinsoku/>
        <w:bidi w:val="0"/>
        <w:spacing w:line="360" w:lineRule="auto"/>
        <w:ind w:firstLine="422" w:firstLineChars="200"/>
        <w:rPr>
          <w:rFonts w:hint="eastAsia" w:ascii="宋体" w:hAnsi="宋体"/>
          <w:b/>
          <w:szCs w:val="21"/>
          <w:highlight w:val="none"/>
        </w:rPr>
      </w:pPr>
      <w:r>
        <w:rPr>
          <w:rFonts w:hint="eastAsia" w:ascii="宋体" w:hAnsi="宋体"/>
          <w:b/>
          <w:szCs w:val="21"/>
          <w:highlight w:val="none"/>
        </w:rPr>
        <w:t>一、总则</w:t>
      </w:r>
    </w:p>
    <w:p w14:paraId="382913AA">
      <w:pPr>
        <w:pageBreakBefore w:val="0"/>
        <w:tabs>
          <w:tab w:val="left" w:pos="900"/>
          <w:tab w:val="center" w:pos="4873"/>
        </w:tabs>
        <w:kinsoku/>
        <w:bidi w:val="0"/>
        <w:spacing w:line="360" w:lineRule="auto"/>
        <w:ind w:firstLine="420" w:firstLineChars="200"/>
        <w:rPr>
          <w:rFonts w:hint="eastAsia" w:ascii="宋体" w:hAnsi="宋体"/>
          <w:szCs w:val="21"/>
          <w:highlight w:val="none"/>
        </w:rPr>
      </w:pPr>
      <w:r>
        <w:rPr>
          <w:rFonts w:hint="eastAsia" w:ascii="宋体" w:hAnsi="宋体"/>
          <w:szCs w:val="21"/>
          <w:highlight w:val="none"/>
        </w:rPr>
        <w:t>1.适用范围</w:t>
      </w:r>
      <w:r>
        <w:rPr>
          <w:rFonts w:hint="eastAsia" w:ascii="宋体" w:hAnsi="宋体"/>
          <w:szCs w:val="21"/>
          <w:highlight w:val="none"/>
        </w:rPr>
        <w:tab/>
      </w:r>
    </w:p>
    <w:p w14:paraId="1AE42E29">
      <w:pPr>
        <w:pageBreakBefore w:val="0"/>
        <w:tabs>
          <w:tab w:val="left" w:pos="900"/>
        </w:tabs>
        <w:kinsoku/>
        <w:bidi w:val="0"/>
        <w:spacing w:line="360" w:lineRule="auto"/>
        <w:ind w:firstLine="420" w:firstLineChars="200"/>
        <w:rPr>
          <w:rFonts w:hint="eastAsia" w:ascii="宋体" w:hAnsi="宋体"/>
          <w:szCs w:val="21"/>
          <w:highlight w:val="none"/>
        </w:rPr>
      </w:pPr>
      <w:r>
        <w:rPr>
          <w:rFonts w:hint="eastAsia" w:ascii="宋体" w:hAnsi="宋体"/>
          <w:szCs w:val="21"/>
          <w:highlight w:val="none"/>
        </w:rPr>
        <w:t>本磋商文件仅适用于</w:t>
      </w:r>
      <w:r>
        <w:rPr>
          <w:rFonts w:hint="eastAsia" w:ascii="宋体" w:hAnsi="宋体"/>
          <w:szCs w:val="21"/>
          <w:highlight w:val="none"/>
          <w:lang w:eastAsia="zh-CN"/>
        </w:rPr>
        <w:t>“中国医药城大健康产业论坛”策划执行服务项目</w:t>
      </w:r>
      <w:r>
        <w:rPr>
          <w:rFonts w:hint="eastAsia" w:ascii="宋体" w:hAnsi="宋体"/>
          <w:szCs w:val="21"/>
          <w:highlight w:val="none"/>
        </w:rPr>
        <w:t>。</w:t>
      </w:r>
    </w:p>
    <w:p w14:paraId="3ECBA6B9">
      <w:pPr>
        <w:pageBreakBefore w:val="0"/>
        <w:tabs>
          <w:tab w:val="left" w:pos="900"/>
        </w:tabs>
        <w:kinsoku/>
        <w:bidi w:val="0"/>
        <w:spacing w:line="360" w:lineRule="auto"/>
        <w:ind w:firstLine="420" w:firstLineChars="200"/>
        <w:rPr>
          <w:rFonts w:hint="eastAsia" w:ascii="宋体" w:hAnsi="宋体"/>
          <w:szCs w:val="21"/>
          <w:highlight w:val="none"/>
        </w:rPr>
      </w:pPr>
      <w:r>
        <w:rPr>
          <w:rFonts w:hint="eastAsia" w:ascii="宋体" w:hAnsi="宋体"/>
          <w:szCs w:val="21"/>
          <w:highlight w:val="none"/>
        </w:rPr>
        <w:t>2.项目采购方式</w:t>
      </w:r>
    </w:p>
    <w:p w14:paraId="25C7DA28">
      <w:pPr>
        <w:pageBreakBefore w:val="0"/>
        <w:tabs>
          <w:tab w:val="left" w:pos="900"/>
        </w:tabs>
        <w:kinsoku/>
        <w:bidi w:val="0"/>
        <w:spacing w:line="360" w:lineRule="auto"/>
        <w:ind w:firstLine="420" w:firstLineChars="200"/>
        <w:rPr>
          <w:rFonts w:hint="eastAsia" w:ascii="宋体" w:hAnsi="宋体"/>
          <w:szCs w:val="21"/>
          <w:highlight w:val="none"/>
        </w:rPr>
      </w:pPr>
      <w:r>
        <w:rPr>
          <w:rFonts w:hint="eastAsia" w:ascii="宋体" w:hAnsi="宋体"/>
          <w:szCs w:val="21"/>
          <w:highlight w:val="none"/>
        </w:rPr>
        <w:t>本次采购采取竞争性磋商的方式。</w:t>
      </w:r>
    </w:p>
    <w:p w14:paraId="7F08E6ED">
      <w:pPr>
        <w:pageBreakBefore w:val="0"/>
        <w:tabs>
          <w:tab w:val="left" w:pos="900"/>
        </w:tabs>
        <w:kinsoku/>
        <w:bidi w:val="0"/>
        <w:spacing w:line="360" w:lineRule="auto"/>
        <w:ind w:firstLine="420" w:firstLineChars="200"/>
        <w:rPr>
          <w:rFonts w:hint="eastAsia" w:ascii="宋体" w:hAnsi="宋体"/>
          <w:szCs w:val="21"/>
          <w:highlight w:val="none"/>
        </w:rPr>
      </w:pPr>
      <w:r>
        <w:rPr>
          <w:rFonts w:hint="eastAsia" w:ascii="宋体" w:hAnsi="宋体"/>
          <w:szCs w:val="21"/>
          <w:highlight w:val="none"/>
        </w:rPr>
        <w:t>3.合格的磋商供应商</w:t>
      </w:r>
    </w:p>
    <w:p w14:paraId="13900D5C">
      <w:pPr>
        <w:pageBreakBefore w:val="0"/>
        <w:tabs>
          <w:tab w:val="left" w:pos="900"/>
        </w:tabs>
        <w:kinsoku/>
        <w:bidi w:val="0"/>
        <w:spacing w:line="360" w:lineRule="auto"/>
        <w:ind w:firstLine="420" w:firstLineChars="200"/>
        <w:rPr>
          <w:rFonts w:hint="eastAsia" w:ascii="宋体" w:hAnsi="宋体"/>
          <w:szCs w:val="21"/>
          <w:highlight w:val="none"/>
        </w:rPr>
      </w:pPr>
      <w:r>
        <w:rPr>
          <w:rFonts w:hint="eastAsia" w:ascii="宋体" w:hAnsi="宋体"/>
          <w:szCs w:val="21"/>
          <w:highlight w:val="none"/>
        </w:rPr>
        <w:t>3.1满足本磋商文件“竞争性磋商采购公告”中合格磋商供应商资格要求的规定。</w:t>
      </w:r>
    </w:p>
    <w:p w14:paraId="185D2E42">
      <w:pPr>
        <w:pageBreakBefore w:val="0"/>
        <w:tabs>
          <w:tab w:val="left" w:pos="900"/>
        </w:tabs>
        <w:kinsoku/>
        <w:bidi w:val="0"/>
        <w:spacing w:line="360" w:lineRule="auto"/>
        <w:ind w:firstLine="420" w:firstLineChars="200"/>
        <w:rPr>
          <w:rFonts w:hint="eastAsia" w:ascii="宋体" w:hAnsi="宋体"/>
          <w:szCs w:val="21"/>
          <w:highlight w:val="none"/>
        </w:rPr>
      </w:pPr>
      <w:r>
        <w:rPr>
          <w:rFonts w:hint="eastAsia" w:ascii="宋体" w:hAnsi="宋体"/>
          <w:szCs w:val="21"/>
          <w:highlight w:val="none"/>
        </w:rPr>
        <w:t>3.2</w:t>
      </w:r>
      <w:r>
        <w:rPr>
          <w:rFonts w:hint="eastAsia" w:ascii="宋体" w:hAnsi="宋体"/>
          <w:szCs w:val="21"/>
          <w:highlight w:val="none"/>
          <w:lang w:eastAsia="zh-CN"/>
        </w:rPr>
        <w:t xml:space="preserve"> </w:t>
      </w:r>
      <w:r>
        <w:rPr>
          <w:rFonts w:hint="eastAsia" w:ascii="宋体" w:hAnsi="宋体"/>
          <w:szCs w:val="21"/>
          <w:highlight w:val="none"/>
        </w:rPr>
        <w:t>满足本磋商文件实质性要求和条件的规定。</w:t>
      </w:r>
    </w:p>
    <w:p w14:paraId="49C4576B">
      <w:pPr>
        <w:pageBreakBefore w:val="0"/>
        <w:tabs>
          <w:tab w:val="left" w:pos="900"/>
        </w:tabs>
        <w:kinsoku/>
        <w:bidi w:val="0"/>
        <w:spacing w:line="360" w:lineRule="auto"/>
        <w:ind w:firstLine="420" w:firstLineChars="200"/>
        <w:rPr>
          <w:rFonts w:hint="eastAsia" w:ascii="宋体" w:hAnsi="宋体"/>
          <w:szCs w:val="21"/>
          <w:highlight w:val="none"/>
        </w:rPr>
      </w:pPr>
      <w:r>
        <w:rPr>
          <w:rFonts w:hint="eastAsia" w:ascii="宋体" w:hAnsi="宋体"/>
          <w:szCs w:val="21"/>
          <w:highlight w:val="none"/>
        </w:rPr>
        <w:t>4.参加磋商费用</w:t>
      </w:r>
    </w:p>
    <w:p w14:paraId="0C5A7B9E">
      <w:pPr>
        <w:pageBreakBefore w:val="0"/>
        <w:tabs>
          <w:tab w:val="left" w:pos="900"/>
        </w:tabs>
        <w:kinsoku/>
        <w:bidi w:val="0"/>
        <w:spacing w:line="360" w:lineRule="auto"/>
        <w:ind w:firstLine="420" w:firstLineChars="200"/>
        <w:rPr>
          <w:rFonts w:hint="eastAsia" w:ascii="宋体" w:hAnsi="宋体"/>
          <w:szCs w:val="21"/>
          <w:highlight w:val="none"/>
        </w:rPr>
      </w:pPr>
      <w:r>
        <w:rPr>
          <w:rFonts w:hint="eastAsia" w:ascii="宋体" w:hAnsi="宋体"/>
          <w:szCs w:val="21"/>
          <w:highlight w:val="none"/>
        </w:rPr>
        <w:t>4.1参加磋商供应商应自行承担所有与参加磋商有关的费用。不论最终的成交结果如何，江苏华强工程投资管理咨询有限公司（以下简称代理机构）在任何情况下均无义务和责任承担这些费用。</w:t>
      </w:r>
    </w:p>
    <w:p w14:paraId="0645046A">
      <w:pPr>
        <w:pageBreakBefore w:val="0"/>
        <w:kinsoku/>
        <w:bidi w:val="0"/>
        <w:spacing w:line="360" w:lineRule="auto"/>
        <w:ind w:firstLine="422" w:firstLineChars="200"/>
        <w:rPr>
          <w:rFonts w:hint="eastAsia" w:ascii="宋体" w:hAnsi="宋体" w:cs="宋体"/>
          <w:b/>
          <w:bCs/>
          <w:szCs w:val="21"/>
          <w:highlight w:val="none"/>
          <w:u w:val="single"/>
        </w:rPr>
      </w:pPr>
      <w:r>
        <w:rPr>
          <w:rFonts w:hint="eastAsia" w:ascii="宋体" w:hAnsi="宋体"/>
          <w:b/>
          <w:bCs/>
          <w:szCs w:val="21"/>
          <w:highlight w:val="none"/>
        </w:rPr>
        <w:t>4.2</w:t>
      </w:r>
      <w:r>
        <w:rPr>
          <w:rFonts w:hint="eastAsia" w:ascii="宋体" w:hAnsi="宋体"/>
          <w:b/>
          <w:bCs/>
          <w:szCs w:val="21"/>
          <w:highlight w:val="none"/>
          <w:lang w:eastAsia="zh-CN"/>
        </w:rPr>
        <w:t xml:space="preserve"> 招标</w:t>
      </w:r>
      <w:r>
        <w:rPr>
          <w:rFonts w:hint="eastAsia" w:ascii="宋体" w:hAnsi="宋体"/>
          <w:b/>
          <w:kern w:val="2"/>
          <w:szCs w:val="21"/>
          <w:highlight w:val="none"/>
          <w:lang w:bidi="ar"/>
        </w:rPr>
        <w:t>代理服务费</w:t>
      </w:r>
      <w:r>
        <w:rPr>
          <w:rFonts w:hint="eastAsia" w:ascii="宋体" w:hAnsi="宋体"/>
          <w:b/>
          <w:kern w:val="2"/>
          <w:szCs w:val="21"/>
          <w:highlight w:val="none"/>
          <w:lang w:eastAsia="zh-CN" w:bidi="ar"/>
        </w:rPr>
        <w:t>按照</w:t>
      </w:r>
      <w:r>
        <w:rPr>
          <w:rFonts w:hint="eastAsia" w:ascii="宋体" w:hAnsi="宋体"/>
          <w:b/>
          <w:kern w:val="2"/>
          <w:szCs w:val="21"/>
          <w:highlight w:val="none"/>
          <w:lang w:val="en-US" w:eastAsia="zh-CN" w:bidi="ar"/>
        </w:rPr>
        <w:t>本</w:t>
      </w:r>
      <w:r>
        <w:rPr>
          <w:rFonts w:hint="eastAsia" w:ascii="宋体" w:hAnsi="宋体"/>
          <w:b/>
          <w:kern w:val="2"/>
          <w:szCs w:val="21"/>
          <w:highlight w:val="none"/>
          <w:lang w:eastAsia="zh-CN" w:bidi="ar"/>
        </w:rPr>
        <w:t>项目招标代理服务合同</w:t>
      </w:r>
      <w:r>
        <w:rPr>
          <w:rFonts w:hint="eastAsia" w:ascii="宋体" w:hAnsi="宋体"/>
          <w:b/>
          <w:kern w:val="2"/>
          <w:szCs w:val="21"/>
          <w:highlight w:val="none"/>
          <w:lang w:val="en-US" w:eastAsia="zh-CN" w:bidi="ar"/>
        </w:rPr>
        <w:t>计取</w:t>
      </w:r>
      <w:r>
        <w:rPr>
          <w:rFonts w:hint="eastAsia" w:ascii="宋体" w:hAnsi="宋体"/>
          <w:b/>
          <w:kern w:val="2"/>
          <w:szCs w:val="21"/>
          <w:highlight w:val="none"/>
          <w:lang w:bidi="ar"/>
        </w:rPr>
        <w:t>，</w:t>
      </w:r>
      <w:r>
        <w:rPr>
          <w:rFonts w:hint="eastAsia" w:ascii="宋体" w:hAnsi="宋体"/>
          <w:b/>
          <w:kern w:val="2"/>
          <w:szCs w:val="21"/>
          <w:highlight w:val="none"/>
          <w:lang w:val="en-US" w:eastAsia="zh-CN" w:bidi="ar"/>
        </w:rPr>
        <w:t>公证费壹仟伍佰元，专家评审费用据实结算，上述</w:t>
      </w:r>
      <w:r>
        <w:rPr>
          <w:rFonts w:hint="eastAsia" w:ascii="宋体" w:hAnsi="宋体"/>
          <w:b/>
          <w:kern w:val="2"/>
          <w:szCs w:val="21"/>
          <w:highlight w:val="none"/>
          <w:lang w:bidi="ar"/>
        </w:rPr>
        <w:t>费用</w:t>
      </w:r>
      <w:r>
        <w:rPr>
          <w:rFonts w:hint="eastAsia" w:ascii="宋体" w:hAnsi="宋体"/>
          <w:b/>
          <w:kern w:val="2"/>
          <w:szCs w:val="21"/>
          <w:highlight w:val="none"/>
          <w:lang w:val="en-US" w:eastAsia="zh-CN" w:bidi="ar"/>
        </w:rPr>
        <w:t>均</w:t>
      </w:r>
      <w:r>
        <w:rPr>
          <w:rFonts w:hint="eastAsia" w:ascii="宋体" w:hAnsi="宋体"/>
          <w:b/>
          <w:kern w:val="2"/>
          <w:szCs w:val="21"/>
          <w:highlight w:val="none"/>
          <w:lang w:bidi="ar"/>
        </w:rPr>
        <w:t>由采购人承担。</w:t>
      </w:r>
    </w:p>
    <w:p w14:paraId="20C709D6">
      <w:pPr>
        <w:pageBreakBefore w:val="0"/>
        <w:tabs>
          <w:tab w:val="left" w:pos="900"/>
        </w:tabs>
        <w:kinsoku/>
        <w:bidi w:val="0"/>
        <w:spacing w:line="360" w:lineRule="auto"/>
        <w:ind w:firstLine="420" w:firstLineChars="200"/>
        <w:rPr>
          <w:rFonts w:hint="eastAsia" w:ascii="宋体" w:hAnsi="宋体"/>
          <w:szCs w:val="21"/>
          <w:highlight w:val="none"/>
        </w:rPr>
      </w:pPr>
      <w:r>
        <w:rPr>
          <w:rFonts w:hint="eastAsia" w:ascii="宋体" w:hAnsi="宋体"/>
          <w:szCs w:val="21"/>
          <w:highlight w:val="none"/>
        </w:rPr>
        <w:t>5.磋商文件的约束力</w:t>
      </w:r>
    </w:p>
    <w:p w14:paraId="0ED11A7B">
      <w:pPr>
        <w:pageBreakBefore w:val="0"/>
        <w:tabs>
          <w:tab w:val="left" w:pos="900"/>
        </w:tabs>
        <w:kinsoku/>
        <w:bidi w:val="0"/>
        <w:spacing w:line="360" w:lineRule="auto"/>
        <w:ind w:firstLine="420" w:firstLineChars="200"/>
        <w:rPr>
          <w:rFonts w:hint="eastAsia" w:ascii="宋体" w:hAnsi="宋体"/>
          <w:szCs w:val="21"/>
          <w:highlight w:val="none"/>
        </w:rPr>
      </w:pPr>
      <w:r>
        <w:rPr>
          <w:rFonts w:hint="eastAsia" w:ascii="宋体" w:hAnsi="宋体"/>
          <w:szCs w:val="21"/>
          <w:highlight w:val="none"/>
        </w:rPr>
        <w:t>供应商一旦领取了本磋商文件并决定参加磋商，即被视为接受了本磋商文件的规定和约束，并且视为自竞争性磋商公告期限届满之日起已经知道或应当知道自身权益是否受到了损害。</w:t>
      </w:r>
    </w:p>
    <w:p w14:paraId="06F19BF5">
      <w:pPr>
        <w:pageBreakBefore w:val="0"/>
        <w:tabs>
          <w:tab w:val="left" w:pos="900"/>
        </w:tabs>
        <w:kinsoku/>
        <w:bidi w:val="0"/>
        <w:spacing w:line="360" w:lineRule="auto"/>
        <w:ind w:firstLine="420" w:firstLineChars="200"/>
        <w:rPr>
          <w:rFonts w:hint="eastAsia" w:ascii="宋体" w:hAnsi="宋体"/>
          <w:szCs w:val="21"/>
          <w:highlight w:val="none"/>
        </w:rPr>
      </w:pPr>
      <w:bookmarkStart w:id="38" w:name="_Toc16938553"/>
      <w:bookmarkStart w:id="39" w:name="_Toc20823309"/>
      <w:bookmarkStart w:id="40" w:name="_Toc513029237"/>
      <w:r>
        <w:rPr>
          <w:rFonts w:hint="eastAsia" w:ascii="宋体" w:hAnsi="宋体"/>
          <w:szCs w:val="21"/>
          <w:highlight w:val="none"/>
        </w:rPr>
        <w:t>6.磋商文件的解释</w:t>
      </w:r>
    </w:p>
    <w:p w14:paraId="7DF8AD1D">
      <w:pPr>
        <w:pageBreakBefore w:val="0"/>
        <w:tabs>
          <w:tab w:val="left" w:pos="900"/>
        </w:tabs>
        <w:kinsoku/>
        <w:bidi w:val="0"/>
        <w:spacing w:line="360" w:lineRule="auto"/>
        <w:ind w:firstLine="420" w:firstLineChars="200"/>
        <w:rPr>
          <w:rFonts w:hint="eastAsia" w:ascii="宋体" w:hAnsi="宋体"/>
          <w:szCs w:val="21"/>
          <w:highlight w:val="none"/>
        </w:rPr>
      </w:pPr>
      <w:r>
        <w:rPr>
          <w:rFonts w:hint="eastAsia" w:ascii="宋体" w:hAnsi="宋体"/>
          <w:szCs w:val="21"/>
          <w:highlight w:val="none"/>
        </w:rPr>
        <w:t>磋商文件需求部分（供应商资格要求、项目需求、商务技术评分标准）由采购人解释，其他部分由采购代理机构解释。</w:t>
      </w:r>
    </w:p>
    <w:bookmarkEnd w:id="38"/>
    <w:bookmarkEnd w:id="39"/>
    <w:bookmarkEnd w:id="40"/>
    <w:p w14:paraId="664CF082">
      <w:pPr>
        <w:pageBreakBefore w:val="0"/>
        <w:kinsoku/>
        <w:topLinePunct w:val="0"/>
        <w:bidi w:val="0"/>
        <w:spacing w:line="360" w:lineRule="auto"/>
        <w:ind w:firstLine="482"/>
        <w:rPr>
          <w:rFonts w:cs="宋体"/>
          <w:b/>
          <w:color w:val="auto"/>
          <w:szCs w:val="21"/>
          <w:highlight w:val="none"/>
          <w:u w:val="none"/>
        </w:rPr>
      </w:pPr>
      <w:bookmarkStart w:id="41" w:name="_Toc86268901"/>
      <w:r>
        <w:rPr>
          <w:rFonts w:hint="eastAsia" w:ascii="宋体" w:hAnsi="宋体" w:eastAsia="宋体" w:cs="宋体"/>
          <w:b/>
          <w:bCs w:val="0"/>
          <w:color w:val="auto"/>
          <w:kern w:val="2"/>
          <w:sz w:val="21"/>
          <w:szCs w:val="21"/>
          <w:highlight w:val="none"/>
          <w:u w:val="none"/>
          <w:lang w:val="en-US" w:eastAsia="zh-CN" w:bidi="ar"/>
        </w:rPr>
        <w:t>二、</w:t>
      </w:r>
      <w:r>
        <w:rPr>
          <w:rFonts w:hint="eastAsia" w:cs="宋体"/>
          <w:b/>
          <w:color w:val="auto"/>
          <w:szCs w:val="21"/>
          <w:highlight w:val="none"/>
          <w:u w:val="none"/>
        </w:rPr>
        <w:t>磋商文件</w:t>
      </w:r>
    </w:p>
    <w:p w14:paraId="30B3A6EF">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bookmarkStart w:id="42" w:name="_Toc16938526"/>
      <w:bookmarkStart w:id="43" w:name="_Toc513029210"/>
      <w:bookmarkStart w:id="44" w:name="_Toc20823282"/>
      <w:r>
        <w:rPr>
          <w:rFonts w:hint="eastAsia" w:ascii="宋体" w:hAnsi="宋体"/>
          <w:color w:val="auto"/>
          <w:szCs w:val="21"/>
          <w:highlight w:val="none"/>
          <w:u w:val="none"/>
        </w:rPr>
        <w:t>1.磋商文件构成</w:t>
      </w:r>
      <w:bookmarkEnd w:id="42"/>
      <w:bookmarkEnd w:id="43"/>
      <w:bookmarkEnd w:id="44"/>
    </w:p>
    <w:p w14:paraId="7717F464">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1.1 磋商文件由以下部分组成：</w:t>
      </w:r>
    </w:p>
    <w:p w14:paraId="6D078ACC">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（1）竞争性磋商公告</w:t>
      </w:r>
    </w:p>
    <w:p w14:paraId="5564B8A8">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（2）供应商须知</w:t>
      </w:r>
    </w:p>
    <w:p w14:paraId="140CEB50">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（3）合同条款及格式</w:t>
      </w:r>
    </w:p>
    <w:p w14:paraId="4EAC0D37">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（4）项目需求</w:t>
      </w:r>
    </w:p>
    <w:p w14:paraId="3983D6D1">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（5）评审方法和评审标准</w:t>
      </w:r>
    </w:p>
    <w:p w14:paraId="11D4CF9E">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（6）响应文件组成和格式</w:t>
      </w:r>
    </w:p>
    <w:p w14:paraId="2C2DA303">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请仔细检查磋商文件是否齐全，如有缺漏请立即与采购人或采购代理机构联系解决。</w:t>
      </w:r>
    </w:p>
    <w:p w14:paraId="6DD36FEC">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37995A9">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bookmarkStart w:id="45" w:name="_Toc16938527"/>
      <w:bookmarkStart w:id="46" w:name="_Toc513029211"/>
      <w:bookmarkStart w:id="47" w:name="_Toc462564070"/>
      <w:bookmarkStart w:id="48" w:name="_Toc20823283"/>
      <w:r>
        <w:rPr>
          <w:rFonts w:hint="eastAsia" w:ascii="宋体" w:hAnsi="宋体"/>
          <w:color w:val="auto"/>
          <w:szCs w:val="21"/>
          <w:highlight w:val="none"/>
          <w:u w:val="none"/>
        </w:rPr>
        <w:t>2.磋商文件的澄清</w:t>
      </w:r>
      <w:bookmarkEnd w:id="45"/>
      <w:bookmarkEnd w:id="46"/>
      <w:bookmarkEnd w:id="47"/>
      <w:bookmarkEnd w:id="48"/>
    </w:p>
    <w:p w14:paraId="4A6F6802">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2EF5F8FB">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2.2采购人可以视采购项目的具体情况，组织供应商进行现场考察或召开磋商前答疑会，但不单独或分别组织只有一个供应商参加的现场考察和答疑会。</w:t>
      </w:r>
    </w:p>
    <w:p w14:paraId="2D5D905F">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bookmarkStart w:id="49" w:name="_Toc462564071"/>
      <w:bookmarkStart w:id="50" w:name="_Toc16938528"/>
      <w:bookmarkStart w:id="51" w:name="_Toc513029212"/>
      <w:bookmarkStart w:id="52" w:name="_Toc20823284"/>
      <w:r>
        <w:rPr>
          <w:rFonts w:hint="eastAsia" w:ascii="宋体" w:hAnsi="宋体"/>
          <w:color w:val="auto"/>
          <w:szCs w:val="21"/>
          <w:highlight w:val="none"/>
          <w:u w:val="none"/>
        </w:rPr>
        <w:t>3.磋商文件的修改</w:t>
      </w:r>
      <w:bookmarkEnd w:id="49"/>
      <w:bookmarkEnd w:id="50"/>
      <w:bookmarkEnd w:id="51"/>
      <w:bookmarkEnd w:id="52"/>
    </w:p>
    <w:p w14:paraId="79786885">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u w:val="none"/>
        </w:rPr>
        <w:br w:type="textWrapping"/>
      </w:r>
      <w:r>
        <w:rPr>
          <w:rFonts w:hint="eastAsia" w:ascii="宋体" w:hAnsi="宋体"/>
          <w:color w:val="auto"/>
          <w:szCs w:val="21"/>
          <w:highlight w:val="none"/>
          <w:u w:val="none"/>
        </w:rPr>
        <w:t xml:space="preserve">    3.2磋商文件的修改将在江苏政府采购网公布，补充文件将作为磋商文件的组成部分，并对供应商具有约束力。</w:t>
      </w:r>
    </w:p>
    <w:p w14:paraId="1B4EB89F">
      <w:pPr>
        <w:pageBreakBefore w:val="0"/>
        <w:kinsoku/>
        <w:topLinePunct w:val="0"/>
        <w:bidi w:val="0"/>
        <w:spacing w:line="360" w:lineRule="auto"/>
        <w:ind w:firstLine="482"/>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4.在投标响应截止日期前，采购单位对采购文件进行澄清或者修改的，</w:t>
      </w:r>
      <w:r>
        <w:rPr>
          <w:rFonts w:hint="eastAsia" w:ascii="宋体" w:hAnsi="宋体" w:cs="宋体"/>
          <w:b/>
          <w:bCs/>
          <w:color w:val="auto"/>
          <w:szCs w:val="21"/>
          <w:highlight w:val="none"/>
          <w:u w:val="none"/>
          <w:lang w:eastAsia="zh-CN"/>
        </w:rPr>
        <w:t>应通过</w:t>
      </w:r>
      <w:r>
        <w:rPr>
          <w:rFonts w:hint="eastAsia" w:ascii="宋体" w:hAnsi="宋体" w:cs="宋体"/>
          <w:b/>
          <w:bCs/>
          <w:color w:val="auto"/>
          <w:szCs w:val="21"/>
          <w:highlight w:val="none"/>
          <w:u w:val="none"/>
        </w:rPr>
        <w:t>“苏采云”系统发布澄清公告</w:t>
      </w:r>
      <w:r>
        <w:rPr>
          <w:rFonts w:hint="eastAsia" w:ascii="宋体" w:hAnsi="宋体" w:cs="宋体"/>
          <w:b/>
          <w:bCs/>
          <w:color w:val="auto"/>
          <w:szCs w:val="21"/>
          <w:highlight w:val="none"/>
          <w:u w:val="none"/>
          <w:lang w:eastAsia="zh-CN"/>
        </w:rPr>
        <w:t>或者修改内容。</w:t>
      </w:r>
      <w:r>
        <w:rPr>
          <w:rFonts w:hint="eastAsia" w:ascii="宋体" w:hAnsi="宋体" w:cs="宋体"/>
          <w:b/>
          <w:bCs/>
          <w:color w:val="auto"/>
          <w:szCs w:val="21"/>
          <w:highlight w:val="none"/>
          <w:u w:val="none"/>
        </w:rPr>
        <w:t>澄清或者修改的内容以所发布的本项目的“更正（澄清）公告”的形式通知所有获取采购文件的潜在供应商。发布本项目的“更正（澄清）公告”后</w:t>
      </w:r>
      <w:r>
        <w:rPr>
          <w:rFonts w:hint="eastAsia" w:ascii="宋体" w:hAnsi="宋体" w:cs="宋体"/>
          <w:b/>
          <w:bCs/>
          <w:color w:val="auto"/>
          <w:szCs w:val="21"/>
          <w:highlight w:val="none"/>
          <w:u w:val="none"/>
          <w:lang w:eastAsia="zh-CN"/>
        </w:rPr>
        <w:t>，采购</w:t>
      </w:r>
      <w:r>
        <w:rPr>
          <w:rFonts w:hint="eastAsia" w:ascii="宋体" w:hAnsi="宋体" w:cs="宋体"/>
          <w:b/>
          <w:bCs/>
          <w:color w:val="auto"/>
          <w:szCs w:val="21"/>
          <w:highlight w:val="none"/>
          <w:u w:val="none"/>
        </w:rPr>
        <w:t>代理机构已尽</w:t>
      </w:r>
      <w:r>
        <w:rPr>
          <w:rFonts w:hint="eastAsia" w:ascii="宋体" w:hAnsi="宋体" w:cs="宋体"/>
          <w:b/>
          <w:bCs/>
          <w:color w:val="auto"/>
          <w:szCs w:val="21"/>
          <w:highlight w:val="none"/>
          <w:u w:val="none"/>
          <w:lang w:val="en-US" w:eastAsia="zh-CN"/>
        </w:rPr>
        <w:t>到</w:t>
      </w:r>
      <w:r>
        <w:rPr>
          <w:rFonts w:hint="eastAsia" w:ascii="宋体" w:hAnsi="宋体" w:cs="宋体"/>
          <w:b/>
          <w:bCs/>
          <w:color w:val="auto"/>
          <w:szCs w:val="21"/>
          <w:highlight w:val="none"/>
          <w:u w:val="none"/>
        </w:rPr>
        <w:t>通知义务。敬请各潜在供应商关注本项目的“更正（澄清）公告”，并通过“苏采云”系统重新下载更正（澄清）后的采购文件（后缀名为“.kedt”），离线编制响应文件，否则，将自行承担相应的风险。</w:t>
      </w:r>
    </w:p>
    <w:p w14:paraId="360D5A7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041BC36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val="0"/>
          <w:color w:val="auto"/>
          <w:szCs w:val="21"/>
          <w:highlight w:val="none"/>
          <w:u w:val="none"/>
          <w:lang w:val="en-US"/>
        </w:rPr>
      </w:pPr>
      <w:r>
        <w:rPr>
          <w:rFonts w:hint="eastAsia" w:ascii="宋体" w:hAnsi="宋体" w:cs="宋体"/>
          <w:b/>
          <w:bCs w:val="0"/>
          <w:color w:val="auto"/>
          <w:kern w:val="2"/>
          <w:sz w:val="21"/>
          <w:szCs w:val="21"/>
          <w:highlight w:val="none"/>
          <w:u w:val="none"/>
          <w:lang w:val="en-US" w:eastAsia="zh-CN" w:bidi="ar"/>
        </w:rPr>
        <w:t>三、</w:t>
      </w:r>
      <w:r>
        <w:rPr>
          <w:rFonts w:hint="eastAsia" w:ascii="宋体" w:hAnsi="宋体" w:eastAsia="宋体" w:cs="宋体"/>
          <w:b/>
          <w:bCs w:val="0"/>
          <w:color w:val="auto"/>
          <w:kern w:val="2"/>
          <w:sz w:val="21"/>
          <w:szCs w:val="21"/>
          <w:highlight w:val="none"/>
          <w:u w:val="none"/>
          <w:lang w:val="en-US" w:eastAsia="zh-CN" w:bidi="ar"/>
        </w:rPr>
        <w:t>磋商响应文件的编制</w:t>
      </w:r>
    </w:p>
    <w:p w14:paraId="08EDE91B">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1.响应文件的语言及度量衡单位</w:t>
      </w:r>
    </w:p>
    <w:p w14:paraId="54D8573E">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1.1供应商提交的响应文件以及供应商与采购人或采购代理机构就有关磋商的所有来往通知、函件和文件均应使用简体中文。</w:t>
      </w:r>
    </w:p>
    <w:p w14:paraId="60EB8FD9">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1.2除技术性能另有规定外，响应文件所使用的度量衡单位，均须采用国家法定计量单位。</w:t>
      </w:r>
    </w:p>
    <w:p w14:paraId="23B86CC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2.响应文件构成</w:t>
      </w:r>
    </w:p>
    <w:p w14:paraId="265A2AC7">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cs="宋体"/>
          <w:color w:val="auto"/>
          <w:kern w:val="2"/>
          <w:sz w:val="21"/>
          <w:szCs w:val="21"/>
          <w:highlight w:val="none"/>
          <w:u w:val="none"/>
          <w:lang w:val="en-US" w:eastAsia="zh-CN" w:bidi="ar"/>
        </w:rPr>
        <w:t>2.1</w:t>
      </w:r>
      <w:r>
        <w:rPr>
          <w:rFonts w:hint="eastAsia" w:ascii="宋体" w:hAnsi="宋体" w:eastAsia="宋体" w:cs="宋体"/>
          <w:color w:val="auto"/>
          <w:kern w:val="2"/>
          <w:sz w:val="21"/>
          <w:szCs w:val="21"/>
          <w:highlight w:val="none"/>
          <w:u w:val="none"/>
          <w:lang w:val="en-US" w:eastAsia="zh-CN" w:bidi="ar"/>
        </w:rPr>
        <w:t>供应商应认真阅读和理解磋商文件，并按磋商文件的要求编制响应文件；响应文件应对磋商文件做实质性响应，并保证所提供资料的真实性。磋商供应商编写的响应文件应包括下列部分：</w:t>
      </w:r>
    </w:p>
    <w:p w14:paraId="1857830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加★项目若有缺失或无效，将导致该响应文件作无效响应文件评定，且不允许在磋商截止时间后补正。</w:t>
      </w:r>
    </w:p>
    <w:p w14:paraId="22BD597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cs="宋体"/>
          <w:color w:val="auto"/>
          <w:kern w:val="2"/>
          <w:sz w:val="21"/>
          <w:szCs w:val="21"/>
          <w:highlight w:val="none"/>
          <w:u w:val="none"/>
          <w:lang w:val="en-US" w:eastAsia="zh-CN" w:bidi="ar"/>
        </w:rPr>
        <w:t>2.1.1</w:t>
      </w:r>
      <w:r>
        <w:rPr>
          <w:rFonts w:hint="eastAsia" w:ascii="宋体" w:hAnsi="宋体" w:eastAsia="宋体" w:cs="宋体"/>
          <w:color w:val="auto"/>
          <w:kern w:val="2"/>
          <w:sz w:val="21"/>
          <w:szCs w:val="21"/>
          <w:highlight w:val="none"/>
          <w:u w:val="none"/>
          <w:lang w:val="en-US" w:eastAsia="zh-CN" w:bidi="ar"/>
        </w:rPr>
        <w:t xml:space="preserve"> 资格证明文件（复印件须加盖磋商供应商公章，否则视同未提供。本采购文件所表述（指定）的公章是指刻有供应商法定名称的印章，不包括合同、财务、税务、发票等形式的业务专用章</w:t>
      </w:r>
      <w:r>
        <w:rPr>
          <w:rFonts w:hint="eastAsia" w:ascii="宋体" w:hAnsi="宋体" w:cs="宋体"/>
          <w:color w:val="auto"/>
          <w:kern w:val="2"/>
          <w:sz w:val="21"/>
          <w:szCs w:val="21"/>
          <w:highlight w:val="none"/>
          <w:u w:val="none"/>
          <w:lang w:val="en-US" w:eastAsia="zh-CN" w:bidi="ar"/>
        </w:rPr>
        <w:t>）。</w:t>
      </w:r>
    </w:p>
    <w:p w14:paraId="03D5C64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（1）★法人或者其他组织的营业执照等证明文件，自然人的身份证明复印件；</w:t>
      </w:r>
    </w:p>
    <w:p w14:paraId="47B0630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（2）★财务状况：2024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p>
    <w:p w14:paraId="54049CD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（3）★依法缴纳税收：</w:t>
      </w:r>
      <w:r>
        <w:rPr>
          <w:rFonts w:hint="eastAsia" w:ascii="宋体" w:hAnsi="宋体" w:cs="宋体"/>
          <w:color w:val="auto"/>
          <w:sz w:val="21"/>
          <w:szCs w:val="21"/>
          <w:highlight w:val="none"/>
          <w:u w:val="none"/>
          <w:lang w:eastAsia="zh-CN"/>
        </w:rPr>
        <w:t>2026年1月</w:t>
      </w:r>
      <w:r>
        <w:rPr>
          <w:rFonts w:hint="eastAsia" w:ascii="宋体" w:hAnsi="宋体" w:eastAsia="宋体" w:cs="宋体"/>
          <w:color w:val="auto"/>
          <w:sz w:val="21"/>
          <w:szCs w:val="21"/>
          <w:highlight w:val="none"/>
          <w:u w:val="none"/>
          <w:lang w:eastAsia="zh-CN"/>
        </w:rPr>
        <w:t>（含）至开标当日任一月份</w:t>
      </w:r>
      <w:r>
        <w:rPr>
          <w:rFonts w:hint="eastAsia" w:ascii="宋体" w:hAnsi="宋体" w:eastAsia="宋体" w:cs="宋体"/>
          <w:color w:val="auto"/>
          <w:kern w:val="2"/>
          <w:sz w:val="21"/>
          <w:szCs w:val="21"/>
          <w:highlight w:val="none"/>
          <w:u w:val="none"/>
          <w:lang w:val="en-US" w:eastAsia="zh-CN" w:bidi="ar"/>
        </w:rPr>
        <w:t>依法缴纳税收（依法缴纳税收材料是指：税务部门出具的税收证明或完税凭证或银行出具的税收缴款证明）的相关材料复印件，如依法免税或不需要纳税的，则应提供相应证明材料复印件；</w:t>
      </w:r>
    </w:p>
    <w:p w14:paraId="389AB1B7">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（4）★社会保障资金：</w:t>
      </w:r>
      <w:r>
        <w:rPr>
          <w:rFonts w:hint="eastAsia" w:ascii="宋体" w:hAnsi="宋体" w:cs="宋体"/>
          <w:color w:val="auto"/>
          <w:sz w:val="21"/>
          <w:szCs w:val="21"/>
          <w:highlight w:val="none"/>
          <w:u w:val="none"/>
          <w:lang w:eastAsia="zh-CN"/>
        </w:rPr>
        <w:t>2026年1月</w:t>
      </w:r>
      <w:r>
        <w:rPr>
          <w:rFonts w:hint="eastAsia" w:ascii="宋体" w:hAnsi="宋体" w:eastAsia="宋体" w:cs="宋体"/>
          <w:color w:val="auto"/>
          <w:sz w:val="21"/>
          <w:szCs w:val="21"/>
          <w:highlight w:val="none"/>
          <w:u w:val="none"/>
          <w:lang w:eastAsia="zh-CN"/>
        </w:rPr>
        <w:t>（含）至开标当日任一月份</w:t>
      </w:r>
      <w:r>
        <w:rPr>
          <w:rFonts w:hint="eastAsia" w:ascii="宋体" w:hAnsi="宋体" w:eastAsia="宋体" w:cs="宋体"/>
          <w:color w:val="auto"/>
          <w:kern w:val="2"/>
          <w:sz w:val="21"/>
          <w:szCs w:val="21"/>
          <w:highlight w:val="none"/>
          <w:u w:val="none"/>
          <w:lang w:val="en-US" w:eastAsia="zh-CN" w:bidi="ar"/>
        </w:rPr>
        <w:t>的依法缴纳社会保障资金的相关材料复印件（社会保障资金材料是指：人社部门或税务机关或银行出具的缴纳社保的凭证），如依法不需要缴纳社会保障资金的，则应提供相应证明材料复印件；</w:t>
      </w:r>
    </w:p>
    <w:p w14:paraId="4F75E83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（5）★具备履行合同所必需的设备和专业技术能力的声明或证明材料复印件</w:t>
      </w:r>
      <w:r>
        <w:rPr>
          <w:rFonts w:hint="eastAsia" w:ascii="宋体" w:hAnsi="宋体" w:cs="宋体"/>
          <w:color w:val="auto"/>
          <w:kern w:val="2"/>
          <w:sz w:val="21"/>
          <w:szCs w:val="21"/>
          <w:highlight w:val="none"/>
          <w:u w:val="none"/>
          <w:lang w:val="en-US" w:eastAsia="zh-CN" w:bidi="ar"/>
        </w:rPr>
        <w:t>（</w:t>
      </w:r>
      <w:r>
        <w:rPr>
          <w:rFonts w:hint="eastAsia" w:ascii="宋体" w:hAnsi="宋体" w:eastAsia="宋体"/>
          <w:sz w:val="21"/>
          <w:szCs w:val="21"/>
          <w:highlight w:val="none"/>
        </w:rPr>
        <w:t>供应商资格声明书</w:t>
      </w:r>
      <w:r>
        <w:rPr>
          <w:rFonts w:hint="eastAsia" w:ascii="宋体" w:hAnsi="宋体"/>
          <w:sz w:val="21"/>
          <w:szCs w:val="21"/>
          <w:highlight w:val="none"/>
          <w:lang w:eastAsia="zh-CN"/>
        </w:rPr>
        <w:t>）</w:t>
      </w:r>
      <w:r>
        <w:rPr>
          <w:rFonts w:hint="eastAsia" w:ascii="宋体" w:hAnsi="宋体" w:eastAsia="宋体" w:cs="宋体"/>
          <w:color w:val="auto"/>
          <w:kern w:val="2"/>
          <w:sz w:val="21"/>
          <w:szCs w:val="21"/>
          <w:highlight w:val="none"/>
          <w:u w:val="none"/>
          <w:lang w:val="en-US" w:eastAsia="zh-CN" w:bidi="ar"/>
        </w:rPr>
        <w:t>；</w:t>
      </w:r>
    </w:p>
    <w:p w14:paraId="3D5644C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（6）★参加政府采购活动前 3年内在经营活动中没有重大违法记录的书面声明</w:t>
      </w:r>
      <w:r>
        <w:rPr>
          <w:rFonts w:hint="eastAsia" w:ascii="宋体" w:hAnsi="宋体" w:cs="宋体"/>
          <w:color w:val="auto"/>
          <w:kern w:val="2"/>
          <w:sz w:val="21"/>
          <w:szCs w:val="21"/>
          <w:highlight w:val="none"/>
          <w:u w:val="none"/>
          <w:lang w:val="en-US" w:eastAsia="zh-CN" w:bidi="ar"/>
        </w:rPr>
        <w:t>（</w:t>
      </w:r>
      <w:r>
        <w:rPr>
          <w:rFonts w:hint="eastAsia" w:ascii="宋体" w:hAnsi="宋体" w:eastAsia="宋体"/>
          <w:sz w:val="21"/>
          <w:szCs w:val="21"/>
          <w:highlight w:val="none"/>
        </w:rPr>
        <w:t>供应商资格声明书</w:t>
      </w:r>
      <w:r>
        <w:rPr>
          <w:rFonts w:hint="eastAsia" w:ascii="宋体" w:hAnsi="宋体"/>
          <w:sz w:val="21"/>
          <w:szCs w:val="21"/>
          <w:highlight w:val="none"/>
          <w:lang w:eastAsia="zh-CN"/>
        </w:rPr>
        <w:t>）</w:t>
      </w:r>
      <w:r>
        <w:rPr>
          <w:rFonts w:hint="eastAsia" w:ascii="宋体" w:hAnsi="宋体" w:eastAsia="宋体" w:cs="宋体"/>
          <w:color w:val="auto"/>
          <w:kern w:val="2"/>
          <w:sz w:val="21"/>
          <w:szCs w:val="21"/>
          <w:highlight w:val="none"/>
          <w:u w:val="none"/>
          <w:lang w:val="en-US" w:eastAsia="zh-CN" w:bidi="ar"/>
        </w:rPr>
        <w:t>；</w:t>
      </w:r>
    </w:p>
    <w:p w14:paraId="4D90A39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（7）具备法律、行政法规规定的其他条件的证明材料，如“信用中国”“中国政府采购网”网站信用记录截图；</w:t>
      </w:r>
    </w:p>
    <w:p w14:paraId="6259284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default"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（8）小微企业声明函、残疾人福利性单位声明函（如有）；</w:t>
      </w:r>
    </w:p>
    <w:p w14:paraId="7B1773E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2.1.2商务技术文件（按照本文件第六章统一提供的规范表式填写</w:t>
      </w:r>
      <w:r>
        <w:rPr>
          <w:rFonts w:hint="eastAsia" w:ascii="宋体" w:hAnsi="宋体" w:cs="宋体"/>
          <w:color w:val="auto"/>
          <w:kern w:val="2"/>
          <w:sz w:val="21"/>
          <w:szCs w:val="21"/>
          <w:highlight w:val="none"/>
          <w:u w:val="none"/>
          <w:lang w:val="en-US" w:eastAsia="zh-CN" w:bidi="ar"/>
        </w:rPr>
        <w:t>）：</w:t>
      </w:r>
    </w:p>
    <w:p w14:paraId="4E71EA8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default"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（1）授权委托书；</w:t>
      </w:r>
    </w:p>
    <w:p w14:paraId="4C0C81C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（2）磋商响应函；</w:t>
      </w:r>
    </w:p>
    <w:p w14:paraId="757E90C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（3）首次响应报价表；</w:t>
      </w:r>
    </w:p>
    <w:p w14:paraId="14EE94C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（4）商务及技术响应偏离表；</w:t>
      </w:r>
    </w:p>
    <w:p w14:paraId="201ABCE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（5）供应商基本情况表；</w:t>
      </w:r>
    </w:p>
    <w:p w14:paraId="72C7F63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（6）技术方案（</w:t>
      </w:r>
      <w:r>
        <w:rPr>
          <w:rFonts w:hint="eastAsia" w:ascii="宋体" w:hAnsi="宋体" w:eastAsia="宋体" w:cs="宋体"/>
          <w:b/>
          <w:bCs/>
          <w:color w:val="auto"/>
          <w:kern w:val="2"/>
          <w:sz w:val="21"/>
          <w:szCs w:val="21"/>
          <w:highlight w:val="none"/>
          <w:u w:val="none"/>
          <w:lang w:val="en-US" w:eastAsia="zh-CN" w:bidi="ar"/>
        </w:rPr>
        <w:t>供应商根据项目情况自行编制</w:t>
      </w:r>
      <w:r>
        <w:rPr>
          <w:rFonts w:hint="eastAsia" w:ascii="宋体" w:hAnsi="宋体" w:cs="宋体"/>
          <w:b/>
          <w:bCs/>
          <w:color w:val="auto"/>
          <w:kern w:val="2"/>
          <w:sz w:val="21"/>
          <w:szCs w:val="21"/>
          <w:highlight w:val="none"/>
          <w:u w:val="none"/>
          <w:lang w:val="en-US" w:eastAsia="zh-CN" w:bidi="ar"/>
        </w:rPr>
        <w:t>）；</w:t>
      </w:r>
    </w:p>
    <w:p w14:paraId="68CDB87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（7）拟投入本项目的主要人员表；</w:t>
      </w:r>
    </w:p>
    <w:p w14:paraId="76F16BF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（8）服务</w:t>
      </w:r>
      <w:r>
        <w:rPr>
          <w:rFonts w:hint="eastAsia" w:ascii="宋体" w:hAnsi="宋体" w:cs="宋体"/>
          <w:color w:val="auto"/>
          <w:kern w:val="2"/>
          <w:sz w:val="21"/>
          <w:szCs w:val="21"/>
          <w:highlight w:val="none"/>
          <w:u w:val="none"/>
          <w:lang w:val="en-US" w:eastAsia="zh-CN" w:bidi="ar"/>
        </w:rPr>
        <w:t>承诺；</w:t>
      </w:r>
    </w:p>
    <w:p w14:paraId="3253022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（9）根据项目需求和评审方法以及评审标准，供应商为使自身处于有利评审地位，应当提交的其他文件和证明资料；</w:t>
      </w:r>
    </w:p>
    <w:p w14:paraId="4A35A9B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（10）采购文件需要的其他资料及供应商认为需要提供的其他内容。</w:t>
      </w:r>
    </w:p>
    <w:p w14:paraId="1F6745A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default"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3.磋商响应报价</w:t>
      </w:r>
    </w:p>
    <w:p w14:paraId="17C13432">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3.1除采购文件另有规定外，应以人民币报价，线上采购项目还需按照投标工具的流程和提示编制并上传磋商报价表。</w:t>
      </w:r>
    </w:p>
    <w:p w14:paraId="1A48605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3.2本项目不接受任何形式的赠送、“零”报价和折扣报价。</w:t>
      </w:r>
    </w:p>
    <w:p w14:paraId="69EC40D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3.3本项目以磋商总报价为依据计算价格分。磋商总报价应包括采购文件中要求供应商承担所有工作内容的全部费用。</w:t>
      </w:r>
    </w:p>
    <w:p w14:paraId="0F0146A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3.4异常低价审查：</w:t>
      </w:r>
    </w:p>
    <w:p w14:paraId="3DDAB37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3.4.1评审中出现下列情形之一的，评审委员会应当启动异常低价投标（响应）审查程序：</w:t>
      </w:r>
    </w:p>
    <w:p w14:paraId="66C1BB2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①投标（响应）报价低于全部通过符合性审查供应商投标（响应）报价平均值50%的，即投标（响应）报价</w:t>
      </w:r>
      <w:r>
        <w:rPr>
          <w:rFonts w:hint="eastAsia" w:ascii="宋体" w:hAnsi="宋体" w:cs="宋体"/>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全部通过符合性审查供应商投标（响应）报价平均值×50%；</w:t>
      </w:r>
    </w:p>
    <w:p w14:paraId="5D625ED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②投标（响应）报价低于通过符合性审查的次低报价供应商投标（响应）报价50%的，即投标（响应）报价 &lt; 通过符合性审查的次低报价供应商投标（响应）报价 × 50%；</w:t>
      </w:r>
    </w:p>
    <w:p w14:paraId="26D312A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③投标（响应）报价低于采购项目最高限价45%的，即投标（响应）报价 &lt; 采购项目最高限价 × 45%；</w:t>
      </w:r>
    </w:p>
    <w:p w14:paraId="21A3830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④评审委员会基于专业判断，认为供应商报价过低，有可能影响产品质量或者不能诚信履约的其他情形。</w:t>
      </w:r>
    </w:p>
    <w:p w14:paraId="5013DB4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3.4.2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w:t>
      </w:r>
      <w:r>
        <w:rPr>
          <w:rFonts w:hint="eastAsia" w:ascii="宋体" w:hAnsi="宋体" w:eastAsia="宋体" w:cs="宋体"/>
          <w:b/>
          <w:bCs/>
          <w:color w:val="auto"/>
          <w:kern w:val="2"/>
          <w:sz w:val="21"/>
          <w:szCs w:val="21"/>
          <w:highlight w:val="none"/>
          <w:u w:val="none"/>
          <w:lang w:val="en-US" w:eastAsia="zh-CN" w:bidi="ar"/>
        </w:rPr>
        <w:t>不限于人工成本（银行工资发放流水记录）、</w:t>
      </w:r>
      <w:r>
        <w:rPr>
          <w:rFonts w:hint="eastAsia" w:ascii="宋体" w:hAnsi="宋体" w:cs="宋体"/>
          <w:b/>
          <w:bCs/>
          <w:color w:val="auto"/>
          <w:kern w:val="2"/>
          <w:sz w:val="21"/>
          <w:szCs w:val="21"/>
          <w:highlight w:val="none"/>
          <w:u w:val="none"/>
          <w:lang w:val="en-US" w:eastAsia="zh-CN" w:bidi="ar"/>
        </w:rPr>
        <w:t>施工器具使用费</w:t>
      </w:r>
      <w:r>
        <w:rPr>
          <w:rFonts w:hint="eastAsia" w:ascii="宋体" w:hAnsi="宋体" w:eastAsia="宋体" w:cs="宋体"/>
          <w:b/>
          <w:bCs/>
          <w:color w:val="auto"/>
          <w:kern w:val="2"/>
          <w:sz w:val="21"/>
          <w:szCs w:val="21"/>
          <w:highlight w:val="none"/>
          <w:u w:val="none"/>
          <w:lang w:val="en-US" w:eastAsia="zh-CN" w:bidi="ar"/>
        </w:rPr>
        <w:t>（采购原始发票或租赁费支付发票）、企业管理费测算等</w:t>
      </w:r>
      <w:r>
        <w:rPr>
          <w:rFonts w:hint="eastAsia" w:ascii="宋体" w:hAnsi="宋体" w:eastAsia="宋体" w:cs="宋体"/>
          <w:color w:val="auto"/>
          <w:kern w:val="2"/>
          <w:sz w:val="21"/>
          <w:szCs w:val="21"/>
          <w:highlight w:val="none"/>
          <w:u w:val="none"/>
          <w:lang w:val="en-US" w:eastAsia="zh-CN" w:bidi="ar"/>
        </w:rPr>
        <w:t>，给予相关供应商的合理时间一般不少于30分钟。其中，属于第③项情形，供应商已随投标（响应）文件一并提交相关书面说明及必要的证明材料的，在评审现场可不再重复提交。</w:t>
      </w:r>
    </w:p>
    <w:p w14:paraId="5516B74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default"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6C9ED5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采购人、采购代理机构应当为评审委员会在评审现场及时获取同类项目中标</w:t>
      </w:r>
      <w:r>
        <w:rPr>
          <w:rFonts w:hint="eastAsia" w:ascii="宋体" w:hAnsi="宋体" w:cs="宋体"/>
          <w:color w:val="auto"/>
          <w:kern w:val="2"/>
          <w:sz w:val="21"/>
          <w:szCs w:val="21"/>
          <w:highlight w:val="none"/>
          <w:u w:val="none"/>
          <w:lang w:val="en-US" w:eastAsia="zh-CN" w:bidi="ar"/>
        </w:rPr>
        <w:t>（成交）</w:t>
      </w:r>
      <w:r>
        <w:rPr>
          <w:rFonts w:hint="eastAsia" w:ascii="宋体" w:hAnsi="宋体" w:eastAsia="宋体" w:cs="宋体"/>
          <w:color w:val="auto"/>
          <w:kern w:val="2"/>
          <w:sz w:val="21"/>
          <w:szCs w:val="21"/>
          <w:highlight w:val="none"/>
          <w:u w:val="none"/>
          <w:lang w:val="en-US" w:eastAsia="zh-CN" w:bidi="ar"/>
        </w:rPr>
        <w:t>价格、类似产品市场价格水平</w:t>
      </w:r>
      <w:r>
        <w:rPr>
          <w:rFonts w:hint="eastAsia" w:ascii="宋体" w:hAnsi="宋体" w:cs="宋体"/>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行业人工费用标准</w:t>
      </w:r>
      <w:r>
        <w:rPr>
          <w:rFonts w:hint="eastAsia" w:ascii="宋体" w:hAnsi="宋体" w:cs="宋体"/>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国家有关部门指导行业协会发布的行业平均成本等相关信息资料提供便利。评审委员会借助互联网等渠道查询相关信息的，应当严格</w:t>
      </w:r>
      <w:r>
        <w:rPr>
          <w:rFonts w:hint="eastAsia" w:ascii="宋体" w:hAnsi="宋体" w:eastAsia="宋体" w:cs="宋体"/>
          <w:kern w:val="2"/>
          <w:sz w:val="21"/>
          <w:szCs w:val="24"/>
          <w:highlight w:val="none"/>
          <w:vertAlign w:val="baseline"/>
          <w:lang w:val="en-US" w:eastAsia="zh-CN" w:bidi="ar"/>
        </w:rPr>
        <w:t>遵守</w:t>
      </w:r>
      <w:r>
        <w:rPr>
          <w:rFonts w:hint="eastAsia" w:ascii="宋体" w:hAnsi="宋体" w:eastAsia="宋体" w:cs="宋体"/>
          <w:color w:val="auto"/>
          <w:kern w:val="2"/>
          <w:sz w:val="21"/>
          <w:szCs w:val="21"/>
          <w:highlight w:val="none"/>
          <w:u w:val="none"/>
          <w:lang w:val="en-US" w:eastAsia="zh-CN" w:bidi="ar"/>
        </w:rPr>
        <w:t>评审工作纪律，不得实施影响评审公正的行为。</w:t>
      </w:r>
    </w:p>
    <w:p w14:paraId="62330962">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异常低价响应审查的启动原因，审查意见和审查结果应当在评审报告中记录，并随供应商提供的相关书面说明及证明材料以及评审委员会有关互联网浏览查询历史一并归档。</w:t>
      </w:r>
    </w:p>
    <w:p w14:paraId="2C3D138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3.5最低报价不能作为成交的保证。</w:t>
      </w:r>
    </w:p>
    <w:p w14:paraId="0FA30D9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3.6供应商的报价不得超过采购项目最高限价。</w:t>
      </w:r>
    </w:p>
    <w:p w14:paraId="373D1A22">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4</w:t>
      </w:r>
      <w:r>
        <w:rPr>
          <w:rFonts w:hint="eastAsia" w:ascii="宋体" w:hAnsi="宋体" w:cs="宋体"/>
          <w:color w:val="auto"/>
          <w:szCs w:val="21"/>
          <w:highlight w:val="none"/>
          <w:u w:val="none"/>
        </w:rPr>
        <w:t>.磋商响应有效期</w:t>
      </w:r>
    </w:p>
    <w:p w14:paraId="57F6A0CA">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bCs/>
          <w:color w:val="auto"/>
          <w:szCs w:val="21"/>
          <w:highlight w:val="none"/>
          <w:u w:val="none"/>
          <w:lang w:val="en-US" w:eastAsia="zh-CN"/>
        </w:rPr>
        <w:t>4</w:t>
      </w:r>
      <w:r>
        <w:rPr>
          <w:rFonts w:hint="eastAsia" w:ascii="宋体" w:hAnsi="宋体" w:cs="宋体"/>
          <w:bCs/>
          <w:color w:val="auto"/>
          <w:szCs w:val="21"/>
          <w:highlight w:val="none"/>
          <w:u w:val="none"/>
        </w:rPr>
        <w:t>.1磋商响应有效期为采购文件规定的响应文件</w:t>
      </w:r>
      <w:r>
        <w:rPr>
          <w:rFonts w:hint="eastAsia" w:ascii="宋体" w:hAnsi="宋体" w:cs="宋体"/>
          <w:color w:val="auto"/>
          <w:szCs w:val="21"/>
          <w:highlight w:val="none"/>
          <w:u w:val="none"/>
        </w:rPr>
        <w:t>提交</w:t>
      </w:r>
      <w:r>
        <w:rPr>
          <w:rFonts w:hint="eastAsia" w:ascii="宋体" w:hAnsi="宋体" w:cs="宋体"/>
          <w:bCs/>
          <w:color w:val="auto"/>
          <w:szCs w:val="21"/>
          <w:highlight w:val="none"/>
          <w:u w:val="none"/>
        </w:rPr>
        <w:t>截止时间后</w:t>
      </w:r>
      <w:r>
        <w:rPr>
          <w:rFonts w:hint="eastAsia" w:ascii="宋体" w:hAnsi="宋体" w:cs="宋体"/>
          <w:b/>
          <w:color w:val="auto"/>
          <w:szCs w:val="21"/>
          <w:highlight w:val="none"/>
          <w:u w:val="none"/>
          <w:lang w:val="en-US" w:eastAsia="zh-CN"/>
        </w:rPr>
        <w:t>九</w:t>
      </w:r>
      <w:r>
        <w:rPr>
          <w:rFonts w:hint="eastAsia" w:ascii="宋体" w:hAnsi="宋体" w:cs="宋体"/>
          <w:b/>
          <w:color w:val="auto"/>
          <w:szCs w:val="21"/>
          <w:highlight w:val="none"/>
          <w:u w:val="none"/>
        </w:rPr>
        <w:t>十（</w:t>
      </w:r>
      <w:r>
        <w:rPr>
          <w:rFonts w:hint="eastAsia" w:ascii="宋体" w:hAnsi="宋体" w:cs="宋体"/>
          <w:b/>
          <w:color w:val="auto"/>
          <w:szCs w:val="21"/>
          <w:highlight w:val="none"/>
          <w:u w:val="none"/>
          <w:lang w:val="en-US" w:eastAsia="zh-CN"/>
        </w:rPr>
        <w:t>90</w:t>
      </w:r>
      <w:r>
        <w:rPr>
          <w:rFonts w:hint="eastAsia" w:ascii="宋体" w:hAnsi="宋体" w:cs="宋体"/>
          <w:b/>
          <w:color w:val="auto"/>
          <w:szCs w:val="21"/>
          <w:highlight w:val="none"/>
          <w:u w:val="none"/>
        </w:rPr>
        <w:t>）天</w:t>
      </w:r>
      <w:r>
        <w:rPr>
          <w:rFonts w:hint="eastAsia" w:ascii="宋体" w:hAnsi="宋体" w:cs="宋体"/>
          <w:bCs/>
          <w:color w:val="auto"/>
          <w:szCs w:val="21"/>
          <w:highlight w:val="none"/>
          <w:u w:val="none"/>
        </w:rPr>
        <w:t>。磋</w:t>
      </w:r>
      <w:r>
        <w:rPr>
          <w:rFonts w:hint="eastAsia" w:ascii="宋体" w:hAnsi="宋体" w:cs="宋体"/>
          <w:color w:val="auto"/>
          <w:szCs w:val="21"/>
          <w:highlight w:val="none"/>
          <w:u w:val="none"/>
        </w:rPr>
        <w:t>商响应有效期比规定短的将被视为非实质性响应而予以拒绝。</w:t>
      </w:r>
    </w:p>
    <w:p w14:paraId="4BAC9456">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4.2</w:t>
      </w:r>
      <w:r>
        <w:rPr>
          <w:rFonts w:hint="eastAsia" w:ascii="宋体" w:hAnsi="宋体" w:cs="宋体"/>
          <w:color w:val="auto"/>
          <w:szCs w:val="21"/>
          <w:highlight w:val="none"/>
          <w:u w:val="none"/>
        </w:rPr>
        <w:t>磋商响应有效期的延长</w:t>
      </w:r>
    </w:p>
    <w:p w14:paraId="13B8A4CC">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26863FD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5.电子响应文件其他要求</w:t>
      </w:r>
    </w:p>
    <w:p w14:paraId="70B8A272">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5.1电子招标投标交易平台（即“苏采云”系统）相关要求是本采购文件的组成部分。</w:t>
      </w:r>
    </w:p>
    <w:p w14:paraId="629215FA">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5.2供应商应对CA证书妥善保管，如</w:t>
      </w:r>
      <w:r>
        <w:rPr>
          <w:rFonts w:hint="eastAsia" w:ascii="宋体" w:hAnsi="宋体" w:cs="宋体"/>
          <w:color w:val="auto"/>
          <w:szCs w:val="21"/>
          <w:highlight w:val="none"/>
          <w:u w:val="none"/>
          <w:lang w:eastAsia="zh-CN"/>
        </w:rPr>
        <w:t>因</w:t>
      </w:r>
      <w:r>
        <w:rPr>
          <w:rFonts w:hint="eastAsia" w:ascii="宋体" w:hAnsi="宋体" w:cs="宋体"/>
          <w:color w:val="auto"/>
          <w:szCs w:val="21"/>
          <w:highlight w:val="none"/>
          <w:u w:val="none"/>
        </w:rPr>
        <w:t>他人盗用投标带来的后果</w:t>
      </w:r>
      <w:r>
        <w:rPr>
          <w:rFonts w:hint="eastAsia" w:ascii="宋体" w:hAnsi="宋体" w:cs="宋体"/>
          <w:color w:val="auto"/>
          <w:szCs w:val="21"/>
          <w:highlight w:val="none"/>
          <w:u w:val="none"/>
          <w:lang w:eastAsia="zh-CN"/>
        </w:rPr>
        <w:t>，均</w:t>
      </w:r>
      <w:r>
        <w:rPr>
          <w:rFonts w:hint="eastAsia" w:ascii="宋体" w:hAnsi="宋体" w:cs="宋体"/>
          <w:color w:val="auto"/>
          <w:szCs w:val="21"/>
          <w:highlight w:val="none"/>
          <w:u w:val="none"/>
        </w:rPr>
        <w:t>由供应商自行承担。</w:t>
      </w:r>
    </w:p>
    <w:p w14:paraId="0173677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5.3供应商应当对采购文件提出的实质性要求和条件作出实质性响应，并在电子投标系统逐条应答。</w:t>
      </w:r>
    </w:p>
    <w:p w14:paraId="485F1797">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5.4供应商应对要求提供的资格证明文件（如资质证书、资格证书）、技术资料（如白皮书、彩页、手册、检测报告等）</w:t>
      </w:r>
      <w:r>
        <w:rPr>
          <w:rFonts w:hint="eastAsia" w:ascii="宋体" w:hAnsi="宋体" w:cs="宋体"/>
          <w:color w:val="auto"/>
          <w:szCs w:val="21"/>
          <w:highlight w:val="none"/>
          <w:u w:val="none"/>
          <w:lang w:eastAsia="zh-CN"/>
        </w:rPr>
        <w:t>进行扫描，并上传</w:t>
      </w:r>
      <w:r>
        <w:rPr>
          <w:rFonts w:hint="eastAsia" w:ascii="宋体" w:hAnsi="宋体" w:cs="宋体"/>
          <w:color w:val="auto"/>
          <w:szCs w:val="21"/>
          <w:highlight w:val="none"/>
          <w:u w:val="none"/>
        </w:rPr>
        <w:t xml:space="preserve">至投标系统。 </w:t>
      </w:r>
    </w:p>
    <w:p w14:paraId="314655E3">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6.供应商应当在采购文件要求提交响应文件的截止时间前，将响应文件提交至“苏采云”系统，逾期提交的响应文件，“苏采云”系统将自动拒收。各供应商应在规定时间内凭CA证书进行网上解密。</w:t>
      </w:r>
    </w:p>
    <w:p w14:paraId="53E9829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cs="宋体"/>
          <w:b/>
          <w:bCs/>
          <w:color w:val="auto"/>
          <w:kern w:val="2"/>
          <w:sz w:val="21"/>
          <w:szCs w:val="21"/>
          <w:highlight w:val="none"/>
          <w:u w:val="none"/>
          <w:lang w:val="en-US" w:eastAsia="zh-CN" w:bidi="ar"/>
        </w:rPr>
        <w:t>四、</w:t>
      </w:r>
      <w:r>
        <w:rPr>
          <w:rFonts w:hint="eastAsia" w:ascii="宋体" w:hAnsi="宋体" w:eastAsia="宋体" w:cs="宋体"/>
          <w:b/>
          <w:bCs/>
          <w:color w:val="auto"/>
          <w:kern w:val="2"/>
          <w:sz w:val="21"/>
          <w:szCs w:val="21"/>
          <w:highlight w:val="none"/>
          <w:u w:val="none"/>
          <w:lang w:val="en-US" w:eastAsia="zh-CN" w:bidi="ar"/>
        </w:rPr>
        <w:t>响应文件的递交</w:t>
      </w:r>
    </w:p>
    <w:p w14:paraId="555A9491">
      <w:pPr>
        <w:pageBreakBefore w:val="0"/>
        <w:kinsoku/>
        <w:topLinePunct w:val="0"/>
        <w:bidi w:val="0"/>
        <w:spacing w:line="360" w:lineRule="auto"/>
        <w:ind w:firstLine="480"/>
        <w:rPr>
          <w:rFonts w:hint="eastAsia" w:ascii="宋体" w:hAnsi="宋体" w:cs="宋体"/>
          <w:color w:val="auto"/>
          <w:szCs w:val="21"/>
          <w:highlight w:val="none"/>
          <w:u w:val="none"/>
        </w:rPr>
      </w:pPr>
      <w:bookmarkStart w:id="53" w:name="_Toc513029225"/>
      <w:bookmarkStart w:id="54" w:name="_Toc20823297"/>
      <w:bookmarkStart w:id="55" w:name="_Toc462564084"/>
      <w:bookmarkStart w:id="56" w:name="_Toc16938541"/>
      <w:r>
        <w:rPr>
          <w:rFonts w:hint="eastAsia" w:ascii="宋体" w:hAnsi="宋体" w:cs="宋体"/>
          <w:color w:val="auto"/>
          <w:szCs w:val="21"/>
          <w:highlight w:val="none"/>
          <w:u w:val="none"/>
        </w:rPr>
        <w:t>1.响应文件</w:t>
      </w:r>
      <w:bookmarkEnd w:id="53"/>
      <w:bookmarkEnd w:id="54"/>
      <w:bookmarkEnd w:id="55"/>
      <w:bookmarkEnd w:id="56"/>
      <w:r>
        <w:rPr>
          <w:rFonts w:hint="eastAsia" w:ascii="宋体" w:hAnsi="宋体" w:cs="宋体"/>
          <w:color w:val="auto"/>
          <w:szCs w:val="21"/>
          <w:highlight w:val="none"/>
          <w:u w:val="none"/>
        </w:rPr>
        <w:t>的提交</w:t>
      </w:r>
    </w:p>
    <w:p w14:paraId="0F026AF3">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1.1</w:t>
      </w:r>
      <w:r>
        <w:rPr>
          <w:rFonts w:hint="eastAsia" w:ascii="宋体" w:hAnsi="宋体" w:cs="宋体"/>
          <w:color w:val="auto"/>
          <w:szCs w:val="21"/>
          <w:highlight w:val="none"/>
          <w:u w:val="none"/>
        </w:rPr>
        <w:t>线上提交与接收地点：供应商应当通过“苏采云”系统提交数据电文形式的响应文件（即电子投标），“苏采云”系统自动接收。</w:t>
      </w:r>
    </w:p>
    <w:p w14:paraId="1846D91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1.2 通过</w:t>
      </w:r>
      <w:r>
        <w:rPr>
          <w:rFonts w:hint="eastAsia" w:ascii="宋体" w:hAnsi="宋体" w:cs="宋体"/>
          <w:color w:val="auto"/>
          <w:szCs w:val="21"/>
          <w:highlight w:val="none"/>
          <w:u w:val="none"/>
        </w:rPr>
        <w:t>“苏采云”系统提交</w:t>
      </w:r>
      <w:r>
        <w:rPr>
          <w:rFonts w:hint="eastAsia" w:ascii="宋体" w:hAnsi="宋体" w:cs="宋体"/>
          <w:color w:val="auto"/>
          <w:szCs w:val="21"/>
          <w:highlight w:val="none"/>
          <w:u w:val="none"/>
          <w:lang w:eastAsia="zh-CN"/>
        </w:rPr>
        <w:t>由政府</w:t>
      </w:r>
      <w:r>
        <w:rPr>
          <w:rFonts w:hint="eastAsia" w:ascii="宋体" w:hAnsi="宋体" w:cs="宋体"/>
          <w:color w:val="auto"/>
          <w:szCs w:val="21"/>
          <w:highlight w:val="none"/>
          <w:u w:val="none"/>
        </w:rPr>
        <w:t>采购客户端工具导出加密的响应文件（后缀名为zip）</w:t>
      </w:r>
      <w:r>
        <w:rPr>
          <w:rFonts w:hint="eastAsia" w:ascii="宋体" w:hAnsi="宋体" w:cs="宋体"/>
          <w:color w:val="auto"/>
          <w:szCs w:val="21"/>
          <w:highlight w:val="none"/>
          <w:u w:val="none"/>
          <w:lang w:eastAsia="zh-CN"/>
        </w:rPr>
        <w:t>，</w:t>
      </w:r>
      <w:r>
        <w:rPr>
          <w:rFonts w:hint="eastAsia" w:ascii="宋体" w:hAnsi="宋体" w:cs="宋体"/>
          <w:b/>
          <w:bCs/>
          <w:color w:val="auto"/>
          <w:szCs w:val="21"/>
          <w:highlight w:val="none"/>
          <w:u w:val="none"/>
        </w:rPr>
        <w:t>响应文件不得超过150M</w:t>
      </w:r>
      <w:r>
        <w:rPr>
          <w:rFonts w:hint="eastAsia" w:ascii="宋体" w:hAnsi="宋体" w:cs="宋体"/>
          <w:b/>
          <w:bCs/>
          <w:color w:val="auto"/>
          <w:szCs w:val="21"/>
          <w:highlight w:val="none"/>
          <w:u w:val="none"/>
          <w:lang w:eastAsia="zh-CN"/>
        </w:rPr>
        <w:t>。</w:t>
      </w:r>
    </w:p>
    <w:p w14:paraId="702B419D">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2.提交响应文件截止日期</w:t>
      </w:r>
    </w:p>
    <w:p w14:paraId="46812822">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2.1供应商上传电子响应文件的时间不得迟于竞争性磋商公告中规定的响应文件提交截止时间。</w:t>
      </w:r>
    </w:p>
    <w:p w14:paraId="63ED832E">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供应商应充分考虑网络环境、网络带宽等风险因素，如因供应商自身原因</w:t>
      </w:r>
      <w:r>
        <w:rPr>
          <w:rFonts w:hint="eastAsia" w:ascii="宋体" w:hAnsi="宋体" w:cs="宋体"/>
          <w:color w:val="auto"/>
          <w:szCs w:val="21"/>
          <w:highlight w:val="none"/>
          <w:u w:val="none"/>
          <w:lang w:eastAsia="zh-CN"/>
        </w:rPr>
        <w:t>造成</w:t>
      </w:r>
      <w:r>
        <w:rPr>
          <w:rFonts w:hint="eastAsia" w:ascii="宋体" w:hAnsi="宋体" w:cs="宋体"/>
          <w:color w:val="auto"/>
          <w:szCs w:val="21"/>
          <w:highlight w:val="none"/>
          <w:u w:val="none"/>
        </w:rPr>
        <w:t>电子响应文件上传不成功</w:t>
      </w:r>
      <w:r>
        <w:rPr>
          <w:rFonts w:hint="eastAsia" w:ascii="宋体" w:hAnsi="宋体" w:cs="宋体"/>
          <w:color w:val="auto"/>
          <w:szCs w:val="21"/>
          <w:highlight w:val="none"/>
          <w:u w:val="none"/>
          <w:lang w:eastAsia="zh-CN"/>
        </w:rPr>
        <w:t>，由</w:t>
      </w:r>
      <w:r>
        <w:rPr>
          <w:rFonts w:hint="eastAsia" w:ascii="宋体" w:hAnsi="宋体" w:cs="宋体"/>
          <w:color w:val="auto"/>
          <w:szCs w:val="21"/>
          <w:highlight w:val="none"/>
          <w:u w:val="none"/>
        </w:rPr>
        <w:t>供应商自行承担全部责任。</w:t>
      </w:r>
    </w:p>
    <w:p w14:paraId="29CE6BF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2.2采购人或采购代理机构可以按照规定，通过修改磋商文件延长响应文件提交截止时间。在此情况下，采购人和供应商受该截止时间约束的全部权利与义务，均以延长后的截止时间为准。</w:t>
      </w:r>
    </w:p>
    <w:p w14:paraId="6F104D39">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3.响应文件的密封（加密）要求：</w:t>
      </w:r>
    </w:p>
    <w:p w14:paraId="5F6F7EE3">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3.1供应商应当按照采购文件和“苏采云”系统的要求编制并加密响应文件。本项目供应商须通过“苏采云”系统提供的政府采购客户端工具（使用“CA数字证书”）对其数据电文形式的响应文件加密。</w:t>
      </w:r>
    </w:p>
    <w:p w14:paraId="5363BBFB">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3.2供应商须通过“苏采云”系统提供的政府采购客户端工具（使用“CA数字证书”）加盖电子签章。</w:t>
      </w:r>
    </w:p>
    <w:p w14:paraId="342F6D24">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说明：供应商应使用CA数字证书以及自备的能够登录“苏采云”系统的电脑，在</w:t>
      </w:r>
      <w:r>
        <w:rPr>
          <w:rFonts w:hint="eastAsia" w:ascii="宋体" w:hAnsi="宋体" w:cs="宋体"/>
          <w:color w:val="auto"/>
          <w:szCs w:val="21"/>
          <w:highlight w:val="none"/>
          <w:u w:val="none"/>
          <w:lang w:eastAsia="zh-CN"/>
        </w:rPr>
        <w:t>开标时间到达</w:t>
      </w:r>
      <w:r>
        <w:rPr>
          <w:rFonts w:hint="eastAsia" w:ascii="宋体" w:hAnsi="宋体" w:cs="宋体"/>
          <w:color w:val="auto"/>
          <w:szCs w:val="21"/>
          <w:highlight w:val="none"/>
          <w:u w:val="none"/>
        </w:rPr>
        <w:t>后，使用CA数字证书解密各自响应文件。</w:t>
      </w:r>
    </w:p>
    <w:p w14:paraId="1A7AD99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3.3供应商未按规定加密的响应文件，“苏采云”系统将拒收并提示。</w:t>
      </w:r>
    </w:p>
    <w:p w14:paraId="75F96132">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4.响应文件的拒收</w:t>
      </w:r>
    </w:p>
    <w:p w14:paraId="7B12ACFA">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“苏采云”系统拒绝接收在规定的响应文件提交截止时间后上传的任何响应文件。</w:t>
      </w:r>
    </w:p>
    <w:p w14:paraId="1682EFBB">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5.响应文件的撤回和修改</w:t>
      </w:r>
    </w:p>
    <w:p w14:paraId="3833849E">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w:t>
      </w:r>
      <w:r>
        <w:rPr>
          <w:rFonts w:hint="eastAsia" w:ascii="宋体" w:hAnsi="宋体" w:cs="宋体"/>
          <w:color w:val="auto"/>
          <w:szCs w:val="21"/>
          <w:highlight w:val="none"/>
          <w:u w:val="none"/>
          <w:lang w:val="en-US" w:eastAsia="zh-CN"/>
        </w:rPr>
        <w:t>1</w:t>
      </w:r>
      <w:r>
        <w:rPr>
          <w:rFonts w:hint="eastAsia" w:ascii="宋体" w:hAnsi="宋体" w:cs="宋体"/>
          <w:color w:val="auto"/>
          <w:szCs w:val="21"/>
          <w:highlight w:val="none"/>
          <w:u w:val="none"/>
        </w:rPr>
        <w:t>响应文件的撤回</w:t>
      </w:r>
    </w:p>
    <w:p w14:paraId="2B73774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5.1.1电子响应文件的撤回</w:t>
      </w:r>
    </w:p>
    <w:p w14:paraId="07B34BB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供应商可在响应文件提交截止时间前，撤回其电子响应文件，具体操作方法见“苏采云”系统供应商操作手册。</w:t>
      </w:r>
    </w:p>
    <w:p w14:paraId="046B6C9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5.1.2供应商撤回电子响应文件，则认为其不再参与本项目竞争性磋商活动。</w:t>
      </w:r>
    </w:p>
    <w:p w14:paraId="2830B10C">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5.2响应文件的修改</w:t>
      </w:r>
    </w:p>
    <w:p w14:paraId="6F04DFF0">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供应商可在响应文件提交截止时间前，对其电子响应文件进行修改。具体操作方法见“苏采云”系统供应商操作手册。</w:t>
      </w:r>
    </w:p>
    <w:p w14:paraId="290FFE70">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5.3在响应文件提交截止时间之后，供应商不得对其电子</w:t>
      </w:r>
      <w:r>
        <w:rPr>
          <w:rFonts w:hint="eastAsia" w:ascii="宋体" w:hAnsi="宋体" w:cs="宋体"/>
          <w:color w:val="auto"/>
          <w:szCs w:val="21"/>
          <w:highlight w:val="none"/>
          <w:u w:val="none"/>
          <w:lang w:eastAsia="zh-CN"/>
        </w:rPr>
        <w:t>响应文件作</w:t>
      </w:r>
      <w:r>
        <w:rPr>
          <w:rFonts w:hint="eastAsia" w:ascii="宋体" w:hAnsi="宋体" w:cs="宋体"/>
          <w:color w:val="auto"/>
          <w:szCs w:val="21"/>
          <w:highlight w:val="none"/>
          <w:u w:val="none"/>
        </w:rPr>
        <w:t>任何修改。</w:t>
      </w:r>
    </w:p>
    <w:p w14:paraId="65A0D917">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5.4在响应文件提交截止时间至磋商文件中规定的磋商响应有效期满之间的这段时间内，供应商不得撤回其响应文件。</w:t>
      </w:r>
    </w:p>
    <w:p w14:paraId="31F9B333">
      <w:pPr>
        <w:pageBreakBefore w:val="0"/>
        <w:kinsoku/>
        <w:topLinePunct w:val="0"/>
        <w:bidi w:val="0"/>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lang w:val="en-US" w:eastAsia="zh-CN"/>
        </w:rPr>
        <w:t>注：</w:t>
      </w:r>
      <w:r>
        <w:rPr>
          <w:rFonts w:hint="eastAsia" w:ascii="宋体" w:hAnsi="宋体" w:cs="宋体"/>
          <w:b/>
          <w:color w:val="auto"/>
          <w:szCs w:val="21"/>
          <w:highlight w:val="none"/>
          <w:u w:val="none"/>
        </w:rPr>
        <w:t>开标当天</w:t>
      </w:r>
      <w:r>
        <w:rPr>
          <w:rFonts w:hint="eastAsia" w:ascii="宋体" w:hAnsi="宋体" w:cs="宋体"/>
          <w:b/>
          <w:color w:val="auto"/>
          <w:szCs w:val="21"/>
          <w:highlight w:val="none"/>
          <w:u w:val="none"/>
          <w:lang w:eastAsia="zh-CN"/>
        </w:rPr>
        <w:t>，各</w:t>
      </w:r>
      <w:r>
        <w:rPr>
          <w:rFonts w:hint="eastAsia" w:ascii="宋体" w:hAnsi="宋体" w:cs="宋体"/>
          <w:b/>
          <w:color w:val="auto"/>
          <w:szCs w:val="21"/>
          <w:highlight w:val="none"/>
          <w:u w:val="none"/>
        </w:rPr>
        <w:t>供应商</w:t>
      </w:r>
      <w:r>
        <w:rPr>
          <w:rFonts w:hint="eastAsia" w:ascii="宋体" w:hAnsi="宋体" w:cs="宋体"/>
          <w:b/>
          <w:color w:val="auto"/>
          <w:szCs w:val="21"/>
          <w:highlight w:val="none"/>
          <w:u w:val="none"/>
          <w:lang w:eastAsia="zh-CN"/>
        </w:rPr>
        <w:t>应及时</w:t>
      </w:r>
      <w:r>
        <w:rPr>
          <w:rFonts w:hint="eastAsia" w:ascii="宋体" w:hAnsi="宋体" w:cs="宋体"/>
          <w:b/>
          <w:color w:val="auto"/>
          <w:szCs w:val="21"/>
          <w:highlight w:val="none"/>
          <w:u w:val="none"/>
        </w:rPr>
        <w:t>登录不见面开标大厅</w:t>
      </w:r>
      <w:r>
        <w:rPr>
          <w:rFonts w:hint="eastAsia" w:ascii="宋体" w:hAnsi="宋体" w:cs="宋体"/>
          <w:b/>
          <w:color w:val="auto"/>
          <w:szCs w:val="21"/>
          <w:highlight w:val="none"/>
          <w:u w:val="none"/>
          <w:lang w:eastAsia="zh-CN"/>
        </w:rPr>
        <w:t>。</w:t>
      </w:r>
      <w:r>
        <w:rPr>
          <w:rFonts w:hint="eastAsia" w:ascii="宋体" w:hAnsi="宋体" w:cs="宋体"/>
          <w:b/>
          <w:color w:val="auto"/>
          <w:szCs w:val="21"/>
          <w:highlight w:val="none"/>
          <w:u w:val="none"/>
        </w:rPr>
        <w:t>响应文件提交截止时间后，采购代理机构将在系统内公布供应商名单，然后通过开标会议区发出响应文件解密的指令，供应商按规定时间自行实施远程解密</w:t>
      </w:r>
      <w:r>
        <w:rPr>
          <w:rFonts w:hint="eastAsia" w:ascii="宋体" w:hAnsi="宋体" w:cs="宋体"/>
          <w:b/>
          <w:color w:val="auto"/>
          <w:szCs w:val="21"/>
          <w:highlight w:val="none"/>
          <w:u w:val="none"/>
          <w:lang w:eastAsia="zh-CN"/>
        </w:rPr>
        <w:t>，</w:t>
      </w:r>
      <w:r>
        <w:rPr>
          <w:rFonts w:hint="eastAsia" w:ascii="宋体" w:hAnsi="宋体" w:cs="宋体"/>
          <w:b/>
          <w:color w:val="auto"/>
          <w:szCs w:val="21"/>
          <w:highlight w:val="none"/>
          <w:u w:val="none"/>
        </w:rPr>
        <w:t>解密限定在开标后30分钟</w:t>
      </w:r>
      <w:r>
        <w:rPr>
          <w:rFonts w:hint="eastAsia" w:ascii="宋体" w:hAnsi="宋体" w:cs="宋体"/>
          <w:b/>
          <w:color w:val="auto"/>
          <w:szCs w:val="21"/>
          <w:highlight w:val="none"/>
          <w:u w:val="none"/>
          <w:lang w:eastAsia="zh-CN"/>
        </w:rPr>
        <w:t>内</w:t>
      </w:r>
      <w:r>
        <w:rPr>
          <w:rFonts w:hint="eastAsia" w:ascii="宋体" w:hAnsi="宋体" w:cs="宋体"/>
          <w:b/>
          <w:color w:val="auto"/>
          <w:szCs w:val="21"/>
          <w:highlight w:val="none"/>
          <w:u w:val="none"/>
        </w:rPr>
        <w:t>完成。因供应商网络与电源不稳定、未按操作手册要求配置软硬件、解密锁发生故障或用错、故意不在要</w:t>
      </w:r>
      <w:r>
        <w:rPr>
          <w:rFonts w:hint="eastAsia" w:ascii="宋体" w:hAnsi="宋体" w:cs="宋体"/>
          <w:b/>
          <w:color w:val="auto"/>
          <w:szCs w:val="21"/>
          <w:highlight w:val="none"/>
          <w:u w:val="none"/>
          <w:lang w:eastAsia="zh-CN"/>
        </w:rPr>
        <w:t>求的</w:t>
      </w:r>
      <w:r>
        <w:rPr>
          <w:rFonts w:hint="eastAsia" w:ascii="宋体" w:hAnsi="宋体" w:cs="宋体"/>
          <w:b/>
          <w:color w:val="auto"/>
          <w:szCs w:val="21"/>
          <w:highlight w:val="none"/>
          <w:u w:val="none"/>
        </w:rPr>
        <w:t>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0BFD7A1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cs="宋体"/>
          <w:b/>
          <w:bCs/>
          <w:color w:val="auto"/>
          <w:kern w:val="2"/>
          <w:sz w:val="21"/>
          <w:szCs w:val="21"/>
          <w:highlight w:val="none"/>
          <w:u w:val="none"/>
          <w:lang w:val="en-US" w:eastAsia="zh-CN" w:bidi="ar"/>
        </w:rPr>
        <w:t>五</w:t>
      </w:r>
      <w:r>
        <w:rPr>
          <w:rFonts w:hint="eastAsia" w:ascii="宋体" w:hAnsi="宋体" w:eastAsia="宋体" w:cs="宋体"/>
          <w:b/>
          <w:bCs/>
          <w:color w:val="auto"/>
          <w:kern w:val="2"/>
          <w:sz w:val="21"/>
          <w:szCs w:val="21"/>
          <w:highlight w:val="none"/>
          <w:u w:val="none"/>
          <w:lang w:val="en-US" w:eastAsia="zh-CN" w:bidi="ar"/>
        </w:rPr>
        <w:t>、磋商与评审</w:t>
      </w:r>
    </w:p>
    <w:p w14:paraId="1F70BC4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1.磋商会议</w:t>
      </w:r>
    </w:p>
    <w:p w14:paraId="718EA4B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采购人或采购代理机构将在磋商公告中规定的时间和地点组织磋商开始仪式。</w:t>
      </w:r>
    </w:p>
    <w:p w14:paraId="5ACAAE2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2.磋商小组</w:t>
      </w:r>
    </w:p>
    <w:p w14:paraId="18B9767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2.1 磋商会议结束后，代理机构将组织磋商小组进行评审。</w:t>
      </w:r>
    </w:p>
    <w:p w14:paraId="17978D9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2.2代理机构及采购人将根据本采购项目的特点组建磋商小组，由三人以上（含三人）单数组成，将对实质性响应报价文件要求的报价文件进行评价和比较，并采用相同的程序和标准。</w:t>
      </w:r>
    </w:p>
    <w:p w14:paraId="4BB2D24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3.磋商评审过程的保密与公正</w:t>
      </w:r>
    </w:p>
    <w:p w14:paraId="2697509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3.1磋商小组、采购人和代理机构工作人员、相关监督人员等与评审工作有关的人员，对评审情况以及在评审过程中获悉的国家秘密、商业秘密负有保密责任。</w:t>
      </w:r>
    </w:p>
    <w:p w14:paraId="380CEA6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3.2在磋商评审过程中，磋商供应商不得以任何行为影响磋商评审过程，否则其响应文件将被视为无效响应文件。</w:t>
      </w:r>
    </w:p>
    <w:p w14:paraId="5FBF09D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3.3磋商小组成员应当按照客观、公正、审慎的原则，根据采购文件规定的评审程序、评审方法和评审标准进行独立评审。未实质性响应采购文件的响应文件</w:t>
      </w:r>
      <w:r>
        <w:rPr>
          <w:rFonts w:hint="eastAsia" w:ascii="宋体" w:hAnsi="宋体" w:cs="宋体"/>
          <w:color w:val="auto"/>
          <w:kern w:val="2"/>
          <w:sz w:val="21"/>
          <w:szCs w:val="21"/>
          <w:highlight w:val="none"/>
          <w:u w:val="none"/>
          <w:lang w:val="en-US" w:eastAsia="zh-CN" w:bidi="ar"/>
        </w:rPr>
        <w:t>，按</w:t>
      </w:r>
      <w:r>
        <w:rPr>
          <w:rFonts w:hint="eastAsia" w:ascii="宋体" w:hAnsi="宋体" w:eastAsia="宋体" w:cs="宋体"/>
          <w:color w:val="auto"/>
          <w:kern w:val="2"/>
          <w:sz w:val="21"/>
          <w:szCs w:val="21"/>
          <w:highlight w:val="none"/>
          <w:u w:val="none"/>
          <w:lang w:val="en-US" w:eastAsia="zh-CN" w:bidi="ar"/>
        </w:rPr>
        <w:t>无效响应处理，磋商小组应当告知提交响应文件的供应商。</w:t>
      </w:r>
    </w:p>
    <w:p w14:paraId="6120133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4.评审过程的澄清、说明和更正</w:t>
      </w:r>
    </w:p>
    <w:p w14:paraId="16DE87E7">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FEBA5A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4.2接到磋商小组要求的供应商</w:t>
      </w:r>
      <w:r>
        <w:rPr>
          <w:rFonts w:hint="eastAsia" w:ascii="宋体" w:hAnsi="宋体" w:cs="宋体"/>
          <w:color w:val="auto"/>
          <w:kern w:val="2"/>
          <w:sz w:val="21"/>
          <w:szCs w:val="21"/>
          <w:highlight w:val="none"/>
          <w:u w:val="none"/>
          <w:lang w:val="en-US" w:eastAsia="zh-CN" w:bidi="ar"/>
        </w:rPr>
        <w:t>，应</w:t>
      </w:r>
      <w:r>
        <w:rPr>
          <w:rFonts w:hint="eastAsia" w:ascii="宋体" w:hAnsi="宋体" w:eastAsia="宋体" w:cs="宋体"/>
          <w:color w:val="auto"/>
          <w:kern w:val="2"/>
          <w:sz w:val="21"/>
          <w:szCs w:val="21"/>
          <w:highlight w:val="none"/>
          <w:u w:val="none"/>
          <w:lang w:val="en-US" w:eastAsia="zh-CN" w:bidi="ar"/>
        </w:rPr>
        <w:t>派人按磋商小组通知的时间和地点</w:t>
      </w:r>
      <w:r>
        <w:rPr>
          <w:rFonts w:hint="eastAsia" w:ascii="宋体" w:hAnsi="宋体" w:cs="宋体"/>
          <w:color w:val="auto"/>
          <w:kern w:val="2"/>
          <w:sz w:val="21"/>
          <w:szCs w:val="21"/>
          <w:highlight w:val="none"/>
          <w:u w:val="none"/>
          <w:lang w:val="en-US" w:eastAsia="zh-CN" w:bidi="ar"/>
        </w:rPr>
        <w:t>作出</w:t>
      </w:r>
      <w:r>
        <w:rPr>
          <w:rFonts w:hint="eastAsia" w:ascii="宋体" w:hAnsi="宋体" w:eastAsia="宋体" w:cs="宋体"/>
          <w:color w:val="auto"/>
          <w:kern w:val="2"/>
          <w:sz w:val="21"/>
          <w:szCs w:val="21"/>
          <w:highlight w:val="none"/>
          <w:u w:val="none"/>
          <w:lang w:val="en-US" w:eastAsia="zh-CN" w:bidi="ar"/>
        </w:rPr>
        <w:t>书面澄清、说明或更正。供应商的澄清、说明或者更正应当由法定代表人或授权代表签字或者加盖公章。由授权代表签字的，应当附法定代表人授权书原件。供应商为自然人的，应当由本人签字并附身份证明，原件评审现场出示。</w:t>
      </w:r>
    </w:p>
    <w:p w14:paraId="22D3523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4.3 接到磋商小组澄清要求的供应商如未按规定作出澄清，其风险由供应商自行承担。</w:t>
      </w:r>
    </w:p>
    <w:p w14:paraId="5951F12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5.初步审查</w:t>
      </w:r>
    </w:p>
    <w:p w14:paraId="2BE8F42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5.1磋商小组应当对供应商提交的首次响应文件进行初步审查，包括响应文件的有效性、完整性、符合性。除可变动的技术、服务要求以及合同草案条款外，首次提交的响应文件有下列情况之一，其响应文件无效，磋商小组应当告知有关供应商。</w:t>
      </w:r>
    </w:p>
    <w:p w14:paraId="5DB2D7F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（1）供应商未按照磋商文件规定要求密封、签署、盖章的；</w:t>
      </w:r>
    </w:p>
    <w:p w14:paraId="0FAFAD6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（2）响应有效期不足的；</w:t>
      </w:r>
    </w:p>
    <w:p w14:paraId="62215B20">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（3）供应商不满足磋商文件供应商资格条件或未按照磋商文件规定提供资格证明材料的；</w:t>
      </w:r>
    </w:p>
    <w:p w14:paraId="4454375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（4）响应文件不满足磋商文件实质性条款的。响应文件是否实质性响应磋商文件，由磋商小组依据磋商文件规定、供应商响应文件及磋商情况认定；</w:t>
      </w:r>
    </w:p>
    <w:p w14:paraId="36105AF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（5）供应商存在失信记录的</w:t>
      </w:r>
      <w:r>
        <w:rPr>
          <w:rFonts w:hint="eastAsia" w:ascii="宋体" w:hAnsi="宋体" w:cs="宋体"/>
          <w:color w:val="auto"/>
          <w:kern w:val="2"/>
          <w:sz w:val="21"/>
          <w:szCs w:val="21"/>
          <w:highlight w:val="none"/>
          <w:u w:val="none"/>
          <w:lang w:val="en-US" w:eastAsia="zh-CN" w:bidi="ar"/>
        </w:rPr>
        <w:t>。</w:t>
      </w:r>
    </w:p>
    <w:p w14:paraId="538D7FF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失信记录是指，通过“信用中国”网站、中国政府采购网查询相关主体信用记录，列入失信被执行人、重大税收违法失信主体名单、政府采购严重违法失信行为记录名单及其他不符合《中华人民共和国政府采购法》第二十二条规定条件的情况。失信情况查询详见供应商须知前附表；</w:t>
      </w:r>
    </w:p>
    <w:p w14:paraId="6FEBC00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（6）其他不符合法律、规章、规范性文件和磋商文件规定的。</w:t>
      </w:r>
    </w:p>
    <w:p w14:paraId="0BC5583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6.澄清</w:t>
      </w:r>
    </w:p>
    <w:p w14:paraId="44744FB2">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6.1磋商小组在对响应文件（包括首次响应文件、重新提交的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w:t>
      </w:r>
    </w:p>
    <w:p w14:paraId="185B98D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6.2供应商的澄清、说明或者更正应当采用书面形式，由其法定代表人或其授权代表签字，供应商的澄清、说明或者更正不得超出磋商文件的范围或者改变响应文件的实质性内容。</w:t>
      </w:r>
    </w:p>
    <w:p w14:paraId="5699C18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6.3关于响应描述（即响应文件中描述的内容）</w:t>
      </w:r>
    </w:p>
    <w:p w14:paraId="3BC5C0A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（1）响应描述前后不一致且不涉及证明材料的：按照本节第6.1 条、6.2条规定执行。</w:t>
      </w:r>
    </w:p>
    <w:p w14:paraId="4DE51BC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（2）响应描述与证明材料不一致或多份证明材料之间不一致的：</w:t>
      </w:r>
    </w:p>
    <w:p w14:paraId="648DAD7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default" w:ascii="Calibri" w:hAnsi="Calibri" w:eastAsia="宋体" w:cs="Calibri"/>
          <w:color w:val="auto"/>
          <w:kern w:val="2"/>
          <w:sz w:val="21"/>
          <w:szCs w:val="21"/>
          <w:highlight w:val="none"/>
          <w:u w:val="none"/>
          <w:lang w:val="en-US" w:eastAsia="zh-CN" w:bidi="ar"/>
        </w:rPr>
        <w:t>①</w:t>
      </w:r>
      <w:r>
        <w:rPr>
          <w:rFonts w:hint="eastAsia" w:ascii="宋体" w:hAnsi="宋体" w:eastAsia="宋体" w:cs="宋体"/>
          <w:color w:val="auto"/>
          <w:kern w:val="2"/>
          <w:sz w:val="21"/>
          <w:szCs w:val="21"/>
          <w:highlight w:val="none"/>
          <w:u w:val="none"/>
          <w:lang w:val="en-US" w:eastAsia="zh-CN" w:bidi="ar"/>
        </w:rPr>
        <w:t>磋商小组将要求供应商进行书面澄清，无法澄清的</w:t>
      </w:r>
      <w:r>
        <w:rPr>
          <w:rFonts w:hint="eastAsia" w:ascii="宋体" w:hAnsi="宋体" w:cs="宋体"/>
          <w:color w:val="auto"/>
          <w:kern w:val="2"/>
          <w:sz w:val="21"/>
          <w:szCs w:val="21"/>
          <w:highlight w:val="none"/>
          <w:u w:val="none"/>
          <w:lang w:val="en-US" w:eastAsia="zh-CN" w:bidi="ar"/>
        </w:rPr>
        <w:t>，将</w:t>
      </w:r>
      <w:r>
        <w:rPr>
          <w:rFonts w:hint="eastAsia" w:ascii="宋体" w:hAnsi="宋体" w:eastAsia="宋体" w:cs="宋体"/>
          <w:color w:val="auto"/>
          <w:kern w:val="2"/>
          <w:sz w:val="21"/>
          <w:szCs w:val="21"/>
          <w:highlight w:val="none"/>
          <w:u w:val="none"/>
          <w:lang w:val="en-US" w:eastAsia="zh-CN" w:bidi="ar"/>
        </w:rPr>
        <w:t>按照不利于供应商的</w:t>
      </w:r>
      <w:r>
        <w:rPr>
          <w:rFonts w:hint="eastAsia" w:ascii="宋体" w:hAnsi="宋体" w:cs="宋体"/>
          <w:color w:val="auto"/>
          <w:kern w:val="2"/>
          <w:sz w:val="21"/>
          <w:szCs w:val="21"/>
          <w:highlight w:val="none"/>
          <w:u w:val="none"/>
          <w:lang w:val="en-US" w:eastAsia="zh-CN" w:bidi="ar"/>
        </w:rPr>
        <w:t>原则</w:t>
      </w:r>
      <w:r>
        <w:rPr>
          <w:rFonts w:hint="eastAsia" w:ascii="宋体" w:hAnsi="宋体" w:eastAsia="宋体" w:cs="宋体"/>
          <w:color w:val="auto"/>
          <w:kern w:val="2"/>
          <w:sz w:val="21"/>
          <w:szCs w:val="21"/>
          <w:highlight w:val="none"/>
          <w:u w:val="none"/>
          <w:lang w:val="en-US" w:eastAsia="zh-CN" w:bidi="ar"/>
        </w:rPr>
        <w:t>进行评审。</w:t>
      </w:r>
    </w:p>
    <w:p w14:paraId="2BC4035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default" w:ascii="Calibri" w:hAnsi="Calibri" w:eastAsia="宋体" w:cs="Calibri"/>
          <w:color w:val="auto"/>
          <w:kern w:val="2"/>
          <w:sz w:val="21"/>
          <w:szCs w:val="21"/>
          <w:highlight w:val="none"/>
          <w:u w:val="none"/>
          <w:lang w:val="en-US" w:eastAsia="zh-CN" w:bidi="ar"/>
        </w:rPr>
        <w:t>②</w:t>
      </w:r>
      <w:r>
        <w:rPr>
          <w:rFonts w:hint="eastAsia" w:ascii="宋体" w:hAnsi="宋体" w:eastAsia="宋体" w:cs="宋体"/>
          <w:color w:val="auto"/>
          <w:kern w:val="2"/>
          <w:sz w:val="21"/>
          <w:szCs w:val="21"/>
          <w:highlight w:val="none"/>
          <w:u w:val="none"/>
          <w:lang w:val="en-US" w:eastAsia="zh-CN" w:bidi="ar"/>
        </w:rPr>
        <w:t>供应商按照要求进行澄清的，采购人以澄清内容为准进行验收；供应商未按照要求进行澄清的，采购人以响应描述或证明材料中有利于采购人的内容进行验收。供应商应对证明材料的真实性、有效性承担责任。</w:t>
      </w:r>
    </w:p>
    <w:p w14:paraId="363BC69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若成交供应商的响应描述存在前后不一致、与证明材料不一致或多份证明材料之间不一致情形之一但在磋商中未能发现，则采购人将以响应描述或证明材料中有利于采购人的内容进行验收，成交供应商应自行承担由此产生的风险及费用。</w:t>
      </w:r>
    </w:p>
    <w:p w14:paraId="1E5E188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6.4除磋商小组要求供应商做出的澄清、说明或者补正以外，磋商小组不接受供应商的任何询问、说明、更改及文件。</w:t>
      </w:r>
    </w:p>
    <w:p w14:paraId="54FDB6C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供应商的澄清必须在规定的时间内提交。</w:t>
      </w:r>
    </w:p>
    <w:p w14:paraId="7B091EA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7.磋商</w:t>
      </w:r>
    </w:p>
    <w:p w14:paraId="45E86FA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7.1初审结束后，磋商小组所有成员集中与单一供应商分别进行磋商，并给予所有参加磋商的供应商平等的磋商机会。供应商应派其法定代表人或授权代表参加磋商。</w:t>
      </w:r>
    </w:p>
    <w:p w14:paraId="6F1F4AE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7.2磋商过程中，磋商小组可以根据磋商文件和磋商情况实质性变动采购需求中的技术、服务要求以及合同草案条款，但不得变动磋商文件中的其他内容。实质性变动的内容，须经采购人代表确认。</w:t>
      </w:r>
    </w:p>
    <w:p w14:paraId="2DCBB8F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7.3对磋商文件作出的实质性变动是磋商文件的有效组成部分，磋商小组应当及时以书面形式同时通知所有参加磋商的供应商。</w:t>
      </w:r>
    </w:p>
    <w:p w14:paraId="7E0B65B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6D87995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7.5磋商文件不能详细列明采购标的技术、服务要求，需经磋商由供应商提供最终设计方案或解决方案的，磋商结束后，磋商小组应当按照少数服从多数的原则投票推荐3家以上供应商的设计方案或者解决方案。</w:t>
      </w:r>
    </w:p>
    <w:p w14:paraId="0B09438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7.6磋商小组应当根据实际情况与供应商进行磋商，并确定磋商的轮次。</w:t>
      </w:r>
    </w:p>
    <w:p w14:paraId="4E925AF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7.7已提交响应文件的供应商，在提交最后报价之前，可以根据磋商情况退出磋商。</w:t>
      </w:r>
    </w:p>
    <w:p w14:paraId="1767EE0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7.8磋商结束后，供应商按照磋商小组要求重新</w:t>
      </w:r>
      <w:r>
        <w:rPr>
          <w:rFonts w:hint="eastAsia" w:ascii="宋体" w:hAnsi="宋体" w:cs="宋体"/>
          <w:color w:val="auto"/>
          <w:kern w:val="2"/>
          <w:sz w:val="21"/>
          <w:szCs w:val="21"/>
          <w:highlight w:val="none"/>
          <w:u w:val="none"/>
          <w:lang w:val="en-US" w:eastAsia="zh-CN" w:bidi="ar"/>
        </w:rPr>
        <w:t>提交</w:t>
      </w:r>
      <w:r>
        <w:rPr>
          <w:rFonts w:hint="eastAsia" w:ascii="宋体" w:hAnsi="宋体" w:eastAsia="宋体" w:cs="宋体"/>
          <w:color w:val="auto"/>
          <w:kern w:val="2"/>
          <w:sz w:val="21"/>
          <w:szCs w:val="21"/>
          <w:highlight w:val="none"/>
          <w:u w:val="none"/>
          <w:lang w:val="en-US" w:eastAsia="zh-CN" w:bidi="ar"/>
        </w:rPr>
        <w:t>响应文件，不满足磋商文件及变动后的技术、服务要求以及合同草案条款的实质性要求的，将视为无效响应文件。</w:t>
      </w:r>
    </w:p>
    <w:p w14:paraId="0B0AB39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8.最后报价</w:t>
      </w:r>
    </w:p>
    <w:p w14:paraId="2E86B256">
      <w:pPr>
        <w:pageBreakBefore w:val="0"/>
        <w:kinsoku/>
        <w:topLinePunct w:val="0"/>
        <w:bidi w:val="0"/>
        <w:spacing w:line="360" w:lineRule="auto"/>
        <w:ind w:firstLine="482"/>
        <w:rPr>
          <w:rFonts w:hint="eastAsia" w:ascii="宋体" w:hAnsi="宋体" w:eastAsia="宋体" w:cs="宋体"/>
          <w:b/>
          <w:bCs w:val="0"/>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8.1</w:t>
      </w:r>
      <w:r>
        <w:rPr>
          <w:rFonts w:hint="eastAsia" w:ascii="宋体" w:hAnsi="宋体" w:cs="宋体"/>
          <w:b/>
          <w:color w:val="auto"/>
          <w:szCs w:val="21"/>
          <w:highlight w:val="none"/>
          <w:u w:val="none"/>
        </w:rPr>
        <w:t>各供应商请关注开标大厅交流区，在开标结束后，请勿离开开标大厅，采购人或采购代理机构通知最后报价填报后，所有的响应供应商须在</w:t>
      </w:r>
      <w:r>
        <w:rPr>
          <w:rFonts w:hint="eastAsia" w:ascii="宋体" w:hAnsi="宋体" w:cs="宋体"/>
          <w:b/>
          <w:color w:val="auto"/>
          <w:szCs w:val="21"/>
          <w:highlight w:val="none"/>
          <w:u w:val="none"/>
          <w:lang w:val="en-US" w:eastAsia="zh-CN"/>
        </w:rPr>
        <w:t>15</w:t>
      </w:r>
      <w:r>
        <w:rPr>
          <w:rFonts w:hint="eastAsia" w:ascii="宋体" w:hAnsi="宋体" w:cs="宋体"/>
          <w:b/>
          <w:color w:val="auto"/>
          <w:szCs w:val="21"/>
          <w:highlight w:val="none"/>
          <w:u w:val="none"/>
        </w:rPr>
        <w:t>分钟内填写并提交最后报价</w:t>
      </w:r>
      <w:r>
        <w:rPr>
          <w:rFonts w:hint="eastAsia" w:ascii="宋体" w:hAnsi="宋体" w:cs="宋体"/>
          <w:b/>
          <w:bCs w:val="0"/>
          <w:color w:val="auto"/>
          <w:szCs w:val="21"/>
          <w:highlight w:val="none"/>
          <w:u w:val="none"/>
        </w:rPr>
        <w:t>，</w:t>
      </w:r>
      <w:r>
        <w:rPr>
          <w:rFonts w:hint="eastAsia" w:ascii="宋体" w:hAnsi="宋体" w:eastAsia="宋体" w:cs="宋体"/>
          <w:b/>
          <w:bCs w:val="0"/>
          <w:color w:val="auto"/>
          <w:kern w:val="2"/>
          <w:sz w:val="21"/>
          <w:szCs w:val="21"/>
          <w:highlight w:val="none"/>
          <w:u w:val="none"/>
          <w:lang w:val="en-US" w:eastAsia="zh-CN" w:bidi="ar"/>
        </w:rPr>
        <w:t>提交最后报价的供应商不得少于3家。</w:t>
      </w:r>
      <w:r>
        <w:rPr>
          <w:rFonts w:hint="eastAsia" w:ascii="宋体" w:hAnsi="宋体" w:cs="宋体"/>
          <w:b/>
          <w:bCs w:val="0"/>
          <w:color w:val="auto"/>
          <w:szCs w:val="21"/>
          <w:highlight w:val="none"/>
          <w:u w:val="none"/>
        </w:rPr>
        <w:t>未在规定时间内提交最后报价的，视作无效响应处理。</w:t>
      </w:r>
    </w:p>
    <w:p w14:paraId="2690440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8.2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6A9AD5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8.3最后报价是供应商响应文件的有效组成部分。如磋商小组没有对磋商文件作实质性变动或增加新的需求，最后报价不得高于首轮报价。</w:t>
      </w:r>
    </w:p>
    <w:p w14:paraId="3FB8DB9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9.最后报价评审</w:t>
      </w:r>
    </w:p>
    <w:p w14:paraId="00B61B0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9.1最后报价计算错误修正的原则</w:t>
      </w:r>
    </w:p>
    <w:p w14:paraId="77055A2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（1）最后报价的大写金额和小写金额不一致的，以大写金额为准。</w:t>
      </w:r>
    </w:p>
    <w:p w14:paraId="5D739982">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（2）总价金额与按分项报价汇总金额不一致的，以分项报价金额计算结果为准。</w:t>
      </w:r>
    </w:p>
    <w:p w14:paraId="37795A4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（3）分项报价金额小数点有明显错位的，应以总价为准，并修改分项报价。</w:t>
      </w:r>
    </w:p>
    <w:p w14:paraId="32F6733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（4）同时出现两种以上不一致的，按照前款规定的顺序修正。</w:t>
      </w:r>
    </w:p>
    <w:p w14:paraId="498A1C5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（5）如果供应商不接受对其错误的更正，其最后报价将被视为无效报价或确定为无效响应。</w:t>
      </w:r>
    </w:p>
    <w:p w14:paraId="21D0F90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9.2最后报价的价格扣除原则</w:t>
      </w:r>
    </w:p>
    <w:p w14:paraId="42F337B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落实政府采购政策进行价格调整的规则详见第五章评标办法的规定。</w:t>
      </w:r>
    </w:p>
    <w:p w14:paraId="5F30AA8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9.3磋商报价得分： 以供应商的最后报价作为价格评分依据。供应商的评审价为按上述条款修正并给予价格扣除优惠后的价格。</w:t>
      </w:r>
    </w:p>
    <w:p w14:paraId="0489949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价格评分统一采用低价优先法计算，即满足磋商文件要求且价格最低的评审价为评审基准价，其价格分为满分。其他供应商的价格分统一按照下列公式计算：磋商报价得分=（磋商基准价/最后磋商报价）×价格满分值</w:t>
      </w:r>
      <w:r>
        <w:rPr>
          <w:rFonts w:hint="eastAsia" w:ascii="宋体" w:hAnsi="宋体" w:cs="宋体"/>
          <w:color w:val="auto"/>
          <w:kern w:val="2"/>
          <w:sz w:val="21"/>
          <w:szCs w:val="21"/>
          <w:highlight w:val="none"/>
          <w:u w:val="none"/>
          <w:lang w:val="en-US" w:eastAsia="zh-CN" w:bidi="ar"/>
        </w:rPr>
        <w:t>。</w:t>
      </w:r>
    </w:p>
    <w:p w14:paraId="2E68F68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10.综合评审</w:t>
      </w:r>
    </w:p>
    <w:p w14:paraId="304B689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10.1经磋商确定最终采购需求和提交最后报价的供应商后，由磋商小组采用综合评分法对提交最后报价的供应商的响应文件和最后报价进行综合评分。</w:t>
      </w:r>
    </w:p>
    <w:p w14:paraId="472CAB8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10.2评审办法及标准见第五章。</w:t>
      </w:r>
    </w:p>
    <w:p w14:paraId="1B81821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10.3评审时，磋商小组成员应当独立对每个有效响应的文件进行评价、打分，然后汇总每个供应商每项评分因素的得分。</w:t>
      </w:r>
    </w:p>
    <w:p w14:paraId="14B17D9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11.提出成交供应商</w:t>
      </w:r>
    </w:p>
    <w:p w14:paraId="7BE1DEF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11.1磋商小组应当按照综合评分由高到低的顺序提出3名成交候选供应商，并编写评审报告。</w:t>
      </w:r>
    </w:p>
    <w:p w14:paraId="1D3EDC9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11.2评审得分相同的，按照最后报价由低到高的顺序推荐。评审得分</w:t>
      </w:r>
      <w:r>
        <w:rPr>
          <w:rFonts w:hint="eastAsia" w:ascii="宋体" w:hAnsi="宋体" w:cs="宋体"/>
          <w:color w:val="auto"/>
          <w:kern w:val="2"/>
          <w:sz w:val="21"/>
          <w:szCs w:val="21"/>
          <w:highlight w:val="none"/>
          <w:u w:val="none"/>
          <w:lang w:val="en-US" w:eastAsia="zh-CN" w:bidi="ar"/>
        </w:rPr>
        <w:t>相同且</w:t>
      </w:r>
      <w:r>
        <w:rPr>
          <w:rFonts w:hint="eastAsia" w:ascii="宋体" w:hAnsi="宋体" w:eastAsia="宋体" w:cs="宋体"/>
          <w:color w:val="auto"/>
          <w:kern w:val="2"/>
          <w:sz w:val="21"/>
          <w:szCs w:val="21"/>
          <w:highlight w:val="none"/>
          <w:u w:val="none"/>
          <w:lang w:val="en-US" w:eastAsia="zh-CN" w:bidi="ar"/>
        </w:rPr>
        <w:t>最后报价相同的，按照技术指标优劣顺序推荐。</w:t>
      </w:r>
    </w:p>
    <w:p w14:paraId="335454F7">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12.磋商终止</w:t>
      </w:r>
    </w:p>
    <w:p w14:paraId="76EE103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12.1出现下列情形之一的，采购人或者采购代理机构应当终止竞争性磋商采购活动，在财政部指定的媒体上发布项目终止公告并说明原因，重新开展采购活动：</w:t>
      </w:r>
    </w:p>
    <w:p w14:paraId="5A8705CE">
      <w:pPr>
        <w:keepNext w:val="0"/>
        <w:keepLines w:val="0"/>
        <w:pageBreakBefore w:val="0"/>
        <w:widowControl w:val="0"/>
        <w:numPr>
          <w:ilvl w:val="0"/>
          <w:numId w:val="2"/>
        </w:numPr>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因情况变化，不再符合规定的竞争性磋商采购方式适用情形的</w:t>
      </w:r>
      <w:r>
        <w:rPr>
          <w:rFonts w:hint="eastAsia" w:ascii="宋体" w:hAnsi="宋体" w:cs="宋体"/>
          <w:color w:val="auto"/>
          <w:kern w:val="2"/>
          <w:sz w:val="21"/>
          <w:szCs w:val="21"/>
          <w:highlight w:val="none"/>
          <w:u w:val="none"/>
          <w:lang w:val="en-US" w:eastAsia="zh-CN" w:bidi="ar"/>
        </w:rPr>
        <w:t>；</w:t>
      </w:r>
    </w:p>
    <w:p w14:paraId="4271043B">
      <w:pPr>
        <w:keepNext w:val="0"/>
        <w:keepLines w:val="0"/>
        <w:pageBreakBefore w:val="0"/>
        <w:widowControl w:val="0"/>
        <w:numPr>
          <w:ilvl w:val="0"/>
          <w:numId w:val="2"/>
        </w:numPr>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cs="宋体"/>
          <w:b/>
          <w:bCs/>
          <w:color w:val="auto"/>
          <w:szCs w:val="21"/>
          <w:highlight w:val="none"/>
          <w:u w:val="none"/>
        </w:rPr>
        <w:t>因系统故障原因造成磋商无法继续进行的</w:t>
      </w:r>
      <w:r>
        <w:rPr>
          <w:rFonts w:hint="eastAsia" w:ascii="宋体" w:hAnsi="宋体" w:cs="宋体"/>
          <w:b/>
          <w:color w:val="auto"/>
          <w:szCs w:val="21"/>
          <w:highlight w:val="none"/>
          <w:u w:val="none"/>
        </w:rPr>
        <w:t>（适用于不见面磋商模式）</w:t>
      </w:r>
      <w:r>
        <w:rPr>
          <w:rFonts w:hint="eastAsia" w:ascii="宋体" w:hAnsi="宋体" w:cs="宋体"/>
          <w:b/>
          <w:color w:val="auto"/>
          <w:szCs w:val="21"/>
          <w:highlight w:val="none"/>
          <w:u w:val="none"/>
          <w:lang w:eastAsia="zh-CN"/>
        </w:rPr>
        <w:t>；</w:t>
      </w:r>
    </w:p>
    <w:p w14:paraId="5CD39B3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w:t>
      </w:r>
      <w:r>
        <w:rPr>
          <w:rFonts w:hint="eastAsia" w:ascii="宋体" w:hAnsi="宋体" w:cs="宋体"/>
          <w:color w:val="auto"/>
          <w:kern w:val="2"/>
          <w:sz w:val="21"/>
          <w:szCs w:val="21"/>
          <w:highlight w:val="none"/>
          <w:u w:val="none"/>
          <w:lang w:val="en-US" w:eastAsia="zh-CN" w:bidi="ar"/>
        </w:rPr>
        <w:t>3</w:t>
      </w:r>
      <w:r>
        <w:rPr>
          <w:rFonts w:hint="eastAsia" w:ascii="宋体" w:hAnsi="宋体" w:eastAsia="宋体" w:cs="宋体"/>
          <w:color w:val="auto"/>
          <w:kern w:val="2"/>
          <w:sz w:val="21"/>
          <w:szCs w:val="21"/>
          <w:highlight w:val="none"/>
          <w:u w:val="none"/>
          <w:lang w:val="en-US" w:eastAsia="zh-CN" w:bidi="ar"/>
        </w:rPr>
        <w:t>）出现影响采购公正的违法、违规行为的；</w:t>
      </w:r>
    </w:p>
    <w:p w14:paraId="48B53D8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w:t>
      </w:r>
      <w:r>
        <w:rPr>
          <w:rFonts w:hint="eastAsia" w:ascii="宋体" w:hAnsi="宋体" w:cs="宋体"/>
          <w:color w:val="auto"/>
          <w:kern w:val="2"/>
          <w:sz w:val="21"/>
          <w:szCs w:val="21"/>
          <w:highlight w:val="none"/>
          <w:u w:val="none"/>
          <w:lang w:val="en-US" w:eastAsia="zh-CN" w:bidi="ar"/>
        </w:rPr>
        <w:t>4</w:t>
      </w:r>
      <w:r>
        <w:rPr>
          <w:rFonts w:hint="eastAsia" w:ascii="宋体" w:hAnsi="宋体" w:eastAsia="宋体" w:cs="宋体"/>
          <w:color w:val="auto"/>
          <w:kern w:val="2"/>
          <w:sz w:val="21"/>
          <w:szCs w:val="21"/>
          <w:highlight w:val="none"/>
          <w:u w:val="none"/>
          <w:lang w:val="en-US" w:eastAsia="zh-CN" w:bidi="ar"/>
        </w:rPr>
        <w:t>）在采购过程中符合竞争要求的供应商或者报价未超过采购预算的供应商不足3</w:t>
      </w:r>
      <w:r>
        <w:rPr>
          <w:rFonts w:hint="eastAsia" w:ascii="宋体" w:hAnsi="宋体" w:cs="宋体"/>
          <w:color w:val="auto"/>
          <w:kern w:val="2"/>
          <w:sz w:val="21"/>
          <w:szCs w:val="21"/>
          <w:highlight w:val="none"/>
          <w:u w:val="none"/>
          <w:lang w:val="en-US" w:eastAsia="zh-CN" w:bidi="ar"/>
        </w:rPr>
        <w:t>家</w:t>
      </w:r>
      <w:r>
        <w:rPr>
          <w:rFonts w:hint="eastAsia" w:ascii="宋体" w:hAnsi="宋体" w:eastAsia="宋体" w:cs="宋体"/>
          <w:color w:val="auto"/>
          <w:kern w:val="2"/>
          <w:sz w:val="21"/>
          <w:szCs w:val="21"/>
          <w:highlight w:val="none"/>
          <w:u w:val="none"/>
          <w:lang w:val="en-US" w:eastAsia="zh-CN" w:bidi="ar"/>
        </w:rPr>
        <w:t>，或者提交最后报价的供应商少于3</w:t>
      </w:r>
      <w:r>
        <w:rPr>
          <w:rFonts w:hint="eastAsia" w:ascii="宋体" w:hAnsi="宋体" w:cs="宋体"/>
          <w:color w:val="auto"/>
          <w:kern w:val="2"/>
          <w:sz w:val="21"/>
          <w:szCs w:val="21"/>
          <w:highlight w:val="none"/>
          <w:u w:val="none"/>
          <w:lang w:val="en-US" w:eastAsia="zh-CN" w:bidi="ar"/>
        </w:rPr>
        <w:t>家</w:t>
      </w:r>
      <w:r>
        <w:rPr>
          <w:rFonts w:hint="eastAsia" w:ascii="宋体" w:hAnsi="宋体" w:eastAsia="宋体" w:cs="宋体"/>
          <w:color w:val="auto"/>
          <w:kern w:val="2"/>
          <w:sz w:val="21"/>
          <w:szCs w:val="21"/>
          <w:highlight w:val="none"/>
          <w:u w:val="none"/>
          <w:lang w:val="en-US" w:eastAsia="zh-CN" w:bidi="ar"/>
        </w:rPr>
        <w:t>（符合供应商须知前附表规定的允许符合要求的供应商只有2家时可以继续进行采购活动的情形</w:t>
      </w:r>
      <w:r>
        <w:rPr>
          <w:rFonts w:hint="eastAsia" w:ascii="宋体" w:hAnsi="宋体" w:cs="宋体"/>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符合竞争要求的供应商</w:t>
      </w:r>
      <w:r>
        <w:rPr>
          <w:rFonts w:hint="eastAsia" w:ascii="宋体" w:hAnsi="宋体" w:cs="宋体"/>
          <w:color w:val="auto"/>
          <w:kern w:val="2"/>
          <w:sz w:val="21"/>
          <w:szCs w:val="21"/>
          <w:highlight w:val="none"/>
          <w:u w:val="none"/>
          <w:lang w:val="en-US" w:eastAsia="zh-CN" w:bidi="ar"/>
        </w:rPr>
        <w:t>、</w:t>
      </w:r>
      <w:r>
        <w:rPr>
          <w:rFonts w:hint="eastAsia" w:ascii="宋体" w:hAnsi="宋体" w:eastAsia="宋体" w:cs="宋体"/>
          <w:color w:val="auto"/>
          <w:kern w:val="2"/>
          <w:sz w:val="21"/>
          <w:szCs w:val="21"/>
          <w:highlight w:val="none"/>
          <w:u w:val="none"/>
          <w:lang w:val="en-US" w:eastAsia="zh-CN" w:bidi="ar"/>
        </w:rPr>
        <w:t>报价未超过采购预算的供应商或者提交最后报价的供应商不足2家的</w:t>
      </w:r>
      <w:r>
        <w:rPr>
          <w:rFonts w:hint="eastAsia" w:ascii="宋体" w:hAnsi="宋体" w:cs="宋体"/>
          <w:color w:val="auto"/>
          <w:kern w:val="2"/>
          <w:sz w:val="21"/>
          <w:szCs w:val="21"/>
          <w:highlight w:val="none"/>
          <w:u w:val="none"/>
          <w:lang w:val="en-US" w:eastAsia="zh-CN" w:bidi="ar"/>
        </w:rPr>
        <w:t>，不在此列）。</w:t>
      </w:r>
    </w:p>
    <w:p w14:paraId="3AD9494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cs="宋体"/>
          <w:color w:val="auto"/>
          <w:kern w:val="2"/>
          <w:sz w:val="21"/>
          <w:szCs w:val="21"/>
          <w:highlight w:val="none"/>
          <w:u w:val="none"/>
          <w:lang w:val="en-US" w:eastAsia="zh-CN" w:bidi="ar"/>
        </w:rPr>
        <w:t>（5）</w:t>
      </w:r>
      <w:r>
        <w:rPr>
          <w:rFonts w:hint="eastAsia" w:ascii="宋体" w:hAnsi="宋体" w:eastAsia="宋体" w:cs="宋体"/>
          <w:color w:val="auto"/>
          <w:kern w:val="2"/>
          <w:sz w:val="21"/>
          <w:szCs w:val="21"/>
          <w:highlight w:val="none"/>
          <w:u w:val="none"/>
          <w:lang w:val="en-US" w:eastAsia="zh-CN" w:bidi="ar"/>
        </w:rPr>
        <w:t>因重大变故，采购任务取消的。</w:t>
      </w:r>
    </w:p>
    <w:p w14:paraId="395A0D4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val="0"/>
          <w:color w:val="auto"/>
          <w:szCs w:val="21"/>
          <w:highlight w:val="none"/>
          <w:u w:val="none"/>
          <w:lang w:val="en-US"/>
        </w:rPr>
      </w:pPr>
      <w:r>
        <w:rPr>
          <w:rFonts w:hint="eastAsia" w:ascii="宋体" w:hAnsi="宋体" w:cs="宋体"/>
          <w:b/>
          <w:bCs w:val="0"/>
          <w:color w:val="auto"/>
          <w:kern w:val="2"/>
          <w:sz w:val="21"/>
          <w:szCs w:val="21"/>
          <w:highlight w:val="none"/>
          <w:u w:val="none"/>
          <w:lang w:val="en-US" w:eastAsia="zh-CN" w:bidi="ar"/>
        </w:rPr>
        <w:t>六</w:t>
      </w:r>
      <w:r>
        <w:rPr>
          <w:rFonts w:hint="eastAsia" w:ascii="宋体" w:hAnsi="宋体" w:eastAsia="宋体" w:cs="宋体"/>
          <w:b/>
          <w:bCs w:val="0"/>
          <w:color w:val="auto"/>
          <w:kern w:val="2"/>
          <w:sz w:val="21"/>
          <w:szCs w:val="21"/>
          <w:highlight w:val="none"/>
          <w:u w:val="none"/>
          <w:lang w:val="en-US" w:eastAsia="zh-CN" w:bidi="ar"/>
        </w:rPr>
        <w:t>、成交</w:t>
      </w:r>
    </w:p>
    <w:p w14:paraId="70861FF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1.采购代理机构应当在评审结束后2个工作日内将评审报告送采购人确认。</w:t>
      </w:r>
    </w:p>
    <w:p w14:paraId="36DD2E3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2.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72BBE82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3.采购人或者采购代理机构应当在成交供应商确定后2个工作日内，在指定媒体上公告成交结果，并将磋商文件随成交结果同时公告。</w:t>
      </w:r>
    </w:p>
    <w:p w14:paraId="15B7B4F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4.在公告成交结果的同时，采购人或者采购代理机构应当向成交供应商发出成交通知书。</w:t>
      </w:r>
    </w:p>
    <w:p w14:paraId="7383FC90">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5.成交通知书对采购人和成交供应商具有同等法律效力。</w:t>
      </w:r>
    </w:p>
    <w:p w14:paraId="4F87681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val="0"/>
          <w:color w:val="auto"/>
          <w:szCs w:val="21"/>
          <w:highlight w:val="none"/>
          <w:u w:val="none"/>
          <w:lang w:val="en-US"/>
        </w:rPr>
      </w:pPr>
      <w:r>
        <w:rPr>
          <w:rFonts w:hint="eastAsia" w:ascii="宋体" w:hAnsi="宋体" w:cs="宋体"/>
          <w:b/>
          <w:bCs w:val="0"/>
          <w:color w:val="auto"/>
          <w:kern w:val="2"/>
          <w:sz w:val="21"/>
          <w:szCs w:val="21"/>
          <w:highlight w:val="none"/>
          <w:u w:val="none"/>
          <w:lang w:val="en-US" w:eastAsia="zh-CN" w:bidi="ar"/>
        </w:rPr>
        <w:t>七、</w:t>
      </w:r>
      <w:r>
        <w:rPr>
          <w:rFonts w:hint="eastAsia" w:ascii="宋体" w:hAnsi="宋体" w:eastAsia="宋体" w:cs="宋体"/>
          <w:b/>
          <w:bCs w:val="0"/>
          <w:color w:val="auto"/>
          <w:kern w:val="2"/>
          <w:sz w:val="21"/>
          <w:szCs w:val="21"/>
          <w:highlight w:val="none"/>
          <w:u w:val="none"/>
          <w:lang w:val="en-US" w:eastAsia="zh-CN" w:bidi="ar"/>
        </w:rPr>
        <w:t>合同签订相关事项</w:t>
      </w:r>
    </w:p>
    <w:p w14:paraId="0DB63D5D">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1.履约保证金</w:t>
      </w:r>
    </w:p>
    <w:p w14:paraId="583CD565">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default"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本项目不收取履约保证金。</w:t>
      </w:r>
    </w:p>
    <w:p w14:paraId="5D6C3F65">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highlight w:val="none"/>
          <w:u w:val="none"/>
          <w:vertAlign w:val="baseline"/>
          <w:lang w:val="en-US"/>
        </w:rPr>
      </w:pPr>
      <w:r>
        <w:rPr>
          <w:rFonts w:hint="eastAsia" w:ascii="宋体" w:hAnsi="宋体" w:eastAsia="宋体" w:cs="宋体"/>
          <w:color w:val="auto"/>
          <w:kern w:val="2"/>
          <w:sz w:val="21"/>
          <w:szCs w:val="24"/>
          <w:highlight w:val="none"/>
          <w:u w:val="none"/>
          <w:vertAlign w:val="baseline"/>
          <w:lang w:val="en-US" w:eastAsia="zh-CN" w:bidi="ar"/>
        </w:rPr>
        <w:t>2.签订合同</w:t>
      </w:r>
    </w:p>
    <w:p w14:paraId="5BC85DDE">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highlight w:val="none"/>
          <w:u w:val="none"/>
          <w:vertAlign w:val="baseline"/>
          <w:lang w:val="en-US"/>
        </w:rPr>
      </w:pPr>
      <w:r>
        <w:rPr>
          <w:rFonts w:hint="eastAsia" w:ascii="宋体" w:hAnsi="宋体" w:eastAsia="宋体" w:cs="宋体"/>
          <w:color w:val="auto"/>
          <w:kern w:val="2"/>
          <w:sz w:val="21"/>
          <w:szCs w:val="24"/>
          <w:highlight w:val="none"/>
          <w:u w:val="none"/>
          <w:vertAlign w:val="baseline"/>
          <w:lang w:val="en-US" w:eastAsia="zh-CN" w:bidi="ar"/>
        </w:rPr>
        <w:t>2.</w:t>
      </w:r>
      <w:r>
        <w:rPr>
          <w:rFonts w:hint="eastAsia" w:ascii="宋体" w:hAnsi="宋体" w:cs="宋体"/>
          <w:color w:val="auto"/>
          <w:kern w:val="2"/>
          <w:sz w:val="21"/>
          <w:szCs w:val="24"/>
          <w:highlight w:val="none"/>
          <w:u w:val="none"/>
          <w:vertAlign w:val="baseline"/>
          <w:lang w:val="en-US" w:eastAsia="zh-CN" w:bidi="ar"/>
        </w:rPr>
        <w:t xml:space="preserve">1 </w:t>
      </w:r>
      <w:r>
        <w:rPr>
          <w:rFonts w:hint="eastAsia" w:ascii="宋体" w:hAnsi="宋体" w:eastAsia="宋体" w:cs="宋体"/>
          <w:color w:val="auto"/>
          <w:kern w:val="2"/>
          <w:sz w:val="21"/>
          <w:szCs w:val="24"/>
          <w:highlight w:val="none"/>
          <w:u w:val="none"/>
          <w:vertAlign w:val="baseline"/>
          <w:lang w:val="en-US" w:eastAsia="zh-CN" w:bidi="ar"/>
        </w:rPr>
        <w:t>成交供应商应按成交通知书规定的时间、地点，按照采购文件确定的事项与采购人签订政府采购合同，且不得迟于成交通知书发出之日起三十日，由此给采购人造成损失的，成交供应商还应承担赔偿责任。</w:t>
      </w:r>
    </w:p>
    <w:p w14:paraId="670E8AC8">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highlight w:val="none"/>
          <w:u w:val="none"/>
          <w:vertAlign w:val="baseline"/>
          <w:lang w:val="en-US"/>
        </w:rPr>
      </w:pPr>
      <w:r>
        <w:rPr>
          <w:rFonts w:hint="eastAsia" w:ascii="宋体" w:hAnsi="宋体" w:eastAsia="宋体" w:cs="宋体"/>
          <w:color w:val="auto"/>
          <w:kern w:val="2"/>
          <w:sz w:val="21"/>
          <w:szCs w:val="24"/>
          <w:highlight w:val="none"/>
          <w:u w:val="none"/>
          <w:vertAlign w:val="baseline"/>
          <w:lang w:val="en-US" w:eastAsia="zh-CN" w:bidi="ar"/>
        </w:rPr>
        <w:t>2.2 采购文件、成交供应商的响应文件及磋商采购过程中有关澄清、承诺文件均应作为合同附件。</w:t>
      </w:r>
    </w:p>
    <w:p w14:paraId="6B24491A">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lang w:val="en-US" w:eastAsia="zh-CN" w:bidi="ar"/>
        </w:rPr>
        <w:t>2.3 签订合同后，成交供应商不得</w:t>
      </w:r>
      <w:r>
        <w:rPr>
          <w:rFonts w:hint="eastAsia" w:ascii="宋体" w:hAnsi="宋体" w:cs="宋体"/>
          <w:color w:val="auto"/>
          <w:kern w:val="2"/>
          <w:sz w:val="21"/>
          <w:szCs w:val="24"/>
          <w:highlight w:val="none"/>
          <w:u w:val="none"/>
          <w:lang w:val="en-US" w:eastAsia="zh-CN" w:bidi="ar"/>
        </w:rPr>
        <w:t>转包</w:t>
      </w:r>
      <w:r>
        <w:rPr>
          <w:rFonts w:hint="eastAsia" w:ascii="宋体" w:hAnsi="宋体" w:eastAsia="宋体" w:cs="宋体"/>
          <w:color w:val="auto"/>
          <w:kern w:val="2"/>
          <w:sz w:val="21"/>
          <w:szCs w:val="24"/>
          <w:highlight w:val="none"/>
          <w:u w:val="none"/>
          <w:lang w:val="en-US" w:eastAsia="zh-CN" w:bidi="ar"/>
        </w:rPr>
        <w:t>成交产品或</w:t>
      </w:r>
      <w:r>
        <w:rPr>
          <w:rFonts w:hint="eastAsia" w:ascii="宋体" w:hAnsi="宋体" w:cs="宋体"/>
          <w:color w:val="auto"/>
          <w:kern w:val="2"/>
          <w:sz w:val="21"/>
          <w:szCs w:val="24"/>
          <w:highlight w:val="none"/>
          <w:u w:val="none"/>
          <w:lang w:val="en-US" w:eastAsia="zh-CN" w:bidi="ar"/>
        </w:rPr>
        <w:t>服务</w:t>
      </w:r>
      <w:r>
        <w:rPr>
          <w:rFonts w:hint="eastAsia" w:ascii="宋体" w:hAnsi="宋体" w:eastAsia="宋体" w:cs="宋体"/>
          <w:color w:val="auto"/>
          <w:kern w:val="2"/>
          <w:sz w:val="21"/>
          <w:szCs w:val="24"/>
          <w:highlight w:val="none"/>
          <w:u w:val="none"/>
          <w:lang w:val="en-US" w:eastAsia="zh-CN" w:bidi="ar"/>
        </w:rPr>
        <w:t>。未经采购人同意，成交供应商也不得采</w:t>
      </w:r>
      <w:r>
        <w:rPr>
          <w:rFonts w:hint="eastAsia" w:ascii="宋体" w:hAnsi="宋体" w:eastAsia="宋体" w:cs="宋体"/>
          <w:color w:val="auto"/>
          <w:kern w:val="2"/>
          <w:sz w:val="21"/>
          <w:szCs w:val="24"/>
          <w:highlight w:val="none"/>
          <w:u w:val="none"/>
          <w:vertAlign w:val="baseline"/>
          <w:lang w:val="en-US" w:eastAsia="zh-CN" w:bidi="ar"/>
        </w:rPr>
        <w:t>用分包的形式履行合同，否则采购人有权终止合同。转包或分包造成采购人损失的，成交供应商应承担相应赔偿责任。</w:t>
      </w:r>
    </w:p>
    <w:p w14:paraId="47FBB80E">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2" w:firstLineChars="200"/>
        <w:jc w:val="both"/>
        <w:textAlignment w:val="baseline"/>
        <w:rPr>
          <w:rFonts w:hint="eastAsia" w:ascii="宋体" w:hAnsi="宋体" w:cs="宋体"/>
          <w:color w:val="auto"/>
          <w:szCs w:val="21"/>
          <w:highlight w:val="none"/>
          <w:u w:val="none"/>
        </w:rPr>
      </w:pPr>
      <w:r>
        <w:rPr>
          <w:rFonts w:hint="eastAsia" w:ascii="宋体" w:hAnsi="宋体" w:cs="宋体"/>
          <w:b/>
          <w:bCs/>
          <w:color w:val="auto"/>
          <w:kern w:val="2"/>
          <w:sz w:val="21"/>
          <w:szCs w:val="24"/>
          <w:highlight w:val="none"/>
          <w:u w:val="none"/>
          <w:vertAlign w:val="baseline"/>
          <w:lang w:val="en-US" w:eastAsia="zh-CN" w:bidi="ar"/>
        </w:rPr>
        <w:t>八</w:t>
      </w:r>
      <w:r>
        <w:rPr>
          <w:rFonts w:hint="eastAsia" w:ascii="宋体" w:hAnsi="宋体" w:eastAsia="宋体" w:cs="宋体"/>
          <w:b/>
          <w:bCs/>
          <w:color w:val="auto"/>
          <w:kern w:val="2"/>
          <w:sz w:val="21"/>
          <w:szCs w:val="24"/>
          <w:highlight w:val="none"/>
          <w:u w:val="none"/>
          <w:vertAlign w:val="baseline"/>
          <w:lang w:val="en-US" w:eastAsia="zh-CN" w:bidi="ar"/>
        </w:rPr>
        <w:t>、</w:t>
      </w:r>
      <w:bookmarkStart w:id="57" w:name="bookmark17"/>
      <w:bookmarkEnd w:id="57"/>
      <w:r>
        <w:rPr>
          <w:rFonts w:hint="eastAsia" w:ascii="宋体" w:hAnsi="宋体" w:cs="宋体"/>
          <w:b/>
          <w:color w:val="auto"/>
          <w:szCs w:val="21"/>
          <w:highlight w:val="none"/>
          <w:u w:val="none"/>
        </w:rPr>
        <w:t>质疑提出和处理</w:t>
      </w:r>
    </w:p>
    <w:p w14:paraId="0F8FE576">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格式请在江苏政府采购网“下载中心</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u w:val="none"/>
        </w:rPr>
        <w:t>有关质疑资料”</w:t>
      </w:r>
      <w:r>
        <w:rPr>
          <w:rFonts w:hint="eastAsia" w:ascii="宋体" w:hAnsi="宋体" w:cs="宋体"/>
          <w:color w:val="auto"/>
          <w:szCs w:val="21"/>
          <w:highlight w:val="none"/>
          <w:u w:val="none"/>
          <w:lang w:eastAsia="zh-CN"/>
        </w:rPr>
        <w:t>下载。</w:t>
      </w:r>
    </w:p>
    <w:p w14:paraId="14799758">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（一）质疑的提出</w:t>
      </w:r>
    </w:p>
    <w:p w14:paraId="2FE6AF9F">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s="宋体"/>
          <w:color w:val="auto"/>
          <w:szCs w:val="21"/>
          <w:highlight w:val="none"/>
          <w:u w:val="none"/>
        </w:rPr>
        <w:t>1.</w:t>
      </w:r>
      <w:r>
        <w:rPr>
          <w:rFonts w:hint="eastAsia" w:ascii="宋体" w:hAnsi="宋体"/>
          <w:color w:val="auto"/>
          <w:szCs w:val="21"/>
          <w:highlight w:val="none"/>
          <w:u w:val="none"/>
        </w:rPr>
        <w:t>磋商供应商认为磋商文件、采购过程和采购结果使自己的权益受到损害的，可以在知道或应知其权益受到损害之日起七个工作日内，以书面形式向代理机构或采购人提出质疑。上述应知其权益受到损害之日，是指：</w:t>
      </w:r>
    </w:p>
    <w:p w14:paraId="2EA5D4D1">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（1）</w:t>
      </w:r>
      <w:r>
        <w:rPr>
          <w:rFonts w:ascii="宋体" w:hAnsi="宋体"/>
          <w:color w:val="auto"/>
          <w:szCs w:val="21"/>
          <w:highlight w:val="none"/>
          <w:u w:val="none"/>
        </w:rPr>
        <w:t>对可以质疑的磋商文件提出质疑的，为收到磋商文件之日或者磋商文件公告期限届满之日；</w:t>
      </w:r>
    </w:p>
    <w:p w14:paraId="0B7E01B8">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（2）</w:t>
      </w:r>
      <w:r>
        <w:rPr>
          <w:rFonts w:ascii="宋体" w:hAnsi="宋体"/>
          <w:color w:val="auto"/>
          <w:szCs w:val="21"/>
          <w:highlight w:val="none"/>
          <w:u w:val="none"/>
        </w:rPr>
        <w:t>对采购过程提出质疑的，为各采购程序环节结束之日；</w:t>
      </w:r>
    </w:p>
    <w:p w14:paraId="00394B2D">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（3）</w:t>
      </w:r>
      <w:r>
        <w:rPr>
          <w:rFonts w:ascii="宋体" w:hAnsi="宋体"/>
          <w:color w:val="auto"/>
          <w:szCs w:val="21"/>
          <w:highlight w:val="none"/>
          <w:u w:val="none"/>
        </w:rPr>
        <w:t>对成交结果提出质疑的，为成交结果公告期限届满之日。</w:t>
      </w:r>
    </w:p>
    <w:p w14:paraId="4EAC30FC">
      <w:pPr>
        <w:pageBreakBefore w:val="0"/>
        <w:kinsoku/>
        <w:topLinePunct w:val="0"/>
        <w:bidi w:val="0"/>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rPr>
        <w:t>其中：对评审过程中涉及的身份核对、澄清等程序性事项，供应商如有异议的，必须当场提出。否则，均视为供应商无异议。无论是否成交，供应商事后不得再就前述事项提出任何异议或质疑投诉。</w:t>
      </w:r>
    </w:p>
    <w:p w14:paraId="64021B5E">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2.</w:t>
      </w:r>
      <w:r>
        <w:rPr>
          <w:rFonts w:hint="eastAsia" w:ascii="宋体" w:hAnsi="宋体"/>
          <w:color w:val="auto"/>
          <w:szCs w:val="21"/>
          <w:highlight w:val="none"/>
          <w:u w:val="none"/>
        </w:rPr>
        <w:t>质疑必须由磋商供应商法定代表人或授权代表（响应文件中所确定的）以原件送达的方式提交，未按上述要求提交的质疑函（含传真、电子邮件等）代理机构有权不予受理。</w:t>
      </w:r>
    </w:p>
    <w:p w14:paraId="52C23253">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olor w:val="auto"/>
          <w:szCs w:val="21"/>
          <w:highlight w:val="none"/>
          <w:u w:val="none"/>
          <w:lang w:val="en-US" w:eastAsia="zh-CN"/>
        </w:rPr>
        <w:t>3.</w:t>
      </w:r>
      <w:r>
        <w:rPr>
          <w:rFonts w:hint="eastAsia" w:ascii="宋体" w:hAnsi="宋体"/>
          <w:color w:val="auto"/>
          <w:szCs w:val="21"/>
          <w:highlight w:val="none"/>
          <w:u w:val="none"/>
        </w:rPr>
        <w:t>未参加磋商采购活动的供应商或在磋商采购活动中自身权益未受到损害的供应商所提出的质疑不予受理。</w:t>
      </w:r>
      <w:r>
        <w:rPr>
          <w:rFonts w:hint="eastAsia" w:ascii="宋体" w:hAnsi="宋体" w:cs="宋体"/>
          <w:color w:val="auto"/>
          <w:szCs w:val="21"/>
          <w:highlight w:val="none"/>
          <w:u w:val="none"/>
        </w:rPr>
        <w:t>响应文件接收截止后，供应商未进行磋商登记的，不能就响应文件接收截止后的招投标过程、成交结果质疑；在磋商过程中，凡主持人或评审小组明确提出须由供应商确认的事项，供应商当场无异议的，事后不得质疑。</w:t>
      </w:r>
    </w:p>
    <w:p w14:paraId="6F425604">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4.</w:t>
      </w:r>
      <w:r>
        <w:rPr>
          <w:rFonts w:hint="eastAsia" w:ascii="宋体" w:hAnsi="宋体"/>
          <w:color w:val="auto"/>
          <w:szCs w:val="21"/>
          <w:highlight w:val="none"/>
          <w:u w:val="none"/>
        </w:rPr>
        <w:t>质疑函应当包括下列内容：</w:t>
      </w:r>
    </w:p>
    <w:p w14:paraId="608FBEB1">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（1）质疑供应商的名称、地址、邮编、联系人、联系电话；</w:t>
      </w:r>
    </w:p>
    <w:p w14:paraId="7B66F6AF">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（2）具体的质疑事项及明确的请求；</w:t>
      </w:r>
    </w:p>
    <w:p w14:paraId="449382C9">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（3）认为自己合法权益受到损害或可能受到损害的相关证据材料；</w:t>
      </w:r>
    </w:p>
    <w:p w14:paraId="07012E6C">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（4）提起质疑的日期；</w:t>
      </w:r>
    </w:p>
    <w:p w14:paraId="24B69DF7">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p>
    <w:p w14:paraId="337B157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5</w:t>
      </w:r>
      <w:r>
        <w:rPr>
          <w:rFonts w:hint="eastAsia" w:ascii="宋体" w:hAnsi="宋体" w:cs="宋体"/>
          <w:color w:val="auto"/>
          <w:szCs w:val="21"/>
          <w:highlight w:val="none"/>
          <w:u w:val="none"/>
        </w:rPr>
        <w:t>.提出质疑时，必须坚持“谁主张，谁举证</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u w:val="none"/>
        </w:rPr>
        <w:t>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p>
    <w:p w14:paraId="35034FBF">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6</w:t>
      </w:r>
      <w:r>
        <w:rPr>
          <w:rFonts w:hint="eastAsia" w:ascii="宋体" w:hAnsi="宋体" w:cs="宋体"/>
          <w:color w:val="auto"/>
          <w:szCs w:val="21"/>
          <w:highlight w:val="none"/>
          <w:u w:val="none"/>
        </w:rPr>
        <w:t>.对本次招标有质疑的，实行实名制，不得进行虚假、恶意质疑。质疑人应在质疑有效期内以书面形式提出《质疑函》（格式请下载），《质疑函》内容应包括质疑事项、主要内容、事实依据、</w:t>
      </w:r>
      <w:r>
        <w:rPr>
          <w:rFonts w:hint="eastAsia" w:ascii="宋体" w:hAnsi="宋体" w:cs="宋体"/>
          <w:color w:val="auto"/>
          <w:szCs w:val="21"/>
          <w:highlight w:val="none"/>
          <w:u w:val="none"/>
          <w:lang w:eastAsia="zh-CN"/>
        </w:rPr>
        <w:t>适用</w:t>
      </w:r>
      <w:r>
        <w:rPr>
          <w:rFonts w:hint="eastAsia" w:ascii="宋体" w:hAnsi="宋体" w:cs="宋体"/>
          <w:color w:val="auto"/>
          <w:szCs w:val="21"/>
          <w:highlight w:val="none"/>
          <w:u w:val="none"/>
        </w:rPr>
        <w:t>法规条款、佐证材料等。同时，质疑人应保证其提出的质疑内容及相关佐证材料的真实性及来源的合法性，并承担相应的法律责任。</w:t>
      </w:r>
    </w:p>
    <w:p w14:paraId="23FDB4DD">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对不能提供相关佐证</w:t>
      </w:r>
      <w:r>
        <w:rPr>
          <w:rFonts w:hint="eastAsia" w:ascii="宋体" w:hAnsi="宋体" w:cs="宋体"/>
          <w:color w:val="auto"/>
          <w:szCs w:val="21"/>
          <w:highlight w:val="none"/>
          <w:u w:val="none"/>
          <w:lang w:eastAsia="zh-CN"/>
        </w:rPr>
        <w:t>材料</w:t>
      </w:r>
      <w:r>
        <w:rPr>
          <w:rFonts w:hint="eastAsia" w:ascii="宋体" w:hAnsi="宋体" w:cs="宋体"/>
          <w:color w:val="auto"/>
          <w:szCs w:val="21"/>
          <w:highlight w:val="none"/>
          <w:u w:val="none"/>
        </w:rPr>
        <w:t>、涉及</w:t>
      </w:r>
      <w:r>
        <w:rPr>
          <w:rFonts w:hint="eastAsia" w:ascii="宋体" w:hAnsi="宋体" w:cs="宋体"/>
          <w:color w:val="auto"/>
          <w:szCs w:val="21"/>
          <w:highlight w:val="none"/>
          <w:u w:val="none"/>
          <w:lang w:eastAsia="zh-CN"/>
        </w:rPr>
        <w:t>商业秘密</w:t>
      </w:r>
      <w:r>
        <w:rPr>
          <w:rFonts w:hint="eastAsia" w:ascii="宋体" w:hAnsi="宋体" w:cs="宋体"/>
          <w:color w:val="auto"/>
          <w:szCs w:val="21"/>
          <w:highlight w:val="none"/>
          <w:u w:val="none"/>
        </w:rPr>
        <w:t>、非</w:t>
      </w:r>
      <w:r>
        <w:rPr>
          <w:rFonts w:hint="eastAsia" w:ascii="宋体" w:hAnsi="宋体" w:cs="宋体"/>
          <w:color w:val="auto"/>
          <w:szCs w:val="21"/>
          <w:highlight w:val="none"/>
          <w:u w:val="none"/>
          <w:lang w:eastAsia="zh-CN"/>
        </w:rPr>
        <w:t>书面形式</w:t>
      </w:r>
      <w:r>
        <w:rPr>
          <w:rFonts w:hint="eastAsia" w:ascii="宋体" w:hAnsi="宋体" w:cs="宋体"/>
          <w:color w:val="auto"/>
          <w:szCs w:val="21"/>
          <w:highlight w:val="none"/>
          <w:u w:val="none"/>
        </w:rPr>
        <w:t>、非</w:t>
      </w:r>
      <w:r>
        <w:rPr>
          <w:rFonts w:hint="eastAsia" w:ascii="宋体" w:hAnsi="宋体" w:cs="宋体"/>
          <w:color w:val="auto"/>
          <w:szCs w:val="21"/>
          <w:highlight w:val="none"/>
          <w:u w:val="none"/>
          <w:lang w:eastAsia="zh-CN"/>
        </w:rPr>
        <w:t>送达</w:t>
      </w:r>
      <w:r>
        <w:rPr>
          <w:rFonts w:hint="eastAsia" w:ascii="宋体" w:hAnsi="宋体" w:cs="宋体"/>
          <w:color w:val="auto"/>
          <w:szCs w:val="21"/>
          <w:highlight w:val="none"/>
          <w:u w:val="none"/>
        </w:rPr>
        <w:t>、匿名的《质疑函》</w:t>
      </w:r>
      <w:r>
        <w:rPr>
          <w:rFonts w:hint="eastAsia" w:ascii="宋体" w:hAnsi="宋体" w:cs="宋体"/>
          <w:color w:val="auto"/>
          <w:szCs w:val="21"/>
          <w:highlight w:val="none"/>
          <w:u w:val="none"/>
          <w:lang w:eastAsia="zh-CN"/>
        </w:rPr>
        <w:t>，将</w:t>
      </w:r>
      <w:r>
        <w:rPr>
          <w:rFonts w:hint="eastAsia" w:ascii="宋体" w:hAnsi="宋体" w:cs="宋体"/>
          <w:color w:val="auto"/>
          <w:szCs w:val="21"/>
          <w:highlight w:val="none"/>
          <w:u w:val="none"/>
        </w:rPr>
        <w:t>不予受理。</w:t>
      </w:r>
    </w:p>
    <w:p w14:paraId="59291629">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相关佐证材料要具备客观性、关联性、合法性，无法查实的（如宣传册、媒体报道、猜测、推理等）不能作为佐证材料。</w:t>
      </w:r>
    </w:p>
    <w:p w14:paraId="23ED6372">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采购单位或采购代理机构不负责搜集相关佐证材料等工作。</w:t>
      </w:r>
    </w:p>
    <w:p w14:paraId="0788CDF6">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（二）《质疑函》的受理和回复</w:t>
      </w:r>
    </w:p>
    <w:p w14:paraId="1060486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1.《质疑函》须由质疑人的法定代表人或参加本次磋</w:t>
      </w:r>
      <w:r>
        <w:rPr>
          <w:rFonts w:hint="eastAsia" w:ascii="宋体" w:hAnsi="宋体" w:cs="宋体"/>
          <w:color w:val="auto"/>
          <w:szCs w:val="21"/>
          <w:highlight w:val="none"/>
          <w:u w:val="none"/>
          <w:lang w:eastAsia="zh-CN"/>
        </w:rPr>
        <w:t>商的</w:t>
      </w:r>
      <w:r>
        <w:rPr>
          <w:rFonts w:hint="eastAsia" w:ascii="宋体" w:hAnsi="宋体" w:cs="宋体"/>
          <w:color w:val="auto"/>
          <w:szCs w:val="21"/>
          <w:highlight w:val="none"/>
          <w:u w:val="none"/>
        </w:rPr>
        <w:t>被授权人送达采购单位和采购代理机构。质疑答复依据《政府采购质疑和投诉办法》（财政部令第94号）。采购人或采购代理机构</w:t>
      </w:r>
      <w:r>
        <w:rPr>
          <w:rFonts w:hint="eastAsia" w:ascii="宋体" w:hAnsi="宋体" w:cs="宋体"/>
          <w:color w:val="auto"/>
          <w:szCs w:val="21"/>
          <w:highlight w:val="none"/>
          <w:u w:val="none"/>
          <w:lang w:eastAsia="zh-CN"/>
        </w:rPr>
        <w:t>的质疑</w:t>
      </w:r>
      <w:r>
        <w:rPr>
          <w:rFonts w:hint="eastAsia" w:ascii="宋体" w:hAnsi="宋体" w:cs="宋体"/>
          <w:color w:val="auto"/>
          <w:szCs w:val="21"/>
          <w:highlight w:val="none"/>
          <w:u w:val="none"/>
        </w:rPr>
        <w:t>接收人及联系方式，见磋商</w:t>
      </w:r>
      <w:r>
        <w:rPr>
          <w:rFonts w:hint="eastAsia"/>
          <w:color w:val="auto"/>
          <w:szCs w:val="21"/>
          <w:highlight w:val="none"/>
          <w:u w:val="none"/>
        </w:rPr>
        <w:t>文件第一部分。</w:t>
      </w:r>
    </w:p>
    <w:p w14:paraId="55A933E8">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p>
    <w:p w14:paraId="2FB7DEFD">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3.对不符合质疑要求的，出具《质疑退回通知书》并提出相关补充材料要求，质疑人未在规定的时间内提供补充佐证材料的，视同放弃质疑。</w:t>
      </w:r>
    </w:p>
    <w:p w14:paraId="6E81BD7B">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4.采购单位、采购代理机构负责将质疑人提出的质疑相关材料提供给相关专家或评审小组审核，并将审核意见回复质疑人。</w:t>
      </w:r>
    </w:p>
    <w:p w14:paraId="7CBDC370">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5.因质疑情况复杂，组织论证或审查时间较</w:t>
      </w:r>
      <w:r>
        <w:rPr>
          <w:rFonts w:hint="eastAsia" w:ascii="宋体" w:hAnsi="宋体" w:cs="宋体"/>
          <w:color w:val="auto"/>
          <w:szCs w:val="21"/>
          <w:highlight w:val="none"/>
          <w:u w:val="none"/>
          <w:lang w:eastAsia="zh-CN"/>
        </w:rPr>
        <w:t>长</w:t>
      </w:r>
      <w:r>
        <w:rPr>
          <w:rFonts w:hint="eastAsia" w:ascii="宋体" w:hAnsi="宋体" w:cs="宋体"/>
          <w:color w:val="auto"/>
          <w:szCs w:val="21"/>
          <w:highlight w:val="none"/>
          <w:u w:val="none"/>
        </w:rPr>
        <w:t>，采购单位、采购代理机构以书面形式通知质疑人，可适当延长质疑回复处理时间。</w:t>
      </w:r>
    </w:p>
    <w:p w14:paraId="459708BC">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（三）质疑处理</w:t>
      </w:r>
    </w:p>
    <w:p w14:paraId="1627A06A">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1.</w:t>
      </w:r>
      <w:r>
        <w:rPr>
          <w:rFonts w:hint="eastAsia" w:ascii="宋体" w:hAnsi="宋体"/>
          <w:color w:val="auto"/>
          <w:szCs w:val="21"/>
          <w:highlight w:val="none"/>
          <w:u w:val="none"/>
        </w:rPr>
        <w:t>代理机构收到质疑函后，将对质疑</w:t>
      </w:r>
      <w:r>
        <w:rPr>
          <w:rFonts w:hint="eastAsia" w:ascii="宋体" w:hAnsi="宋体"/>
          <w:color w:val="auto"/>
          <w:szCs w:val="21"/>
          <w:highlight w:val="none"/>
          <w:u w:val="none"/>
          <w:lang w:val="en-US" w:eastAsia="zh-CN"/>
        </w:rPr>
        <w:t>函</w:t>
      </w:r>
      <w:r>
        <w:rPr>
          <w:rFonts w:hint="eastAsia" w:ascii="宋体" w:hAnsi="宋体"/>
          <w:color w:val="auto"/>
          <w:szCs w:val="21"/>
          <w:highlight w:val="none"/>
          <w:u w:val="none"/>
        </w:rPr>
        <w:t>的形式和内容进行审查，如质疑函内容、格式不符合规定，代理机构将告知质疑人进行补正。</w:t>
      </w:r>
    </w:p>
    <w:p w14:paraId="1AC57FBA">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2.</w:t>
      </w:r>
      <w:r>
        <w:rPr>
          <w:rFonts w:hint="eastAsia" w:ascii="宋体" w:hAnsi="宋体"/>
          <w:color w:val="auto"/>
          <w:szCs w:val="21"/>
          <w:highlight w:val="none"/>
          <w:u w:val="none"/>
        </w:rPr>
        <w:t>质疑人应当在法定质疑期限内进行补正并重新提交质疑函，拒不补正或者在法定期限内未重新提交质疑函的，为无效质疑，代理机构有权不予受理。</w:t>
      </w:r>
    </w:p>
    <w:p w14:paraId="00D78E82">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rPr>
      </w:pPr>
      <w:r>
        <w:rPr>
          <w:rFonts w:hint="eastAsia" w:ascii="宋体" w:hAnsi="宋体" w:eastAsia="宋体" w:cs="Times New Roman"/>
          <w:color w:val="auto"/>
          <w:szCs w:val="21"/>
          <w:highlight w:val="none"/>
          <w:u w:val="none"/>
          <w:lang w:val="en-US" w:eastAsia="zh-CN"/>
        </w:rPr>
        <w:t>3.</w:t>
      </w:r>
      <w:r>
        <w:rPr>
          <w:rFonts w:hint="eastAsia" w:ascii="宋体" w:hAnsi="宋体" w:eastAsia="宋体" w:cs="Times New Roman"/>
          <w:color w:val="auto"/>
          <w:szCs w:val="21"/>
          <w:highlight w:val="none"/>
          <w:u w:val="none"/>
        </w:rPr>
        <w:t>对于内容、格式符合规定的质疑函，代理机构将在收到参加磋商供应商的书面质疑后七个工作日内作出答复，并以书面形式通知质疑供应商和其他相关供应商，答复的内容不涉及商业秘密。</w:t>
      </w:r>
    </w:p>
    <w:p w14:paraId="522FC5A9">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eastAsia="宋体" w:cs="Times New Roman"/>
          <w:color w:val="auto"/>
          <w:szCs w:val="21"/>
          <w:highlight w:val="none"/>
          <w:u w:val="none"/>
          <w:lang w:val="en-US" w:eastAsia="zh-CN"/>
        </w:rPr>
        <w:t>4.</w:t>
      </w:r>
      <w:r>
        <w:rPr>
          <w:rFonts w:hint="eastAsia" w:ascii="宋体" w:hAnsi="宋体" w:eastAsia="宋体" w:cs="Times New Roman"/>
          <w:color w:val="auto"/>
          <w:szCs w:val="21"/>
          <w:highlight w:val="none"/>
          <w:u w:val="none"/>
        </w:rPr>
        <w:t>供应商提出书面质疑必须有理、有据，不得恶意质疑或提交虚假质疑。否则，一经查实，代理机构有权依据政府采购的有关规定，报请政</w:t>
      </w:r>
      <w:r>
        <w:rPr>
          <w:rFonts w:hint="eastAsia" w:ascii="宋体" w:hAnsi="宋体"/>
          <w:color w:val="auto"/>
          <w:szCs w:val="21"/>
          <w:highlight w:val="none"/>
          <w:u w:val="none"/>
        </w:rPr>
        <w:t>府采购监管部门对该供应商进行相应的行政处罚。</w:t>
      </w:r>
    </w:p>
    <w:p w14:paraId="7787CF2B">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2" w:firstLineChars="200"/>
        <w:jc w:val="both"/>
        <w:textAlignment w:val="baseline"/>
        <w:rPr>
          <w:rFonts w:hint="eastAsia" w:ascii="宋体" w:hAnsi="宋体" w:eastAsia="宋体" w:cs="宋体"/>
          <w:b/>
          <w:bCs/>
          <w:color w:val="auto"/>
          <w:kern w:val="2"/>
          <w:sz w:val="21"/>
          <w:szCs w:val="24"/>
          <w:highlight w:val="none"/>
          <w:u w:val="none"/>
          <w:vertAlign w:val="baseline"/>
          <w:lang w:val="en-US" w:eastAsia="zh-CN" w:bidi="ar"/>
        </w:rPr>
      </w:pPr>
      <w:r>
        <w:rPr>
          <w:rFonts w:hint="eastAsia" w:ascii="宋体" w:hAnsi="宋体" w:cs="宋体"/>
          <w:b/>
          <w:bCs/>
          <w:color w:val="auto"/>
          <w:kern w:val="2"/>
          <w:sz w:val="21"/>
          <w:szCs w:val="24"/>
          <w:highlight w:val="none"/>
          <w:u w:val="none"/>
          <w:vertAlign w:val="baseline"/>
          <w:lang w:val="en-US" w:eastAsia="zh-CN" w:bidi="ar"/>
        </w:rPr>
        <w:t>九</w:t>
      </w:r>
      <w:r>
        <w:rPr>
          <w:rFonts w:hint="eastAsia" w:ascii="宋体" w:hAnsi="宋体" w:eastAsia="宋体" w:cs="宋体"/>
          <w:b/>
          <w:bCs/>
          <w:color w:val="auto"/>
          <w:kern w:val="2"/>
          <w:sz w:val="21"/>
          <w:szCs w:val="24"/>
          <w:highlight w:val="none"/>
          <w:u w:val="none"/>
          <w:vertAlign w:val="baseline"/>
          <w:lang w:val="en-US" w:eastAsia="zh-CN" w:bidi="ar"/>
        </w:rPr>
        <w:t>、其他事项说明：</w:t>
      </w:r>
    </w:p>
    <w:p w14:paraId="47C2F587">
      <w:pPr>
        <w:pageBreakBefore w:val="0"/>
        <w:kinsoku/>
        <w:bidi w:val="0"/>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采购项目需要落实的政府采购相关法律法规及政策：</w:t>
      </w:r>
    </w:p>
    <w:p w14:paraId="636496EB">
      <w:pPr>
        <w:pageBreakBefore w:val="0"/>
        <w:kinsoku/>
        <w:bidi w:val="0"/>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1.《中华人民共和国政府采购法》</w:t>
      </w:r>
    </w:p>
    <w:p w14:paraId="32AA35EA">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2.《中华人民共和国政府采购法实施条例》</w:t>
      </w:r>
    </w:p>
    <w:p w14:paraId="2D6D19F6">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3.《政府采购竞争性磋商采购方式管理暂行办法》</w:t>
      </w:r>
    </w:p>
    <w:p w14:paraId="05911404">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 xml:space="preserve">4.《政府采购促进中小企业发展管理办法》（财库〔2020〕46号） </w:t>
      </w:r>
    </w:p>
    <w:p w14:paraId="6C972EC8">
      <w:pPr>
        <w:pageBreakBefore w:val="0"/>
        <w:kinsoku/>
        <w:overflowPunct/>
        <w:bidi w:val="0"/>
        <w:snapToGrid w:val="0"/>
        <w:spacing w:line="360" w:lineRule="auto"/>
        <w:ind w:firstLine="422" w:firstLineChars="200"/>
        <w:textAlignment w:val="baseline"/>
        <w:rPr>
          <w:rFonts w:ascii="宋体" w:hAnsi="宋体" w:cs="宋体"/>
          <w:b/>
          <w:bCs/>
          <w:highlight w:val="none"/>
          <w:lang w:bidi="ar"/>
        </w:rPr>
      </w:pPr>
      <w:r>
        <w:rPr>
          <w:rFonts w:hint="eastAsia" w:ascii="宋体" w:hAnsi="宋体" w:cs="宋体"/>
          <w:b/>
          <w:bCs/>
          <w:highlight w:val="none"/>
          <w:lang w:bidi="ar"/>
        </w:rPr>
        <w:t>4.1小微型企业价格扣除</w:t>
      </w:r>
    </w:p>
    <w:p w14:paraId="22F7018F">
      <w:pPr>
        <w:pageBreakBefore w:val="0"/>
        <w:kinsoku/>
        <w:overflowPunct/>
        <w:bidi w:val="0"/>
        <w:snapToGrid w:val="0"/>
        <w:spacing w:line="360" w:lineRule="auto"/>
        <w:ind w:firstLine="422" w:firstLineChars="200"/>
        <w:textAlignment w:val="baseline"/>
        <w:rPr>
          <w:rFonts w:ascii="宋体" w:hAnsi="宋体" w:cs="宋体"/>
          <w:b/>
          <w:bCs/>
          <w:highlight w:val="none"/>
          <w:lang w:bidi="ar"/>
        </w:rPr>
      </w:pPr>
      <w:r>
        <w:rPr>
          <w:rFonts w:hint="eastAsia" w:ascii="宋体" w:hAnsi="宋体" w:cs="宋体"/>
          <w:b/>
          <w:bCs/>
          <w:highlight w:val="none"/>
          <w:lang w:bidi="ar"/>
        </w:rPr>
        <w:t>（1）本项目</w:t>
      </w:r>
      <w:r>
        <w:rPr>
          <w:rFonts w:hint="eastAsia" w:ascii="宋体" w:hAnsi="宋体" w:cs="宋体"/>
          <w:b/>
          <w:bCs/>
          <w:highlight w:val="none"/>
          <w:lang w:val="en-US" w:eastAsia="zh-CN" w:bidi="ar"/>
        </w:rPr>
        <w:t>专门面向中小微企业，不</w:t>
      </w:r>
      <w:r>
        <w:rPr>
          <w:rFonts w:hint="eastAsia" w:ascii="宋体" w:hAnsi="宋体" w:cs="宋体"/>
          <w:b/>
          <w:bCs/>
          <w:highlight w:val="none"/>
          <w:lang w:bidi="ar"/>
        </w:rPr>
        <w:t>对小型和微型企业提供的服务（产品）</w:t>
      </w:r>
      <w:r>
        <w:rPr>
          <w:rFonts w:hint="eastAsia" w:ascii="宋体" w:hAnsi="宋体" w:cs="宋体"/>
          <w:b/>
          <w:bCs/>
          <w:highlight w:val="none"/>
          <w:lang w:val="en-US" w:eastAsia="zh-CN" w:bidi="ar"/>
        </w:rPr>
        <w:t>给予</w:t>
      </w:r>
      <w:r>
        <w:rPr>
          <w:rFonts w:hint="eastAsia" w:ascii="宋体" w:hAnsi="宋体" w:cs="宋体"/>
          <w:b/>
          <w:bCs/>
          <w:highlight w:val="none"/>
          <w:lang w:bidi="ar"/>
        </w:rPr>
        <w:t>价格扣除。</w:t>
      </w:r>
    </w:p>
    <w:p w14:paraId="6E07C0AC">
      <w:pPr>
        <w:pageBreakBefore w:val="0"/>
        <w:kinsoku/>
        <w:overflowPunct/>
        <w:bidi w:val="0"/>
        <w:snapToGrid w:val="0"/>
        <w:spacing w:line="360" w:lineRule="auto"/>
        <w:ind w:firstLine="422" w:firstLineChars="200"/>
        <w:textAlignment w:val="baseline"/>
        <w:rPr>
          <w:rFonts w:ascii="宋体" w:hAnsi="宋体" w:cs="宋体"/>
          <w:b/>
          <w:bCs/>
          <w:highlight w:val="none"/>
          <w:lang w:bidi="ar"/>
        </w:rPr>
      </w:pPr>
      <w:r>
        <w:rPr>
          <w:rFonts w:hint="eastAsia" w:ascii="宋体" w:hAnsi="宋体" w:cs="宋体"/>
          <w:b/>
          <w:bCs/>
          <w:highlight w:val="none"/>
          <w:lang w:bidi="ar"/>
        </w:rPr>
        <w:t>（2）供应商需按照采购文件的要求提供相应的《小微企业声明函》。</w:t>
      </w:r>
    </w:p>
    <w:p w14:paraId="5E9F53BD">
      <w:pPr>
        <w:pageBreakBefore w:val="0"/>
        <w:kinsoku/>
        <w:overflowPunct/>
        <w:bidi w:val="0"/>
        <w:snapToGrid w:val="0"/>
        <w:spacing w:line="360" w:lineRule="auto"/>
        <w:ind w:firstLine="422" w:firstLineChars="200"/>
        <w:textAlignment w:val="baseline"/>
        <w:rPr>
          <w:rFonts w:ascii="宋体" w:hAnsi="宋体" w:cs="宋体"/>
          <w:b/>
          <w:bCs/>
          <w:highlight w:val="none"/>
          <w:lang w:bidi="ar"/>
        </w:rPr>
      </w:pPr>
      <w:r>
        <w:rPr>
          <w:rFonts w:hint="eastAsia" w:ascii="宋体" w:hAnsi="宋体" w:cs="宋体"/>
          <w:b/>
          <w:bCs/>
          <w:highlight w:val="none"/>
          <w:lang w:bidi="ar"/>
        </w:rPr>
        <w:t>（3）企业标准请参照《关于印发中小企业划型标准规定的通知》（工信部联企业〔2011〕300号）文件规定自行填写。</w:t>
      </w:r>
    </w:p>
    <w:p w14:paraId="0AC7E12C">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4.2监狱和戒毒企业价格扣除</w:t>
      </w:r>
    </w:p>
    <w:p w14:paraId="18C43A15">
      <w:pPr>
        <w:pageBreakBefore w:val="0"/>
        <w:numPr>
          <w:ilvl w:val="0"/>
          <w:numId w:val="3"/>
        </w:numPr>
        <w:tabs>
          <w:tab w:val="left" w:pos="900"/>
        </w:tabs>
        <w:kinsoku/>
        <w:topLinePunct w:val="0"/>
        <w:bidi w:val="0"/>
        <w:spacing w:line="360" w:lineRule="auto"/>
        <w:ind w:firstLine="420" w:firstLineChars="200"/>
        <w:rPr>
          <w:rFonts w:hint="eastAsia" w:ascii="宋体" w:hAnsi="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本项目对监狱和戒毒企业（简称监狱企业）视同小型、微型企业</w:t>
      </w:r>
      <w:r>
        <w:rPr>
          <w:rFonts w:hint="eastAsia" w:ascii="宋体" w:hAnsi="宋体" w:cs="Times New Roman"/>
          <w:color w:val="auto"/>
          <w:szCs w:val="21"/>
          <w:highlight w:val="none"/>
          <w:u w:val="none"/>
          <w:lang w:val="en-US" w:eastAsia="zh-CN"/>
        </w:rPr>
        <w:t>；</w:t>
      </w:r>
    </w:p>
    <w:p w14:paraId="1ED045E4">
      <w:pPr>
        <w:pageBreakBefore w:val="0"/>
        <w:numPr>
          <w:ilvl w:val="0"/>
          <w:numId w:val="3"/>
        </w:numPr>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监狱企业参加政府采购活动时，需提供由省级以上监狱管理局、戒毒管理局（含新疆生产建设兵团）出具的属于监狱企业的证明文件。</w:t>
      </w:r>
    </w:p>
    <w:p w14:paraId="5D04DC1A">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（3）监狱企业标准请参照《关于政府采购支持监狱企业发展有关问题的通知》（财库〔2014〕68号）。</w:t>
      </w:r>
    </w:p>
    <w:p w14:paraId="0A091E2C">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4.3残疾人福利单位价格扣除</w:t>
      </w:r>
    </w:p>
    <w:p w14:paraId="0CC114D1">
      <w:pPr>
        <w:pageBreakBefore w:val="0"/>
        <w:numPr>
          <w:ilvl w:val="0"/>
          <w:numId w:val="4"/>
        </w:numPr>
        <w:tabs>
          <w:tab w:val="left" w:pos="900"/>
        </w:tabs>
        <w:kinsoku/>
        <w:topLinePunct w:val="0"/>
        <w:bidi w:val="0"/>
        <w:spacing w:line="360" w:lineRule="auto"/>
        <w:ind w:firstLine="420" w:firstLineChars="200"/>
        <w:rPr>
          <w:rFonts w:hint="eastAsia" w:ascii="宋体" w:hAnsi="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本项目对残疾人福利性单位视同小型、微型企业</w:t>
      </w:r>
      <w:r>
        <w:rPr>
          <w:rFonts w:hint="eastAsia" w:ascii="宋体" w:hAnsi="宋体" w:cs="Times New Roman"/>
          <w:color w:val="auto"/>
          <w:szCs w:val="21"/>
          <w:highlight w:val="none"/>
          <w:u w:val="none"/>
          <w:lang w:val="en-US" w:eastAsia="zh-CN"/>
        </w:rPr>
        <w:t>。</w:t>
      </w:r>
    </w:p>
    <w:p w14:paraId="77B64EC3">
      <w:pPr>
        <w:pageBreakBefore w:val="0"/>
        <w:numPr>
          <w:ilvl w:val="0"/>
          <w:numId w:val="4"/>
        </w:numPr>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（2）残疾人福利单位需按照采购文件的要求提供《残疾人福利性单位声明函》。</w:t>
      </w:r>
    </w:p>
    <w:p w14:paraId="420F9A4B">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（3）残疾人福利单位标准请参照《关于促进残疾人就业政府采购政策的通知》（财库〔2017〕141号）。</w:t>
      </w:r>
    </w:p>
    <w:p w14:paraId="6388A10F">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5.《江苏省财政厅关于进一步加大政府采购支持中小企业力度的通知》苏财购〔2022〕45号</w:t>
      </w:r>
    </w:p>
    <w:p w14:paraId="159DCA75">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6.根据《江苏省财政厅关于加强政府绿色采购有关事项的通知》（苏财购〔2023〕65号）文件</w:t>
      </w:r>
      <w:r>
        <w:rPr>
          <w:rFonts w:hint="eastAsia" w:ascii="宋体" w:hAnsi="宋体" w:cs="宋体"/>
          <w:color w:val="auto"/>
          <w:highlight w:val="none"/>
          <w:u w:val="none"/>
        </w:rPr>
        <w:t>精神，</w:t>
      </w:r>
      <w:r>
        <w:rPr>
          <w:rFonts w:hint="eastAsia" w:ascii="宋体" w:hAnsi="宋体" w:eastAsia="宋体" w:cs="Times New Roman"/>
          <w:color w:val="auto"/>
          <w:szCs w:val="21"/>
          <w:highlight w:val="none"/>
          <w:u w:val="none"/>
          <w:lang w:val="en-US" w:eastAsia="zh-CN"/>
        </w:rPr>
        <w:t>严格落实政府绿色采购的各项要求。</w:t>
      </w:r>
    </w:p>
    <w:p w14:paraId="79764970">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7.节能环保</w:t>
      </w:r>
    </w:p>
    <w:p w14:paraId="4CC1971A">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本项目中如有涉及节能环保产品要求的，应当按照《财政部、发展改革委、生态环境部、市场监管总局关于调整优化节能产品、环境标志产品政府采购执行机制的通知》（财库〔2019〕9号）文件执行。</w:t>
      </w:r>
    </w:p>
    <w:p w14:paraId="6D74AC1E">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8.需求标准</w:t>
      </w:r>
    </w:p>
    <w:p w14:paraId="2E495131">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本项目中如有涉及商品包装、快递包装的，应当按照《关于印发〈商品包装政府采购需求标准（试行）〉、〈快递包装政府采购需求标准（试行）〉的通知》（财办库〔2020〕123号）执行。</w:t>
      </w:r>
    </w:p>
    <w:p w14:paraId="695FC08A">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本项目中如有涉及采购数据中心相关设备、运维服务的，应当按照《关于印发〈绿色数据中心政府采购需求标准（试行）〉的通知》（财办库〔2023〕7号）执行。</w:t>
      </w:r>
    </w:p>
    <w:p w14:paraId="69D06724">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本项目中如有涉及数据库、操作系统、通用服务器、工作站、一体式</w:t>
      </w:r>
      <w:r>
        <w:rPr>
          <w:rFonts w:hint="eastAsia" w:ascii="宋体" w:hAnsi="宋体" w:cs="宋体"/>
          <w:color w:val="auto"/>
          <w:highlight w:val="none"/>
          <w:u w:val="none"/>
        </w:rPr>
        <w:t>计算机、便携式计算机、台式计</w:t>
      </w:r>
      <w:r>
        <w:rPr>
          <w:rFonts w:hint="eastAsia" w:ascii="宋体" w:hAnsi="宋体" w:eastAsia="宋体" w:cs="Times New Roman"/>
          <w:color w:val="auto"/>
          <w:szCs w:val="21"/>
          <w:highlight w:val="none"/>
          <w:u w:val="none"/>
          <w:lang w:val="en-US" w:eastAsia="zh-CN"/>
        </w:rPr>
        <w:t>算机等七种软硬件的，应当按照财政部、工信部共同发布的数据库、操作系统、通用服务器、工作站、一体式计算机、便携式计算机、台式计算机等七种软硬件需求标准执行。</w:t>
      </w:r>
    </w:p>
    <w:p w14:paraId="66514C9E">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9.</w:t>
      </w:r>
      <w:r>
        <w:rPr>
          <w:rFonts w:hint="eastAsia" w:ascii="宋体" w:hAnsi="宋体" w:cs="宋体"/>
          <w:color w:val="auto"/>
          <w:highlight w:val="none"/>
          <w:u w:val="none"/>
        </w:rPr>
        <w:t>《江苏省财政厅转发财政部关于推动解决政府采购异常低价问题的通知》（苏财购〔202</w:t>
      </w:r>
      <w:r>
        <w:rPr>
          <w:rFonts w:hint="eastAsia" w:ascii="宋体" w:hAnsi="宋体" w:cs="宋体"/>
          <w:color w:val="auto"/>
          <w:highlight w:val="none"/>
          <w:u w:val="none"/>
          <w:lang w:val="en-US" w:eastAsia="zh-CN"/>
        </w:rPr>
        <w:t>6</w:t>
      </w:r>
      <w:r>
        <w:rPr>
          <w:rFonts w:hint="eastAsia" w:ascii="宋体" w:hAnsi="宋体" w:cs="宋体"/>
          <w:color w:val="auto"/>
          <w:highlight w:val="none"/>
          <w:u w:val="none"/>
        </w:rPr>
        <w:t>〕</w:t>
      </w:r>
      <w:r>
        <w:rPr>
          <w:rFonts w:hint="eastAsia" w:ascii="宋体" w:hAnsi="宋体" w:cs="宋体"/>
          <w:color w:val="auto"/>
          <w:highlight w:val="none"/>
          <w:u w:val="none"/>
          <w:lang w:val="en-US" w:eastAsia="zh-CN"/>
        </w:rPr>
        <w:t>36</w:t>
      </w:r>
      <w:r>
        <w:rPr>
          <w:rFonts w:hint="eastAsia" w:ascii="宋体" w:hAnsi="宋体" w:cs="宋体"/>
          <w:color w:val="auto"/>
          <w:highlight w:val="none"/>
          <w:u w:val="none"/>
        </w:rPr>
        <w:t>号）</w:t>
      </w:r>
      <w:r>
        <w:rPr>
          <w:rFonts w:hint="eastAsia" w:ascii="宋体" w:hAnsi="宋体" w:eastAsia="宋体" w:cs="Times New Roman"/>
          <w:color w:val="auto"/>
          <w:szCs w:val="21"/>
          <w:highlight w:val="none"/>
          <w:u w:val="none"/>
          <w:lang w:val="en-US" w:eastAsia="zh-CN"/>
        </w:rPr>
        <w:t>。</w:t>
      </w:r>
    </w:p>
    <w:p w14:paraId="1D52564E">
      <w:pPr>
        <w:pageBreakBefore w:val="0"/>
        <w:tabs>
          <w:tab w:val="left" w:pos="900"/>
        </w:tabs>
        <w:kinsoku/>
        <w:topLinePunct w:val="0"/>
        <w:bidi w:val="0"/>
        <w:spacing w:line="360" w:lineRule="auto"/>
        <w:ind w:firstLine="420" w:firstLineChars="200"/>
        <w:rPr>
          <w:rFonts w:hint="eastAsia" w:ascii="宋体" w:hAnsi="宋体" w:eastAsia="宋体" w:cs="Times New Roman"/>
          <w:color w:val="auto"/>
          <w:szCs w:val="21"/>
          <w:highlight w:val="none"/>
          <w:u w:val="none"/>
          <w:lang w:val="en-US" w:eastAsia="zh-CN"/>
        </w:rPr>
      </w:pPr>
      <w:r>
        <w:rPr>
          <w:rFonts w:hint="eastAsia" w:ascii="宋体" w:hAnsi="宋体" w:eastAsia="宋体" w:cs="Times New Roman"/>
          <w:color w:val="auto"/>
          <w:szCs w:val="21"/>
          <w:highlight w:val="none"/>
          <w:u w:val="none"/>
          <w:lang w:val="en-US" w:eastAsia="zh-CN"/>
        </w:rPr>
        <w:t>10.《国务院办公厅关于在政府采购中实施本国产品标准及相关政策的通知》（国办发〔2025〕34号）</w:t>
      </w:r>
    </w:p>
    <w:p w14:paraId="4C473CB6">
      <w:pPr>
        <w:pageBreakBefore w:val="0"/>
        <w:kinsoku/>
        <w:bidi w:val="0"/>
        <w:spacing w:line="360" w:lineRule="auto"/>
        <w:ind w:firstLine="482"/>
        <w:rPr>
          <w:rFonts w:hint="eastAsia" w:ascii="宋体" w:hAnsi="宋体" w:cs="宋体"/>
          <w:color w:val="FF0000"/>
          <w:szCs w:val="21"/>
          <w:highlight w:val="none"/>
        </w:rPr>
      </w:pPr>
      <w:r>
        <w:rPr>
          <w:rFonts w:hint="eastAsia" w:ascii="宋体" w:hAnsi="宋体" w:cs="宋体"/>
          <w:b/>
          <w:bCs/>
          <w:color w:val="FF0000"/>
          <w:szCs w:val="21"/>
          <w:highlight w:val="none"/>
        </w:rPr>
        <w:t>特别说明：成交供应商在下载成交通知书后7个工作日内提供</w:t>
      </w:r>
      <w:r>
        <w:rPr>
          <w:rFonts w:hint="eastAsia" w:ascii="宋体" w:hAnsi="宋体" w:cs="宋体"/>
          <w:b/>
          <w:bCs/>
          <w:color w:val="FF0000"/>
          <w:szCs w:val="21"/>
          <w:highlight w:val="none"/>
          <w:u w:val="single"/>
        </w:rPr>
        <w:t>3套</w:t>
      </w:r>
      <w:r>
        <w:rPr>
          <w:rFonts w:hint="eastAsia" w:ascii="宋体" w:hAnsi="宋体" w:cs="宋体"/>
          <w:b/>
          <w:bCs/>
          <w:color w:val="FF0000"/>
          <w:szCs w:val="21"/>
          <w:highlight w:val="none"/>
        </w:rPr>
        <w:t>加盖红章的系统内打印的纸质响应文件给采购代理机构。</w:t>
      </w:r>
    </w:p>
    <w:p w14:paraId="5DDB9FB9">
      <w:pPr>
        <w:pageBreakBefore w:val="0"/>
        <w:kinsoku/>
        <w:bidi w:val="0"/>
        <w:snapToGrid w:val="0"/>
        <w:spacing w:line="360" w:lineRule="auto"/>
        <w:ind w:firstLine="422" w:firstLineChars="200"/>
        <w:textAlignment w:val="baseline"/>
        <w:rPr>
          <w:rFonts w:hint="eastAsia" w:ascii="宋体" w:hAnsi="宋体" w:eastAsia="宋体"/>
          <w:b/>
          <w:color w:val="auto"/>
          <w:sz w:val="21"/>
          <w:szCs w:val="21"/>
          <w:highlight w:val="none"/>
        </w:rPr>
        <w:sectPr>
          <w:footerReference r:id="rId7" w:type="default"/>
          <w:pgSz w:w="11906" w:h="16838"/>
          <w:pgMar w:top="1440" w:right="1080" w:bottom="1440" w:left="108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宋体" w:hAnsi="宋体" w:eastAsia="宋体"/>
          <w:b/>
          <w:color w:val="auto"/>
          <w:sz w:val="21"/>
          <w:szCs w:val="21"/>
          <w:highlight w:val="none"/>
        </w:rPr>
        <w:t xml:space="preserve"> </w:t>
      </w:r>
    </w:p>
    <w:p w14:paraId="486CE685">
      <w:pPr>
        <w:pStyle w:val="5"/>
        <w:pageBreakBefore w:val="0"/>
        <w:numPr>
          <w:ilvl w:val="0"/>
          <w:numId w:val="5"/>
        </w:numPr>
        <w:kinsoku/>
        <w:bidi w:val="0"/>
        <w:spacing w:line="360" w:lineRule="auto"/>
        <w:ind w:firstLine="422" w:firstLineChars="200"/>
        <w:jc w:val="center"/>
        <w:rPr>
          <w:rFonts w:hint="eastAsia" w:ascii="宋体" w:hAnsi="宋体" w:eastAsia="宋体"/>
          <w:b/>
          <w:sz w:val="21"/>
          <w:szCs w:val="21"/>
          <w:highlight w:val="none"/>
        </w:rPr>
      </w:pPr>
      <w:r>
        <w:rPr>
          <w:rFonts w:hint="eastAsia" w:ascii="宋体" w:hAnsi="宋体" w:eastAsia="宋体"/>
          <w:b/>
          <w:sz w:val="21"/>
          <w:szCs w:val="21"/>
          <w:highlight w:val="none"/>
        </w:rPr>
        <w:t xml:space="preserve"> 合同条款及格式</w:t>
      </w:r>
      <w:bookmarkEnd w:id="41"/>
    </w:p>
    <w:p w14:paraId="14D46897">
      <w:pPr>
        <w:pStyle w:val="30"/>
        <w:pageBreakBefore w:val="0"/>
        <w:tabs>
          <w:tab w:val="left" w:pos="1050"/>
          <w:tab w:val="right" w:leader="dot" w:pos="9402"/>
        </w:tabs>
        <w:kinsoku/>
        <w:bidi w:val="0"/>
        <w:spacing w:line="360" w:lineRule="auto"/>
        <w:ind w:left="0"/>
        <w:jc w:val="center"/>
        <w:outlineLvl w:val="0"/>
        <w:rPr>
          <w:rFonts w:hint="eastAsia" w:ascii="宋体" w:hAnsi="宋体" w:cs="宋体"/>
          <w:b/>
          <w:iCs/>
          <w:szCs w:val="21"/>
          <w:highlight w:val="none"/>
        </w:rPr>
      </w:pPr>
      <w:r>
        <w:rPr>
          <w:rFonts w:hint="eastAsia" w:ascii="宋体" w:hAnsi="宋体" w:cs="宋体"/>
          <w:b/>
          <w:iCs/>
          <w:szCs w:val="21"/>
          <w:highlight w:val="none"/>
        </w:rPr>
        <w:t xml:space="preserve"> 合同授予</w:t>
      </w:r>
    </w:p>
    <w:p w14:paraId="33BD2E64">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一、成交供应商在《成交通知书》</w:t>
      </w:r>
      <w:r>
        <w:rPr>
          <w:rFonts w:hint="eastAsia" w:ascii="宋体" w:hAnsi="宋体" w:cs="宋体"/>
          <w:bCs/>
          <w:szCs w:val="21"/>
          <w:highlight w:val="none"/>
        </w:rPr>
        <w:t>发出后30日</w:t>
      </w:r>
      <w:r>
        <w:rPr>
          <w:rFonts w:hint="eastAsia" w:ascii="宋体" w:hAnsi="宋体" w:cs="宋体"/>
          <w:szCs w:val="21"/>
          <w:highlight w:val="none"/>
        </w:rPr>
        <w:t>内须按照磋商文件确定的事项签订采购合同。合同一式</w:t>
      </w:r>
      <w:r>
        <w:rPr>
          <w:rFonts w:hint="eastAsia" w:ascii="宋体" w:hAnsi="宋体" w:cs="宋体"/>
          <w:szCs w:val="21"/>
          <w:highlight w:val="none"/>
          <w:lang w:val="en-US" w:eastAsia="zh-CN"/>
        </w:rPr>
        <w:t>陆</w:t>
      </w:r>
      <w:r>
        <w:rPr>
          <w:rFonts w:hint="eastAsia" w:ascii="宋体" w:hAnsi="宋体" w:cs="宋体"/>
          <w:szCs w:val="21"/>
          <w:highlight w:val="none"/>
        </w:rPr>
        <w:t>份，采购单位</w:t>
      </w:r>
      <w:r>
        <w:rPr>
          <w:rFonts w:hint="eastAsia" w:ascii="宋体" w:hAnsi="宋体" w:cs="宋体"/>
          <w:szCs w:val="21"/>
          <w:highlight w:val="none"/>
          <w:lang w:val="en-US" w:eastAsia="zh-CN"/>
        </w:rPr>
        <w:t>四</w:t>
      </w:r>
      <w:r>
        <w:rPr>
          <w:rFonts w:hint="eastAsia" w:ascii="宋体" w:hAnsi="宋体" w:cs="宋体"/>
          <w:szCs w:val="21"/>
          <w:highlight w:val="none"/>
        </w:rPr>
        <w:t>份</w:t>
      </w:r>
      <w:r>
        <w:rPr>
          <w:rFonts w:hint="eastAsia" w:ascii="宋体" w:hAnsi="宋体" w:cs="宋体"/>
          <w:szCs w:val="21"/>
          <w:highlight w:val="none"/>
          <w:lang w:eastAsia="zh-CN"/>
        </w:rPr>
        <w:t>，</w:t>
      </w:r>
      <w:r>
        <w:rPr>
          <w:rFonts w:hint="eastAsia" w:ascii="宋体" w:hAnsi="宋体" w:cs="宋体"/>
          <w:szCs w:val="21"/>
          <w:highlight w:val="none"/>
        </w:rPr>
        <w:t xml:space="preserve">供应商两份。所签合同不得对磋商文件作实质性修改。采购单位不得向成交供应商提出不合理的要求作为签订合同的条件，不得与成交供应商私下订立背离磋商文件实质性内容的协议。 </w:t>
      </w:r>
    </w:p>
    <w:p w14:paraId="7BA97B61">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二、采购单位按合同约定积极配合成交供应商履约，成交供应商履约到位后，</w:t>
      </w:r>
      <w:r>
        <w:rPr>
          <w:rFonts w:hint="eastAsia" w:ascii="宋体" w:hAnsi="宋体" w:cs="宋体"/>
          <w:szCs w:val="21"/>
          <w:highlight w:val="none"/>
          <w:lang w:eastAsia="zh-CN"/>
        </w:rPr>
        <w:t>应</w:t>
      </w:r>
      <w:r>
        <w:rPr>
          <w:rFonts w:hint="eastAsia" w:ascii="宋体" w:hAnsi="宋体" w:cs="宋体"/>
          <w:szCs w:val="21"/>
          <w:highlight w:val="none"/>
        </w:rPr>
        <w:t>以书面形式向采购单位提出验收申请</w:t>
      </w:r>
      <w:r>
        <w:rPr>
          <w:rFonts w:hint="eastAsia" w:ascii="宋体" w:hAnsi="宋体" w:cs="宋体"/>
          <w:szCs w:val="21"/>
          <w:highlight w:val="none"/>
          <w:lang w:eastAsia="zh-CN"/>
        </w:rPr>
        <w:t>。</w:t>
      </w:r>
      <w:r>
        <w:rPr>
          <w:rFonts w:hint="eastAsia" w:ascii="宋体" w:hAnsi="宋体" w:cs="宋体"/>
          <w:szCs w:val="21"/>
          <w:highlight w:val="none"/>
        </w:rPr>
        <w:t>采购单位接到申请后</w:t>
      </w:r>
      <w:r>
        <w:rPr>
          <w:rFonts w:hint="eastAsia" w:ascii="宋体" w:hAnsi="宋体" w:cs="宋体"/>
          <w:szCs w:val="21"/>
          <w:highlight w:val="none"/>
          <w:lang w:eastAsia="zh-CN"/>
        </w:rPr>
        <w:t>，原则上</w:t>
      </w:r>
      <w:r>
        <w:rPr>
          <w:rFonts w:hint="eastAsia" w:ascii="宋体" w:hAnsi="宋体" w:cs="宋体"/>
          <w:szCs w:val="21"/>
          <w:highlight w:val="none"/>
        </w:rPr>
        <w:t>在5个工作日内及时组织相关专业技术人员，必要时邀请质检等部门共同参与验收，并出具验收报告，在法定工作日内支付相应款项。</w:t>
      </w:r>
    </w:p>
    <w:p w14:paraId="2FEF3C43">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三、采购单位故意推迟项目验收</w:t>
      </w:r>
      <w:r>
        <w:rPr>
          <w:rFonts w:hint="eastAsia" w:ascii="宋体" w:hAnsi="宋体" w:cs="宋体"/>
          <w:szCs w:val="21"/>
          <w:highlight w:val="none"/>
          <w:lang w:eastAsia="zh-CN"/>
        </w:rPr>
        <w:t>时间</w:t>
      </w:r>
      <w:r>
        <w:rPr>
          <w:rFonts w:hint="eastAsia" w:ascii="宋体" w:hAnsi="宋体" w:cs="宋体"/>
          <w:szCs w:val="21"/>
          <w:highlight w:val="none"/>
        </w:rPr>
        <w:t>，与成交供应商串通或要求成交供应商通过减少货物数量或降低服务</w:t>
      </w:r>
      <w:r>
        <w:rPr>
          <w:rFonts w:hint="eastAsia" w:ascii="宋体" w:hAnsi="宋体" w:cs="宋体"/>
          <w:szCs w:val="21"/>
          <w:highlight w:val="none"/>
          <w:lang w:eastAsia="zh-CN"/>
        </w:rPr>
        <w:t>标准</w:t>
      </w:r>
      <w:r>
        <w:rPr>
          <w:rFonts w:hint="eastAsia" w:ascii="宋体" w:hAnsi="宋体" w:cs="宋体"/>
          <w:szCs w:val="21"/>
          <w:highlight w:val="none"/>
        </w:rPr>
        <w:t>，在履行合同中采取更改配置、调换物品等</w:t>
      </w:r>
      <w:r>
        <w:rPr>
          <w:rFonts w:hint="eastAsia" w:ascii="宋体" w:hAnsi="宋体" w:cs="宋体"/>
          <w:szCs w:val="21"/>
          <w:highlight w:val="none"/>
          <w:lang w:eastAsia="zh-CN"/>
        </w:rPr>
        <w:t>手段</w:t>
      </w:r>
      <w:r>
        <w:rPr>
          <w:rFonts w:hint="eastAsia" w:ascii="宋体" w:hAnsi="宋体" w:cs="宋体"/>
          <w:szCs w:val="21"/>
          <w:highlight w:val="none"/>
        </w:rPr>
        <w:t>，要求成交供应商出具虚假发票或任意更改销售</w:t>
      </w:r>
      <w:r>
        <w:rPr>
          <w:rFonts w:hint="eastAsia" w:ascii="宋体" w:hAnsi="宋体" w:cs="宋体"/>
          <w:szCs w:val="21"/>
          <w:highlight w:val="none"/>
          <w:lang w:eastAsia="zh-CN"/>
        </w:rPr>
        <w:t>发票，谋取不正当利益的，</w:t>
      </w:r>
      <w:r>
        <w:rPr>
          <w:rFonts w:hint="eastAsia" w:ascii="宋体" w:hAnsi="宋体" w:cs="宋体"/>
          <w:szCs w:val="21"/>
          <w:highlight w:val="none"/>
        </w:rPr>
        <w:t>谋取不正当利益的，承担相应的法律责任。</w:t>
      </w:r>
    </w:p>
    <w:p w14:paraId="07E7B248">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四、成交供应商出现违约情形，应当及时纠正或补偿；造成损失的，按照合同约定追究违约责任；发现有假冒、伪劣、走私产品、商业贿赂等违法情形的，应由采购单位移交工商、质监、公安等行政执法部门依法查处。</w:t>
      </w:r>
    </w:p>
    <w:p w14:paraId="5EAF22C3">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五、按政府采购合同约定支付的合同款，实行财政国库直接支付。</w:t>
      </w:r>
    </w:p>
    <w:p w14:paraId="7FD56BED">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六、不响应付款方式的，视同响应文件无效，按无效响应文件处理。</w:t>
      </w:r>
    </w:p>
    <w:p w14:paraId="399A622D">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七、付款方式详见磋商文件第四章。</w:t>
      </w:r>
    </w:p>
    <w:p w14:paraId="72B53495">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八、项目款的支付不计息。</w:t>
      </w:r>
    </w:p>
    <w:p w14:paraId="2CAF28F9">
      <w:pPr>
        <w:pageBreakBefore w:val="0"/>
        <w:kinsoku/>
        <w:bidi w:val="0"/>
        <w:spacing w:line="360" w:lineRule="auto"/>
        <w:rPr>
          <w:highlight w:val="none"/>
        </w:rPr>
      </w:pPr>
    </w:p>
    <w:p w14:paraId="56C3A136">
      <w:pPr>
        <w:pageBreakBefore w:val="0"/>
        <w:kinsoku/>
        <w:bidi w:val="0"/>
        <w:spacing w:line="360" w:lineRule="auto"/>
        <w:rPr>
          <w:highlight w:val="none"/>
        </w:rPr>
      </w:pPr>
    </w:p>
    <w:p w14:paraId="2A0C7CC5">
      <w:pPr>
        <w:pStyle w:val="31"/>
        <w:pageBreakBefore w:val="0"/>
        <w:kinsoku/>
        <w:bidi w:val="0"/>
        <w:spacing w:before="0" w:after="0" w:line="360" w:lineRule="auto"/>
        <w:jc w:val="center"/>
        <w:rPr>
          <w:rFonts w:hint="eastAsia" w:ascii="宋体" w:hAnsi="宋体" w:cs="宋体"/>
          <w:sz w:val="21"/>
          <w:szCs w:val="21"/>
          <w:highlight w:val="none"/>
        </w:rPr>
        <w:sectPr>
          <w:footerReference r:id="rId8" w:type="default"/>
          <w:pgSz w:w="11906" w:h="16838"/>
          <w:pgMar w:top="1440" w:right="1080" w:bottom="1440" w:left="1080" w:header="851" w:footer="992" w:gutter="0"/>
          <w:cols w:space="720" w:num="1"/>
          <w:docGrid w:type="lines" w:linePitch="312" w:charSpace="0"/>
        </w:sectPr>
      </w:pPr>
      <w:bookmarkStart w:id="58" w:name="_Toc498006744"/>
      <w:bookmarkStart w:id="59" w:name="_Toc87985472"/>
    </w:p>
    <w:p w14:paraId="3C1B577A">
      <w:pPr>
        <w:pStyle w:val="46"/>
        <w:pageBreakBefore w:val="0"/>
        <w:kinsoku/>
        <w:bidi w:val="0"/>
        <w:spacing w:line="360" w:lineRule="auto"/>
        <w:ind w:firstLine="210"/>
        <w:jc w:val="center"/>
        <w:rPr>
          <w:rFonts w:hint="eastAsia" w:ascii="黑体" w:hAnsi="宋体" w:eastAsia="黑体"/>
          <w:b/>
          <w:sz w:val="32"/>
          <w:szCs w:val="32"/>
          <w:highlight w:val="none"/>
        </w:rPr>
      </w:pPr>
      <w:bookmarkStart w:id="60" w:name="_Toc86268902"/>
      <w:r>
        <w:rPr>
          <w:rFonts w:hint="eastAsia" w:ascii="黑体" w:hAnsi="宋体" w:eastAsia="黑体"/>
          <w:b/>
          <w:sz w:val="32"/>
          <w:szCs w:val="32"/>
          <w:highlight w:val="none"/>
          <w:lang w:eastAsia="zh-CN"/>
        </w:rPr>
        <w:t>“中国医药城大健康产业论坛”策划执行服务项目</w:t>
      </w:r>
      <w:r>
        <w:rPr>
          <w:rFonts w:hint="eastAsia" w:ascii="黑体" w:hAnsi="宋体" w:eastAsia="黑体"/>
          <w:b/>
          <w:sz w:val="32"/>
          <w:szCs w:val="32"/>
          <w:highlight w:val="none"/>
        </w:rPr>
        <w:t>合同</w:t>
      </w:r>
    </w:p>
    <w:p w14:paraId="7FF7A8DA">
      <w:pPr>
        <w:pStyle w:val="47"/>
        <w:pageBreakBefore w:val="0"/>
        <w:kinsoku/>
        <w:bidi w:val="0"/>
        <w:spacing w:line="360" w:lineRule="auto"/>
        <w:jc w:val="center"/>
        <w:rPr>
          <w:rFonts w:hint="eastAsia" w:ascii="黑体" w:hAnsi="宋体" w:eastAsia="黑体"/>
          <w:b/>
          <w:sz w:val="32"/>
          <w:szCs w:val="32"/>
          <w:highlight w:val="none"/>
          <w:lang w:eastAsia="zh-CN"/>
        </w:rPr>
      </w:pPr>
      <w:r>
        <w:rPr>
          <w:rFonts w:hint="eastAsia" w:ascii="黑体" w:hAnsi="宋体" w:eastAsia="黑体"/>
          <w:b/>
          <w:sz w:val="32"/>
          <w:szCs w:val="32"/>
          <w:highlight w:val="none"/>
          <w:lang w:eastAsia="zh-CN"/>
        </w:rPr>
        <w:t>（项目编号：    ）</w:t>
      </w:r>
    </w:p>
    <w:p w14:paraId="229C2D46">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项目名称：</w:t>
      </w:r>
      <w:r>
        <w:rPr>
          <w:rFonts w:hint="eastAsia" w:ascii="宋体" w:hAnsi="宋体" w:cs="宋体"/>
          <w:szCs w:val="21"/>
          <w:highlight w:val="none"/>
          <w:lang w:eastAsia="zh-CN"/>
        </w:rPr>
        <w:t>“中国医药城大健康产业论坛”策划执行服务项目</w:t>
      </w:r>
      <w:r>
        <w:rPr>
          <w:rFonts w:hint="eastAsia" w:ascii="宋体" w:hAnsi="宋体" w:cs="宋体"/>
          <w:szCs w:val="21"/>
          <w:highlight w:val="none"/>
          <w:lang w:val="en-US" w:eastAsia="zh-CN"/>
        </w:rPr>
        <w:t xml:space="preserve"> </w:t>
      </w: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 xml:space="preserve">               </w:t>
      </w:r>
    </w:p>
    <w:p w14:paraId="171540DF">
      <w:pPr>
        <w:pageBreakBefore w:val="0"/>
        <w:kinsoku/>
        <w:topLinePunct w:val="0"/>
        <w:bidi w:val="0"/>
        <w:spacing w:line="360" w:lineRule="auto"/>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项目编号：</w:t>
      </w:r>
    </w:p>
    <w:p w14:paraId="76F8CF4F">
      <w:pPr>
        <w:pageBreakBefore w:val="0"/>
        <w:kinsoku/>
        <w:topLinePunct w:val="0"/>
        <w:bidi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甲方</w:t>
      </w:r>
      <w:r>
        <w:rPr>
          <w:rFonts w:hint="eastAsia" w:ascii="宋体" w:hAnsi="宋体"/>
          <w:b/>
          <w:bCs/>
          <w:color w:val="000000" w:themeColor="text1"/>
          <w:szCs w:val="21"/>
          <w:highlight w:val="none"/>
          <w:lang w:eastAsia="zh-CN"/>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 xml:space="preserve">    </w:t>
      </w:r>
      <w:r>
        <w:rPr>
          <w:rFonts w:hint="eastAsia" w:ascii="宋体" w:hAnsi="宋体"/>
          <w:b/>
          <w:bCs/>
          <w:color w:val="000000" w:themeColor="text1"/>
          <w:szCs w:val="21"/>
          <w:highlight w:val="none"/>
          <w:lang w:val="en-US" w:eastAsia="zh-CN"/>
          <w14:textFill>
            <w14:solidFill>
              <w14:schemeClr w14:val="tx1"/>
            </w14:solidFill>
          </w14:textFill>
        </w:rPr>
        <w:t xml:space="preserve">                                         </w:t>
      </w:r>
      <w:r>
        <w:rPr>
          <w:rFonts w:hint="eastAsia" w:ascii="宋体" w:hAnsi="宋体"/>
          <w:b/>
          <w:bCs/>
          <w:color w:val="000000" w:themeColor="text1"/>
          <w:szCs w:val="21"/>
          <w:highlight w:val="none"/>
          <w14:textFill>
            <w14:solidFill>
              <w14:schemeClr w14:val="tx1"/>
            </w14:solidFill>
          </w14:textFill>
        </w:rPr>
        <w:t>乙方</w:t>
      </w:r>
      <w:r>
        <w:rPr>
          <w:rFonts w:hint="eastAsia" w:ascii="宋体" w:hAnsi="宋体"/>
          <w:b/>
          <w:bCs/>
          <w:color w:val="000000" w:themeColor="text1"/>
          <w:szCs w:val="21"/>
          <w:highlight w:val="none"/>
          <w:lang w:eastAsia="zh-CN"/>
          <w14:textFill>
            <w14:solidFill>
              <w14:schemeClr w14:val="tx1"/>
            </w14:solidFill>
          </w14:textFill>
        </w:rPr>
        <w:t>：</w:t>
      </w:r>
    </w:p>
    <w:p w14:paraId="383E72E1">
      <w:pPr>
        <w:pageBreakBefore w:val="0"/>
        <w:kinsoku/>
        <w:topLinePunct w:val="0"/>
        <w:bidi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地址：                                            地址：</w:t>
      </w:r>
    </w:p>
    <w:p w14:paraId="6BEFD1AC">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甲乙双方根据</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项目竞争性磋商采购结果及采购文件的要求</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经协商一致</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达成如下采购服务合同</w:t>
      </w:r>
      <w:r>
        <w:rPr>
          <w:rFonts w:hint="eastAsia" w:ascii="宋体" w:hAnsi="宋体"/>
          <w:color w:val="000000" w:themeColor="text1"/>
          <w:szCs w:val="21"/>
          <w:highlight w:val="none"/>
          <w:lang w:eastAsia="zh-CN"/>
          <w14:textFill>
            <w14:solidFill>
              <w14:schemeClr w14:val="tx1"/>
            </w14:solidFill>
          </w14:textFill>
        </w:rPr>
        <w:t>：</w:t>
      </w:r>
    </w:p>
    <w:p w14:paraId="459E2E03">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一、采购标的</w:t>
      </w:r>
    </w:p>
    <w:p w14:paraId="68303763">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（一）服务名称：</w:t>
      </w:r>
    </w:p>
    <w:p w14:paraId="046DC74F">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（二）服务内容：</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 </w:t>
      </w:r>
    </w:p>
    <w:p w14:paraId="0F5CE2DB">
      <w:pPr>
        <w:pageBreakBefore w:val="0"/>
        <w:kinsoku/>
        <w:topLinePunct w:val="0"/>
        <w:bidi w:val="0"/>
        <w:spacing w:line="360" w:lineRule="auto"/>
        <w:ind w:firstLine="420" w:firstLineChars="200"/>
        <w:rPr>
          <w:rFonts w:hint="default" w:ascii="宋体" w:hAnsi="宋体" w:eastAsia="宋体"/>
          <w:color w:val="000000" w:themeColor="text1"/>
          <w:szCs w:val="21"/>
          <w:highlight w:val="none"/>
          <w:u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（三）服务期限：</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none"/>
          <w:lang w:val="en-US" w:eastAsia="zh-CN"/>
          <w14:textFill>
            <w14:solidFill>
              <w14:schemeClr w14:val="tx1"/>
            </w14:solidFill>
          </w14:textFill>
        </w:rPr>
        <w:t xml:space="preserve"> 。</w:t>
      </w:r>
    </w:p>
    <w:p w14:paraId="7A633FB3">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4F484728">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二、合同价款</w:t>
      </w:r>
    </w:p>
    <w:p w14:paraId="538500F7">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（一）本合同总价款为人民币（大写）      元整（¥           ）。</w:t>
      </w:r>
    </w:p>
    <w:p w14:paraId="362A21EF">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（二）本合同价款包含所有乙方提供合同约定的服务内容的报酬及乙方提供该项服务所支出的必要费用，甲方在上述合同价款之外不再向乙方支付其他任何费用。</w:t>
      </w:r>
    </w:p>
    <w:p w14:paraId="76DC4E61">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三、合同履行</w:t>
      </w:r>
    </w:p>
    <w:p w14:paraId="02CFA17A">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本合同项下服务的提供参照采购文件的具体要求履行，甲乙双方通过补充条款进行特殊约定的</w:t>
      </w:r>
      <w:r>
        <w:rPr>
          <w:rFonts w:hint="eastAsia" w:ascii="宋体" w:hAnsi="宋体"/>
          <w:color w:val="000000" w:themeColor="text1"/>
          <w:szCs w:val="21"/>
          <w:highlight w:val="none"/>
          <w:lang w:eastAsia="zh-CN"/>
          <w14:textFill>
            <w14:solidFill>
              <w14:schemeClr w14:val="tx1"/>
            </w14:solidFill>
          </w14:textFill>
        </w:rPr>
        <w:t>，从</w:t>
      </w:r>
      <w:r>
        <w:rPr>
          <w:rFonts w:hint="eastAsia" w:ascii="宋体" w:hAnsi="宋体"/>
          <w:color w:val="000000" w:themeColor="text1"/>
          <w:szCs w:val="21"/>
          <w:highlight w:val="none"/>
          <w14:textFill>
            <w14:solidFill>
              <w14:schemeClr w14:val="tx1"/>
            </w14:solidFill>
          </w14:textFill>
        </w:rPr>
        <w:t>其约定。</w:t>
      </w:r>
    </w:p>
    <w:p w14:paraId="121098F4">
      <w:pPr>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补充条款：</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17B7C64A">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四、验收</w:t>
      </w:r>
    </w:p>
    <w:p w14:paraId="3DA3A706">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甲方在合同履行期间，有权依照采购文件相关要求对乙方提供的相关服务或交付的工作成果进行阶段性验收或总体验收。相关验收工作须在甲方工作日时间内进行。</w:t>
      </w:r>
    </w:p>
    <w:p w14:paraId="1B0014DE">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元整（¥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4254722F">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五、合同责任</w:t>
      </w:r>
    </w:p>
    <w:p w14:paraId="27942650">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（一）甲方应当为乙方履行合同提供必要的支持。</w:t>
      </w:r>
    </w:p>
    <w:p w14:paraId="1AD97CEC">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78F67C96">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（三）乙方需加强安全操作，如发生安全责任事故，由乙方全权负责。</w:t>
      </w:r>
    </w:p>
    <w:p w14:paraId="136A2D14">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（四）乙方在履行合同中产生的一切非因甲方过错导致的损失，均由乙方自行承担责任。</w:t>
      </w:r>
    </w:p>
    <w:p w14:paraId="5BA05096">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（五）甲乙双方均应指定专人作为本合同履行期间双方之间的联络人，所有一方向相对方正式知会事项的通知到达相对方指定联络人即视为到达对方。</w:t>
      </w:r>
    </w:p>
    <w:p w14:paraId="5702E440">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甲方指定联络人：           乙方指定联络人：</w:t>
      </w:r>
    </w:p>
    <w:p w14:paraId="653C17B6">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                     姓名： </w:t>
      </w:r>
    </w:p>
    <w:p w14:paraId="7546B899">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联系方式：                 联系方式：</w:t>
      </w:r>
    </w:p>
    <w:p w14:paraId="280C91E3">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六、履约保证金</w:t>
      </w:r>
    </w:p>
    <w:p w14:paraId="1D164E53">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本项目不收取履约保证金。</w:t>
      </w:r>
    </w:p>
    <w:p w14:paraId="6ADB65E4">
      <w:pPr>
        <w:pageBreakBefore w:val="0"/>
        <w:kinsoku/>
        <w:topLinePunct w:val="0"/>
        <w:bidi w:val="0"/>
        <w:spacing w:line="360" w:lineRule="auto"/>
        <w:rPr>
          <w:rFonts w:hint="default" w:ascii="宋体" w:hAnsi="宋体" w:eastAsia="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七、</w:t>
      </w:r>
      <w:r>
        <w:rPr>
          <w:rFonts w:hint="eastAsia" w:ascii="宋体" w:hAnsi="宋体"/>
          <w:b/>
          <w:bCs/>
          <w:color w:val="000000" w:themeColor="text1"/>
          <w:szCs w:val="21"/>
          <w:highlight w:val="none"/>
          <w:lang w:val="en-US" w:eastAsia="zh-CN"/>
          <w14:textFill>
            <w14:solidFill>
              <w14:schemeClr w14:val="tx1"/>
            </w14:solidFill>
          </w14:textFill>
        </w:rPr>
        <w:t>合同付款</w:t>
      </w:r>
    </w:p>
    <w:p w14:paraId="58896A45">
      <w:pPr>
        <w:pageBreakBefore w:val="0"/>
        <w:kinsoku/>
        <w:topLinePunct w:val="0"/>
        <w:autoSpaceDE w:val="0"/>
        <w:autoSpaceDN w:val="0"/>
        <w:bidi w:val="0"/>
        <w:adjustRightInd w:val="0"/>
        <w:spacing w:line="360" w:lineRule="auto"/>
        <w:ind w:firstLine="420" w:firstLineChars="200"/>
        <w:rPr>
          <w:rFonts w:hint="eastAsia" w:ascii="宋体" w:hAnsi="宋体" w:cs="宋体"/>
          <w:color w:val="000000"/>
          <w:szCs w:val="21"/>
          <w:highlight w:val="none"/>
        </w:rPr>
      </w:pPr>
      <w:r>
        <w:rPr>
          <w:rFonts w:hint="eastAsia" w:ascii="宋体" w:hAnsi="宋体" w:cs="宋体"/>
          <w:color w:val="000000"/>
          <w:szCs w:val="21"/>
          <w:highlight w:val="none"/>
        </w:rPr>
        <w:t>1.本项目合同履约期间按实际完成任务量及供应商成交的总价格结算。采购人</w:t>
      </w:r>
      <w:r>
        <w:rPr>
          <w:rFonts w:hint="eastAsia" w:ascii="宋体" w:hAnsi="宋体" w:cs="宋体"/>
          <w:color w:val="000000"/>
          <w:szCs w:val="21"/>
          <w:highlight w:val="none"/>
          <w:lang w:val="en-US" w:eastAsia="zh-CN"/>
        </w:rPr>
        <w:t>根据</w:t>
      </w:r>
      <w:r>
        <w:rPr>
          <w:rFonts w:hint="eastAsia" w:ascii="宋体" w:hAnsi="宋体" w:cs="宋体"/>
          <w:color w:val="000000"/>
          <w:szCs w:val="21"/>
          <w:highlight w:val="none"/>
        </w:rPr>
        <w:t>供应商</w:t>
      </w:r>
      <w:r>
        <w:rPr>
          <w:rFonts w:hint="eastAsia" w:ascii="宋体" w:hAnsi="宋体" w:cs="宋体"/>
          <w:color w:val="000000"/>
          <w:szCs w:val="21"/>
          <w:highlight w:val="none"/>
          <w:lang w:eastAsia="zh-CN"/>
        </w:rPr>
        <w:t>实际完成的</w:t>
      </w:r>
      <w:r>
        <w:rPr>
          <w:rFonts w:hint="eastAsia" w:ascii="宋体" w:hAnsi="宋体" w:cs="宋体"/>
          <w:color w:val="000000"/>
          <w:szCs w:val="21"/>
          <w:highlight w:val="none"/>
          <w:lang w:val="en-US" w:eastAsia="zh-CN"/>
        </w:rPr>
        <w:t>服务内容</w:t>
      </w:r>
      <w:r>
        <w:rPr>
          <w:rFonts w:hint="eastAsia" w:ascii="宋体" w:hAnsi="宋体" w:cs="宋体"/>
          <w:color w:val="000000"/>
          <w:szCs w:val="21"/>
          <w:highlight w:val="none"/>
        </w:rPr>
        <w:t>按阶段支付费用。</w:t>
      </w:r>
    </w:p>
    <w:p w14:paraId="1C18FBD2">
      <w:pPr>
        <w:pStyle w:val="3"/>
        <w:pageBreakBefore w:val="0"/>
        <w:kinsoku/>
        <w:bidi w:val="0"/>
        <w:snapToGrid w:val="0"/>
        <w:spacing w:line="360" w:lineRule="auto"/>
        <w:ind w:left="0" w:leftChars="0" w:firstLine="420" w:firstLineChars="200"/>
        <w:contextualSpacing/>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2.供应商结账时需开具正式发票并附合同复印件；发票上标注的名称、账号、开户行应与收款人一致。</w:t>
      </w:r>
    </w:p>
    <w:p w14:paraId="0F281D26">
      <w:pPr>
        <w:pStyle w:val="3"/>
        <w:pageBreakBefore w:val="0"/>
        <w:kinsoku/>
        <w:bidi w:val="0"/>
        <w:snapToGrid w:val="0"/>
        <w:spacing w:line="360" w:lineRule="auto"/>
        <w:ind w:left="0" w:leftChars="0" w:firstLine="420" w:firstLineChars="200"/>
        <w:contextualSpacing/>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3. 项目合同签订后，5个工作日内会议主办方向成交单位支付项目合同总金额的30%，即支付     万元；</w:t>
      </w:r>
    </w:p>
    <w:p w14:paraId="04AA0807">
      <w:pPr>
        <w:pStyle w:val="3"/>
        <w:pageBreakBefore w:val="0"/>
        <w:kinsoku/>
        <w:bidi w:val="0"/>
        <w:snapToGrid w:val="0"/>
        <w:spacing w:line="360" w:lineRule="auto"/>
        <w:ind w:left="0" w:leftChars="0" w:firstLine="420" w:firstLineChars="200"/>
        <w:contextualSpacing/>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大会开幕前5个工作日内，会议主办方向成交单位支付至项目合同总金额的60%，即再支付     万元；</w:t>
      </w:r>
    </w:p>
    <w:p w14:paraId="636E85EC">
      <w:pPr>
        <w:pStyle w:val="3"/>
        <w:pageBreakBefore w:val="0"/>
        <w:kinsoku/>
        <w:bidi w:val="0"/>
        <w:snapToGrid w:val="0"/>
        <w:spacing w:line="360" w:lineRule="auto"/>
        <w:ind w:left="0" w:leftChars="0" w:firstLine="420" w:firstLineChars="200"/>
        <w:contextualSpacing/>
        <w:rPr>
          <w:rFonts w:hint="eastAsia" w:ascii="宋体" w:hAnsi="宋体" w:eastAsia="宋体" w:cs="宋体"/>
          <w:color w:val="000000"/>
          <w:kern w:val="2"/>
          <w:sz w:val="21"/>
          <w:szCs w:val="21"/>
          <w:highlight w:val="none"/>
          <w:lang w:val="en-US" w:eastAsia="zh-CN" w:bidi="ar-SA"/>
        </w:rPr>
      </w:pPr>
      <w:r>
        <w:rPr>
          <w:rFonts w:hint="eastAsia" w:ascii="宋体" w:hAnsi="宋体" w:eastAsia="宋体" w:cs="宋体"/>
          <w:color w:val="000000"/>
          <w:kern w:val="2"/>
          <w:sz w:val="21"/>
          <w:szCs w:val="21"/>
          <w:highlight w:val="none"/>
          <w:lang w:val="en-US" w:eastAsia="zh-CN" w:bidi="ar-SA"/>
        </w:rPr>
        <w:t>大会结束后，依据会议总结报告、到会嘉宾和参会人员的考核情况以及合同协议服务费用最终结算申请等财务单据，在会议相关审计完成后10个工作日内，会议主办方向成交单位支付至项目合同总金额的90%，即再支付</w:t>
      </w:r>
      <w:r>
        <w:rPr>
          <w:rFonts w:hint="eastAsia" w:ascii="宋体" w:hAnsi="宋体" w:eastAsia="宋体" w:cs="宋体"/>
          <w:color w:val="000000"/>
          <w:kern w:val="2"/>
          <w:sz w:val="21"/>
          <w:szCs w:val="21"/>
          <w:highlight w:val="none"/>
          <w:u w:val="single"/>
          <w:lang w:val="en-US" w:eastAsia="zh-CN" w:bidi="ar-SA"/>
        </w:rPr>
        <w:t xml:space="preserve">     </w:t>
      </w:r>
      <w:r>
        <w:rPr>
          <w:rFonts w:hint="eastAsia" w:ascii="宋体" w:hAnsi="宋体" w:eastAsia="宋体" w:cs="宋体"/>
          <w:color w:val="000000"/>
          <w:kern w:val="2"/>
          <w:sz w:val="21"/>
          <w:szCs w:val="21"/>
          <w:highlight w:val="none"/>
          <w:lang w:val="en-US" w:eastAsia="zh-CN" w:bidi="ar-SA"/>
        </w:rPr>
        <w:t>万元；</w:t>
      </w:r>
    </w:p>
    <w:p w14:paraId="096C14B7">
      <w:pPr>
        <w:pageBreakBefore w:val="0"/>
        <w:kinsoku/>
        <w:topLinePunct w:val="0"/>
        <w:autoSpaceDE w:val="0"/>
        <w:autoSpaceDN w:val="0"/>
        <w:bidi w:val="0"/>
        <w:adjustRightInd w:val="0"/>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kern w:val="2"/>
          <w:sz w:val="21"/>
          <w:szCs w:val="21"/>
          <w:highlight w:val="none"/>
          <w:lang w:val="en-US" w:eastAsia="zh-CN" w:bidi="ar-SA"/>
        </w:rPr>
        <w:t>剩余项目合同总金额的10%作为</w:t>
      </w:r>
      <w:r>
        <w:rPr>
          <w:rFonts w:hint="eastAsia" w:ascii="宋体" w:hAnsi="宋体" w:eastAsia="宋体" w:cs="宋体"/>
          <w:color w:val="000000"/>
          <w:szCs w:val="21"/>
          <w:highlight w:val="none"/>
        </w:rPr>
        <w:t>尾款，即</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万元，在会议主办方对本次会议进行绩效评价后，按照绩效评价情况进行支付。</w:t>
      </w:r>
    </w:p>
    <w:p w14:paraId="2DEF5813">
      <w:pPr>
        <w:pageBreakBefore w:val="0"/>
        <w:kinsoku/>
        <w:topLinePunct w:val="0"/>
        <w:autoSpaceDE w:val="0"/>
        <w:autoSpaceDN w:val="0"/>
        <w:bidi w:val="0"/>
        <w:adjustRightInd w:val="0"/>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每次付款前，</w:t>
      </w:r>
      <w:r>
        <w:rPr>
          <w:rFonts w:hint="eastAsia" w:ascii="宋体" w:hAnsi="宋体" w:eastAsia="宋体" w:cs="宋体"/>
          <w:color w:val="000000"/>
          <w:szCs w:val="21"/>
          <w:highlight w:val="none"/>
          <w:lang w:eastAsia="zh-CN"/>
        </w:rPr>
        <w:t>成交单位</w:t>
      </w:r>
      <w:r>
        <w:rPr>
          <w:rFonts w:hint="eastAsia" w:ascii="宋体" w:hAnsi="宋体" w:eastAsia="宋体" w:cs="宋体"/>
          <w:color w:val="000000"/>
          <w:szCs w:val="21"/>
          <w:highlight w:val="none"/>
        </w:rPr>
        <w:t>应向会议主办方提供合法有效的发票，否则会议主办方有权拒绝付款且不承担任何责任。</w:t>
      </w:r>
    </w:p>
    <w:p w14:paraId="634836A9">
      <w:pPr>
        <w:pageBreakBefore w:val="0"/>
        <w:kinsoku/>
        <w:topLinePunct w:val="0"/>
        <w:autoSpaceDE w:val="0"/>
        <w:autoSpaceDN w:val="0"/>
        <w:bidi w:val="0"/>
        <w:adjustRightInd w:val="0"/>
        <w:spacing w:line="360" w:lineRule="auto"/>
        <w:ind w:firstLine="420" w:firstLineChars="20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付款方式为：银行划拨支付。</w:t>
      </w:r>
    </w:p>
    <w:p w14:paraId="573EE227">
      <w:pPr>
        <w:pageBreakBefore w:val="0"/>
        <w:kinsoku/>
        <w:topLinePunct w:val="0"/>
        <w:autoSpaceDE w:val="0"/>
        <w:autoSpaceDN w:val="0"/>
        <w:bidi w:val="0"/>
        <w:adjustRightInd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八、保密条款</w:t>
      </w:r>
    </w:p>
    <w:p w14:paraId="35D473FB">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乙方不得将在履行本合同中知悉的甲方任何信息随意泄露、擅自使用。</w:t>
      </w:r>
    </w:p>
    <w:p w14:paraId="0E183C96">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九、争议的解决</w:t>
      </w:r>
    </w:p>
    <w:p w14:paraId="28082978">
      <w:pPr>
        <w:pageBreakBefore w:val="0"/>
        <w:kinsoku/>
        <w:topLinePunct w:val="0"/>
        <w:bidi w:val="0"/>
        <w:spacing w:line="360" w:lineRule="auto"/>
        <w:ind w:firstLine="420" w:firstLineChars="200"/>
        <w:contextualSpacing/>
        <w:rPr>
          <w:rFonts w:ascii="宋体" w:hAnsi="宋体"/>
          <w:highlight w:val="none"/>
        </w:rPr>
      </w:pPr>
      <w:r>
        <w:rPr>
          <w:rFonts w:ascii="宋体" w:hAnsi="宋体"/>
          <w:highlight w:val="none"/>
        </w:rPr>
        <w:t>1.</w:t>
      </w:r>
      <w:r>
        <w:rPr>
          <w:rFonts w:hint="eastAsia" w:ascii="宋体" w:hAnsi="宋体"/>
          <w:highlight w:val="none"/>
        </w:rPr>
        <w:t>因履行本合同引起的或与本合同有关的争议，甲、乙双方应首先通过友好协商解决，如果协商不能解决争议，则采取以下第</w:t>
      </w:r>
      <w:r>
        <w:rPr>
          <w:rFonts w:hint="eastAsia" w:ascii="宋体" w:hAnsi="宋体"/>
          <w:b/>
          <w:highlight w:val="none"/>
        </w:rPr>
        <w:t>（</w:t>
      </w:r>
      <w:r>
        <w:rPr>
          <w:rFonts w:hint="eastAsia" w:ascii="宋体" w:hAnsi="宋体"/>
          <w:b/>
          <w:highlight w:val="none"/>
          <w:lang w:val="en-US" w:eastAsia="zh-CN"/>
        </w:rPr>
        <w:t xml:space="preserve">   </w:t>
      </w:r>
      <w:r>
        <w:rPr>
          <w:rFonts w:hint="eastAsia" w:ascii="宋体" w:hAnsi="宋体"/>
          <w:b/>
          <w:highlight w:val="none"/>
        </w:rPr>
        <w:t>）</w:t>
      </w:r>
      <w:r>
        <w:rPr>
          <w:rFonts w:hint="eastAsia" w:ascii="宋体" w:hAnsi="宋体"/>
          <w:highlight w:val="none"/>
        </w:rPr>
        <w:t>种方式解决争议：</w:t>
      </w:r>
    </w:p>
    <w:p w14:paraId="5828395E">
      <w:pPr>
        <w:pageBreakBefore w:val="0"/>
        <w:kinsoku/>
        <w:topLinePunct w:val="0"/>
        <w:bidi w:val="0"/>
        <w:spacing w:line="360" w:lineRule="auto"/>
        <w:ind w:firstLine="420" w:firstLineChars="200"/>
        <w:contextualSpacing/>
        <w:rPr>
          <w:rFonts w:ascii="宋体" w:hAnsi="宋体"/>
          <w:highlight w:val="none"/>
        </w:rPr>
      </w:pPr>
      <w:r>
        <w:rPr>
          <w:rFonts w:hint="eastAsia" w:ascii="宋体" w:hAnsi="宋体"/>
          <w:highlight w:val="none"/>
        </w:rPr>
        <w:t>（</w:t>
      </w:r>
      <w:r>
        <w:rPr>
          <w:rFonts w:ascii="宋体" w:hAnsi="宋体"/>
          <w:highlight w:val="none"/>
        </w:rPr>
        <w:t>1</w:t>
      </w:r>
      <w:r>
        <w:rPr>
          <w:rFonts w:hint="eastAsia" w:ascii="宋体" w:hAnsi="宋体"/>
          <w:highlight w:val="none"/>
        </w:rPr>
        <w:t>）向甲方所在地有管辖权的人民法院提起诉讼；</w:t>
      </w:r>
    </w:p>
    <w:p w14:paraId="38C52C92">
      <w:pPr>
        <w:pageBreakBefore w:val="0"/>
        <w:kinsoku/>
        <w:topLinePunct w:val="0"/>
        <w:bidi w:val="0"/>
        <w:spacing w:line="360" w:lineRule="auto"/>
        <w:ind w:firstLine="420" w:firstLineChars="200"/>
        <w:contextualSpacing/>
        <w:rPr>
          <w:rFonts w:ascii="宋体" w:hAnsi="宋体"/>
          <w:highlight w:val="none"/>
        </w:rPr>
      </w:pPr>
      <w:r>
        <w:rPr>
          <w:rFonts w:hint="eastAsia" w:ascii="宋体" w:hAnsi="宋体"/>
          <w:highlight w:val="none"/>
        </w:rPr>
        <w:t>（</w:t>
      </w:r>
      <w:r>
        <w:rPr>
          <w:rFonts w:ascii="宋体" w:hAnsi="宋体"/>
          <w:highlight w:val="none"/>
        </w:rPr>
        <w:t>2</w:t>
      </w:r>
      <w:r>
        <w:rPr>
          <w:rFonts w:hint="eastAsia" w:ascii="宋体" w:hAnsi="宋体"/>
          <w:highlight w:val="none"/>
        </w:rPr>
        <w:t>）向泰州仲裁委员会按其仲裁规则申请仲裁。</w:t>
      </w:r>
    </w:p>
    <w:p w14:paraId="7059DD71">
      <w:pPr>
        <w:pageBreakBefore w:val="0"/>
        <w:kinsoku/>
        <w:topLinePunct w:val="0"/>
        <w:bidi w:val="0"/>
        <w:spacing w:line="360" w:lineRule="auto"/>
        <w:ind w:firstLine="420" w:firstLineChars="200"/>
        <w:contextualSpacing/>
        <w:rPr>
          <w:rFonts w:ascii="宋体" w:hAnsi="宋体"/>
          <w:highlight w:val="none"/>
        </w:rPr>
      </w:pPr>
      <w:r>
        <w:rPr>
          <w:rFonts w:hint="eastAsia" w:ascii="宋体" w:hAnsi="宋体"/>
          <w:highlight w:val="none"/>
        </w:rPr>
        <w:t>如没有约定，默认采取第</w:t>
      </w:r>
      <w:r>
        <w:rPr>
          <w:rFonts w:ascii="宋体" w:hAnsi="宋体"/>
          <w:highlight w:val="none"/>
        </w:rPr>
        <w:t>2</w:t>
      </w:r>
      <w:r>
        <w:rPr>
          <w:rFonts w:hint="eastAsia" w:ascii="宋体" w:hAnsi="宋体"/>
          <w:highlight w:val="none"/>
        </w:rPr>
        <w:t>种方式解决争议。</w:t>
      </w:r>
    </w:p>
    <w:p w14:paraId="762E1FA5">
      <w:pPr>
        <w:pageBreakBefore w:val="0"/>
        <w:kinsoku/>
        <w:topLinePunct w:val="0"/>
        <w:bidi w:val="0"/>
        <w:spacing w:line="360" w:lineRule="auto"/>
        <w:ind w:firstLine="420" w:firstLineChars="200"/>
        <w:contextualSpacing/>
        <w:rPr>
          <w:rFonts w:ascii="宋体" w:hAnsi="宋体"/>
          <w:highlight w:val="none"/>
        </w:rPr>
      </w:pPr>
      <w:r>
        <w:rPr>
          <w:rFonts w:ascii="宋体" w:hAnsi="宋体"/>
          <w:highlight w:val="none"/>
        </w:rPr>
        <w:t>2.</w:t>
      </w:r>
      <w:r>
        <w:rPr>
          <w:rFonts w:hint="eastAsia" w:ascii="宋体" w:hAnsi="宋体"/>
          <w:highlight w:val="none"/>
        </w:rPr>
        <w:t>在仲裁期间，本合同应继续履行。</w:t>
      </w:r>
    </w:p>
    <w:p w14:paraId="297D497C">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十、合同生效</w:t>
      </w:r>
    </w:p>
    <w:p w14:paraId="118286B1">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本合同由甲乙双方签字盖章后生效。</w:t>
      </w:r>
    </w:p>
    <w:p w14:paraId="5116712B">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十一、组成本合同的文件包括：</w:t>
      </w:r>
    </w:p>
    <w:p w14:paraId="2A605458">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1.合同通用条款和专用条款；</w:t>
      </w:r>
    </w:p>
    <w:p w14:paraId="5A215AA6">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2.采购文件和乙方的响应文件；</w:t>
      </w:r>
    </w:p>
    <w:p w14:paraId="0F9B2592">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3.成交通知书；</w:t>
      </w:r>
    </w:p>
    <w:p w14:paraId="1FB54A7A">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4.甲乙双方商定的其他必要文件。</w:t>
      </w:r>
    </w:p>
    <w:p w14:paraId="08812BEA">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上述合同文件内容互为补充，如有不明确，由甲方负责解释。</w:t>
      </w:r>
    </w:p>
    <w:p w14:paraId="11B903A6">
      <w:pPr>
        <w:pageBreakBefore w:val="0"/>
        <w:kinsoku/>
        <w:topLinePunct w:val="0"/>
        <w:bidi w:val="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十二、合同备案</w:t>
      </w:r>
    </w:p>
    <w:p w14:paraId="015AE041">
      <w:pPr>
        <w:pageBreakBefore w:val="0"/>
        <w:kinsoku/>
        <w:topLinePunct w:val="0"/>
        <w:bidi w:val="0"/>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本合同一式</w:t>
      </w:r>
      <w:r>
        <w:rPr>
          <w:rFonts w:hint="eastAsia" w:ascii="宋体" w:hAnsi="宋体"/>
          <w:color w:val="000000" w:themeColor="text1"/>
          <w:szCs w:val="21"/>
          <w:highlight w:val="none"/>
          <w:lang w:val="en-US" w:eastAsia="zh-CN"/>
          <w14:textFill>
            <w14:solidFill>
              <w14:schemeClr w14:val="tx1"/>
            </w14:solidFill>
          </w14:textFill>
        </w:rPr>
        <w:t>陆</w:t>
      </w:r>
      <w:r>
        <w:rPr>
          <w:rFonts w:hint="eastAsia" w:ascii="宋体" w:hAnsi="宋体"/>
          <w:color w:val="000000" w:themeColor="text1"/>
          <w:szCs w:val="21"/>
          <w:highlight w:val="none"/>
          <w14:textFill>
            <w14:solidFill>
              <w14:schemeClr w14:val="tx1"/>
            </w14:solidFill>
          </w14:textFill>
        </w:rPr>
        <w:t>份，中文书写</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甲方</w:t>
      </w:r>
      <w:r>
        <w:rPr>
          <w:rFonts w:hint="eastAsia" w:ascii="宋体" w:hAnsi="宋体"/>
          <w:color w:val="000000" w:themeColor="text1"/>
          <w:szCs w:val="21"/>
          <w:highlight w:val="none"/>
          <w:lang w:val="en-US" w:eastAsia="zh-CN"/>
          <w14:textFill>
            <w14:solidFill>
              <w14:schemeClr w14:val="tx1"/>
            </w14:solidFill>
          </w14:textFill>
        </w:rPr>
        <w:t>四份</w:t>
      </w:r>
      <w:r>
        <w:rPr>
          <w:rFonts w:hint="eastAsia" w:ascii="宋体" w:hAnsi="宋体"/>
          <w:color w:val="000000" w:themeColor="text1"/>
          <w:szCs w:val="21"/>
          <w:highlight w:val="none"/>
          <w14:textFill>
            <w14:solidFill>
              <w14:schemeClr w14:val="tx1"/>
            </w14:solidFill>
          </w14:textFill>
        </w:rPr>
        <w:t>、乙方</w:t>
      </w:r>
      <w:r>
        <w:rPr>
          <w:rFonts w:hint="eastAsia" w:ascii="宋体" w:hAnsi="宋体"/>
          <w:color w:val="000000" w:themeColor="text1"/>
          <w:szCs w:val="21"/>
          <w:highlight w:val="none"/>
          <w:lang w:val="en-US" w:eastAsia="zh-CN"/>
          <w14:textFill>
            <w14:solidFill>
              <w14:schemeClr w14:val="tx1"/>
            </w14:solidFill>
          </w14:textFill>
        </w:rPr>
        <w:t>两份</w:t>
      </w:r>
      <w:r>
        <w:rPr>
          <w:rFonts w:hint="eastAsia" w:ascii="宋体" w:hAnsi="宋体"/>
          <w:color w:val="000000" w:themeColor="text1"/>
          <w:szCs w:val="21"/>
          <w:highlight w:val="none"/>
          <w14:textFill>
            <w14:solidFill>
              <w14:schemeClr w14:val="tx1"/>
            </w14:solidFill>
          </w14:textFill>
        </w:rPr>
        <w:t>。</w:t>
      </w:r>
    </w:p>
    <w:p w14:paraId="292306B9">
      <w:pPr>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p>
    <w:p w14:paraId="0BC1306E">
      <w:pPr>
        <w:pStyle w:val="2"/>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p>
    <w:p w14:paraId="58C7063E">
      <w:pPr>
        <w:pStyle w:val="2"/>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p>
    <w:p w14:paraId="18DAB49F">
      <w:pPr>
        <w:pStyle w:val="2"/>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p>
    <w:p w14:paraId="4418B492">
      <w:pPr>
        <w:pageBreakBefore w:val="0"/>
        <w:kinsoku/>
        <w:topLinePunct w:val="0"/>
        <w:bidi w:val="0"/>
        <w:spacing w:line="360" w:lineRule="auto"/>
        <w:ind w:firstLine="422" w:firstLineChars="200"/>
        <w:rPr>
          <w:rFonts w:hint="eastAsia" w:ascii="宋体" w:hAnsi="宋体"/>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以下无正文内容。</w:t>
      </w:r>
    </w:p>
    <w:p w14:paraId="5917B232">
      <w:pPr>
        <w:pStyle w:val="2"/>
        <w:pageBreakBefore w:val="0"/>
        <w:kinsoku/>
        <w:topLinePunct w:val="0"/>
        <w:bidi w:val="0"/>
        <w:spacing w:line="360" w:lineRule="auto"/>
        <w:rPr>
          <w:rFonts w:hint="eastAsia" w:ascii="宋体" w:hAnsi="宋体"/>
          <w:color w:val="000000" w:themeColor="text1"/>
          <w:szCs w:val="21"/>
          <w:highlight w:val="none"/>
          <w:lang w:val="en-US" w:eastAsia="zh-CN"/>
          <w14:textFill>
            <w14:solidFill>
              <w14:schemeClr w14:val="tx1"/>
            </w14:solidFill>
          </w14:textFill>
        </w:rPr>
      </w:pPr>
    </w:p>
    <w:p w14:paraId="5B8EE064">
      <w:pPr>
        <w:pStyle w:val="2"/>
        <w:pageBreakBefore w:val="0"/>
        <w:kinsoku/>
        <w:topLinePunct w:val="0"/>
        <w:bidi w:val="0"/>
        <w:spacing w:line="360" w:lineRule="auto"/>
        <w:rPr>
          <w:rFonts w:hint="default" w:ascii="宋体" w:hAnsi="宋体"/>
          <w:color w:val="000000" w:themeColor="text1"/>
          <w:szCs w:val="21"/>
          <w:highlight w:val="none"/>
          <w:lang w:val="en-US" w:eastAsia="zh-CN"/>
          <w14:textFill>
            <w14:solidFill>
              <w14:schemeClr w14:val="tx1"/>
            </w14:solidFill>
          </w14:textFill>
        </w:rPr>
      </w:pPr>
    </w:p>
    <w:p w14:paraId="7AE52458">
      <w:pPr>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        （盖章）                                 乙方：      （盖章）</w:t>
      </w:r>
    </w:p>
    <w:p w14:paraId="474B829D">
      <w:pPr>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地址：                                                 地址：               </w:t>
      </w:r>
    </w:p>
    <w:p w14:paraId="2E236458">
      <w:pPr>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法定（授权）代表人：                                   法定（授权）代表人：</w:t>
      </w:r>
    </w:p>
    <w:p w14:paraId="6D1678B4">
      <w:pPr>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p>
    <w:p w14:paraId="14BCF83A">
      <w:pPr>
        <w:pageBreakBefore w:val="0"/>
        <w:kinsoku/>
        <w:topLinePunct w:val="0"/>
        <w:bidi w:val="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lang w:eastAsia="zh-CN"/>
          <w14:textFill>
            <w14:solidFill>
              <w14:schemeClr w14:val="tx1"/>
            </w14:solidFill>
          </w14:textFill>
        </w:rPr>
        <w:t>二〇二</w:t>
      </w:r>
      <w:r>
        <w:rPr>
          <w:rFonts w:hint="eastAsia" w:ascii="宋体" w:hAnsi="宋体"/>
          <w:color w:val="000000" w:themeColor="text1"/>
          <w:szCs w:val="21"/>
          <w:highlight w:val="none"/>
          <w:lang w:val="en-US" w:eastAsia="zh-CN"/>
          <w14:textFill>
            <w14:solidFill>
              <w14:schemeClr w14:val="tx1"/>
            </w14:solidFill>
          </w14:textFill>
        </w:rPr>
        <w:t>六</w:t>
      </w:r>
      <w:r>
        <w:rPr>
          <w:rFonts w:hint="eastAsia" w:ascii="宋体" w:hAnsi="宋体"/>
          <w:color w:val="000000" w:themeColor="text1"/>
          <w:szCs w:val="21"/>
          <w:highlight w:val="none"/>
          <w:lang w:eastAsia="zh-CN"/>
          <w14:textFill>
            <w14:solidFill>
              <w14:schemeClr w14:val="tx1"/>
            </w14:solidFill>
          </w14:textFill>
        </w:rPr>
        <w:t>年</w:t>
      </w:r>
      <w:r>
        <w:rPr>
          <w:rFonts w:hint="eastAsia" w:ascii="宋体" w:hAnsi="宋体"/>
          <w:color w:val="000000" w:themeColor="text1"/>
          <w:szCs w:val="21"/>
          <w:highlight w:val="none"/>
          <w14:textFill>
            <w14:solidFill>
              <w14:schemeClr w14:val="tx1"/>
            </w14:solidFill>
          </w14:textFill>
        </w:rPr>
        <w:t xml:space="preserve">     月    日</w:t>
      </w:r>
    </w:p>
    <w:p w14:paraId="19CC4AA2">
      <w:pPr>
        <w:pageBreakBefore w:val="0"/>
        <w:widowControl/>
        <w:kinsoku/>
        <w:topLinePunct w:val="0"/>
        <w:bidi w:val="0"/>
        <w:spacing w:line="360" w:lineRule="auto"/>
        <w:ind w:right="210" w:rightChars="100" w:firstLine="630" w:firstLineChars="300"/>
        <w:rPr>
          <w:rFonts w:hint="eastAsia" w:ascii="宋体" w:hAnsi="宋体" w:cs="宋体"/>
          <w:color w:val="000000" w:themeColor="text1"/>
          <w:kern w:val="0"/>
          <w:szCs w:val="21"/>
          <w:highlight w:val="none"/>
          <w14:textFill>
            <w14:solidFill>
              <w14:schemeClr w14:val="tx1"/>
            </w14:solidFill>
          </w14:textFill>
        </w:rPr>
        <w:sectPr>
          <w:footerReference r:id="rId9" w:type="default"/>
          <w:pgSz w:w="11907" w:h="16840"/>
          <w:pgMar w:top="1247" w:right="1080" w:bottom="1247" w:left="1080" w:header="851" w:footer="851" w:gutter="0"/>
          <w:pgNumType w:fmt="decimal"/>
          <w:cols w:space="720" w:num="1"/>
          <w:docGrid w:linePitch="312" w:charSpace="0"/>
        </w:sectPr>
      </w:pPr>
    </w:p>
    <w:p w14:paraId="397F4713">
      <w:pPr>
        <w:pageBreakBefore w:val="0"/>
        <w:spacing w:line="360" w:lineRule="auto"/>
        <w:ind w:firstLine="420"/>
        <w:jc w:val="center"/>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第四章 </w:t>
      </w:r>
      <w:r>
        <w:rPr>
          <w:rFonts w:hint="eastAsia" w:ascii="宋体" w:hAnsi="宋体" w:eastAsia="宋体" w:cs="宋体"/>
          <w:b/>
          <w:bCs/>
          <w:sz w:val="21"/>
          <w:szCs w:val="21"/>
          <w:highlight w:val="none"/>
          <w:lang w:val="en-US" w:eastAsia="zh-CN"/>
        </w:rPr>
        <w:t>项目需求</w:t>
      </w:r>
      <w:bookmarkEnd w:id="60"/>
    </w:p>
    <w:bookmarkEnd w:id="58"/>
    <w:bookmarkEnd w:id="59"/>
    <w:p w14:paraId="10E54490">
      <w:pPr>
        <w:pageBreakBefore w:val="0"/>
        <w:spacing w:line="360" w:lineRule="auto"/>
        <w:ind w:firstLine="420"/>
        <w:rPr>
          <w:rFonts w:hint="eastAsia" w:ascii="宋体" w:hAnsi="宋体" w:eastAsia="宋体" w:cs="宋体"/>
          <w:b/>
          <w:bCs/>
          <w:sz w:val="21"/>
          <w:szCs w:val="21"/>
          <w:highlight w:val="none"/>
          <w:lang w:val="en-US" w:eastAsia="zh-CN"/>
        </w:rPr>
      </w:pPr>
      <w:bookmarkStart w:id="61" w:name="_Toc86268903"/>
      <w:bookmarkStart w:id="62" w:name="_Toc26554097"/>
      <w:bookmarkStart w:id="63" w:name="_Toc61149622"/>
      <w:bookmarkStart w:id="64" w:name="_Toc23828480"/>
      <w:r>
        <w:rPr>
          <w:rFonts w:hint="eastAsia" w:ascii="宋体" w:hAnsi="宋体" w:cs="宋体"/>
          <w:b/>
          <w:bCs/>
          <w:sz w:val="21"/>
          <w:szCs w:val="21"/>
          <w:highlight w:val="none"/>
          <w:lang w:val="en-US" w:eastAsia="zh-CN"/>
        </w:rPr>
        <w:t>一、</w:t>
      </w:r>
      <w:r>
        <w:rPr>
          <w:rFonts w:hint="eastAsia" w:ascii="宋体" w:hAnsi="宋体" w:eastAsia="宋体" w:cs="宋体"/>
          <w:b/>
          <w:bCs/>
          <w:sz w:val="21"/>
          <w:szCs w:val="21"/>
          <w:highlight w:val="none"/>
          <w:lang w:val="en-US" w:eastAsia="zh-CN"/>
        </w:rPr>
        <w:t>项目简介</w:t>
      </w:r>
    </w:p>
    <w:p w14:paraId="7F6CA5DD">
      <w:pPr>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1</w:t>
      </w:r>
      <w:r>
        <w:rPr>
          <w:rFonts w:hint="eastAsia" w:ascii="宋体" w:hAnsi="宋体" w:eastAsia="宋体" w:cs="宋体"/>
          <w:b/>
          <w:bCs/>
          <w:sz w:val="21"/>
          <w:szCs w:val="21"/>
          <w:highlight w:val="none"/>
          <w:lang w:val="en-US" w:eastAsia="zh-CN"/>
        </w:rPr>
        <w:t>.</w:t>
      </w:r>
      <w:r>
        <w:rPr>
          <w:rFonts w:hint="eastAsia" w:ascii="宋体" w:hAnsi="宋体" w:eastAsia="宋体" w:cs="宋体"/>
          <w:b/>
          <w:bCs/>
          <w:sz w:val="21"/>
          <w:szCs w:val="21"/>
          <w:highlight w:val="none"/>
          <w:lang w:eastAsia="zh-CN"/>
        </w:rPr>
        <w:t>项目名称：</w:t>
      </w:r>
      <w:r>
        <w:rPr>
          <w:rFonts w:hint="eastAsia" w:ascii="宋体" w:hAnsi="宋体" w:eastAsia="宋体" w:cs="宋体"/>
          <w:sz w:val="21"/>
          <w:szCs w:val="21"/>
          <w:highlight w:val="none"/>
          <w:lang w:eastAsia="zh-CN"/>
        </w:rPr>
        <w:t>“中国医药城大健康产业论坛”策划执行服务</w:t>
      </w:r>
    </w:p>
    <w:p w14:paraId="7F666D93">
      <w:pPr>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2</w:t>
      </w:r>
      <w:r>
        <w:rPr>
          <w:rFonts w:hint="eastAsia" w:ascii="宋体" w:hAnsi="宋体" w:eastAsia="宋体" w:cs="宋体"/>
          <w:b/>
          <w:bCs/>
          <w:sz w:val="21"/>
          <w:szCs w:val="21"/>
          <w:highlight w:val="none"/>
          <w:lang w:val="en-US" w:eastAsia="zh-CN"/>
        </w:rPr>
        <w:t>.</w:t>
      </w:r>
      <w:r>
        <w:rPr>
          <w:rFonts w:hint="eastAsia" w:ascii="宋体" w:hAnsi="宋体" w:eastAsia="宋体" w:cs="宋体"/>
          <w:b/>
          <w:bCs/>
          <w:sz w:val="21"/>
          <w:szCs w:val="21"/>
          <w:highlight w:val="none"/>
          <w:lang w:eastAsia="zh-CN"/>
        </w:rPr>
        <w:t>地点：</w:t>
      </w:r>
      <w:r>
        <w:rPr>
          <w:rFonts w:hint="eastAsia" w:ascii="宋体" w:hAnsi="宋体" w:eastAsia="宋体" w:cs="宋体"/>
          <w:color w:val="FF0000"/>
          <w:sz w:val="21"/>
          <w:szCs w:val="21"/>
          <w:highlight w:val="none"/>
          <w:lang w:eastAsia="zh-CN"/>
        </w:rPr>
        <w:t>泰州市天德湖宾馆</w:t>
      </w:r>
    </w:p>
    <w:p w14:paraId="5B688D1F">
      <w:pPr>
        <w:pageBreakBefore w:val="0"/>
        <w:shd w:val="clear"/>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lang w:eastAsia="zh-CN"/>
        </w:rPr>
        <w:t>3</w:t>
      </w:r>
      <w:r>
        <w:rPr>
          <w:rFonts w:hint="eastAsia" w:ascii="宋体" w:hAnsi="宋体" w:eastAsia="宋体" w:cs="宋体"/>
          <w:b/>
          <w:bCs/>
          <w:sz w:val="21"/>
          <w:szCs w:val="21"/>
          <w:highlight w:val="none"/>
          <w:lang w:val="en-US" w:eastAsia="zh-CN"/>
        </w:rPr>
        <w:t>.</w:t>
      </w:r>
      <w:r>
        <w:rPr>
          <w:rFonts w:hint="eastAsia" w:ascii="宋体" w:hAnsi="宋体" w:eastAsia="宋体" w:cs="宋体"/>
          <w:b/>
          <w:bCs/>
          <w:sz w:val="21"/>
          <w:szCs w:val="21"/>
          <w:highlight w:val="none"/>
          <w:lang w:eastAsia="zh-CN"/>
        </w:rPr>
        <w:t>时间：</w:t>
      </w:r>
      <w:r>
        <w:rPr>
          <w:rFonts w:hint="eastAsia" w:ascii="宋体" w:hAnsi="宋体" w:eastAsia="宋体" w:cs="宋体"/>
          <w:kern w:val="0"/>
          <w:sz w:val="21"/>
          <w:szCs w:val="21"/>
          <w:highlight w:val="none"/>
          <w:lang w:val="en-US" w:eastAsia="zh-CN"/>
        </w:rPr>
        <w:t>2026年11月19日—21日（星期四至星期六）</w:t>
      </w:r>
      <w:r>
        <w:rPr>
          <w:rFonts w:hint="eastAsia" w:ascii="宋体" w:hAnsi="宋体" w:eastAsia="宋体" w:cs="宋体"/>
          <w:sz w:val="21"/>
          <w:szCs w:val="21"/>
          <w:highlight w:val="none"/>
          <w:lang w:eastAsia="zh-CN"/>
        </w:rPr>
        <w:t>。</w:t>
      </w:r>
    </w:p>
    <w:p w14:paraId="73354EFD">
      <w:pPr>
        <w:widowControl w:val="0"/>
        <w:numPr>
          <w:ilvl w:val="0"/>
          <w:numId w:val="0"/>
        </w:numPr>
        <w:shd w:val="clear"/>
        <w:jc w:val="both"/>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b/>
          <w:bCs/>
          <w:sz w:val="21"/>
          <w:szCs w:val="21"/>
          <w:highlight w:val="none"/>
          <w:lang w:val="en-US" w:eastAsia="zh-CN"/>
        </w:rPr>
        <w:t xml:space="preserve"> 4.项目概况：</w:t>
      </w:r>
    </w:p>
    <w:p w14:paraId="053C3D5B">
      <w:pPr>
        <w:shd w:val="clear"/>
        <w:spacing w:line="360" w:lineRule="auto"/>
        <w:ind w:firstLine="420" w:firstLineChars="20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shd w:val="clear"/>
          <w:lang w:val="en-US" w:eastAsia="zh-CN"/>
        </w:rPr>
        <w:t>为深入贯彻落实“健康优先发展战略”，落实《省委省政府关于支持泰州大健康产业高质量发展的意见》（苏发〔2022〕32号）决策部署，纵深推进“健康中国2030”规划纲要实施，落实江苏省首批未来产业先行集聚发展试点（合成生物）建设，抢抓“十五五”开局机遇，争取实现更高质量的战略承接与落地，聚力推动合成生物制造大健康领域科技创新成果转化与产业化进程，进一步做大做强泰州医药健康产业，全力打造具有影响</w:t>
      </w:r>
      <w:r>
        <w:rPr>
          <w:rFonts w:hint="eastAsia" w:ascii="宋体" w:hAnsi="宋体" w:eastAsia="宋体" w:cs="宋体"/>
          <w:kern w:val="0"/>
          <w:sz w:val="21"/>
          <w:szCs w:val="21"/>
          <w:highlight w:val="none"/>
          <w:lang w:val="en-US" w:eastAsia="zh-CN"/>
        </w:rPr>
        <w:t>力的“中国医药城”，精准把握新时代医药行业发展新趋势，立足泰州大健康产业特色优势，聚焦医药健康创新成果产业化方向，拟联合知名行业协会、领军企业、权威机构及专家学者等，按照市场化、专业化、国际化、规范化的办会目标，围绕医药健康产业政策导向、前沿趋势、技术突破、成果转化与市场机遇等热点议题展开深入研讨，推动政、产、学、研、金、服、用多方力量协同联动，共同探索医药健康产业创新与可持续发展路径，搭建“政产学研金服用”高效对接平台，拓展合作渠道、促进战略合作，加速科技成果转化与产业升级，持续提升中国医药城品牌影响力，吸引更多高端医药创新资源向中国医药城集聚，将本次活动打造成为具有显著行业影响力与引领性的医药健康产业盛会。</w:t>
      </w:r>
    </w:p>
    <w:p w14:paraId="1174C1FF">
      <w:pPr>
        <w:spacing w:line="360" w:lineRule="auto"/>
        <w:ind w:firstLine="420" w:firstLineChars="200"/>
        <w:rPr>
          <w:rFonts w:hint="eastAsia" w:ascii="宋体" w:hAnsi="宋体" w:eastAsia="宋体" w:cs="宋体"/>
          <w:b w:val="0"/>
          <w:bCs w:val="0"/>
          <w:sz w:val="21"/>
          <w:szCs w:val="21"/>
          <w:highlight w:val="none"/>
          <w:lang w:eastAsia="zh-CN"/>
        </w:rPr>
      </w:pPr>
      <w:r>
        <w:rPr>
          <w:rFonts w:hint="eastAsia" w:ascii="宋体" w:hAnsi="宋体" w:eastAsia="宋体" w:cs="宋体"/>
          <w:sz w:val="21"/>
          <w:szCs w:val="21"/>
          <w:highlight w:val="none"/>
          <w:lang w:eastAsia="zh-CN"/>
        </w:rPr>
        <w:t>由泰州市人民政府主办的中国医药城大健康产业论坛，将邀请学术界和产业界</w:t>
      </w:r>
      <w:r>
        <w:rPr>
          <w:rFonts w:hint="eastAsia" w:ascii="宋体" w:hAnsi="宋体" w:eastAsia="宋体" w:cs="宋体"/>
          <w:sz w:val="21"/>
          <w:szCs w:val="21"/>
          <w:highlight w:val="none"/>
          <w:lang w:val="en-US" w:eastAsia="zh-CN"/>
        </w:rPr>
        <w:t>等</w:t>
      </w:r>
      <w:r>
        <w:rPr>
          <w:rFonts w:hint="eastAsia" w:ascii="宋体" w:hAnsi="宋体" w:eastAsia="宋体" w:cs="宋体"/>
          <w:sz w:val="21"/>
          <w:szCs w:val="21"/>
          <w:highlight w:val="none"/>
          <w:lang w:eastAsia="zh-CN"/>
        </w:rPr>
        <w:t>领军人物深度研讨</w:t>
      </w:r>
      <w:r>
        <w:rPr>
          <w:rFonts w:hint="eastAsia" w:ascii="宋体" w:hAnsi="宋体" w:eastAsia="宋体" w:cs="宋体"/>
          <w:sz w:val="21"/>
          <w:szCs w:val="21"/>
          <w:highlight w:val="none"/>
          <w:lang w:val="en-US" w:eastAsia="zh-CN"/>
        </w:rPr>
        <w:t>合成生物制造的政策环境、发展趋势、技术创新和市场前景，探索产业创新发展路径，汇聚高端智力资源，深化产融合作，加快科技成果转化，推动产业升级与可持续发展，助力泰州大健康产业高质量发展，培育发展新动能。</w:t>
      </w:r>
      <w:r>
        <w:rPr>
          <w:rFonts w:hint="eastAsia" w:ascii="宋体" w:hAnsi="宋体" w:eastAsia="宋体" w:cs="宋体"/>
          <w:sz w:val="21"/>
          <w:szCs w:val="21"/>
          <w:highlight w:val="none"/>
          <w:lang w:eastAsia="zh-CN"/>
        </w:rPr>
        <w:t>期间，</w:t>
      </w:r>
      <w:r>
        <w:rPr>
          <w:rFonts w:hint="eastAsia" w:ascii="宋体" w:hAnsi="宋体" w:eastAsia="宋体" w:cs="宋体"/>
          <w:b w:val="0"/>
          <w:bCs w:val="0"/>
          <w:sz w:val="21"/>
          <w:szCs w:val="21"/>
          <w:highlight w:val="none"/>
          <w:lang w:eastAsia="zh-CN"/>
        </w:rPr>
        <w:t>将举办“开幕式+主旨报告”</w:t>
      </w:r>
      <w:r>
        <w:rPr>
          <w:rFonts w:hint="eastAsia" w:ascii="宋体" w:hAnsi="宋体" w:eastAsia="宋体" w:cs="宋体"/>
          <w:b w:val="0"/>
          <w:bCs w:val="0"/>
          <w:sz w:val="21"/>
          <w:szCs w:val="21"/>
          <w:highlight w:val="none"/>
          <w:lang w:val="en-US" w:eastAsia="zh-CN"/>
        </w:rPr>
        <w:t>活动</w:t>
      </w:r>
      <w:r>
        <w:rPr>
          <w:rFonts w:hint="eastAsia" w:ascii="宋体" w:hAnsi="宋体" w:eastAsia="宋体" w:cs="宋体"/>
          <w:b w:val="0"/>
          <w:bCs w:val="0"/>
          <w:sz w:val="21"/>
          <w:szCs w:val="21"/>
          <w:highlight w:val="none"/>
          <w:lang w:eastAsia="zh-CN"/>
        </w:rPr>
        <w:t>、创新生态矩阵活动（</w:t>
      </w:r>
      <w:r>
        <w:rPr>
          <w:rFonts w:hint="eastAsia" w:ascii="宋体" w:hAnsi="宋体" w:eastAsia="宋体" w:cs="宋体"/>
          <w:b w:val="0"/>
          <w:bCs w:val="0"/>
          <w:sz w:val="21"/>
          <w:szCs w:val="21"/>
          <w:highlight w:val="none"/>
          <w:lang w:val="en-US" w:eastAsia="zh-CN"/>
        </w:rPr>
        <w:t>活动</w:t>
      </w:r>
      <w:r>
        <w:rPr>
          <w:rFonts w:hint="eastAsia" w:ascii="宋体" w:hAnsi="宋体" w:eastAsia="宋体" w:cs="宋体"/>
          <w:b w:val="0"/>
          <w:bCs w:val="0"/>
          <w:kern w:val="0"/>
          <w:sz w:val="21"/>
          <w:szCs w:val="21"/>
          <w:highlight w:val="none"/>
          <w:lang w:val="en-US" w:eastAsia="zh-CN"/>
        </w:rPr>
        <w:t xml:space="preserve">版块1 </w:t>
      </w:r>
      <w:r>
        <w:rPr>
          <w:rFonts w:hint="eastAsia" w:ascii="宋体" w:hAnsi="宋体" w:eastAsia="宋体" w:cs="宋体"/>
          <w:b w:val="0"/>
          <w:bCs w:val="0"/>
          <w:sz w:val="21"/>
          <w:szCs w:val="21"/>
          <w:highlight w:val="none"/>
          <w:lang w:eastAsia="zh-CN"/>
        </w:rPr>
        <w:t>疫苗创新研发与产业化专题（拟）、</w:t>
      </w:r>
      <w:r>
        <w:rPr>
          <w:rFonts w:hint="eastAsia" w:ascii="宋体" w:hAnsi="宋体" w:eastAsia="宋体" w:cs="宋体"/>
          <w:b w:val="0"/>
          <w:bCs w:val="0"/>
          <w:sz w:val="21"/>
          <w:szCs w:val="21"/>
          <w:highlight w:val="none"/>
          <w:lang w:val="en-US" w:eastAsia="zh-CN"/>
        </w:rPr>
        <w:t>活动</w:t>
      </w:r>
      <w:r>
        <w:rPr>
          <w:rFonts w:hint="eastAsia" w:ascii="宋体" w:hAnsi="宋体" w:eastAsia="宋体" w:cs="宋体"/>
          <w:b w:val="0"/>
          <w:bCs w:val="0"/>
          <w:kern w:val="0"/>
          <w:sz w:val="21"/>
          <w:szCs w:val="21"/>
          <w:highlight w:val="none"/>
          <w:lang w:val="en-US" w:eastAsia="zh-CN"/>
        </w:rPr>
        <w:t xml:space="preserve">版块2 </w:t>
      </w:r>
      <w:r>
        <w:rPr>
          <w:rFonts w:hint="eastAsia" w:ascii="宋体" w:hAnsi="宋体" w:eastAsia="宋体" w:cs="宋体"/>
          <w:b w:val="0"/>
          <w:bCs w:val="0"/>
          <w:sz w:val="21"/>
          <w:szCs w:val="21"/>
          <w:highlight w:val="none"/>
          <w:lang w:eastAsia="zh-CN"/>
        </w:rPr>
        <w:t>抗体研发创新与产业化专题（拟）、</w:t>
      </w:r>
      <w:r>
        <w:rPr>
          <w:rFonts w:hint="eastAsia" w:ascii="宋体" w:hAnsi="宋体" w:eastAsia="宋体" w:cs="宋体"/>
          <w:b w:val="0"/>
          <w:bCs w:val="0"/>
          <w:sz w:val="21"/>
          <w:szCs w:val="21"/>
          <w:highlight w:val="none"/>
          <w:lang w:val="en-US" w:eastAsia="zh-CN"/>
        </w:rPr>
        <w:t>活动</w:t>
      </w:r>
      <w:r>
        <w:rPr>
          <w:rFonts w:hint="eastAsia" w:ascii="宋体" w:hAnsi="宋体" w:eastAsia="宋体" w:cs="宋体"/>
          <w:b w:val="0"/>
          <w:bCs w:val="0"/>
          <w:kern w:val="0"/>
          <w:sz w:val="21"/>
          <w:szCs w:val="21"/>
          <w:highlight w:val="none"/>
          <w:lang w:val="en-US" w:eastAsia="zh-CN"/>
        </w:rPr>
        <w:t xml:space="preserve">版块3 </w:t>
      </w:r>
      <w:r>
        <w:rPr>
          <w:rFonts w:hint="eastAsia" w:ascii="宋体" w:hAnsi="宋体" w:eastAsia="宋体" w:cs="宋体"/>
          <w:b w:val="0"/>
          <w:bCs w:val="0"/>
          <w:sz w:val="21"/>
          <w:szCs w:val="21"/>
          <w:highlight w:val="none"/>
          <w:lang w:eastAsia="zh-CN"/>
        </w:rPr>
        <w:t>合成生物学与兽药创新发展专题（拟）、</w:t>
      </w:r>
      <w:r>
        <w:rPr>
          <w:rFonts w:hint="eastAsia" w:ascii="宋体" w:hAnsi="宋体" w:eastAsia="宋体" w:cs="宋体"/>
          <w:b w:val="0"/>
          <w:bCs w:val="0"/>
          <w:sz w:val="21"/>
          <w:szCs w:val="21"/>
          <w:highlight w:val="none"/>
          <w:lang w:val="en-US" w:eastAsia="zh-CN"/>
        </w:rPr>
        <w:t>活动</w:t>
      </w:r>
      <w:r>
        <w:rPr>
          <w:rFonts w:hint="eastAsia" w:ascii="宋体" w:hAnsi="宋体" w:eastAsia="宋体" w:cs="宋体"/>
          <w:b w:val="0"/>
          <w:bCs w:val="0"/>
          <w:kern w:val="0"/>
          <w:sz w:val="21"/>
          <w:szCs w:val="21"/>
          <w:highlight w:val="none"/>
          <w:lang w:val="en-US" w:eastAsia="zh-CN"/>
        </w:rPr>
        <w:t xml:space="preserve">版块4 </w:t>
      </w:r>
      <w:r>
        <w:rPr>
          <w:rFonts w:hint="eastAsia" w:ascii="宋体" w:hAnsi="宋体" w:eastAsia="宋体" w:cs="宋体"/>
          <w:b w:val="0"/>
          <w:bCs w:val="0"/>
          <w:sz w:val="21"/>
          <w:szCs w:val="21"/>
          <w:highlight w:val="none"/>
          <w:lang w:eastAsia="zh-CN"/>
        </w:rPr>
        <w:t>精准诊断与诊断试剂创新专题（拟）、</w:t>
      </w:r>
      <w:r>
        <w:rPr>
          <w:rFonts w:hint="eastAsia" w:ascii="宋体" w:hAnsi="宋体" w:eastAsia="宋体" w:cs="宋体"/>
          <w:b w:val="0"/>
          <w:bCs w:val="0"/>
          <w:sz w:val="21"/>
          <w:szCs w:val="21"/>
          <w:highlight w:val="none"/>
          <w:lang w:val="en-US" w:eastAsia="zh-CN"/>
        </w:rPr>
        <w:t>活动</w:t>
      </w:r>
      <w:r>
        <w:rPr>
          <w:rFonts w:hint="eastAsia" w:ascii="宋体" w:hAnsi="宋体" w:eastAsia="宋体" w:cs="宋体"/>
          <w:b w:val="0"/>
          <w:bCs w:val="0"/>
          <w:kern w:val="0"/>
          <w:sz w:val="21"/>
          <w:szCs w:val="21"/>
          <w:highlight w:val="none"/>
          <w:lang w:val="en-US" w:eastAsia="zh-CN"/>
        </w:rPr>
        <w:t xml:space="preserve">版块5 </w:t>
      </w:r>
      <w:r>
        <w:rPr>
          <w:rFonts w:hint="eastAsia" w:ascii="宋体" w:hAnsi="宋体" w:eastAsia="宋体" w:cs="宋体"/>
          <w:b w:val="0"/>
          <w:bCs w:val="0"/>
          <w:sz w:val="21"/>
          <w:szCs w:val="21"/>
          <w:highlight w:val="none"/>
          <w:lang w:eastAsia="zh-CN"/>
        </w:rPr>
        <w:t>合成生物学与医药创新专题（拟）、</w:t>
      </w:r>
      <w:r>
        <w:rPr>
          <w:rFonts w:hint="eastAsia" w:ascii="宋体" w:hAnsi="宋体" w:eastAsia="宋体" w:cs="宋体"/>
          <w:b w:val="0"/>
          <w:bCs w:val="0"/>
          <w:sz w:val="21"/>
          <w:szCs w:val="21"/>
          <w:highlight w:val="none"/>
          <w:lang w:val="en-US" w:eastAsia="zh-CN"/>
        </w:rPr>
        <w:t>活动</w:t>
      </w:r>
      <w:r>
        <w:rPr>
          <w:rFonts w:hint="eastAsia" w:ascii="宋体" w:hAnsi="宋体" w:eastAsia="宋体" w:cs="宋体"/>
          <w:b w:val="0"/>
          <w:bCs w:val="0"/>
          <w:kern w:val="0"/>
          <w:sz w:val="21"/>
          <w:szCs w:val="21"/>
          <w:highlight w:val="none"/>
          <w:lang w:val="en-US" w:eastAsia="zh-CN"/>
        </w:rPr>
        <w:t xml:space="preserve">版块6 </w:t>
      </w:r>
      <w:r>
        <w:rPr>
          <w:rFonts w:hint="eastAsia" w:ascii="宋体" w:hAnsi="宋体" w:eastAsia="宋体" w:cs="宋体"/>
          <w:b w:val="0"/>
          <w:bCs w:val="0"/>
          <w:sz w:val="21"/>
          <w:szCs w:val="21"/>
          <w:highlight w:val="none"/>
          <w:lang w:eastAsia="zh-CN"/>
        </w:rPr>
        <w:t>前沿技术与未来产业专题（拟）、</w:t>
      </w:r>
      <w:r>
        <w:rPr>
          <w:rFonts w:hint="eastAsia" w:ascii="宋体" w:hAnsi="宋体" w:eastAsia="宋体" w:cs="宋体"/>
          <w:b w:val="0"/>
          <w:bCs w:val="0"/>
          <w:sz w:val="21"/>
          <w:szCs w:val="21"/>
          <w:highlight w:val="none"/>
          <w:lang w:val="en-US" w:eastAsia="zh-CN"/>
        </w:rPr>
        <w:t>1场</w:t>
      </w:r>
      <w:r>
        <w:rPr>
          <w:rFonts w:hint="eastAsia" w:ascii="宋体" w:hAnsi="宋体" w:eastAsia="宋体" w:cs="宋体"/>
          <w:b w:val="0"/>
          <w:bCs w:val="0"/>
          <w:sz w:val="21"/>
          <w:szCs w:val="21"/>
          <w:highlight w:val="none"/>
          <w:lang w:eastAsia="zh-CN"/>
        </w:rPr>
        <w:t>常态化活动（省部共同推进泰州医药高新区建设联席会议第十五次会议）。</w:t>
      </w:r>
    </w:p>
    <w:p w14:paraId="22117EA8">
      <w:pPr>
        <w:spacing w:line="360" w:lineRule="auto"/>
        <w:ind w:firstLine="420" w:firstLineChars="20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根据会议主办方要求，供应商须按本项目“主要服务内容”条款，完成上述全部论坛活动的策划、落地及全过程会务协调保障工作。</w:t>
      </w:r>
    </w:p>
    <w:p w14:paraId="6B828E6D">
      <w:pPr>
        <w:pageBreakBefore w:val="0"/>
        <w:spacing w:line="360" w:lineRule="auto"/>
        <w:ind w:firstLine="422"/>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t>二、服务内容</w:t>
      </w:r>
    </w:p>
    <w:p w14:paraId="2E96DD6B">
      <w:pPr>
        <w:spacing w:line="360" w:lineRule="auto"/>
        <w:ind w:firstLine="422" w:firstLineChars="200"/>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1.活动时间</w:t>
      </w:r>
    </w:p>
    <w:p w14:paraId="740D3ABD">
      <w:pPr>
        <w:spacing w:line="360" w:lineRule="auto"/>
        <w:ind w:firstLine="420" w:firstLineChars="200"/>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kern w:val="0"/>
          <w:sz w:val="21"/>
          <w:szCs w:val="21"/>
          <w:highlight w:val="none"/>
          <w:lang w:val="en-US" w:eastAsia="zh-CN"/>
        </w:rPr>
        <w:t>时间：2026年11月19日—21日（星期四至星期六）。</w:t>
      </w:r>
    </w:p>
    <w:p w14:paraId="12541C7A">
      <w:pPr>
        <w:spacing w:line="360" w:lineRule="auto"/>
        <w:ind w:firstLine="422" w:firstLineChars="200"/>
        <w:rPr>
          <w:rFonts w:hint="eastAsia" w:ascii="宋体" w:hAnsi="宋体" w:eastAsia="宋体" w:cs="宋体"/>
          <w:sz w:val="21"/>
          <w:szCs w:val="21"/>
          <w:highlight w:val="none"/>
          <w:lang w:val="en-US" w:eastAsia="zh-CN"/>
        </w:rPr>
      </w:pPr>
      <w:r>
        <w:rPr>
          <w:rFonts w:hint="eastAsia" w:ascii="宋体" w:hAnsi="宋体" w:eastAsia="宋体" w:cs="宋体"/>
          <w:b/>
          <w:bCs/>
          <w:kern w:val="0"/>
          <w:sz w:val="21"/>
          <w:szCs w:val="21"/>
          <w:highlight w:val="none"/>
          <w:lang w:val="en-US" w:eastAsia="zh-CN"/>
        </w:rPr>
        <w:t>2.活动地点</w:t>
      </w:r>
    </w:p>
    <w:p w14:paraId="55115821">
      <w:pPr>
        <w:spacing w:line="360" w:lineRule="auto"/>
        <w:ind w:firstLine="420" w:firstLineChars="200"/>
        <w:rPr>
          <w:rFonts w:hint="eastAsia" w:ascii="宋体" w:hAnsi="宋体" w:eastAsia="宋体" w:cs="宋体"/>
          <w:kern w:val="0"/>
          <w:sz w:val="21"/>
          <w:szCs w:val="21"/>
          <w:highlight w:val="none"/>
          <w:lang w:val="en-US" w:eastAsia="zh-CN"/>
        </w:rPr>
      </w:pPr>
      <w:r>
        <w:rPr>
          <w:rFonts w:hint="eastAsia" w:ascii="宋体" w:hAnsi="宋体" w:eastAsia="宋体" w:cs="宋体"/>
          <w:color w:val="FF0000"/>
          <w:kern w:val="0"/>
          <w:sz w:val="21"/>
          <w:szCs w:val="21"/>
          <w:highlight w:val="none"/>
          <w:lang w:val="en-US" w:eastAsia="zh-CN"/>
        </w:rPr>
        <w:t>地点：泰州市天德湖宾馆。</w:t>
      </w:r>
      <w:r>
        <w:rPr>
          <w:rFonts w:hint="eastAsia" w:ascii="宋体" w:hAnsi="宋体" w:eastAsia="宋体" w:cs="宋体"/>
          <w:kern w:val="0"/>
          <w:sz w:val="21"/>
          <w:szCs w:val="21"/>
          <w:highlight w:val="none"/>
          <w:lang w:val="en-US" w:eastAsia="zh-CN"/>
        </w:rPr>
        <w:t>宾馆配备不同规格会议室及大中小型分会场，可同步承办开幕式、主旨报告、创新生态矩阵 6 场专题活动、联席会议等多场活动。</w:t>
      </w:r>
    </w:p>
    <w:p w14:paraId="7F507D34">
      <w:pPr>
        <w:pageBreakBefore w:val="0"/>
        <w:spacing w:line="360" w:lineRule="auto"/>
        <w:ind w:firstLine="420"/>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3.活动构成</w:t>
      </w:r>
      <w:r>
        <w:rPr>
          <w:rFonts w:hint="eastAsia" w:ascii="宋体" w:hAnsi="宋体" w:eastAsia="宋体" w:cs="宋体"/>
          <w:b/>
          <w:bCs/>
          <w:sz w:val="21"/>
          <w:szCs w:val="21"/>
          <w:highlight w:val="none"/>
          <w:lang w:eastAsia="zh-CN"/>
        </w:rPr>
        <w:t>：</w:t>
      </w:r>
    </w:p>
    <w:p w14:paraId="5CAE5C9E">
      <w:pPr>
        <w:pageBreakBefore w:val="0"/>
        <w:spacing w:line="360" w:lineRule="auto"/>
        <w:ind w:firstLine="420"/>
        <w:rPr>
          <w:rFonts w:hint="eastAsia" w:ascii="宋体" w:hAnsi="宋体" w:eastAsia="宋体" w:cs="宋体"/>
          <w:b/>
          <w:bCs/>
          <w:color w:val="auto"/>
          <w:sz w:val="21"/>
          <w:szCs w:val="21"/>
          <w:highlight w:val="none"/>
          <w:lang w:val="en-US" w:eastAsia="zh-CN"/>
        </w:rPr>
      </w:pPr>
      <w:r>
        <w:rPr>
          <w:rFonts w:hint="eastAsia" w:ascii="宋体" w:hAnsi="宋体" w:eastAsia="宋体" w:cs="宋体"/>
          <w:sz w:val="21"/>
          <w:szCs w:val="21"/>
          <w:highlight w:val="none"/>
          <w:lang w:val="en-US" w:eastAsia="zh-CN"/>
        </w:rPr>
        <w:t>（1）</w:t>
      </w:r>
      <w:r>
        <w:rPr>
          <w:rFonts w:hint="eastAsia" w:ascii="宋体" w:hAnsi="宋体" w:eastAsia="宋体" w:cs="宋体"/>
          <w:b/>
          <w:bCs/>
          <w:sz w:val="21"/>
          <w:szCs w:val="21"/>
          <w:highlight w:val="none"/>
          <w:lang w:eastAsia="zh-CN"/>
        </w:rPr>
        <w:t>开幕式+主旨报告</w:t>
      </w:r>
      <w:r>
        <w:rPr>
          <w:rFonts w:hint="eastAsia" w:ascii="宋体" w:hAnsi="宋体" w:eastAsia="宋体" w:cs="宋体"/>
          <w:sz w:val="21"/>
          <w:szCs w:val="21"/>
          <w:highlight w:val="none"/>
          <w:lang w:val="en-US" w:eastAsia="zh-CN"/>
        </w:rPr>
        <w:t>，</w:t>
      </w:r>
      <w:r>
        <w:rPr>
          <w:rFonts w:hint="eastAsia" w:ascii="宋体" w:hAnsi="宋体" w:eastAsia="宋体" w:cs="宋体"/>
          <w:b/>
          <w:bCs/>
          <w:sz w:val="21"/>
          <w:szCs w:val="21"/>
          <w:highlight w:val="none"/>
          <w:lang w:val="en-US" w:eastAsia="zh-CN"/>
        </w:rPr>
        <w:t>11月20日上午，</w:t>
      </w:r>
      <w:r>
        <w:rPr>
          <w:rFonts w:hint="eastAsia" w:ascii="宋体" w:hAnsi="宋体" w:eastAsia="宋体" w:cs="宋体"/>
          <w:b/>
          <w:bCs/>
          <w:color w:val="auto"/>
          <w:sz w:val="21"/>
          <w:szCs w:val="21"/>
          <w:highlight w:val="none"/>
          <w:lang w:val="en-US" w:eastAsia="zh-CN"/>
        </w:rPr>
        <w:t>时间半天；</w:t>
      </w:r>
    </w:p>
    <w:p w14:paraId="6D6B7492">
      <w:pPr>
        <w:pStyle w:val="2"/>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eastAsia="zh-CN"/>
        </w:rPr>
        <w:t>创新生态矩阵活动设6</w:t>
      </w:r>
      <w:r>
        <w:rPr>
          <w:rFonts w:hint="eastAsia" w:ascii="宋体" w:hAnsi="宋体" w:eastAsia="宋体" w:cs="宋体"/>
          <w:sz w:val="21"/>
          <w:szCs w:val="21"/>
          <w:highlight w:val="none"/>
          <w:lang w:val="en-US" w:eastAsia="zh-CN"/>
        </w:rPr>
        <w:t>大</w:t>
      </w:r>
      <w:r>
        <w:rPr>
          <w:rFonts w:hint="eastAsia" w:ascii="宋体" w:hAnsi="宋体" w:eastAsia="宋体" w:cs="宋体"/>
          <w:sz w:val="21"/>
          <w:szCs w:val="21"/>
          <w:highlight w:val="none"/>
          <w:lang w:eastAsia="zh-CN"/>
        </w:rPr>
        <w:t>版块</w:t>
      </w:r>
      <w:r>
        <w:rPr>
          <w:rFonts w:hint="eastAsia" w:ascii="宋体" w:hAnsi="宋体" w:eastAsia="宋体" w:cs="宋体"/>
          <w:sz w:val="21"/>
          <w:szCs w:val="21"/>
          <w:highlight w:val="none"/>
          <w:lang w:val="en-US" w:eastAsia="zh-CN"/>
        </w:rPr>
        <w:t>专题活动</w:t>
      </w:r>
      <w:r>
        <w:rPr>
          <w:rFonts w:hint="eastAsia" w:ascii="宋体" w:hAnsi="宋体" w:eastAsia="宋体" w:cs="宋体"/>
          <w:sz w:val="21"/>
          <w:szCs w:val="21"/>
          <w:highlight w:val="none"/>
          <w:lang w:eastAsia="zh-CN"/>
        </w:rPr>
        <w:t>：</w:t>
      </w:r>
    </w:p>
    <w:p w14:paraId="175D38F4">
      <w:pPr>
        <w:spacing w:line="360" w:lineRule="auto"/>
        <w:ind w:left="210" w:leftChars="100" w:firstLine="630" w:firstLineChars="30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版块1：疫苗创新研发与产业化专题</w:t>
      </w:r>
      <w:r>
        <w:rPr>
          <w:rFonts w:hint="eastAsia" w:ascii="宋体" w:hAnsi="宋体" w:eastAsia="宋体" w:cs="宋体"/>
          <w:sz w:val="21"/>
          <w:szCs w:val="21"/>
          <w:highlight w:val="none"/>
          <w:lang w:eastAsia="zh-CN"/>
        </w:rPr>
        <w:t>（拟）</w:t>
      </w:r>
    </w:p>
    <w:p w14:paraId="5529749D">
      <w:pPr>
        <w:spacing w:line="360" w:lineRule="auto"/>
        <w:ind w:left="210" w:leftChars="100" w:firstLine="630" w:firstLineChars="30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版块2：抗体研发创新与产业化专题</w:t>
      </w:r>
      <w:r>
        <w:rPr>
          <w:rFonts w:hint="eastAsia" w:ascii="宋体" w:hAnsi="宋体" w:eastAsia="宋体" w:cs="宋体"/>
          <w:sz w:val="21"/>
          <w:szCs w:val="21"/>
          <w:highlight w:val="none"/>
          <w:lang w:eastAsia="zh-CN"/>
        </w:rPr>
        <w:t>（拟）</w:t>
      </w:r>
    </w:p>
    <w:p w14:paraId="11818FDD">
      <w:pPr>
        <w:spacing w:line="360" w:lineRule="auto"/>
        <w:ind w:left="210" w:leftChars="100" w:firstLine="630" w:firstLineChars="30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版块3：合成生物学与兽药创新发展专题</w:t>
      </w:r>
      <w:r>
        <w:rPr>
          <w:rFonts w:hint="eastAsia" w:ascii="宋体" w:hAnsi="宋体" w:eastAsia="宋体" w:cs="宋体"/>
          <w:sz w:val="21"/>
          <w:szCs w:val="21"/>
          <w:highlight w:val="none"/>
          <w:lang w:eastAsia="zh-CN"/>
        </w:rPr>
        <w:t>（拟）</w:t>
      </w:r>
    </w:p>
    <w:p w14:paraId="4E55192A">
      <w:pPr>
        <w:spacing w:line="360" w:lineRule="auto"/>
        <w:ind w:left="210" w:leftChars="100" w:firstLine="630" w:firstLineChars="30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版块4：精准诊断与诊断试剂创新专题</w:t>
      </w:r>
      <w:r>
        <w:rPr>
          <w:rFonts w:hint="eastAsia" w:ascii="宋体" w:hAnsi="宋体" w:eastAsia="宋体" w:cs="宋体"/>
          <w:sz w:val="21"/>
          <w:szCs w:val="21"/>
          <w:highlight w:val="none"/>
          <w:lang w:eastAsia="zh-CN"/>
        </w:rPr>
        <w:t>（拟）</w:t>
      </w:r>
    </w:p>
    <w:p w14:paraId="33C96379">
      <w:pPr>
        <w:spacing w:line="360" w:lineRule="auto"/>
        <w:ind w:left="210" w:leftChars="100" w:firstLine="630" w:firstLineChars="30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版块5：合成生物学与医药创新专题</w:t>
      </w:r>
      <w:r>
        <w:rPr>
          <w:rFonts w:hint="eastAsia" w:ascii="宋体" w:hAnsi="宋体" w:eastAsia="宋体" w:cs="宋体"/>
          <w:sz w:val="21"/>
          <w:szCs w:val="21"/>
          <w:highlight w:val="none"/>
          <w:lang w:eastAsia="zh-CN"/>
        </w:rPr>
        <w:t>（拟）</w:t>
      </w:r>
    </w:p>
    <w:p w14:paraId="0AF9184B">
      <w:pPr>
        <w:spacing w:line="360" w:lineRule="auto"/>
        <w:ind w:left="210" w:leftChars="100" w:firstLine="630" w:firstLineChars="30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版块6：前沿技术与未来产业专题</w:t>
      </w:r>
      <w:r>
        <w:rPr>
          <w:rFonts w:hint="eastAsia" w:ascii="宋体" w:hAnsi="宋体" w:eastAsia="宋体" w:cs="宋体"/>
          <w:sz w:val="21"/>
          <w:szCs w:val="21"/>
          <w:highlight w:val="none"/>
          <w:lang w:eastAsia="zh-CN"/>
        </w:rPr>
        <w:t>（拟）</w:t>
      </w:r>
    </w:p>
    <w:p w14:paraId="2792F9D3">
      <w:pPr>
        <w:pStyle w:val="2"/>
        <w:spacing w:line="360" w:lineRule="auto"/>
        <w:ind w:firstLine="843" w:firstLineChars="40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每场活动时间一天半；</w:t>
      </w:r>
    </w:p>
    <w:p w14:paraId="7B32440B">
      <w:pPr>
        <w:spacing w:line="360" w:lineRule="auto"/>
        <w:ind w:firstLine="420"/>
        <w:rPr>
          <w:rFonts w:hint="eastAsia" w:ascii="宋体" w:hAnsi="宋体" w:eastAsia="宋体" w:cs="宋体"/>
          <w:b/>
          <w:bCs/>
          <w:color w:val="auto"/>
          <w:sz w:val="21"/>
          <w:szCs w:val="21"/>
          <w:highlight w:val="none"/>
          <w:lang w:val="en-US" w:eastAsia="zh-CN"/>
        </w:rPr>
      </w:pPr>
      <w:r>
        <w:rPr>
          <w:rFonts w:hint="eastAsia" w:ascii="宋体" w:hAnsi="宋体" w:eastAsia="宋体" w:cs="宋体"/>
          <w:sz w:val="21"/>
          <w:szCs w:val="21"/>
          <w:highlight w:val="none"/>
          <w:lang w:val="en-US" w:eastAsia="zh-CN"/>
        </w:rPr>
        <w:t>（3）常态化活动（</w:t>
      </w:r>
      <w:r>
        <w:rPr>
          <w:rFonts w:hint="eastAsia" w:ascii="宋体" w:hAnsi="宋体" w:eastAsia="宋体" w:cs="宋体"/>
          <w:sz w:val="21"/>
          <w:szCs w:val="21"/>
          <w:highlight w:val="none"/>
          <w:lang w:eastAsia="zh-CN"/>
        </w:rPr>
        <w:t>省部共同推进泰州医药高新区建设联席会议第十</w:t>
      </w:r>
      <w:r>
        <w:rPr>
          <w:rFonts w:hint="eastAsia" w:ascii="宋体" w:hAnsi="宋体" w:eastAsia="宋体" w:cs="宋体"/>
          <w:sz w:val="21"/>
          <w:szCs w:val="21"/>
          <w:highlight w:val="none"/>
          <w:lang w:val="en-US" w:eastAsia="zh-CN"/>
        </w:rPr>
        <w:t>五</w:t>
      </w:r>
      <w:r>
        <w:rPr>
          <w:rFonts w:hint="eastAsia" w:ascii="宋体" w:hAnsi="宋体" w:eastAsia="宋体" w:cs="宋体"/>
          <w:sz w:val="21"/>
          <w:szCs w:val="21"/>
          <w:highlight w:val="none"/>
          <w:lang w:eastAsia="zh-CN"/>
        </w:rPr>
        <w:t>次会议</w:t>
      </w:r>
      <w:r>
        <w:rPr>
          <w:rFonts w:hint="eastAsia" w:ascii="宋体" w:hAnsi="宋体" w:eastAsia="宋体" w:cs="宋体"/>
          <w:sz w:val="21"/>
          <w:szCs w:val="21"/>
          <w:highlight w:val="none"/>
          <w:lang w:val="en-US" w:eastAsia="zh-CN"/>
        </w:rPr>
        <w:t>）</w:t>
      </w:r>
      <w:r>
        <w:rPr>
          <w:rFonts w:hint="eastAsia" w:ascii="宋体" w:hAnsi="宋体" w:eastAsia="宋体" w:cs="宋体"/>
          <w:color w:val="auto"/>
          <w:sz w:val="21"/>
          <w:szCs w:val="21"/>
          <w:highlight w:val="none"/>
          <w:lang w:val="en-US" w:eastAsia="zh-CN"/>
        </w:rPr>
        <w:t>，</w:t>
      </w:r>
      <w:r>
        <w:rPr>
          <w:rFonts w:hint="eastAsia" w:ascii="宋体" w:hAnsi="宋体" w:eastAsia="宋体" w:cs="宋体"/>
          <w:b/>
          <w:bCs/>
          <w:color w:val="auto"/>
          <w:sz w:val="21"/>
          <w:szCs w:val="21"/>
          <w:highlight w:val="none"/>
          <w:lang w:val="en-US" w:eastAsia="zh-CN"/>
        </w:rPr>
        <w:t>时间待定。</w:t>
      </w:r>
    </w:p>
    <w:p w14:paraId="7B0C5DC2">
      <w:pPr>
        <w:numPr>
          <w:ilvl w:val="0"/>
          <w:numId w:val="0"/>
        </w:numPr>
        <w:spacing w:line="360" w:lineRule="auto"/>
        <w:ind w:firstLine="422" w:firstLineChars="200"/>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4.论坛规模要求</w:t>
      </w:r>
    </w:p>
    <w:p w14:paraId="717D2424">
      <w:pPr>
        <w:numPr>
          <w:ilvl w:val="0"/>
          <w:numId w:val="0"/>
        </w:numPr>
        <w:spacing w:line="360" w:lineRule="auto"/>
        <w:ind w:firstLine="420" w:firstLineChars="20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w:t>
      </w:r>
      <w:r>
        <w:rPr>
          <w:rFonts w:hint="eastAsia" w:ascii="宋体" w:hAnsi="宋体" w:eastAsia="宋体" w:cs="宋体"/>
          <w:b w:val="0"/>
          <w:bCs w:val="0"/>
          <w:sz w:val="21"/>
          <w:szCs w:val="21"/>
          <w:highlight w:val="none"/>
          <w:lang w:eastAsia="zh-CN"/>
        </w:rPr>
        <w:t>开幕式+主旨报告</w:t>
      </w:r>
      <w:r>
        <w:rPr>
          <w:rFonts w:hint="eastAsia" w:ascii="宋体" w:hAnsi="宋体" w:eastAsia="宋体" w:cs="宋体"/>
          <w:kern w:val="0"/>
          <w:sz w:val="21"/>
          <w:szCs w:val="21"/>
          <w:highlight w:val="none"/>
          <w:lang w:val="en-US" w:eastAsia="zh-CN"/>
        </w:rPr>
        <w:t>≥1500人；</w:t>
      </w:r>
    </w:p>
    <w:p w14:paraId="0BBF6D8A">
      <w:pPr>
        <w:numPr>
          <w:ilvl w:val="0"/>
          <w:numId w:val="0"/>
        </w:numPr>
        <w:spacing w:line="360" w:lineRule="auto"/>
        <w:ind w:firstLine="420" w:firstLineChars="20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（2）省部共建联席会议≥20人；</w:t>
      </w:r>
    </w:p>
    <w:p w14:paraId="0B94ED04">
      <w:pPr>
        <w:numPr>
          <w:ilvl w:val="0"/>
          <w:numId w:val="0"/>
        </w:num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lang w:val="en-US" w:eastAsia="zh-CN"/>
        </w:rPr>
        <w:t>（3）每个专题活动≥150人。</w:t>
      </w:r>
    </w:p>
    <w:p w14:paraId="5608308C">
      <w:pPr>
        <w:pStyle w:val="2"/>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注：最终以实际参会人数为准。</w:t>
      </w:r>
    </w:p>
    <w:p w14:paraId="1DF3BA49">
      <w:pPr>
        <w:numPr>
          <w:ilvl w:val="0"/>
          <w:numId w:val="0"/>
        </w:numPr>
        <w:spacing w:line="360" w:lineRule="auto"/>
        <w:ind w:firstLine="422" w:firstLineChars="200"/>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5.主要服务内容：</w:t>
      </w:r>
    </w:p>
    <w:p w14:paraId="7A3FC330">
      <w:pPr>
        <w:numPr>
          <w:ilvl w:val="0"/>
          <w:numId w:val="0"/>
        </w:num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kern w:val="0"/>
          <w:sz w:val="21"/>
          <w:szCs w:val="21"/>
          <w:highlight w:val="none"/>
          <w:lang w:eastAsia="zh-CN"/>
        </w:rPr>
        <w:t>根据会议主办方要求，供应商须做好中国医药城大健康产业论坛全程各项活动的具体策划与执行工作，具体内容包括但不限于：</w:t>
      </w:r>
      <w:r>
        <w:rPr>
          <w:rFonts w:hint="eastAsia" w:ascii="宋体" w:hAnsi="宋体" w:cs="宋体"/>
          <w:kern w:val="0"/>
          <w:sz w:val="21"/>
          <w:szCs w:val="21"/>
          <w:highlight w:val="none"/>
          <w:lang w:eastAsia="zh-CN"/>
        </w:rPr>
        <w:t>活动</w:t>
      </w:r>
      <w:r>
        <w:rPr>
          <w:rFonts w:hint="eastAsia" w:ascii="宋体" w:hAnsi="宋体" w:eastAsia="宋体" w:cs="宋体"/>
          <w:kern w:val="0"/>
          <w:sz w:val="21"/>
          <w:szCs w:val="21"/>
          <w:highlight w:val="none"/>
          <w:lang w:val="en-US" w:eastAsia="zh-CN"/>
        </w:rPr>
        <w:t>整体</w:t>
      </w:r>
      <w:r>
        <w:rPr>
          <w:rFonts w:hint="eastAsia" w:ascii="宋体" w:hAnsi="宋体" w:eastAsia="宋体" w:cs="宋体"/>
          <w:kern w:val="0"/>
          <w:sz w:val="21"/>
          <w:szCs w:val="21"/>
          <w:highlight w:val="none"/>
          <w:lang w:eastAsia="zh-CN"/>
        </w:rPr>
        <w:t>策划、</w:t>
      </w:r>
      <w:r>
        <w:rPr>
          <w:rFonts w:hint="eastAsia" w:ascii="宋体" w:hAnsi="宋体" w:eastAsia="宋体" w:cs="宋体"/>
          <w:sz w:val="21"/>
          <w:szCs w:val="21"/>
          <w:highlight w:val="none"/>
          <w:lang w:val="en-US" w:eastAsia="zh-CN"/>
        </w:rPr>
        <w:t>视觉设计、签到注册、</w:t>
      </w:r>
      <w:r>
        <w:rPr>
          <w:rFonts w:hint="eastAsia" w:ascii="宋体" w:hAnsi="宋体" w:eastAsia="宋体" w:cs="宋体"/>
          <w:kern w:val="0"/>
          <w:sz w:val="21"/>
          <w:szCs w:val="21"/>
          <w:highlight w:val="none"/>
          <w:lang w:eastAsia="zh-CN"/>
        </w:rPr>
        <w:t>活动推广、会务组织、会务执行、嘉宾邀请、</w:t>
      </w:r>
      <w:r>
        <w:rPr>
          <w:rFonts w:hint="eastAsia" w:ascii="宋体" w:hAnsi="宋体" w:eastAsia="宋体" w:cs="宋体"/>
          <w:kern w:val="0"/>
          <w:sz w:val="21"/>
          <w:szCs w:val="21"/>
          <w:highlight w:val="none"/>
          <w:lang w:val="en-US" w:eastAsia="zh-CN"/>
        </w:rPr>
        <w:t>成果展示、</w:t>
      </w:r>
      <w:r>
        <w:rPr>
          <w:rFonts w:hint="eastAsia" w:ascii="宋体" w:hAnsi="宋体" w:eastAsia="宋体" w:cs="宋体"/>
          <w:kern w:val="0"/>
          <w:sz w:val="21"/>
          <w:szCs w:val="21"/>
          <w:highlight w:val="none"/>
          <w:lang w:eastAsia="zh-CN"/>
        </w:rPr>
        <w:t>摄影摄像、会场搭建和服务（</w:t>
      </w:r>
      <w:r>
        <w:rPr>
          <w:rFonts w:hint="eastAsia" w:ascii="宋体" w:hAnsi="宋体" w:eastAsia="宋体" w:cs="宋体"/>
          <w:sz w:val="21"/>
          <w:szCs w:val="21"/>
          <w:highlight w:val="none"/>
          <w:lang w:val="en-US" w:eastAsia="zh-CN"/>
        </w:rPr>
        <w:t>包括主会场及分会议室的规划、场馆室内外的氛围布置等）</w:t>
      </w:r>
      <w:r>
        <w:rPr>
          <w:rFonts w:hint="eastAsia" w:ascii="宋体" w:hAnsi="宋体" w:eastAsia="宋体" w:cs="宋体"/>
          <w:kern w:val="0"/>
          <w:sz w:val="21"/>
          <w:szCs w:val="21"/>
          <w:highlight w:val="none"/>
          <w:lang w:eastAsia="zh-CN"/>
        </w:rPr>
        <w:t>、</w:t>
      </w:r>
      <w:r>
        <w:rPr>
          <w:rFonts w:hint="eastAsia" w:ascii="宋体" w:hAnsi="宋体" w:eastAsia="宋体" w:cs="宋体"/>
          <w:sz w:val="21"/>
          <w:szCs w:val="21"/>
          <w:highlight w:val="none"/>
          <w:lang w:val="en-US" w:eastAsia="zh-CN"/>
        </w:rPr>
        <w:t>重要嘉宾及演讲嘉宾的交通、住宿、餐饮、接送等</w:t>
      </w:r>
      <w:r>
        <w:rPr>
          <w:rFonts w:hint="eastAsia" w:ascii="宋体" w:hAnsi="宋体" w:eastAsia="宋体" w:cs="宋体"/>
          <w:kern w:val="0"/>
          <w:sz w:val="21"/>
          <w:szCs w:val="21"/>
          <w:highlight w:val="none"/>
          <w:lang w:eastAsia="zh-CN"/>
        </w:rPr>
        <w:t>接待保障</w:t>
      </w:r>
      <w:r>
        <w:rPr>
          <w:rFonts w:hint="eastAsia" w:ascii="宋体" w:hAnsi="宋体" w:eastAsia="宋体" w:cs="宋体"/>
          <w:kern w:val="0"/>
          <w:sz w:val="21"/>
          <w:szCs w:val="21"/>
          <w:highlight w:val="none"/>
          <w:lang w:val="en-US" w:eastAsia="zh-CN"/>
        </w:rPr>
        <w:t>工作、</w:t>
      </w:r>
      <w:r>
        <w:rPr>
          <w:rFonts w:hint="eastAsia" w:ascii="宋体" w:hAnsi="宋体" w:eastAsia="宋体" w:cs="宋体"/>
          <w:kern w:val="0"/>
          <w:sz w:val="21"/>
          <w:szCs w:val="21"/>
          <w:highlight w:val="none"/>
          <w:lang w:eastAsia="zh-CN"/>
        </w:rPr>
        <w:t>宣传</w:t>
      </w:r>
      <w:r>
        <w:rPr>
          <w:rFonts w:hint="eastAsia" w:ascii="宋体" w:hAnsi="宋体" w:eastAsia="宋体" w:cs="宋体"/>
          <w:kern w:val="0"/>
          <w:sz w:val="21"/>
          <w:szCs w:val="21"/>
          <w:highlight w:val="none"/>
          <w:lang w:val="en-US" w:eastAsia="zh-CN"/>
        </w:rPr>
        <w:t>报道</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印刷及</w:t>
      </w:r>
      <w:r>
        <w:rPr>
          <w:rFonts w:hint="eastAsia" w:ascii="宋体" w:hAnsi="宋体" w:eastAsia="宋体" w:cs="宋体"/>
          <w:kern w:val="0"/>
          <w:sz w:val="21"/>
          <w:szCs w:val="21"/>
          <w:highlight w:val="none"/>
          <w:lang w:eastAsia="zh-CN"/>
        </w:rPr>
        <w:t>物料保障，以及礼仪、速记、</w:t>
      </w:r>
      <w:r>
        <w:rPr>
          <w:rFonts w:hint="eastAsia" w:ascii="宋体" w:hAnsi="宋体" w:eastAsia="宋体" w:cs="宋体"/>
          <w:kern w:val="0"/>
          <w:sz w:val="21"/>
          <w:szCs w:val="21"/>
          <w:highlight w:val="none"/>
          <w:lang w:val="en-US" w:eastAsia="zh-CN"/>
        </w:rPr>
        <w:t>直播</w:t>
      </w:r>
      <w:r>
        <w:rPr>
          <w:rFonts w:hint="eastAsia" w:ascii="宋体" w:hAnsi="宋体" w:eastAsia="宋体" w:cs="宋体"/>
          <w:kern w:val="0"/>
          <w:sz w:val="21"/>
          <w:szCs w:val="21"/>
          <w:highlight w:val="none"/>
          <w:lang w:eastAsia="zh-CN"/>
        </w:rPr>
        <w:t>等相关会议协调保障工作。</w:t>
      </w:r>
    </w:p>
    <w:p w14:paraId="0A63E90A">
      <w:pPr>
        <w:pageBreakBefore w:val="0"/>
        <w:spacing w:line="360" w:lineRule="auto"/>
        <w:ind w:firstLine="422" w:firstLineChars="200"/>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6.服务要求</w:t>
      </w:r>
    </w:p>
    <w:p w14:paraId="16C42F98">
      <w:pPr>
        <w:pageBreakBefore w:val="0"/>
        <w:spacing w:line="360" w:lineRule="auto"/>
        <w:ind w:firstLine="420"/>
        <w:rPr>
          <w:rFonts w:hint="eastAsia" w:ascii="宋体" w:hAnsi="宋体" w:eastAsia="宋体" w:cs="宋体"/>
          <w:b w:val="0"/>
          <w:bCs w:val="0"/>
          <w:sz w:val="21"/>
          <w:szCs w:val="21"/>
          <w:highlight w:val="none"/>
          <w:lang w:val="en-US" w:eastAsia="zh-CN"/>
        </w:rPr>
      </w:pPr>
      <w:r>
        <w:rPr>
          <w:rFonts w:hint="eastAsia" w:ascii="宋体" w:hAnsi="宋体" w:eastAsia="宋体" w:cs="宋体"/>
          <w:sz w:val="21"/>
          <w:szCs w:val="21"/>
          <w:highlight w:val="none"/>
          <w:lang w:val="en-US" w:eastAsia="zh-CN"/>
        </w:rPr>
        <w:t>（1）负责此次活动的策划、组织及现场执行工作，</w:t>
      </w:r>
      <w:r>
        <w:rPr>
          <w:rFonts w:hint="eastAsia" w:ascii="宋体" w:hAnsi="宋体" w:eastAsia="宋体" w:cs="宋体"/>
          <w:b w:val="0"/>
          <w:bCs w:val="0"/>
          <w:kern w:val="0"/>
          <w:sz w:val="21"/>
          <w:szCs w:val="21"/>
          <w:highlight w:val="none"/>
          <w:lang w:val="en-US" w:eastAsia="zh-CN"/>
        </w:rPr>
        <w:t>编制现场及突发状况应急预案；</w:t>
      </w:r>
    </w:p>
    <w:p w14:paraId="193D2073">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（2）负责本次活动的相关会务接待、车辆租赁工作；</w:t>
      </w:r>
    </w:p>
    <w:p w14:paraId="20FAAD24">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（3）负责本次活动的会场布置、舞台搭建、音响配套及活动氛围布置；</w:t>
      </w:r>
    </w:p>
    <w:p w14:paraId="74F208F0">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（4）负责在活动相关媒体宣传报道；</w:t>
      </w:r>
    </w:p>
    <w:p w14:paraId="3373670E">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（5）负责本次活动的相关视频、图片资料的留存工作；</w:t>
      </w:r>
    </w:p>
    <w:p w14:paraId="61014337">
      <w:pPr>
        <w:spacing w:line="360" w:lineRule="auto"/>
        <w:ind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负责邀请生物医药及大健康产业不少于50位重量级报告嘉宾，涵盖行业协会/学会等行业组织负责人，上市公司、龙头企业及知名企业创始人、董事长、总经理和高管，高校、科研院所教授/研究员及科研机构带头人，权威机构、金融机构创始人、首席分析师、知名专家等；</w:t>
      </w:r>
    </w:p>
    <w:p w14:paraId="33445AF4">
      <w:pPr>
        <w:spacing w:line="360" w:lineRule="auto"/>
        <w:ind w:firstLine="420" w:firstLineChars="200"/>
        <w:rPr>
          <w:rFonts w:hint="eastAsia" w:ascii="宋体" w:hAnsi="宋体" w:eastAsia="宋体" w:cs="宋体"/>
          <w:i w:val="0"/>
          <w:iCs w:val="0"/>
          <w:caps w:val="0"/>
          <w:color w:val="auto"/>
          <w:spacing w:val="0"/>
          <w:sz w:val="21"/>
          <w:szCs w:val="21"/>
          <w:highlight w:val="none"/>
          <w:shd w:val="clear" w:fill="auto"/>
          <w:lang w:val="en-US" w:eastAsia="zh-CN"/>
        </w:rPr>
      </w:pPr>
      <w:r>
        <w:rPr>
          <w:rFonts w:hint="eastAsia" w:ascii="宋体" w:hAnsi="宋体" w:eastAsia="宋体" w:cs="宋体"/>
          <w:kern w:val="0"/>
          <w:sz w:val="21"/>
          <w:szCs w:val="21"/>
          <w:highlight w:val="none"/>
          <w:lang w:val="en-US" w:eastAsia="zh-CN"/>
        </w:rPr>
        <w:t>（7）</w:t>
      </w:r>
      <w:r>
        <w:rPr>
          <w:rFonts w:hint="eastAsia" w:ascii="宋体" w:hAnsi="宋体" w:eastAsia="宋体" w:cs="宋体"/>
          <w:i w:val="0"/>
          <w:iCs w:val="0"/>
          <w:caps w:val="0"/>
          <w:color w:val="auto"/>
          <w:spacing w:val="0"/>
          <w:sz w:val="21"/>
          <w:szCs w:val="21"/>
          <w:highlight w:val="none"/>
          <w:shd w:val="clear" w:fill="auto"/>
        </w:rPr>
        <w:t>统筹嘉宾邀约与议题策划，组织嘉宾开展前沿性报告与交流。议题设置以“四链融合”为主线，聚焦生物医药</w:t>
      </w:r>
      <w:r>
        <w:rPr>
          <w:rFonts w:hint="eastAsia" w:ascii="宋体" w:hAnsi="宋体" w:eastAsia="宋体" w:cs="宋体"/>
          <w:i w:val="0"/>
          <w:iCs w:val="0"/>
          <w:caps w:val="0"/>
          <w:color w:val="auto"/>
          <w:spacing w:val="0"/>
          <w:sz w:val="21"/>
          <w:szCs w:val="21"/>
          <w:highlight w:val="none"/>
          <w:shd w:val="clear" w:fill="auto"/>
          <w:lang w:val="en-US" w:eastAsia="zh-CN"/>
        </w:rPr>
        <w:t>及</w:t>
      </w:r>
      <w:r>
        <w:rPr>
          <w:rFonts w:hint="eastAsia" w:ascii="宋体" w:hAnsi="宋体" w:eastAsia="宋体" w:cs="宋体"/>
          <w:i w:val="0"/>
          <w:iCs w:val="0"/>
          <w:caps w:val="0"/>
          <w:color w:val="auto"/>
          <w:spacing w:val="0"/>
          <w:sz w:val="21"/>
          <w:szCs w:val="21"/>
          <w:highlight w:val="none"/>
          <w:shd w:val="clear" w:fill="auto"/>
        </w:rPr>
        <w:t>大健康产业的投资与创新、金融赋能、AI赋能、</w:t>
      </w:r>
      <w:r>
        <w:rPr>
          <w:rFonts w:hint="eastAsia" w:ascii="宋体" w:hAnsi="宋体" w:eastAsia="宋体" w:cs="宋体"/>
          <w:i w:val="0"/>
          <w:iCs w:val="0"/>
          <w:caps w:val="0"/>
          <w:color w:val="auto"/>
          <w:spacing w:val="0"/>
          <w:sz w:val="21"/>
          <w:szCs w:val="21"/>
          <w:highlight w:val="none"/>
          <w:shd w:val="clear" w:fill="auto"/>
          <w:lang w:val="en-US" w:eastAsia="zh-CN"/>
        </w:rPr>
        <w:t>智慧医疗、主动健康与健康老龄化、</w:t>
      </w:r>
      <w:r>
        <w:rPr>
          <w:rFonts w:hint="eastAsia" w:ascii="宋体" w:hAnsi="宋体" w:eastAsia="宋体" w:cs="宋体"/>
          <w:i w:val="0"/>
          <w:iCs w:val="0"/>
          <w:caps w:val="0"/>
          <w:color w:val="auto"/>
          <w:spacing w:val="0"/>
          <w:sz w:val="21"/>
          <w:szCs w:val="21"/>
          <w:highlight w:val="none"/>
          <w:shd w:val="clear" w:fill="auto"/>
        </w:rPr>
        <w:t>政策法规、创新出海、产业链现代化，以及合成生物在抗体、疫苗、宠物药、诊断试剂等领域的应用与发展等方向，着力推动创新链、产业链、资金链、人才链深度融合</w:t>
      </w:r>
      <w:r>
        <w:rPr>
          <w:rFonts w:hint="eastAsia" w:ascii="宋体" w:hAnsi="宋体" w:eastAsia="宋体" w:cs="宋体"/>
          <w:i w:val="0"/>
          <w:iCs w:val="0"/>
          <w:caps w:val="0"/>
          <w:color w:val="auto"/>
          <w:spacing w:val="0"/>
          <w:sz w:val="21"/>
          <w:szCs w:val="21"/>
          <w:highlight w:val="none"/>
          <w:shd w:val="clear" w:fill="auto"/>
          <w:lang w:eastAsia="zh-CN"/>
        </w:rPr>
        <w:t>；</w:t>
      </w:r>
    </w:p>
    <w:p w14:paraId="22C5BD16">
      <w:pPr>
        <w:spacing w:line="360" w:lineRule="auto"/>
        <w:ind w:firstLine="420" w:firstLineChars="200"/>
        <w:rPr>
          <w:rFonts w:hint="eastAsia" w:ascii="宋体" w:hAnsi="宋体" w:eastAsia="宋体" w:cs="宋体"/>
          <w:i w:val="0"/>
          <w:iCs w:val="0"/>
          <w:caps w:val="0"/>
          <w:color w:val="auto"/>
          <w:spacing w:val="0"/>
          <w:sz w:val="21"/>
          <w:szCs w:val="21"/>
          <w:highlight w:val="none"/>
          <w:shd w:val="clear" w:fill="auto"/>
          <w:lang w:val="en-US" w:eastAsia="zh-CN"/>
        </w:rPr>
      </w:pPr>
      <w:r>
        <w:rPr>
          <w:rFonts w:hint="eastAsia" w:ascii="宋体" w:hAnsi="宋体" w:eastAsia="宋体" w:cs="宋体"/>
          <w:b w:val="0"/>
          <w:bCs w:val="0"/>
          <w:kern w:val="0"/>
          <w:sz w:val="21"/>
          <w:szCs w:val="21"/>
          <w:highlight w:val="none"/>
          <w:lang w:eastAsia="zh-CN"/>
        </w:rPr>
        <w:t>（</w:t>
      </w:r>
      <w:r>
        <w:rPr>
          <w:rFonts w:hint="eastAsia" w:ascii="宋体" w:hAnsi="宋体" w:eastAsia="宋体" w:cs="宋体"/>
          <w:b w:val="0"/>
          <w:bCs w:val="0"/>
          <w:kern w:val="0"/>
          <w:sz w:val="21"/>
          <w:szCs w:val="21"/>
          <w:highlight w:val="none"/>
          <w:lang w:val="en-US" w:eastAsia="zh-CN"/>
        </w:rPr>
        <w:t>8</w:t>
      </w:r>
      <w:r>
        <w:rPr>
          <w:rFonts w:hint="eastAsia" w:ascii="宋体" w:hAnsi="宋体" w:eastAsia="宋体" w:cs="宋体"/>
          <w:b w:val="0"/>
          <w:bCs w:val="0"/>
          <w:kern w:val="0"/>
          <w:sz w:val="21"/>
          <w:szCs w:val="21"/>
          <w:highlight w:val="none"/>
          <w:lang w:eastAsia="zh-CN"/>
        </w:rPr>
        <w:t>）</w:t>
      </w:r>
      <w:r>
        <w:rPr>
          <w:rFonts w:hint="eastAsia" w:ascii="宋体" w:hAnsi="宋体" w:eastAsia="宋体" w:cs="宋体"/>
          <w:b/>
          <w:bCs/>
          <w:sz w:val="21"/>
          <w:szCs w:val="21"/>
          <w:highlight w:val="none"/>
          <w:lang w:eastAsia="zh-CN"/>
        </w:rPr>
        <w:t>开幕式+主旨报告：</w:t>
      </w:r>
      <w:r>
        <w:rPr>
          <w:rFonts w:hint="eastAsia" w:ascii="宋体" w:hAnsi="宋体" w:eastAsia="宋体" w:cs="宋体"/>
          <w:i w:val="0"/>
          <w:iCs w:val="0"/>
          <w:caps w:val="0"/>
          <w:color w:val="auto"/>
          <w:spacing w:val="0"/>
          <w:sz w:val="21"/>
          <w:szCs w:val="21"/>
          <w:highlight w:val="none"/>
          <w:shd w:val="clear" w:fill="auto"/>
          <w:lang w:val="en-US" w:eastAsia="zh-CN"/>
        </w:rPr>
        <w:t>总时长半天；根据论坛定位，设置会议主题；围绕合成生物制造的政策环境、发展趋势、技术创新和市场前景，邀请行业领军人物、重量级嘉宾设置主旨演讲；开幕式策划约60分钟，包含主办方及领导致辞等，要求庄重简洁、节奏紧凑；须设置指数发布等亮点环节。</w:t>
      </w:r>
    </w:p>
    <w:p w14:paraId="2B5EBC16">
      <w:pPr>
        <w:spacing w:line="360" w:lineRule="auto"/>
        <w:ind w:firstLine="420" w:firstLineChars="20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lang w:eastAsia="zh-CN"/>
        </w:rPr>
        <w:t>）</w:t>
      </w:r>
      <w:r>
        <w:rPr>
          <w:rFonts w:hint="eastAsia" w:ascii="宋体" w:hAnsi="宋体" w:eastAsia="宋体" w:cs="宋体"/>
          <w:b/>
          <w:bCs/>
          <w:sz w:val="21"/>
          <w:szCs w:val="21"/>
          <w:highlight w:val="none"/>
          <w:lang w:eastAsia="zh-CN"/>
        </w:rPr>
        <w:t>创新生态矩阵活动</w:t>
      </w:r>
      <w:r>
        <w:rPr>
          <w:rFonts w:hint="eastAsia" w:ascii="宋体" w:hAnsi="宋体" w:eastAsia="宋体" w:cs="宋体"/>
          <w:sz w:val="21"/>
          <w:szCs w:val="21"/>
          <w:highlight w:val="none"/>
          <w:lang w:eastAsia="zh-CN"/>
        </w:rPr>
        <w:t>下设6大版块，包括疫苗创新研发与产业化专题（拟）、抗体研发创新与产业化专题（拟）、合成生物学与兽药创新发展专题（拟）、精准诊断与诊断试剂创新专题（拟）、合成生物学与医药创新专题（拟）、前沿技术与未来产业专题（拟）。</w:t>
      </w:r>
      <w:r>
        <w:rPr>
          <w:rFonts w:hint="eastAsia" w:ascii="宋体" w:hAnsi="宋体" w:eastAsia="宋体" w:cs="宋体"/>
          <w:b/>
          <w:bCs/>
          <w:sz w:val="21"/>
          <w:szCs w:val="21"/>
          <w:highlight w:val="none"/>
          <w:lang w:eastAsia="zh-CN"/>
        </w:rPr>
        <w:t>各版块活动名称可结合实际需求调整，但</w:t>
      </w:r>
      <w:r>
        <w:rPr>
          <w:rFonts w:hint="eastAsia" w:ascii="宋体" w:hAnsi="宋体" w:eastAsia="宋体" w:cs="宋体"/>
          <w:b/>
          <w:bCs/>
          <w:sz w:val="21"/>
          <w:szCs w:val="21"/>
          <w:highlight w:val="none"/>
          <w:lang w:val="en-US" w:eastAsia="zh-CN"/>
        </w:rPr>
        <w:t>需助力泰州大健康产业高质量发展</w:t>
      </w:r>
      <w:r>
        <w:rPr>
          <w:rFonts w:hint="eastAsia" w:ascii="宋体" w:hAnsi="宋体" w:eastAsia="宋体" w:cs="宋体"/>
          <w:b/>
          <w:bCs/>
          <w:sz w:val="21"/>
          <w:szCs w:val="21"/>
          <w:highlight w:val="none"/>
          <w:lang w:eastAsia="zh-CN"/>
        </w:rPr>
        <w:t>。</w:t>
      </w:r>
      <w:r>
        <w:rPr>
          <w:rFonts w:hint="eastAsia" w:ascii="宋体" w:hAnsi="宋体" w:eastAsia="宋体" w:cs="宋体"/>
          <w:sz w:val="21"/>
          <w:szCs w:val="21"/>
          <w:highlight w:val="none"/>
          <w:lang w:eastAsia="zh-CN"/>
        </w:rPr>
        <w:t>要确保6场专题活动全部落实到位</w:t>
      </w:r>
      <w:r>
        <w:rPr>
          <w:rFonts w:hint="eastAsia" w:ascii="宋体" w:hAnsi="宋体" w:eastAsia="宋体" w:cs="宋体"/>
          <w:b/>
          <w:bCs/>
          <w:sz w:val="21"/>
          <w:szCs w:val="21"/>
          <w:highlight w:val="none"/>
          <w:lang w:eastAsia="zh-CN"/>
        </w:rPr>
        <w:t>；活动形式可</w:t>
      </w:r>
      <w:r>
        <w:rPr>
          <w:rFonts w:hint="eastAsia" w:ascii="宋体" w:hAnsi="宋体" w:eastAsia="宋体" w:cs="宋体"/>
          <w:b/>
          <w:bCs/>
          <w:i w:val="0"/>
          <w:iCs w:val="0"/>
          <w:caps w:val="0"/>
          <w:color w:val="auto"/>
          <w:spacing w:val="0"/>
          <w:sz w:val="21"/>
          <w:szCs w:val="21"/>
          <w:highlight w:val="none"/>
          <w:shd w:val="clear" w:fill="auto"/>
        </w:rPr>
        <w:t>多元</w:t>
      </w:r>
      <w:r>
        <w:rPr>
          <w:rFonts w:hint="eastAsia" w:ascii="宋体" w:hAnsi="宋体" w:eastAsia="宋体" w:cs="宋体"/>
          <w:b/>
          <w:bCs/>
          <w:i w:val="0"/>
          <w:iCs w:val="0"/>
          <w:caps w:val="0"/>
          <w:color w:val="auto"/>
          <w:spacing w:val="0"/>
          <w:sz w:val="21"/>
          <w:szCs w:val="21"/>
          <w:highlight w:val="none"/>
          <w:shd w:val="clear" w:fill="auto"/>
          <w:lang w:val="en-US" w:eastAsia="zh-CN"/>
        </w:rPr>
        <w:t>化呈现</w:t>
      </w:r>
      <w:r>
        <w:rPr>
          <w:rFonts w:hint="eastAsia" w:ascii="宋体" w:hAnsi="宋体" w:eastAsia="宋体" w:cs="宋体"/>
          <w:b/>
          <w:bCs/>
          <w:sz w:val="21"/>
          <w:szCs w:val="21"/>
          <w:highlight w:val="none"/>
          <w:lang w:eastAsia="zh-CN"/>
        </w:rPr>
        <w:t>，可采</w:t>
      </w:r>
      <w:r>
        <w:rPr>
          <w:rFonts w:hint="eastAsia" w:ascii="宋体" w:hAnsi="宋体" w:eastAsia="宋体" w:cs="宋体"/>
          <w:sz w:val="21"/>
          <w:szCs w:val="21"/>
          <w:highlight w:val="none"/>
          <w:lang w:eastAsia="zh-CN"/>
        </w:rPr>
        <w:t>用主题报告、政策解读、金融赋能、项目路演、对接洽谈、圆桌对话等方式；</w:t>
      </w:r>
    </w:p>
    <w:p w14:paraId="35F46EAE">
      <w:pPr>
        <w:spacing w:line="360" w:lineRule="auto"/>
        <w:ind w:left="2" w:leftChars="1" w:firstLine="420" w:firstLineChars="20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lang w:eastAsia="zh-CN"/>
        </w:rPr>
        <w:t>）</w:t>
      </w:r>
      <w:r>
        <w:rPr>
          <w:rFonts w:hint="eastAsia" w:ascii="宋体" w:hAnsi="宋体" w:eastAsia="宋体" w:cs="宋体"/>
          <w:b/>
          <w:bCs/>
          <w:sz w:val="21"/>
          <w:szCs w:val="21"/>
          <w:highlight w:val="none"/>
          <w:lang w:eastAsia="zh-CN"/>
        </w:rPr>
        <w:t>常态化活动</w:t>
      </w:r>
      <w:r>
        <w:rPr>
          <w:rFonts w:hint="eastAsia" w:ascii="宋体" w:hAnsi="宋体" w:eastAsia="宋体" w:cs="宋体"/>
          <w:sz w:val="21"/>
          <w:szCs w:val="21"/>
          <w:highlight w:val="none"/>
          <w:lang w:eastAsia="zh-CN"/>
        </w:rPr>
        <w:t>为省部共同推进泰州医药高新区建设联席会议第十五次会议，需根据主办方要求</w:t>
      </w:r>
      <w:r>
        <w:rPr>
          <w:rFonts w:hint="eastAsia" w:ascii="宋体" w:hAnsi="宋体" w:eastAsia="宋体" w:cs="宋体"/>
          <w:sz w:val="21"/>
          <w:szCs w:val="21"/>
          <w:highlight w:val="none"/>
          <w:lang w:val="en-US" w:eastAsia="zh-CN"/>
        </w:rPr>
        <w:t>配合</w:t>
      </w:r>
      <w:r>
        <w:rPr>
          <w:rFonts w:hint="eastAsia" w:ascii="宋体" w:hAnsi="宋体" w:eastAsia="宋体" w:cs="宋体"/>
          <w:sz w:val="21"/>
          <w:szCs w:val="21"/>
          <w:highlight w:val="none"/>
          <w:lang w:eastAsia="zh-CN"/>
        </w:rPr>
        <w:t>提供</w:t>
      </w:r>
      <w:r>
        <w:rPr>
          <w:rFonts w:hint="eastAsia" w:ascii="宋体" w:hAnsi="宋体" w:eastAsia="宋体" w:cs="宋体"/>
          <w:sz w:val="21"/>
          <w:szCs w:val="21"/>
          <w:highlight w:val="none"/>
          <w:lang w:val="en-US" w:eastAsia="zh-CN"/>
        </w:rPr>
        <w:t>相应支持</w:t>
      </w:r>
      <w:r>
        <w:rPr>
          <w:rFonts w:hint="eastAsia" w:ascii="宋体" w:hAnsi="宋体" w:eastAsia="宋体" w:cs="宋体"/>
          <w:sz w:val="21"/>
          <w:szCs w:val="21"/>
          <w:highlight w:val="none"/>
          <w:lang w:eastAsia="zh-CN"/>
        </w:rPr>
        <w:t>。</w:t>
      </w:r>
    </w:p>
    <w:p w14:paraId="745A6389">
      <w:pPr>
        <w:spacing w:line="360" w:lineRule="auto"/>
        <w:ind w:left="840" w:leftChars="200" w:hanging="420" w:hangingChars="200"/>
        <w:rPr>
          <w:rFonts w:hint="eastAsia" w:ascii="宋体" w:hAnsi="宋体" w:eastAsia="宋体" w:cs="宋体"/>
          <w:kern w:val="2"/>
          <w:sz w:val="21"/>
          <w:szCs w:val="21"/>
          <w:highlight w:val="none"/>
          <w:lang w:val="en-US" w:eastAsia="zh-CN"/>
        </w:rPr>
      </w:pPr>
      <w:r>
        <w:rPr>
          <w:rFonts w:hint="eastAsia" w:ascii="宋体" w:hAnsi="宋体" w:eastAsia="宋体" w:cs="宋体"/>
          <w:kern w:val="0"/>
          <w:sz w:val="21"/>
          <w:szCs w:val="21"/>
          <w:highlight w:val="none"/>
          <w:lang w:val="en-US" w:eastAsia="zh-CN"/>
        </w:rPr>
        <w:t>（11）</w:t>
      </w:r>
      <w:r>
        <w:rPr>
          <w:rFonts w:hint="eastAsia" w:ascii="宋体" w:hAnsi="宋体" w:eastAsia="宋体" w:cs="宋体"/>
          <w:kern w:val="2"/>
          <w:sz w:val="21"/>
          <w:szCs w:val="21"/>
          <w:highlight w:val="none"/>
          <w:lang w:val="en-US" w:eastAsia="zh-CN"/>
        </w:rPr>
        <w:t>参与</w:t>
      </w:r>
      <w:r>
        <w:rPr>
          <w:rFonts w:hint="eastAsia" w:ascii="宋体" w:hAnsi="宋体" w:eastAsia="宋体" w:cs="宋体"/>
          <w:b w:val="0"/>
          <w:bCs w:val="0"/>
          <w:kern w:val="2"/>
          <w:sz w:val="21"/>
          <w:szCs w:val="21"/>
          <w:highlight w:val="none"/>
          <w:lang w:val="en-US" w:eastAsia="zh-CN"/>
        </w:rPr>
        <w:t>论坛活动的企业数量</w:t>
      </w:r>
      <w:r>
        <w:rPr>
          <w:rFonts w:hint="eastAsia" w:ascii="宋体" w:hAnsi="宋体" w:eastAsia="宋体" w:cs="宋体"/>
          <w:b w:val="0"/>
          <w:bCs w:val="0"/>
          <w:color w:val="auto"/>
          <w:kern w:val="2"/>
          <w:sz w:val="21"/>
          <w:szCs w:val="21"/>
          <w:highlight w:val="none"/>
          <w:lang w:val="en-US" w:eastAsia="zh-CN"/>
        </w:rPr>
        <w:t>不</w:t>
      </w:r>
      <w:r>
        <w:rPr>
          <w:rFonts w:hint="eastAsia" w:ascii="宋体" w:hAnsi="宋体" w:eastAsia="宋体" w:cs="宋体"/>
          <w:b w:val="0"/>
          <w:bCs w:val="0"/>
          <w:kern w:val="2"/>
          <w:sz w:val="21"/>
          <w:szCs w:val="21"/>
          <w:highlight w:val="none"/>
          <w:lang w:val="en-US" w:eastAsia="zh-CN"/>
        </w:rPr>
        <w:t>少</w:t>
      </w:r>
      <w:r>
        <w:rPr>
          <w:rFonts w:hint="eastAsia" w:ascii="宋体" w:hAnsi="宋体" w:eastAsia="宋体" w:cs="宋体"/>
          <w:b w:val="0"/>
          <w:bCs w:val="0"/>
          <w:color w:val="auto"/>
          <w:kern w:val="2"/>
          <w:sz w:val="21"/>
          <w:szCs w:val="21"/>
          <w:highlight w:val="none"/>
          <w:lang w:val="en-US" w:eastAsia="zh-CN"/>
        </w:rPr>
        <w:t>于100家</w:t>
      </w:r>
      <w:r>
        <w:rPr>
          <w:rFonts w:hint="eastAsia" w:ascii="宋体" w:hAnsi="宋体" w:eastAsia="宋体" w:cs="宋体"/>
          <w:kern w:val="2"/>
          <w:sz w:val="21"/>
          <w:szCs w:val="21"/>
          <w:highlight w:val="none"/>
          <w:lang w:val="en-US" w:eastAsia="zh-CN"/>
        </w:rPr>
        <w:t>。</w:t>
      </w:r>
    </w:p>
    <w:p w14:paraId="713C400E">
      <w:pPr>
        <w:spacing w:line="360" w:lineRule="auto"/>
        <w:ind w:firstLine="420" w:firstLineChars="200"/>
        <w:rPr>
          <w:rFonts w:hint="eastAsia" w:ascii="宋体" w:hAnsi="宋体" w:eastAsia="宋体" w:cs="宋体"/>
          <w:kern w:val="0"/>
          <w:sz w:val="21"/>
          <w:szCs w:val="21"/>
          <w:highlight w:val="none"/>
          <w:lang w:val="en-US" w:eastAsia="zh-CN"/>
        </w:rPr>
      </w:pPr>
      <w:r>
        <w:rPr>
          <w:rFonts w:hint="eastAsia" w:ascii="宋体" w:hAnsi="宋体" w:eastAsia="宋体" w:cs="宋体"/>
          <w:kern w:val="0"/>
          <w:sz w:val="21"/>
          <w:szCs w:val="21"/>
          <w:highlight w:val="none"/>
          <w:lang w:val="en-US" w:eastAsia="zh-CN"/>
        </w:rPr>
        <w:t>（12）积极引入国际企业、跨国公司、国内外科研院所、行业专家、龙头企业、初创企业等生物医药行业资源，推动大中小企业融通创新、产学研用深度协同，强化创新策源、链式协同和集群竞争力。根据跨省企业、省外科研院所、权威机构、行业组织和专家参与比例进行综合评估，其中跨省代表参与比例≥20%。</w:t>
      </w:r>
    </w:p>
    <w:p w14:paraId="2C60E297">
      <w:pPr>
        <w:spacing w:line="360" w:lineRule="auto"/>
        <w:ind w:firstLineChars="200"/>
        <w:rPr>
          <w:rFonts w:hint="eastAsia" w:ascii="宋体" w:hAnsi="宋体" w:eastAsia="宋体" w:cs="宋体"/>
          <w:sz w:val="21"/>
          <w:szCs w:val="21"/>
          <w:highlight w:val="none"/>
          <w:lang w:val="en-US" w:eastAsia="zh-CN"/>
        </w:rPr>
      </w:pPr>
      <w:r>
        <w:rPr>
          <w:rFonts w:hint="eastAsia" w:ascii="宋体" w:hAnsi="宋体" w:eastAsia="宋体" w:cs="宋体"/>
          <w:kern w:val="0"/>
          <w:sz w:val="21"/>
          <w:szCs w:val="21"/>
          <w:highlight w:val="none"/>
          <w:lang w:val="en-US" w:eastAsia="zh-CN"/>
        </w:rPr>
        <w:t>（13）确保在省级及以上官方主流媒体刊发报道不少于3篇，至少1篇为国家级媒体报道。</w:t>
      </w:r>
    </w:p>
    <w:p w14:paraId="3D930B69">
      <w:pPr>
        <w:pageBreakBefore w:val="0"/>
        <w:spacing w:line="360" w:lineRule="auto"/>
        <w:ind w:firstLine="420"/>
        <w:rPr>
          <w:rFonts w:hint="eastAsia" w:ascii="宋体" w:hAnsi="宋体" w:eastAsia="宋体" w:cs="宋体"/>
          <w:b/>
          <w:bCs/>
          <w:color w:val="FF0000"/>
          <w:kern w:val="0"/>
          <w:sz w:val="21"/>
          <w:szCs w:val="21"/>
          <w:highlight w:val="none"/>
          <w:lang w:val="en-US" w:eastAsia="zh-CN"/>
        </w:rPr>
      </w:pPr>
      <w:r>
        <w:rPr>
          <w:rFonts w:hint="eastAsia" w:ascii="宋体" w:hAnsi="宋体" w:eastAsia="宋体" w:cs="宋体"/>
          <w:b/>
          <w:bCs/>
          <w:color w:val="FF0000"/>
          <w:sz w:val="21"/>
          <w:szCs w:val="21"/>
          <w:highlight w:val="none"/>
          <w:lang w:val="en-US" w:eastAsia="zh-CN"/>
        </w:rPr>
        <w:t>注：采购人可根据实际工作安排，在不实质性增加供应商履约成本的前提下，对活动的时间、地点、</w:t>
      </w:r>
      <w:r>
        <w:rPr>
          <w:rFonts w:hint="eastAsia" w:ascii="宋体" w:hAnsi="宋体" w:eastAsia="宋体" w:cs="宋体"/>
          <w:b/>
          <w:bCs/>
          <w:color w:val="FF0000"/>
          <w:kern w:val="0"/>
          <w:sz w:val="21"/>
          <w:szCs w:val="21"/>
          <w:highlight w:val="none"/>
          <w:lang w:val="en-US" w:eastAsia="zh-CN"/>
        </w:rPr>
        <w:t>专题名称</w:t>
      </w:r>
      <w:r>
        <w:rPr>
          <w:rFonts w:hint="eastAsia" w:ascii="宋体" w:hAnsi="宋体" w:eastAsia="宋体" w:cs="宋体"/>
          <w:b/>
          <w:bCs/>
          <w:color w:val="FF0000"/>
          <w:sz w:val="21"/>
          <w:szCs w:val="21"/>
          <w:highlight w:val="none"/>
          <w:lang w:val="en-US" w:eastAsia="zh-CN"/>
        </w:rPr>
        <w:t>、</w:t>
      </w:r>
      <w:r>
        <w:rPr>
          <w:rFonts w:hint="eastAsia" w:ascii="宋体" w:hAnsi="宋体" w:eastAsia="宋体" w:cs="宋体"/>
          <w:b/>
          <w:bCs/>
          <w:color w:val="FF0000"/>
          <w:kern w:val="0"/>
          <w:sz w:val="21"/>
          <w:szCs w:val="21"/>
          <w:highlight w:val="none"/>
          <w:lang w:val="en-US" w:eastAsia="zh-CN"/>
        </w:rPr>
        <w:t>活动场地</w:t>
      </w:r>
      <w:r>
        <w:rPr>
          <w:rFonts w:hint="eastAsia" w:ascii="宋体" w:hAnsi="宋体" w:eastAsia="宋体" w:cs="宋体"/>
          <w:b/>
          <w:bCs/>
          <w:color w:val="FF0000"/>
          <w:sz w:val="21"/>
          <w:szCs w:val="21"/>
          <w:highlight w:val="none"/>
          <w:lang w:val="en-US" w:eastAsia="zh-CN"/>
        </w:rPr>
        <w:t>进行合理调整。</w:t>
      </w:r>
      <w:r>
        <w:rPr>
          <w:rFonts w:hint="eastAsia" w:ascii="宋体" w:hAnsi="宋体" w:eastAsia="宋体" w:cs="宋体"/>
          <w:b/>
          <w:bCs/>
          <w:color w:val="FF0000"/>
          <w:kern w:val="0"/>
          <w:sz w:val="21"/>
          <w:szCs w:val="21"/>
          <w:highlight w:val="none"/>
          <w:lang w:val="en-US" w:eastAsia="zh-CN"/>
        </w:rPr>
        <w:t xml:space="preserve"> </w:t>
      </w:r>
    </w:p>
    <w:p w14:paraId="74A26E0D">
      <w:pPr>
        <w:pageBreakBefore w:val="0"/>
        <w:spacing w:line="360" w:lineRule="auto"/>
        <w:ind w:firstLine="422"/>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三、技术要求</w:t>
      </w:r>
    </w:p>
    <w:p w14:paraId="6A7A513C">
      <w:pPr>
        <w:pageBreakBefore w:val="0"/>
        <w:spacing w:line="360" w:lineRule="auto"/>
        <w:ind w:firstLine="422"/>
        <w:rPr>
          <w:rFonts w:hint="eastAsia" w:ascii="宋体" w:hAnsi="宋体" w:eastAsia="宋体" w:cs="宋体"/>
          <w:b/>
          <w:sz w:val="21"/>
          <w:szCs w:val="21"/>
          <w:highlight w:val="none"/>
          <w:lang w:val="en-US" w:eastAsia="zh-CN"/>
        </w:rPr>
      </w:pPr>
      <w:bookmarkStart w:id="65" w:name="_Toc511092169"/>
      <w:bookmarkEnd w:id="65"/>
      <w:bookmarkStart w:id="66" w:name="_Toc16831"/>
      <w:bookmarkEnd w:id="66"/>
      <w:r>
        <w:rPr>
          <w:rFonts w:hint="eastAsia" w:ascii="宋体" w:hAnsi="宋体" w:eastAsia="宋体" w:cs="宋体"/>
          <w:b/>
          <w:sz w:val="21"/>
          <w:szCs w:val="21"/>
          <w:highlight w:val="none"/>
          <w:lang w:val="en-US" w:eastAsia="zh-CN"/>
        </w:rPr>
        <w:t>（一）整体策划</w:t>
      </w:r>
    </w:p>
    <w:p w14:paraId="75AA1660">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1.会议和论坛的方案策划、议程设定、文案、协调、执行服务等。</w:t>
      </w:r>
    </w:p>
    <w:p w14:paraId="02D7A721">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2.协调论坛整体设计，媒体宣传推广等。</w:t>
      </w:r>
    </w:p>
    <w:p w14:paraId="68AC2DB9">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3.会后服务。</w:t>
      </w:r>
    </w:p>
    <w:p w14:paraId="473DCA3D">
      <w:pPr>
        <w:pageBreakBefore w:val="0"/>
        <w:spacing w:line="360" w:lineRule="auto"/>
        <w:ind w:firstLine="422"/>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（二）会务组织</w:t>
      </w:r>
    </w:p>
    <w:p w14:paraId="7D89EBA2">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1.活动现场布置及流程管控</w:t>
      </w:r>
    </w:p>
    <w:p w14:paraId="0CE45E22">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根据会议主办方要求，负责大会期间开幕式、主旨报告及其他活动等所</w:t>
      </w:r>
      <w:r>
        <w:rPr>
          <w:rFonts w:hint="eastAsia" w:ascii="宋体" w:hAnsi="宋体" w:eastAsia="宋体" w:cs="宋体"/>
          <w:b w:val="0"/>
          <w:bCs w:val="0"/>
          <w:sz w:val="21"/>
          <w:szCs w:val="21"/>
          <w:highlight w:val="none"/>
          <w:lang w:val="en-US" w:eastAsia="zh-CN"/>
        </w:rPr>
        <w:t>有</w:t>
      </w:r>
      <w:r>
        <w:rPr>
          <w:rFonts w:hint="eastAsia" w:ascii="宋体" w:hAnsi="宋体" w:eastAsia="宋体" w:cs="宋体"/>
          <w:b/>
          <w:bCs/>
          <w:sz w:val="21"/>
          <w:szCs w:val="21"/>
          <w:highlight w:val="none"/>
          <w:lang w:val="en-US" w:eastAsia="zh-CN"/>
        </w:rPr>
        <w:t>会议</w:t>
      </w:r>
      <w:r>
        <w:rPr>
          <w:rFonts w:hint="eastAsia" w:ascii="宋体" w:hAnsi="宋体" w:eastAsia="宋体" w:cs="宋体"/>
          <w:b w:val="0"/>
          <w:bCs w:val="0"/>
          <w:sz w:val="21"/>
          <w:szCs w:val="21"/>
          <w:highlight w:val="none"/>
          <w:lang w:val="en-US" w:eastAsia="zh-CN"/>
        </w:rPr>
        <w:t>会</w:t>
      </w:r>
      <w:r>
        <w:rPr>
          <w:rFonts w:hint="eastAsia" w:ascii="宋体" w:hAnsi="宋体" w:eastAsia="宋体" w:cs="宋体"/>
          <w:sz w:val="21"/>
          <w:szCs w:val="21"/>
          <w:highlight w:val="none"/>
          <w:lang w:val="en-US" w:eastAsia="zh-CN"/>
        </w:rPr>
        <w:t>场的现场布置和全流程管控，包括但不限于音视频控制、礼仪安排、志愿者、现场签到、图文、速记、会议推广等。负责协调与微信公众号的对接和使用。</w:t>
      </w:r>
    </w:p>
    <w:p w14:paraId="27D63C6C">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2.交通和食宿保障</w:t>
      </w:r>
    </w:p>
    <w:p w14:paraId="6262F27F">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根据会议主办方要求，与参会及演讲嘉宾、会议战略合作单位、酒店进行沟通衔接，</w:t>
      </w:r>
      <w:r>
        <w:rPr>
          <w:rFonts w:hint="eastAsia" w:ascii="宋体" w:hAnsi="宋体" w:eastAsia="宋体" w:cs="宋体"/>
          <w:b/>
          <w:bCs/>
          <w:kern w:val="0"/>
          <w:sz w:val="21"/>
          <w:szCs w:val="21"/>
          <w:highlight w:val="none"/>
          <w:lang w:val="en-US" w:eastAsia="zh-CN"/>
        </w:rPr>
        <w:t>落实重要嘉宾及参会人员住宿、接机接站、市内接驳、餐饮保障，配备应急车辆，</w:t>
      </w:r>
      <w:r>
        <w:rPr>
          <w:rFonts w:hint="eastAsia" w:ascii="宋体" w:hAnsi="宋体" w:eastAsia="宋体" w:cs="宋体"/>
          <w:sz w:val="21"/>
          <w:szCs w:val="21"/>
          <w:highlight w:val="none"/>
          <w:lang w:val="en-US" w:eastAsia="zh-CN"/>
        </w:rPr>
        <w:t>做好会议期间的交通和食宿保障工作。</w:t>
      </w:r>
    </w:p>
    <w:p w14:paraId="1E399255">
      <w:pPr>
        <w:pageBreakBefore w:val="0"/>
        <w:spacing w:line="360" w:lineRule="auto"/>
        <w:ind w:firstLine="422"/>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（三）参会及演讲嘉宾和专业观众的邀请</w:t>
      </w:r>
    </w:p>
    <w:p w14:paraId="1C7FD39A">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负责参会及演讲嘉宾和专业观众的邀请工作，承担参会及演讲嘉宾的服务费和交通费（含城际和市内），承担参会人员的接驳车辆和会议应急调度车辆的相关费用。参会及演讲嘉宾、其他所有参会人员的信息资料保密，不得泄露，不得商业应用。</w:t>
      </w:r>
    </w:p>
    <w:p w14:paraId="75B64A08">
      <w:pPr>
        <w:pageBreakBefore w:val="0"/>
        <w:spacing w:line="360" w:lineRule="auto"/>
        <w:ind w:firstLine="422"/>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（四）会务执行</w:t>
      </w:r>
    </w:p>
    <w:p w14:paraId="1D3988BD">
      <w:pPr>
        <w:pageBreakBefore w:val="0"/>
        <w:spacing w:line="360" w:lineRule="auto"/>
        <w:ind w:firstLine="42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负责开幕式、主旨报告及其他全部会议活动会场的延展设计、舞美搭建，音响、视频、灯光、会议系统布设与保障；承担会务配套、会务物料、会议资料、活动道具、会场服务、会场通信保障，以及会场及酒店周边氛围营造工作，协调落实主视觉设计。统筹会议场地，</w:t>
      </w:r>
      <w:r>
        <w:rPr>
          <w:rFonts w:hint="eastAsia" w:ascii="宋体" w:hAnsi="宋体" w:eastAsia="宋体" w:cs="宋体"/>
          <w:sz w:val="21"/>
          <w:szCs w:val="21"/>
          <w:highlight w:val="none"/>
          <w:lang w:val="en-US" w:eastAsia="zh-CN"/>
        </w:rPr>
        <w:t>完成总导视、会场指引、道旗等氛围物料制作布设；依据各分会场会议室现场参数，完成论坛、专题活动的舞美、音视频及场景氛围布置；承担多会场并行活动的统一调度、流程管控、设备值守、现场安全管理；落实摄影摄像、线上直播相关工作。</w:t>
      </w:r>
    </w:p>
    <w:p w14:paraId="14EECD0A">
      <w:pPr>
        <w:spacing w:line="360" w:lineRule="auto"/>
        <w:ind w:firstLine="422" w:firstLineChars="200"/>
        <w:rPr>
          <w:rFonts w:hint="eastAsia" w:ascii="宋体" w:hAnsi="宋体" w:eastAsia="宋体" w:cs="宋体"/>
          <w:sz w:val="21"/>
          <w:szCs w:val="21"/>
          <w:highlight w:val="none"/>
          <w:lang w:val="en-US" w:eastAsia="zh-CN"/>
        </w:rPr>
      </w:pPr>
      <w:r>
        <w:rPr>
          <w:rFonts w:hint="eastAsia" w:ascii="宋体" w:hAnsi="宋体" w:eastAsia="宋体" w:cs="宋体"/>
          <w:b/>
          <w:bCs/>
          <w:kern w:val="0"/>
          <w:sz w:val="21"/>
          <w:szCs w:val="21"/>
          <w:highlight w:val="none"/>
          <w:lang w:val="en-US" w:eastAsia="zh-CN"/>
        </w:rPr>
        <w:t>2.负责宣传推广服务，邀请</w:t>
      </w:r>
      <w:r>
        <w:rPr>
          <w:rFonts w:hint="eastAsia" w:ascii="宋体" w:hAnsi="宋体" w:eastAsia="宋体" w:cs="宋体"/>
          <w:b w:val="0"/>
          <w:bCs w:val="0"/>
          <w:kern w:val="0"/>
          <w:sz w:val="21"/>
          <w:szCs w:val="21"/>
          <w:highlight w:val="none"/>
          <w:lang w:val="en-US" w:eastAsia="zh-CN"/>
        </w:rPr>
        <w:t>国家、省、市及</w:t>
      </w:r>
      <w:r>
        <w:rPr>
          <w:rFonts w:hint="eastAsia" w:ascii="宋体" w:hAnsi="宋体" w:eastAsia="宋体" w:cs="宋体"/>
          <w:kern w:val="2"/>
          <w:sz w:val="21"/>
          <w:szCs w:val="21"/>
          <w:highlight w:val="none"/>
          <w:lang w:val="zh-CN" w:eastAsia="zh-CN" w:bidi="zh-CN"/>
        </w:rPr>
        <w:t>生物医药</w:t>
      </w:r>
      <w:r>
        <w:rPr>
          <w:rFonts w:hint="eastAsia" w:ascii="宋体" w:hAnsi="宋体" w:eastAsia="宋体" w:cs="宋体"/>
          <w:kern w:val="2"/>
          <w:sz w:val="21"/>
          <w:szCs w:val="21"/>
          <w:highlight w:val="none"/>
          <w:lang w:val="en-US" w:eastAsia="zh-CN" w:bidi="zh-CN"/>
        </w:rPr>
        <w:t>垂直</w:t>
      </w:r>
      <w:r>
        <w:rPr>
          <w:rFonts w:hint="eastAsia" w:ascii="宋体" w:hAnsi="宋体" w:eastAsia="宋体" w:cs="宋体"/>
          <w:kern w:val="2"/>
          <w:sz w:val="21"/>
          <w:szCs w:val="21"/>
          <w:highlight w:val="none"/>
          <w:lang w:val="zh-CN" w:eastAsia="zh-CN" w:bidi="zh-CN"/>
        </w:rPr>
        <w:t>媒体</w:t>
      </w:r>
      <w:r>
        <w:rPr>
          <w:rFonts w:hint="eastAsia" w:ascii="宋体" w:hAnsi="宋体" w:cs="宋体"/>
          <w:kern w:val="2"/>
          <w:sz w:val="21"/>
          <w:szCs w:val="21"/>
          <w:highlight w:val="none"/>
          <w:lang w:val="zh-CN" w:eastAsia="zh-CN" w:bidi="zh-CN"/>
        </w:rPr>
        <w:t>资源</w:t>
      </w:r>
      <w:r>
        <w:rPr>
          <w:rFonts w:hint="eastAsia" w:ascii="宋体" w:hAnsi="宋体" w:eastAsia="宋体" w:cs="宋体"/>
          <w:b w:val="0"/>
          <w:bCs w:val="0"/>
          <w:kern w:val="0"/>
          <w:sz w:val="21"/>
          <w:szCs w:val="21"/>
          <w:highlight w:val="none"/>
          <w:lang w:val="en-US" w:eastAsia="zh-CN"/>
        </w:rPr>
        <w:t>；完成会前预热、会中实时报道、会后宣传；做好媒体素材归档，配合媒体平台素材供给。</w:t>
      </w:r>
    </w:p>
    <w:p w14:paraId="23774A64">
      <w:pPr>
        <w:pageBreakBefore w:val="0"/>
        <w:spacing w:line="360" w:lineRule="auto"/>
        <w:ind w:firstLine="422"/>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3.从成交之日起，安排不少于10名专业人员驻地工作，</w:t>
      </w:r>
      <w:r>
        <w:rPr>
          <w:rFonts w:hint="eastAsia" w:ascii="宋体" w:hAnsi="宋体" w:eastAsia="宋体" w:cs="宋体"/>
          <w:b/>
          <w:bCs w:val="0"/>
          <w:sz w:val="21"/>
          <w:szCs w:val="21"/>
          <w:highlight w:val="none"/>
          <w:lang w:val="en-US" w:eastAsia="zh-CN"/>
        </w:rPr>
        <w:t>定期报送进度</w:t>
      </w:r>
      <w:r>
        <w:rPr>
          <w:rFonts w:hint="eastAsia" w:ascii="宋体" w:hAnsi="宋体" w:eastAsia="宋体" w:cs="宋体"/>
          <w:b w:val="0"/>
          <w:bCs/>
          <w:sz w:val="21"/>
          <w:szCs w:val="21"/>
          <w:highlight w:val="none"/>
          <w:lang w:val="en-US" w:eastAsia="zh-CN"/>
        </w:rPr>
        <w:t>。</w:t>
      </w:r>
    </w:p>
    <w:p w14:paraId="10158E8D">
      <w:pPr>
        <w:pageBreakBefore w:val="0"/>
        <w:spacing w:line="360" w:lineRule="auto"/>
        <w:ind w:firstLine="422"/>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四、绩效考核</w:t>
      </w:r>
    </w:p>
    <w:p w14:paraId="56DFD336">
      <w:pPr>
        <w:pageBreakBefore w:val="0"/>
        <w:spacing w:line="360" w:lineRule="auto"/>
        <w:ind w:firstLine="422"/>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本项目全部考核评价以活动方案、总结报告、佐证材料、宣传台账等作为评价依据。</w:t>
      </w:r>
    </w:p>
    <w:p w14:paraId="32BE5BE7">
      <w:pPr>
        <w:pageBreakBefore w:val="0"/>
        <w:spacing w:line="360" w:lineRule="auto"/>
        <w:ind w:firstLine="422"/>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（一）对参会及演讲嘉宾的考核</w:t>
      </w:r>
    </w:p>
    <w:p w14:paraId="4A25508B">
      <w:pPr>
        <w:pageBreakBefore w:val="0"/>
        <w:spacing w:line="360" w:lineRule="auto"/>
        <w:ind w:firstLine="422"/>
        <w:rPr>
          <w:rFonts w:hint="eastAsia" w:ascii="宋体" w:hAnsi="宋体" w:eastAsia="宋体" w:cs="宋体"/>
          <w:b w:val="0"/>
          <w:bCs/>
          <w:color w:val="auto"/>
          <w:sz w:val="21"/>
          <w:szCs w:val="21"/>
          <w:highlight w:val="none"/>
        </w:rPr>
      </w:pPr>
      <w:r>
        <w:rPr>
          <w:rFonts w:hint="eastAsia" w:ascii="宋体" w:hAnsi="宋体" w:eastAsia="宋体" w:cs="宋体"/>
          <w:b w:val="0"/>
          <w:bCs/>
          <w:sz w:val="21"/>
          <w:szCs w:val="21"/>
          <w:highlight w:val="none"/>
          <w:lang w:val="en-US" w:eastAsia="zh-CN"/>
        </w:rPr>
        <w:t>按照会议主办方</w:t>
      </w:r>
      <w:r>
        <w:rPr>
          <w:rFonts w:hint="eastAsia" w:ascii="宋体" w:hAnsi="宋体" w:eastAsia="宋体" w:cs="宋体"/>
          <w:b/>
          <w:bCs w:val="0"/>
          <w:kern w:val="2"/>
          <w:sz w:val="21"/>
          <w:szCs w:val="21"/>
          <w:highlight w:val="none"/>
          <w:lang w:val="en-US" w:eastAsia="zh-CN" w:bidi="ar-SA"/>
        </w:rPr>
        <w:t>最终确定</w:t>
      </w:r>
      <w:r>
        <w:rPr>
          <w:rFonts w:hint="eastAsia" w:ascii="宋体" w:hAnsi="宋体" w:eastAsia="宋体" w:cs="宋体"/>
          <w:b w:val="0"/>
          <w:bCs/>
          <w:kern w:val="2"/>
          <w:sz w:val="21"/>
          <w:szCs w:val="21"/>
          <w:highlight w:val="none"/>
          <w:lang w:val="en-US" w:eastAsia="zh-CN" w:bidi="ar-SA"/>
        </w:rPr>
        <w:t>的邀请嘉宾名单，成交单位确保出席大会的参会重要嘉宾人数</w:t>
      </w:r>
      <w:r>
        <w:rPr>
          <w:rFonts w:hint="eastAsia" w:ascii="宋体" w:hAnsi="宋体" w:eastAsia="宋体" w:cs="宋体"/>
          <w:b w:val="0"/>
          <w:bCs/>
          <w:color w:val="auto"/>
          <w:sz w:val="21"/>
          <w:szCs w:val="21"/>
          <w:highlight w:val="none"/>
        </w:rPr>
        <w:t>不少于</w:t>
      </w:r>
      <w:r>
        <w:rPr>
          <w:rFonts w:hint="eastAsia" w:ascii="宋体" w:hAnsi="宋体" w:eastAsia="宋体" w:cs="宋体"/>
          <w:b w:val="0"/>
          <w:bCs/>
          <w:color w:val="auto"/>
          <w:sz w:val="21"/>
          <w:szCs w:val="21"/>
          <w:highlight w:val="none"/>
          <w:lang w:eastAsia="zh-CN"/>
        </w:rPr>
        <w:t>5</w:t>
      </w:r>
      <w:r>
        <w:rPr>
          <w:rFonts w:hint="eastAsia" w:ascii="宋体" w:hAnsi="宋体" w:eastAsia="宋体" w:cs="宋体"/>
          <w:b w:val="0"/>
          <w:bCs/>
          <w:color w:val="auto"/>
          <w:sz w:val="21"/>
          <w:szCs w:val="21"/>
          <w:highlight w:val="none"/>
        </w:rPr>
        <w:t>0人。</w:t>
      </w:r>
    </w:p>
    <w:p w14:paraId="166A97CD">
      <w:pPr>
        <w:pStyle w:val="3"/>
        <w:pageBreakBefore w:val="0"/>
        <w:spacing w:line="360" w:lineRule="auto"/>
        <w:ind w:firstLine="422"/>
        <w:contextualSpacing/>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（二）对普通参会人员的考核</w:t>
      </w:r>
    </w:p>
    <w:p w14:paraId="55D04E15">
      <w:pPr>
        <w:pStyle w:val="3"/>
        <w:spacing w:line="360" w:lineRule="auto"/>
        <w:ind w:firstLine="42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按照会议主办方的要求，</w:t>
      </w:r>
      <w:r>
        <w:rPr>
          <w:rFonts w:hint="eastAsia" w:ascii="宋体" w:hAnsi="宋体" w:eastAsia="宋体" w:cs="宋体"/>
          <w:color w:val="auto"/>
          <w:sz w:val="21"/>
          <w:szCs w:val="21"/>
          <w:highlight w:val="none"/>
          <w:lang w:eastAsia="zh-CN"/>
        </w:rPr>
        <w:t>成交单位</w:t>
      </w:r>
      <w:r>
        <w:rPr>
          <w:rFonts w:hint="eastAsia" w:ascii="宋体" w:hAnsi="宋体" w:eastAsia="宋体" w:cs="宋体"/>
          <w:color w:val="auto"/>
          <w:sz w:val="21"/>
          <w:szCs w:val="21"/>
          <w:highlight w:val="none"/>
        </w:rPr>
        <w:t>邀请专业参会人员的数量（以实际参会人数为准）不少于</w:t>
      </w:r>
      <w:r>
        <w:rPr>
          <w:rFonts w:hint="eastAsia" w:ascii="宋体" w:hAnsi="宋体" w:eastAsia="宋体" w:cs="宋体"/>
          <w:color w:val="auto"/>
          <w:sz w:val="21"/>
          <w:szCs w:val="21"/>
          <w:highlight w:val="none"/>
          <w:lang w:val="en-US" w:eastAsia="zh-CN"/>
        </w:rPr>
        <w:t>服务内容要求的规模</w:t>
      </w:r>
      <w:r>
        <w:rPr>
          <w:rFonts w:hint="eastAsia" w:ascii="宋体" w:hAnsi="宋体" w:eastAsia="宋体" w:cs="宋体"/>
          <w:color w:val="auto"/>
          <w:sz w:val="21"/>
          <w:szCs w:val="21"/>
          <w:highlight w:val="none"/>
        </w:rPr>
        <w:t>，并确保</w:t>
      </w:r>
      <w:r>
        <w:rPr>
          <w:rFonts w:hint="eastAsia" w:ascii="宋体" w:hAnsi="宋体" w:eastAsia="宋体" w:cs="宋体"/>
          <w:color w:val="auto"/>
          <w:sz w:val="21"/>
          <w:szCs w:val="21"/>
          <w:highlight w:val="none"/>
          <w:lang w:val="en-US" w:eastAsia="zh-CN"/>
        </w:rPr>
        <w:t>准时</w:t>
      </w:r>
      <w:r>
        <w:rPr>
          <w:rFonts w:hint="eastAsia" w:ascii="宋体" w:hAnsi="宋体" w:eastAsia="宋体" w:cs="宋体"/>
          <w:color w:val="auto"/>
          <w:sz w:val="21"/>
          <w:szCs w:val="21"/>
          <w:highlight w:val="none"/>
        </w:rPr>
        <w:t>参会。</w:t>
      </w:r>
    </w:p>
    <w:p w14:paraId="4B648A3A">
      <w:pPr>
        <w:numPr>
          <w:ilvl w:val="0"/>
          <w:numId w:val="6"/>
        </w:numPr>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品牌影响力</w:t>
      </w:r>
      <w:r>
        <w:rPr>
          <w:rFonts w:hint="eastAsia" w:ascii="宋体" w:hAnsi="宋体" w:eastAsia="宋体" w:cs="宋体"/>
          <w:b/>
          <w:color w:val="auto"/>
          <w:sz w:val="21"/>
          <w:szCs w:val="21"/>
          <w:highlight w:val="none"/>
        </w:rPr>
        <w:t>的考核</w:t>
      </w:r>
    </w:p>
    <w:p w14:paraId="3D270489">
      <w:pPr>
        <w:numPr>
          <w:ilvl w:val="0"/>
          <w:numId w:val="0"/>
        </w:numPr>
        <w:spacing w:line="360" w:lineRule="auto"/>
        <w:ind w:firstLine="630" w:firstLineChars="300"/>
        <w:rPr>
          <w:rFonts w:hint="eastAsia" w:ascii="宋体" w:hAnsi="宋体" w:eastAsia="宋体" w:cs="宋体"/>
          <w:sz w:val="21"/>
          <w:szCs w:val="21"/>
          <w:highlight w:val="none"/>
        </w:rPr>
      </w:pPr>
      <w:r>
        <w:rPr>
          <w:rFonts w:hint="eastAsia" w:ascii="宋体" w:hAnsi="宋体" w:eastAsia="宋体" w:cs="宋体"/>
          <w:b w:val="0"/>
          <w:bCs w:val="0"/>
          <w:kern w:val="0"/>
          <w:sz w:val="21"/>
          <w:szCs w:val="21"/>
          <w:highlight w:val="none"/>
          <w:lang w:val="en-US" w:eastAsia="zh-CN"/>
        </w:rPr>
        <w:t>邀约</w:t>
      </w:r>
      <w:r>
        <w:rPr>
          <w:rFonts w:hint="eastAsia" w:ascii="宋体" w:hAnsi="宋体" w:eastAsia="宋体" w:cs="宋体"/>
          <w:sz w:val="21"/>
          <w:szCs w:val="21"/>
          <w:highlight w:val="none"/>
          <w:lang w:val="en-US" w:eastAsia="zh-CN"/>
        </w:rPr>
        <w:t>行业协会/学会等行业组织，上市公司、龙头企业及知名企业，高校、科研院所及科研机构，权威机构、知名专家、</w:t>
      </w:r>
      <w:r>
        <w:rPr>
          <w:rFonts w:hint="eastAsia" w:ascii="宋体" w:hAnsi="宋体" w:eastAsia="宋体" w:cs="宋体"/>
          <w:b w:val="0"/>
          <w:bCs w:val="0"/>
          <w:kern w:val="0"/>
          <w:sz w:val="21"/>
          <w:szCs w:val="21"/>
          <w:highlight w:val="none"/>
          <w:lang w:val="en-US" w:eastAsia="zh-CN"/>
        </w:rPr>
        <w:t>行业专家等重要嘉宾；</w:t>
      </w:r>
      <w:r>
        <w:rPr>
          <w:rFonts w:hint="eastAsia" w:ascii="宋体" w:hAnsi="宋体" w:eastAsia="宋体" w:cs="宋体"/>
          <w:kern w:val="0"/>
          <w:sz w:val="21"/>
          <w:szCs w:val="21"/>
          <w:highlight w:val="none"/>
          <w:lang w:val="en-US" w:eastAsia="zh-CN"/>
        </w:rPr>
        <w:t>引入国际企业、跨国公司、国内外科研院所、行业专家、龙头企业、初创企业等生物医药行业资源；</w:t>
      </w:r>
      <w:r>
        <w:rPr>
          <w:rFonts w:hint="eastAsia" w:ascii="宋体" w:hAnsi="宋体" w:eastAsia="宋体" w:cs="宋体"/>
          <w:kern w:val="2"/>
          <w:sz w:val="21"/>
          <w:szCs w:val="21"/>
          <w:highlight w:val="none"/>
          <w:lang w:val="en-US" w:eastAsia="zh-CN"/>
        </w:rPr>
        <w:t>参与</w:t>
      </w:r>
      <w:r>
        <w:rPr>
          <w:rFonts w:hint="eastAsia" w:ascii="宋体" w:hAnsi="宋体" w:eastAsia="宋体" w:cs="宋体"/>
          <w:b w:val="0"/>
          <w:bCs w:val="0"/>
          <w:kern w:val="2"/>
          <w:sz w:val="21"/>
          <w:szCs w:val="21"/>
          <w:highlight w:val="none"/>
          <w:lang w:val="en-US" w:eastAsia="zh-CN"/>
        </w:rPr>
        <w:t>论坛活动的企业数量不少于100家；根</w:t>
      </w:r>
      <w:r>
        <w:rPr>
          <w:rFonts w:hint="eastAsia" w:ascii="宋体" w:hAnsi="宋体" w:eastAsia="宋体" w:cs="宋体"/>
          <w:b w:val="0"/>
          <w:bCs w:val="0"/>
          <w:color w:val="auto"/>
          <w:kern w:val="2"/>
          <w:sz w:val="21"/>
          <w:szCs w:val="21"/>
          <w:highlight w:val="none"/>
          <w:lang w:val="en-US" w:eastAsia="zh-CN"/>
        </w:rPr>
        <w:t>据</w:t>
      </w:r>
      <w:r>
        <w:rPr>
          <w:rFonts w:hint="eastAsia" w:ascii="宋体" w:hAnsi="宋体" w:eastAsia="宋体" w:cs="宋体"/>
          <w:kern w:val="2"/>
          <w:sz w:val="21"/>
          <w:szCs w:val="21"/>
          <w:highlight w:val="none"/>
          <w:lang w:val="en-US" w:eastAsia="zh-CN"/>
        </w:rPr>
        <w:t>跨省</w:t>
      </w:r>
      <w:r>
        <w:rPr>
          <w:rFonts w:hint="eastAsia" w:ascii="宋体" w:hAnsi="宋体" w:eastAsia="宋体" w:cs="宋体"/>
          <w:kern w:val="0"/>
          <w:sz w:val="21"/>
          <w:szCs w:val="21"/>
          <w:highlight w:val="none"/>
          <w:lang w:val="en-US" w:eastAsia="zh-CN"/>
        </w:rPr>
        <w:t>企业、省外科研院所、权威机构、行业组织和专家参与比例进行综合评估，其中跨省代表参与比例≥20%</w:t>
      </w:r>
      <w:r>
        <w:rPr>
          <w:rFonts w:hint="eastAsia" w:ascii="宋体" w:hAnsi="宋体" w:eastAsia="宋体" w:cs="宋体"/>
          <w:b w:val="0"/>
          <w:bCs w:val="0"/>
          <w:kern w:val="0"/>
          <w:sz w:val="21"/>
          <w:szCs w:val="21"/>
          <w:highlight w:val="none"/>
          <w:lang w:val="en-US" w:eastAsia="zh-CN"/>
        </w:rPr>
        <w:t>；实现不少于3篇省级及以上主流媒体报道，至少1篇国家级媒体报道。</w:t>
      </w:r>
    </w:p>
    <w:p w14:paraId="4127B073">
      <w:pPr>
        <w:pStyle w:val="3"/>
        <w:pageBreakBefore w:val="0"/>
        <w:spacing w:line="360" w:lineRule="auto"/>
        <w:ind w:firstLine="422"/>
        <w:contextualSpacing/>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四</w:t>
      </w:r>
      <w:r>
        <w:rPr>
          <w:rFonts w:hint="eastAsia" w:ascii="宋体" w:hAnsi="宋体" w:eastAsia="宋体" w:cs="宋体"/>
          <w:b/>
          <w:color w:val="auto"/>
          <w:sz w:val="21"/>
          <w:szCs w:val="21"/>
          <w:highlight w:val="none"/>
        </w:rPr>
        <w:t>）对会后服务的考核</w:t>
      </w:r>
    </w:p>
    <w:p w14:paraId="17035CA9">
      <w:pPr>
        <w:pStyle w:val="3"/>
        <w:spacing w:line="360" w:lineRule="auto"/>
        <w:ind w:firstLine="420"/>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会后</w:t>
      </w:r>
      <w:r>
        <w:rPr>
          <w:rFonts w:hint="eastAsia" w:ascii="宋体" w:hAnsi="宋体" w:eastAsia="宋体" w:cs="宋体"/>
          <w:color w:val="auto"/>
          <w:sz w:val="21"/>
          <w:szCs w:val="21"/>
          <w:highlight w:val="none"/>
          <w:lang w:eastAsia="zh-CN"/>
        </w:rPr>
        <w:t>成交单位</w:t>
      </w:r>
      <w:r>
        <w:rPr>
          <w:rFonts w:hint="eastAsia" w:ascii="宋体" w:hAnsi="宋体" w:eastAsia="宋体" w:cs="宋体"/>
          <w:color w:val="auto"/>
          <w:sz w:val="21"/>
          <w:szCs w:val="21"/>
          <w:highlight w:val="none"/>
        </w:rPr>
        <w:t>须根据会议主办方的要求做好书面总结、嘉宾回访等工作。会议主办方将根据大会总结、回访小结的情况，对大会进行绩效评价。绩效评价结果将作为本项目尾款支付的主要依据。</w:t>
      </w:r>
    </w:p>
    <w:p w14:paraId="32916C84">
      <w:pPr>
        <w:pStyle w:val="3"/>
        <w:spacing w:line="360" w:lineRule="auto"/>
        <w:ind w:firstLine="420"/>
        <w:contextualSpacing/>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经费管理</w:t>
      </w:r>
    </w:p>
    <w:p w14:paraId="2E859106">
      <w:pPr>
        <w:pStyle w:val="3"/>
        <w:spacing w:line="360" w:lineRule="auto"/>
        <w:ind w:firstLine="420"/>
        <w:contextualSpacing/>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项目经费使用合规节俭；成交供应商须无条件配合专项审计，完整、及时提供全部审计佐证资料。</w:t>
      </w:r>
    </w:p>
    <w:p w14:paraId="3D8D9C11">
      <w:pPr>
        <w:pStyle w:val="3"/>
        <w:spacing w:line="360" w:lineRule="auto"/>
        <w:ind w:firstLine="420"/>
        <w:contextualSpacing/>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lang w:eastAsia="zh-CN"/>
        </w:rPr>
        <w:t>、合同签订与付款</w:t>
      </w:r>
    </w:p>
    <w:p w14:paraId="2C820EC5">
      <w:pPr>
        <w:pageBreakBefore w:val="0"/>
        <w:spacing w:line="360" w:lineRule="auto"/>
        <w:ind w:firstLine="42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成交结果公示结束后，采购方与供应商应签订采购合同。参考以下时间和比例要求支付相关费用。</w:t>
      </w:r>
    </w:p>
    <w:p w14:paraId="63B71EDE">
      <w:pPr>
        <w:pStyle w:val="3"/>
        <w:pageBreakBefore w:val="0"/>
        <w:spacing w:line="360" w:lineRule="auto"/>
        <w:ind w:left="0" w:firstLine="420"/>
        <w:contextualSpacing/>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付款方式：项目合同签订后，5个工作日内会议主办方向成交单位支付项目合同总金额的30%；</w:t>
      </w:r>
    </w:p>
    <w:p w14:paraId="3EC3D25B">
      <w:pPr>
        <w:pStyle w:val="3"/>
        <w:pageBreakBefore w:val="0"/>
        <w:spacing w:line="360" w:lineRule="auto"/>
        <w:ind w:left="0" w:firstLine="420"/>
        <w:contextualSpacing/>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大会开幕前5个工作日内会议主办方向成交单位支付至项目合同总金额的60%；</w:t>
      </w:r>
    </w:p>
    <w:p w14:paraId="5AFDA202">
      <w:pPr>
        <w:pStyle w:val="3"/>
        <w:pageBreakBefore w:val="0"/>
        <w:spacing w:line="360" w:lineRule="auto"/>
        <w:ind w:left="0" w:firstLine="420"/>
        <w:contextualSpacing/>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大会结束后，依据会议总结报告、到会嘉宾和参会人员的考核情况以及合同协议服务费用最终结算申请等财务单据，在会议相关审计完成后10个工作日内，会议主办方向成交单位支付至项目合同总金额的90%；</w:t>
      </w:r>
    </w:p>
    <w:p w14:paraId="4B7D5810">
      <w:pPr>
        <w:pStyle w:val="3"/>
        <w:pageBreakBefore w:val="0"/>
        <w:spacing w:line="360" w:lineRule="auto"/>
        <w:ind w:left="0" w:firstLine="420"/>
        <w:contextualSpacing/>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剩余项目合同总金额的10%作为尾款，在会议主办方对本次会议进行绩效评价后，按照绩效评价情况进行支付。</w:t>
      </w:r>
    </w:p>
    <w:p w14:paraId="4CC54B8A">
      <w:pPr>
        <w:pStyle w:val="3"/>
        <w:pageBreakBefore w:val="0"/>
        <w:spacing w:line="360" w:lineRule="auto"/>
        <w:ind w:left="0" w:firstLine="420"/>
        <w:contextualSpacing/>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每次付款前，成交单位应向会议主办方提供合法有效的发票，否则会议主办方有权拒绝付款且不承担任何责任。</w:t>
      </w:r>
    </w:p>
    <w:p w14:paraId="4EADB14B">
      <w:pPr>
        <w:spacing w:line="360" w:lineRule="auto"/>
        <w:ind w:firstLine="422" w:firstLineChars="200"/>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六、通用服务要求</w:t>
      </w:r>
    </w:p>
    <w:p w14:paraId="1ABA51C3">
      <w:pPr>
        <w:spacing w:line="360" w:lineRule="auto"/>
        <w:ind w:firstLine="420" w:firstLineChars="200"/>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1.本项目为总价包干，报价包含人员、嘉宾劳务差旅、车辆、搭建、物料、媒体、保险、税费、驻场、多会场统筹、应急、整改等完成本项目全部工作的所有费用，采购人不再额外支付任何费用。</w:t>
      </w:r>
    </w:p>
    <w:p w14:paraId="2AB3C85C">
      <w:pPr>
        <w:spacing w:line="360" w:lineRule="auto"/>
        <w:ind w:firstLine="420" w:firstLineChars="200"/>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2.本项目所有产出成果（文案、设计、影像、报告、系统数据等）知识产权全部归采购人所有；采购人拥有全部成果用于对内汇报、对外招商宣传、新闻发布等场景的永久使用权。</w:t>
      </w:r>
    </w:p>
    <w:p w14:paraId="41F7A52B">
      <w:pPr>
        <w:spacing w:line="360" w:lineRule="auto"/>
        <w:ind w:firstLine="420" w:firstLineChars="200"/>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3.成交供应商承担活动现场安全生产主体责任，对活动期间发生的安全事故承担全部法律及经济赔偿责任。</w:t>
      </w:r>
    </w:p>
    <w:p w14:paraId="2C2EFDC6">
      <w:pPr>
        <w:spacing w:line="360" w:lineRule="auto"/>
        <w:ind w:firstLine="420" w:firstLineChars="200"/>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4.成交供应商须严格做好嘉宾、参会人员个人信息保密管理，项目全过程及项目结束后永久保密，严禁外泄、转卖、商业使用参会人员信息；一旦发生信息泄露，成交供应商承担全部法律与经济赔偿责任。本项目不得转包；项目核心服务不得分包，非核心服务如需分包，必须事先取得采购人书面同意，分包不免除成交供应商</w:t>
      </w:r>
      <w:r>
        <w:rPr>
          <w:rFonts w:hint="eastAsia" w:ascii="宋体" w:hAnsi="宋体" w:cs="宋体"/>
          <w:b w:val="0"/>
          <w:bCs w:val="0"/>
          <w:kern w:val="0"/>
          <w:sz w:val="21"/>
          <w:szCs w:val="21"/>
          <w:highlight w:val="none"/>
          <w:lang w:val="en-US" w:eastAsia="zh-CN"/>
        </w:rPr>
        <w:t>的全部</w:t>
      </w:r>
      <w:r>
        <w:rPr>
          <w:rFonts w:hint="eastAsia" w:ascii="宋体" w:hAnsi="宋体" w:eastAsia="宋体" w:cs="宋体"/>
          <w:b w:val="0"/>
          <w:bCs w:val="0"/>
          <w:kern w:val="0"/>
          <w:sz w:val="21"/>
          <w:szCs w:val="21"/>
          <w:highlight w:val="none"/>
          <w:lang w:val="en-US" w:eastAsia="zh-CN"/>
        </w:rPr>
        <w:t>合同责任。</w:t>
      </w:r>
    </w:p>
    <w:p w14:paraId="39936AF2">
      <w:pPr>
        <w:spacing w:line="360" w:lineRule="auto"/>
        <w:ind w:firstLine="420" w:firstLineChars="200"/>
        <w:rPr>
          <w:rFonts w:hint="eastAsia" w:ascii="宋体" w:hAnsi="宋体" w:eastAsia="宋体" w:cs="宋体"/>
          <w:b w:val="0"/>
          <w:bCs w:val="0"/>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5.落实国家、省、市绿色采购相关文件要求，优先选用节能环保物料，减少一次性耗材使用。本需求所列全部服务内容均为实质性要求。采购人可在不改变核心服务范围前提下，对会场分配、议程、时间合理调整，成交供应商须无条件配合。</w:t>
      </w:r>
    </w:p>
    <w:p w14:paraId="3381B548">
      <w:pPr>
        <w:spacing w:line="360" w:lineRule="auto"/>
        <w:rPr>
          <w:rFonts w:hint="eastAsia" w:ascii="宋体" w:hAnsi="宋体" w:eastAsia="宋体" w:cs="宋体"/>
          <w:b/>
          <w:bCs/>
          <w:kern w:val="0"/>
          <w:sz w:val="21"/>
          <w:szCs w:val="21"/>
          <w:highlight w:val="none"/>
          <w:lang w:val="en-US" w:eastAsia="zh-CN"/>
        </w:rPr>
      </w:pPr>
      <w:r>
        <w:rPr>
          <w:rFonts w:hint="eastAsia" w:ascii="宋体" w:hAnsi="宋体" w:eastAsia="宋体" w:cs="宋体"/>
          <w:b/>
          <w:bCs/>
          <w:kern w:val="0"/>
          <w:sz w:val="21"/>
          <w:szCs w:val="21"/>
          <w:highlight w:val="none"/>
          <w:lang w:val="en-US" w:eastAsia="zh-CN"/>
        </w:rPr>
        <w:t>七、履约验收</w:t>
      </w:r>
    </w:p>
    <w:p w14:paraId="2DD1BB84">
      <w:pPr>
        <w:pStyle w:val="5"/>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b w:val="0"/>
          <w:bCs w:val="0"/>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bidi="ar-SA"/>
        </w:rPr>
        <w:t>每笔款项付款前，采购人均应按照政府采购履约验收书</w:t>
      </w:r>
      <w:r>
        <w:rPr>
          <w:rFonts w:hint="eastAsia" w:ascii="宋体" w:hAnsi="宋体" w:eastAsia="宋体" w:cs="宋体"/>
          <w:b/>
          <w:bCs/>
          <w:kern w:val="0"/>
          <w:sz w:val="21"/>
          <w:szCs w:val="21"/>
          <w:highlight w:val="none"/>
          <w:lang w:val="en-US" w:eastAsia="zh-CN" w:bidi="ar-SA"/>
        </w:rPr>
        <w:t>组织</w:t>
      </w:r>
      <w:r>
        <w:rPr>
          <w:rFonts w:hint="eastAsia" w:ascii="宋体" w:hAnsi="宋体" w:eastAsia="宋体" w:cs="宋体"/>
          <w:b w:val="0"/>
          <w:bCs w:val="0"/>
          <w:kern w:val="0"/>
          <w:sz w:val="21"/>
          <w:szCs w:val="21"/>
          <w:highlight w:val="none"/>
          <w:lang w:val="en-US" w:eastAsia="zh-CN" w:bidi="ar-SA"/>
        </w:rPr>
        <w:t>履约验收。验收不合格的，成交供应商应按采购人要求，在指定期限内完成免费整改；整改后仍不符合需求标准的，采购人有权依据合同约定追究其违约责任。</w:t>
      </w:r>
    </w:p>
    <w:p w14:paraId="7E7DB0CC">
      <w:pPr>
        <w:rPr>
          <w:rFonts w:hint="eastAsia" w:ascii="宋体" w:hAnsi="宋体" w:eastAsia="宋体" w:cs="宋体"/>
          <w:b w:val="0"/>
          <w:bCs w:val="0"/>
          <w:kern w:val="0"/>
          <w:sz w:val="21"/>
          <w:szCs w:val="21"/>
          <w:highlight w:val="none"/>
          <w:lang w:val="en-US" w:eastAsia="zh-CN" w:bidi="ar-SA"/>
        </w:rPr>
        <w:sectPr>
          <w:pgSz w:w="11906" w:h="16838"/>
          <w:pgMar w:top="1440" w:right="1800" w:bottom="1440" w:left="1800" w:header="851" w:footer="992" w:gutter="0"/>
          <w:cols w:space="425" w:num="1"/>
          <w:docGrid w:type="lines" w:linePitch="312" w:charSpace="0"/>
        </w:sectPr>
      </w:pPr>
    </w:p>
    <w:p w14:paraId="440996D9">
      <w:pPr>
        <w:pStyle w:val="5"/>
        <w:pageBreakBefore w:val="0"/>
        <w:numPr>
          <w:ilvl w:val="0"/>
          <w:numId w:val="7"/>
        </w:numPr>
        <w:kinsoku/>
        <w:bidi w:val="0"/>
        <w:spacing w:line="360" w:lineRule="auto"/>
        <w:ind w:firstLine="422" w:firstLineChars="200"/>
        <w:jc w:val="center"/>
        <w:rPr>
          <w:rFonts w:hint="eastAsia" w:ascii="宋体" w:hAnsi="宋体" w:eastAsia="宋体"/>
          <w:b/>
          <w:sz w:val="21"/>
          <w:szCs w:val="21"/>
          <w:highlight w:val="none"/>
        </w:rPr>
      </w:pPr>
      <w:r>
        <w:rPr>
          <w:rFonts w:hint="eastAsia" w:ascii="宋体" w:hAnsi="宋体" w:eastAsia="宋体"/>
          <w:b/>
          <w:sz w:val="21"/>
          <w:szCs w:val="21"/>
          <w:highlight w:val="none"/>
        </w:rPr>
        <w:t xml:space="preserve"> 评审方法和评审标准</w:t>
      </w:r>
      <w:bookmarkEnd w:id="61"/>
    </w:p>
    <w:p w14:paraId="3EECE750">
      <w:pPr>
        <w:pageBreakBefore w:val="0"/>
        <w:kinsoku/>
        <w:bidi w:val="0"/>
        <w:spacing w:line="360" w:lineRule="auto"/>
        <w:ind w:firstLine="482"/>
        <w:rPr>
          <w:rFonts w:hint="eastAsia" w:ascii="宋体" w:hAnsi="宋体" w:cs="宋体"/>
          <w:b/>
          <w:szCs w:val="21"/>
          <w:highlight w:val="none"/>
        </w:rPr>
      </w:pPr>
      <w:r>
        <w:rPr>
          <w:rFonts w:hint="eastAsia" w:ascii="宋体" w:hAnsi="宋体" w:cs="宋体"/>
          <w:b/>
          <w:szCs w:val="21"/>
          <w:highlight w:val="none"/>
        </w:rPr>
        <w:t>一、磋商模式</w:t>
      </w:r>
    </w:p>
    <w:p w14:paraId="2172B1CB">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不见面远程磋商模式：开标当天各供应商在各自地点通过苏采云系统及时登录不见面开标大厅，参加磋商活动。</w:t>
      </w:r>
    </w:p>
    <w:p w14:paraId="481B8865">
      <w:pPr>
        <w:pageBreakBefore w:val="0"/>
        <w:kinsoku/>
        <w:bidi w:val="0"/>
        <w:spacing w:line="360" w:lineRule="auto"/>
        <w:ind w:firstLine="482"/>
        <w:rPr>
          <w:rFonts w:hint="eastAsia" w:ascii="宋体" w:hAnsi="宋体" w:cs="宋体"/>
          <w:b/>
          <w:szCs w:val="21"/>
          <w:highlight w:val="none"/>
        </w:rPr>
      </w:pPr>
      <w:r>
        <w:rPr>
          <w:rFonts w:hint="eastAsia" w:ascii="宋体" w:hAnsi="宋体" w:cs="宋体"/>
          <w:b/>
          <w:szCs w:val="21"/>
          <w:highlight w:val="none"/>
        </w:rPr>
        <w:t>二、磋商组织及磋商小组职责</w:t>
      </w:r>
    </w:p>
    <w:p w14:paraId="634C67C0">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1.本次竞争性磋商依据《中华人民共和国政府采购法》《政府采购竞争性磋商采购方式管理暂行办法》及有关法规成立磋商小组。磋商小组由采购人代表和评审专家共3人及以上单数组成。</w:t>
      </w:r>
    </w:p>
    <w:p w14:paraId="05352185">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2.磋商小组的职责：</w:t>
      </w:r>
    </w:p>
    <w:p w14:paraId="6253ACF4">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F1EEAFA">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（2）磋商文件内容违反国家有关强制性规定的，磋商小组应当停止评审并向采购人或者采购代理机构说明情况。</w:t>
      </w:r>
    </w:p>
    <w:p w14:paraId="20294699">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（3）磋商小组成员应当遵守评审工作纪律，不得泄露评审情况和评审中获悉的商业秘密</w:t>
      </w:r>
      <w:r>
        <w:rPr>
          <w:rFonts w:hint="eastAsia" w:ascii="宋体" w:hAnsi="宋体" w:cs="宋体"/>
          <w:szCs w:val="21"/>
          <w:highlight w:val="none"/>
          <w:lang w:eastAsia="zh-CN"/>
        </w:rPr>
        <w:t>，并</w:t>
      </w:r>
      <w:r>
        <w:rPr>
          <w:rFonts w:hint="eastAsia" w:ascii="宋体" w:hAnsi="宋体" w:cs="宋体"/>
          <w:szCs w:val="21"/>
          <w:highlight w:val="none"/>
        </w:rPr>
        <w:t>对个人的评审意见承担法律责任。</w:t>
      </w:r>
    </w:p>
    <w:p w14:paraId="6A8623E3">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（4）磋商小组成员在评审过程中发现供应商有行贿、提供虚假材料或者串通投标等违法行为的，应当及时向财政部门报告。</w:t>
      </w:r>
    </w:p>
    <w:p w14:paraId="371BA02B">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（5）磋商小组成员在评审过程中受到非法干涉的，应当及时向财政、监察等部门举报。</w:t>
      </w:r>
    </w:p>
    <w:p w14:paraId="39DC7042">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（6）配合采购单位答复供应商提出的质疑；配合财政部门的投诉处理和监督检查工作。</w:t>
      </w:r>
    </w:p>
    <w:p w14:paraId="58CB5743">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3.评审有关记录由磋商小组成员签名，存档备查。</w:t>
      </w:r>
    </w:p>
    <w:p w14:paraId="0BDF8387">
      <w:pPr>
        <w:pageBreakBefore w:val="0"/>
        <w:kinsoku/>
        <w:bidi w:val="0"/>
        <w:spacing w:line="360" w:lineRule="auto"/>
        <w:ind w:firstLine="482"/>
        <w:rPr>
          <w:rFonts w:hint="eastAsia" w:ascii="宋体" w:hAnsi="宋体" w:cs="宋体"/>
          <w:b/>
          <w:szCs w:val="21"/>
          <w:highlight w:val="none"/>
        </w:rPr>
      </w:pPr>
      <w:r>
        <w:rPr>
          <w:rFonts w:hint="eastAsia" w:ascii="宋体" w:hAnsi="宋体" w:cs="宋体"/>
          <w:b/>
          <w:szCs w:val="21"/>
          <w:highlight w:val="none"/>
        </w:rPr>
        <w:t>三、评审步骤</w:t>
      </w:r>
    </w:p>
    <w:p w14:paraId="18C591E2">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lang w:val="zh-CN"/>
        </w:rPr>
        <w:t>第一阶段：</w:t>
      </w:r>
      <w:r>
        <w:rPr>
          <w:rFonts w:hint="eastAsia" w:ascii="宋体" w:hAnsi="宋体" w:cs="宋体"/>
          <w:szCs w:val="21"/>
          <w:highlight w:val="none"/>
        </w:rPr>
        <w:t>采购人代表</w:t>
      </w:r>
      <w:r>
        <w:rPr>
          <w:rFonts w:hint="eastAsia" w:ascii="宋体" w:hAnsi="宋体" w:cs="宋体"/>
          <w:szCs w:val="21"/>
          <w:highlight w:val="none"/>
          <w:lang w:val="zh-CN"/>
        </w:rPr>
        <w:t>对每个供应商的资格进行审查。</w:t>
      </w:r>
      <w:r>
        <w:rPr>
          <w:rFonts w:hint="eastAsia" w:ascii="宋体" w:hAnsi="宋体" w:cs="宋体"/>
          <w:szCs w:val="21"/>
          <w:highlight w:val="none"/>
        </w:rPr>
        <w:t>供应商资格不合格的，其响应文件判定为无效响应文件。</w:t>
      </w:r>
    </w:p>
    <w:p w14:paraId="6E7A5BA6">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lang w:val="zh-CN"/>
        </w:rPr>
        <w:t>第二阶段：</w:t>
      </w:r>
      <w:r>
        <w:rPr>
          <w:rFonts w:hint="eastAsia" w:ascii="宋体" w:hAnsi="宋体" w:cs="宋体"/>
          <w:szCs w:val="21"/>
          <w:highlight w:val="none"/>
        </w:rPr>
        <w:t>依据磋商文件的规定，由磋商小组</w:t>
      </w:r>
      <w:r>
        <w:rPr>
          <w:rFonts w:hint="eastAsia" w:ascii="宋体" w:hAnsi="宋体" w:cs="宋体"/>
          <w:szCs w:val="21"/>
          <w:highlight w:val="none"/>
          <w:lang w:val="zh-CN"/>
        </w:rPr>
        <w:t>对每个符合资格要求的供应商</w:t>
      </w:r>
      <w:r>
        <w:rPr>
          <w:rFonts w:hint="eastAsia" w:ascii="宋体" w:hAnsi="宋体" w:cs="宋体"/>
          <w:szCs w:val="21"/>
          <w:highlight w:val="none"/>
        </w:rPr>
        <w:t xml:space="preserve">从响应文件的有效性、完整性和对磋商文件的响应程度进行审查，以确定是否对磋商文件的实质性要求作出响应。未通过符合性审查的响应文件，将被判定为不满足磋商文件实质性要求。 </w:t>
      </w:r>
    </w:p>
    <w:p w14:paraId="671AD342">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lang w:val="zh-CN"/>
        </w:rPr>
        <w:t>第三阶段：</w:t>
      </w:r>
      <w:r>
        <w:rPr>
          <w:rFonts w:hint="eastAsia" w:ascii="宋体" w:hAnsi="宋体" w:cs="宋体"/>
          <w:szCs w:val="21"/>
          <w:highlight w:val="none"/>
        </w:rPr>
        <w:t>磋商小组与通过符合性审查的供应商</w:t>
      </w:r>
      <w:r>
        <w:rPr>
          <w:rFonts w:hint="eastAsia" w:ascii="宋体" w:hAnsi="宋体" w:cs="宋体"/>
          <w:szCs w:val="21"/>
          <w:highlight w:val="none"/>
          <w:lang w:eastAsia="zh-CN"/>
        </w:rPr>
        <w:t>逐一</w:t>
      </w:r>
      <w:r>
        <w:rPr>
          <w:rFonts w:hint="eastAsia" w:ascii="宋体" w:hAnsi="宋体" w:cs="宋体"/>
          <w:szCs w:val="21"/>
          <w:highlight w:val="none"/>
        </w:rPr>
        <w:t>进行磋商。单一分别磋商结束后，系统进入商务技术响应文件评审。</w:t>
      </w:r>
    </w:p>
    <w:p w14:paraId="0B2770CF">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lang w:val="zh-CN"/>
        </w:rPr>
        <w:t>第</w:t>
      </w:r>
      <w:r>
        <w:rPr>
          <w:rFonts w:hint="eastAsia" w:ascii="宋体" w:hAnsi="宋体" w:cs="宋体"/>
          <w:szCs w:val="21"/>
          <w:highlight w:val="none"/>
        </w:rPr>
        <w:t>四</w:t>
      </w:r>
      <w:r>
        <w:rPr>
          <w:rFonts w:hint="eastAsia" w:ascii="宋体" w:hAnsi="宋体" w:cs="宋体"/>
          <w:szCs w:val="21"/>
          <w:highlight w:val="none"/>
          <w:lang w:val="zh-CN"/>
        </w:rPr>
        <w:t>阶段：</w:t>
      </w:r>
      <w:r>
        <w:rPr>
          <w:rFonts w:hint="eastAsia" w:ascii="宋体" w:hAnsi="宋体" w:cs="宋体"/>
          <w:szCs w:val="21"/>
          <w:highlight w:val="none"/>
        </w:rPr>
        <w:t>系统商务技术响应文件评审结束后，进入最后报价环节，供应商在系统规定的时间内完成最终报价后，磋商小组对响应报价的供应商进行价格部分评审</w:t>
      </w:r>
      <w:r>
        <w:rPr>
          <w:rFonts w:hint="eastAsia" w:ascii="宋体" w:hAnsi="宋体" w:cs="宋体"/>
          <w:szCs w:val="21"/>
          <w:highlight w:val="none"/>
          <w:lang w:val="zh-CN"/>
        </w:rPr>
        <w:t>。</w:t>
      </w:r>
    </w:p>
    <w:p w14:paraId="031F62E9">
      <w:pPr>
        <w:pageBreakBefore w:val="0"/>
        <w:kinsoku/>
        <w:bidi w:val="0"/>
        <w:spacing w:line="360" w:lineRule="auto"/>
        <w:ind w:firstLine="482"/>
        <w:rPr>
          <w:rFonts w:hint="eastAsia" w:ascii="宋体" w:hAnsi="宋体" w:cs="宋体"/>
          <w:b/>
          <w:szCs w:val="21"/>
          <w:highlight w:val="none"/>
        </w:rPr>
      </w:pPr>
      <w:r>
        <w:rPr>
          <w:rFonts w:hint="eastAsia" w:ascii="宋体" w:hAnsi="宋体" w:cs="宋体"/>
          <w:b/>
          <w:szCs w:val="21"/>
          <w:highlight w:val="none"/>
        </w:rPr>
        <w:t>四、磋商程序</w:t>
      </w:r>
    </w:p>
    <w:p w14:paraId="6622307A">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1.对于通过资格审查和符合性审查的供应商，磋商小组将集中与</w:t>
      </w:r>
      <w:r>
        <w:rPr>
          <w:rFonts w:hint="eastAsia" w:ascii="宋体" w:hAnsi="宋体" w:cs="宋体"/>
          <w:szCs w:val="21"/>
          <w:highlight w:val="none"/>
          <w:lang w:eastAsia="zh-CN"/>
        </w:rPr>
        <w:t>供应商逐一</w:t>
      </w:r>
      <w:r>
        <w:rPr>
          <w:rFonts w:hint="eastAsia" w:ascii="宋体" w:hAnsi="宋体" w:cs="宋体"/>
          <w:szCs w:val="21"/>
          <w:highlight w:val="none"/>
        </w:rPr>
        <w:t>进行磋商。磋商小组通过苏采云系统向供应商发布“磋商函”，供应商应当按照要求在苏采云系统提交“磋商响应函”并加盖CA电子公章。</w:t>
      </w:r>
    </w:p>
    <w:p w14:paraId="48AA9C20">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在磋商过程中，磋商小组可能根据磋商文件和磋商情况实质性变动的内容有：</w:t>
      </w:r>
      <w:r>
        <w:rPr>
          <w:rFonts w:hint="eastAsia" w:ascii="宋体" w:hAnsi="宋体" w:cs="宋体"/>
          <w:b/>
          <w:bCs/>
          <w:szCs w:val="21"/>
          <w:highlight w:val="none"/>
        </w:rPr>
        <w:t>采购需求中的技术、服务要求以及合同草案条款</w:t>
      </w:r>
      <w:r>
        <w:rPr>
          <w:rFonts w:hint="eastAsia" w:ascii="宋体" w:hAnsi="宋体" w:cs="宋体"/>
          <w:szCs w:val="21"/>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434665E">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79480FD1">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Cs w:val="21"/>
          <w:highlight w:val="none"/>
          <w:lang w:eastAsia="zh-CN"/>
        </w:rPr>
        <w:t>，并</w:t>
      </w:r>
      <w:r>
        <w:rPr>
          <w:rFonts w:hint="eastAsia" w:ascii="宋体" w:hAnsi="宋体" w:cs="宋体"/>
          <w:szCs w:val="21"/>
          <w:highlight w:val="none"/>
        </w:rPr>
        <w:t>在苏采云系统中向其发布“最后报价要求函”及最后报价格式表，要求其在</w:t>
      </w:r>
      <w:r>
        <w:rPr>
          <w:rFonts w:hint="eastAsia" w:ascii="宋体" w:hAnsi="宋体" w:cs="宋体"/>
          <w:b/>
          <w:bCs/>
          <w:szCs w:val="21"/>
          <w:highlight w:val="none"/>
        </w:rPr>
        <w:t>15分钟内</w:t>
      </w:r>
      <w:r>
        <w:rPr>
          <w:rFonts w:hint="eastAsia" w:ascii="宋体" w:hAnsi="宋体" w:cs="宋体"/>
          <w:szCs w:val="21"/>
          <w:highlight w:val="none"/>
        </w:rPr>
        <w:t>提交最后报价。</w:t>
      </w:r>
    </w:p>
    <w:p w14:paraId="5C93C5CD">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p>
    <w:p w14:paraId="2C18337F">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77C69CD">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4.除非在磋商中磋商小组对采购需求中的技术、服务要求以及合同草案条款做了实质性变更，</w:t>
      </w:r>
      <w:r>
        <w:rPr>
          <w:rFonts w:hint="eastAsia" w:ascii="宋体" w:hAnsi="宋体" w:cs="宋体"/>
          <w:b/>
          <w:bCs/>
          <w:szCs w:val="21"/>
          <w:highlight w:val="none"/>
        </w:rPr>
        <w:t>否则采购单位不接受供应商高于自己前一轮的磋商报价</w:t>
      </w:r>
      <w:r>
        <w:rPr>
          <w:rFonts w:hint="eastAsia" w:ascii="宋体" w:hAnsi="宋体" w:cs="宋体"/>
          <w:szCs w:val="21"/>
          <w:highlight w:val="none"/>
        </w:rPr>
        <w:t>。</w:t>
      </w:r>
    </w:p>
    <w:p w14:paraId="3AF3AF12">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5.在磋商中，磋商的任何一方不得透露与磋商有关的</w:t>
      </w:r>
      <w:r>
        <w:rPr>
          <w:rFonts w:hint="eastAsia" w:ascii="宋体" w:hAnsi="宋体" w:cs="宋体"/>
          <w:szCs w:val="21"/>
          <w:highlight w:val="none"/>
          <w:lang w:eastAsia="zh-CN"/>
        </w:rPr>
        <w:t>其他</w:t>
      </w:r>
      <w:r>
        <w:rPr>
          <w:rFonts w:hint="eastAsia" w:ascii="宋体" w:hAnsi="宋体" w:cs="宋体"/>
          <w:szCs w:val="21"/>
          <w:highlight w:val="none"/>
        </w:rPr>
        <w:t>供应商的技术资料、价格及其他信息。</w:t>
      </w:r>
    </w:p>
    <w:p w14:paraId="319017F6">
      <w:pPr>
        <w:pageBreakBefore w:val="0"/>
        <w:kinsoku/>
        <w:bidi w:val="0"/>
        <w:spacing w:line="360" w:lineRule="auto"/>
        <w:ind w:firstLine="420" w:firstLineChars="200"/>
        <w:rPr>
          <w:rFonts w:hint="eastAsia" w:ascii="宋体" w:hAnsi="宋体" w:cs="宋体"/>
          <w:b/>
          <w:bCs/>
          <w:szCs w:val="21"/>
          <w:highlight w:val="none"/>
        </w:rPr>
      </w:pPr>
      <w:r>
        <w:rPr>
          <w:rFonts w:hint="eastAsia" w:ascii="宋体" w:hAnsi="宋体" w:cs="宋体"/>
          <w:szCs w:val="21"/>
          <w:highlight w:val="none"/>
        </w:rPr>
        <w:t>6.根据</w:t>
      </w:r>
      <w:r>
        <w:rPr>
          <w:rFonts w:hint="eastAsia" w:ascii="宋体" w:hAnsi="宋体" w:cs="宋体"/>
          <w:color w:val="auto"/>
          <w:highlight w:val="none"/>
          <w:u w:val="none"/>
        </w:rPr>
        <w:t>《江苏省财政厅转发财政部关于推动解决政府采购异常低价问题的通知》（苏财购〔202</w:t>
      </w:r>
      <w:r>
        <w:rPr>
          <w:rFonts w:hint="eastAsia" w:ascii="宋体" w:hAnsi="宋体" w:cs="宋体"/>
          <w:color w:val="auto"/>
          <w:highlight w:val="none"/>
          <w:u w:val="none"/>
          <w:lang w:val="en-US" w:eastAsia="zh-CN"/>
        </w:rPr>
        <w:t>6</w:t>
      </w:r>
      <w:r>
        <w:rPr>
          <w:rFonts w:hint="eastAsia" w:ascii="宋体" w:hAnsi="宋体" w:cs="宋体"/>
          <w:color w:val="auto"/>
          <w:highlight w:val="none"/>
          <w:u w:val="none"/>
        </w:rPr>
        <w:t>〕</w:t>
      </w:r>
      <w:r>
        <w:rPr>
          <w:rFonts w:hint="eastAsia" w:ascii="宋体" w:hAnsi="宋体" w:cs="宋体"/>
          <w:color w:val="auto"/>
          <w:highlight w:val="none"/>
          <w:u w:val="none"/>
          <w:lang w:val="en-US" w:eastAsia="zh-CN"/>
        </w:rPr>
        <w:t>36</w:t>
      </w:r>
      <w:r>
        <w:rPr>
          <w:rFonts w:hint="eastAsia" w:ascii="宋体" w:hAnsi="宋体" w:cs="宋体"/>
          <w:color w:val="auto"/>
          <w:highlight w:val="none"/>
          <w:u w:val="none"/>
        </w:rPr>
        <w:t>号）</w:t>
      </w:r>
      <w:r>
        <w:rPr>
          <w:rFonts w:hint="eastAsia" w:ascii="宋体" w:hAnsi="宋体" w:cs="宋体"/>
          <w:szCs w:val="21"/>
          <w:highlight w:val="none"/>
        </w:rPr>
        <w:t>精神，</w:t>
      </w:r>
      <w:r>
        <w:rPr>
          <w:rFonts w:hint="eastAsia" w:ascii="宋体" w:hAnsi="宋体" w:cs="宋体"/>
          <w:b/>
          <w:bCs/>
          <w:szCs w:val="21"/>
          <w:highlight w:val="none"/>
        </w:rPr>
        <w:t>政府采购评审中出现下列情形之一的，评审委员会应当启动异常低价投标（响应）审查程序：</w:t>
      </w:r>
    </w:p>
    <w:p w14:paraId="7FF40AB6">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（1）投标（响应）报价低于采购项目预算 50%的，即投标（响应）报价＜采购项目预算 ×50%；</w:t>
      </w:r>
    </w:p>
    <w:p w14:paraId="504BD9DC">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（2）投标（响应）报价低于采购项目最高限价45%的，即投标（响应）报价＜采购项目最高限价 ×45%；</w:t>
      </w:r>
    </w:p>
    <w:p w14:paraId="08F19C93">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（3）评审委员会认定的供应商报价过低、有可能影响产品质量或者不能诚信履约的其他情形。</w:t>
      </w:r>
    </w:p>
    <w:p w14:paraId="38106A1A">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8C331D9">
      <w:pPr>
        <w:pageBreakBefore w:val="0"/>
        <w:kinsoku/>
        <w:bidi w:val="0"/>
        <w:spacing w:line="360" w:lineRule="auto"/>
        <w:ind w:firstLine="482"/>
        <w:rPr>
          <w:rFonts w:hint="eastAsia" w:ascii="宋体" w:hAnsi="宋体" w:cs="宋体"/>
          <w:b/>
          <w:szCs w:val="21"/>
          <w:highlight w:val="none"/>
        </w:rPr>
      </w:pPr>
      <w:r>
        <w:rPr>
          <w:rFonts w:hint="eastAsia" w:ascii="宋体" w:hAnsi="宋体" w:cs="宋体"/>
          <w:b/>
          <w:szCs w:val="21"/>
          <w:highlight w:val="none"/>
        </w:rPr>
        <w:t>五、磋商评定结果的方法</w:t>
      </w:r>
    </w:p>
    <w:p w14:paraId="235C39D6">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1.</w:t>
      </w:r>
      <w:r>
        <w:rPr>
          <w:rFonts w:hint="eastAsia" w:ascii="宋体" w:hAnsi="宋体" w:cs="宋体"/>
          <w:b/>
          <w:szCs w:val="21"/>
          <w:highlight w:val="none"/>
          <w:u w:val="single"/>
        </w:rPr>
        <w:t>经磋商确定最终采购需求和提交最后报价的供应商后，</w:t>
      </w:r>
      <w:r>
        <w:rPr>
          <w:rFonts w:hint="eastAsia" w:ascii="宋体" w:hAnsi="宋体" w:cs="宋体"/>
          <w:szCs w:val="21"/>
          <w:highlight w:val="none"/>
        </w:rPr>
        <w:t>由磋商小组采用综合评分法</w:t>
      </w:r>
      <w:r>
        <w:rPr>
          <w:rFonts w:hint="eastAsia" w:ascii="宋体" w:hAnsi="宋体" w:cs="宋体"/>
          <w:b/>
          <w:szCs w:val="21"/>
          <w:highlight w:val="none"/>
          <w:u w:val="single"/>
        </w:rPr>
        <w:t>对提交最后报价的供应商的响应文件和最后报价</w:t>
      </w:r>
      <w:r>
        <w:rPr>
          <w:rFonts w:hint="eastAsia" w:ascii="宋体" w:hAnsi="宋体" w:cs="宋体"/>
          <w:szCs w:val="21"/>
          <w:highlight w:val="none"/>
        </w:rPr>
        <w:t>进行综合评分。综合评分法，是指响应文件满足磋商文件全部实质性要求且按评审因素的量化指标评审得分最高的供应商为成交候选供应商的评审方法。</w:t>
      </w:r>
    </w:p>
    <w:p w14:paraId="24237EB7">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2.评审时，磋商小组各成员应当独立对每个有效响应的文件进行评价、打分，然后汇总每个供应商每项评分因素的得分（计算结果均四舍五入保留两位小数）。</w:t>
      </w:r>
    </w:p>
    <w:p w14:paraId="00C10043">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 xml:space="preserve">3.本次项目磋商的商务技术和报价评审总分值为100分。 </w:t>
      </w:r>
    </w:p>
    <w:p w14:paraId="0733AC49">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4.商务技术分按算术平均值计算，分值四舍五入保留两位小数。</w:t>
      </w:r>
    </w:p>
    <w:p w14:paraId="64652ADC">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5.报价分统一采用低价优先法计算直接取得，与商务技术分相加为供应商的综合得分（四舍五入保留两位小数）。</w:t>
      </w:r>
    </w:p>
    <w:p w14:paraId="182A2410">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6.综合得分最高的供应商被推荐为成交候选人并出具评审磋商报告。</w:t>
      </w:r>
    </w:p>
    <w:p w14:paraId="23B6256C">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 xml:space="preserve">7.确定成交候选人的特殊情况处理： </w:t>
      </w:r>
    </w:p>
    <w:p w14:paraId="1DC66F23">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（1）若总分相同，则按最终报价响应得分高者优先中标。</w:t>
      </w:r>
    </w:p>
    <w:p w14:paraId="60A24F74">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（2）若总分且最终报价响应得分相同，则采取现场抽签的方式确定（供应商的抽签顺序分别为各供应商递交响应文件签到顺序号）。</w:t>
      </w:r>
    </w:p>
    <w:p w14:paraId="4DCF08C1">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8.磋商评审时，评委对评审的细则若有争议，由磋商小组集体讨论确定，并对未尽情况有最终解释权。</w:t>
      </w:r>
    </w:p>
    <w:tbl>
      <w:tblPr>
        <w:tblStyle w:val="20"/>
        <w:tblW w:w="502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624"/>
        <w:gridCol w:w="6803"/>
        <w:gridCol w:w="842"/>
      </w:tblGrid>
      <w:tr w14:paraId="588BAD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2" w:hRule="atLeast"/>
        </w:trPr>
        <w:tc>
          <w:tcPr>
            <w:tcW w:w="876" w:type="pct"/>
            <w:noWrap w:val="0"/>
            <w:vAlign w:val="center"/>
          </w:tcPr>
          <w:p w14:paraId="175DE2D8">
            <w:pPr>
              <w:pStyle w:val="49"/>
              <w:pageBreakBefore w:val="0"/>
              <w:kinsoku/>
              <w:topLinePunct w:val="0"/>
              <w:bidi w:val="0"/>
              <w:spacing w:before="1" w:line="360" w:lineRule="auto"/>
              <w:ind w:left="232"/>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评</w:t>
            </w:r>
            <w:r>
              <w:rPr>
                <w:rFonts w:hint="eastAsia" w:ascii="宋体" w:hAnsi="宋体" w:eastAsia="宋体" w:cs="宋体"/>
                <w:b/>
                <w:bCs/>
                <w:sz w:val="21"/>
                <w:szCs w:val="21"/>
                <w:highlight w:val="none"/>
                <w:lang w:val="en-US" w:eastAsia="zh-CN"/>
              </w:rPr>
              <w:t>审因素</w:t>
            </w:r>
          </w:p>
        </w:tc>
        <w:tc>
          <w:tcPr>
            <w:tcW w:w="3670" w:type="pct"/>
            <w:noWrap w:val="0"/>
            <w:vAlign w:val="center"/>
          </w:tcPr>
          <w:p w14:paraId="171382DF">
            <w:pPr>
              <w:pStyle w:val="49"/>
              <w:pageBreakBefore w:val="0"/>
              <w:kinsoku/>
              <w:topLinePunct w:val="0"/>
              <w:bidi w:val="0"/>
              <w:spacing w:before="1" w:line="360" w:lineRule="auto"/>
              <w:ind w:right="2808"/>
              <w:jc w:val="center"/>
              <w:rPr>
                <w:rFonts w:hint="eastAsia" w:ascii="宋体" w:hAnsi="宋体" w:eastAsia="宋体" w:cs="宋体"/>
                <w:b/>
                <w:bCs/>
                <w:sz w:val="21"/>
                <w:szCs w:val="21"/>
                <w:highlight w:val="none"/>
              </w:rPr>
            </w:pPr>
            <w:r>
              <w:rPr>
                <w:rFonts w:hint="eastAsia" w:cs="宋体"/>
                <w:b/>
                <w:bCs/>
                <w:sz w:val="21"/>
                <w:szCs w:val="21"/>
                <w:highlight w:val="none"/>
                <w:lang w:val="en-US" w:eastAsia="zh-CN"/>
              </w:rPr>
              <w:t xml:space="preserve">                </w:t>
            </w:r>
            <w:r>
              <w:rPr>
                <w:rFonts w:hint="eastAsia" w:ascii="宋体" w:hAnsi="宋体" w:eastAsia="宋体" w:cs="宋体"/>
                <w:b/>
                <w:bCs/>
                <w:sz w:val="21"/>
                <w:szCs w:val="21"/>
                <w:highlight w:val="none"/>
              </w:rPr>
              <w:t>评分标准</w:t>
            </w:r>
          </w:p>
        </w:tc>
        <w:tc>
          <w:tcPr>
            <w:tcW w:w="452" w:type="pct"/>
            <w:noWrap w:val="0"/>
            <w:vAlign w:val="center"/>
          </w:tcPr>
          <w:p w14:paraId="030FEDF5">
            <w:pPr>
              <w:pStyle w:val="49"/>
              <w:pageBreakBefore w:val="0"/>
              <w:kinsoku/>
              <w:topLinePunct w:val="0"/>
              <w:bidi w:val="0"/>
              <w:spacing w:before="1" w:line="360" w:lineRule="auto"/>
              <w:ind w:left="190" w:right="188"/>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得分</w:t>
            </w:r>
          </w:p>
        </w:tc>
      </w:tr>
      <w:tr w14:paraId="590177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5000" w:type="pct"/>
            <w:gridSpan w:val="3"/>
            <w:noWrap w:val="0"/>
            <w:vAlign w:val="center"/>
          </w:tcPr>
          <w:p w14:paraId="71678052">
            <w:pPr>
              <w:pStyle w:val="49"/>
              <w:pageBreakBefore w:val="0"/>
              <w:kinsoku/>
              <w:topLinePunct w:val="0"/>
              <w:bidi w:val="0"/>
              <w:spacing w:before="1" w:line="360" w:lineRule="auto"/>
              <w:ind w:left="190" w:right="188"/>
              <w:jc w:val="center"/>
              <w:rPr>
                <w:rFonts w:hint="default" w:ascii="宋体" w:hAnsi="宋体" w:eastAsia="宋体" w:cs="宋体"/>
                <w:sz w:val="21"/>
                <w:szCs w:val="21"/>
                <w:highlight w:val="none"/>
                <w:lang w:val="en-US" w:eastAsia="zh-CN"/>
              </w:rPr>
            </w:pPr>
            <w:r>
              <w:rPr>
                <w:rFonts w:hint="eastAsia" w:cs="宋体"/>
                <w:b/>
                <w:bCs/>
                <w:sz w:val="21"/>
                <w:szCs w:val="21"/>
                <w:highlight w:val="none"/>
                <w:lang w:val="en-US" w:eastAsia="zh-CN"/>
              </w:rPr>
              <w:t>报价部分（15分）</w:t>
            </w:r>
          </w:p>
        </w:tc>
      </w:tr>
      <w:tr w14:paraId="226EF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3" w:hRule="atLeast"/>
        </w:trPr>
        <w:tc>
          <w:tcPr>
            <w:tcW w:w="876" w:type="pct"/>
            <w:noWrap w:val="0"/>
            <w:vAlign w:val="center"/>
          </w:tcPr>
          <w:p w14:paraId="0BEA51D4">
            <w:pPr>
              <w:pStyle w:val="49"/>
              <w:pageBreakBefore w:val="0"/>
              <w:kinsoku/>
              <w:topLinePunct w:val="0"/>
              <w:bidi w:val="0"/>
              <w:spacing w:line="360" w:lineRule="auto"/>
              <w:ind w:right="329" w:rightChars="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报价评分</w:t>
            </w:r>
          </w:p>
        </w:tc>
        <w:tc>
          <w:tcPr>
            <w:tcW w:w="3670" w:type="pct"/>
            <w:noWrap w:val="0"/>
            <w:vAlign w:val="top"/>
          </w:tcPr>
          <w:p w14:paraId="626DBB8F">
            <w:pPr>
              <w:adjustRightInd w:val="0"/>
              <w:snapToGrid w:val="0"/>
              <w:spacing w:line="360" w:lineRule="auto"/>
              <w:ind w:firstLine="420" w:firstLineChars="200"/>
              <w:rPr>
                <w:rFonts w:hint="eastAsia" w:ascii="宋体" w:hAnsi="宋体" w:eastAsia="宋体" w:cs="宋体"/>
                <w:sz w:val="21"/>
                <w:szCs w:val="21"/>
                <w:highlight w:val="none"/>
              </w:rPr>
            </w:pPr>
            <w:r>
              <w:rPr>
                <w:rFonts w:hint="eastAsia" w:ascii="宋体" w:hAnsi="宋体" w:eastAsia="宋体" w:cs="宋体"/>
                <w:kern w:val="2"/>
                <w:sz w:val="21"/>
                <w:szCs w:val="21"/>
                <w:highlight w:val="none"/>
                <w:lang w:val="zh-CN" w:eastAsia="zh-CN" w:bidi="zh-CN"/>
              </w:rPr>
              <w:t>以满足采购文件全部实质性要求且最终磋商报价最低的供应商报价为评标基准价，其价格分为满分。其他供应商价格分计算公式：报价得分=（评标基准价÷该供应商最终磋商报价）×15；计算结果保留小数点后2位</w:t>
            </w:r>
            <w:r>
              <w:rPr>
                <w:rFonts w:hint="eastAsia" w:ascii="宋体" w:hAnsi="宋体" w:cs="宋体"/>
                <w:kern w:val="2"/>
                <w:sz w:val="21"/>
                <w:szCs w:val="21"/>
                <w:highlight w:val="none"/>
                <w:lang w:val="zh-CN" w:eastAsia="zh-CN" w:bidi="zh-CN"/>
              </w:rPr>
              <w:t>。</w:t>
            </w:r>
          </w:p>
        </w:tc>
        <w:tc>
          <w:tcPr>
            <w:tcW w:w="452" w:type="pct"/>
            <w:noWrap w:val="0"/>
            <w:vAlign w:val="center"/>
          </w:tcPr>
          <w:p w14:paraId="2F91FCAD">
            <w:pPr>
              <w:pStyle w:val="49"/>
              <w:pageBreakBefore w:val="0"/>
              <w:kinsoku/>
              <w:topLinePunct w:val="0"/>
              <w:bidi w:val="0"/>
              <w:spacing w:line="360" w:lineRule="auto"/>
              <w:ind w:left="190" w:leftChars="0" w:right="188" w:rightChars="0"/>
              <w:jc w:val="center"/>
              <w:rPr>
                <w:rFonts w:hint="default" w:ascii="宋体" w:hAnsi="宋体" w:eastAsia="宋体" w:cs="宋体"/>
                <w:sz w:val="21"/>
                <w:szCs w:val="21"/>
                <w:highlight w:val="none"/>
                <w:lang w:val="en-US"/>
              </w:rPr>
            </w:pPr>
            <w:r>
              <w:rPr>
                <w:rFonts w:hint="eastAsia" w:cs="宋体"/>
                <w:b/>
                <w:sz w:val="21"/>
                <w:szCs w:val="21"/>
                <w:highlight w:val="none"/>
                <w:lang w:val="en-US" w:eastAsia="zh-CN"/>
              </w:rPr>
              <w:t>15</w:t>
            </w:r>
          </w:p>
        </w:tc>
      </w:tr>
      <w:tr w14:paraId="79F61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trPr>
        <w:tc>
          <w:tcPr>
            <w:tcW w:w="5000" w:type="pct"/>
            <w:gridSpan w:val="3"/>
            <w:noWrap w:val="0"/>
            <w:vAlign w:val="center"/>
          </w:tcPr>
          <w:p w14:paraId="3F8DC227">
            <w:pPr>
              <w:pStyle w:val="49"/>
              <w:pageBreakBefore w:val="0"/>
              <w:kinsoku/>
              <w:topLinePunct w:val="0"/>
              <w:bidi w:val="0"/>
              <w:spacing w:before="1" w:line="360" w:lineRule="auto"/>
              <w:ind w:left="190" w:right="188"/>
              <w:jc w:val="center"/>
              <w:rPr>
                <w:rFonts w:hint="default" w:cs="宋体"/>
                <w:b/>
                <w:sz w:val="21"/>
                <w:szCs w:val="21"/>
                <w:highlight w:val="none"/>
                <w:lang w:val="en-US" w:eastAsia="zh-CN"/>
              </w:rPr>
            </w:pPr>
            <w:r>
              <w:rPr>
                <w:rFonts w:hint="eastAsia" w:cs="宋体"/>
                <w:b/>
                <w:bCs/>
                <w:sz w:val="21"/>
                <w:szCs w:val="21"/>
                <w:highlight w:val="none"/>
                <w:lang w:val="en-US" w:eastAsia="zh-CN"/>
              </w:rPr>
              <w:t>商务部分（30分）</w:t>
            </w:r>
          </w:p>
        </w:tc>
      </w:tr>
      <w:tr w14:paraId="2EE9C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8" w:hRule="atLeast"/>
        </w:trPr>
        <w:tc>
          <w:tcPr>
            <w:tcW w:w="876" w:type="pct"/>
            <w:noWrap w:val="0"/>
            <w:vAlign w:val="center"/>
          </w:tcPr>
          <w:p w14:paraId="0302D54E">
            <w:pPr>
              <w:pStyle w:val="49"/>
              <w:pageBreakBefore w:val="0"/>
              <w:kinsoku/>
              <w:topLinePunct w:val="0"/>
              <w:bidi w:val="0"/>
              <w:spacing w:line="360" w:lineRule="auto"/>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同类项目业绩</w:t>
            </w:r>
          </w:p>
        </w:tc>
        <w:tc>
          <w:tcPr>
            <w:tcW w:w="3670" w:type="pct"/>
            <w:noWrap w:val="0"/>
            <w:vAlign w:val="top"/>
          </w:tcPr>
          <w:p w14:paraId="21FAF04F">
            <w:pPr>
              <w:adjustRightInd w:val="0"/>
              <w:snapToGrid w:val="0"/>
              <w:spacing w:line="360" w:lineRule="auto"/>
              <w:ind w:firstLine="420" w:firstLineChars="200"/>
              <w:rPr>
                <w:rFonts w:hint="eastAsia" w:ascii="宋体" w:hAnsi="宋体" w:eastAsia="宋体" w:cs="宋体"/>
                <w:kern w:val="2"/>
                <w:sz w:val="21"/>
                <w:szCs w:val="21"/>
                <w:highlight w:val="none"/>
                <w:lang w:val="zh-CN" w:eastAsia="zh-CN" w:bidi="zh-CN"/>
              </w:rPr>
            </w:pPr>
            <w:r>
              <w:rPr>
                <w:rFonts w:hint="eastAsia" w:ascii="宋体" w:hAnsi="宋体" w:eastAsia="宋体" w:cs="宋体"/>
                <w:kern w:val="2"/>
                <w:sz w:val="21"/>
                <w:szCs w:val="21"/>
                <w:highlight w:val="none"/>
                <w:lang w:val="zh-CN" w:eastAsia="zh-CN" w:bidi="zh-CN"/>
              </w:rPr>
              <w:t>供应商202</w:t>
            </w:r>
            <w:r>
              <w:rPr>
                <w:rFonts w:hint="eastAsia" w:ascii="宋体" w:hAnsi="宋体" w:eastAsia="宋体" w:cs="宋体"/>
                <w:kern w:val="2"/>
                <w:sz w:val="21"/>
                <w:szCs w:val="21"/>
                <w:highlight w:val="none"/>
                <w:lang w:val="en-US" w:eastAsia="zh-CN" w:bidi="zh-CN"/>
              </w:rPr>
              <w:t>4</w:t>
            </w:r>
            <w:r>
              <w:rPr>
                <w:rFonts w:hint="eastAsia" w:ascii="宋体" w:hAnsi="宋体" w:eastAsia="宋体" w:cs="宋体"/>
                <w:kern w:val="2"/>
                <w:sz w:val="21"/>
                <w:szCs w:val="21"/>
                <w:highlight w:val="none"/>
                <w:lang w:val="zh-CN" w:eastAsia="zh-CN" w:bidi="zh-CN"/>
              </w:rPr>
              <w:t>年1月1日（合同签订时间）至响应截止日，承接过生命健康、生物医药类大型产业大会/论坛策划执行服务业绩，每提供1份有效业绩得2分，最高10分。</w:t>
            </w:r>
          </w:p>
          <w:p w14:paraId="0DEC3243">
            <w:pPr>
              <w:adjustRightInd w:val="0"/>
              <w:snapToGrid w:val="0"/>
              <w:spacing w:line="360" w:lineRule="auto"/>
              <w:ind w:firstLine="422" w:firstLineChars="200"/>
              <w:rPr>
                <w:rFonts w:hint="eastAsia" w:ascii="宋体" w:hAnsi="宋体" w:eastAsia="宋体" w:cs="宋体"/>
                <w:kern w:val="2"/>
                <w:sz w:val="21"/>
                <w:szCs w:val="21"/>
                <w:highlight w:val="none"/>
                <w:lang w:val="en-US" w:eastAsia="zh-CN" w:bidi="zh-CN"/>
              </w:rPr>
            </w:pPr>
            <w:r>
              <w:rPr>
                <w:rFonts w:hint="eastAsia" w:ascii="宋体" w:hAnsi="宋体" w:eastAsia="宋体" w:cs="宋体"/>
                <w:b/>
                <w:bCs/>
                <w:kern w:val="2"/>
                <w:sz w:val="21"/>
                <w:szCs w:val="21"/>
                <w:highlight w:val="none"/>
                <w:lang w:val="en-US" w:eastAsia="zh-CN" w:bidi="zh-CN"/>
              </w:rPr>
              <w:t>注</w:t>
            </w:r>
            <w:r>
              <w:rPr>
                <w:rFonts w:hint="eastAsia" w:ascii="宋体" w:hAnsi="宋体" w:eastAsia="宋体" w:cs="宋体"/>
                <w:b/>
                <w:bCs/>
                <w:kern w:val="2"/>
                <w:sz w:val="21"/>
                <w:szCs w:val="21"/>
                <w:highlight w:val="none"/>
                <w:lang w:val="zh-CN" w:eastAsia="zh-CN" w:bidi="zh-CN"/>
              </w:rPr>
              <w:t>：响应文件上传合同关键页扫描件（需体现项目名称、服务内容、合同签订时间、甲乙双方盖章页）；</w:t>
            </w:r>
            <w:r>
              <w:rPr>
                <w:rFonts w:hint="eastAsia" w:ascii="宋体" w:hAnsi="宋体" w:eastAsia="宋体" w:cs="宋体"/>
                <w:b/>
                <w:bCs/>
                <w:kern w:val="2"/>
                <w:sz w:val="21"/>
                <w:szCs w:val="21"/>
                <w:highlight w:val="none"/>
                <w:lang w:val="en-US" w:eastAsia="zh-CN" w:bidi="zh-CN"/>
              </w:rPr>
              <w:t>响应文件中上传相关合同及中标通知书扫描件并加盖公章；</w:t>
            </w:r>
            <w:r>
              <w:rPr>
                <w:rFonts w:hint="eastAsia" w:ascii="宋体" w:hAnsi="宋体" w:eastAsia="宋体" w:cs="宋体"/>
                <w:b/>
                <w:bCs/>
                <w:kern w:val="2"/>
                <w:sz w:val="21"/>
                <w:szCs w:val="21"/>
                <w:highlight w:val="none"/>
                <w:lang w:val="zh-CN" w:eastAsia="zh-CN" w:bidi="zh-CN"/>
              </w:rPr>
              <w:t>仅提供中标通知书不予计分。</w:t>
            </w:r>
          </w:p>
        </w:tc>
        <w:tc>
          <w:tcPr>
            <w:tcW w:w="452" w:type="pct"/>
            <w:noWrap w:val="0"/>
            <w:vAlign w:val="center"/>
          </w:tcPr>
          <w:p w14:paraId="3539CD52">
            <w:pPr>
              <w:adjustRightInd w:val="0"/>
              <w:snapToGrid w:val="0"/>
              <w:spacing w:line="360" w:lineRule="auto"/>
              <w:jc w:val="center"/>
              <w:rPr>
                <w:rFonts w:hint="eastAsia" w:ascii="宋体" w:hAnsi="宋体" w:eastAsia="宋体" w:cs="宋体"/>
                <w:kern w:val="2"/>
                <w:sz w:val="21"/>
                <w:szCs w:val="21"/>
                <w:highlight w:val="none"/>
                <w:lang w:val="en-US" w:eastAsia="zh-CN" w:bidi="zh-CN"/>
              </w:rPr>
            </w:pPr>
            <w:r>
              <w:rPr>
                <w:rFonts w:hint="eastAsia" w:ascii="宋体" w:hAnsi="宋体" w:eastAsia="宋体" w:cs="宋体"/>
                <w:b/>
                <w:bCs/>
                <w:kern w:val="2"/>
                <w:sz w:val="21"/>
                <w:szCs w:val="21"/>
                <w:highlight w:val="none"/>
                <w:lang w:val="en-US" w:eastAsia="zh-CN" w:bidi="zh-CN"/>
              </w:rPr>
              <w:t>10</w:t>
            </w:r>
          </w:p>
        </w:tc>
      </w:tr>
      <w:tr w14:paraId="5498D0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9" w:hRule="atLeast"/>
        </w:trPr>
        <w:tc>
          <w:tcPr>
            <w:tcW w:w="876" w:type="pct"/>
            <w:noWrap w:val="0"/>
            <w:vAlign w:val="center"/>
          </w:tcPr>
          <w:p w14:paraId="612EBE29">
            <w:pPr>
              <w:pStyle w:val="49"/>
              <w:pageBreakBefore w:val="0"/>
              <w:kinsoku/>
              <w:topLinePunct w:val="0"/>
              <w:bidi w:val="0"/>
              <w:spacing w:line="360" w:lineRule="auto"/>
              <w:ind w:left="232" w:leftChars="0" w:right="223" w:rightChars="0"/>
              <w:jc w:val="center"/>
              <w:rPr>
                <w:rFonts w:hint="default" w:ascii="宋体" w:hAnsi="宋体" w:eastAsia="宋体" w:cs="宋体"/>
                <w:sz w:val="21"/>
                <w:szCs w:val="21"/>
                <w:highlight w:val="none"/>
                <w:lang w:val="en-US" w:eastAsia="zh-CN"/>
              </w:rPr>
            </w:pPr>
            <w:r>
              <w:rPr>
                <w:rFonts w:hint="default" w:ascii="宋体" w:hAnsi="宋体" w:eastAsia="宋体" w:cs="宋体"/>
                <w:sz w:val="21"/>
                <w:szCs w:val="21"/>
                <w:highlight w:val="none"/>
                <w:lang w:val="en-US" w:eastAsia="zh-CN"/>
              </w:rPr>
              <w:t>项目团队履约能力</w:t>
            </w:r>
          </w:p>
        </w:tc>
        <w:tc>
          <w:tcPr>
            <w:tcW w:w="3670" w:type="pct"/>
            <w:noWrap w:val="0"/>
            <w:vAlign w:val="top"/>
          </w:tcPr>
          <w:p w14:paraId="2297F253">
            <w:pPr>
              <w:numPr>
                <w:ilvl w:val="0"/>
                <w:numId w:val="0"/>
              </w:numPr>
              <w:adjustRightInd w:val="0"/>
              <w:snapToGrid w:val="0"/>
              <w:spacing w:line="360" w:lineRule="auto"/>
              <w:ind w:firstLine="420" w:firstLineChars="200"/>
              <w:rPr>
                <w:rFonts w:hint="eastAsia" w:ascii="宋体" w:hAnsi="宋体" w:eastAsia="宋体" w:cs="宋体"/>
                <w:kern w:val="2"/>
                <w:sz w:val="21"/>
                <w:szCs w:val="21"/>
                <w:highlight w:val="none"/>
                <w:lang w:val="zh-CN" w:eastAsia="zh-CN" w:bidi="zh-CN"/>
              </w:rPr>
            </w:pPr>
            <w:r>
              <w:rPr>
                <w:rFonts w:hint="eastAsia" w:ascii="宋体" w:hAnsi="宋体" w:eastAsia="宋体" w:cs="宋体"/>
                <w:kern w:val="2"/>
                <w:sz w:val="21"/>
                <w:szCs w:val="21"/>
                <w:highlight w:val="none"/>
                <w:lang w:val="en-US" w:eastAsia="zh-CN" w:bidi="zh-CN"/>
              </w:rPr>
              <w:t>1.</w:t>
            </w:r>
            <w:r>
              <w:rPr>
                <w:rFonts w:hint="eastAsia" w:ascii="宋体" w:hAnsi="宋体" w:eastAsia="宋体" w:cs="宋体"/>
                <w:kern w:val="2"/>
                <w:sz w:val="21"/>
                <w:szCs w:val="21"/>
                <w:highlight w:val="none"/>
                <w:lang w:val="zh-CN" w:eastAsia="zh-CN" w:bidi="zh-CN"/>
              </w:rPr>
              <w:t>项目负责人：具有大型产业论坛项目管理经验，提供对应项目任职证明材料。</w:t>
            </w:r>
          </w:p>
          <w:p w14:paraId="64DFDB82">
            <w:pPr>
              <w:numPr>
                <w:ilvl w:val="0"/>
                <w:numId w:val="0"/>
              </w:numPr>
              <w:adjustRightInd w:val="0"/>
              <w:snapToGrid w:val="0"/>
              <w:spacing w:line="360" w:lineRule="auto"/>
              <w:ind w:firstLine="420" w:firstLineChars="200"/>
              <w:rPr>
                <w:rFonts w:hint="eastAsia" w:ascii="宋体" w:hAnsi="宋体" w:eastAsia="宋体" w:cs="宋体"/>
                <w:kern w:val="2"/>
                <w:sz w:val="21"/>
                <w:szCs w:val="21"/>
                <w:highlight w:val="none"/>
                <w:lang w:val="zh-CN" w:eastAsia="zh-CN" w:bidi="zh-CN"/>
              </w:rPr>
            </w:pPr>
            <w:r>
              <w:rPr>
                <w:rFonts w:hint="eastAsia" w:ascii="宋体" w:hAnsi="宋体" w:eastAsia="宋体" w:cs="宋体"/>
                <w:kern w:val="2"/>
                <w:sz w:val="21"/>
                <w:szCs w:val="21"/>
                <w:highlight w:val="none"/>
                <w:lang w:val="zh-CN" w:eastAsia="zh-CN" w:bidi="zh-CN"/>
              </w:rPr>
              <w:t>①具有10年及以上生物医药/产业论坛项目管理经验得4分；</w:t>
            </w:r>
          </w:p>
          <w:p w14:paraId="6E6116DA">
            <w:pPr>
              <w:numPr>
                <w:ilvl w:val="0"/>
                <w:numId w:val="0"/>
              </w:numPr>
              <w:adjustRightInd w:val="0"/>
              <w:snapToGrid w:val="0"/>
              <w:spacing w:line="360" w:lineRule="auto"/>
              <w:ind w:firstLine="420" w:firstLineChars="200"/>
              <w:rPr>
                <w:rFonts w:hint="eastAsia" w:ascii="宋体" w:hAnsi="宋体" w:eastAsia="宋体" w:cs="宋体"/>
                <w:kern w:val="2"/>
                <w:sz w:val="21"/>
                <w:szCs w:val="21"/>
                <w:highlight w:val="none"/>
                <w:lang w:val="zh-CN" w:eastAsia="zh-CN" w:bidi="zh-CN"/>
              </w:rPr>
            </w:pPr>
            <w:r>
              <w:rPr>
                <w:rFonts w:hint="eastAsia" w:ascii="宋体" w:hAnsi="宋体" w:eastAsia="宋体" w:cs="宋体"/>
                <w:kern w:val="2"/>
                <w:sz w:val="21"/>
                <w:szCs w:val="21"/>
                <w:highlight w:val="none"/>
                <w:lang w:val="zh-CN" w:eastAsia="zh-CN" w:bidi="zh-CN"/>
              </w:rPr>
              <w:t>②5</w:t>
            </w:r>
            <w:r>
              <w:rPr>
                <w:rFonts w:hint="eastAsia" w:ascii="宋体" w:hAnsi="宋体" w:cs="宋体"/>
                <w:kern w:val="2"/>
                <w:sz w:val="21"/>
                <w:szCs w:val="21"/>
                <w:highlight w:val="none"/>
                <w:lang w:val="zh-CN" w:eastAsia="zh-CN" w:bidi="zh-CN"/>
              </w:rPr>
              <w:t xml:space="preserve"> - </w:t>
            </w:r>
            <w:r>
              <w:rPr>
                <w:rFonts w:hint="eastAsia" w:ascii="宋体" w:hAnsi="宋体" w:eastAsia="宋体" w:cs="宋体"/>
                <w:kern w:val="2"/>
                <w:sz w:val="21"/>
                <w:szCs w:val="21"/>
                <w:highlight w:val="none"/>
                <w:lang w:val="zh-CN" w:eastAsia="zh-CN" w:bidi="zh-CN"/>
              </w:rPr>
              <w:t>9年（含5年）得2分；</w:t>
            </w:r>
          </w:p>
          <w:p w14:paraId="4C78F995">
            <w:pPr>
              <w:numPr>
                <w:ilvl w:val="0"/>
                <w:numId w:val="0"/>
              </w:numPr>
              <w:adjustRightInd w:val="0"/>
              <w:snapToGrid w:val="0"/>
              <w:spacing w:line="360" w:lineRule="auto"/>
              <w:ind w:firstLine="420" w:firstLineChars="200"/>
              <w:rPr>
                <w:rFonts w:hint="eastAsia" w:ascii="宋体" w:hAnsi="宋体" w:eastAsia="宋体" w:cs="宋体"/>
                <w:kern w:val="2"/>
                <w:sz w:val="21"/>
                <w:szCs w:val="21"/>
                <w:highlight w:val="none"/>
                <w:lang w:val="zh-CN" w:eastAsia="zh-CN" w:bidi="zh-CN"/>
              </w:rPr>
            </w:pPr>
            <w:r>
              <w:rPr>
                <w:rFonts w:hint="eastAsia" w:ascii="宋体" w:hAnsi="宋体" w:eastAsia="宋体" w:cs="宋体"/>
                <w:kern w:val="2"/>
                <w:sz w:val="21"/>
                <w:szCs w:val="21"/>
                <w:highlight w:val="none"/>
                <w:lang w:val="zh-CN" w:eastAsia="zh-CN" w:bidi="zh-CN"/>
              </w:rPr>
              <w:t>③3</w:t>
            </w:r>
            <w:r>
              <w:rPr>
                <w:rFonts w:hint="eastAsia" w:ascii="宋体" w:hAnsi="宋体" w:cs="宋体"/>
                <w:kern w:val="2"/>
                <w:sz w:val="21"/>
                <w:szCs w:val="21"/>
                <w:highlight w:val="none"/>
                <w:lang w:val="zh-CN" w:eastAsia="zh-CN" w:bidi="zh-CN"/>
              </w:rPr>
              <w:t xml:space="preserve"> - </w:t>
            </w:r>
            <w:r>
              <w:rPr>
                <w:rFonts w:hint="eastAsia" w:ascii="宋体" w:hAnsi="宋体" w:eastAsia="宋体" w:cs="宋体"/>
                <w:kern w:val="2"/>
                <w:sz w:val="21"/>
                <w:szCs w:val="21"/>
                <w:highlight w:val="none"/>
                <w:lang w:val="zh-CN" w:eastAsia="zh-CN" w:bidi="zh-CN"/>
              </w:rPr>
              <w:t>4年得1分；3年以下不得分，本项最高4分。</w:t>
            </w:r>
          </w:p>
          <w:p w14:paraId="07A8872C">
            <w:pPr>
              <w:numPr>
                <w:ilvl w:val="0"/>
                <w:numId w:val="0"/>
              </w:numPr>
              <w:adjustRightInd w:val="0"/>
              <w:snapToGrid w:val="0"/>
              <w:spacing w:line="360" w:lineRule="auto"/>
              <w:ind w:firstLine="420" w:firstLineChars="200"/>
              <w:rPr>
                <w:rFonts w:hint="eastAsia" w:ascii="宋体" w:hAnsi="宋体" w:eastAsia="宋体" w:cs="宋体"/>
                <w:kern w:val="2"/>
                <w:sz w:val="21"/>
                <w:szCs w:val="21"/>
                <w:highlight w:val="none"/>
                <w:lang w:val="zh-CN" w:eastAsia="zh-CN" w:bidi="zh-CN"/>
              </w:rPr>
            </w:pPr>
            <w:r>
              <w:rPr>
                <w:rFonts w:hint="eastAsia" w:ascii="宋体" w:hAnsi="宋体" w:eastAsia="宋体" w:cs="宋体"/>
                <w:kern w:val="2"/>
                <w:sz w:val="21"/>
                <w:szCs w:val="21"/>
                <w:highlight w:val="none"/>
                <w:lang w:val="en-US" w:eastAsia="zh-CN" w:bidi="zh-CN"/>
              </w:rPr>
              <w:t>2.</w:t>
            </w:r>
            <w:r>
              <w:rPr>
                <w:rFonts w:hint="eastAsia" w:ascii="宋体" w:hAnsi="宋体" w:eastAsia="宋体" w:cs="宋体"/>
                <w:kern w:val="2"/>
                <w:sz w:val="21"/>
                <w:szCs w:val="21"/>
                <w:highlight w:val="none"/>
                <w:lang w:val="zh-CN" w:eastAsia="zh-CN" w:bidi="zh-CN"/>
              </w:rPr>
              <w:t>项目核心团队：拟投入本项目团队不少于10人（满足采购需求驻场人员配置），提供团队名单、岗位职责，人员配置完整、分工清晰得</w:t>
            </w:r>
            <w:r>
              <w:rPr>
                <w:rFonts w:hint="eastAsia" w:ascii="宋体" w:hAnsi="宋体" w:eastAsia="宋体" w:cs="宋体"/>
                <w:kern w:val="2"/>
                <w:sz w:val="21"/>
                <w:szCs w:val="21"/>
                <w:highlight w:val="none"/>
                <w:lang w:val="en-US" w:eastAsia="zh-CN" w:bidi="zh-CN"/>
              </w:rPr>
              <w:t>4</w:t>
            </w:r>
            <w:r>
              <w:rPr>
                <w:rFonts w:hint="eastAsia" w:ascii="宋体" w:hAnsi="宋体" w:eastAsia="宋体" w:cs="宋体"/>
                <w:kern w:val="2"/>
                <w:sz w:val="21"/>
                <w:szCs w:val="21"/>
                <w:highlight w:val="none"/>
                <w:lang w:val="zh-CN" w:eastAsia="zh-CN" w:bidi="zh-CN"/>
              </w:rPr>
              <w:t>分；配置基本完整得</w:t>
            </w:r>
            <w:r>
              <w:rPr>
                <w:rFonts w:hint="eastAsia" w:ascii="宋体" w:hAnsi="宋体" w:eastAsia="宋体" w:cs="宋体"/>
                <w:kern w:val="2"/>
                <w:sz w:val="21"/>
                <w:szCs w:val="21"/>
                <w:highlight w:val="none"/>
                <w:lang w:val="en-US" w:eastAsia="zh-CN" w:bidi="zh-CN"/>
              </w:rPr>
              <w:t>2</w:t>
            </w:r>
            <w:r>
              <w:rPr>
                <w:rFonts w:hint="eastAsia" w:ascii="宋体" w:hAnsi="宋体" w:eastAsia="宋体" w:cs="宋体"/>
                <w:kern w:val="2"/>
                <w:sz w:val="21"/>
                <w:szCs w:val="21"/>
                <w:highlight w:val="none"/>
                <w:lang w:val="zh-CN" w:eastAsia="zh-CN" w:bidi="zh-CN"/>
              </w:rPr>
              <w:t>分；不提供不得分，本项最高</w:t>
            </w:r>
            <w:r>
              <w:rPr>
                <w:rFonts w:hint="eastAsia" w:ascii="宋体" w:hAnsi="宋体" w:eastAsia="宋体" w:cs="宋体"/>
                <w:kern w:val="2"/>
                <w:sz w:val="21"/>
                <w:szCs w:val="21"/>
                <w:highlight w:val="none"/>
                <w:lang w:val="en-US" w:eastAsia="zh-CN" w:bidi="zh-CN"/>
              </w:rPr>
              <w:t>4</w:t>
            </w:r>
            <w:r>
              <w:rPr>
                <w:rFonts w:hint="eastAsia" w:ascii="宋体" w:hAnsi="宋体" w:eastAsia="宋体" w:cs="宋体"/>
                <w:kern w:val="2"/>
                <w:sz w:val="21"/>
                <w:szCs w:val="21"/>
                <w:highlight w:val="none"/>
                <w:lang w:val="zh-CN" w:eastAsia="zh-CN" w:bidi="zh-CN"/>
              </w:rPr>
              <w:t>分。</w:t>
            </w:r>
          </w:p>
          <w:p w14:paraId="5B642118">
            <w:pPr>
              <w:numPr>
                <w:ilvl w:val="0"/>
                <w:numId w:val="0"/>
              </w:numPr>
              <w:adjustRightInd w:val="0"/>
              <w:snapToGrid w:val="0"/>
              <w:spacing w:line="360" w:lineRule="auto"/>
              <w:ind w:firstLine="420" w:firstLineChars="200"/>
              <w:rPr>
                <w:rFonts w:hint="eastAsia" w:ascii="宋体" w:hAnsi="宋体" w:eastAsia="宋体" w:cs="宋体"/>
                <w:b/>
                <w:bCs/>
                <w:kern w:val="2"/>
                <w:sz w:val="21"/>
                <w:szCs w:val="21"/>
                <w:highlight w:val="none"/>
                <w:lang w:val="zh-CN" w:eastAsia="zh-CN" w:bidi="zh-CN"/>
              </w:rPr>
            </w:pPr>
            <w:r>
              <w:rPr>
                <w:rFonts w:hint="eastAsia" w:ascii="宋体" w:hAnsi="宋体" w:eastAsia="宋体" w:cs="宋体"/>
                <w:kern w:val="2"/>
                <w:sz w:val="21"/>
                <w:szCs w:val="21"/>
                <w:highlight w:val="none"/>
                <w:lang w:val="en-US" w:eastAsia="zh-CN" w:bidi="zh-CN"/>
              </w:rPr>
              <w:t>3.供应商</w:t>
            </w:r>
            <w:r>
              <w:rPr>
                <w:rFonts w:hint="eastAsia" w:ascii="宋体" w:hAnsi="宋体" w:eastAsia="宋体" w:cs="宋体"/>
                <w:kern w:val="2"/>
                <w:sz w:val="21"/>
                <w:szCs w:val="21"/>
                <w:highlight w:val="none"/>
                <w:lang w:val="zh-CN" w:eastAsia="zh-CN" w:bidi="zh-CN"/>
              </w:rPr>
              <w:t>媒体资源整合能力：能够提供国家、省级生物医药</w:t>
            </w:r>
            <w:r>
              <w:rPr>
                <w:rFonts w:hint="eastAsia" w:ascii="宋体" w:hAnsi="宋体" w:eastAsia="宋体" w:cs="宋体"/>
                <w:kern w:val="2"/>
                <w:sz w:val="21"/>
                <w:szCs w:val="21"/>
                <w:highlight w:val="none"/>
                <w:lang w:val="en-US" w:eastAsia="zh-CN" w:bidi="zh-CN"/>
              </w:rPr>
              <w:t>垂直</w:t>
            </w:r>
            <w:r>
              <w:rPr>
                <w:rFonts w:hint="eastAsia" w:ascii="宋体" w:hAnsi="宋体" w:eastAsia="宋体" w:cs="宋体"/>
                <w:kern w:val="2"/>
                <w:sz w:val="21"/>
                <w:szCs w:val="21"/>
                <w:highlight w:val="none"/>
                <w:lang w:val="zh-CN" w:eastAsia="zh-CN" w:bidi="zh-CN"/>
              </w:rPr>
              <w:t>媒体资源库清单</w:t>
            </w:r>
            <w:r>
              <w:rPr>
                <w:rFonts w:hint="eastAsia" w:ascii="宋体" w:hAnsi="宋体" w:eastAsia="宋体" w:cs="宋体"/>
                <w:b/>
                <w:bCs/>
                <w:kern w:val="2"/>
                <w:sz w:val="21"/>
                <w:szCs w:val="21"/>
                <w:highlight w:val="none"/>
                <w:lang w:val="zh-CN" w:eastAsia="zh-CN" w:bidi="zh-CN"/>
              </w:rPr>
              <w:t>（</w:t>
            </w:r>
            <w:r>
              <w:rPr>
                <w:rFonts w:hint="eastAsia" w:ascii="宋体" w:hAnsi="宋体" w:eastAsia="宋体" w:cs="宋体"/>
                <w:b/>
                <w:bCs/>
                <w:color w:val="000000" w:themeColor="text1"/>
                <w:kern w:val="2"/>
                <w:sz w:val="21"/>
                <w:szCs w:val="21"/>
                <w:highlight w:val="none"/>
                <w:shd w:val="clear"/>
                <w:lang w:val="zh-CN" w:eastAsia="zh-CN" w:bidi="zh-CN"/>
                <w14:textFill>
                  <w14:solidFill>
                    <w14:schemeClr w14:val="tx1"/>
                  </w14:solidFill>
                </w14:textFill>
              </w:rPr>
              <w:t>提供过往媒体合作证明材料）</w:t>
            </w:r>
            <w:r>
              <w:rPr>
                <w:rFonts w:hint="eastAsia" w:ascii="宋体" w:hAnsi="宋体" w:eastAsia="宋体" w:cs="宋体"/>
                <w:kern w:val="2"/>
                <w:sz w:val="21"/>
                <w:szCs w:val="21"/>
                <w:highlight w:val="none"/>
                <w:lang w:val="zh-CN" w:eastAsia="zh-CN" w:bidi="zh-CN"/>
              </w:rPr>
              <w:t>，资源丰富可覆盖本项目宣传需要得</w:t>
            </w:r>
            <w:r>
              <w:rPr>
                <w:rFonts w:hint="eastAsia" w:ascii="宋体" w:hAnsi="宋体" w:eastAsia="宋体" w:cs="宋体"/>
                <w:kern w:val="2"/>
                <w:sz w:val="21"/>
                <w:szCs w:val="21"/>
                <w:highlight w:val="none"/>
                <w:lang w:val="en-US" w:eastAsia="zh-CN" w:bidi="zh-CN"/>
              </w:rPr>
              <w:t>4</w:t>
            </w:r>
            <w:r>
              <w:rPr>
                <w:rFonts w:hint="eastAsia" w:ascii="宋体" w:hAnsi="宋体" w:eastAsia="宋体" w:cs="宋体"/>
                <w:kern w:val="2"/>
                <w:sz w:val="21"/>
                <w:szCs w:val="21"/>
                <w:highlight w:val="none"/>
                <w:lang w:val="zh-CN" w:eastAsia="zh-CN" w:bidi="zh-CN"/>
              </w:rPr>
              <w:t>分；提供基础媒体清单得</w:t>
            </w:r>
            <w:r>
              <w:rPr>
                <w:rFonts w:hint="eastAsia" w:ascii="宋体" w:hAnsi="宋体" w:eastAsia="宋体" w:cs="宋体"/>
                <w:kern w:val="2"/>
                <w:sz w:val="21"/>
                <w:szCs w:val="21"/>
                <w:highlight w:val="none"/>
                <w:lang w:val="en-US" w:eastAsia="zh-CN" w:bidi="zh-CN"/>
              </w:rPr>
              <w:t>2</w:t>
            </w:r>
            <w:r>
              <w:rPr>
                <w:rFonts w:hint="eastAsia" w:ascii="宋体" w:hAnsi="宋体" w:eastAsia="宋体" w:cs="宋体"/>
                <w:kern w:val="2"/>
                <w:sz w:val="21"/>
                <w:szCs w:val="21"/>
                <w:highlight w:val="none"/>
                <w:lang w:val="zh-CN" w:eastAsia="zh-CN" w:bidi="zh-CN"/>
              </w:rPr>
              <w:t>分；不提供不得分，本项最高</w:t>
            </w:r>
            <w:r>
              <w:rPr>
                <w:rFonts w:hint="eastAsia" w:ascii="宋体" w:hAnsi="宋体" w:eastAsia="宋体" w:cs="宋体"/>
                <w:kern w:val="2"/>
                <w:sz w:val="21"/>
                <w:szCs w:val="21"/>
                <w:highlight w:val="none"/>
                <w:lang w:val="en-US" w:eastAsia="zh-CN" w:bidi="zh-CN"/>
              </w:rPr>
              <w:t>4</w:t>
            </w:r>
            <w:r>
              <w:rPr>
                <w:rFonts w:hint="eastAsia" w:ascii="宋体" w:hAnsi="宋体" w:eastAsia="宋体" w:cs="宋体"/>
                <w:kern w:val="2"/>
                <w:sz w:val="21"/>
                <w:szCs w:val="21"/>
                <w:highlight w:val="none"/>
                <w:lang w:val="zh-CN" w:eastAsia="zh-CN" w:bidi="zh-CN"/>
              </w:rPr>
              <w:t>分。</w:t>
            </w:r>
          </w:p>
          <w:p w14:paraId="4001E908">
            <w:pPr>
              <w:numPr>
                <w:ilvl w:val="0"/>
                <w:numId w:val="0"/>
              </w:numPr>
              <w:adjustRightInd w:val="0"/>
              <w:snapToGrid w:val="0"/>
              <w:spacing w:line="360" w:lineRule="auto"/>
              <w:ind w:firstLine="422" w:firstLineChars="200"/>
              <w:rPr>
                <w:rFonts w:hint="eastAsia" w:ascii="宋体" w:hAnsi="宋体" w:eastAsia="宋体" w:cs="宋体"/>
                <w:sz w:val="21"/>
                <w:szCs w:val="21"/>
                <w:highlight w:val="none"/>
                <w:lang w:val="en-US" w:eastAsia="zh-CN"/>
              </w:rPr>
            </w:pPr>
            <w:r>
              <w:rPr>
                <w:rFonts w:hint="eastAsia" w:ascii="宋体" w:hAnsi="宋体" w:eastAsia="宋体" w:cs="宋体"/>
                <w:b/>
                <w:bCs/>
                <w:kern w:val="2"/>
                <w:sz w:val="21"/>
                <w:szCs w:val="21"/>
                <w:highlight w:val="none"/>
                <w:lang w:val="zh-CN" w:eastAsia="zh-CN" w:bidi="zh-CN"/>
              </w:rPr>
              <w:t>注：响应文件提供证明材料扫描件并加盖公章，不提供或不符合要求本小项不得分。</w:t>
            </w:r>
          </w:p>
        </w:tc>
        <w:tc>
          <w:tcPr>
            <w:tcW w:w="452" w:type="pct"/>
            <w:noWrap w:val="0"/>
            <w:vAlign w:val="center"/>
          </w:tcPr>
          <w:p w14:paraId="2918765A">
            <w:pPr>
              <w:pStyle w:val="49"/>
              <w:pageBreakBefore w:val="0"/>
              <w:kinsoku/>
              <w:topLinePunct w:val="0"/>
              <w:bidi w:val="0"/>
              <w:spacing w:line="360" w:lineRule="auto"/>
              <w:ind w:left="191" w:leftChars="0" w:right="188" w:rightChars="0"/>
              <w:jc w:val="center"/>
              <w:rPr>
                <w:rFonts w:hint="default" w:ascii="宋体" w:hAnsi="宋体" w:eastAsia="宋体" w:cs="宋体"/>
                <w:sz w:val="21"/>
                <w:szCs w:val="21"/>
                <w:highlight w:val="none"/>
                <w:lang w:val="en-US" w:eastAsia="zh-CN"/>
              </w:rPr>
            </w:pPr>
            <w:r>
              <w:rPr>
                <w:rFonts w:hint="eastAsia" w:cs="宋体"/>
                <w:b/>
                <w:bCs/>
                <w:sz w:val="21"/>
                <w:szCs w:val="21"/>
                <w:highlight w:val="none"/>
                <w:lang w:val="en-US" w:eastAsia="zh-CN"/>
              </w:rPr>
              <w:t>12</w:t>
            </w:r>
          </w:p>
        </w:tc>
      </w:tr>
      <w:tr w14:paraId="27356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2" w:hRule="atLeast"/>
        </w:trPr>
        <w:tc>
          <w:tcPr>
            <w:tcW w:w="876" w:type="pct"/>
            <w:noWrap w:val="0"/>
            <w:vAlign w:val="center"/>
          </w:tcPr>
          <w:p w14:paraId="77B0B121">
            <w:pPr>
              <w:pStyle w:val="49"/>
              <w:pageBreakBefore w:val="0"/>
              <w:kinsoku/>
              <w:topLinePunct w:val="0"/>
              <w:bidi w:val="0"/>
              <w:spacing w:line="360" w:lineRule="auto"/>
              <w:ind w:left="232" w:leftChars="0" w:right="223" w:rightChars="0"/>
              <w:jc w:val="center"/>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接待交通保障履约方案</w:t>
            </w:r>
          </w:p>
        </w:tc>
        <w:tc>
          <w:tcPr>
            <w:tcW w:w="3670" w:type="pct"/>
            <w:noWrap w:val="0"/>
            <w:vAlign w:val="top"/>
          </w:tcPr>
          <w:p w14:paraId="5635FE39">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针对本项目</w:t>
            </w:r>
            <w:r>
              <w:rPr>
                <w:rFonts w:hint="eastAsia" w:cs="宋体"/>
                <w:kern w:val="2"/>
                <w:sz w:val="21"/>
                <w:szCs w:val="21"/>
                <w:highlight w:val="none"/>
                <w:lang w:val="en-US" w:eastAsia="zh-CN" w:bidi="zh-CN"/>
              </w:rPr>
              <w:t>重要嘉宾VIP</w:t>
            </w:r>
            <w:r>
              <w:rPr>
                <w:rFonts w:hint="eastAsia" w:ascii="宋体" w:hAnsi="宋体" w:eastAsia="宋体" w:cs="宋体"/>
                <w:kern w:val="2"/>
                <w:sz w:val="21"/>
                <w:szCs w:val="21"/>
                <w:highlight w:val="none"/>
                <w:lang w:val="en-US" w:eastAsia="zh-CN" w:bidi="zh-CN"/>
              </w:rPr>
              <w:t>接机接站、市内转运、应急车辆保障编制完整方案，方案内容包含车辆调度机制、应急备用保障、人员接驳流程，充分匹配本项目大规模参会人员接待需求：</w:t>
            </w:r>
          </w:p>
          <w:p w14:paraId="389A8B66">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①方案完整、调度流程清晰、应急保障措施完备得</w:t>
            </w:r>
            <w:r>
              <w:rPr>
                <w:rFonts w:hint="eastAsia" w:cs="宋体"/>
                <w:kern w:val="2"/>
                <w:sz w:val="21"/>
                <w:szCs w:val="21"/>
                <w:highlight w:val="none"/>
                <w:lang w:val="en-US" w:eastAsia="zh-CN" w:bidi="zh-CN"/>
              </w:rPr>
              <w:t>8</w:t>
            </w:r>
            <w:r>
              <w:rPr>
                <w:rFonts w:hint="eastAsia" w:ascii="宋体" w:hAnsi="宋体" w:eastAsia="宋体" w:cs="宋体"/>
                <w:kern w:val="2"/>
                <w:sz w:val="21"/>
                <w:szCs w:val="21"/>
                <w:highlight w:val="none"/>
                <w:lang w:val="en-US" w:eastAsia="zh-CN" w:bidi="zh-CN"/>
              </w:rPr>
              <w:t>分；</w:t>
            </w:r>
          </w:p>
          <w:p w14:paraId="5462F3E2">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②方案较完整，具备基础调度及应急安排得</w:t>
            </w:r>
            <w:r>
              <w:rPr>
                <w:rFonts w:hint="eastAsia" w:cs="宋体"/>
                <w:kern w:val="2"/>
                <w:sz w:val="21"/>
                <w:szCs w:val="21"/>
                <w:highlight w:val="none"/>
                <w:lang w:val="en-US" w:eastAsia="zh-CN" w:bidi="zh-CN"/>
              </w:rPr>
              <w:t>5</w:t>
            </w:r>
            <w:r>
              <w:rPr>
                <w:rFonts w:hint="eastAsia" w:ascii="宋体" w:hAnsi="宋体" w:eastAsia="宋体" w:cs="宋体"/>
                <w:kern w:val="2"/>
                <w:sz w:val="21"/>
                <w:szCs w:val="21"/>
                <w:highlight w:val="none"/>
                <w:lang w:val="en-US" w:eastAsia="zh-CN" w:bidi="zh-CN"/>
              </w:rPr>
              <w:t>分；</w:t>
            </w:r>
          </w:p>
          <w:p w14:paraId="03C88CC9">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③方案简单，仅简单描述，保障措施不足得</w:t>
            </w:r>
            <w:r>
              <w:rPr>
                <w:rFonts w:hint="eastAsia" w:cs="宋体"/>
                <w:kern w:val="2"/>
                <w:sz w:val="21"/>
                <w:szCs w:val="21"/>
                <w:highlight w:val="none"/>
                <w:lang w:val="en-US" w:eastAsia="zh-CN" w:bidi="zh-CN"/>
              </w:rPr>
              <w:t>2</w:t>
            </w:r>
            <w:r>
              <w:rPr>
                <w:rFonts w:hint="eastAsia" w:ascii="宋体" w:hAnsi="宋体" w:eastAsia="宋体" w:cs="宋体"/>
                <w:kern w:val="2"/>
                <w:sz w:val="21"/>
                <w:szCs w:val="21"/>
                <w:highlight w:val="none"/>
                <w:lang w:val="en-US" w:eastAsia="zh-CN" w:bidi="zh-CN"/>
              </w:rPr>
              <w:t>分；</w:t>
            </w:r>
          </w:p>
          <w:p w14:paraId="7E2D58E6">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未提供方案得0分。</w:t>
            </w:r>
          </w:p>
        </w:tc>
        <w:tc>
          <w:tcPr>
            <w:tcW w:w="452" w:type="pct"/>
            <w:noWrap w:val="0"/>
            <w:vAlign w:val="center"/>
          </w:tcPr>
          <w:p w14:paraId="03A141E4">
            <w:pPr>
              <w:pStyle w:val="49"/>
              <w:pageBreakBefore w:val="0"/>
              <w:kinsoku/>
              <w:topLinePunct w:val="0"/>
              <w:bidi w:val="0"/>
              <w:spacing w:before="194" w:line="360" w:lineRule="auto"/>
              <w:ind w:left="2" w:leftChars="0"/>
              <w:jc w:val="center"/>
              <w:rPr>
                <w:rFonts w:hint="eastAsia" w:ascii="宋体" w:hAnsi="宋体" w:eastAsia="宋体" w:cs="宋体"/>
                <w:b/>
                <w:sz w:val="21"/>
                <w:szCs w:val="21"/>
                <w:highlight w:val="none"/>
              </w:rPr>
            </w:pPr>
            <w:r>
              <w:rPr>
                <w:rFonts w:hint="eastAsia" w:cs="宋体"/>
                <w:b/>
                <w:w w:val="100"/>
                <w:sz w:val="21"/>
                <w:szCs w:val="21"/>
                <w:highlight w:val="none"/>
                <w:lang w:val="en-US" w:eastAsia="zh-CN"/>
              </w:rPr>
              <w:t>8</w:t>
            </w:r>
          </w:p>
        </w:tc>
      </w:tr>
      <w:tr w14:paraId="686CE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5000" w:type="pct"/>
            <w:gridSpan w:val="3"/>
            <w:noWrap w:val="0"/>
            <w:vAlign w:val="center"/>
          </w:tcPr>
          <w:p w14:paraId="2A978D30">
            <w:pPr>
              <w:pStyle w:val="49"/>
              <w:pageBreakBefore w:val="0"/>
              <w:kinsoku/>
              <w:topLinePunct w:val="0"/>
              <w:bidi w:val="0"/>
              <w:spacing w:before="194" w:line="360" w:lineRule="auto"/>
              <w:ind w:left="2" w:leftChars="0"/>
              <w:jc w:val="center"/>
              <w:rPr>
                <w:rFonts w:hint="eastAsia" w:ascii="宋体" w:hAnsi="宋体" w:eastAsia="宋体" w:cs="宋体"/>
                <w:b/>
                <w:w w:val="100"/>
                <w:sz w:val="21"/>
                <w:szCs w:val="21"/>
                <w:highlight w:val="none"/>
                <w:lang w:val="en-US" w:eastAsia="zh-CN"/>
              </w:rPr>
            </w:pPr>
            <w:r>
              <w:rPr>
                <w:rFonts w:hint="eastAsia" w:ascii="宋体" w:hAnsi="宋体" w:eastAsia="宋体" w:cs="宋体"/>
                <w:sz w:val="21"/>
                <w:szCs w:val="21"/>
                <w:highlight w:val="none"/>
                <w:lang w:val="en-US" w:eastAsia="zh-CN"/>
              </w:rPr>
              <w:t>二、技术部分（</w:t>
            </w:r>
            <w:r>
              <w:rPr>
                <w:rFonts w:hint="eastAsia" w:cs="宋体"/>
                <w:sz w:val="21"/>
                <w:szCs w:val="21"/>
                <w:highlight w:val="none"/>
                <w:lang w:val="en-US" w:eastAsia="zh-CN"/>
              </w:rPr>
              <w:t>55</w:t>
            </w:r>
            <w:r>
              <w:rPr>
                <w:rFonts w:hint="eastAsia" w:ascii="宋体" w:hAnsi="宋体" w:eastAsia="宋体" w:cs="宋体"/>
                <w:sz w:val="21"/>
                <w:szCs w:val="21"/>
                <w:highlight w:val="none"/>
                <w:lang w:val="en-US" w:eastAsia="zh-CN"/>
              </w:rPr>
              <w:t>分）</w:t>
            </w:r>
          </w:p>
        </w:tc>
      </w:tr>
      <w:tr w14:paraId="3EC36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8" w:hRule="atLeast"/>
        </w:trPr>
        <w:tc>
          <w:tcPr>
            <w:tcW w:w="876" w:type="pct"/>
            <w:noWrap w:val="0"/>
            <w:vAlign w:val="center"/>
          </w:tcPr>
          <w:p w14:paraId="3038DE3C">
            <w:pPr>
              <w:pStyle w:val="49"/>
              <w:pageBreakBefore w:val="0"/>
              <w:kinsoku/>
              <w:topLinePunct w:val="0"/>
              <w:bidi w:val="0"/>
              <w:spacing w:line="360" w:lineRule="auto"/>
              <w:ind w:left="232" w:leftChars="0" w:right="223" w:rightChars="0"/>
              <w:jc w:val="center"/>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活动整体策划方案</w:t>
            </w:r>
          </w:p>
        </w:tc>
        <w:tc>
          <w:tcPr>
            <w:tcW w:w="3670" w:type="pct"/>
            <w:noWrap w:val="0"/>
            <w:vAlign w:val="top"/>
          </w:tcPr>
          <w:p w14:paraId="7E3070DD">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针对</w:t>
            </w:r>
            <w:r>
              <w:rPr>
                <w:rFonts w:hint="eastAsia" w:cs="宋体"/>
                <w:kern w:val="2"/>
                <w:sz w:val="21"/>
                <w:szCs w:val="21"/>
                <w:highlight w:val="none"/>
                <w:lang w:val="en-US" w:eastAsia="zh-CN" w:bidi="zh-CN"/>
              </w:rPr>
              <w:t>中国医药城大健康产业论坛的</w:t>
            </w:r>
            <w:r>
              <w:rPr>
                <w:rFonts w:hint="eastAsia" w:ascii="宋体" w:hAnsi="宋体" w:eastAsia="宋体" w:cs="宋体"/>
                <w:kern w:val="2"/>
                <w:sz w:val="21"/>
                <w:szCs w:val="21"/>
                <w:highlight w:val="none"/>
                <w:lang w:val="en-US" w:eastAsia="zh-CN" w:bidi="zh-CN"/>
              </w:rPr>
              <w:t>编制整体策划</w:t>
            </w:r>
            <w:r>
              <w:rPr>
                <w:rFonts w:hint="eastAsia" w:cs="宋体"/>
                <w:kern w:val="2"/>
                <w:sz w:val="21"/>
                <w:szCs w:val="21"/>
                <w:highlight w:val="none"/>
                <w:lang w:val="en-US" w:eastAsia="zh-CN" w:bidi="zh-CN"/>
              </w:rPr>
              <w:t>执行</w:t>
            </w:r>
            <w:r>
              <w:rPr>
                <w:rFonts w:hint="eastAsia" w:ascii="宋体" w:hAnsi="宋体" w:eastAsia="宋体" w:cs="宋体"/>
                <w:kern w:val="2"/>
                <w:sz w:val="21"/>
                <w:szCs w:val="21"/>
                <w:highlight w:val="none"/>
                <w:lang w:val="en-US" w:eastAsia="zh-CN" w:bidi="zh-CN"/>
              </w:rPr>
              <w:t>方案，需包含</w:t>
            </w:r>
            <w:r>
              <w:rPr>
                <w:rFonts w:hint="eastAsia" w:cs="宋体"/>
                <w:kern w:val="2"/>
                <w:sz w:val="21"/>
                <w:szCs w:val="21"/>
                <w:highlight w:val="none"/>
                <w:lang w:val="en-US" w:eastAsia="zh-CN" w:bidi="zh-CN"/>
              </w:rPr>
              <w:t>论坛主题阐释、</w:t>
            </w:r>
            <w:r>
              <w:rPr>
                <w:rFonts w:hint="eastAsia" w:ascii="宋体" w:hAnsi="宋体" w:eastAsia="宋体" w:cs="宋体"/>
                <w:kern w:val="2"/>
                <w:sz w:val="21"/>
                <w:szCs w:val="21"/>
                <w:highlight w:val="none"/>
                <w:lang w:val="en-US" w:eastAsia="zh-CN" w:bidi="zh-CN"/>
              </w:rPr>
              <w:t>整体议程规划、架构落地思路、多会场排布规划、50名重要嘉宾邀约思路、</w:t>
            </w:r>
            <w:r>
              <w:rPr>
                <w:rFonts w:hint="eastAsia" w:cs="宋体"/>
                <w:kern w:val="2"/>
                <w:sz w:val="21"/>
                <w:szCs w:val="21"/>
                <w:highlight w:val="none"/>
                <w:lang w:val="en-US" w:eastAsia="zh-CN" w:bidi="zh-CN"/>
              </w:rPr>
              <w:t>行业</w:t>
            </w:r>
            <w:r>
              <w:rPr>
                <w:rFonts w:hint="eastAsia" w:ascii="宋体" w:hAnsi="宋体" w:eastAsia="宋体" w:cs="宋体"/>
                <w:kern w:val="2"/>
                <w:sz w:val="21"/>
                <w:szCs w:val="21"/>
                <w:highlight w:val="none"/>
                <w:lang w:val="en-US" w:eastAsia="zh-CN" w:bidi="zh-CN"/>
              </w:rPr>
              <w:t>专家</w:t>
            </w:r>
            <w:r>
              <w:rPr>
                <w:rFonts w:hint="eastAsia" w:cs="宋体"/>
                <w:kern w:val="2"/>
                <w:sz w:val="21"/>
                <w:szCs w:val="21"/>
                <w:highlight w:val="none"/>
                <w:lang w:val="en-US" w:eastAsia="zh-CN" w:bidi="zh-CN"/>
              </w:rPr>
              <w:t>及行业资源</w:t>
            </w:r>
            <w:r>
              <w:rPr>
                <w:rFonts w:hint="eastAsia" w:ascii="宋体" w:hAnsi="宋体" w:eastAsia="宋体" w:cs="宋体"/>
                <w:kern w:val="2"/>
                <w:sz w:val="21"/>
                <w:szCs w:val="21"/>
                <w:highlight w:val="none"/>
                <w:lang w:val="en-US" w:eastAsia="zh-CN" w:bidi="zh-CN"/>
              </w:rPr>
              <w:t>落地思路</w:t>
            </w:r>
            <w:r>
              <w:rPr>
                <w:rFonts w:hint="eastAsia" w:cs="宋体"/>
                <w:kern w:val="2"/>
                <w:sz w:val="21"/>
                <w:szCs w:val="21"/>
                <w:highlight w:val="none"/>
                <w:lang w:val="en-US" w:eastAsia="zh-CN" w:bidi="zh-CN"/>
              </w:rPr>
              <w:t>等</w:t>
            </w:r>
            <w:r>
              <w:rPr>
                <w:rFonts w:hint="eastAsia" w:ascii="宋体" w:hAnsi="宋体" w:eastAsia="宋体" w:cs="宋体"/>
                <w:kern w:val="2"/>
                <w:sz w:val="21"/>
                <w:szCs w:val="21"/>
                <w:highlight w:val="none"/>
                <w:lang w:val="en-US" w:eastAsia="zh-CN" w:bidi="zh-CN"/>
              </w:rPr>
              <w:t>。</w:t>
            </w:r>
          </w:p>
          <w:p w14:paraId="1A4B4C99">
            <w:pPr>
              <w:pStyle w:val="49"/>
              <w:pageBreakBefore w:val="0"/>
              <w:kinsoku/>
              <w:topLinePunct w:val="0"/>
              <w:bidi w:val="0"/>
              <w:spacing w:line="360" w:lineRule="auto"/>
              <w:ind w:right="223" w:rightChars="0" w:firstLine="420" w:firstLineChars="200"/>
              <w:jc w:val="both"/>
              <w:rPr>
                <w:rFonts w:hint="default"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方案贴合</w:t>
            </w:r>
            <w:r>
              <w:rPr>
                <w:rFonts w:hint="eastAsia" w:cs="宋体"/>
                <w:kern w:val="2"/>
                <w:sz w:val="21"/>
                <w:szCs w:val="21"/>
                <w:highlight w:val="none"/>
                <w:lang w:val="en-US" w:eastAsia="zh-CN" w:bidi="zh-CN"/>
              </w:rPr>
              <w:t>生物医药大健康产业</w:t>
            </w:r>
            <w:r>
              <w:rPr>
                <w:rFonts w:hint="eastAsia" w:ascii="宋体" w:hAnsi="宋体" w:eastAsia="宋体" w:cs="宋体"/>
                <w:kern w:val="2"/>
                <w:sz w:val="21"/>
                <w:szCs w:val="21"/>
                <w:highlight w:val="none"/>
                <w:lang w:val="en-US" w:eastAsia="zh-CN" w:bidi="zh-CN"/>
              </w:rPr>
              <w:t>体系；完整覆盖采购需求全部架构；议程规划可落地，明确</w:t>
            </w:r>
            <w:r>
              <w:rPr>
                <w:rFonts w:hint="eastAsia" w:cs="宋体"/>
                <w:kern w:val="2"/>
                <w:sz w:val="21"/>
                <w:szCs w:val="21"/>
                <w:highlight w:val="none"/>
                <w:lang w:val="en-US" w:eastAsia="zh-CN" w:bidi="zh-CN"/>
              </w:rPr>
              <w:t>开幕式及主旨报告、</w:t>
            </w:r>
            <w:r>
              <w:rPr>
                <w:rFonts w:hint="eastAsia" w:ascii="宋体" w:hAnsi="宋体" w:eastAsia="宋体" w:cs="宋体"/>
                <w:kern w:val="2"/>
                <w:sz w:val="21"/>
                <w:szCs w:val="21"/>
                <w:highlight w:val="none"/>
                <w:lang w:val="en-US" w:eastAsia="zh-CN" w:bidi="zh-CN"/>
              </w:rPr>
              <w:t>6个专题</w:t>
            </w:r>
            <w:r>
              <w:rPr>
                <w:rFonts w:hint="eastAsia" w:cs="宋体"/>
                <w:kern w:val="2"/>
                <w:sz w:val="21"/>
                <w:szCs w:val="21"/>
                <w:highlight w:val="none"/>
                <w:lang w:val="en-US" w:eastAsia="zh-CN" w:bidi="zh-CN"/>
              </w:rPr>
              <w:t>活动的</w:t>
            </w:r>
            <w:r>
              <w:rPr>
                <w:rFonts w:hint="eastAsia" w:ascii="宋体" w:hAnsi="宋体" w:eastAsia="宋体" w:cs="宋体"/>
                <w:kern w:val="2"/>
                <w:sz w:val="21"/>
                <w:szCs w:val="21"/>
                <w:highlight w:val="none"/>
                <w:lang w:val="en-US" w:eastAsia="zh-CN" w:bidi="zh-CN"/>
              </w:rPr>
              <w:t>实施思路；嘉宾邀约、</w:t>
            </w:r>
            <w:r>
              <w:rPr>
                <w:rFonts w:hint="eastAsia" w:cs="宋体"/>
                <w:kern w:val="2"/>
                <w:sz w:val="21"/>
                <w:szCs w:val="21"/>
                <w:highlight w:val="none"/>
                <w:lang w:val="en-US" w:eastAsia="zh-CN" w:bidi="zh-CN"/>
              </w:rPr>
              <w:t>行业</w:t>
            </w:r>
            <w:r>
              <w:rPr>
                <w:rFonts w:hint="eastAsia" w:ascii="宋体" w:hAnsi="宋体" w:eastAsia="宋体" w:cs="宋体"/>
                <w:kern w:val="2"/>
                <w:sz w:val="21"/>
                <w:szCs w:val="21"/>
                <w:highlight w:val="none"/>
                <w:lang w:val="en-US" w:eastAsia="zh-CN" w:bidi="zh-CN"/>
              </w:rPr>
              <w:t>专家</w:t>
            </w:r>
            <w:r>
              <w:rPr>
                <w:rFonts w:hint="eastAsia" w:cs="宋体"/>
                <w:kern w:val="2"/>
                <w:sz w:val="21"/>
                <w:szCs w:val="21"/>
                <w:highlight w:val="none"/>
                <w:lang w:val="en-US" w:eastAsia="zh-CN" w:bidi="zh-CN"/>
              </w:rPr>
              <w:t>及行业资源</w:t>
            </w:r>
            <w:r>
              <w:rPr>
                <w:rFonts w:hint="eastAsia" w:ascii="宋体" w:hAnsi="宋体" w:eastAsia="宋体" w:cs="宋体"/>
                <w:kern w:val="2"/>
                <w:sz w:val="21"/>
                <w:szCs w:val="21"/>
                <w:highlight w:val="none"/>
                <w:lang w:val="en-US" w:eastAsia="zh-CN" w:bidi="zh-CN"/>
              </w:rPr>
              <w:t>落地思路清晰</w:t>
            </w:r>
            <w:r>
              <w:rPr>
                <w:rFonts w:hint="eastAsia" w:cs="宋体"/>
                <w:kern w:val="2"/>
                <w:sz w:val="21"/>
                <w:szCs w:val="21"/>
                <w:highlight w:val="none"/>
                <w:lang w:val="en-US" w:eastAsia="zh-CN" w:bidi="zh-CN"/>
              </w:rPr>
              <w:t>，得9分；</w:t>
            </w:r>
          </w:p>
          <w:p w14:paraId="6FF420EC">
            <w:pPr>
              <w:pStyle w:val="49"/>
              <w:pageBreakBefore w:val="0"/>
              <w:kinsoku/>
              <w:topLinePunct w:val="0"/>
              <w:bidi w:val="0"/>
              <w:spacing w:line="360" w:lineRule="auto"/>
              <w:ind w:right="223" w:rightChars="0" w:firstLine="420" w:firstLineChars="200"/>
              <w:jc w:val="both"/>
              <w:rPr>
                <w:rFonts w:hint="default"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方案基本贴合本项目，主要架构完整，但部分专题、嘉宾邀约思路深度不足</w:t>
            </w:r>
            <w:r>
              <w:rPr>
                <w:rFonts w:hint="eastAsia" w:cs="宋体"/>
                <w:kern w:val="2"/>
                <w:sz w:val="21"/>
                <w:szCs w:val="21"/>
                <w:highlight w:val="none"/>
                <w:lang w:val="en-US" w:eastAsia="zh-CN" w:bidi="zh-CN"/>
              </w:rPr>
              <w:t>，得6分；</w:t>
            </w:r>
          </w:p>
          <w:p w14:paraId="0E3ECAFF">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方案内容简略，针对性弱，多会场、专题版块规划不完整</w:t>
            </w:r>
            <w:r>
              <w:rPr>
                <w:rFonts w:hint="eastAsia" w:cs="宋体"/>
                <w:kern w:val="2"/>
                <w:sz w:val="21"/>
                <w:szCs w:val="21"/>
                <w:highlight w:val="none"/>
                <w:lang w:val="en-US" w:eastAsia="zh-CN" w:bidi="zh-CN"/>
              </w:rPr>
              <w:t>，得3分</w:t>
            </w:r>
            <w:r>
              <w:rPr>
                <w:rFonts w:hint="eastAsia" w:ascii="宋体" w:hAnsi="宋体" w:eastAsia="宋体" w:cs="宋体"/>
                <w:kern w:val="2"/>
                <w:sz w:val="21"/>
                <w:szCs w:val="21"/>
                <w:highlight w:val="none"/>
                <w:lang w:val="en-US" w:eastAsia="zh-CN" w:bidi="zh-CN"/>
              </w:rPr>
              <w:t>；</w:t>
            </w:r>
          </w:p>
          <w:p w14:paraId="16CD815F">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未提供方案得0分。</w:t>
            </w:r>
          </w:p>
        </w:tc>
        <w:tc>
          <w:tcPr>
            <w:tcW w:w="452" w:type="pct"/>
            <w:noWrap w:val="0"/>
            <w:vAlign w:val="center"/>
          </w:tcPr>
          <w:p w14:paraId="157168B6">
            <w:pPr>
              <w:pStyle w:val="49"/>
              <w:pageBreakBefore w:val="0"/>
              <w:kinsoku/>
              <w:topLinePunct w:val="0"/>
              <w:bidi w:val="0"/>
              <w:spacing w:before="1" w:line="360" w:lineRule="auto"/>
              <w:ind w:left="192" w:right="188"/>
              <w:jc w:val="center"/>
              <w:rPr>
                <w:rFonts w:hint="eastAsia" w:ascii="宋体" w:hAnsi="宋体" w:eastAsia="宋体" w:cs="宋体"/>
                <w:sz w:val="21"/>
                <w:szCs w:val="21"/>
                <w:highlight w:val="none"/>
                <w:lang w:eastAsia="zh-CN"/>
              </w:rPr>
            </w:pPr>
            <w:r>
              <w:rPr>
                <w:rFonts w:hint="eastAsia" w:ascii="宋体" w:hAnsi="宋体" w:eastAsia="宋体" w:cs="宋体"/>
                <w:b/>
                <w:sz w:val="21"/>
                <w:szCs w:val="21"/>
                <w:highlight w:val="none"/>
                <w:lang w:val="en-US" w:eastAsia="zh-CN"/>
              </w:rPr>
              <w:t>9</w:t>
            </w:r>
          </w:p>
        </w:tc>
      </w:tr>
      <w:tr w14:paraId="4A880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1" w:hRule="atLeast"/>
        </w:trPr>
        <w:tc>
          <w:tcPr>
            <w:tcW w:w="876" w:type="pct"/>
            <w:noWrap w:val="0"/>
            <w:vAlign w:val="center"/>
          </w:tcPr>
          <w:p w14:paraId="11BD0D98">
            <w:pPr>
              <w:pStyle w:val="49"/>
              <w:pageBreakBefore w:val="0"/>
              <w:kinsoku/>
              <w:topLinePunct w:val="0"/>
              <w:bidi w:val="0"/>
              <w:spacing w:line="360" w:lineRule="auto"/>
              <w:ind w:left="338" w:right="115" w:hanging="209"/>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会务组织实施方案</w:t>
            </w:r>
          </w:p>
        </w:tc>
        <w:tc>
          <w:tcPr>
            <w:tcW w:w="3670" w:type="pct"/>
            <w:noWrap w:val="0"/>
            <w:vAlign w:val="top"/>
          </w:tcPr>
          <w:p w14:paraId="16BFF6A0">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1.会场搭建及音视频设备实施方案（3分）：包含</w:t>
            </w:r>
            <w:r>
              <w:rPr>
                <w:rFonts w:hint="eastAsia" w:cs="宋体"/>
                <w:kern w:val="2"/>
                <w:sz w:val="21"/>
                <w:szCs w:val="21"/>
                <w:highlight w:val="none"/>
                <w:lang w:val="en-US" w:eastAsia="zh-CN" w:bidi="zh-CN"/>
              </w:rPr>
              <w:t>开幕式+主旨报告</w:t>
            </w:r>
            <w:r>
              <w:rPr>
                <w:rFonts w:hint="eastAsia" w:ascii="宋体" w:hAnsi="宋体" w:eastAsia="宋体" w:cs="宋体"/>
                <w:kern w:val="2"/>
                <w:sz w:val="21"/>
                <w:szCs w:val="21"/>
                <w:highlight w:val="none"/>
                <w:lang w:val="en-US" w:eastAsia="zh-CN" w:bidi="zh-CN"/>
              </w:rPr>
              <w:t>、6个专题</w:t>
            </w:r>
            <w:r>
              <w:rPr>
                <w:rFonts w:hint="eastAsia" w:cs="宋体"/>
                <w:kern w:val="2"/>
                <w:sz w:val="21"/>
                <w:szCs w:val="21"/>
                <w:highlight w:val="none"/>
                <w:lang w:val="en-US" w:eastAsia="zh-CN" w:bidi="zh-CN"/>
              </w:rPr>
              <w:t>活动等活动的</w:t>
            </w:r>
            <w:r>
              <w:rPr>
                <w:rFonts w:hint="eastAsia" w:ascii="宋体" w:hAnsi="宋体" w:eastAsia="宋体" w:cs="宋体"/>
                <w:kern w:val="2"/>
                <w:sz w:val="21"/>
                <w:szCs w:val="21"/>
                <w:highlight w:val="none"/>
                <w:lang w:val="en-US" w:eastAsia="zh-CN" w:bidi="zh-CN"/>
              </w:rPr>
              <w:t>布置，明确舞美、灯光、音响、大屏、同传等设备配置、设备值守、安全</w:t>
            </w:r>
            <w:r>
              <w:rPr>
                <w:rFonts w:hint="eastAsia" w:cs="宋体"/>
                <w:kern w:val="2"/>
                <w:sz w:val="21"/>
                <w:szCs w:val="21"/>
                <w:highlight w:val="none"/>
                <w:lang w:val="en-US" w:eastAsia="zh-CN" w:bidi="zh-CN"/>
              </w:rPr>
              <w:t>风险</w:t>
            </w:r>
            <w:r>
              <w:rPr>
                <w:rFonts w:hint="eastAsia" w:ascii="宋体" w:hAnsi="宋体" w:eastAsia="宋体" w:cs="宋体"/>
                <w:kern w:val="2"/>
                <w:sz w:val="21"/>
                <w:szCs w:val="21"/>
                <w:highlight w:val="none"/>
                <w:lang w:val="en-US" w:eastAsia="zh-CN" w:bidi="zh-CN"/>
              </w:rPr>
              <w:t>管控；方案完整可落地3分；基本完整2分；内容简单1分；未提供0分。</w:t>
            </w:r>
          </w:p>
          <w:p w14:paraId="010CC241">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2.物料设计印刷、住宿餐饮、会务氛围导视实施方案（3分）：覆盖证件、导视道旗、会场物料，落实绿色采购要求，住宿餐饮考虑VIP及大规模参会人员接待；方案完整3分；较完整2分；简单1分；未提供0分。</w:t>
            </w:r>
          </w:p>
          <w:p w14:paraId="1ABC4BA6">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3.现场人员配置方案（主持人、礼仪、志愿者、速记、图文摄像）（3分）：明确各会场人员配置数量、岗位职责，落实速记、摄影摄像、直播要求；方案完整3分；较完整2分；简单1分；未提供0分。</w:t>
            </w:r>
          </w:p>
          <w:p w14:paraId="38B2B557">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cs="宋体"/>
                <w:kern w:val="2"/>
                <w:sz w:val="21"/>
                <w:szCs w:val="21"/>
                <w:highlight w:val="none"/>
                <w:lang w:val="en-US" w:eastAsia="zh-CN" w:bidi="zh-CN"/>
              </w:rPr>
              <w:t>4.</w:t>
            </w:r>
            <w:r>
              <w:rPr>
                <w:rFonts w:hint="eastAsia" w:ascii="宋体" w:hAnsi="宋体" w:eastAsia="宋体" w:cs="宋体"/>
                <w:kern w:val="2"/>
                <w:sz w:val="21"/>
                <w:szCs w:val="21"/>
                <w:highlight w:val="none"/>
                <w:lang w:val="en-US" w:eastAsia="zh-CN" w:bidi="zh-CN"/>
              </w:rPr>
              <w:t>论坛宣传及媒体报道方案（3 分）：须满足不少于 3 篇省级及以上主流媒体报道，至少 1 篇国家级媒体报道；相关宣传策划、媒体对接、稿件发布方案完整，全部要求均有落实举措得 3 分；每缺少一项对应工作安排扣 1 分，扣完为止；内容简略 1 分；未提供 0 分。</w:t>
            </w:r>
          </w:p>
        </w:tc>
        <w:tc>
          <w:tcPr>
            <w:tcW w:w="452" w:type="pct"/>
            <w:noWrap w:val="0"/>
            <w:vAlign w:val="center"/>
          </w:tcPr>
          <w:p w14:paraId="3BE677FE">
            <w:pPr>
              <w:pStyle w:val="49"/>
              <w:pageBreakBefore w:val="0"/>
              <w:kinsoku/>
              <w:topLinePunct w:val="0"/>
              <w:bidi w:val="0"/>
              <w:spacing w:line="360" w:lineRule="auto"/>
              <w:ind w:left="190" w:right="188"/>
              <w:jc w:val="center"/>
              <w:rPr>
                <w:rFonts w:hint="default" w:ascii="宋体" w:hAnsi="宋体" w:eastAsia="宋体" w:cs="宋体"/>
                <w:b/>
                <w:sz w:val="21"/>
                <w:szCs w:val="21"/>
                <w:highlight w:val="none"/>
                <w:lang w:val="en-US" w:eastAsia="zh-CN"/>
              </w:rPr>
            </w:pPr>
            <w:r>
              <w:rPr>
                <w:rFonts w:hint="eastAsia" w:cs="宋体"/>
                <w:b/>
                <w:sz w:val="21"/>
                <w:szCs w:val="21"/>
                <w:highlight w:val="none"/>
                <w:lang w:val="en-US" w:eastAsia="zh-CN"/>
              </w:rPr>
              <w:t>12</w:t>
            </w:r>
          </w:p>
        </w:tc>
      </w:tr>
      <w:tr w14:paraId="14398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2" w:hRule="atLeast"/>
        </w:trPr>
        <w:tc>
          <w:tcPr>
            <w:tcW w:w="876" w:type="pct"/>
            <w:noWrap w:val="0"/>
            <w:vAlign w:val="center"/>
          </w:tcPr>
          <w:p w14:paraId="5AFFC872">
            <w:pPr>
              <w:pStyle w:val="49"/>
              <w:pageBreakBefore w:val="0"/>
              <w:kinsoku/>
              <w:topLinePunct w:val="0"/>
              <w:bidi w:val="0"/>
              <w:spacing w:before="1" w:line="360" w:lineRule="auto"/>
              <w:ind w:left="107" w:right="12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嘉宾邀请及专业观众组织方案</w:t>
            </w:r>
          </w:p>
        </w:tc>
        <w:tc>
          <w:tcPr>
            <w:tcW w:w="3670" w:type="pct"/>
            <w:noWrap w:val="0"/>
            <w:vAlign w:val="top"/>
          </w:tcPr>
          <w:p w14:paraId="6323C9D6">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1.嘉宾邀约及专业观众组织（3分）：针对50名重要嘉宾、</w:t>
            </w:r>
            <w:r>
              <w:rPr>
                <w:rFonts w:hint="eastAsia" w:cs="宋体"/>
                <w:kern w:val="2"/>
                <w:sz w:val="21"/>
                <w:szCs w:val="21"/>
                <w:highlight w:val="none"/>
                <w:lang w:val="en-US" w:eastAsia="zh-CN" w:bidi="zh-CN"/>
              </w:rPr>
              <w:t>行业</w:t>
            </w:r>
            <w:r>
              <w:rPr>
                <w:rFonts w:hint="eastAsia" w:ascii="宋体" w:hAnsi="宋体" w:eastAsia="宋体" w:cs="宋体"/>
                <w:kern w:val="2"/>
                <w:sz w:val="21"/>
                <w:szCs w:val="21"/>
                <w:highlight w:val="none"/>
                <w:lang w:val="en-US" w:eastAsia="zh-CN" w:bidi="zh-CN"/>
              </w:rPr>
              <w:t>专家、跨省代表≥20%、</w:t>
            </w:r>
            <w:r>
              <w:rPr>
                <w:rFonts w:hint="eastAsia" w:cs="宋体"/>
                <w:kern w:val="2"/>
                <w:sz w:val="21"/>
                <w:szCs w:val="21"/>
                <w:highlight w:val="none"/>
                <w:lang w:val="en-US" w:eastAsia="zh-CN" w:bidi="zh-CN"/>
              </w:rPr>
              <w:t>不少于100</w:t>
            </w:r>
            <w:r>
              <w:rPr>
                <w:rFonts w:hint="eastAsia" w:ascii="宋体" w:hAnsi="宋体" w:eastAsia="宋体" w:cs="宋体"/>
                <w:kern w:val="2"/>
                <w:sz w:val="21"/>
                <w:szCs w:val="21"/>
                <w:highlight w:val="none"/>
                <w:lang w:val="en-US" w:eastAsia="zh-CN" w:bidi="zh-CN"/>
              </w:rPr>
              <w:t>家参会企业</w:t>
            </w:r>
            <w:r>
              <w:rPr>
                <w:rFonts w:hint="eastAsia" w:cs="宋体"/>
                <w:kern w:val="2"/>
                <w:sz w:val="21"/>
                <w:szCs w:val="21"/>
                <w:highlight w:val="none"/>
                <w:lang w:val="en-US" w:eastAsia="zh-CN" w:bidi="zh-CN"/>
              </w:rPr>
              <w:t>的</w:t>
            </w:r>
            <w:r>
              <w:rPr>
                <w:rFonts w:hint="eastAsia" w:ascii="宋体" w:hAnsi="宋体" w:eastAsia="宋体" w:cs="宋体"/>
                <w:kern w:val="2"/>
                <w:sz w:val="21"/>
                <w:szCs w:val="21"/>
                <w:highlight w:val="none"/>
                <w:lang w:val="en-US" w:eastAsia="zh-CN" w:bidi="zh-CN"/>
              </w:rPr>
              <w:t>参会目标制定邀约组织路径、审核流程、保障措施；思路完整可落地得3分；基本可行2分；内容简略1分；未提供0分。</w:t>
            </w:r>
          </w:p>
          <w:p w14:paraId="3C5322DB">
            <w:pPr>
              <w:pStyle w:val="49"/>
              <w:pageBreakBefore w:val="0"/>
              <w:kinsoku/>
              <w:topLinePunct w:val="0"/>
              <w:bidi w:val="0"/>
              <w:spacing w:line="360" w:lineRule="auto"/>
              <w:ind w:right="223" w:rightChars="0" w:firstLine="420" w:firstLineChars="200"/>
              <w:jc w:val="both"/>
              <w:rPr>
                <w:rFonts w:hint="eastAsia" w:ascii="宋体" w:hAnsi="宋体" w:eastAsia="宋体" w:cs="宋体"/>
                <w:sz w:val="21"/>
                <w:szCs w:val="21"/>
                <w:highlight w:val="none"/>
                <w:lang w:val="en-US" w:eastAsia="zh-CN"/>
              </w:rPr>
            </w:pPr>
            <w:r>
              <w:rPr>
                <w:rFonts w:hint="eastAsia" w:ascii="宋体" w:hAnsi="宋体" w:eastAsia="宋体" w:cs="宋体"/>
                <w:kern w:val="2"/>
                <w:sz w:val="21"/>
                <w:szCs w:val="21"/>
                <w:highlight w:val="none"/>
                <w:lang w:val="en-US" w:eastAsia="zh-CN" w:bidi="zh-CN"/>
              </w:rPr>
              <w:t>2.嘉宾、参会人员全流程接待方案（3分）：覆盖行程确认、VIP接待、信息保密管理、信息安全管控；方案完整、保密措施完备得3分；较完整2分；简单1分；未提供0分。</w:t>
            </w:r>
          </w:p>
        </w:tc>
        <w:tc>
          <w:tcPr>
            <w:tcW w:w="452" w:type="pct"/>
            <w:noWrap w:val="0"/>
            <w:vAlign w:val="center"/>
          </w:tcPr>
          <w:p w14:paraId="710C6A66">
            <w:pPr>
              <w:pStyle w:val="49"/>
              <w:pageBreakBefore w:val="0"/>
              <w:kinsoku/>
              <w:topLinePunct w:val="0"/>
              <w:bidi w:val="0"/>
              <w:spacing w:line="360" w:lineRule="auto"/>
              <w:ind w:left="190" w:right="188"/>
              <w:jc w:val="center"/>
              <w:rPr>
                <w:rFonts w:hint="eastAsia" w:ascii="宋体" w:hAnsi="宋体" w:eastAsia="宋体" w:cs="宋体"/>
                <w:b/>
                <w:sz w:val="21"/>
                <w:szCs w:val="21"/>
                <w:highlight w:val="none"/>
                <w:lang w:val="en-US" w:eastAsia="zh-CN"/>
              </w:rPr>
            </w:pPr>
            <w:r>
              <w:rPr>
                <w:rFonts w:hint="eastAsia" w:cs="宋体"/>
                <w:b/>
                <w:sz w:val="21"/>
                <w:szCs w:val="21"/>
                <w:highlight w:val="none"/>
                <w:lang w:val="en-US" w:eastAsia="zh-CN"/>
              </w:rPr>
              <w:t>6</w:t>
            </w:r>
          </w:p>
        </w:tc>
      </w:tr>
      <w:tr w14:paraId="61A7A3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atLeast"/>
        </w:trPr>
        <w:tc>
          <w:tcPr>
            <w:tcW w:w="876" w:type="pct"/>
            <w:noWrap w:val="0"/>
            <w:vAlign w:val="center"/>
          </w:tcPr>
          <w:p w14:paraId="41D844C4">
            <w:pPr>
              <w:pStyle w:val="49"/>
              <w:pageBreakBefore w:val="0"/>
              <w:kinsoku/>
              <w:topLinePunct w:val="0"/>
              <w:bidi w:val="0"/>
              <w:spacing w:before="1" w:line="360" w:lineRule="auto"/>
              <w:ind w:left="107" w:right="12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多会场并行现场执行管控方案</w:t>
            </w:r>
          </w:p>
        </w:tc>
        <w:tc>
          <w:tcPr>
            <w:tcW w:w="3670" w:type="pct"/>
            <w:noWrap w:val="0"/>
            <w:vAlign w:val="top"/>
          </w:tcPr>
          <w:p w14:paraId="5186D199">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本项目多会场同步开展，方案需包含多会场统一调度、流程管控、岗位分工、设备巡检、跨会场联动机制。</w:t>
            </w:r>
          </w:p>
          <w:p w14:paraId="69C5EEC0">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方案充分考虑多会场并行难点，调度机制清晰，流程管控节点明确，具备问题快速处置机制</w:t>
            </w:r>
            <w:r>
              <w:rPr>
                <w:rFonts w:hint="eastAsia" w:cs="宋体"/>
                <w:kern w:val="2"/>
                <w:sz w:val="21"/>
                <w:szCs w:val="21"/>
                <w:highlight w:val="none"/>
                <w:lang w:val="en-US" w:eastAsia="zh-CN" w:bidi="zh-CN"/>
              </w:rPr>
              <w:t>，得7分</w:t>
            </w:r>
            <w:r>
              <w:rPr>
                <w:rFonts w:hint="eastAsia" w:ascii="宋体" w:hAnsi="宋体" w:eastAsia="宋体" w:cs="宋体"/>
                <w:kern w:val="2"/>
                <w:sz w:val="21"/>
                <w:szCs w:val="21"/>
                <w:highlight w:val="none"/>
                <w:lang w:val="en-US" w:eastAsia="zh-CN" w:bidi="zh-CN"/>
              </w:rPr>
              <w:t>；</w:t>
            </w:r>
          </w:p>
          <w:p w14:paraId="35E75B81">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具备基本多会场执行安排，但跨会场联动管控深度不足</w:t>
            </w:r>
            <w:r>
              <w:rPr>
                <w:rFonts w:hint="eastAsia" w:cs="宋体"/>
                <w:kern w:val="2"/>
                <w:sz w:val="21"/>
                <w:szCs w:val="21"/>
                <w:highlight w:val="none"/>
                <w:lang w:val="en-US" w:eastAsia="zh-CN" w:bidi="zh-CN"/>
              </w:rPr>
              <w:t>，得4分</w:t>
            </w:r>
            <w:r>
              <w:rPr>
                <w:rFonts w:hint="eastAsia" w:ascii="宋体" w:hAnsi="宋体" w:eastAsia="宋体" w:cs="宋体"/>
                <w:kern w:val="2"/>
                <w:sz w:val="21"/>
                <w:szCs w:val="21"/>
                <w:highlight w:val="none"/>
                <w:lang w:val="en-US" w:eastAsia="zh-CN" w:bidi="zh-CN"/>
              </w:rPr>
              <w:t>；</w:t>
            </w:r>
          </w:p>
          <w:p w14:paraId="0CCF0389">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方案简略，仅描述单会场执行，缺少多会场协同管控</w:t>
            </w:r>
            <w:r>
              <w:rPr>
                <w:rFonts w:hint="eastAsia" w:cs="宋体"/>
                <w:kern w:val="2"/>
                <w:sz w:val="21"/>
                <w:szCs w:val="21"/>
                <w:highlight w:val="none"/>
                <w:lang w:val="en-US" w:eastAsia="zh-CN" w:bidi="zh-CN"/>
              </w:rPr>
              <w:t>，得1分</w:t>
            </w:r>
            <w:r>
              <w:rPr>
                <w:rFonts w:hint="eastAsia" w:ascii="宋体" w:hAnsi="宋体" w:eastAsia="宋体" w:cs="宋体"/>
                <w:kern w:val="2"/>
                <w:sz w:val="21"/>
                <w:szCs w:val="21"/>
                <w:highlight w:val="none"/>
                <w:lang w:val="en-US" w:eastAsia="zh-CN" w:bidi="zh-CN"/>
              </w:rPr>
              <w:t>；</w:t>
            </w:r>
          </w:p>
          <w:p w14:paraId="002F281A">
            <w:pPr>
              <w:pStyle w:val="49"/>
              <w:pageBreakBefore w:val="0"/>
              <w:kinsoku/>
              <w:topLinePunct w:val="0"/>
              <w:bidi w:val="0"/>
              <w:spacing w:line="360" w:lineRule="auto"/>
              <w:ind w:right="223" w:rightChars="0" w:firstLine="420" w:firstLineChars="200"/>
              <w:jc w:val="both"/>
              <w:rPr>
                <w:rFonts w:hint="eastAsia" w:ascii="宋体" w:hAnsi="宋体" w:eastAsia="宋体" w:cs="宋体"/>
                <w:sz w:val="21"/>
                <w:szCs w:val="21"/>
                <w:highlight w:val="none"/>
                <w:lang w:val="en-US" w:eastAsia="zh-CN"/>
              </w:rPr>
            </w:pPr>
            <w:r>
              <w:rPr>
                <w:rFonts w:hint="eastAsia" w:ascii="宋体" w:hAnsi="宋体" w:eastAsia="宋体" w:cs="宋体"/>
                <w:kern w:val="2"/>
                <w:sz w:val="21"/>
                <w:szCs w:val="21"/>
                <w:highlight w:val="none"/>
                <w:lang w:val="en-US" w:eastAsia="zh-CN" w:bidi="zh-CN"/>
              </w:rPr>
              <w:t>未提供方案得0分。</w:t>
            </w:r>
          </w:p>
        </w:tc>
        <w:tc>
          <w:tcPr>
            <w:tcW w:w="452" w:type="pct"/>
            <w:noWrap w:val="0"/>
            <w:vAlign w:val="center"/>
          </w:tcPr>
          <w:p w14:paraId="1FFB4218">
            <w:pPr>
              <w:pStyle w:val="49"/>
              <w:pageBreakBefore w:val="0"/>
              <w:kinsoku/>
              <w:topLinePunct w:val="0"/>
              <w:bidi w:val="0"/>
              <w:spacing w:line="360" w:lineRule="auto"/>
              <w:ind w:left="190" w:right="188"/>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7</w:t>
            </w:r>
          </w:p>
        </w:tc>
      </w:tr>
      <w:tr w14:paraId="57BBB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84" w:hRule="atLeast"/>
        </w:trPr>
        <w:tc>
          <w:tcPr>
            <w:tcW w:w="876" w:type="pct"/>
            <w:noWrap w:val="0"/>
            <w:vAlign w:val="center"/>
          </w:tcPr>
          <w:p w14:paraId="63C94E1A">
            <w:pPr>
              <w:pStyle w:val="49"/>
              <w:pageBreakBefore w:val="0"/>
              <w:kinsoku/>
              <w:topLinePunct w:val="0"/>
              <w:bidi w:val="0"/>
              <w:spacing w:before="1" w:line="360" w:lineRule="auto"/>
              <w:ind w:left="107" w:right="12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质量保障、保密及安全生产措施</w:t>
            </w:r>
          </w:p>
        </w:tc>
        <w:tc>
          <w:tcPr>
            <w:tcW w:w="3670" w:type="pct"/>
            <w:noWrap w:val="0"/>
            <w:vAlign w:val="top"/>
          </w:tcPr>
          <w:p w14:paraId="581B28A4">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针对本项目编制服务质量管控、参会人员信息保密、现场安全生产管理措施。</w:t>
            </w:r>
          </w:p>
          <w:p w14:paraId="4F1D0269">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质量管控节点清晰；信息保密制度完整；明确现场安全生产主体责任、风险点、处置措施，完全响应采购需求</w:t>
            </w:r>
            <w:r>
              <w:rPr>
                <w:rFonts w:hint="eastAsia" w:cs="宋体"/>
                <w:kern w:val="2"/>
                <w:sz w:val="21"/>
                <w:szCs w:val="21"/>
                <w:highlight w:val="none"/>
                <w:lang w:val="en-US" w:eastAsia="zh-CN" w:bidi="zh-CN"/>
              </w:rPr>
              <w:t>，得6分</w:t>
            </w:r>
            <w:r>
              <w:rPr>
                <w:rFonts w:hint="eastAsia" w:ascii="宋体" w:hAnsi="宋体" w:eastAsia="宋体" w:cs="宋体"/>
                <w:kern w:val="2"/>
                <w:sz w:val="21"/>
                <w:szCs w:val="21"/>
                <w:highlight w:val="none"/>
                <w:lang w:val="en-US" w:eastAsia="zh-CN" w:bidi="zh-CN"/>
              </w:rPr>
              <w:t>；</w:t>
            </w:r>
          </w:p>
          <w:p w14:paraId="72710344">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具备基础质量、保密、安全措施，但部分细节缺失</w:t>
            </w:r>
            <w:r>
              <w:rPr>
                <w:rFonts w:hint="eastAsia" w:cs="宋体"/>
                <w:kern w:val="2"/>
                <w:sz w:val="21"/>
                <w:szCs w:val="21"/>
                <w:highlight w:val="none"/>
                <w:lang w:val="en-US" w:eastAsia="zh-CN" w:bidi="zh-CN"/>
              </w:rPr>
              <w:t>，得3分</w:t>
            </w:r>
            <w:r>
              <w:rPr>
                <w:rFonts w:hint="eastAsia" w:ascii="宋体" w:hAnsi="宋体" w:eastAsia="宋体" w:cs="宋体"/>
                <w:kern w:val="2"/>
                <w:sz w:val="21"/>
                <w:szCs w:val="21"/>
                <w:highlight w:val="none"/>
                <w:lang w:val="en-US" w:eastAsia="zh-CN" w:bidi="zh-CN"/>
              </w:rPr>
              <w:t>；</w:t>
            </w:r>
          </w:p>
          <w:p w14:paraId="7F57C317">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措施简单笼统</w:t>
            </w:r>
            <w:r>
              <w:rPr>
                <w:rFonts w:hint="eastAsia" w:cs="宋体"/>
                <w:kern w:val="2"/>
                <w:sz w:val="21"/>
                <w:szCs w:val="21"/>
                <w:highlight w:val="none"/>
                <w:lang w:val="en-US" w:eastAsia="zh-CN" w:bidi="zh-CN"/>
              </w:rPr>
              <w:t>，得1分</w:t>
            </w:r>
            <w:r>
              <w:rPr>
                <w:rFonts w:hint="eastAsia" w:ascii="宋体" w:hAnsi="宋体" w:eastAsia="宋体" w:cs="宋体"/>
                <w:kern w:val="2"/>
                <w:sz w:val="21"/>
                <w:szCs w:val="21"/>
                <w:highlight w:val="none"/>
                <w:lang w:val="en-US" w:eastAsia="zh-CN" w:bidi="zh-CN"/>
              </w:rPr>
              <w:t>；</w:t>
            </w:r>
          </w:p>
          <w:p w14:paraId="3E2DF18F">
            <w:pPr>
              <w:pStyle w:val="49"/>
              <w:pageBreakBefore w:val="0"/>
              <w:kinsoku/>
              <w:topLinePunct w:val="0"/>
              <w:bidi w:val="0"/>
              <w:spacing w:line="360" w:lineRule="auto"/>
              <w:ind w:right="223" w:rightChars="0" w:firstLine="420" w:firstLineChars="200"/>
              <w:jc w:val="both"/>
              <w:rPr>
                <w:rFonts w:hint="eastAsia" w:ascii="宋体" w:hAnsi="宋体" w:eastAsia="宋体" w:cs="宋体"/>
                <w:sz w:val="21"/>
                <w:szCs w:val="21"/>
                <w:highlight w:val="none"/>
                <w:lang w:val="en-US" w:eastAsia="zh-CN"/>
              </w:rPr>
            </w:pPr>
            <w:r>
              <w:rPr>
                <w:rFonts w:hint="eastAsia" w:ascii="宋体" w:hAnsi="宋体" w:eastAsia="宋体" w:cs="宋体"/>
                <w:kern w:val="2"/>
                <w:sz w:val="21"/>
                <w:szCs w:val="21"/>
                <w:highlight w:val="none"/>
                <w:lang w:val="en-US" w:eastAsia="zh-CN" w:bidi="zh-CN"/>
              </w:rPr>
              <w:t>未提供得0分。</w:t>
            </w:r>
          </w:p>
        </w:tc>
        <w:tc>
          <w:tcPr>
            <w:tcW w:w="452" w:type="pct"/>
            <w:noWrap w:val="0"/>
            <w:vAlign w:val="center"/>
          </w:tcPr>
          <w:p w14:paraId="701F54B9">
            <w:pPr>
              <w:pStyle w:val="49"/>
              <w:pageBreakBefore w:val="0"/>
              <w:kinsoku/>
              <w:topLinePunct w:val="0"/>
              <w:bidi w:val="0"/>
              <w:spacing w:before="1" w:line="360" w:lineRule="auto"/>
              <w:ind w:left="107" w:leftChars="0" w:right="92" w:rightChars="0"/>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6</w:t>
            </w:r>
          </w:p>
        </w:tc>
      </w:tr>
      <w:tr w14:paraId="5FA4D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atLeast"/>
        </w:trPr>
        <w:tc>
          <w:tcPr>
            <w:tcW w:w="876" w:type="pct"/>
            <w:noWrap w:val="0"/>
            <w:vAlign w:val="center"/>
          </w:tcPr>
          <w:p w14:paraId="03833D30">
            <w:pPr>
              <w:pStyle w:val="49"/>
              <w:pageBreakBefore w:val="0"/>
              <w:kinsoku/>
              <w:topLinePunct w:val="0"/>
              <w:bidi w:val="0"/>
              <w:spacing w:before="1" w:line="360" w:lineRule="auto"/>
              <w:ind w:left="107" w:right="12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项目重点难点分析及应对措施</w:t>
            </w:r>
          </w:p>
        </w:tc>
        <w:tc>
          <w:tcPr>
            <w:tcW w:w="3670" w:type="pct"/>
            <w:noWrap w:val="0"/>
            <w:vAlign w:val="top"/>
          </w:tcPr>
          <w:p w14:paraId="0BEEB141">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识别本项目重点难点：大规模人员组织、多会场并行、嘉宾邀约、</w:t>
            </w:r>
            <w:r>
              <w:rPr>
                <w:rFonts w:hint="eastAsia" w:cs="宋体"/>
                <w:kern w:val="2"/>
                <w:sz w:val="21"/>
                <w:szCs w:val="21"/>
                <w:highlight w:val="none"/>
                <w:lang w:val="en-US" w:eastAsia="zh-CN" w:bidi="zh-CN"/>
              </w:rPr>
              <w:t>宣传推广</w:t>
            </w:r>
            <w:r>
              <w:rPr>
                <w:rFonts w:hint="eastAsia" w:ascii="宋体" w:hAnsi="宋体" w:eastAsia="宋体" w:cs="宋体"/>
                <w:kern w:val="2"/>
                <w:sz w:val="21"/>
                <w:szCs w:val="21"/>
                <w:highlight w:val="none"/>
                <w:lang w:val="en-US" w:eastAsia="zh-CN" w:bidi="zh-CN"/>
              </w:rPr>
              <w:t>等，对应制定可行应对举措。</w:t>
            </w:r>
          </w:p>
          <w:p w14:paraId="192829FE">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难点识别全面，应对措施针对性强，贴合本项目实际</w:t>
            </w:r>
            <w:r>
              <w:rPr>
                <w:rFonts w:hint="eastAsia" w:cs="宋体"/>
                <w:kern w:val="2"/>
                <w:sz w:val="21"/>
                <w:szCs w:val="21"/>
                <w:highlight w:val="none"/>
                <w:lang w:val="en-US" w:eastAsia="zh-CN" w:bidi="zh-CN"/>
              </w:rPr>
              <w:t>，得5分</w:t>
            </w:r>
            <w:r>
              <w:rPr>
                <w:rFonts w:hint="eastAsia" w:ascii="宋体" w:hAnsi="宋体" w:eastAsia="宋体" w:cs="宋体"/>
                <w:kern w:val="2"/>
                <w:sz w:val="21"/>
                <w:szCs w:val="21"/>
                <w:highlight w:val="none"/>
                <w:lang w:val="en-US" w:eastAsia="zh-CN" w:bidi="zh-CN"/>
              </w:rPr>
              <w:t>；</w:t>
            </w:r>
          </w:p>
          <w:p w14:paraId="5A161CB3">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识别主要难点，应对措施基本可行</w:t>
            </w:r>
            <w:r>
              <w:rPr>
                <w:rFonts w:hint="eastAsia" w:cs="宋体"/>
                <w:kern w:val="2"/>
                <w:sz w:val="21"/>
                <w:szCs w:val="21"/>
                <w:highlight w:val="none"/>
                <w:lang w:val="en-US" w:eastAsia="zh-CN" w:bidi="zh-CN"/>
              </w:rPr>
              <w:t>，得3分</w:t>
            </w:r>
            <w:r>
              <w:rPr>
                <w:rFonts w:hint="eastAsia" w:ascii="宋体" w:hAnsi="宋体" w:eastAsia="宋体" w:cs="宋体"/>
                <w:kern w:val="2"/>
                <w:sz w:val="21"/>
                <w:szCs w:val="21"/>
                <w:highlight w:val="none"/>
                <w:lang w:val="en-US" w:eastAsia="zh-CN" w:bidi="zh-CN"/>
              </w:rPr>
              <w:t>；</w:t>
            </w:r>
          </w:p>
          <w:p w14:paraId="0DE6339B">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分析浅显，措施流于形式</w:t>
            </w:r>
            <w:r>
              <w:rPr>
                <w:rFonts w:hint="eastAsia" w:cs="宋体"/>
                <w:kern w:val="2"/>
                <w:sz w:val="21"/>
                <w:szCs w:val="21"/>
                <w:highlight w:val="none"/>
                <w:lang w:val="en-US" w:eastAsia="zh-CN" w:bidi="zh-CN"/>
              </w:rPr>
              <w:t>，得1分</w:t>
            </w:r>
            <w:r>
              <w:rPr>
                <w:rFonts w:hint="eastAsia" w:ascii="宋体" w:hAnsi="宋体" w:eastAsia="宋体" w:cs="宋体"/>
                <w:kern w:val="2"/>
                <w:sz w:val="21"/>
                <w:szCs w:val="21"/>
                <w:highlight w:val="none"/>
                <w:lang w:val="en-US" w:eastAsia="zh-CN" w:bidi="zh-CN"/>
              </w:rPr>
              <w:t>；</w:t>
            </w:r>
          </w:p>
          <w:p w14:paraId="18FD9233">
            <w:pPr>
              <w:pStyle w:val="49"/>
              <w:pageBreakBefore w:val="0"/>
              <w:kinsoku/>
              <w:topLinePunct w:val="0"/>
              <w:bidi w:val="0"/>
              <w:spacing w:line="360" w:lineRule="auto"/>
              <w:ind w:right="223" w:rightChars="0" w:firstLine="420" w:firstLineChars="200"/>
              <w:jc w:val="both"/>
              <w:rPr>
                <w:rFonts w:hint="eastAsia" w:ascii="宋体" w:hAnsi="宋体" w:eastAsia="宋体" w:cs="宋体"/>
                <w:sz w:val="21"/>
                <w:szCs w:val="21"/>
                <w:highlight w:val="none"/>
                <w:lang w:val="en-US" w:eastAsia="zh-CN"/>
              </w:rPr>
            </w:pPr>
            <w:r>
              <w:rPr>
                <w:rFonts w:hint="eastAsia" w:ascii="宋体" w:hAnsi="宋体" w:eastAsia="宋体" w:cs="宋体"/>
                <w:kern w:val="2"/>
                <w:sz w:val="21"/>
                <w:szCs w:val="21"/>
                <w:highlight w:val="none"/>
                <w:lang w:val="en-US" w:eastAsia="zh-CN" w:bidi="zh-CN"/>
              </w:rPr>
              <w:t>未提供得0分。</w:t>
            </w:r>
          </w:p>
        </w:tc>
        <w:tc>
          <w:tcPr>
            <w:tcW w:w="452" w:type="pct"/>
            <w:noWrap w:val="0"/>
            <w:vAlign w:val="center"/>
          </w:tcPr>
          <w:p w14:paraId="15E6EEB0">
            <w:pPr>
              <w:pStyle w:val="49"/>
              <w:pageBreakBefore w:val="0"/>
              <w:kinsoku/>
              <w:topLinePunct w:val="0"/>
              <w:bidi w:val="0"/>
              <w:spacing w:line="360" w:lineRule="auto"/>
              <w:ind w:left="190" w:right="188"/>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5</w:t>
            </w:r>
          </w:p>
        </w:tc>
      </w:tr>
      <w:tr w14:paraId="1EF85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1" w:hRule="atLeast"/>
        </w:trPr>
        <w:tc>
          <w:tcPr>
            <w:tcW w:w="876" w:type="pct"/>
            <w:noWrap w:val="0"/>
            <w:vAlign w:val="center"/>
          </w:tcPr>
          <w:p w14:paraId="4B73A8AA">
            <w:pPr>
              <w:pStyle w:val="49"/>
              <w:pageBreakBefore w:val="0"/>
              <w:kinsoku/>
              <w:topLinePunct w:val="0"/>
              <w:bidi w:val="0"/>
              <w:spacing w:before="1" w:line="360" w:lineRule="auto"/>
              <w:ind w:left="107" w:right="122"/>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综合应急处置预案</w:t>
            </w:r>
          </w:p>
        </w:tc>
        <w:tc>
          <w:tcPr>
            <w:tcW w:w="3670" w:type="pct"/>
            <w:noWrap w:val="0"/>
            <w:vAlign w:val="top"/>
          </w:tcPr>
          <w:p w14:paraId="657FC60C">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覆盖活动延期改期、设备故障、人员突发状况、舆情应对、现场突发事件，含组织、处置流程。</w:t>
            </w:r>
          </w:p>
          <w:p w14:paraId="05DC7292">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预案完整，各类场景均有处置流程、责任岗位，可直接落地执行</w:t>
            </w:r>
            <w:r>
              <w:rPr>
                <w:rFonts w:hint="eastAsia" w:cs="宋体"/>
                <w:kern w:val="2"/>
                <w:sz w:val="21"/>
                <w:szCs w:val="21"/>
                <w:highlight w:val="none"/>
                <w:lang w:val="en-US" w:eastAsia="zh-CN" w:bidi="zh-CN"/>
              </w:rPr>
              <w:t>，得5分</w:t>
            </w:r>
            <w:r>
              <w:rPr>
                <w:rFonts w:hint="eastAsia" w:ascii="宋体" w:hAnsi="宋体" w:eastAsia="宋体" w:cs="宋体"/>
                <w:kern w:val="2"/>
                <w:sz w:val="21"/>
                <w:szCs w:val="21"/>
                <w:highlight w:val="none"/>
                <w:lang w:val="en-US" w:eastAsia="zh-CN" w:bidi="zh-CN"/>
              </w:rPr>
              <w:t>；</w:t>
            </w:r>
          </w:p>
          <w:p w14:paraId="57AF4E39">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覆盖主要应急场景，处置流程较完整</w:t>
            </w:r>
            <w:r>
              <w:rPr>
                <w:rFonts w:hint="eastAsia" w:cs="宋体"/>
                <w:kern w:val="2"/>
                <w:sz w:val="21"/>
                <w:szCs w:val="21"/>
                <w:highlight w:val="none"/>
                <w:lang w:val="en-US" w:eastAsia="zh-CN" w:bidi="zh-CN"/>
              </w:rPr>
              <w:t>，得3分</w:t>
            </w:r>
            <w:r>
              <w:rPr>
                <w:rFonts w:hint="eastAsia" w:ascii="宋体" w:hAnsi="宋体" w:eastAsia="宋体" w:cs="宋体"/>
                <w:kern w:val="2"/>
                <w:sz w:val="21"/>
                <w:szCs w:val="21"/>
                <w:highlight w:val="none"/>
                <w:lang w:val="en-US" w:eastAsia="zh-CN" w:bidi="zh-CN"/>
              </w:rPr>
              <w:t>；</w:t>
            </w:r>
          </w:p>
          <w:p w14:paraId="16D3E594">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预案简单，缺少岗位和流程</w:t>
            </w:r>
            <w:r>
              <w:rPr>
                <w:rFonts w:hint="eastAsia" w:cs="宋体"/>
                <w:kern w:val="2"/>
                <w:sz w:val="21"/>
                <w:szCs w:val="21"/>
                <w:highlight w:val="none"/>
                <w:lang w:val="en-US" w:eastAsia="zh-CN" w:bidi="zh-CN"/>
              </w:rPr>
              <w:t>，得1分</w:t>
            </w:r>
            <w:r>
              <w:rPr>
                <w:rFonts w:hint="eastAsia" w:ascii="宋体" w:hAnsi="宋体" w:eastAsia="宋体" w:cs="宋体"/>
                <w:kern w:val="2"/>
                <w:sz w:val="21"/>
                <w:szCs w:val="21"/>
                <w:highlight w:val="none"/>
                <w:lang w:val="en-US" w:eastAsia="zh-CN" w:bidi="zh-CN"/>
              </w:rPr>
              <w:t>；</w:t>
            </w:r>
          </w:p>
          <w:p w14:paraId="34AB298B">
            <w:pPr>
              <w:pStyle w:val="49"/>
              <w:pageBreakBefore w:val="0"/>
              <w:kinsoku/>
              <w:topLinePunct w:val="0"/>
              <w:bidi w:val="0"/>
              <w:spacing w:line="360" w:lineRule="auto"/>
              <w:ind w:right="223" w:rightChars="0" w:firstLine="420" w:firstLineChars="200"/>
              <w:jc w:val="both"/>
              <w:rPr>
                <w:rFonts w:hint="eastAsia" w:ascii="宋体" w:hAnsi="宋体" w:eastAsia="宋体" w:cs="宋体"/>
                <w:sz w:val="21"/>
                <w:szCs w:val="21"/>
                <w:highlight w:val="none"/>
                <w:lang w:val="en-US" w:eastAsia="zh-CN"/>
              </w:rPr>
            </w:pPr>
            <w:r>
              <w:rPr>
                <w:rFonts w:hint="eastAsia" w:ascii="宋体" w:hAnsi="宋体" w:eastAsia="宋体" w:cs="宋体"/>
                <w:kern w:val="2"/>
                <w:sz w:val="21"/>
                <w:szCs w:val="21"/>
                <w:highlight w:val="none"/>
                <w:lang w:val="en-US" w:eastAsia="zh-CN" w:bidi="zh-CN"/>
              </w:rPr>
              <w:t>未提供</w:t>
            </w:r>
            <w:bookmarkStart w:id="97" w:name="_GoBack"/>
            <w:bookmarkEnd w:id="97"/>
            <w:r>
              <w:rPr>
                <w:rFonts w:hint="eastAsia" w:ascii="宋体" w:hAnsi="宋体" w:eastAsia="宋体" w:cs="宋体"/>
                <w:kern w:val="2"/>
                <w:sz w:val="21"/>
                <w:szCs w:val="21"/>
                <w:highlight w:val="none"/>
                <w:lang w:val="en-US" w:eastAsia="zh-CN" w:bidi="zh-CN"/>
              </w:rPr>
              <w:t>得0分。</w:t>
            </w:r>
          </w:p>
        </w:tc>
        <w:tc>
          <w:tcPr>
            <w:tcW w:w="452" w:type="pct"/>
            <w:noWrap w:val="0"/>
            <w:vAlign w:val="center"/>
          </w:tcPr>
          <w:p w14:paraId="4548C9E7">
            <w:pPr>
              <w:pStyle w:val="49"/>
              <w:pageBreakBefore w:val="0"/>
              <w:kinsoku/>
              <w:topLinePunct w:val="0"/>
              <w:bidi w:val="0"/>
              <w:spacing w:line="360" w:lineRule="auto"/>
              <w:ind w:left="190" w:right="188"/>
              <w:jc w:val="center"/>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5</w:t>
            </w:r>
          </w:p>
        </w:tc>
      </w:tr>
      <w:tr w14:paraId="5A097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67" w:hRule="atLeast"/>
        </w:trPr>
        <w:tc>
          <w:tcPr>
            <w:tcW w:w="876" w:type="pct"/>
            <w:noWrap w:val="0"/>
            <w:vAlign w:val="center"/>
          </w:tcPr>
          <w:p w14:paraId="43ADA50F">
            <w:pPr>
              <w:pStyle w:val="49"/>
              <w:pageBreakBefore w:val="0"/>
              <w:kinsoku/>
              <w:topLinePunct w:val="0"/>
              <w:bidi w:val="0"/>
              <w:spacing w:before="1" w:line="360" w:lineRule="auto"/>
              <w:ind w:left="107" w:right="122"/>
              <w:jc w:val="center"/>
              <w:rPr>
                <w:rFonts w:hint="eastAsia" w:ascii="宋体" w:hAnsi="宋体" w:eastAsia="宋体" w:cs="宋体"/>
                <w:sz w:val="21"/>
                <w:szCs w:val="21"/>
                <w:highlight w:val="none"/>
              </w:rPr>
            </w:pPr>
            <w:r>
              <w:rPr>
                <w:rFonts w:hint="eastAsia" w:ascii="宋体" w:hAnsi="宋体" w:eastAsia="宋体" w:cs="宋体"/>
                <w:color w:val="auto"/>
                <w:kern w:val="0"/>
                <w:sz w:val="21"/>
                <w:szCs w:val="21"/>
                <w:highlight w:val="none"/>
              </w:rPr>
              <w:t>本项目其他优惠措施及特色服务承诺</w:t>
            </w:r>
          </w:p>
        </w:tc>
        <w:tc>
          <w:tcPr>
            <w:tcW w:w="3670" w:type="pct"/>
            <w:tcBorders>
              <w:bottom w:val="single" w:color="auto" w:sz="4" w:space="0"/>
            </w:tcBorders>
            <w:noWrap w:val="0"/>
            <w:vAlign w:val="top"/>
          </w:tcPr>
          <w:p w14:paraId="074415D9">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cs="宋体"/>
                <w:kern w:val="2"/>
                <w:sz w:val="21"/>
                <w:szCs w:val="21"/>
                <w:highlight w:val="none"/>
                <w:lang w:val="en-US" w:eastAsia="zh-CN" w:bidi="zh-CN"/>
              </w:rPr>
              <w:t>响应供应商</w:t>
            </w:r>
            <w:r>
              <w:rPr>
                <w:rFonts w:hint="eastAsia" w:ascii="宋体" w:hAnsi="宋体" w:eastAsia="宋体" w:cs="宋体"/>
                <w:kern w:val="2"/>
                <w:sz w:val="21"/>
                <w:szCs w:val="21"/>
                <w:highlight w:val="none"/>
                <w:lang w:val="en-US" w:eastAsia="zh-CN" w:bidi="zh-CN"/>
              </w:rPr>
              <w:t>应围绕本项目采购需求，在采购需求范围内，就质量提升、成果交付、整改保障等方面作出具体、可操作、可考核的承诺。</w:t>
            </w:r>
          </w:p>
          <w:p w14:paraId="284F7BF6">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增值承诺贴合本项目，可提升项目质量，可验证</w:t>
            </w:r>
            <w:r>
              <w:rPr>
                <w:rFonts w:hint="eastAsia" w:cs="宋体"/>
                <w:kern w:val="2"/>
                <w:sz w:val="21"/>
                <w:szCs w:val="21"/>
                <w:highlight w:val="none"/>
                <w:lang w:val="en-US" w:eastAsia="zh-CN" w:bidi="zh-CN"/>
              </w:rPr>
              <w:t>，得5分</w:t>
            </w:r>
            <w:r>
              <w:rPr>
                <w:rFonts w:hint="eastAsia" w:ascii="宋体" w:hAnsi="宋体" w:eastAsia="宋体" w:cs="宋体"/>
                <w:kern w:val="2"/>
                <w:sz w:val="21"/>
                <w:szCs w:val="21"/>
                <w:highlight w:val="none"/>
                <w:lang w:val="en-US" w:eastAsia="zh-CN" w:bidi="zh-CN"/>
              </w:rPr>
              <w:t>；</w:t>
            </w:r>
          </w:p>
          <w:p w14:paraId="0B493610">
            <w:pPr>
              <w:pStyle w:val="49"/>
              <w:pageBreakBefore w:val="0"/>
              <w:kinsoku/>
              <w:topLinePunct w:val="0"/>
              <w:bidi w:val="0"/>
              <w:spacing w:line="360" w:lineRule="auto"/>
              <w:ind w:right="223" w:rightChars="0" w:firstLine="420" w:firstLineChars="200"/>
              <w:jc w:val="both"/>
              <w:rPr>
                <w:rFonts w:hint="eastAsia" w:ascii="宋体" w:hAnsi="宋体" w:eastAsia="宋体" w:cs="宋体"/>
                <w:kern w:val="2"/>
                <w:sz w:val="21"/>
                <w:szCs w:val="21"/>
                <w:highlight w:val="none"/>
                <w:lang w:val="en-US" w:eastAsia="zh-CN" w:bidi="zh-CN"/>
              </w:rPr>
            </w:pPr>
            <w:r>
              <w:rPr>
                <w:rFonts w:hint="eastAsia" w:ascii="宋体" w:hAnsi="宋体" w:eastAsia="宋体" w:cs="宋体"/>
                <w:kern w:val="2"/>
                <w:sz w:val="21"/>
                <w:szCs w:val="21"/>
                <w:highlight w:val="none"/>
                <w:lang w:val="en-US" w:eastAsia="zh-CN" w:bidi="zh-CN"/>
              </w:rPr>
              <w:t>有基础增值承诺，针对性一般</w:t>
            </w:r>
            <w:r>
              <w:rPr>
                <w:rFonts w:hint="eastAsia" w:cs="宋体"/>
                <w:kern w:val="2"/>
                <w:sz w:val="21"/>
                <w:szCs w:val="21"/>
                <w:highlight w:val="none"/>
                <w:lang w:val="en-US" w:eastAsia="zh-CN" w:bidi="zh-CN"/>
              </w:rPr>
              <w:t>，得3分</w:t>
            </w:r>
            <w:r>
              <w:rPr>
                <w:rFonts w:hint="eastAsia" w:ascii="宋体" w:hAnsi="宋体" w:eastAsia="宋体" w:cs="宋体"/>
                <w:kern w:val="2"/>
                <w:sz w:val="21"/>
                <w:szCs w:val="21"/>
                <w:highlight w:val="none"/>
                <w:lang w:val="en-US" w:eastAsia="zh-CN" w:bidi="zh-CN"/>
              </w:rPr>
              <w:t>；</w:t>
            </w:r>
          </w:p>
          <w:p w14:paraId="7E871372">
            <w:pPr>
              <w:pStyle w:val="49"/>
              <w:pageBreakBefore w:val="0"/>
              <w:kinsoku/>
              <w:topLinePunct w:val="0"/>
              <w:bidi w:val="0"/>
              <w:spacing w:line="360" w:lineRule="auto"/>
              <w:ind w:right="223" w:rightChars="0" w:firstLine="420" w:firstLineChars="200"/>
              <w:jc w:val="both"/>
              <w:rPr>
                <w:rFonts w:hint="eastAsia" w:ascii="宋体" w:hAnsi="宋体" w:eastAsia="宋体" w:cs="宋体"/>
                <w:sz w:val="21"/>
                <w:szCs w:val="21"/>
                <w:highlight w:val="none"/>
                <w:lang w:val="en-US" w:eastAsia="zh-CN"/>
              </w:rPr>
            </w:pPr>
            <w:r>
              <w:rPr>
                <w:rFonts w:hint="eastAsia" w:ascii="宋体" w:hAnsi="宋体" w:eastAsia="宋体" w:cs="宋体"/>
                <w:kern w:val="2"/>
                <w:sz w:val="21"/>
                <w:szCs w:val="21"/>
                <w:highlight w:val="none"/>
                <w:lang w:val="en-US" w:eastAsia="zh-CN" w:bidi="zh-CN"/>
              </w:rPr>
              <w:t>未提供有效承诺得0分。</w:t>
            </w:r>
          </w:p>
        </w:tc>
        <w:tc>
          <w:tcPr>
            <w:tcW w:w="452" w:type="pct"/>
            <w:tcBorders>
              <w:bottom w:val="single" w:color="auto" w:sz="4" w:space="0"/>
            </w:tcBorders>
            <w:noWrap w:val="0"/>
            <w:vAlign w:val="center"/>
          </w:tcPr>
          <w:p w14:paraId="502AEC16">
            <w:pPr>
              <w:pStyle w:val="49"/>
              <w:pageBreakBefore w:val="0"/>
              <w:kinsoku/>
              <w:topLinePunct w:val="0"/>
              <w:bidi w:val="0"/>
              <w:spacing w:line="360" w:lineRule="auto"/>
              <w:ind w:left="190" w:right="188"/>
              <w:jc w:val="center"/>
              <w:rPr>
                <w:rFonts w:hint="eastAsia" w:ascii="宋体" w:hAnsi="宋体" w:eastAsia="宋体" w:cs="宋体"/>
                <w:b/>
                <w:sz w:val="21"/>
                <w:szCs w:val="21"/>
                <w:highlight w:val="none"/>
                <w:lang w:val="en-US" w:eastAsia="zh-CN"/>
              </w:rPr>
            </w:pPr>
            <w:r>
              <w:rPr>
                <w:rFonts w:hint="eastAsia" w:cs="宋体"/>
                <w:b/>
                <w:sz w:val="21"/>
                <w:szCs w:val="21"/>
                <w:highlight w:val="none"/>
                <w:lang w:val="en-US" w:eastAsia="zh-CN"/>
              </w:rPr>
              <w:t>5</w:t>
            </w:r>
          </w:p>
        </w:tc>
      </w:tr>
    </w:tbl>
    <w:p w14:paraId="6AD07B36">
      <w:pPr>
        <w:pageBreakBefore w:val="0"/>
        <w:kinsoku/>
        <w:bidi w:val="0"/>
        <w:spacing w:line="360" w:lineRule="auto"/>
        <w:ind w:firstLine="482"/>
        <w:rPr>
          <w:rFonts w:hint="eastAsia" w:ascii="宋体" w:hAnsi="宋体" w:cs="宋体"/>
          <w:b/>
          <w:bCs/>
          <w:szCs w:val="21"/>
          <w:highlight w:val="none"/>
        </w:rPr>
      </w:pPr>
    </w:p>
    <w:p w14:paraId="652DC874">
      <w:pPr>
        <w:pageBreakBefore w:val="0"/>
        <w:kinsoku/>
        <w:bidi w:val="0"/>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 xml:space="preserve">注：1.上述响应文件中，证书或证明或业绩必须提供复印件或扫描件（加盖供应商公章），如发现弄虚作假的，将按照本采购文件相关条款规定予以处理。 </w:t>
      </w:r>
    </w:p>
    <w:p w14:paraId="286FF152">
      <w:pPr>
        <w:pageBreakBefore w:val="0"/>
        <w:kinsoku/>
        <w:bidi w:val="0"/>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2.评委依据采购文件载明的方法评分，评分四舍五入精确到小数点后两位。</w:t>
      </w:r>
    </w:p>
    <w:p w14:paraId="69898ED5">
      <w:pPr>
        <w:pageBreakBefore w:val="0"/>
        <w:kinsoku/>
        <w:bidi w:val="0"/>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3.政府采购政策功能的落实：本项目专门面向中小微企业</w:t>
      </w:r>
      <w:r>
        <w:rPr>
          <w:rFonts w:hint="eastAsia" w:ascii="宋体" w:hAnsi="宋体" w:cs="宋体"/>
          <w:b/>
          <w:bCs/>
          <w:szCs w:val="21"/>
          <w:highlight w:val="none"/>
          <w:lang w:eastAsia="zh-CN"/>
        </w:rPr>
        <w:t>，</w:t>
      </w:r>
      <w:r>
        <w:rPr>
          <w:rFonts w:hint="eastAsia" w:ascii="宋体" w:hAnsi="宋体" w:cs="宋体"/>
          <w:b/>
          <w:bCs/>
          <w:szCs w:val="21"/>
          <w:highlight w:val="none"/>
          <w:lang w:val="en-US" w:eastAsia="zh-CN"/>
        </w:rPr>
        <w:t>不</w:t>
      </w:r>
      <w:r>
        <w:rPr>
          <w:rFonts w:hint="eastAsia" w:ascii="宋体" w:hAnsi="宋体" w:cs="宋体"/>
          <w:b/>
          <w:bCs/>
          <w:szCs w:val="21"/>
          <w:highlight w:val="none"/>
        </w:rPr>
        <w:t>对小型和微型企业提供的服务（产品）</w:t>
      </w:r>
      <w:r>
        <w:rPr>
          <w:rFonts w:hint="eastAsia" w:ascii="宋体" w:hAnsi="宋体" w:cs="宋体"/>
          <w:b/>
          <w:bCs/>
          <w:szCs w:val="21"/>
          <w:highlight w:val="none"/>
          <w:lang w:val="en-US" w:eastAsia="zh-CN"/>
        </w:rPr>
        <w:t>给予</w:t>
      </w:r>
      <w:r>
        <w:rPr>
          <w:rFonts w:hint="eastAsia" w:ascii="宋体" w:hAnsi="宋体" w:cs="宋体"/>
          <w:b/>
          <w:bCs/>
          <w:szCs w:val="21"/>
          <w:highlight w:val="none"/>
        </w:rPr>
        <w:t>价格扣除。供应商应在响应文件中提交《中小企业声明函》。</w:t>
      </w:r>
    </w:p>
    <w:p w14:paraId="5D397C7C">
      <w:pPr>
        <w:pageBreakBefore w:val="0"/>
        <w:kinsoku/>
        <w:bidi w:val="0"/>
        <w:spacing w:line="360" w:lineRule="auto"/>
        <w:ind w:firstLine="482"/>
        <w:rPr>
          <w:rFonts w:hint="eastAsia" w:ascii="宋体" w:hAnsi="宋体" w:cs="宋体"/>
          <w:b/>
          <w:szCs w:val="21"/>
          <w:highlight w:val="none"/>
        </w:rPr>
      </w:pPr>
      <w:r>
        <w:rPr>
          <w:rFonts w:hint="eastAsia" w:ascii="宋体" w:hAnsi="宋体" w:cs="宋体"/>
          <w:b/>
          <w:szCs w:val="21"/>
          <w:highlight w:val="none"/>
        </w:rPr>
        <w:t>六、成交供应商的确定</w:t>
      </w:r>
    </w:p>
    <w:p w14:paraId="01698B99">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磋商小组汇总各评委评分后，按照得分从高到低的顺序推荐3名成交候选人，并编写评审报告。</w:t>
      </w:r>
    </w:p>
    <w:p w14:paraId="491D2B4C">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采购人委托磋商小组直接确定排名第一的成交候选人为成交供应商。</w:t>
      </w:r>
    </w:p>
    <w:p w14:paraId="7F12DDB8">
      <w:pPr>
        <w:pageBreakBefore w:val="0"/>
        <w:kinsoku/>
        <w:bidi w:val="0"/>
        <w:spacing w:line="360" w:lineRule="auto"/>
        <w:ind w:firstLine="482"/>
        <w:rPr>
          <w:rFonts w:hint="eastAsia" w:ascii="宋体" w:hAnsi="宋体" w:cs="宋体"/>
          <w:b/>
          <w:szCs w:val="21"/>
          <w:highlight w:val="none"/>
        </w:rPr>
      </w:pPr>
      <w:r>
        <w:rPr>
          <w:rFonts w:hint="eastAsia" w:ascii="宋体" w:hAnsi="宋体" w:cs="宋体"/>
          <w:b/>
          <w:szCs w:val="21"/>
          <w:highlight w:val="none"/>
        </w:rPr>
        <w:t>当成交商无正当理由放弃成交，被查实存在影响成交结果的违法行为等情形，采购人有权按照政府采购相关法律法规的规定对其采取惩戒措施，包含但不限于列入采购失信人黑名单等措施。</w:t>
      </w:r>
    </w:p>
    <w:p w14:paraId="11D0E2B8">
      <w:pPr>
        <w:pageBreakBefore w:val="0"/>
        <w:kinsoku/>
        <w:bidi w:val="0"/>
        <w:spacing w:line="360" w:lineRule="auto"/>
        <w:ind w:firstLine="482"/>
        <w:rPr>
          <w:rFonts w:hint="eastAsia" w:ascii="宋体" w:hAnsi="宋体" w:cs="宋体"/>
          <w:b/>
          <w:szCs w:val="21"/>
          <w:highlight w:val="none"/>
        </w:rPr>
      </w:pPr>
      <w:r>
        <w:rPr>
          <w:rFonts w:hint="eastAsia" w:ascii="宋体" w:hAnsi="宋体" w:cs="宋体"/>
          <w:b/>
          <w:szCs w:val="21"/>
          <w:highlight w:val="none"/>
        </w:rPr>
        <w:t>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p>
    <w:p w14:paraId="15965E86">
      <w:pPr>
        <w:pageBreakBefore w:val="0"/>
        <w:kinsoku/>
        <w:bidi w:val="0"/>
        <w:spacing w:line="360" w:lineRule="auto"/>
        <w:ind w:firstLine="482"/>
        <w:rPr>
          <w:rFonts w:hint="eastAsia" w:ascii="宋体" w:hAnsi="宋体" w:cs="宋体"/>
          <w:b/>
          <w:szCs w:val="21"/>
          <w:highlight w:val="none"/>
        </w:rPr>
      </w:pPr>
      <w:r>
        <w:rPr>
          <w:rFonts w:hint="eastAsia" w:ascii="宋体" w:hAnsi="宋体" w:cs="宋体"/>
          <w:b/>
          <w:szCs w:val="21"/>
          <w:highlight w:val="none"/>
        </w:rPr>
        <w:t>七、公告成交结果及发放成交通知书</w:t>
      </w:r>
    </w:p>
    <w:p w14:paraId="44B4FE91">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1.自确定成交供应商之日起2个工作日内，在江苏政府采购网公告成交结果，公告期限为1个工作日。</w:t>
      </w:r>
    </w:p>
    <w:p w14:paraId="6E96C9E1">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2.公告成交结果的同时，采购代理机构向成交供应商发放成交通知书。成交通知书发出后，采购人不得违法改变成交结果，成交供应商无正当理由不得放弃成交。</w:t>
      </w:r>
    </w:p>
    <w:p w14:paraId="29CBA856">
      <w:pPr>
        <w:pageBreakBefore w:val="0"/>
        <w:tabs>
          <w:tab w:val="left" w:pos="360"/>
          <w:tab w:val="left" w:pos="1080"/>
        </w:tabs>
        <w:kinsoku/>
        <w:bidi w:val="0"/>
        <w:spacing w:line="360" w:lineRule="auto"/>
        <w:ind w:firstLine="883" w:firstLineChars="200"/>
        <w:rPr>
          <w:rFonts w:hint="eastAsia" w:ascii="宋体" w:hAnsi="宋体" w:cs="宋体"/>
          <w:b/>
          <w:bCs/>
          <w:szCs w:val="21"/>
          <w:highlight w:val="none"/>
        </w:rPr>
      </w:pPr>
      <w:r>
        <w:rPr>
          <w:rFonts w:hint="eastAsia"/>
          <w:b/>
          <w:sz w:val="44"/>
          <w:szCs w:val="44"/>
          <w:highlight w:val="none"/>
        </w:rPr>
        <w:br w:type="page" w:clear="all"/>
      </w:r>
    </w:p>
    <w:p w14:paraId="0505BECB">
      <w:pPr>
        <w:pStyle w:val="18"/>
        <w:pageBreakBefore w:val="0"/>
        <w:kinsoku/>
        <w:bidi w:val="0"/>
        <w:spacing w:line="360" w:lineRule="auto"/>
        <w:rPr>
          <w:rFonts w:hint="eastAsia" w:ascii="宋体" w:hAnsi="宋体"/>
          <w:bCs w:val="0"/>
          <w:sz w:val="21"/>
          <w:szCs w:val="21"/>
          <w:highlight w:val="none"/>
        </w:rPr>
      </w:pPr>
      <w:bookmarkStart w:id="67" w:name="_Toc107246273"/>
      <w:r>
        <w:rPr>
          <w:rFonts w:hint="eastAsia" w:ascii="宋体" w:hAnsi="宋体"/>
          <w:bCs w:val="0"/>
          <w:sz w:val="21"/>
          <w:szCs w:val="21"/>
          <w:highlight w:val="none"/>
        </w:rPr>
        <w:t>第六章 响应文件格式</w:t>
      </w:r>
      <w:bookmarkEnd w:id="67"/>
    </w:p>
    <w:p w14:paraId="4875132A">
      <w:pPr>
        <w:pageBreakBefore w:val="0"/>
        <w:kinsoku/>
        <w:bidi w:val="0"/>
        <w:spacing w:line="360" w:lineRule="auto"/>
        <w:rPr>
          <w:rFonts w:ascii="Microsoft New Tai Lue" w:hAnsi="Microsoft New Tai Lue" w:cs="Microsoft New Tai Lue"/>
          <w:b/>
          <w:bCs/>
          <w:highlight w:val="none"/>
        </w:rPr>
      </w:pPr>
    </w:p>
    <w:p w14:paraId="4E6D0C8C">
      <w:pPr>
        <w:pageBreakBefore w:val="0"/>
        <w:kinsoku/>
        <w:bidi w:val="0"/>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一、资格审查文件</w:t>
      </w:r>
    </w:p>
    <w:p w14:paraId="48872BFA">
      <w:pPr>
        <w:pageBreakBefore w:val="0"/>
        <w:kinsoku/>
        <w:bidi w:val="0"/>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1.法定代表人身份证明书及法定代表人身份证复印件；</w:t>
      </w:r>
    </w:p>
    <w:p w14:paraId="04AEFCDA">
      <w:pPr>
        <w:pageBreakBefore w:val="0"/>
        <w:kinsoku/>
        <w:bidi w:val="0"/>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2.法定代表人授权委托书及授权委托人身份证复印件（如有）；</w:t>
      </w:r>
    </w:p>
    <w:p w14:paraId="4826E14E">
      <w:pPr>
        <w:pageBreakBefore w:val="0"/>
        <w:kinsoku/>
        <w:bidi w:val="0"/>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3.响应人营业执照复印件；</w:t>
      </w:r>
    </w:p>
    <w:p w14:paraId="169E4A53">
      <w:pPr>
        <w:pageBreakBefore w:val="0"/>
        <w:kinsoku/>
        <w:bidi w:val="0"/>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4.供应商</w:t>
      </w:r>
      <w:r>
        <w:rPr>
          <w:rFonts w:hint="eastAsia" w:ascii="宋体" w:hAnsi="宋体" w:cs="宋体"/>
          <w:szCs w:val="21"/>
          <w:highlight w:val="none"/>
          <w:u w:val="single"/>
          <w:lang w:val="en-US" w:eastAsia="zh-CN"/>
        </w:rPr>
        <w:t>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r>
        <w:rPr>
          <w:rFonts w:hint="eastAsia" w:ascii="宋体" w:hAnsi="宋体" w:cs="宋体"/>
          <w:szCs w:val="21"/>
          <w:highlight w:val="none"/>
          <w:u w:val="single"/>
        </w:rPr>
        <w:t xml:space="preserve"> </w:t>
      </w:r>
    </w:p>
    <w:p w14:paraId="51961596">
      <w:pPr>
        <w:pageBreakBefore w:val="0"/>
        <w:kinsoku/>
        <w:bidi w:val="0"/>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 xml:space="preserve">5.供应商2026年1月（含）至开标当日任一月份依法缴纳税收（依法缴纳税收材料是指：税务部门出具的税收证明或完税凭证或银行出具的税收缴款证明）的相关材料复印件，如依法免税或不需要纳税的，则应提供相应证明材料复印件； </w:t>
      </w:r>
    </w:p>
    <w:p w14:paraId="5351A243">
      <w:pPr>
        <w:pageBreakBefore w:val="0"/>
        <w:kinsoku/>
        <w:bidi w:val="0"/>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6.提供供应商</w:t>
      </w:r>
      <w:r>
        <w:rPr>
          <w:rFonts w:hint="eastAsia" w:ascii="宋体" w:hAnsi="宋体" w:cs="宋体"/>
          <w:szCs w:val="21"/>
          <w:highlight w:val="none"/>
          <w:u w:val="single"/>
          <w:lang w:eastAsia="zh-CN"/>
        </w:rPr>
        <w:t>2026年1月（含）至开标当日任一月份</w:t>
      </w:r>
      <w:r>
        <w:rPr>
          <w:rFonts w:hint="eastAsia" w:ascii="宋体" w:hAnsi="宋体" w:cs="宋体"/>
          <w:szCs w:val="21"/>
          <w:highlight w:val="none"/>
          <w:u w:val="single"/>
          <w:lang w:val="en-US" w:eastAsia="zh-CN"/>
        </w:rPr>
        <w:t>的依法缴纳社会保障资金的相关材料复印件（社会保障资金材料是指：人社部门或税务机关或银行出具的缴纳社保的凭证），如依法不需要缴纳社会保障资金的，则应提供相应证明材料复印件；</w:t>
      </w:r>
    </w:p>
    <w:p w14:paraId="3F7BEFFF">
      <w:pPr>
        <w:pageBreakBefore w:val="0"/>
        <w:kinsoku/>
        <w:bidi w:val="0"/>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7.</w:t>
      </w:r>
      <w:r>
        <w:rPr>
          <w:rFonts w:hint="eastAsia" w:ascii="宋体" w:hAnsi="宋体" w:cs="宋体"/>
          <w:szCs w:val="21"/>
          <w:highlight w:val="none"/>
          <w:u w:val="single"/>
          <w:lang w:eastAsia="zh-CN"/>
        </w:rPr>
        <w:t>响应供应商</w:t>
      </w:r>
      <w:r>
        <w:rPr>
          <w:rFonts w:hint="eastAsia" w:ascii="宋体" w:hAnsi="宋体" w:cs="宋体"/>
          <w:szCs w:val="21"/>
          <w:highlight w:val="none"/>
          <w:u w:val="single"/>
        </w:rPr>
        <w:t>符合《中华人民共和国政府采购法》第二十二条规定条件</w:t>
      </w:r>
      <w:r>
        <w:rPr>
          <w:rFonts w:hint="eastAsia" w:ascii="宋体" w:hAnsi="宋体" w:cs="宋体"/>
          <w:szCs w:val="21"/>
          <w:highlight w:val="none"/>
          <w:u w:val="single"/>
          <w:lang w:val="en-US" w:eastAsia="zh-CN"/>
        </w:rPr>
        <w:t>的承诺函（供应商资格声明书）；</w:t>
      </w:r>
    </w:p>
    <w:p w14:paraId="10B2DAF0">
      <w:pPr>
        <w:pageBreakBefore w:val="0"/>
        <w:kinsoku/>
        <w:bidi w:val="0"/>
        <w:spacing w:line="360" w:lineRule="auto"/>
        <w:ind w:firstLine="480"/>
        <w:rPr>
          <w:rFonts w:hint="eastAsia" w:ascii="宋体" w:hAnsi="宋体" w:cs="宋体"/>
          <w:szCs w:val="21"/>
          <w:highlight w:val="none"/>
          <w:u w:val="single"/>
        </w:rPr>
      </w:pPr>
      <w:r>
        <w:rPr>
          <w:rFonts w:hint="eastAsia" w:ascii="宋体" w:hAnsi="宋体" w:cs="宋体"/>
          <w:szCs w:val="21"/>
          <w:highlight w:val="none"/>
          <w:u w:val="single"/>
        </w:rPr>
        <w:t>8.诚信承诺书；</w:t>
      </w:r>
    </w:p>
    <w:p w14:paraId="3885DFBC">
      <w:pPr>
        <w:pageBreakBefore w:val="0"/>
        <w:kinsoku/>
        <w:bidi w:val="0"/>
        <w:spacing w:line="360" w:lineRule="auto"/>
        <w:ind w:firstLine="480"/>
        <w:rPr>
          <w:rFonts w:hint="eastAsia" w:ascii="宋体" w:hAnsi="宋体" w:cs="宋体"/>
          <w:bCs/>
          <w:szCs w:val="21"/>
          <w:highlight w:val="none"/>
          <w:u w:val="single"/>
        </w:rPr>
      </w:pPr>
      <w:r>
        <w:rPr>
          <w:rFonts w:hint="eastAsia" w:ascii="宋体" w:hAnsi="宋体" w:cs="宋体"/>
          <w:szCs w:val="21"/>
          <w:highlight w:val="none"/>
          <w:u w:val="single"/>
        </w:rPr>
        <w:t>9</w:t>
      </w:r>
      <w:r>
        <w:rPr>
          <w:rFonts w:hint="eastAsia" w:ascii="宋体" w:hAnsi="宋体" w:cs="宋体"/>
          <w:bCs/>
          <w:szCs w:val="21"/>
          <w:highlight w:val="none"/>
          <w:u w:val="single"/>
        </w:rPr>
        <w:t>.</w:t>
      </w:r>
      <w:r>
        <w:rPr>
          <w:rFonts w:hint="eastAsia" w:ascii="宋体" w:hAnsi="宋体" w:cs="宋体"/>
          <w:bCs/>
          <w:szCs w:val="21"/>
          <w:highlight w:val="none"/>
          <w:u w:val="single"/>
          <w:lang w:val="en-US" w:eastAsia="zh-CN"/>
        </w:rPr>
        <w:t>“信用中国”“中国政府采购网”</w:t>
      </w:r>
      <w:r>
        <w:rPr>
          <w:rFonts w:hint="eastAsia" w:ascii="宋体" w:hAnsi="宋体" w:cs="宋体"/>
          <w:bCs/>
          <w:szCs w:val="21"/>
          <w:highlight w:val="none"/>
          <w:u w:val="single"/>
        </w:rPr>
        <w:t>供应商未被列入失信被执行人名单、政府采购严重违法失信行为记录名单网站查询证明材料；</w:t>
      </w:r>
    </w:p>
    <w:p w14:paraId="02E51222">
      <w:pPr>
        <w:pageBreakBefore w:val="0"/>
        <w:kinsoku/>
        <w:bidi w:val="0"/>
        <w:spacing w:line="360" w:lineRule="auto"/>
        <w:ind w:firstLine="480"/>
        <w:rPr>
          <w:rFonts w:hint="eastAsia" w:ascii="宋体" w:hAnsi="宋体" w:cs="宋体"/>
          <w:szCs w:val="21"/>
          <w:highlight w:val="none"/>
          <w:u w:val="single"/>
        </w:rPr>
      </w:pPr>
      <w:r>
        <w:rPr>
          <w:rFonts w:hint="eastAsia" w:ascii="宋体" w:hAnsi="宋体" w:cs="宋体"/>
          <w:bCs/>
          <w:szCs w:val="21"/>
          <w:highlight w:val="none"/>
          <w:u w:val="single"/>
        </w:rPr>
        <w:t>10.《中小企业声明函》或《残疾人福利性单位声明函》或监狱和戒毒企业证明材料。</w:t>
      </w:r>
    </w:p>
    <w:p w14:paraId="28F545DF">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注：上述1—10中任何一条不符合要求，则资格性审查不通过，按无效响应文件处理。</w:t>
      </w:r>
    </w:p>
    <w:p w14:paraId="6486333C">
      <w:pPr>
        <w:pStyle w:val="32"/>
        <w:pageBreakBefore w:val="0"/>
        <w:kinsoku/>
        <w:bidi w:val="0"/>
        <w:spacing w:line="360" w:lineRule="auto"/>
        <w:ind w:firstLine="480"/>
        <w:rPr>
          <w:rFonts w:hint="eastAsia" w:cs="宋体"/>
          <w:highlight w:val="none"/>
          <w:lang w:val="zh-CN" w:eastAsia="zh-CN"/>
        </w:rPr>
      </w:pPr>
      <w:r>
        <w:rPr>
          <w:rFonts w:hint="eastAsia" w:cs="宋体"/>
          <w:highlight w:val="none"/>
          <w:lang w:val="zh-CN" w:eastAsia="zh-CN"/>
        </w:rPr>
        <w:t>（</w:t>
      </w:r>
      <w:r>
        <w:rPr>
          <w:rFonts w:hint="eastAsia" w:cs="宋体"/>
          <w:highlight w:val="none"/>
          <w:lang w:eastAsia="zh-CN"/>
        </w:rPr>
        <w:t>磋商</w:t>
      </w:r>
      <w:r>
        <w:rPr>
          <w:rFonts w:hint="eastAsia" w:cs="宋体"/>
          <w:highlight w:val="none"/>
          <w:lang w:val="zh-CN" w:eastAsia="zh-CN"/>
        </w:rPr>
        <w:t>文件要求提供的</w:t>
      </w:r>
      <w:r>
        <w:rPr>
          <w:rFonts w:hint="eastAsia" w:cs="宋体"/>
          <w:b/>
          <w:bCs/>
          <w:highlight w:val="none"/>
          <w:lang w:val="zh-CN" w:eastAsia="zh-CN"/>
        </w:rPr>
        <w:t>资格审查证明材料</w:t>
      </w:r>
      <w:r>
        <w:rPr>
          <w:rFonts w:hint="eastAsia" w:cs="宋体"/>
          <w:highlight w:val="none"/>
          <w:lang w:val="zh-CN" w:eastAsia="zh-CN"/>
        </w:rPr>
        <w:t>中没有对应的接口上传的资料，可以在本部分的其他材料的接口中上传）</w:t>
      </w:r>
    </w:p>
    <w:p w14:paraId="0B68709F">
      <w:pPr>
        <w:pageBreakBefore w:val="0"/>
        <w:kinsoku/>
        <w:bidi w:val="0"/>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二、符合性审查文件</w:t>
      </w:r>
    </w:p>
    <w:p w14:paraId="40B545D9">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1.竞争性磋商响应函（格式参见第六章）；</w:t>
      </w:r>
    </w:p>
    <w:p w14:paraId="0545779E">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2.报价分析表（格式自拟）；</w:t>
      </w:r>
    </w:p>
    <w:p w14:paraId="550A9D72">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3.供应商情况表；</w:t>
      </w:r>
    </w:p>
    <w:p w14:paraId="13470F56">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4.技术商务条款响应正负偏离表（格式参见第六章）；</w:t>
      </w:r>
    </w:p>
    <w:p w14:paraId="2823FF74">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5.第四章项目需求中要求提供的材料（如有）；</w:t>
      </w:r>
    </w:p>
    <w:p w14:paraId="080BDB3D">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6.项目组成人员表；</w:t>
      </w:r>
    </w:p>
    <w:p w14:paraId="49E65B52">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7.供应商认为需要提交的其他资料。</w:t>
      </w:r>
    </w:p>
    <w:p w14:paraId="254A406B">
      <w:pPr>
        <w:pageBreakBefore w:val="0"/>
        <w:kinsoku/>
        <w:bidi w:val="0"/>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三、商务技术文件</w:t>
      </w:r>
    </w:p>
    <w:p w14:paraId="2C96045E">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1.评审办法中所涉及的事项需提供的所有资料；</w:t>
      </w:r>
    </w:p>
    <w:p w14:paraId="1232462B">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2.评审办法中未涉及的事项，供应商认为需要提交的其他资料。</w:t>
      </w:r>
    </w:p>
    <w:p w14:paraId="2DBAA60E">
      <w:pPr>
        <w:pageBreakBefore w:val="0"/>
        <w:kinsoku/>
        <w:bidi w:val="0"/>
        <w:spacing w:line="360" w:lineRule="auto"/>
        <w:ind w:firstLine="480"/>
        <w:rPr>
          <w:rFonts w:hint="eastAsia" w:ascii="宋体" w:hAnsi="宋体" w:cs="宋体"/>
          <w:bCs/>
          <w:szCs w:val="21"/>
          <w:highlight w:val="none"/>
        </w:rPr>
      </w:pPr>
      <w:r>
        <w:rPr>
          <w:rFonts w:hint="eastAsia" w:ascii="宋体" w:hAnsi="宋体" w:cs="宋体"/>
          <w:szCs w:val="21"/>
          <w:highlight w:val="none"/>
        </w:rPr>
        <w:t>注：为方便评委评审，请供应商按评审办法中所涉及的事项顺序进行编制，可以补充相关材料；</w:t>
      </w:r>
    </w:p>
    <w:p w14:paraId="6C813708">
      <w:pPr>
        <w:pageBreakBefore w:val="0"/>
        <w:kinsoku/>
        <w:bidi w:val="0"/>
        <w:spacing w:line="360" w:lineRule="auto"/>
        <w:ind w:firstLine="482"/>
        <w:rPr>
          <w:rFonts w:hint="eastAsia" w:ascii="宋体" w:hAnsi="宋体" w:cs="宋体"/>
          <w:b/>
          <w:bCs/>
          <w:szCs w:val="21"/>
          <w:highlight w:val="none"/>
        </w:rPr>
      </w:pPr>
      <w:r>
        <w:rPr>
          <w:rFonts w:hint="eastAsia" w:ascii="宋体" w:hAnsi="宋体" w:cs="宋体"/>
          <w:b/>
          <w:bCs/>
          <w:szCs w:val="21"/>
          <w:highlight w:val="none"/>
        </w:rPr>
        <w:t>四、报价响应文件</w:t>
      </w:r>
    </w:p>
    <w:p w14:paraId="342926D7">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1.磋商响应报价表（开标一览表）；</w:t>
      </w:r>
    </w:p>
    <w:p w14:paraId="29C3E68A">
      <w:pPr>
        <w:pageBreakBefore w:val="0"/>
        <w:kinsoku/>
        <w:bidi w:val="0"/>
        <w:spacing w:before="100" w:after="100" w:line="360" w:lineRule="auto"/>
        <w:ind w:firstLine="422" w:firstLineChars="200"/>
        <w:rPr>
          <w:rFonts w:hint="eastAsia" w:ascii="宋体" w:hAnsi="宋体" w:cs="宋体"/>
          <w:b/>
          <w:szCs w:val="21"/>
          <w:highlight w:val="none"/>
          <w:u w:val="single"/>
        </w:rPr>
      </w:pPr>
      <w:r>
        <w:rPr>
          <w:rFonts w:hint="eastAsia" w:ascii="宋体" w:hAnsi="宋体" w:cs="宋体"/>
          <w:b/>
          <w:szCs w:val="21"/>
          <w:highlight w:val="none"/>
          <w:u w:val="single"/>
        </w:rPr>
        <w:t>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p>
    <w:p w14:paraId="5B700D34">
      <w:pPr>
        <w:pageBreakBefore w:val="0"/>
        <w:kinsoku/>
        <w:bidi w:val="0"/>
        <w:spacing w:before="100" w:after="100" w:line="360" w:lineRule="auto"/>
        <w:rPr>
          <w:rFonts w:hint="eastAsia" w:ascii="宋体" w:hAnsi="宋体" w:cs="宋体"/>
          <w:b/>
          <w:szCs w:val="21"/>
          <w:highlight w:val="none"/>
        </w:rPr>
        <w:sectPr>
          <w:footerReference r:id="rId10" w:type="default"/>
          <w:pgSz w:w="11907" w:h="16840"/>
          <w:pgMar w:top="1134" w:right="1134" w:bottom="1134" w:left="1560" w:header="851" w:footer="851" w:gutter="0"/>
          <w:cols w:space="720" w:num="1"/>
          <w:docGrid w:linePitch="312" w:charSpace="0"/>
        </w:sectPr>
      </w:pPr>
    </w:p>
    <w:p w14:paraId="74B77242">
      <w:pPr>
        <w:pageBreakBefore w:val="0"/>
        <w:kinsoku/>
        <w:bidi w:val="0"/>
        <w:spacing w:before="100" w:after="100" w:line="360" w:lineRule="auto"/>
        <w:rPr>
          <w:rFonts w:hint="eastAsia" w:ascii="宋体" w:hAnsi="宋体" w:cs="宋体"/>
          <w:b/>
          <w:szCs w:val="21"/>
          <w:highlight w:val="none"/>
        </w:rPr>
      </w:pPr>
      <w:r>
        <w:rPr>
          <w:rFonts w:hint="eastAsia" w:ascii="宋体" w:hAnsi="宋体" w:cs="宋体"/>
          <w:b/>
          <w:szCs w:val="21"/>
          <w:highlight w:val="none"/>
        </w:rPr>
        <w:t>封面</w:t>
      </w:r>
    </w:p>
    <w:p w14:paraId="3CA73D2C">
      <w:pPr>
        <w:pageBreakBefore w:val="0"/>
        <w:kinsoku/>
        <w:bidi w:val="0"/>
        <w:spacing w:line="360" w:lineRule="auto"/>
        <w:jc w:val="center"/>
        <w:rPr>
          <w:rFonts w:ascii="Microsoft New Tai Lue" w:hAnsi="Microsoft New Tai Lue" w:cs="Microsoft New Tai Lue"/>
          <w:b/>
          <w:sz w:val="72"/>
          <w:szCs w:val="84"/>
          <w:highlight w:val="none"/>
        </w:rPr>
      </w:pPr>
    </w:p>
    <w:p w14:paraId="76E289BD">
      <w:pPr>
        <w:pageBreakBefore w:val="0"/>
        <w:kinsoku/>
        <w:bidi w:val="0"/>
        <w:spacing w:line="360" w:lineRule="auto"/>
        <w:jc w:val="center"/>
        <w:rPr>
          <w:rFonts w:hint="eastAsia" w:ascii="新宋体" w:hAnsi="新宋体" w:eastAsia="新宋体"/>
          <w:b/>
          <w:bCs/>
          <w:sz w:val="32"/>
          <w:szCs w:val="32"/>
          <w:highlight w:val="none"/>
          <w:lang w:eastAsia="zh-CN"/>
        </w:rPr>
      </w:pPr>
      <w:r>
        <w:rPr>
          <w:rFonts w:hint="eastAsia" w:ascii="新宋体" w:hAnsi="新宋体" w:eastAsia="新宋体"/>
          <w:b/>
          <w:bCs/>
          <w:sz w:val="32"/>
          <w:szCs w:val="32"/>
          <w:highlight w:val="none"/>
          <w:lang w:eastAsia="zh-CN"/>
        </w:rPr>
        <w:t>“中国医药城大健康产业论坛”策划执行服务项目</w:t>
      </w:r>
    </w:p>
    <w:p w14:paraId="6BCAFFCF">
      <w:pPr>
        <w:pStyle w:val="19"/>
        <w:pageBreakBefore w:val="0"/>
        <w:kinsoku/>
        <w:bidi w:val="0"/>
        <w:spacing w:line="360" w:lineRule="auto"/>
        <w:ind w:firstLine="643"/>
        <w:rPr>
          <w:rFonts w:hint="eastAsia" w:ascii="新宋体" w:hAnsi="新宋体" w:eastAsia="新宋体"/>
          <w:b/>
          <w:bCs/>
          <w:sz w:val="32"/>
          <w:szCs w:val="32"/>
          <w:highlight w:val="none"/>
        </w:rPr>
      </w:pPr>
    </w:p>
    <w:p w14:paraId="65C4949E">
      <w:pPr>
        <w:pStyle w:val="19"/>
        <w:pageBreakBefore w:val="0"/>
        <w:kinsoku/>
        <w:bidi w:val="0"/>
        <w:spacing w:line="360" w:lineRule="auto"/>
        <w:ind w:firstLine="643"/>
        <w:rPr>
          <w:rFonts w:hint="eastAsia" w:ascii="新宋体" w:hAnsi="新宋体" w:eastAsia="新宋体"/>
          <w:b/>
          <w:bCs/>
          <w:sz w:val="32"/>
          <w:szCs w:val="32"/>
          <w:highlight w:val="none"/>
        </w:rPr>
      </w:pPr>
    </w:p>
    <w:p w14:paraId="41866B4F">
      <w:pPr>
        <w:pStyle w:val="33"/>
        <w:pageBreakBefore w:val="0"/>
        <w:kinsoku/>
        <w:bidi w:val="0"/>
        <w:spacing w:line="360" w:lineRule="auto"/>
        <w:rPr>
          <w:highlight w:val="none"/>
        </w:rPr>
      </w:pPr>
    </w:p>
    <w:p w14:paraId="5CCF7D7B">
      <w:pPr>
        <w:pStyle w:val="12"/>
        <w:pageBreakBefore w:val="0"/>
        <w:kinsoku/>
        <w:bidi w:val="0"/>
        <w:spacing w:line="360" w:lineRule="auto"/>
        <w:jc w:val="center"/>
        <w:rPr>
          <w:rFonts w:ascii="Microsoft New Tai Lue" w:hAnsi="Microsoft New Tai Lue" w:cs="Microsoft New Tai Lue"/>
          <w:b/>
          <w:sz w:val="84"/>
          <w:szCs w:val="84"/>
          <w:highlight w:val="none"/>
        </w:rPr>
      </w:pPr>
      <w:bookmarkStart w:id="68" w:name="_Toc100905255"/>
      <w:r>
        <w:rPr>
          <w:rFonts w:hint="eastAsia" w:ascii="Microsoft New Tai Lue" w:hAnsi="Microsoft New Tai Lue" w:cs="Microsoft New Tai Lue"/>
          <w:b/>
          <w:sz w:val="84"/>
          <w:szCs w:val="84"/>
          <w:highlight w:val="none"/>
        </w:rPr>
        <w:t>响</w:t>
      </w:r>
      <w:r>
        <w:rPr>
          <w:rFonts w:ascii="Microsoft New Tai Lue" w:hAnsi="Microsoft New Tai Lue" w:cs="Microsoft New Tai Lue"/>
          <w:b/>
          <w:sz w:val="84"/>
          <w:szCs w:val="84"/>
          <w:highlight w:val="none"/>
        </w:rPr>
        <w:t xml:space="preserve"> </w:t>
      </w:r>
      <w:r>
        <w:rPr>
          <w:rFonts w:hint="eastAsia" w:ascii="Microsoft New Tai Lue" w:hAnsi="Microsoft New Tai Lue" w:cs="Microsoft New Tai Lue"/>
          <w:b/>
          <w:sz w:val="84"/>
          <w:szCs w:val="84"/>
          <w:highlight w:val="none"/>
        </w:rPr>
        <w:t xml:space="preserve"> 应</w:t>
      </w:r>
      <w:r>
        <w:rPr>
          <w:rFonts w:ascii="Microsoft New Tai Lue" w:hAnsi="Microsoft New Tai Lue" w:cs="Microsoft New Tai Lue"/>
          <w:b/>
          <w:sz w:val="84"/>
          <w:szCs w:val="84"/>
          <w:highlight w:val="none"/>
        </w:rPr>
        <w:t xml:space="preserve"> 文 件</w:t>
      </w:r>
      <w:bookmarkEnd w:id="68"/>
    </w:p>
    <w:p w14:paraId="1F0DB1F9">
      <w:pPr>
        <w:pageBreakBefore w:val="0"/>
        <w:kinsoku/>
        <w:bidi w:val="0"/>
        <w:spacing w:line="360" w:lineRule="auto"/>
        <w:ind w:right="640"/>
        <w:jc w:val="center"/>
        <w:rPr>
          <w:rFonts w:ascii="Microsoft New Tai Lue" w:hAnsi="Microsoft New Tai Lue" w:cs="Microsoft New Tai Lue"/>
          <w:b/>
          <w:sz w:val="44"/>
          <w:szCs w:val="44"/>
          <w:highlight w:val="none"/>
        </w:rPr>
      </w:pPr>
    </w:p>
    <w:p w14:paraId="6B717293">
      <w:pPr>
        <w:pageBreakBefore w:val="0"/>
        <w:kinsoku/>
        <w:bidi w:val="0"/>
        <w:spacing w:line="360" w:lineRule="auto"/>
        <w:ind w:right="640" w:firstLine="2209" w:firstLineChars="500"/>
        <w:rPr>
          <w:rFonts w:ascii="Microsoft New Tai Lue" w:hAnsi="Microsoft New Tai Lue" w:cs="Microsoft New Tai Lue"/>
          <w:b/>
          <w:sz w:val="44"/>
          <w:szCs w:val="44"/>
          <w:highlight w:val="none"/>
        </w:rPr>
      </w:pPr>
      <w:r>
        <w:rPr>
          <w:rFonts w:ascii="Microsoft New Tai Lue" w:hAnsi="Microsoft New Tai Lue" w:cs="Microsoft New Tai Lue"/>
          <w:b/>
          <w:sz w:val="44"/>
          <w:szCs w:val="44"/>
          <w:highlight w:val="none"/>
        </w:rPr>
        <w:t>项目编号：</w:t>
      </w:r>
    </w:p>
    <w:p w14:paraId="7A45586D">
      <w:pPr>
        <w:pStyle w:val="12"/>
        <w:pageBreakBefore w:val="0"/>
        <w:kinsoku/>
        <w:bidi w:val="0"/>
        <w:spacing w:line="360" w:lineRule="auto"/>
        <w:rPr>
          <w:rFonts w:ascii="Microsoft New Tai Lue" w:hAnsi="Microsoft New Tai Lue" w:cs="Microsoft New Tai Lue"/>
          <w:sz w:val="28"/>
          <w:szCs w:val="28"/>
          <w:highlight w:val="none"/>
        </w:rPr>
      </w:pPr>
    </w:p>
    <w:p w14:paraId="515E4482">
      <w:pPr>
        <w:pStyle w:val="12"/>
        <w:pageBreakBefore w:val="0"/>
        <w:kinsoku/>
        <w:bidi w:val="0"/>
        <w:spacing w:line="360" w:lineRule="auto"/>
        <w:rPr>
          <w:rFonts w:ascii="Microsoft New Tai Lue" w:hAnsi="Microsoft New Tai Lue" w:cs="Microsoft New Tai Lue"/>
          <w:sz w:val="28"/>
          <w:szCs w:val="28"/>
          <w:highlight w:val="none"/>
        </w:rPr>
      </w:pPr>
    </w:p>
    <w:p w14:paraId="28771342">
      <w:pPr>
        <w:pStyle w:val="12"/>
        <w:pageBreakBefore w:val="0"/>
        <w:kinsoku/>
        <w:bidi w:val="0"/>
        <w:spacing w:line="360" w:lineRule="auto"/>
        <w:rPr>
          <w:rFonts w:ascii="Microsoft New Tai Lue" w:hAnsi="Microsoft New Tai Lue" w:cs="Microsoft New Tai Lue"/>
          <w:sz w:val="28"/>
          <w:szCs w:val="28"/>
          <w:highlight w:val="none"/>
        </w:rPr>
      </w:pPr>
    </w:p>
    <w:p w14:paraId="7B2A9142">
      <w:pPr>
        <w:pStyle w:val="12"/>
        <w:pageBreakBefore w:val="0"/>
        <w:kinsoku/>
        <w:bidi w:val="0"/>
        <w:spacing w:line="360" w:lineRule="auto"/>
        <w:rPr>
          <w:rFonts w:ascii="Microsoft New Tai Lue" w:hAnsi="Microsoft New Tai Lue" w:cs="Microsoft New Tai Lue"/>
          <w:sz w:val="28"/>
          <w:szCs w:val="28"/>
          <w:highlight w:val="none"/>
        </w:rPr>
      </w:pPr>
    </w:p>
    <w:p w14:paraId="2B13795A">
      <w:pPr>
        <w:pStyle w:val="12"/>
        <w:pageBreakBefore w:val="0"/>
        <w:kinsoku/>
        <w:bidi w:val="0"/>
        <w:spacing w:line="360" w:lineRule="auto"/>
        <w:jc w:val="center"/>
        <w:rPr>
          <w:rFonts w:ascii="Microsoft New Tai Lue" w:hAnsi="Microsoft New Tai Lue" w:cs="Microsoft New Tai Lue"/>
          <w:b/>
          <w:sz w:val="32"/>
          <w:szCs w:val="32"/>
          <w:highlight w:val="none"/>
        </w:rPr>
      </w:pPr>
      <w:r>
        <w:rPr>
          <w:rFonts w:hint="eastAsia" w:ascii="Microsoft New Tai Lue" w:hAnsi="Microsoft New Tai Lue" w:cs="Microsoft New Tai Lue"/>
          <w:b/>
          <w:sz w:val="32"/>
          <w:szCs w:val="24"/>
          <w:highlight w:val="none"/>
          <w:lang w:eastAsia="zh-CN"/>
        </w:rPr>
        <w:t>响应供应商</w:t>
      </w:r>
      <w:r>
        <w:rPr>
          <w:rFonts w:ascii="Microsoft New Tai Lue" w:hAnsi="Microsoft New Tai Lue" w:cs="Microsoft New Tai Lue"/>
          <w:b/>
          <w:sz w:val="32"/>
          <w:szCs w:val="24"/>
          <w:highlight w:val="none"/>
        </w:rPr>
        <w:t>名称：</w:t>
      </w:r>
      <w:r>
        <w:rPr>
          <w:rFonts w:ascii="Microsoft New Tai Lue" w:hAnsi="Microsoft New Tai Lue" w:cs="Microsoft New Tai Lue"/>
          <w:b/>
          <w:sz w:val="32"/>
          <w:szCs w:val="32"/>
          <w:highlight w:val="none"/>
        </w:rPr>
        <w:t>_____________________</w:t>
      </w:r>
    </w:p>
    <w:p w14:paraId="25234C96">
      <w:pPr>
        <w:pStyle w:val="12"/>
        <w:pageBreakBefore w:val="0"/>
        <w:kinsoku/>
        <w:bidi w:val="0"/>
        <w:spacing w:line="360" w:lineRule="auto"/>
        <w:jc w:val="center"/>
        <w:rPr>
          <w:rFonts w:ascii="Microsoft New Tai Lue" w:hAnsi="Microsoft New Tai Lue" w:cs="Microsoft New Tai Lue"/>
          <w:b/>
          <w:sz w:val="32"/>
          <w:szCs w:val="32"/>
          <w:highlight w:val="none"/>
        </w:rPr>
      </w:pPr>
      <w:r>
        <w:rPr>
          <w:rFonts w:ascii="Microsoft New Tai Lue" w:hAnsi="Microsoft New Tai Lue" w:cs="Microsoft New Tai Lue"/>
          <w:b/>
          <w:sz w:val="32"/>
          <w:szCs w:val="32"/>
          <w:highlight w:val="none"/>
        </w:rPr>
        <w:t>地址：_____________________</w:t>
      </w:r>
    </w:p>
    <w:p w14:paraId="563DD6A1">
      <w:pPr>
        <w:pageBreakBefore w:val="0"/>
        <w:kinsoku/>
        <w:bidi w:val="0"/>
        <w:spacing w:line="360" w:lineRule="auto"/>
        <w:jc w:val="center"/>
        <w:rPr>
          <w:rFonts w:ascii="Microsoft New Tai Lue" w:hAnsi="Microsoft New Tai Lue" w:cs="Microsoft New Tai Lue"/>
          <w:b/>
          <w:sz w:val="32"/>
          <w:highlight w:val="none"/>
        </w:rPr>
      </w:pPr>
      <w:r>
        <w:rPr>
          <w:rFonts w:hint="eastAsia" w:ascii="Microsoft New Tai Lue" w:hAnsi="Microsoft New Tai Lue" w:cs="Microsoft New Tai Lue"/>
          <w:b/>
          <w:sz w:val="32"/>
          <w:highlight w:val="none"/>
        </w:rPr>
        <w:t>二〇二</w:t>
      </w:r>
      <w:r>
        <w:rPr>
          <w:rFonts w:hint="eastAsia" w:ascii="Microsoft New Tai Lue" w:hAnsi="Microsoft New Tai Lue" w:cs="Microsoft New Tai Lue"/>
          <w:b/>
          <w:sz w:val="32"/>
          <w:highlight w:val="none"/>
          <w:lang w:val="en-US" w:eastAsia="zh-CN"/>
        </w:rPr>
        <w:t>六</w:t>
      </w:r>
      <w:r>
        <w:rPr>
          <w:rFonts w:ascii="Microsoft New Tai Lue" w:hAnsi="Microsoft New Tai Lue" w:cs="Microsoft New Tai Lue"/>
          <w:b/>
          <w:sz w:val="32"/>
          <w:highlight w:val="none"/>
        </w:rPr>
        <w:t>年  月  日</w:t>
      </w:r>
    </w:p>
    <w:p w14:paraId="1D5FCAE9">
      <w:pPr>
        <w:pageBreakBefore w:val="0"/>
        <w:kinsoku/>
        <w:bidi w:val="0"/>
        <w:spacing w:line="360" w:lineRule="auto"/>
        <w:rPr>
          <w:rFonts w:ascii="Microsoft New Tai Lue" w:hAnsi="Microsoft New Tai Lue" w:cs="Microsoft New Tai Lue"/>
          <w:b/>
          <w:highlight w:val="none"/>
        </w:rPr>
      </w:pPr>
      <w:r>
        <w:rPr>
          <w:rFonts w:ascii="Microsoft New Tai Lue" w:hAnsi="Microsoft New Tai Lue" w:cs="Microsoft New Tai Lue"/>
          <w:b/>
          <w:highlight w:val="none"/>
        </w:rPr>
        <w:br w:type="page"/>
      </w:r>
      <w:bookmarkEnd w:id="62"/>
      <w:bookmarkEnd w:id="63"/>
      <w:bookmarkEnd w:id="64"/>
      <w:bookmarkStart w:id="69" w:name="_Toc456102499"/>
      <w:bookmarkStart w:id="70" w:name="_Toc456102676"/>
      <w:bookmarkStart w:id="71" w:name="_Toc456102122"/>
      <w:bookmarkStart w:id="72" w:name="_Toc337816640"/>
    </w:p>
    <w:p w14:paraId="7EF8201C">
      <w:pPr>
        <w:pageBreakBefore w:val="0"/>
        <w:kinsoku/>
        <w:bidi w:val="0"/>
        <w:spacing w:line="360" w:lineRule="auto"/>
        <w:rPr>
          <w:rFonts w:hint="eastAsia" w:ascii="宋体" w:hAnsi="宋体"/>
          <w:b/>
          <w:bCs/>
          <w:szCs w:val="21"/>
          <w:highlight w:val="none"/>
        </w:rPr>
      </w:pPr>
      <w:r>
        <w:rPr>
          <w:rFonts w:hint="eastAsia" w:ascii="宋体" w:hAnsi="宋体"/>
          <w:b/>
          <w:bCs/>
          <w:szCs w:val="21"/>
          <w:highlight w:val="none"/>
        </w:rPr>
        <w:t>附件：</w:t>
      </w:r>
    </w:p>
    <w:p w14:paraId="0FF4DFB7">
      <w:pPr>
        <w:pageBreakBefore w:val="0"/>
        <w:kinsoku/>
        <w:bidi w:val="0"/>
        <w:spacing w:line="360" w:lineRule="auto"/>
        <w:jc w:val="center"/>
        <w:outlineLvl w:val="4"/>
        <w:rPr>
          <w:rFonts w:hint="eastAsia" w:ascii="宋体" w:hAnsi="宋体" w:cs="宋体"/>
          <w:b/>
          <w:bCs/>
          <w:szCs w:val="21"/>
          <w:highlight w:val="none"/>
        </w:rPr>
      </w:pPr>
      <w:r>
        <w:rPr>
          <w:rFonts w:hint="eastAsia" w:ascii="宋体" w:hAnsi="宋体" w:cs="宋体"/>
          <w:b/>
          <w:bCs/>
          <w:szCs w:val="21"/>
          <w:highlight w:val="none"/>
        </w:rPr>
        <w:t>1.法定代表人身份证明</w:t>
      </w:r>
    </w:p>
    <w:p w14:paraId="4037279A">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单位名称：</w:t>
      </w:r>
      <w:r>
        <w:rPr>
          <w:rFonts w:hint="eastAsia" w:ascii="宋体" w:hAnsi="宋体" w:cs="宋体"/>
          <w:szCs w:val="21"/>
          <w:highlight w:val="none"/>
          <w:u w:val="single"/>
        </w:rPr>
        <w:t xml:space="preserve">                                         </w:t>
      </w:r>
    </w:p>
    <w:p w14:paraId="1EF71AA9">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单位性质：</w:t>
      </w:r>
      <w:r>
        <w:rPr>
          <w:rFonts w:hint="eastAsia" w:ascii="宋体" w:hAnsi="宋体" w:cs="宋体"/>
          <w:szCs w:val="21"/>
          <w:highlight w:val="none"/>
          <w:u w:val="single"/>
        </w:rPr>
        <w:t xml:space="preserve">                                         </w:t>
      </w:r>
    </w:p>
    <w:p w14:paraId="08C68576">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地    址：</w:t>
      </w:r>
      <w:r>
        <w:rPr>
          <w:rFonts w:hint="eastAsia" w:ascii="宋体" w:hAnsi="宋体" w:cs="宋体"/>
          <w:szCs w:val="21"/>
          <w:highlight w:val="none"/>
          <w:u w:val="single"/>
        </w:rPr>
        <w:t xml:space="preserve">                                          </w:t>
      </w:r>
    </w:p>
    <w:p w14:paraId="42FABEF5">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成立时间：</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287C9499">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经营期限：</w:t>
      </w:r>
      <w:r>
        <w:rPr>
          <w:rFonts w:hint="eastAsia" w:ascii="宋体" w:hAnsi="宋体" w:cs="宋体"/>
          <w:szCs w:val="21"/>
          <w:highlight w:val="none"/>
          <w:u w:val="single"/>
        </w:rPr>
        <w:t xml:space="preserve">                                  </w:t>
      </w:r>
    </w:p>
    <w:p w14:paraId="4E5D7205">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姓    名：</w:t>
      </w:r>
      <w:r>
        <w:rPr>
          <w:rFonts w:hint="eastAsia" w:ascii="宋体" w:hAnsi="宋体" w:cs="宋体"/>
          <w:szCs w:val="21"/>
          <w:highlight w:val="none"/>
          <w:u w:val="single"/>
        </w:rPr>
        <w:t xml:space="preserve">             </w:t>
      </w:r>
      <w:r>
        <w:rPr>
          <w:rFonts w:hint="eastAsia" w:ascii="宋体" w:hAnsi="宋体" w:cs="宋体"/>
          <w:szCs w:val="21"/>
          <w:highlight w:val="none"/>
        </w:rPr>
        <w:t>性别：</w:t>
      </w:r>
      <w:r>
        <w:rPr>
          <w:rFonts w:hint="eastAsia" w:ascii="宋体" w:hAnsi="宋体" w:cs="宋体"/>
          <w:szCs w:val="21"/>
          <w:highlight w:val="none"/>
          <w:u w:val="single"/>
        </w:rPr>
        <w:t xml:space="preserve">          </w:t>
      </w:r>
      <w:r>
        <w:rPr>
          <w:rFonts w:hint="eastAsia" w:ascii="宋体" w:hAnsi="宋体" w:cs="宋体"/>
          <w:szCs w:val="21"/>
          <w:highlight w:val="none"/>
        </w:rPr>
        <w:t>年龄：</w:t>
      </w:r>
      <w:r>
        <w:rPr>
          <w:rFonts w:hint="eastAsia" w:ascii="宋体" w:hAnsi="宋体" w:cs="宋体"/>
          <w:szCs w:val="21"/>
          <w:highlight w:val="none"/>
          <w:u w:val="single"/>
        </w:rPr>
        <w:t xml:space="preserve">            </w:t>
      </w:r>
      <w:r>
        <w:rPr>
          <w:rFonts w:hint="eastAsia" w:ascii="宋体" w:hAnsi="宋体" w:cs="宋体"/>
          <w:szCs w:val="21"/>
          <w:highlight w:val="none"/>
        </w:rPr>
        <w:t>职务：</w:t>
      </w:r>
      <w:r>
        <w:rPr>
          <w:rFonts w:hint="eastAsia" w:ascii="宋体" w:hAnsi="宋体" w:cs="宋体"/>
          <w:szCs w:val="21"/>
          <w:highlight w:val="none"/>
          <w:u w:val="single"/>
        </w:rPr>
        <w:t xml:space="preserve">               </w:t>
      </w:r>
      <w:r>
        <w:rPr>
          <w:rFonts w:hint="eastAsia" w:ascii="宋体" w:hAnsi="宋体" w:cs="宋体"/>
          <w:szCs w:val="21"/>
          <w:highlight w:val="none"/>
        </w:rPr>
        <w:t>手机（必填）：</w:t>
      </w:r>
      <w:r>
        <w:rPr>
          <w:rFonts w:hint="eastAsia" w:ascii="宋体" w:hAnsi="宋体" w:cs="宋体"/>
          <w:szCs w:val="21"/>
          <w:highlight w:val="none"/>
          <w:u w:val="single"/>
        </w:rPr>
        <w:t xml:space="preserve">                   </w:t>
      </w:r>
      <w:r>
        <w:rPr>
          <w:rFonts w:hint="eastAsia" w:ascii="宋体" w:hAnsi="宋体" w:cs="宋体"/>
          <w:szCs w:val="21"/>
          <w:highlight w:val="none"/>
        </w:rPr>
        <w:t>系：</w:t>
      </w:r>
      <w:r>
        <w:rPr>
          <w:rFonts w:hint="eastAsia" w:ascii="宋体" w:hAnsi="宋体" w:cs="宋体"/>
          <w:szCs w:val="21"/>
          <w:highlight w:val="none"/>
          <w:u w:val="single"/>
        </w:rPr>
        <w:t xml:space="preserve">     （响应供应商名称）            </w:t>
      </w:r>
      <w:r>
        <w:rPr>
          <w:rFonts w:hint="eastAsia" w:ascii="宋体" w:hAnsi="宋体" w:cs="宋体"/>
          <w:szCs w:val="21"/>
          <w:highlight w:val="none"/>
        </w:rPr>
        <w:t>的法定代表人。</w:t>
      </w:r>
    </w:p>
    <w:p w14:paraId="71EC0BBF">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特此证明</w:t>
      </w:r>
    </w:p>
    <w:p w14:paraId="078B87BD">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磋商响应人（盖法人章）：</w:t>
      </w:r>
      <w:r>
        <w:rPr>
          <w:rFonts w:hint="eastAsia" w:ascii="宋体" w:hAnsi="宋体" w:cs="宋体"/>
          <w:szCs w:val="21"/>
          <w:highlight w:val="none"/>
          <w:u w:val="single"/>
        </w:rPr>
        <w:t xml:space="preserve">                   </w:t>
      </w:r>
    </w:p>
    <w:p w14:paraId="0EE32020">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日   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3A542386">
      <w:pPr>
        <w:pageBreakBefore w:val="0"/>
        <w:kinsoku/>
        <w:bidi w:val="0"/>
        <w:spacing w:line="360" w:lineRule="auto"/>
        <w:ind w:firstLine="480"/>
        <w:rPr>
          <w:rFonts w:hint="eastAsia" w:ascii="宋体" w:hAnsi="宋体" w:cs="宋体"/>
          <w:szCs w:val="21"/>
          <w:highlight w:val="none"/>
        </w:rPr>
      </w:pPr>
    </w:p>
    <w:p w14:paraId="48E3927D">
      <w:pPr>
        <w:pageBreakBefore w:val="0"/>
        <w:kinsoku/>
        <w:bidi w:val="0"/>
        <w:spacing w:line="360" w:lineRule="auto"/>
        <w:rPr>
          <w:rFonts w:hint="eastAsia" w:ascii="宋体" w:hAnsi="宋体" w:cs="宋体"/>
          <w:szCs w:val="21"/>
          <w:highlight w:val="none"/>
        </w:rPr>
      </w:pPr>
      <w:r>
        <w:rPr>
          <w:rFonts w:hint="eastAsia" w:ascii="宋体" w:hAnsi="宋体" w:cs="宋体"/>
          <w:szCs w:val="21"/>
          <w:highlight w:val="none"/>
        </w:rPr>
        <w:t>法定代表人（单位负责人）有效期内的身份证复印件（正反面）</w:t>
      </w:r>
    </w:p>
    <w:tbl>
      <w:tblPr>
        <w:tblStyle w:val="20"/>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11514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5D7791D6">
            <w:pPr>
              <w:pStyle w:val="8"/>
              <w:pageBreakBefore w:val="0"/>
              <w:kinsoku/>
              <w:bidi w:val="0"/>
              <w:spacing w:line="360" w:lineRule="auto"/>
              <w:jc w:val="center"/>
              <w:rPr>
                <w:i/>
                <w:sz w:val="20"/>
                <w:highlight w:val="none"/>
              </w:rPr>
            </w:pPr>
            <w:r>
              <w:rPr>
                <w:i/>
                <w:sz w:val="24"/>
                <w:highlight w:val="none"/>
              </w:rPr>
              <w:t>身份证正面</w:t>
            </w:r>
          </w:p>
        </w:tc>
        <w:tc>
          <w:tcPr>
            <w:tcW w:w="284" w:type="dxa"/>
            <w:tcBorders>
              <w:top w:val="nil"/>
              <w:bottom w:val="nil"/>
            </w:tcBorders>
          </w:tcPr>
          <w:p w14:paraId="4F22A312">
            <w:pPr>
              <w:pageBreakBefore w:val="0"/>
              <w:widowControl/>
              <w:kinsoku/>
              <w:bidi w:val="0"/>
              <w:spacing w:line="360" w:lineRule="auto"/>
              <w:jc w:val="left"/>
              <w:rPr>
                <w:sz w:val="20"/>
                <w:highlight w:val="none"/>
              </w:rPr>
            </w:pPr>
          </w:p>
        </w:tc>
        <w:tc>
          <w:tcPr>
            <w:tcW w:w="4677" w:type="dxa"/>
            <w:vAlign w:val="center"/>
          </w:tcPr>
          <w:p w14:paraId="7ED6CBB1">
            <w:pPr>
              <w:pageBreakBefore w:val="0"/>
              <w:widowControl/>
              <w:kinsoku/>
              <w:bidi w:val="0"/>
              <w:spacing w:line="360" w:lineRule="auto"/>
              <w:jc w:val="center"/>
              <w:rPr>
                <w:sz w:val="20"/>
                <w:highlight w:val="none"/>
              </w:rPr>
            </w:pPr>
            <w:r>
              <w:rPr>
                <w:i/>
                <w:sz w:val="24"/>
                <w:highlight w:val="none"/>
              </w:rPr>
              <w:t>身份证反面</w:t>
            </w:r>
          </w:p>
        </w:tc>
      </w:tr>
    </w:tbl>
    <w:p w14:paraId="75997AF8">
      <w:pPr>
        <w:pStyle w:val="7"/>
        <w:pageBreakBefore w:val="0"/>
        <w:kinsoku/>
        <w:bidi w:val="0"/>
        <w:spacing w:line="360" w:lineRule="auto"/>
        <w:rPr>
          <w:highlight w:val="none"/>
        </w:rPr>
      </w:pPr>
    </w:p>
    <w:p w14:paraId="1C0F7AE0">
      <w:pPr>
        <w:pStyle w:val="6"/>
        <w:pageBreakBefore w:val="0"/>
        <w:kinsoku/>
        <w:bidi w:val="0"/>
        <w:spacing w:before="0" w:after="0" w:line="360" w:lineRule="auto"/>
        <w:ind w:firstLine="422" w:firstLineChars="200"/>
        <w:rPr>
          <w:rFonts w:hint="eastAsia" w:ascii="宋体" w:hAnsi="宋体" w:eastAsia="宋体"/>
          <w:sz w:val="21"/>
          <w:szCs w:val="21"/>
          <w:highlight w:val="none"/>
        </w:rPr>
        <w:sectPr>
          <w:footerReference r:id="rId11" w:type="default"/>
          <w:pgSz w:w="11907" w:h="16840"/>
          <w:pgMar w:top="1134" w:right="1134" w:bottom="1134" w:left="1560" w:header="851" w:footer="851" w:gutter="0"/>
          <w:cols w:space="720" w:num="1"/>
          <w:docGrid w:linePitch="312" w:charSpace="0"/>
        </w:sectPr>
      </w:pPr>
    </w:p>
    <w:p w14:paraId="18E9A3BE">
      <w:pPr>
        <w:pStyle w:val="6"/>
        <w:pageBreakBefore w:val="0"/>
        <w:kinsoku/>
        <w:bidi w:val="0"/>
        <w:spacing w:before="0" w:after="0" w:line="360" w:lineRule="auto"/>
        <w:ind w:firstLine="422" w:firstLineChars="200"/>
        <w:rPr>
          <w:rFonts w:hint="eastAsia" w:ascii="宋体" w:hAnsi="宋体" w:eastAsia="宋体"/>
          <w:sz w:val="21"/>
          <w:szCs w:val="21"/>
          <w:highlight w:val="none"/>
        </w:rPr>
      </w:pPr>
      <w:r>
        <w:rPr>
          <w:rFonts w:hint="eastAsia" w:ascii="宋体" w:hAnsi="宋体" w:eastAsia="宋体"/>
          <w:sz w:val="21"/>
          <w:szCs w:val="21"/>
          <w:highlight w:val="none"/>
        </w:rPr>
        <w:t>2.法定代表人授权书</w:t>
      </w:r>
    </w:p>
    <w:p w14:paraId="563B649F">
      <w:pPr>
        <w:pStyle w:val="34"/>
        <w:pageBreakBefore w:val="0"/>
        <w:kinsoku/>
        <w:bidi w:val="0"/>
        <w:spacing w:line="360" w:lineRule="auto"/>
        <w:ind w:firstLine="422" w:firstLineChars="200"/>
        <w:jc w:val="center"/>
        <w:rPr>
          <w:rFonts w:hint="eastAsia" w:ascii="宋体" w:hAnsi="宋体"/>
          <w:b/>
          <w:sz w:val="21"/>
          <w:szCs w:val="21"/>
          <w:highlight w:val="none"/>
        </w:rPr>
      </w:pPr>
    </w:p>
    <w:p w14:paraId="3F90153B">
      <w:pPr>
        <w:pStyle w:val="34"/>
        <w:pageBreakBefore w:val="0"/>
        <w:kinsoku/>
        <w:bidi w:val="0"/>
        <w:spacing w:line="360" w:lineRule="auto"/>
        <w:ind w:left="420" w:leftChars="200"/>
        <w:rPr>
          <w:rFonts w:hint="eastAsia" w:ascii="宋体" w:hAnsi="宋体"/>
          <w:sz w:val="21"/>
          <w:szCs w:val="21"/>
          <w:highlight w:val="none"/>
        </w:rPr>
      </w:pPr>
      <w:r>
        <w:rPr>
          <w:rFonts w:hint="eastAsia" w:ascii="宋体" w:hAnsi="宋体"/>
          <w:sz w:val="21"/>
          <w:szCs w:val="21"/>
          <w:highlight w:val="none"/>
        </w:rPr>
        <w:t>本授权书声明：</w:t>
      </w:r>
      <w:r>
        <w:rPr>
          <w:rFonts w:hint="eastAsia" w:ascii="宋体" w:hAnsi="宋体"/>
          <w:sz w:val="21"/>
          <w:szCs w:val="21"/>
          <w:highlight w:val="none"/>
          <w:u w:val="single"/>
        </w:rPr>
        <w:t xml:space="preserve">      （供应商名称）</w:t>
      </w:r>
      <w:r>
        <w:rPr>
          <w:rFonts w:hint="eastAsia" w:ascii="宋体" w:hAnsi="宋体"/>
          <w:sz w:val="21"/>
          <w:szCs w:val="21"/>
          <w:highlight w:val="none"/>
        </w:rPr>
        <w:t>授权</w:t>
      </w:r>
      <w:r>
        <w:rPr>
          <w:rFonts w:hint="eastAsia" w:ascii="宋体" w:hAnsi="宋体"/>
          <w:sz w:val="21"/>
          <w:szCs w:val="21"/>
          <w:highlight w:val="none"/>
          <w:u w:val="single"/>
        </w:rPr>
        <w:t xml:space="preserve">              </w:t>
      </w:r>
      <w:r>
        <w:rPr>
          <w:rFonts w:hint="eastAsia" w:ascii="宋体" w:hAnsi="宋体"/>
          <w:sz w:val="21"/>
          <w:szCs w:val="21"/>
          <w:highlight w:val="none"/>
        </w:rPr>
        <w:t>（被授权人的姓名）为我方就</w:t>
      </w:r>
      <w:r>
        <w:rPr>
          <w:rFonts w:hint="eastAsia" w:ascii="宋体" w:hAnsi="宋体"/>
          <w:sz w:val="21"/>
          <w:szCs w:val="21"/>
          <w:highlight w:val="none"/>
          <w:u w:val="single"/>
        </w:rPr>
        <w:t xml:space="preserve">        </w:t>
      </w:r>
      <w:r>
        <w:rPr>
          <w:rFonts w:hint="eastAsia" w:ascii="宋体" w:hAnsi="宋体"/>
          <w:sz w:val="21"/>
          <w:szCs w:val="21"/>
          <w:highlight w:val="none"/>
        </w:rPr>
        <w:t>项目采购活动的合法代理人，以本公司名义全权处理一切与该项目采购有关的事务</w:t>
      </w:r>
      <w:r>
        <w:rPr>
          <w:rFonts w:hint="eastAsia"/>
          <w:sz w:val="21"/>
          <w:szCs w:val="21"/>
          <w:highlight w:val="none"/>
        </w:rPr>
        <w:t>，其后果由我单位承担。</w:t>
      </w:r>
    </w:p>
    <w:p w14:paraId="158B60BD">
      <w:pPr>
        <w:pageBreakBefore w:val="0"/>
        <w:kinsoku/>
        <w:bidi w:val="0"/>
        <w:spacing w:line="360" w:lineRule="auto"/>
        <w:ind w:firstLine="420" w:firstLineChars="200"/>
        <w:rPr>
          <w:rFonts w:ascii="Microsoft New Tai Lue" w:hAnsi="Microsoft New Tai Lue" w:cs="Microsoft New Tai Lue"/>
          <w:szCs w:val="21"/>
          <w:highlight w:val="none"/>
        </w:rPr>
      </w:pPr>
      <w:r>
        <w:rPr>
          <w:rFonts w:hint="eastAsia" w:ascii="Microsoft New Tai Lue" w:hAnsi="Microsoft New Tai Lue" w:cs="Microsoft New Tai Lue"/>
          <w:szCs w:val="21"/>
          <w:highlight w:val="none"/>
        </w:rPr>
        <w:t>代理人无转委托权，特此委托。</w:t>
      </w:r>
    </w:p>
    <w:p w14:paraId="1F0AE025">
      <w:pPr>
        <w:pStyle w:val="34"/>
        <w:pageBreakBefore w:val="0"/>
        <w:kinsoku/>
        <w:bidi w:val="0"/>
        <w:spacing w:line="360" w:lineRule="auto"/>
        <w:ind w:firstLine="420" w:firstLineChars="200"/>
        <w:rPr>
          <w:sz w:val="21"/>
          <w:szCs w:val="21"/>
          <w:highlight w:val="none"/>
        </w:rPr>
      </w:pPr>
      <w:r>
        <w:rPr>
          <w:rFonts w:hint="eastAsia"/>
          <w:sz w:val="21"/>
          <w:szCs w:val="21"/>
          <w:highlight w:val="none"/>
        </w:rPr>
        <w:t>委托期限：自本授权委托书签署之日起至投标有效期届满之日止。</w:t>
      </w:r>
    </w:p>
    <w:p w14:paraId="7F45A8BB">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法定代表人：（签字或盖章）_______________________</w:t>
      </w:r>
    </w:p>
    <w:p w14:paraId="2E66FE1A">
      <w:pPr>
        <w:pStyle w:val="34"/>
        <w:pageBreakBefore w:val="0"/>
        <w:kinsoku/>
        <w:bidi w:val="0"/>
        <w:spacing w:line="360" w:lineRule="auto"/>
        <w:ind w:firstLine="420" w:firstLineChars="200"/>
        <w:rPr>
          <w:rFonts w:hint="eastAsia" w:ascii="宋体" w:hAnsi="宋体"/>
          <w:sz w:val="21"/>
          <w:szCs w:val="21"/>
          <w:highlight w:val="none"/>
        </w:rPr>
      </w:pPr>
    </w:p>
    <w:p w14:paraId="402F0223">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授权单位名称（盖章）：_________________________________</w:t>
      </w:r>
    </w:p>
    <w:p w14:paraId="6671D89F">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地址：_____________________________________</w:t>
      </w:r>
    </w:p>
    <w:p w14:paraId="389038C8">
      <w:pPr>
        <w:pStyle w:val="34"/>
        <w:pageBreakBefore w:val="0"/>
        <w:kinsoku/>
        <w:bidi w:val="0"/>
        <w:spacing w:line="360" w:lineRule="auto"/>
        <w:ind w:firstLine="420" w:firstLineChars="200"/>
        <w:rPr>
          <w:highlight w:val="none"/>
        </w:rPr>
      </w:pPr>
      <w:r>
        <w:rPr>
          <w:rFonts w:hint="eastAsia" w:ascii="宋体" w:hAnsi="宋体"/>
          <w:sz w:val="21"/>
          <w:szCs w:val="21"/>
          <w:highlight w:val="none"/>
        </w:rPr>
        <w:t>日期：</w:t>
      </w:r>
      <w:bookmarkStart w:id="73" w:name="_格式3__银行出具的资信证明"/>
      <w:bookmarkEnd w:id="73"/>
      <w:bookmarkStart w:id="74" w:name="_Hlt26671380"/>
      <w:bookmarkEnd w:id="74"/>
      <w:bookmarkStart w:id="75" w:name="_Hlt26955070"/>
      <w:bookmarkEnd w:id="75"/>
      <w:r>
        <w:rPr>
          <w:rFonts w:hint="eastAsia" w:ascii="宋体" w:hAnsi="宋体"/>
          <w:sz w:val="21"/>
          <w:szCs w:val="21"/>
          <w:highlight w:val="none"/>
        </w:rPr>
        <w:t xml:space="preserve">     年  月  日</w:t>
      </w:r>
    </w:p>
    <w:p w14:paraId="0FDF3583">
      <w:pPr>
        <w:pageBreakBefore w:val="0"/>
        <w:kinsoku/>
        <w:bidi w:val="0"/>
        <w:spacing w:line="360" w:lineRule="auto"/>
        <w:rPr>
          <w:szCs w:val="21"/>
          <w:highlight w:val="none"/>
        </w:rPr>
      </w:pPr>
    </w:p>
    <w:p w14:paraId="0114A8CD">
      <w:pPr>
        <w:pageBreakBefore w:val="0"/>
        <w:kinsoku/>
        <w:bidi w:val="0"/>
        <w:spacing w:line="360" w:lineRule="auto"/>
        <w:rPr>
          <w:rFonts w:ascii="Microsoft New Tai Lue" w:hAnsi="Microsoft New Tai Lue" w:cs="Microsoft New Tai Lue"/>
          <w:highlight w:val="none"/>
        </w:rPr>
      </w:pPr>
      <w:r>
        <w:rPr>
          <w:rFonts w:hint="eastAsia"/>
          <w:szCs w:val="21"/>
          <w:highlight w:val="none"/>
        </w:rPr>
        <w:t>附：</w:t>
      </w:r>
      <w:r>
        <w:rPr>
          <w:szCs w:val="21"/>
          <w:highlight w:val="none"/>
        </w:rPr>
        <w:t>授权代表</w:t>
      </w:r>
      <w:r>
        <w:rPr>
          <w:rFonts w:hint="eastAsia"/>
          <w:szCs w:val="21"/>
          <w:highlight w:val="none"/>
        </w:rPr>
        <w:t>有效期内的身份证复印件</w:t>
      </w:r>
      <w:r>
        <w:rPr>
          <w:rFonts w:ascii="Microsoft New Tai Lue" w:hAnsi="Microsoft New Tai Lue" w:cs="Microsoft New Tai Lue"/>
          <w:highlight w:val="none"/>
        </w:rPr>
        <w:t>（正反面）</w:t>
      </w:r>
    </w:p>
    <w:tbl>
      <w:tblPr>
        <w:tblStyle w:val="20"/>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27EF3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109C7B85">
            <w:pPr>
              <w:pStyle w:val="8"/>
              <w:pageBreakBefore w:val="0"/>
              <w:kinsoku/>
              <w:bidi w:val="0"/>
              <w:spacing w:line="360" w:lineRule="auto"/>
              <w:jc w:val="center"/>
              <w:rPr>
                <w:i/>
                <w:sz w:val="20"/>
                <w:highlight w:val="none"/>
              </w:rPr>
            </w:pPr>
            <w:r>
              <w:rPr>
                <w:i/>
                <w:sz w:val="24"/>
                <w:highlight w:val="none"/>
              </w:rPr>
              <w:t>身份证正面</w:t>
            </w:r>
          </w:p>
        </w:tc>
        <w:tc>
          <w:tcPr>
            <w:tcW w:w="278" w:type="dxa"/>
            <w:tcBorders>
              <w:top w:val="nil"/>
              <w:bottom w:val="nil"/>
            </w:tcBorders>
          </w:tcPr>
          <w:p w14:paraId="5E3B55E3">
            <w:pPr>
              <w:pageBreakBefore w:val="0"/>
              <w:widowControl/>
              <w:kinsoku/>
              <w:bidi w:val="0"/>
              <w:spacing w:line="360" w:lineRule="auto"/>
              <w:jc w:val="left"/>
              <w:rPr>
                <w:sz w:val="20"/>
                <w:highlight w:val="none"/>
              </w:rPr>
            </w:pPr>
          </w:p>
        </w:tc>
        <w:tc>
          <w:tcPr>
            <w:tcW w:w="4695" w:type="dxa"/>
            <w:vAlign w:val="center"/>
          </w:tcPr>
          <w:p w14:paraId="255AD021">
            <w:pPr>
              <w:pageBreakBefore w:val="0"/>
              <w:widowControl/>
              <w:kinsoku/>
              <w:bidi w:val="0"/>
              <w:spacing w:line="360" w:lineRule="auto"/>
              <w:jc w:val="center"/>
              <w:rPr>
                <w:sz w:val="20"/>
                <w:highlight w:val="none"/>
              </w:rPr>
            </w:pPr>
            <w:r>
              <w:rPr>
                <w:i/>
                <w:sz w:val="24"/>
                <w:highlight w:val="none"/>
              </w:rPr>
              <w:t>身份证反面</w:t>
            </w:r>
          </w:p>
        </w:tc>
      </w:tr>
    </w:tbl>
    <w:p w14:paraId="1F41C3A3">
      <w:pPr>
        <w:pStyle w:val="16"/>
        <w:pageBreakBefore w:val="0"/>
        <w:kinsoku/>
        <w:bidi w:val="0"/>
        <w:spacing w:line="360" w:lineRule="auto"/>
        <w:rPr>
          <w:rFonts w:ascii="Times New Roman" w:hAnsi="Times New Roman"/>
          <w:b/>
          <w:bCs/>
          <w:szCs w:val="21"/>
          <w:highlight w:val="none"/>
        </w:rPr>
      </w:pPr>
      <w:r>
        <w:rPr>
          <w:rFonts w:ascii="Times New Roman" w:hAnsi="Times New Roman"/>
          <w:b/>
          <w:bCs/>
          <w:szCs w:val="21"/>
          <w:highlight w:val="none"/>
        </w:rPr>
        <w:t>注：</w:t>
      </w:r>
    </w:p>
    <w:p w14:paraId="38FB08B3">
      <w:pPr>
        <w:pStyle w:val="16"/>
        <w:pageBreakBefore w:val="0"/>
        <w:kinsoku/>
        <w:bidi w:val="0"/>
        <w:spacing w:line="360" w:lineRule="auto"/>
        <w:ind w:firstLine="420"/>
        <w:rPr>
          <w:rFonts w:ascii="Times New Roman" w:hAnsi="Times New Roman"/>
          <w:b/>
          <w:bCs/>
          <w:szCs w:val="21"/>
          <w:highlight w:val="none"/>
        </w:rPr>
      </w:pPr>
      <w:r>
        <w:rPr>
          <w:rFonts w:hint="eastAsia" w:ascii="Times New Roman" w:hAnsi="Times New Roman"/>
          <w:b/>
          <w:bCs/>
          <w:szCs w:val="21"/>
          <w:highlight w:val="none"/>
        </w:rPr>
        <w:t>1.若供应商为分公司、分支机构等依法无须设置法定代表人职务的单位（仅当招标文件注明允许上述单位投标时），法定代表人签字处可由单位负责人签署。</w:t>
      </w:r>
    </w:p>
    <w:p w14:paraId="1189959E">
      <w:pPr>
        <w:pStyle w:val="16"/>
        <w:pageBreakBefore w:val="0"/>
        <w:kinsoku/>
        <w:bidi w:val="0"/>
        <w:spacing w:line="360" w:lineRule="auto"/>
        <w:ind w:firstLine="420"/>
        <w:rPr>
          <w:rFonts w:ascii="Times New Roman" w:hAnsi="Times New Roman"/>
          <w:b/>
          <w:bCs/>
          <w:szCs w:val="21"/>
          <w:highlight w:val="none"/>
        </w:rPr>
      </w:pPr>
      <w:r>
        <w:rPr>
          <w:rFonts w:hint="eastAsia" w:ascii="Times New Roman" w:hAnsi="Times New Roman"/>
          <w:b/>
          <w:bCs/>
          <w:szCs w:val="21"/>
          <w:highlight w:val="none"/>
        </w:rPr>
        <w:t>2.若响应文件中签字之处均为法定代表人（单位负责人）本人签署，则可不提供本《授权委托书》，但须提供《法定代表人（单位负责人）身份证明》。</w:t>
      </w:r>
    </w:p>
    <w:p w14:paraId="663D9906">
      <w:pPr>
        <w:pStyle w:val="7"/>
        <w:pageBreakBefore w:val="0"/>
        <w:kinsoku/>
        <w:bidi w:val="0"/>
        <w:spacing w:line="360" w:lineRule="auto"/>
        <w:rPr>
          <w:highlight w:val="none"/>
        </w:rPr>
      </w:pPr>
    </w:p>
    <w:p w14:paraId="64247815">
      <w:pPr>
        <w:pStyle w:val="6"/>
        <w:pageBreakBefore w:val="0"/>
        <w:kinsoku/>
        <w:bidi w:val="0"/>
        <w:spacing w:line="360" w:lineRule="auto"/>
        <w:jc w:val="both"/>
        <w:rPr>
          <w:rFonts w:hint="eastAsia" w:ascii="宋体" w:hAnsi="宋体" w:eastAsia="宋体"/>
          <w:sz w:val="21"/>
          <w:szCs w:val="21"/>
          <w:highlight w:val="none"/>
        </w:rPr>
        <w:sectPr>
          <w:pgSz w:w="11907" w:h="16840"/>
          <w:pgMar w:top="1134" w:right="1134" w:bottom="1134" w:left="1560" w:header="851" w:footer="851" w:gutter="0"/>
          <w:cols w:space="720" w:num="1"/>
          <w:docGrid w:linePitch="312" w:charSpace="0"/>
        </w:sectPr>
      </w:pPr>
    </w:p>
    <w:p w14:paraId="661FB5F6">
      <w:pPr>
        <w:pStyle w:val="6"/>
        <w:pageBreakBefore w:val="0"/>
        <w:kinsoku/>
        <w:bidi w:val="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3.供应商资格声明书 </w:t>
      </w:r>
    </w:p>
    <w:p w14:paraId="699493A1">
      <w:pPr>
        <w:pageBreakBefore w:val="0"/>
        <w:tabs>
          <w:tab w:val="left" w:pos="5580"/>
        </w:tabs>
        <w:kinsoku/>
        <w:bidi w:val="0"/>
        <w:spacing w:line="360" w:lineRule="auto"/>
        <w:rPr>
          <w:szCs w:val="21"/>
          <w:highlight w:val="none"/>
        </w:rPr>
      </w:pPr>
      <w:r>
        <w:rPr>
          <w:rFonts w:hint="eastAsia"/>
          <w:szCs w:val="21"/>
          <w:highlight w:val="none"/>
        </w:rPr>
        <w:t>致：</w:t>
      </w:r>
      <w:r>
        <w:rPr>
          <w:rFonts w:hint="eastAsia"/>
          <w:szCs w:val="21"/>
          <w:highlight w:val="none"/>
          <w:u w:val="single"/>
        </w:rPr>
        <w:t>采购人</w:t>
      </w:r>
    </w:p>
    <w:p w14:paraId="03F06B99">
      <w:pPr>
        <w:pageBreakBefore w:val="0"/>
        <w:kinsoku/>
        <w:bidi w:val="0"/>
        <w:spacing w:line="360" w:lineRule="auto"/>
        <w:ind w:firstLine="420" w:firstLineChars="200"/>
        <w:rPr>
          <w:szCs w:val="21"/>
          <w:highlight w:val="none"/>
        </w:rPr>
      </w:pPr>
      <w:r>
        <w:rPr>
          <w:rFonts w:hint="eastAsia"/>
          <w:szCs w:val="21"/>
          <w:highlight w:val="none"/>
        </w:rPr>
        <w:t>在参与本次项目响应中，我单位承诺：</w:t>
      </w:r>
    </w:p>
    <w:p w14:paraId="395C7378">
      <w:pPr>
        <w:pageBreakBefore w:val="0"/>
        <w:numPr>
          <w:ilvl w:val="0"/>
          <w:numId w:val="8"/>
        </w:numPr>
        <w:kinsoku/>
        <w:autoSpaceDE w:val="0"/>
        <w:autoSpaceDN w:val="0"/>
        <w:bidi w:val="0"/>
        <w:spacing w:line="360" w:lineRule="auto"/>
        <w:ind w:left="1134"/>
        <w:jc w:val="left"/>
        <w:rPr>
          <w:szCs w:val="21"/>
          <w:highlight w:val="none"/>
        </w:rPr>
      </w:pPr>
      <w:r>
        <w:rPr>
          <w:rFonts w:hint="eastAsia"/>
          <w:szCs w:val="21"/>
          <w:highlight w:val="none"/>
        </w:rPr>
        <w:t>具有良好的商业信誉和健全的财务会计制度；</w:t>
      </w:r>
    </w:p>
    <w:p w14:paraId="2AC6A6D9">
      <w:pPr>
        <w:pageBreakBefore w:val="0"/>
        <w:numPr>
          <w:ilvl w:val="0"/>
          <w:numId w:val="8"/>
        </w:numPr>
        <w:kinsoku/>
        <w:autoSpaceDE w:val="0"/>
        <w:autoSpaceDN w:val="0"/>
        <w:bidi w:val="0"/>
        <w:spacing w:line="360" w:lineRule="auto"/>
        <w:ind w:left="1134"/>
        <w:jc w:val="left"/>
        <w:rPr>
          <w:szCs w:val="21"/>
          <w:highlight w:val="none"/>
        </w:rPr>
      </w:pPr>
      <w:r>
        <w:rPr>
          <w:rFonts w:hint="eastAsia"/>
          <w:szCs w:val="21"/>
          <w:highlight w:val="none"/>
        </w:rPr>
        <w:t>具有履行合同所必需的设备和专业技术能力；</w:t>
      </w:r>
    </w:p>
    <w:p w14:paraId="21FBAE06">
      <w:pPr>
        <w:pageBreakBefore w:val="0"/>
        <w:numPr>
          <w:ilvl w:val="0"/>
          <w:numId w:val="8"/>
        </w:numPr>
        <w:kinsoku/>
        <w:autoSpaceDE w:val="0"/>
        <w:autoSpaceDN w:val="0"/>
        <w:bidi w:val="0"/>
        <w:spacing w:line="360" w:lineRule="auto"/>
        <w:ind w:left="1134"/>
        <w:jc w:val="left"/>
        <w:rPr>
          <w:szCs w:val="21"/>
          <w:highlight w:val="none"/>
        </w:rPr>
      </w:pPr>
      <w:r>
        <w:rPr>
          <w:rFonts w:hint="eastAsia"/>
          <w:szCs w:val="21"/>
          <w:highlight w:val="none"/>
        </w:rPr>
        <w:t>具有依法缴纳税收和社会保障资金的良好记录；</w:t>
      </w:r>
    </w:p>
    <w:p w14:paraId="4F4FD1D4">
      <w:pPr>
        <w:pageBreakBefore w:val="0"/>
        <w:numPr>
          <w:ilvl w:val="0"/>
          <w:numId w:val="8"/>
        </w:numPr>
        <w:kinsoku/>
        <w:autoSpaceDE w:val="0"/>
        <w:autoSpaceDN w:val="0"/>
        <w:bidi w:val="0"/>
        <w:spacing w:line="360" w:lineRule="auto"/>
        <w:ind w:left="1134"/>
        <w:jc w:val="left"/>
        <w:rPr>
          <w:szCs w:val="21"/>
          <w:highlight w:val="none"/>
        </w:rPr>
      </w:pPr>
      <w:r>
        <w:rPr>
          <w:rFonts w:hint="eastAsia"/>
          <w:szCs w:val="21"/>
          <w:highlight w:val="none"/>
        </w:rPr>
        <w:t>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p>
    <w:p w14:paraId="44318DF4">
      <w:pPr>
        <w:pageBreakBefore w:val="0"/>
        <w:numPr>
          <w:ilvl w:val="0"/>
          <w:numId w:val="8"/>
        </w:numPr>
        <w:kinsoku/>
        <w:autoSpaceDE w:val="0"/>
        <w:autoSpaceDN w:val="0"/>
        <w:bidi w:val="0"/>
        <w:spacing w:line="360" w:lineRule="auto"/>
        <w:ind w:left="1134"/>
        <w:jc w:val="left"/>
        <w:rPr>
          <w:szCs w:val="21"/>
          <w:highlight w:val="none"/>
        </w:rPr>
      </w:pPr>
      <w:r>
        <w:rPr>
          <w:rFonts w:hint="eastAsia"/>
          <w:szCs w:val="21"/>
          <w:highlight w:val="none"/>
        </w:rPr>
        <w:t>我单位不存在为采购项目提供整体设计、规范编制或者项目管理、监理、检测等服务后，再参加该采购项目的其他采购活动的情形（单一来源采购项目除外）；</w:t>
      </w:r>
    </w:p>
    <w:p w14:paraId="3C1F9E9C">
      <w:pPr>
        <w:pageBreakBefore w:val="0"/>
        <w:numPr>
          <w:ilvl w:val="0"/>
          <w:numId w:val="8"/>
        </w:numPr>
        <w:kinsoku/>
        <w:autoSpaceDE w:val="0"/>
        <w:autoSpaceDN w:val="0"/>
        <w:bidi w:val="0"/>
        <w:spacing w:line="360" w:lineRule="auto"/>
        <w:ind w:left="1134"/>
        <w:jc w:val="left"/>
        <w:rPr>
          <w:szCs w:val="21"/>
          <w:highlight w:val="none"/>
        </w:rPr>
      </w:pPr>
      <w:r>
        <w:rPr>
          <w:rFonts w:hint="eastAsia"/>
          <w:szCs w:val="21"/>
          <w:highlight w:val="none"/>
        </w:rPr>
        <w:t>与我单位存在“单位负责人为同一人或者存在直接控股、管理关系”的其他法人单位信息如下（如有，不论其是否参加同一合同项下的政府采购活动均须填写）：</w:t>
      </w: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76F89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24149FC3">
            <w:pPr>
              <w:pageBreakBefore w:val="0"/>
              <w:kinsoku/>
              <w:bidi w:val="0"/>
              <w:spacing w:line="360" w:lineRule="auto"/>
              <w:jc w:val="center"/>
              <w:rPr>
                <w:szCs w:val="21"/>
                <w:highlight w:val="none"/>
              </w:rPr>
            </w:pPr>
            <w:r>
              <w:rPr>
                <w:rFonts w:hint="eastAsia"/>
                <w:szCs w:val="21"/>
                <w:highlight w:val="none"/>
              </w:rPr>
              <w:t>序号</w:t>
            </w:r>
          </w:p>
        </w:tc>
        <w:tc>
          <w:tcPr>
            <w:tcW w:w="4574" w:type="dxa"/>
            <w:tcBorders>
              <w:top w:val="single" w:color="000000" w:sz="4" w:space="0"/>
              <w:left w:val="single" w:color="000000" w:sz="4" w:space="0"/>
              <w:bottom w:val="single" w:color="000000" w:sz="4" w:space="0"/>
              <w:right w:val="single" w:color="000000" w:sz="4" w:space="0"/>
            </w:tcBorders>
            <w:vAlign w:val="center"/>
          </w:tcPr>
          <w:p w14:paraId="4641D48E">
            <w:pPr>
              <w:pageBreakBefore w:val="0"/>
              <w:kinsoku/>
              <w:bidi w:val="0"/>
              <w:spacing w:line="360" w:lineRule="auto"/>
              <w:jc w:val="center"/>
              <w:rPr>
                <w:szCs w:val="21"/>
                <w:highlight w:val="none"/>
              </w:rPr>
            </w:pPr>
            <w:r>
              <w:rPr>
                <w:rFonts w:hint="eastAsia"/>
                <w:szCs w:val="21"/>
                <w:highlight w:val="none"/>
              </w:rPr>
              <w:t>单位名称</w:t>
            </w:r>
          </w:p>
        </w:tc>
        <w:tc>
          <w:tcPr>
            <w:tcW w:w="2976" w:type="dxa"/>
            <w:tcBorders>
              <w:top w:val="single" w:color="000000" w:sz="4" w:space="0"/>
              <w:left w:val="single" w:color="000000" w:sz="4" w:space="0"/>
              <w:bottom w:val="single" w:color="000000" w:sz="4" w:space="0"/>
              <w:right w:val="single" w:color="000000" w:sz="4" w:space="0"/>
            </w:tcBorders>
            <w:vAlign w:val="center"/>
          </w:tcPr>
          <w:p w14:paraId="668427D2">
            <w:pPr>
              <w:pageBreakBefore w:val="0"/>
              <w:kinsoku/>
              <w:bidi w:val="0"/>
              <w:spacing w:line="360" w:lineRule="auto"/>
              <w:jc w:val="center"/>
              <w:rPr>
                <w:szCs w:val="21"/>
                <w:highlight w:val="none"/>
              </w:rPr>
            </w:pPr>
            <w:r>
              <w:rPr>
                <w:rFonts w:hint="eastAsia"/>
                <w:szCs w:val="21"/>
                <w:highlight w:val="none"/>
              </w:rPr>
              <w:t>相互关系</w:t>
            </w:r>
          </w:p>
        </w:tc>
      </w:tr>
      <w:tr w14:paraId="69536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3957A4F5">
            <w:pPr>
              <w:pageBreakBefore w:val="0"/>
              <w:kinsoku/>
              <w:bidi w:val="0"/>
              <w:spacing w:line="360" w:lineRule="auto"/>
              <w:jc w:val="center"/>
              <w:rPr>
                <w:szCs w:val="21"/>
                <w:highlight w:val="none"/>
              </w:rPr>
            </w:pPr>
            <w:r>
              <w:rPr>
                <w:rFonts w:hint="eastAsia"/>
                <w:szCs w:val="21"/>
                <w:highlight w:val="none"/>
              </w:rPr>
              <w:t>1</w:t>
            </w:r>
          </w:p>
        </w:tc>
        <w:tc>
          <w:tcPr>
            <w:tcW w:w="4574" w:type="dxa"/>
            <w:tcBorders>
              <w:top w:val="single" w:color="000000" w:sz="4" w:space="0"/>
              <w:left w:val="single" w:color="000000" w:sz="4" w:space="0"/>
              <w:bottom w:val="single" w:color="000000" w:sz="4" w:space="0"/>
              <w:right w:val="single" w:color="000000" w:sz="4" w:space="0"/>
            </w:tcBorders>
            <w:vAlign w:val="center"/>
          </w:tcPr>
          <w:p w14:paraId="7260254A">
            <w:pPr>
              <w:pageBreakBefore w:val="0"/>
              <w:kinsoku/>
              <w:bidi w:val="0"/>
              <w:spacing w:line="360" w:lineRule="auto"/>
              <w:jc w:val="center"/>
              <w:rPr>
                <w:b/>
                <w:bCs/>
                <w:szCs w:val="21"/>
                <w:highlight w:val="none"/>
              </w:rPr>
            </w:pPr>
            <w:r>
              <w:rPr>
                <w:rFonts w:hint="eastAsia"/>
                <w:b/>
                <w:bCs/>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vAlign w:val="center"/>
          </w:tcPr>
          <w:p w14:paraId="6D83835D">
            <w:pPr>
              <w:pageBreakBefore w:val="0"/>
              <w:kinsoku/>
              <w:bidi w:val="0"/>
              <w:spacing w:line="360" w:lineRule="auto"/>
              <w:jc w:val="center"/>
              <w:rPr>
                <w:b/>
                <w:bCs/>
                <w:szCs w:val="21"/>
                <w:highlight w:val="none"/>
              </w:rPr>
            </w:pPr>
            <w:r>
              <w:rPr>
                <w:rFonts w:hint="eastAsia"/>
                <w:b/>
                <w:bCs/>
                <w:szCs w:val="21"/>
                <w:highlight w:val="none"/>
              </w:rPr>
              <w:t>/</w:t>
            </w:r>
          </w:p>
        </w:tc>
      </w:tr>
      <w:tr w14:paraId="1F26F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40A8951C">
            <w:pPr>
              <w:pageBreakBefore w:val="0"/>
              <w:kinsoku/>
              <w:bidi w:val="0"/>
              <w:spacing w:line="360" w:lineRule="auto"/>
              <w:jc w:val="center"/>
              <w:rPr>
                <w:szCs w:val="21"/>
                <w:highlight w:val="none"/>
              </w:rPr>
            </w:pPr>
            <w:r>
              <w:rPr>
                <w:rFonts w:hint="eastAsia"/>
                <w:szCs w:val="21"/>
                <w:highlight w:val="none"/>
              </w:rPr>
              <w:t>2</w:t>
            </w:r>
          </w:p>
        </w:tc>
        <w:tc>
          <w:tcPr>
            <w:tcW w:w="4574" w:type="dxa"/>
            <w:tcBorders>
              <w:top w:val="single" w:color="000000" w:sz="4" w:space="0"/>
              <w:left w:val="single" w:color="000000" w:sz="4" w:space="0"/>
              <w:bottom w:val="single" w:color="000000" w:sz="4" w:space="0"/>
              <w:right w:val="single" w:color="000000" w:sz="4" w:space="0"/>
            </w:tcBorders>
            <w:vAlign w:val="center"/>
          </w:tcPr>
          <w:p w14:paraId="1E6D3721">
            <w:pPr>
              <w:pageBreakBefore w:val="0"/>
              <w:kinsoku/>
              <w:bidi w:val="0"/>
              <w:spacing w:line="360" w:lineRule="auto"/>
              <w:jc w:val="center"/>
              <w:rPr>
                <w:b/>
                <w:bCs/>
                <w:szCs w:val="21"/>
                <w:highlight w:val="none"/>
              </w:rPr>
            </w:pPr>
            <w:r>
              <w:rPr>
                <w:rFonts w:hint="eastAsia"/>
                <w:b/>
                <w:bCs/>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vAlign w:val="center"/>
          </w:tcPr>
          <w:p w14:paraId="5EE8AC4D">
            <w:pPr>
              <w:pageBreakBefore w:val="0"/>
              <w:kinsoku/>
              <w:bidi w:val="0"/>
              <w:spacing w:line="360" w:lineRule="auto"/>
              <w:jc w:val="center"/>
              <w:rPr>
                <w:b/>
                <w:bCs/>
                <w:szCs w:val="21"/>
                <w:highlight w:val="none"/>
              </w:rPr>
            </w:pPr>
            <w:r>
              <w:rPr>
                <w:rFonts w:hint="eastAsia"/>
                <w:b/>
                <w:bCs/>
                <w:szCs w:val="21"/>
                <w:highlight w:val="none"/>
              </w:rPr>
              <w:t>/</w:t>
            </w:r>
          </w:p>
        </w:tc>
      </w:tr>
      <w:tr w14:paraId="078F3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3430C009">
            <w:pPr>
              <w:pageBreakBefore w:val="0"/>
              <w:kinsoku/>
              <w:bidi w:val="0"/>
              <w:spacing w:line="360" w:lineRule="auto"/>
              <w:jc w:val="center"/>
              <w:rPr>
                <w:szCs w:val="21"/>
                <w:highlight w:val="none"/>
              </w:rPr>
            </w:pPr>
            <w:r>
              <w:rPr>
                <w:rFonts w:hint="eastAsia"/>
                <w:szCs w:val="21"/>
                <w:highlight w:val="none"/>
              </w:rPr>
              <w:t>…</w:t>
            </w:r>
          </w:p>
        </w:tc>
        <w:tc>
          <w:tcPr>
            <w:tcW w:w="4574" w:type="dxa"/>
            <w:tcBorders>
              <w:top w:val="single" w:color="000000" w:sz="4" w:space="0"/>
              <w:left w:val="single" w:color="000000" w:sz="4" w:space="0"/>
              <w:bottom w:val="single" w:color="000000" w:sz="4" w:space="0"/>
              <w:right w:val="single" w:color="000000" w:sz="4" w:space="0"/>
            </w:tcBorders>
            <w:vAlign w:val="center"/>
          </w:tcPr>
          <w:p w14:paraId="4D43D5F6">
            <w:pPr>
              <w:pageBreakBefore w:val="0"/>
              <w:kinsoku/>
              <w:bidi w:val="0"/>
              <w:spacing w:line="360" w:lineRule="auto"/>
              <w:jc w:val="center"/>
              <w:rPr>
                <w:b/>
                <w:bCs/>
                <w:szCs w:val="21"/>
                <w:highlight w:val="none"/>
              </w:rPr>
            </w:pPr>
            <w:r>
              <w:rPr>
                <w:rFonts w:hint="eastAsia"/>
                <w:b/>
                <w:bCs/>
                <w:szCs w:val="21"/>
                <w:highlight w:val="none"/>
              </w:rPr>
              <w:t>/</w:t>
            </w:r>
          </w:p>
        </w:tc>
        <w:tc>
          <w:tcPr>
            <w:tcW w:w="2976" w:type="dxa"/>
            <w:tcBorders>
              <w:top w:val="single" w:color="000000" w:sz="4" w:space="0"/>
              <w:left w:val="single" w:color="000000" w:sz="4" w:space="0"/>
              <w:bottom w:val="single" w:color="000000" w:sz="4" w:space="0"/>
              <w:right w:val="single" w:color="000000" w:sz="4" w:space="0"/>
            </w:tcBorders>
            <w:vAlign w:val="center"/>
          </w:tcPr>
          <w:p w14:paraId="3E741D27">
            <w:pPr>
              <w:pageBreakBefore w:val="0"/>
              <w:kinsoku/>
              <w:bidi w:val="0"/>
              <w:spacing w:line="360" w:lineRule="auto"/>
              <w:jc w:val="center"/>
              <w:rPr>
                <w:b/>
                <w:bCs/>
                <w:szCs w:val="21"/>
                <w:highlight w:val="none"/>
              </w:rPr>
            </w:pPr>
            <w:r>
              <w:rPr>
                <w:rFonts w:hint="eastAsia"/>
                <w:b/>
                <w:bCs/>
                <w:szCs w:val="21"/>
                <w:highlight w:val="none"/>
              </w:rPr>
              <w:t>/</w:t>
            </w:r>
          </w:p>
        </w:tc>
      </w:tr>
    </w:tbl>
    <w:p w14:paraId="1B8CFC46">
      <w:pPr>
        <w:pageBreakBefore w:val="0"/>
        <w:kinsoku/>
        <w:bidi w:val="0"/>
        <w:spacing w:line="360" w:lineRule="auto"/>
        <w:rPr>
          <w:szCs w:val="21"/>
          <w:highlight w:val="none"/>
        </w:rPr>
      </w:pPr>
    </w:p>
    <w:p w14:paraId="0AB6CA05">
      <w:pPr>
        <w:pageBreakBefore w:val="0"/>
        <w:kinsoku/>
        <w:bidi w:val="0"/>
        <w:spacing w:line="360" w:lineRule="auto"/>
        <w:ind w:firstLine="420" w:firstLineChars="200"/>
        <w:rPr>
          <w:szCs w:val="21"/>
          <w:highlight w:val="none"/>
        </w:rPr>
      </w:pPr>
      <w:r>
        <w:rPr>
          <w:rFonts w:hint="eastAsia"/>
          <w:szCs w:val="21"/>
          <w:highlight w:val="none"/>
        </w:rPr>
        <w:t>上述声明真实有效，否则我方负全部责任。</w:t>
      </w:r>
    </w:p>
    <w:p w14:paraId="2170EB53">
      <w:pPr>
        <w:pageBreakBefore w:val="0"/>
        <w:kinsoku/>
        <w:bidi w:val="0"/>
        <w:spacing w:line="360" w:lineRule="auto"/>
        <w:rPr>
          <w:szCs w:val="21"/>
          <w:highlight w:val="none"/>
        </w:rPr>
      </w:pPr>
    </w:p>
    <w:p w14:paraId="040089E6">
      <w:pPr>
        <w:pageBreakBefore w:val="0"/>
        <w:kinsoku/>
        <w:wordWrap w:val="0"/>
        <w:bidi w:val="0"/>
        <w:spacing w:before="25" w:after="25" w:line="360" w:lineRule="auto"/>
        <w:jc w:val="right"/>
        <w:rPr>
          <w:szCs w:val="21"/>
          <w:highlight w:val="none"/>
        </w:rPr>
      </w:pPr>
      <w:r>
        <w:rPr>
          <w:rFonts w:hint="eastAsia"/>
          <w:szCs w:val="21"/>
          <w:highlight w:val="none"/>
        </w:rPr>
        <w:t>供应商名称（加盖公章）：</w:t>
      </w:r>
      <w:r>
        <w:rPr>
          <w:rFonts w:hint="eastAsia"/>
          <w:szCs w:val="21"/>
          <w:highlight w:val="none"/>
          <w:u w:val="single"/>
        </w:rPr>
        <w:t xml:space="preserve">            </w:t>
      </w:r>
      <w:r>
        <w:rPr>
          <w:rFonts w:hint="eastAsia"/>
          <w:szCs w:val="21"/>
          <w:highlight w:val="none"/>
        </w:rPr>
        <w:t xml:space="preserve"> </w:t>
      </w:r>
    </w:p>
    <w:p w14:paraId="23B6FF9E">
      <w:pPr>
        <w:pageBreakBefore w:val="0"/>
        <w:kinsoku/>
        <w:bidi w:val="0"/>
        <w:spacing w:line="360" w:lineRule="auto"/>
        <w:ind w:right="360" w:firstLine="480"/>
        <w:jc w:val="right"/>
        <w:rPr>
          <w:szCs w:val="21"/>
          <w:highlight w:val="none"/>
        </w:rPr>
      </w:pPr>
      <w:r>
        <w:rPr>
          <w:rFonts w:hint="eastAsia"/>
          <w:szCs w:val="21"/>
          <w:highlight w:val="none"/>
        </w:rPr>
        <w:t>日期：</w:t>
      </w:r>
      <w:r>
        <w:rPr>
          <w:rFonts w:hint="eastAsia"/>
          <w:szCs w:val="21"/>
          <w:highlight w:val="none"/>
          <w:u w:val="single"/>
        </w:rPr>
        <w:t xml:space="preserve"> </w:t>
      </w:r>
      <w:r>
        <w:rPr>
          <w:szCs w:val="21"/>
          <w:highlight w:val="none"/>
          <w:u w:val="single"/>
        </w:rPr>
        <w:t xml:space="preserve">  </w:t>
      </w:r>
      <w:r>
        <w:rPr>
          <w:rFonts w:hint="eastAsia"/>
          <w:szCs w:val="21"/>
          <w:highlight w:val="none"/>
          <w:u w:val="single"/>
        </w:rPr>
        <w:t xml:space="preserve">  </w:t>
      </w:r>
      <w:r>
        <w:rPr>
          <w:rFonts w:hint="eastAsia"/>
          <w:szCs w:val="21"/>
          <w:highlight w:val="none"/>
        </w:rPr>
        <w:t>年</w:t>
      </w:r>
      <w:r>
        <w:rPr>
          <w:rFonts w:hint="eastAsia"/>
          <w:szCs w:val="21"/>
          <w:highlight w:val="none"/>
          <w:u w:val="single"/>
        </w:rPr>
        <w:t xml:space="preserve">    </w:t>
      </w:r>
      <w:r>
        <w:rPr>
          <w:rFonts w:hint="eastAsia"/>
          <w:szCs w:val="21"/>
          <w:highlight w:val="none"/>
        </w:rPr>
        <w:t>月</w:t>
      </w:r>
      <w:r>
        <w:rPr>
          <w:rFonts w:hint="eastAsia"/>
          <w:szCs w:val="21"/>
          <w:highlight w:val="none"/>
          <w:u w:val="single"/>
        </w:rPr>
        <w:t xml:space="preserve">    </w:t>
      </w:r>
      <w:r>
        <w:rPr>
          <w:rFonts w:hint="eastAsia"/>
          <w:szCs w:val="21"/>
          <w:highlight w:val="none"/>
        </w:rPr>
        <w:t>日</w:t>
      </w:r>
    </w:p>
    <w:p w14:paraId="3E7919AE">
      <w:pPr>
        <w:pageBreakBefore w:val="0"/>
        <w:kinsoku/>
        <w:bidi w:val="0"/>
        <w:spacing w:before="25" w:after="25" w:line="360" w:lineRule="auto"/>
        <w:jc w:val="right"/>
        <w:rPr>
          <w:szCs w:val="21"/>
          <w:highlight w:val="none"/>
        </w:rPr>
      </w:pPr>
    </w:p>
    <w:p w14:paraId="46DAF46A">
      <w:pPr>
        <w:pageBreakBefore w:val="0"/>
        <w:kinsoku/>
        <w:bidi w:val="0"/>
        <w:spacing w:line="360" w:lineRule="auto"/>
        <w:rPr>
          <w:szCs w:val="21"/>
          <w:highlight w:val="none"/>
        </w:rPr>
      </w:pPr>
    </w:p>
    <w:p w14:paraId="58DF55EE">
      <w:pPr>
        <w:pageBreakBefore w:val="0"/>
        <w:kinsoku/>
        <w:bidi w:val="0"/>
        <w:spacing w:line="360" w:lineRule="auto"/>
        <w:rPr>
          <w:szCs w:val="21"/>
          <w:highlight w:val="none"/>
        </w:rPr>
      </w:pPr>
      <w:r>
        <w:rPr>
          <w:rFonts w:hint="eastAsia"/>
          <w:szCs w:val="21"/>
          <w:highlight w:val="none"/>
        </w:rPr>
        <w:t>说明：供应商承诺不实的，依据《</w:t>
      </w:r>
      <w:r>
        <w:rPr>
          <w:rFonts w:hint="eastAsia" w:ascii="宋体" w:hAnsi="宋体" w:cs="宋体"/>
          <w:szCs w:val="21"/>
          <w:highlight w:val="none"/>
        </w:rPr>
        <w:t>中华人民共和国政府采购法</w:t>
      </w:r>
      <w:r>
        <w:rPr>
          <w:rFonts w:hint="eastAsia"/>
          <w:szCs w:val="21"/>
          <w:highlight w:val="none"/>
        </w:rPr>
        <w:t>》第七十七条“提供虚假材料谋取中标、成交的”有关规定予以处理。</w:t>
      </w:r>
    </w:p>
    <w:p w14:paraId="0AF079FC">
      <w:pPr>
        <w:pageBreakBefore w:val="0"/>
        <w:kinsoku/>
        <w:bidi w:val="0"/>
        <w:spacing w:line="360" w:lineRule="auto"/>
        <w:ind w:firstLine="420" w:firstLineChars="200"/>
        <w:contextualSpacing/>
        <w:rPr>
          <w:rFonts w:hint="eastAsia" w:ascii="宋体" w:hAnsi="宋体"/>
          <w:bCs/>
          <w:szCs w:val="21"/>
          <w:highlight w:val="none"/>
        </w:rPr>
      </w:pPr>
    </w:p>
    <w:p w14:paraId="468468F3">
      <w:pPr>
        <w:pageBreakBefore w:val="0"/>
        <w:kinsoku/>
        <w:bidi w:val="0"/>
        <w:spacing w:line="360" w:lineRule="auto"/>
        <w:jc w:val="center"/>
        <w:rPr>
          <w:rFonts w:hint="eastAsia" w:ascii="宋体" w:hAnsi="宋体"/>
          <w:bCs/>
          <w:color w:val="000000"/>
          <w:sz w:val="30"/>
          <w:szCs w:val="30"/>
          <w:highlight w:val="none"/>
        </w:rPr>
      </w:pPr>
    </w:p>
    <w:p w14:paraId="60BB1927">
      <w:pPr>
        <w:pageBreakBefore w:val="0"/>
        <w:kinsoku/>
        <w:bidi w:val="0"/>
        <w:spacing w:line="360" w:lineRule="auto"/>
        <w:jc w:val="center"/>
        <w:rPr>
          <w:rFonts w:hint="eastAsia" w:ascii="宋体" w:hAnsi="宋体"/>
          <w:b/>
          <w:color w:val="000000"/>
          <w:szCs w:val="21"/>
          <w:highlight w:val="none"/>
        </w:rPr>
      </w:pPr>
    </w:p>
    <w:p w14:paraId="04C0D612">
      <w:pPr>
        <w:pageBreakBefore w:val="0"/>
        <w:kinsoku/>
        <w:bidi w:val="0"/>
        <w:spacing w:line="360" w:lineRule="auto"/>
        <w:rPr>
          <w:highlight w:val="none"/>
        </w:rPr>
        <w:sectPr>
          <w:pgSz w:w="11907" w:h="16840"/>
          <w:pgMar w:top="1134" w:right="1134" w:bottom="1134" w:left="1560" w:header="851" w:footer="851" w:gutter="0"/>
          <w:cols w:space="720" w:num="1"/>
          <w:docGrid w:linePitch="312" w:charSpace="0"/>
        </w:sectPr>
      </w:pPr>
    </w:p>
    <w:p w14:paraId="74E12F67">
      <w:pPr>
        <w:pageBreakBefore w:val="0"/>
        <w:kinsoku/>
        <w:bidi w:val="0"/>
        <w:spacing w:line="360" w:lineRule="auto"/>
        <w:jc w:val="center"/>
        <w:outlineLvl w:val="4"/>
        <w:rPr>
          <w:rFonts w:hint="eastAsia" w:ascii="宋体" w:hAnsi="宋体" w:cs="宋体"/>
          <w:b/>
          <w:bCs/>
          <w:szCs w:val="21"/>
          <w:highlight w:val="none"/>
        </w:rPr>
      </w:pPr>
      <w:r>
        <w:rPr>
          <w:rFonts w:hint="eastAsia" w:ascii="宋体" w:hAnsi="宋体" w:cs="宋体"/>
          <w:b/>
          <w:bCs/>
          <w:szCs w:val="21"/>
          <w:highlight w:val="none"/>
        </w:rPr>
        <w:t>4.诚信承诺书</w:t>
      </w:r>
    </w:p>
    <w:p w14:paraId="7DE46B77">
      <w:pPr>
        <w:pageBreakBefore w:val="0"/>
        <w:kinsoku/>
        <w:bidi w:val="0"/>
        <w:spacing w:line="360" w:lineRule="auto"/>
        <w:rPr>
          <w:rFonts w:hint="eastAsia" w:ascii="宋体" w:hAnsi="宋体" w:cs="宋体"/>
          <w:bCs/>
          <w:szCs w:val="21"/>
          <w:highlight w:val="none"/>
        </w:rPr>
      </w:pPr>
      <w:r>
        <w:rPr>
          <w:rFonts w:hint="eastAsia" w:ascii="宋体" w:hAnsi="宋体" w:cs="宋体"/>
          <w:szCs w:val="21"/>
          <w:highlight w:val="none"/>
          <w:u w:val="single"/>
        </w:rPr>
        <w:t xml:space="preserve">           （采购人名称）</w:t>
      </w:r>
      <w:r>
        <w:rPr>
          <w:rFonts w:hint="eastAsia" w:ascii="宋体" w:hAnsi="宋体" w:cs="宋体"/>
          <w:szCs w:val="21"/>
          <w:highlight w:val="none"/>
        </w:rPr>
        <w:t>：</w:t>
      </w:r>
    </w:p>
    <w:p w14:paraId="3EFBA78C">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我单位在参加贵单位组织的</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项目</w:t>
      </w:r>
      <w:r>
        <w:rPr>
          <w:rFonts w:hint="eastAsia" w:ascii="宋体" w:hAnsi="宋体" w:cs="宋体"/>
          <w:szCs w:val="21"/>
          <w:highlight w:val="none"/>
        </w:rPr>
        <w:t>磋商活动中，郑重承诺如下：</w:t>
      </w:r>
    </w:p>
    <w:p w14:paraId="57576E50">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1.我单位参与本项目投标，提交的磋商响应文件包括资格审查材料均真实可信。证件及有关附件是真实的，绝无提供虚假材料行为。</w:t>
      </w:r>
    </w:p>
    <w:p w14:paraId="502FE5B4">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2.我单位参与本项目投标绝无借资质、挂靠行为。</w:t>
      </w:r>
    </w:p>
    <w:p w14:paraId="588C00C8">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3.本项目授权代表为本单位正式员工。</w:t>
      </w:r>
    </w:p>
    <w:p w14:paraId="0E06E30F">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4.我单位遵守国家廉政相关规定，无失信、行贿等不良行为。</w:t>
      </w:r>
    </w:p>
    <w:p w14:paraId="3941673A">
      <w:pPr>
        <w:pageBreakBefore w:val="0"/>
        <w:kinsoku/>
        <w:bidi w:val="0"/>
        <w:spacing w:line="360" w:lineRule="auto"/>
        <w:ind w:firstLine="480"/>
        <w:rPr>
          <w:rFonts w:hint="eastAsia" w:ascii="宋体" w:hAnsi="宋体" w:cs="宋体"/>
          <w:szCs w:val="21"/>
          <w:highlight w:val="none"/>
          <w:lang w:val="en-GB"/>
        </w:rPr>
      </w:pPr>
      <w:r>
        <w:rPr>
          <w:rFonts w:hint="eastAsia" w:ascii="宋体" w:hAnsi="宋体" w:cs="宋体"/>
          <w:szCs w:val="21"/>
          <w:highlight w:val="none"/>
        </w:rPr>
        <w:t>5.</w:t>
      </w:r>
      <w:r>
        <w:rPr>
          <w:rFonts w:hint="eastAsia" w:ascii="宋体" w:hAnsi="宋体" w:cs="宋体"/>
          <w:szCs w:val="21"/>
          <w:highlight w:val="none"/>
          <w:lang w:val="en-GB"/>
        </w:rPr>
        <w:t>我单位</w:t>
      </w:r>
      <w:r>
        <w:rPr>
          <w:rFonts w:hint="eastAsia" w:ascii="宋体" w:hAnsi="宋体" w:cs="宋体"/>
          <w:szCs w:val="21"/>
          <w:highlight w:val="none"/>
        </w:rPr>
        <w:t>参与本项目</w:t>
      </w:r>
      <w:r>
        <w:rPr>
          <w:rFonts w:hint="eastAsia" w:ascii="宋体" w:hAnsi="宋体" w:cs="宋体"/>
          <w:szCs w:val="21"/>
          <w:highlight w:val="none"/>
          <w:lang w:val="en-GB"/>
        </w:rPr>
        <w:t>投标</w:t>
      </w:r>
      <w:r>
        <w:rPr>
          <w:rFonts w:hint="eastAsia" w:ascii="宋体" w:hAnsi="宋体" w:cs="宋体"/>
          <w:szCs w:val="21"/>
          <w:highlight w:val="none"/>
        </w:rPr>
        <w:t>绝无</w:t>
      </w:r>
      <w:r>
        <w:rPr>
          <w:rFonts w:hint="eastAsia" w:ascii="宋体" w:hAnsi="宋体" w:cs="宋体"/>
          <w:szCs w:val="21"/>
          <w:highlight w:val="none"/>
          <w:lang w:val="en-GB"/>
        </w:rPr>
        <w:t>串标、围标等行为。</w:t>
      </w:r>
    </w:p>
    <w:p w14:paraId="1D21FF6D">
      <w:pPr>
        <w:pageBreakBefore w:val="0"/>
        <w:kinsoku/>
        <w:bidi w:val="0"/>
        <w:spacing w:line="360" w:lineRule="auto"/>
        <w:ind w:firstLine="480"/>
        <w:rPr>
          <w:rFonts w:hint="eastAsia" w:ascii="宋体" w:hAnsi="宋体" w:cs="宋体"/>
          <w:szCs w:val="21"/>
          <w:highlight w:val="none"/>
          <w:lang w:val="en-GB"/>
        </w:rPr>
      </w:pPr>
      <w:r>
        <w:rPr>
          <w:rFonts w:hint="eastAsia" w:ascii="宋体" w:hAnsi="宋体" w:cs="宋体"/>
          <w:szCs w:val="21"/>
          <w:highlight w:val="none"/>
        </w:rPr>
        <w:t>6.</w:t>
      </w:r>
      <w:r>
        <w:rPr>
          <w:rFonts w:hint="eastAsia" w:ascii="宋体" w:hAnsi="宋体" w:cs="宋体"/>
          <w:szCs w:val="21"/>
          <w:highlight w:val="none"/>
          <w:lang w:val="en-GB"/>
        </w:rPr>
        <w:t>我单位在参加政府采购活动前三年内，在经营活动中没有重大违法记录。</w:t>
      </w:r>
    </w:p>
    <w:p w14:paraId="3C50CCE4">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7.如中标，我单位</w:t>
      </w:r>
      <w:r>
        <w:rPr>
          <w:rFonts w:hint="eastAsia" w:ascii="宋体" w:hAnsi="宋体" w:cs="宋体"/>
          <w:szCs w:val="21"/>
          <w:highlight w:val="none"/>
          <w:lang w:val="en-GB"/>
        </w:rPr>
        <w:t>在</w:t>
      </w:r>
      <w:r>
        <w:rPr>
          <w:rFonts w:hint="eastAsia" w:ascii="宋体" w:hAnsi="宋体" w:cs="宋体"/>
          <w:szCs w:val="21"/>
          <w:highlight w:val="none"/>
        </w:rPr>
        <w:t>成交结果</w:t>
      </w:r>
      <w:r>
        <w:rPr>
          <w:rFonts w:hint="eastAsia" w:ascii="宋体" w:hAnsi="宋体" w:cs="宋体"/>
          <w:szCs w:val="21"/>
          <w:highlight w:val="none"/>
          <w:lang w:val="en-GB"/>
        </w:rPr>
        <w:t>公示结束后</w:t>
      </w:r>
      <w:r>
        <w:rPr>
          <w:rFonts w:hint="eastAsia" w:ascii="宋体" w:hAnsi="宋体" w:cs="宋体"/>
          <w:szCs w:val="21"/>
          <w:highlight w:val="none"/>
        </w:rPr>
        <w:t>3天内领取中标通知书。</w:t>
      </w:r>
    </w:p>
    <w:p w14:paraId="02D12DEF">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8.中标后，我单位将按照采购文件规定并在成交通知书规定的时限内与采购单位签订合同。</w:t>
      </w:r>
    </w:p>
    <w:p w14:paraId="2DDBDAE7">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9.如中标，我单位将按照采购文件规定以及响应文件中承诺的相关事项向采购人提供完整相关证明材料或配合采购人做好相关工作。</w:t>
      </w:r>
    </w:p>
    <w:p w14:paraId="6669A8C9">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若我单位未能兑现以上承诺，愿意放弃本项目中标资格，愿意被采购人列入政府采购黑名单1～3年，愿意接受采购人和监管部门的其他处罚，并愿意承担因违反上述承诺内容所引发的一切责任与后果。</w:t>
      </w:r>
    </w:p>
    <w:p w14:paraId="7E7D01D4">
      <w:pPr>
        <w:pageBreakBefore w:val="0"/>
        <w:kinsoku/>
        <w:bidi w:val="0"/>
        <w:spacing w:line="360" w:lineRule="auto"/>
        <w:ind w:firstLine="560"/>
        <w:rPr>
          <w:rFonts w:hint="eastAsia" w:ascii="宋体" w:hAnsi="宋体" w:cs="宋体"/>
          <w:bCs/>
          <w:szCs w:val="21"/>
          <w:highlight w:val="none"/>
        </w:rPr>
      </w:pPr>
    </w:p>
    <w:p w14:paraId="1CBC27EA">
      <w:pPr>
        <w:pageBreakBefore w:val="0"/>
        <w:kinsoku/>
        <w:bidi w:val="0"/>
        <w:spacing w:line="360" w:lineRule="auto"/>
        <w:ind w:firstLine="3624" w:firstLineChars="1726"/>
        <w:rPr>
          <w:rFonts w:hint="eastAsia" w:ascii="宋体" w:hAnsi="宋体" w:cs="宋体"/>
          <w:bCs/>
          <w:szCs w:val="21"/>
          <w:highlight w:val="none"/>
        </w:rPr>
      </w:pPr>
      <w:r>
        <w:rPr>
          <w:rFonts w:hint="eastAsia" w:ascii="宋体" w:hAnsi="宋体" w:cs="宋体"/>
          <w:bCs/>
          <w:szCs w:val="21"/>
          <w:highlight w:val="none"/>
        </w:rPr>
        <w:t>供应商（盖公章）：</w:t>
      </w:r>
      <w:r>
        <w:rPr>
          <w:rFonts w:hint="eastAsia" w:ascii="宋体" w:hAnsi="宋体" w:cs="宋体"/>
          <w:bCs/>
          <w:szCs w:val="21"/>
          <w:highlight w:val="none"/>
          <w:u w:val="single"/>
        </w:rPr>
        <w:t xml:space="preserve">                              </w:t>
      </w:r>
    </w:p>
    <w:p w14:paraId="79540642">
      <w:pPr>
        <w:pageBreakBefore w:val="0"/>
        <w:kinsoku/>
        <w:bidi w:val="0"/>
        <w:spacing w:line="360" w:lineRule="auto"/>
        <w:ind w:firstLine="480"/>
        <w:rPr>
          <w:rFonts w:hint="eastAsia" w:ascii="宋体" w:hAnsi="宋体" w:cs="宋体"/>
          <w:bCs/>
          <w:szCs w:val="21"/>
          <w:highlight w:val="none"/>
        </w:rPr>
      </w:pPr>
    </w:p>
    <w:p w14:paraId="27811268">
      <w:pPr>
        <w:pageBreakBefore w:val="0"/>
        <w:kinsoku/>
        <w:bidi w:val="0"/>
        <w:spacing w:line="360" w:lineRule="auto"/>
        <w:ind w:firstLine="3624" w:firstLineChars="1726"/>
        <w:rPr>
          <w:rFonts w:hint="eastAsia" w:ascii="宋体" w:hAnsi="宋体" w:cs="宋体"/>
          <w:bCs/>
          <w:szCs w:val="21"/>
          <w:highlight w:val="none"/>
        </w:rPr>
      </w:pPr>
      <w:r>
        <w:rPr>
          <w:rFonts w:hint="eastAsia" w:ascii="宋体" w:hAnsi="宋体" w:cs="宋体"/>
          <w:bCs/>
          <w:szCs w:val="21"/>
          <w:highlight w:val="none"/>
        </w:rPr>
        <w:t>法定代表人（签字或盖章）：</w:t>
      </w:r>
      <w:r>
        <w:rPr>
          <w:rFonts w:hint="eastAsia" w:ascii="宋体" w:hAnsi="宋体" w:cs="宋体"/>
          <w:bCs/>
          <w:szCs w:val="21"/>
          <w:highlight w:val="none"/>
          <w:u w:val="single"/>
        </w:rPr>
        <w:t xml:space="preserve">                      </w:t>
      </w:r>
    </w:p>
    <w:p w14:paraId="1DABE026">
      <w:pPr>
        <w:pageBreakBefore w:val="0"/>
        <w:kinsoku/>
        <w:bidi w:val="0"/>
        <w:spacing w:line="360" w:lineRule="auto"/>
        <w:ind w:firstLine="480"/>
        <w:jc w:val="right"/>
        <w:rPr>
          <w:rFonts w:hint="eastAsia" w:ascii="宋体" w:hAnsi="宋体" w:cs="宋体"/>
          <w:szCs w:val="21"/>
          <w:highlight w:val="none"/>
        </w:rPr>
      </w:pPr>
    </w:p>
    <w:p w14:paraId="65C2C667">
      <w:pPr>
        <w:pageBreakBefore w:val="0"/>
        <w:kinsoku/>
        <w:bidi w:val="0"/>
        <w:spacing w:line="360" w:lineRule="auto"/>
        <w:ind w:left="2833" w:right="560" w:firstLine="2777"/>
        <w:rPr>
          <w:rFonts w:hint="eastAsia" w:ascii="宋体" w:hAnsi="宋体" w:cs="宋体"/>
          <w:szCs w:val="21"/>
          <w:highlight w:val="none"/>
        </w:rPr>
      </w:pPr>
      <w:r>
        <w:rPr>
          <w:rFonts w:hint="eastAsia" w:ascii="宋体" w:hAnsi="宋体" w:cs="宋体"/>
          <w:szCs w:val="21"/>
          <w:highlight w:val="none"/>
        </w:rPr>
        <w:t>年     月     日</w:t>
      </w:r>
    </w:p>
    <w:p w14:paraId="7C424AE3">
      <w:pPr>
        <w:pageBreakBefore w:val="0"/>
        <w:kinsoku/>
        <w:bidi w:val="0"/>
        <w:spacing w:line="360" w:lineRule="auto"/>
        <w:jc w:val="center"/>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t>5.中小企业声明函（工程、服务）</w:t>
      </w:r>
    </w:p>
    <w:p w14:paraId="163FCEC5">
      <w:pPr>
        <w:pageBreakBefore w:val="0"/>
        <w:kinsoku/>
        <w:bidi w:val="0"/>
        <w:spacing w:line="360" w:lineRule="auto"/>
        <w:ind w:firstLine="560"/>
        <w:rPr>
          <w:rFonts w:hint="eastAsia" w:ascii="宋体" w:hAnsi="宋体" w:cs="宋体"/>
          <w:szCs w:val="21"/>
          <w:highlight w:val="none"/>
          <w:lang w:bidi="zh-CN"/>
        </w:rPr>
      </w:pPr>
      <w:r>
        <w:rPr>
          <w:rFonts w:hint="eastAsia" w:ascii="宋体" w:hAnsi="宋体" w:cs="宋体"/>
          <w:szCs w:val="21"/>
          <w:highlight w:val="none"/>
          <w:lang w:bidi="zh-CN"/>
        </w:rPr>
        <w:t>本公司郑重声明，根据《政府采购促进中小企业发展管理办法》（财库﹝2020﹞46 号）的规定，本公司参加</w:t>
      </w:r>
      <w:r>
        <w:rPr>
          <w:rFonts w:hint="eastAsia" w:ascii="宋体" w:hAnsi="宋体" w:cs="宋体"/>
          <w:szCs w:val="21"/>
          <w:highlight w:val="none"/>
          <w:u w:val="single"/>
          <w:lang w:bidi="zh-CN"/>
        </w:rPr>
        <w:t>（单位名称）</w:t>
      </w:r>
      <w:r>
        <w:rPr>
          <w:rFonts w:hint="eastAsia" w:ascii="宋体" w:hAnsi="宋体" w:cs="宋体"/>
          <w:szCs w:val="21"/>
          <w:highlight w:val="none"/>
          <w:lang w:bidi="zh-CN"/>
        </w:rPr>
        <w:t>的</w:t>
      </w:r>
      <w:r>
        <w:rPr>
          <w:rFonts w:hint="eastAsia" w:ascii="宋体" w:hAnsi="宋体" w:cs="宋体"/>
          <w:szCs w:val="21"/>
          <w:highlight w:val="none"/>
          <w:u w:val="single"/>
          <w:lang w:bidi="zh-CN"/>
        </w:rPr>
        <w:t>（项目名称）</w:t>
      </w:r>
      <w:r>
        <w:rPr>
          <w:rFonts w:hint="eastAsia" w:ascii="宋体" w:hAnsi="宋体" w:cs="宋体"/>
          <w:szCs w:val="21"/>
          <w:highlight w:val="none"/>
          <w:lang w:bidi="zh-CN"/>
        </w:rPr>
        <w:t>采购活动，工程的施工单位全部为符合政策要求的中小企业（或者：服务全部由符合政策要求的中小企业承接）。企业的具体情况如下：</w:t>
      </w:r>
    </w:p>
    <w:p w14:paraId="28EC090D">
      <w:pPr>
        <w:pageBreakBefore w:val="0"/>
        <w:kinsoku/>
        <w:bidi w:val="0"/>
        <w:spacing w:line="360" w:lineRule="auto"/>
        <w:ind w:firstLine="420" w:firstLineChars="200"/>
        <w:jc w:val="left"/>
        <w:rPr>
          <w:rFonts w:hint="eastAsia" w:ascii="宋体" w:hAnsi="宋体" w:cs="宋体"/>
          <w:szCs w:val="21"/>
          <w:highlight w:val="none"/>
          <w:lang w:bidi="zh-CN"/>
        </w:rPr>
      </w:pPr>
      <w:r>
        <w:rPr>
          <w:rFonts w:hint="eastAsia" w:ascii="宋体" w:hAnsi="宋体" w:cs="宋体"/>
          <w:szCs w:val="21"/>
          <w:highlight w:val="none"/>
          <w:lang w:bidi="zh-CN"/>
        </w:rPr>
        <w:t>1.</w:t>
      </w:r>
      <w:r>
        <w:rPr>
          <w:rFonts w:hint="eastAsia" w:ascii="宋体" w:hAnsi="宋体" w:cs="宋体"/>
          <w:szCs w:val="21"/>
          <w:highlight w:val="none"/>
          <w:u w:val="single"/>
          <w:lang w:bidi="zh-CN"/>
        </w:rPr>
        <w:t>（标的名称）</w:t>
      </w:r>
      <w:r>
        <w:rPr>
          <w:rFonts w:hint="eastAsia" w:ascii="宋体" w:hAnsi="宋体" w:cs="宋体"/>
          <w:szCs w:val="21"/>
          <w:highlight w:val="none"/>
          <w:lang w:bidi="zh-CN"/>
        </w:rPr>
        <w:t>，属于（</w:t>
      </w:r>
      <w:r>
        <w:rPr>
          <w:rFonts w:hint="eastAsia" w:ascii="宋体" w:hAnsi="宋体" w:cs="宋体"/>
          <w:szCs w:val="21"/>
          <w:highlight w:val="none"/>
          <w:u w:val="single"/>
          <w:lang w:bidi="zh-CN"/>
        </w:rPr>
        <w:t>采购文件中明确的所属行业）</w:t>
      </w:r>
      <w:r>
        <w:rPr>
          <w:rFonts w:hint="eastAsia" w:ascii="宋体" w:hAnsi="宋体" w:cs="宋体"/>
          <w:szCs w:val="21"/>
          <w:highlight w:val="none"/>
          <w:lang w:bidi="zh-CN"/>
        </w:rPr>
        <w:t>；承建（承接）企业为</w:t>
      </w:r>
      <w:r>
        <w:rPr>
          <w:rFonts w:hint="eastAsia" w:ascii="宋体" w:hAnsi="宋体" w:cs="宋体"/>
          <w:szCs w:val="21"/>
          <w:highlight w:val="none"/>
          <w:u w:val="single"/>
          <w:lang w:bidi="zh-CN"/>
        </w:rPr>
        <w:t>（企业名称）</w:t>
      </w:r>
      <w:r>
        <w:rPr>
          <w:rFonts w:hint="eastAsia" w:ascii="宋体" w:hAnsi="宋体" w:cs="宋体"/>
          <w:szCs w:val="21"/>
          <w:highlight w:val="none"/>
          <w:lang w:bidi="zh-CN"/>
        </w:rPr>
        <w:t>，从业人员</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人，营业收入为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万元，资产总额为</w:t>
      </w:r>
      <w:r>
        <w:rPr>
          <w:rFonts w:hint="eastAsia" w:ascii="宋体" w:hAnsi="宋体" w:cs="宋体"/>
          <w:szCs w:val="21"/>
          <w:highlight w:val="none"/>
          <w:u w:val="single"/>
          <w:lang w:bidi="zh-CN"/>
        </w:rPr>
        <w:t xml:space="preserve"> </w:t>
      </w:r>
      <w:r>
        <w:rPr>
          <w:rFonts w:hint="eastAsia" w:ascii="宋体" w:hAnsi="宋体" w:cs="宋体"/>
          <w:szCs w:val="21"/>
          <w:highlight w:val="none"/>
          <w:u w:val="single"/>
          <w:lang w:bidi="zh-CN"/>
        </w:rPr>
        <w:tab/>
      </w:r>
      <w:r>
        <w:rPr>
          <w:rFonts w:hint="eastAsia" w:ascii="宋体" w:hAnsi="宋体" w:cs="宋体"/>
          <w:szCs w:val="21"/>
          <w:highlight w:val="none"/>
          <w:u w:val="single"/>
          <w:lang w:bidi="zh-CN"/>
        </w:rPr>
        <w:t xml:space="preserve">  </w:t>
      </w:r>
      <w:r>
        <w:rPr>
          <w:rFonts w:hint="eastAsia" w:ascii="宋体" w:hAnsi="宋体" w:cs="宋体"/>
          <w:szCs w:val="21"/>
          <w:highlight w:val="none"/>
          <w:lang w:bidi="zh-CN"/>
        </w:rPr>
        <w:t>万元，属于</w:t>
      </w:r>
      <w:r>
        <w:rPr>
          <w:rFonts w:hint="eastAsia" w:ascii="宋体" w:hAnsi="宋体" w:cs="宋体"/>
          <w:szCs w:val="21"/>
          <w:highlight w:val="none"/>
          <w:u w:val="single"/>
          <w:lang w:bidi="zh-CN"/>
        </w:rPr>
        <w:t>（中型企业、小型企业、微型企业）</w:t>
      </w:r>
      <w:r>
        <w:rPr>
          <w:rFonts w:hint="eastAsia" w:ascii="宋体" w:hAnsi="宋体" w:cs="宋体"/>
          <w:szCs w:val="21"/>
          <w:highlight w:val="none"/>
          <w:lang w:bidi="zh-CN"/>
        </w:rPr>
        <w:t>；</w:t>
      </w:r>
    </w:p>
    <w:p w14:paraId="0223F505">
      <w:pPr>
        <w:pageBreakBefore w:val="0"/>
        <w:kinsoku/>
        <w:bidi w:val="0"/>
        <w:spacing w:line="360" w:lineRule="auto"/>
        <w:ind w:firstLine="480"/>
        <w:jc w:val="left"/>
        <w:rPr>
          <w:rFonts w:hint="eastAsia" w:ascii="宋体" w:hAnsi="宋体" w:cs="宋体"/>
          <w:szCs w:val="21"/>
          <w:highlight w:val="none"/>
          <w:lang w:bidi="zh-CN"/>
        </w:rPr>
      </w:pPr>
      <w:r>
        <w:rPr>
          <w:rFonts w:hint="eastAsia" w:ascii="宋体" w:hAnsi="宋体" w:cs="宋体"/>
          <w:szCs w:val="21"/>
          <w:highlight w:val="none"/>
          <w:lang w:bidi="zh-CN"/>
        </w:rPr>
        <w:t>……</w:t>
      </w:r>
    </w:p>
    <w:p w14:paraId="387B6442">
      <w:pPr>
        <w:pageBreakBefore w:val="0"/>
        <w:kinsoku/>
        <w:bidi w:val="0"/>
        <w:spacing w:line="360" w:lineRule="auto"/>
        <w:ind w:firstLine="480"/>
        <w:jc w:val="left"/>
        <w:rPr>
          <w:rFonts w:hint="eastAsia" w:ascii="宋体" w:hAnsi="宋体" w:cs="宋体"/>
          <w:szCs w:val="21"/>
          <w:highlight w:val="none"/>
          <w:lang w:bidi="zh-CN"/>
        </w:rPr>
      </w:pPr>
      <w:r>
        <w:rPr>
          <w:rFonts w:hint="eastAsia" w:ascii="宋体" w:hAnsi="宋体" w:cs="宋体"/>
          <w:szCs w:val="21"/>
          <w:highlight w:val="none"/>
          <w:lang w:bidi="zh-CN"/>
        </w:rPr>
        <w:t>以上企业，不属于大企业的分支机构，不存在控股股东为大企业的情形，也不存在与大企业的负责人为同一人的情形。</w:t>
      </w:r>
    </w:p>
    <w:p w14:paraId="70C20E98">
      <w:pPr>
        <w:pageBreakBefore w:val="0"/>
        <w:kinsoku/>
        <w:bidi w:val="0"/>
        <w:spacing w:line="360" w:lineRule="auto"/>
        <w:ind w:firstLine="480"/>
        <w:jc w:val="left"/>
        <w:rPr>
          <w:rFonts w:hint="eastAsia" w:ascii="宋体" w:hAnsi="宋体" w:cs="宋体"/>
          <w:szCs w:val="21"/>
          <w:highlight w:val="none"/>
          <w:lang w:bidi="zh-CN"/>
        </w:rPr>
      </w:pPr>
      <w:r>
        <w:rPr>
          <w:rFonts w:hint="eastAsia" w:ascii="宋体" w:hAnsi="宋体" w:cs="宋体"/>
          <w:szCs w:val="21"/>
          <w:highlight w:val="none"/>
          <w:lang w:bidi="zh-CN"/>
        </w:rPr>
        <w:t>本企业对上述声明内容的真实性负责。如有虚假，将依法承担相应责任。</w:t>
      </w:r>
    </w:p>
    <w:p w14:paraId="5FB6CD29">
      <w:pPr>
        <w:pageBreakBefore w:val="0"/>
        <w:kinsoku/>
        <w:bidi w:val="0"/>
        <w:spacing w:line="360" w:lineRule="auto"/>
        <w:jc w:val="left"/>
        <w:rPr>
          <w:rFonts w:hint="eastAsia" w:ascii="宋体" w:hAnsi="宋体" w:cs="宋体"/>
          <w:szCs w:val="21"/>
          <w:highlight w:val="none"/>
          <w:lang w:bidi="zh-CN"/>
        </w:rPr>
      </w:pPr>
    </w:p>
    <w:p w14:paraId="02E98620">
      <w:pPr>
        <w:pageBreakBefore w:val="0"/>
        <w:kinsoku/>
        <w:bidi w:val="0"/>
        <w:spacing w:line="360" w:lineRule="auto"/>
        <w:jc w:val="left"/>
        <w:rPr>
          <w:rFonts w:hint="eastAsia" w:ascii="宋体" w:hAnsi="宋体" w:cs="宋体"/>
          <w:szCs w:val="21"/>
          <w:highlight w:val="none"/>
          <w:lang w:bidi="zh-CN"/>
        </w:rPr>
      </w:pPr>
      <w:r>
        <w:rPr>
          <w:rFonts w:hint="eastAsia" w:ascii="宋体" w:hAnsi="宋体" w:cs="宋体"/>
          <w:szCs w:val="21"/>
          <w:highlight w:val="none"/>
          <w:lang w:bidi="zh-CN"/>
        </w:rPr>
        <w:t>企业名称（盖章）：</w:t>
      </w:r>
    </w:p>
    <w:p w14:paraId="53CB2023">
      <w:pPr>
        <w:pageBreakBefore w:val="0"/>
        <w:kinsoku/>
        <w:bidi w:val="0"/>
        <w:spacing w:line="360" w:lineRule="auto"/>
        <w:jc w:val="left"/>
        <w:rPr>
          <w:rFonts w:hint="eastAsia" w:ascii="宋体" w:hAnsi="宋体" w:cs="宋体"/>
          <w:szCs w:val="21"/>
          <w:highlight w:val="none"/>
          <w:lang w:bidi="zh-CN"/>
        </w:rPr>
      </w:pPr>
      <w:r>
        <w:rPr>
          <w:rFonts w:hint="eastAsia" w:ascii="宋体" w:hAnsi="宋体" w:cs="宋体"/>
          <w:szCs w:val="21"/>
          <w:highlight w:val="none"/>
          <w:lang w:bidi="zh-CN"/>
        </w:rPr>
        <w:t>日期：</w:t>
      </w:r>
    </w:p>
    <w:p w14:paraId="329CC67E">
      <w:pPr>
        <w:pageBreakBefore w:val="0"/>
        <w:kinsoku/>
        <w:bidi w:val="0"/>
        <w:spacing w:line="360" w:lineRule="auto"/>
        <w:ind w:firstLine="577"/>
        <w:rPr>
          <w:rFonts w:hint="eastAsia" w:ascii="宋体" w:hAnsi="宋体" w:cs="宋体"/>
          <w:szCs w:val="21"/>
          <w:highlight w:val="none"/>
        </w:rPr>
      </w:pPr>
    </w:p>
    <w:p w14:paraId="4377B035">
      <w:pPr>
        <w:pageBreakBefore w:val="0"/>
        <w:kinsoku/>
        <w:bidi w:val="0"/>
        <w:spacing w:line="360" w:lineRule="auto"/>
        <w:ind w:firstLine="577"/>
        <w:rPr>
          <w:rFonts w:hint="eastAsia" w:ascii="宋体" w:hAnsi="宋体" w:cs="宋体"/>
          <w:szCs w:val="21"/>
          <w:highlight w:val="none"/>
        </w:rPr>
      </w:pPr>
    </w:p>
    <w:p w14:paraId="61AFB253">
      <w:pPr>
        <w:pageBreakBefore w:val="0"/>
        <w:kinsoku/>
        <w:bidi w:val="0"/>
        <w:spacing w:line="360" w:lineRule="auto"/>
        <w:ind w:firstLine="494"/>
        <w:rPr>
          <w:rFonts w:hint="eastAsia" w:ascii="宋体" w:hAnsi="宋体" w:cs="宋体"/>
          <w:szCs w:val="21"/>
          <w:highlight w:val="none"/>
        </w:rPr>
      </w:pPr>
      <w:r>
        <w:rPr>
          <w:rFonts w:hint="eastAsia" w:ascii="宋体" w:hAnsi="宋体" w:cs="宋体"/>
          <w:szCs w:val="21"/>
          <w:highlight w:val="none"/>
        </w:rPr>
        <w:t>注：</w:t>
      </w:r>
    </w:p>
    <w:p w14:paraId="2C590886">
      <w:pPr>
        <w:pageBreakBefore w:val="0"/>
        <w:kinsoku/>
        <w:bidi w:val="0"/>
        <w:spacing w:line="360" w:lineRule="auto"/>
        <w:ind w:firstLine="494"/>
        <w:rPr>
          <w:rFonts w:hint="eastAsia" w:ascii="宋体" w:hAnsi="宋体" w:cs="宋体"/>
          <w:szCs w:val="21"/>
          <w:highlight w:val="none"/>
        </w:rPr>
      </w:pPr>
      <w:r>
        <w:rPr>
          <w:rFonts w:hint="eastAsia" w:ascii="宋体" w:hAnsi="宋体" w:cs="宋体"/>
          <w:szCs w:val="21"/>
          <w:highlight w:val="none"/>
        </w:rPr>
        <w:t>（1）中小企业划分标准以工信部联企业〔2011〕300号通知中的《中小企业划型标准规定》为准。</w:t>
      </w:r>
    </w:p>
    <w:p w14:paraId="6EA8C582">
      <w:pPr>
        <w:pageBreakBefore w:val="0"/>
        <w:kinsoku/>
        <w:bidi w:val="0"/>
        <w:spacing w:line="360" w:lineRule="auto"/>
        <w:ind w:firstLine="494"/>
        <w:rPr>
          <w:rFonts w:hint="eastAsia" w:ascii="宋体" w:hAnsi="宋体" w:cs="宋体"/>
          <w:szCs w:val="21"/>
          <w:highlight w:val="none"/>
        </w:rPr>
      </w:pPr>
      <w:r>
        <w:rPr>
          <w:rFonts w:hint="eastAsia" w:ascii="宋体" w:hAnsi="宋体" w:cs="宋体"/>
          <w:szCs w:val="21"/>
          <w:highlight w:val="none"/>
        </w:rPr>
        <w:t>（2）从业人员、营业收入、资产总额填报上一年度数据，无上一年度数据的新成立企业可不填报。</w:t>
      </w:r>
    </w:p>
    <w:p w14:paraId="5BADFB58">
      <w:pPr>
        <w:pageBreakBefore w:val="0"/>
        <w:kinsoku/>
        <w:bidi w:val="0"/>
        <w:spacing w:line="360" w:lineRule="auto"/>
        <w:ind w:right="561"/>
        <w:rPr>
          <w:rFonts w:hint="eastAsia" w:ascii="宋体" w:hAnsi="宋体" w:cs="宋体"/>
          <w:szCs w:val="21"/>
          <w:highlight w:val="none"/>
        </w:rPr>
      </w:pPr>
    </w:p>
    <w:p w14:paraId="3C904732">
      <w:pPr>
        <w:pageBreakBefore w:val="0"/>
        <w:kinsoku/>
        <w:bidi w:val="0"/>
        <w:spacing w:line="360" w:lineRule="auto"/>
        <w:jc w:val="center"/>
        <w:rPr>
          <w:rFonts w:hint="eastAsia" w:ascii="宋体" w:hAnsi="宋体" w:cs="宋体"/>
          <w:b/>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6.残疾人福利性单位声明函（如有）</w:t>
      </w:r>
    </w:p>
    <w:p w14:paraId="0608160B">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highlight w:val="none"/>
          <w:u w:val="single"/>
        </w:rPr>
        <w:t xml:space="preserve">       </w:t>
      </w:r>
      <w:r>
        <w:rPr>
          <w:rFonts w:hint="eastAsia" w:ascii="宋体" w:hAnsi="宋体" w:cs="宋体"/>
          <w:szCs w:val="21"/>
          <w:highlight w:val="none"/>
        </w:rPr>
        <w:t>项目采购活动提供本单位制造的货物（由本单位承担工程/提供服务），或者提供其他残疾人福利性单位制造的货物（不包括使用非残疾人福利性单位注册商标的货物）。</w:t>
      </w:r>
    </w:p>
    <w:p w14:paraId="7F426568">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本单位在本次政府采购活动中提供的残疾人福利单位产品报价合计为人民币（大写）</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元</w:t>
      </w:r>
      <w:r>
        <w:rPr>
          <w:rFonts w:hint="eastAsia" w:ascii="宋体" w:hAnsi="宋体" w:cs="宋体"/>
          <w:szCs w:val="21"/>
          <w:highlight w:val="none"/>
        </w:rPr>
        <w:t>整（￥：     ）。</w:t>
      </w:r>
    </w:p>
    <w:p w14:paraId="31393693">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本单位对上述声明的真实性负责。如有虚假，将依法承担相应责任。</w:t>
      </w:r>
    </w:p>
    <w:p w14:paraId="7AEF7F8A">
      <w:pPr>
        <w:pageBreakBefore w:val="0"/>
        <w:kinsoku/>
        <w:bidi w:val="0"/>
        <w:spacing w:line="360" w:lineRule="auto"/>
        <w:ind w:firstLine="480"/>
        <w:rPr>
          <w:rFonts w:hint="eastAsia" w:ascii="宋体" w:hAnsi="宋体" w:cs="宋体"/>
          <w:spacing w:val="6"/>
          <w:szCs w:val="21"/>
          <w:highlight w:val="none"/>
        </w:rPr>
      </w:pPr>
      <w:r>
        <w:rPr>
          <w:rFonts w:hint="eastAsia" w:ascii="宋体" w:hAnsi="宋体" w:cs="宋体"/>
          <w:szCs w:val="21"/>
          <w:highlight w:val="none"/>
        </w:rPr>
        <w:t>（备注：成交供应商为残疾人福利单位的，此声明函将随成交结果同时公告，接受社会监督）</w:t>
      </w:r>
    </w:p>
    <w:p w14:paraId="50FCBEAD">
      <w:pPr>
        <w:pageBreakBefore w:val="0"/>
        <w:tabs>
          <w:tab w:val="left" w:pos="4860"/>
        </w:tabs>
        <w:kinsoku/>
        <w:bidi w:val="0"/>
        <w:spacing w:line="360" w:lineRule="auto"/>
        <w:ind w:firstLine="624"/>
        <w:jc w:val="center"/>
        <w:rPr>
          <w:rFonts w:hint="eastAsia" w:ascii="宋体" w:hAnsi="宋体" w:cs="宋体"/>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 xml:space="preserve">                     供应商全称（盖章）：</w:t>
      </w:r>
    </w:p>
    <w:p w14:paraId="0B2BE245">
      <w:pPr>
        <w:pageBreakBefore w:val="0"/>
        <w:tabs>
          <w:tab w:val="left" w:pos="4860"/>
        </w:tabs>
        <w:kinsoku/>
        <w:bidi w:val="0"/>
        <w:spacing w:line="360" w:lineRule="auto"/>
        <w:ind w:firstLine="480"/>
        <w:jc w:val="center"/>
        <w:rPr>
          <w:rFonts w:hint="eastAsia" w:ascii="宋体" w:hAnsi="宋体" w:cs="宋体"/>
          <w:szCs w:val="21"/>
          <w:highlight w:val="none"/>
        </w:rPr>
      </w:pPr>
      <w:r>
        <w:rPr>
          <w:rFonts w:hint="eastAsia" w:ascii="宋体" w:hAnsi="宋体" w:cs="宋体"/>
          <w:szCs w:val="21"/>
          <w:highlight w:val="none"/>
        </w:rPr>
        <w:t xml:space="preserve">                              日  期：</w:t>
      </w:r>
    </w:p>
    <w:p w14:paraId="2D94285D">
      <w:pPr>
        <w:pageBreakBefore w:val="0"/>
        <w:shd w:val="clear" w:color="auto" w:fill="FFFFFF"/>
        <w:kinsoku/>
        <w:bidi w:val="0"/>
        <w:spacing w:line="360" w:lineRule="auto"/>
        <w:jc w:val="left"/>
        <w:rPr>
          <w:rFonts w:hint="eastAsia" w:ascii="宋体" w:hAnsi="宋体" w:cs="宋体"/>
          <w:szCs w:val="21"/>
          <w:highlight w:val="none"/>
        </w:rPr>
      </w:pPr>
      <w:r>
        <w:rPr>
          <w:rFonts w:hint="eastAsia" w:ascii="宋体" w:hAnsi="宋体" w:cs="宋体"/>
          <w:szCs w:val="21"/>
          <w:highlight w:val="none"/>
        </w:rPr>
        <w:t>享受政府采购支持政策的残疾人福利性单位应当同时满足以下条件：</w:t>
      </w:r>
    </w:p>
    <w:p w14:paraId="27DD5393">
      <w:pPr>
        <w:pageBreakBefore w:val="0"/>
        <w:shd w:val="clear" w:color="auto" w:fill="FFFFFF"/>
        <w:kinsoku/>
        <w:bidi w:val="0"/>
        <w:spacing w:line="360" w:lineRule="auto"/>
        <w:jc w:val="left"/>
        <w:rPr>
          <w:rFonts w:hint="eastAsia" w:ascii="宋体" w:hAnsi="宋体" w:cs="宋体"/>
          <w:szCs w:val="21"/>
          <w:highlight w:val="none"/>
        </w:rPr>
      </w:pPr>
      <w:r>
        <w:rPr>
          <w:rFonts w:hint="eastAsia" w:ascii="宋体" w:hAnsi="宋体" w:cs="宋体"/>
          <w:szCs w:val="21"/>
          <w:highlight w:val="none"/>
        </w:rPr>
        <w:t>　　（一）安置的残疾人占本单位在职职工人数的比例不低于25%（含25%），并且安置的残疾人人数不少于10人（含10人）；</w:t>
      </w:r>
    </w:p>
    <w:p w14:paraId="70DBF56F">
      <w:pPr>
        <w:pageBreakBefore w:val="0"/>
        <w:shd w:val="clear" w:color="auto" w:fill="FFFFFF"/>
        <w:kinsoku/>
        <w:bidi w:val="0"/>
        <w:spacing w:line="360" w:lineRule="auto"/>
        <w:jc w:val="left"/>
        <w:rPr>
          <w:rFonts w:hint="eastAsia" w:ascii="宋体" w:hAnsi="宋体" w:cs="宋体"/>
          <w:szCs w:val="21"/>
          <w:highlight w:val="none"/>
        </w:rPr>
      </w:pPr>
      <w:r>
        <w:rPr>
          <w:rFonts w:hint="eastAsia" w:ascii="宋体" w:hAnsi="宋体" w:cs="宋体"/>
          <w:szCs w:val="21"/>
          <w:highlight w:val="none"/>
        </w:rPr>
        <w:t>　　（二）依法与安置的每位残疾人签订了一年以上（含一年）的劳动合同或服务协议；</w:t>
      </w:r>
    </w:p>
    <w:p w14:paraId="416384A8">
      <w:pPr>
        <w:pageBreakBefore w:val="0"/>
        <w:shd w:val="clear" w:color="auto" w:fill="FFFFFF"/>
        <w:kinsoku/>
        <w:bidi w:val="0"/>
        <w:spacing w:line="360" w:lineRule="auto"/>
        <w:jc w:val="left"/>
        <w:rPr>
          <w:rFonts w:hint="eastAsia" w:ascii="宋体" w:hAnsi="宋体" w:cs="宋体"/>
          <w:szCs w:val="21"/>
          <w:highlight w:val="none"/>
        </w:rPr>
      </w:pPr>
      <w:r>
        <w:rPr>
          <w:rFonts w:hint="eastAsia" w:ascii="宋体" w:hAnsi="宋体" w:cs="宋体"/>
          <w:szCs w:val="21"/>
          <w:highlight w:val="none"/>
        </w:rPr>
        <w:t>　　（三）为安置的每位残疾人按月足额缴纳了基本养老保险、基本医疗保险、失业保险、工伤保险和生育保险等社会保险费；</w:t>
      </w:r>
    </w:p>
    <w:p w14:paraId="21E4F913">
      <w:pPr>
        <w:pageBreakBefore w:val="0"/>
        <w:shd w:val="clear" w:color="auto" w:fill="FFFFFF"/>
        <w:kinsoku/>
        <w:bidi w:val="0"/>
        <w:spacing w:line="360" w:lineRule="auto"/>
        <w:jc w:val="left"/>
        <w:rPr>
          <w:rFonts w:hint="eastAsia" w:ascii="宋体" w:hAnsi="宋体" w:cs="宋体"/>
          <w:szCs w:val="21"/>
          <w:highlight w:val="none"/>
        </w:rPr>
      </w:pPr>
      <w:r>
        <w:rPr>
          <w:rFonts w:hint="eastAsia" w:ascii="宋体" w:hAnsi="宋体" w:cs="宋体"/>
          <w:szCs w:val="21"/>
          <w:highlight w:val="none"/>
        </w:rPr>
        <w:t>　　（四）通过银行等金融机构向安置的每位残疾人，按月支付了不低于单位所在区县适用的经省级人民政府批准的月最低工资标准的工资；</w:t>
      </w:r>
    </w:p>
    <w:p w14:paraId="683411C9">
      <w:pPr>
        <w:pageBreakBefore w:val="0"/>
        <w:shd w:val="clear" w:color="auto" w:fill="FFFFFF"/>
        <w:kinsoku/>
        <w:bidi w:val="0"/>
        <w:spacing w:line="360" w:lineRule="auto"/>
        <w:jc w:val="left"/>
        <w:rPr>
          <w:rFonts w:hint="eastAsia" w:ascii="宋体" w:hAnsi="宋体" w:cs="宋体"/>
          <w:szCs w:val="21"/>
          <w:highlight w:val="none"/>
        </w:rPr>
      </w:pPr>
      <w:r>
        <w:rPr>
          <w:rFonts w:hint="eastAsia" w:ascii="宋体" w:hAnsi="宋体" w:cs="宋体"/>
          <w:szCs w:val="21"/>
          <w:highlight w:val="none"/>
        </w:rPr>
        <w:t>　　（五）提供本单位制造的货物、承担的工程或者服务（以下简称产品），或者提供其他残疾人福利性单位制造的货物（不包括使用非残疾人福利性单位注册商标的货物）。</w:t>
      </w:r>
    </w:p>
    <w:p w14:paraId="309B3B97">
      <w:pPr>
        <w:pageBreakBefore w:val="0"/>
        <w:shd w:val="clear" w:color="auto" w:fill="FFFFFF"/>
        <w:kinsoku/>
        <w:bidi w:val="0"/>
        <w:spacing w:line="360" w:lineRule="auto"/>
        <w:ind w:firstLine="480"/>
        <w:jc w:val="left"/>
        <w:rPr>
          <w:rFonts w:hint="eastAsia" w:ascii="宋体" w:hAnsi="宋体" w:cs="宋体"/>
          <w:szCs w:val="21"/>
          <w:highlight w:val="none"/>
        </w:rPr>
      </w:pPr>
      <w:r>
        <w:rPr>
          <w:rFonts w:hint="eastAsia" w:ascii="宋体" w:hAnsi="宋体" w:cs="宋体"/>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E49D517">
      <w:pPr>
        <w:pageBreakBefore w:val="0"/>
        <w:kinsoku/>
        <w:bidi w:val="0"/>
        <w:spacing w:line="360" w:lineRule="auto"/>
        <w:ind w:firstLine="211"/>
        <w:jc w:val="center"/>
        <w:rPr>
          <w:rFonts w:hint="eastAsia" w:ascii="宋体" w:hAnsi="宋体" w:cs="宋体"/>
          <w:b/>
          <w:bCs/>
          <w:szCs w:val="21"/>
          <w:highlight w:val="none"/>
        </w:rPr>
      </w:pPr>
      <w:r>
        <w:rPr>
          <w:rFonts w:hint="eastAsia" w:ascii="宋体" w:hAnsi="宋体" w:cs="宋体"/>
          <w:b/>
          <w:bCs/>
          <w:szCs w:val="21"/>
          <w:highlight w:val="none"/>
        </w:rPr>
        <w:t>7.监狱企业证明函（如有）</w:t>
      </w:r>
    </w:p>
    <w:p w14:paraId="0180A6E8">
      <w:pPr>
        <w:pageBreakBefore w:val="0"/>
        <w:kinsoku/>
        <w:bidi w:val="0"/>
        <w:spacing w:line="360" w:lineRule="auto"/>
        <w:jc w:val="center"/>
        <w:rPr>
          <w:rFonts w:hint="eastAsia" w:ascii="宋体" w:hAnsi="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8.磋商响应函</w:t>
      </w:r>
    </w:p>
    <w:p w14:paraId="3F8FB3B3">
      <w:pPr>
        <w:pStyle w:val="27"/>
        <w:pageBreakBefore w:val="0"/>
        <w:kinsoku/>
        <w:bidi w:val="0"/>
        <w:adjustRightInd/>
        <w:spacing w:line="360" w:lineRule="auto"/>
        <w:ind w:firstLine="420"/>
        <w:rPr>
          <w:rFonts w:hint="eastAsia" w:ascii="宋体" w:hAnsi="宋体"/>
          <w:b/>
          <w:bCs/>
          <w:sz w:val="21"/>
          <w:szCs w:val="21"/>
          <w:highlight w:val="none"/>
        </w:rPr>
      </w:pPr>
      <w:r>
        <w:rPr>
          <w:rFonts w:hint="eastAsia" w:ascii="宋体" w:hAnsi="宋体"/>
          <w:sz w:val="21"/>
          <w:szCs w:val="21"/>
          <w:highlight w:val="none"/>
        </w:rPr>
        <w:t>致：</w:t>
      </w:r>
      <w:r>
        <w:rPr>
          <w:rFonts w:hint="eastAsia" w:ascii="宋体" w:hAnsi="宋体"/>
          <w:b/>
          <w:bCs/>
          <w:sz w:val="21"/>
          <w:szCs w:val="21"/>
          <w:highlight w:val="none"/>
          <w:u w:val="single"/>
        </w:rPr>
        <w:t xml:space="preserve">      （采购人名称）   </w:t>
      </w:r>
    </w:p>
    <w:p w14:paraId="06EDB452">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根据贵方的</w:t>
      </w:r>
      <w:r>
        <w:rPr>
          <w:rFonts w:hint="eastAsia" w:ascii="宋体" w:hAnsi="宋体"/>
          <w:sz w:val="21"/>
          <w:szCs w:val="21"/>
          <w:highlight w:val="none"/>
          <w:u w:val="single"/>
        </w:rPr>
        <w:t xml:space="preserve">         </w:t>
      </w:r>
      <w:r>
        <w:rPr>
          <w:rFonts w:hint="eastAsia" w:ascii="宋体" w:hAnsi="宋体"/>
          <w:sz w:val="21"/>
          <w:szCs w:val="21"/>
          <w:highlight w:val="none"/>
        </w:rPr>
        <w:t>号磋商文件，正式授权下述签字人</w:t>
      </w:r>
      <w:r>
        <w:rPr>
          <w:rFonts w:hint="eastAsia" w:ascii="宋体" w:hAnsi="宋体"/>
          <w:sz w:val="21"/>
          <w:szCs w:val="21"/>
          <w:highlight w:val="none"/>
          <w:u w:val="single"/>
        </w:rPr>
        <w:t xml:space="preserve">         </w:t>
      </w:r>
      <w:r>
        <w:rPr>
          <w:rFonts w:hint="eastAsia" w:ascii="宋体" w:hAnsi="宋体"/>
          <w:sz w:val="21"/>
          <w:szCs w:val="21"/>
          <w:highlight w:val="none"/>
        </w:rPr>
        <w:t>（姓名和职务）代表我方</w:t>
      </w:r>
      <w:r>
        <w:rPr>
          <w:rFonts w:hint="eastAsia" w:ascii="宋体" w:hAnsi="宋体"/>
          <w:sz w:val="21"/>
          <w:szCs w:val="21"/>
          <w:highlight w:val="none"/>
          <w:u w:val="single"/>
        </w:rPr>
        <w:t xml:space="preserve">                   </w:t>
      </w:r>
      <w:r>
        <w:rPr>
          <w:rFonts w:hint="eastAsia" w:ascii="宋体" w:hAnsi="宋体"/>
          <w:sz w:val="21"/>
          <w:szCs w:val="21"/>
          <w:highlight w:val="none"/>
        </w:rPr>
        <w:t>（供应商的名称），全权处理</w:t>
      </w:r>
      <w:r>
        <w:rPr>
          <w:rFonts w:hint="eastAsia" w:ascii="宋体" w:hAnsi="宋体"/>
          <w:sz w:val="21"/>
          <w:szCs w:val="21"/>
          <w:highlight w:val="none"/>
          <w:u w:val="single"/>
        </w:rPr>
        <w:t xml:space="preserve">              </w:t>
      </w:r>
      <w:r>
        <w:rPr>
          <w:rFonts w:hint="eastAsia" w:ascii="宋体" w:hAnsi="宋体"/>
          <w:sz w:val="21"/>
          <w:szCs w:val="21"/>
          <w:highlight w:val="none"/>
        </w:rPr>
        <w:t>磋商采购的有关事宜。</w:t>
      </w:r>
    </w:p>
    <w:p w14:paraId="682B6802">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据此函，</w:t>
      </w:r>
      <w:r>
        <w:rPr>
          <w:rFonts w:hint="eastAsia" w:ascii="宋体" w:hAnsi="宋体"/>
          <w:sz w:val="21"/>
          <w:szCs w:val="21"/>
          <w:highlight w:val="none"/>
          <w:u w:val="single"/>
        </w:rPr>
        <w:t xml:space="preserve">         </w:t>
      </w:r>
      <w:r>
        <w:rPr>
          <w:rFonts w:hint="eastAsia" w:ascii="宋体" w:hAnsi="宋体"/>
          <w:sz w:val="21"/>
          <w:szCs w:val="21"/>
          <w:highlight w:val="none"/>
        </w:rPr>
        <w:t>（签字人）兹宣布同意如下：</w:t>
      </w:r>
    </w:p>
    <w:p w14:paraId="6441F3BC">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1.按照磋商文件规定的各项要求，向采购人提供所需服务。</w:t>
      </w:r>
    </w:p>
    <w:p w14:paraId="5130596C">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2.我们已详细审核全部磋商文件及其有效补充文件，我们知道必须放弃提出含糊不清或误解问题的权利。</w:t>
      </w:r>
    </w:p>
    <w:p w14:paraId="46E3742D">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3.我们同意从规定的响应文件接收截止时间起遵循本响应文件，并在规定的磋商有效期届满之前均具有约束力。</w:t>
      </w:r>
    </w:p>
    <w:p w14:paraId="1EECCA6D">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4.如果在响应文件接收截止时间后规定的磋商有效期内撤回响应文件或成交后拒绝签订合同，我们自愿接受政府采购监管机构的处理。</w:t>
      </w:r>
    </w:p>
    <w:p w14:paraId="7D1E7689">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5.同意向贵方提供贵方可能另外要求的与磋商采购有关的任何证据或资料，并保证我方已提供和将要提供的文件是真实的、准确的。</w:t>
      </w:r>
    </w:p>
    <w:p w14:paraId="14B655CA">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6.一旦我方成交，我方将根据磋商文件的规定，严格履行合同的责任和义务，并保证在磋商文件规定的时</w:t>
      </w:r>
      <w:r>
        <w:rPr>
          <w:rFonts w:hint="eastAsia" w:ascii="宋体" w:hAnsi="宋体"/>
          <w:sz w:val="21"/>
          <w:szCs w:val="21"/>
          <w:highlight w:val="none"/>
          <w:lang w:eastAsia="zh-CN"/>
        </w:rPr>
        <w:t>间内</w:t>
      </w:r>
      <w:r>
        <w:rPr>
          <w:rFonts w:hint="eastAsia" w:ascii="宋体" w:hAnsi="宋体"/>
          <w:sz w:val="21"/>
          <w:szCs w:val="21"/>
          <w:highlight w:val="none"/>
        </w:rPr>
        <w:t>完成项目，交付采购人验收、使用。</w:t>
      </w:r>
    </w:p>
    <w:p w14:paraId="3205EF24">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7.遵守磋商文件中要求的收费项目和标准。</w:t>
      </w:r>
    </w:p>
    <w:p w14:paraId="28B3F9DE">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8.与本磋商采购有关的正式通讯地址为：</w:t>
      </w:r>
    </w:p>
    <w:p w14:paraId="1B857F8F">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地 址：                         邮 编：</w:t>
      </w:r>
    </w:p>
    <w:p w14:paraId="6B7B567B">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电 话：                         传 真：</w:t>
      </w:r>
    </w:p>
    <w:p w14:paraId="75B19C19">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 xml:space="preserve">供应商开户行：                  账 户： </w:t>
      </w:r>
    </w:p>
    <w:p w14:paraId="39BE6F2E">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法定代表人或授权代表姓名（签字）：     联系电话：</w:t>
      </w:r>
    </w:p>
    <w:p w14:paraId="59BC1A8A">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 xml:space="preserve">供应商名称（公章）：            </w:t>
      </w:r>
    </w:p>
    <w:p w14:paraId="20531061">
      <w:pPr>
        <w:pStyle w:val="34"/>
        <w:pageBreakBefore w:val="0"/>
        <w:kinsoku/>
        <w:bidi w:val="0"/>
        <w:spacing w:line="360" w:lineRule="auto"/>
        <w:ind w:firstLine="420" w:firstLineChars="200"/>
        <w:rPr>
          <w:rFonts w:hint="eastAsia" w:ascii="宋体" w:hAnsi="宋体"/>
          <w:sz w:val="21"/>
          <w:szCs w:val="21"/>
          <w:highlight w:val="none"/>
        </w:rPr>
      </w:pPr>
      <w:r>
        <w:rPr>
          <w:rFonts w:hint="eastAsia" w:ascii="宋体" w:hAnsi="宋体"/>
          <w:sz w:val="21"/>
          <w:szCs w:val="21"/>
          <w:highlight w:val="none"/>
        </w:rPr>
        <w:t>日 期：</w:t>
      </w:r>
      <w:r>
        <w:rPr>
          <w:rFonts w:hint="eastAsia" w:ascii="宋体" w:hAnsi="宋体"/>
          <w:sz w:val="21"/>
          <w:szCs w:val="21"/>
          <w:highlight w:val="none"/>
          <w:u w:val="single"/>
        </w:rPr>
        <w:t xml:space="preserve">      </w:t>
      </w:r>
      <w:r>
        <w:rPr>
          <w:rFonts w:hint="eastAsia" w:ascii="宋体" w:hAnsi="宋体"/>
          <w:sz w:val="21"/>
          <w:szCs w:val="21"/>
          <w:highlight w:val="none"/>
        </w:rPr>
        <w:t>年</w:t>
      </w:r>
      <w:r>
        <w:rPr>
          <w:rFonts w:hint="eastAsia" w:ascii="宋体" w:hAnsi="宋体"/>
          <w:sz w:val="21"/>
          <w:szCs w:val="21"/>
          <w:highlight w:val="none"/>
          <w:u w:val="single"/>
        </w:rPr>
        <w:t xml:space="preserve">   </w:t>
      </w:r>
      <w:r>
        <w:rPr>
          <w:rFonts w:hint="eastAsia" w:ascii="宋体" w:hAnsi="宋体"/>
          <w:sz w:val="21"/>
          <w:szCs w:val="21"/>
          <w:highlight w:val="none"/>
        </w:rPr>
        <w:t>月</w:t>
      </w:r>
      <w:r>
        <w:rPr>
          <w:rFonts w:hint="eastAsia" w:ascii="宋体" w:hAnsi="宋体"/>
          <w:sz w:val="21"/>
          <w:szCs w:val="21"/>
          <w:highlight w:val="none"/>
          <w:u w:val="single"/>
        </w:rPr>
        <w:t xml:space="preserve">   </w:t>
      </w:r>
      <w:r>
        <w:rPr>
          <w:rFonts w:hint="eastAsia" w:ascii="宋体" w:hAnsi="宋体"/>
          <w:sz w:val="21"/>
          <w:szCs w:val="21"/>
          <w:highlight w:val="none"/>
        </w:rPr>
        <w:t>日</w:t>
      </w:r>
    </w:p>
    <w:p w14:paraId="2DA81076">
      <w:pPr>
        <w:pageBreakBefore w:val="0"/>
        <w:kinsoku/>
        <w:bidi w:val="0"/>
        <w:spacing w:line="360" w:lineRule="auto"/>
        <w:ind w:firstLine="420" w:firstLineChars="200"/>
        <w:rPr>
          <w:rFonts w:hint="eastAsia" w:ascii="宋体" w:hAnsi="宋体"/>
          <w:szCs w:val="21"/>
          <w:highlight w:val="none"/>
        </w:rPr>
      </w:pPr>
    </w:p>
    <w:p w14:paraId="238C53B0">
      <w:pPr>
        <w:pageBreakBefore w:val="0"/>
        <w:kinsoku/>
        <w:bidi w:val="0"/>
        <w:spacing w:line="360" w:lineRule="auto"/>
        <w:ind w:firstLine="420" w:firstLineChars="200"/>
        <w:jc w:val="left"/>
        <w:rPr>
          <w:rFonts w:hint="eastAsia" w:ascii="宋体" w:hAnsi="宋体"/>
          <w:szCs w:val="21"/>
          <w:highlight w:val="none"/>
        </w:rPr>
      </w:pPr>
    </w:p>
    <w:p w14:paraId="59735217">
      <w:pPr>
        <w:pageBreakBefore w:val="0"/>
        <w:kinsoku/>
        <w:bidi w:val="0"/>
        <w:spacing w:line="360" w:lineRule="auto"/>
        <w:ind w:firstLine="420" w:firstLineChars="200"/>
        <w:jc w:val="left"/>
        <w:rPr>
          <w:rFonts w:hint="eastAsia" w:ascii="宋体" w:hAnsi="宋体"/>
          <w:szCs w:val="21"/>
          <w:highlight w:val="none"/>
        </w:rPr>
      </w:pPr>
      <w:r>
        <w:rPr>
          <w:rFonts w:ascii="宋体" w:hAnsi="宋体"/>
          <w:szCs w:val="21"/>
          <w:highlight w:val="none"/>
        </w:rPr>
        <w:br w:type="page"/>
      </w:r>
    </w:p>
    <w:p w14:paraId="38211D50">
      <w:pPr>
        <w:pageBreakBefore w:val="0"/>
        <w:kinsoku/>
        <w:bidi w:val="0"/>
        <w:spacing w:line="360" w:lineRule="auto"/>
        <w:jc w:val="center"/>
        <w:rPr>
          <w:rFonts w:hint="eastAsia" w:ascii="宋体" w:hAnsi="宋体" w:cs="宋体"/>
          <w:b/>
          <w:szCs w:val="21"/>
          <w:highlight w:val="none"/>
        </w:rPr>
      </w:pPr>
      <w:r>
        <w:rPr>
          <w:rFonts w:hint="eastAsia" w:ascii="宋体" w:hAnsi="宋体" w:cs="宋体"/>
          <w:b/>
          <w:szCs w:val="21"/>
          <w:highlight w:val="none"/>
        </w:rPr>
        <w:t>9.技术条款响应及偏离表</w:t>
      </w:r>
    </w:p>
    <w:p w14:paraId="696E618C">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（由响应人据实提交，表格不够自行添加）</w:t>
      </w:r>
    </w:p>
    <w:tbl>
      <w:tblPr>
        <w:tblStyle w:val="2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59"/>
        <w:gridCol w:w="1267"/>
        <w:gridCol w:w="2392"/>
        <w:gridCol w:w="2720"/>
        <w:gridCol w:w="1417"/>
      </w:tblGrid>
      <w:tr w14:paraId="205199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jc w:val="center"/>
        </w:trPr>
        <w:tc>
          <w:tcPr>
            <w:tcW w:w="959" w:type="dxa"/>
            <w:tcBorders>
              <w:top w:val="single" w:color="000000" w:sz="12" w:space="0"/>
              <w:left w:val="single" w:color="000000" w:sz="12" w:space="0"/>
              <w:bottom w:val="single" w:color="000000" w:sz="6" w:space="0"/>
              <w:right w:val="single" w:color="000000" w:sz="6" w:space="0"/>
            </w:tcBorders>
            <w:vAlign w:val="center"/>
          </w:tcPr>
          <w:p w14:paraId="4AA12FBF">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序号</w:t>
            </w:r>
          </w:p>
        </w:tc>
        <w:tc>
          <w:tcPr>
            <w:tcW w:w="1267" w:type="dxa"/>
            <w:tcBorders>
              <w:top w:val="single" w:color="000000" w:sz="12" w:space="0"/>
              <w:left w:val="single" w:color="000000" w:sz="6" w:space="0"/>
              <w:bottom w:val="single" w:color="000000" w:sz="6" w:space="0"/>
              <w:right w:val="single" w:color="000000" w:sz="6" w:space="0"/>
            </w:tcBorders>
            <w:vAlign w:val="center"/>
          </w:tcPr>
          <w:p w14:paraId="24B17DD7">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项目</w:t>
            </w:r>
          </w:p>
        </w:tc>
        <w:tc>
          <w:tcPr>
            <w:tcW w:w="2392" w:type="dxa"/>
            <w:tcBorders>
              <w:top w:val="single" w:color="000000" w:sz="12" w:space="0"/>
              <w:left w:val="single" w:color="000000" w:sz="6" w:space="0"/>
              <w:bottom w:val="single" w:color="000000" w:sz="6" w:space="0"/>
              <w:right w:val="single" w:color="000000" w:sz="6" w:space="0"/>
            </w:tcBorders>
            <w:vAlign w:val="center"/>
          </w:tcPr>
          <w:p w14:paraId="48357793">
            <w:pPr>
              <w:pageBreakBefore w:val="0"/>
              <w:kinsoku/>
              <w:bidi w:val="0"/>
              <w:spacing w:line="360" w:lineRule="auto"/>
              <w:ind w:firstLine="480"/>
              <w:jc w:val="center"/>
              <w:rPr>
                <w:rFonts w:hint="eastAsia" w:ascii="宋体" w:hAnsi="宋体" w:cs="宋体"/>
                <w:szCs w:val="21"/>
                <w:highlight w:val="none"/>
              </w:rPr>
            </w:pPr>
            <w:r>
              <w:rPr>
                <w:rFonts w:hint="eastAsia" w:ascii="宋体" w:hAnsi="宋体" w:cs="宋体"/>
                <w:szCs w:val="21"/>
                <w:highlight w:val="none"/>
              </w:rPr>
              <w:t>磋商文件要求</w:t>
            </w:r>
          </w:p>
        </w:tc>
        <w:tc>
          <w:tcPr>
            <w:tcW w:w="2720" w:type="dxa"/>
            <w:tcBorders>
              <w:top w:val="single" w:color="000000" w:sz="12" w:space="0"/>
              <w:left w:val="single" w:color="000000" w:sz="6" w:space="0"/>
              <w:bottom w:val="single" w:color="000000" w:sz="6" w:space="0"/>
              <w:right w:val="single" w:color="000000" w:sz="6" w:space="0"/>
            </w:tcBorders>
            <w:vAlign w:val="center"/>
          </w:tcPr>
          <w:p w14:paraId="46390D68">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响应文件响应情况</w:t>
            </w:r>
          </w:p>
        </w:tc>
        <w:tc>
          <w:tcPr>
            <w:tcW w:w="1417" w:type="dxa"/>
            <w:tcBorders>
              <w:top w:val="single" w:color="000000" w:sz="12" w:space="0"/>
              <w:left w:val="single" w:color="000000" w:sz="6" w:space="0"/>
              <w:bottom w:val="single" w:color="000000" w:sz="6" w:space="0"/>
              <w:right w:val="single" w:color="000000" w:sz="12" w:space="0"/>
            </w:tcBorders>
            <w:vAlign w:val="center"/>
          </w:tcPr>
          <w:p w14:paraId="15C421CE">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偏离说明</w:t>
            </w:r>
          </w:p>
        </w:tc>
      </w:tr>
      <w:tr w14:paraId="46CA6B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756F30A9">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1</w:t>
            </w:r>
          </w:p>
        </w:tc>
        <w:tc>
          <w:tcPr>
            <w:tcW w:w="1267" w:type="dxa"/>
            <w:tcBorders>
              <w:top w:val="single" w:color="000000" w:sz="6" w:space="0"/>
              <w:left w:val="single" w:color="000000" w:sz="6" w:space="0"/>
              <w:bottom w:val="single" w:color="000000" w:sz="6" w:space="0"/>
              <w:right w:val="single" w:color="000000" w:sz="6" w:space="0"/>
            </w:tcBorders>
            <w:vAlign w:val="center"/>
          </w:tcPr>
          <w:p w14:paraId="45AABC41">
            <w:pPr>
              <w:pageBreakBefore w:val="0"/>
              <w:kinsoku/>
              <w:bidi w:val="0"/>
              <w:spacing w:line="360" w:lineRule="auto"/>
              <w:ind w:firstLine="480"/>
              <w:rPr>
                <w:rFonts w:hint="eastAsia"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4204E301">
            <w:pPr>
              <w:pageBreakBefore w:val="0"/>
              <w:kinsoku/>
              <w:bidi w:val="0"/>
              <w:spacing w:line="360" w:lineRule="auto"/>
              <w:ind w:firstLine="480"/>
              <w:rPr>
                <w:rFonts w:hint="eastAsia"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50856B96">
            <w:pPr>
              <w:pageBreakBefore w:val="0"/>
              <w:kinsoku/>
              <w:bidi w:val="0"/>
              <w:spacing w:line="360" w:lineRule="auto"/>
              <w:ind w:firstLine="480"/>
              <w:rPr>
                <w:rFonts w:hint="eastAsia"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tcPr>
          <w:p w14:paraId="297D4B9C">
            <w:pPr>
              <w:pageBreakBefore w:val="0"/>
              <w:kinsoku/>
              <w:bidi w:val="0"/>
              <w:spacing w:line="360" w:lineRule="auto"/>
              <w:ind w:firstLine="480"/>
              <w:rPr>
                <w:rFonts w:hint="eastAsia" w:ascii="宋体" w:hAnsi="宋体" w:cs="宋体"/>
                <w:szCs w:val="21"/>
                <w:highlight w:val="none"/>
              </w:rPr>
            </w:pPr>
          </w:p>
        </w:tc>
      </w:tr>
      <w:tr w14:paraId="19A9E3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5E90A02F">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2</w:t>
            </w:r>
          </w:p>
        </w:tc>
        <w:tc>
          <w:tcPr>
            <w:tcW w:w="1267" w:type="dxa"/>
            <w:tcBorders>
              <w:top w:val="single" w:color="000000" w:sz="6" w:space="0"/>
              <w:left w:val="single" w:color="000000" w:sz="6" w:space="0"/>
              <w:bottom w:val="single" w:color="000000" w:sz="6" w:space="0"/>
              <w:right w:val="single" w:color="000000" w:sz="6" w:space="0"/>
            </w:tcBorders>
            <w:vAlign w:val="center"/>
          </w:tcPr>
          <w:p w14:paraId="6D5E25F4">
            <w:pPr>
              <w:pageBreakBefore w:val="0"/>
              <w:kinsoku/>
              <w:bidi w:val="0"/>
              <w:spacing w:line="360" w:lineRule="auto"/>
              <w:ind w:firstLine="480"/>
              <w:rPr>
                <w:rFonts w:hint="eastAsia"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4FE2FDA5">
            <w:pPr>
              <w:pageBreakBefore w:val="0"/>
              <w:kinsoku/>
              <w:bidi w:val="0"/>
              <w:spacing w:line="360" w:lineRule="auto"/>
              <w:ind w:firstLine="480"/>
              <w:rPr>
                <w:rFonts w:hint="eastAsia"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52299475">
            <w:pPr>
              <w:pageBreakBefore w:val="0"/>
              <w:kinsoku/>
              <w:bidi w:val="0"/>
              <w:spacing w:line="360" w:lineRule="auto"/>
              <w:ind w:firstLine="480"/>
              <w:rPr>
                <w:rFonts w:hint="eastAsia"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tcPr>
          <w:p w14:paraId="20312D77">
            <w:pPr>
              <w:pageBreakBefore w:val="0"/>
              <w:kinsoku/>
              <w:bidi w:val="0"/>
              <w:spacing w:line="360" w:lineRule="auto"/>
              <w:ind w:firstLine="480"/>
              <w:rPr>
                <w:rFonts w:hint="eastAsia" w:ascii="宋体" w:hAnsi="宋体" w:cs="宋体"/>
                <w:szCs w:val="21"/>
                <w:highlight w:val="none"/>
              </w:rPr>
            </w:pPr>
          </w:p>
        </w:tc>
      </w:tr>
      <w:tr w14:paraId="479EA65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2583EB95">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3</w:t>
            </w:r>
          </w:p>
        </w:tc>
        <w:tc>
          <w:tcPr>
            <w:tcW w:w="1267" w:type="dxa"/>
            <w:tcBorders>
              <w:top w:val="single" w:color="000000" w:sz="6" w:space="0"/>
              <w:left w:val="single" w:color="000000" w:sz="6" w:space="0"/>
              <w:bottom w:val="single" w:color="000000" w:sz="6" w:space="0"/>
              <w:right w:val="single" w:color="000000" w:sz="6" w:space="0"/>
            </w:tcBorders>
            <w:vAlign w:val="center"/>
          </w:tcPr>
          <w:p w14:paraId="50F17E95">
            <w:pPr>
              <w:pageBreakBefore w:val="0"/>
              <w:kinsoku/>
              <w:bidi w:val="0"/>
              <w:spacing w:line="360" w:lineRule="auto"/>
              <w:ind w:firstLine="480"/>
              <w:rPr>
                <w:rFonts w:hint="eastAsia"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5B91F098">
            <w:pPr>
              <w:pageBreakBefore w:val="0"/>
              <w:kinsoku/>
              <w:bidi w:val="0"/>
              <w:spacing w:line="360" w:lineRule="auto"/>
              <w:ind w:firstLine="480"/>
              <w:rPr>
                <w:rFonts w:hint="eastAsia"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08C7E897">
            <w:pPr>
              <w:pageBreakBefore w:val="0"/>
              <w:kinsoku/>
              <w:bidi w:val="0"/>
              <w:spacing w:line="360" w:lineRule="auto"/>
              <w:ind w:firstLine="480"/>
              <w:rPr>
                <w:rFonts w:hint="eastAsia"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tcPr>
          <w:p w14:paraId="78329582">
            <w:pPr>
              <w:pageBreakBefore w:val="0"/>
              <w:kinsoku/>
              <w:bidi w:val="0"/>
              <w:spacing w:line="360" w:lineRule="auto"/>
              <w:ind w:firstLine="480"/>
              <w:rPr>
                <w:rFonts w:hint="eastAsia" w:ascii="宋体" w:hAnsi="宋体" w:cs="宋体"/>
                <w:szCs w:val="21"/>
                <w:highlight w:val="none"/>
              </w:rPr>
            </w:pPr>
          </w:p>
        </w:tc>
      </w:tr>
      <w:tr w14:paraId="35A906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2C5F68A3">
            <w:pPr>
              <w:pageBreakBefore w:val="0"/>
              <w:kinsoku/>
              <w:bidi w:val="0"/>
              <w:spacing w:line="360" w:lineRule="auto"/>
              <w:ind w:firstLine="480"/>
              <w:rPr>
                <w:rFonts w:hint="eastAsia" w:ascii="宋体" w:hAnsi="宋体" w:cs="宋体"/>
                <w:szCs w:val="21"/>
                <w:highlight w:val="none"/>
              </w:rPr>
            </w:pPr>
          </w:p>
        </w:tc>
        <w:tc>
          <w:tcPr>
            <w:tcW w:w="1267" w:type="dxa"/>
            <w:tcBorders>
              <w:top w:val="single" w:color="000000" w:sz="6" w:space="0"/>
              <w:left w:val="single" w:color="000000" w:sz="6" w:space="0"/>
              <w:bottom w:val="single" w:color="000000" w:sz="6" w:space="0"/>
              <w:right w:val="single" w:color="000000" w:sz="6" w:space="0"/>
            </w:tcBorders>
            <w:vAlign w:val="center"/>
          </w:tcPr>
          <w:p w14:paraId="633E0EAD">
            <w:pPr>
              <w:pageBreakBefore w:val="0"/>
              <w:kinsoku/>
              <w:bidi w:val="0"/>
              <w:spacing w:line="360" w:lineRule="auto"/>
              <w:ind w:firstLine="480"/>
              <w:rPr>
                <w:rFonts w:hint="eastAsia" w:ascii="宋体" w:hAnsi="宋体" w:cs="宋体"/>
                <w:szCs w:val="21"/>
                <w:highlight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5EC5FE67">
            <w:pPr>
              <w:pageBreakBefore w:val="0"/>
              <w:kinsoku/>
              <w:bidi w:val="0"/>
              <w:spacing w:line="360" w:lineRule="auto"/>
              <w:ind w:firstLine="480"/>
              <w:rPr>
                <w:rFonts w:hint="eastAsia" w:ascii="宋体" w:hAnsi="宋体" w:cs="宋体"/>
                <w:szCs w:val="21"/>
                <w:highlight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6CBDA369">
            <w:pPr>
              <w:pageBreakBefore w:val="0"/>
              <w:kinsoku/>
              <w:bidi w:val="0"/>
              <w:spacing w:line="360" w:lineRule="auto"/>
              <w:ind w:firstLine="480"/>
              <w:rPr>
                <w:rFonts w:hint="eastAsia" w:ascii="宋体" w:hAnsi="宋体" w:cs="宋体"/>
                <w:szCs w:val="21"/>
                <w:highlight w:val="none"/>
              </w:rPr>
            </w:pPr>
          </w:p>
        </w:tc>
        <w:tc>
          <w:tcPr>
            <w:tcW w:w="1417" w:type="dxa"/>
            <w:tcBorders>
              <w:top w:val="single" w:color="000000" w:sz="6" w:space="0"/>
              <w:left w:val="single" w:color="000000" w:sz="6" w:space="0"/>
              <w:bottom w:val="single" w:color="000000" w:sz="6" w:space="0"/>
              <w:right w:val="single" w:color="000000" w:sz="12" w:space="0"/>
            </w:tcBorders>
          </w:tcPr>
          <w:p w14:paraId="4232E5DC">
            <w:pPr>
              <w:pageBreakBefore w:val="0"/>
              <w:kinsoku/>
              <w:bidi w:val="0"/>
              <w:spacing w:line="360" w:lineRule="auto"/>
              <w:ind w:firstLine="480"/>
              <w:rPr>
                <w:rFonts w:hint="eastAsia" w:ascii="宋体" w:hAnsi="宋体" w:cs="宋体"/>
                <w:szCs w:val="21"/>
                <w:highlight w:val="none"/>
              </w:rPr>
            </w:pPr>
          </w:p>
        </w:tc>
      </w:tr>
    </w:tbl>
    <w:p w14:paraId="3065BE4E">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注：</w:t>
      </w:r>
    </w:p>
    <w:p w14:paraId="4A4289BB">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1.响应人提交的响应文件中与磋商文件第四章 项目需求中的技术部分的要求有不同时，应逐条填列在偏离表中，否则将视为响应人接受磋商文件的所有要求。完全响应以空白表格列示。</w:t>
      </w:r>
    </w:p>
    <w:p w14:paraId="75AAAB23">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2.“偏离说明”一栏选择“正偏离</w:t>
      </w:r>
      <w:r>
        <w:rPr>
          <w:rFonts w:hint="eastAsia" w:ascii="宋体" w:hAnsi="宋体" w:cs="宋体"/>
          <w:szCs w:val="21"/>
          <w:highlight w:val="none"/>
          <w:lang w:eastAsia="zh-CN"/>
        </w:rPr>
        <w:t>”“</w:t>
      </w:r>
      <w:r>
        <w:rPr>
          <w:rFonts w:hint="eastAsia" w:ascii="宋体" w:hAnsi="宋体" w:cs="宋体"/>
          <w:szCs w:val="21"/>
          <w:highlight w:val="none"/>
        </w:rPr>
        <w:t>负偏离”进行填写。正偏离的确认和负偏离的是否响应磋商文件，经三分之二评委认定。</w:t>
      </w:r>
    </w:p>
    <w:p w14:paraId="2F74669C">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3.响应人如有虚假响应，将承担被暂停参加采购人组织政府采购活动的风险。</w:t>
      </w:r>
    </w:p>
    <w:p w14:paraId="1F91431E">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4.供应商若提供其他增值服务，可以在表中自行据实填写。</w:t>
      </w:r>
    </w:p>
    <w:p w14:paraId="22C8A493">
      <w:pPr>
        <w:pageBreakBefore w:val="0"/>
        <w:kinsoku/>
        <w:bidi w:val="0"/>
        <w:spacing w:line="360" w:lineRule="auto"/>
        <w:ind w:firstLine="480"/>
        <w:rPr>
          <w:rFonts w:hint="eastAsia" w:ascii="宋体" w:hAnsi="宋体" w:cs="宋体"/>
          <w:szCs w:val="21"/>
          <w:highlight w:val="none"/>
        </w:rPr>
      </w:pPr>
    </w:p>
    <w:p w14:paraId="065E6A9B">
      <w:pPr>
        <w:pageBreakBefore w:val="0"/>
        <w:kinsoku/>
        <w:bidi w:val="0"/>
        <w:spacing w:line="360" w:lineRule="auto"/>
        <w:ind w:firstLine="480"/>
        <w:rPr>
          <w:rFonts w:hint="eastAsia" w:ascii="宋体" w:hAnsi="宋体" w:cs="宋体"/>
          <w:szCs w:val="21"/>
          <w:highlight w:val="none"/>
        </w:rPr>
      </w:pPr>
    </w:p>
    <w:p w14:paraId="6F2C6F8F">
      <w:pPr>
        <w:pageBreakBefore w:val="0"/>
        <w:kinsoku/>
        <w:bidi w:val="0"/>
        <w:spacing w:line="360" w:lineRule="auto"/>
        <w:ind w:firstLine="4674" w:firstLineChars="2226"/>
        <w:rPr>
          <w:rFonts w:hint="eastAsia" w:ascii="宋体" w:hAnsi="宋体" w:cs="宋体"/>
          <w:szCs w:val="21"/>
          <w:highlight w:val="none"/>
        </w:rPr>
      </w:pPr>
      <w:r>
        <w:rPr>
          <w:rFonts w:hint="eastAsia" w:ascii="宋体" w:hAnsi="宋体" w:cs="宋体"/>
          <w:szCs w:val="21"/>
          <w:highlight w:val="none"/>
        </w:rPr>
        <w:t>供应商名称（盖章）：</w:t>
      </w:r>
    </w:p>
    <w:p w14:paraId="16C0A415">
      <w:pPr>
        <w:pageBreakBefore w:val="0"/>
        <w:kinsoku/>
        <w:bidi w:val="0"/>
        <w:spacing w:line="360" w:lineRule="auto"/>
        <w:ind w:firstLine="4674" w:firstLineChars="2226"/>
        <w:rPr>
          <w:rFonts w:hint="eastAsia" w:ascii="宋体" w:hAnsi="宋体" w:cs="宋体"/>
          <w:szCs w:val="21"/>
          <w:highlight w:val="none"/>
        </w:rPr>
      </w:pPr>
      <w:r>
        <w:rPr>
          <w:rFonts w:hint="eastAsia" w:ascii="宋体" w:hAnsi="宋体" w:cs="宋体"/>
          <w:szCs w:val="21"/>
          <w:highlight w:val="none"/>
        </w:rPr>
        <w:t>法人或授权委托人（签字或盖章）：</w:t>
      </w:r>
    </w:p>
    <w:p w14:paraId="77637917">
      <w:pPr>
        <w:pageBreakBefore w:val="0"/>
        <w:kinsoku/>
        <w:bidi w:val="0"/>
        <w:spacing w:line="360" w:lineRule="auto"/>
        <w:ind w:firstLine="4830" w:firstLineChars="2300"/>
        <w:rPr>
          <w:rFonts w:hint="eastAsia" w:ascii="宋体" w:hAnsi="宋体" w:cs="宋体"/>
          <w:szCs w:val="21"/>
          <w:highlight w:val="none"/>
        </w:rPr>
      </w:pPr>
      <w:r>
        <w:rPr>
          <w:rFonts w:hint="eastAsia" w:ascii="宋体" w:hAnsi="宋体" w:cs="宋体"/>
          <w:szCs w:val="21"/>
          <w:highlight w:val="none"/>
        </w:rPr>
        <w:t>日期：</w:t>
      </w:r>
    </w:p>
    <w:p w14:paraId="3E2961CA">
      <w:pPr>
        <w:pageBreakBefore w:val="0"/>
        <w:kinsoku/>
        <w:bidi w:val="0"/>
        <w:spacing w:line="360" w:lineRule="auto"/>
        <w:ind w:firstLine="420" w:firstLineChars="200"/>
        <w:contextualSpacing/>
        <w:rPr>
          <w:rFonts w:hint="eastAsia" w:ascii="宋体" w:hAnsi="宋体" w:cs="宋体"/>
          <w:bCs/>
          <w:szCs w:val="21"/>
          <w:highlight w:val="none"/>
        </w:rPr>
      </w:pPr>
    </w:p>
    <w:p w14:paraId="549954BA">
      <w:pPr>
        <w:pageBreakBefore w:val="0"/>
        <w:kinsoku/>
        <w:bidi w:val="0"/>
        <w:spacing w:line="360" w:lineRule="auto"/>
        <w:ind w:firstLine="420" w:firstLineChars="200"/>
        <w:rPr>
          <w:rFonts w:hint="eastAsia" w:ascii="宋体" w:hAnsi="宋体" w:cs="宋体"/>
          <w:bCs/>
          <w:szCs w:val="21"/>
          <w:highlight w:val="none"/>
        </w:rPr>
        <w:sectPr>
          <w:pgSz w:w="11906" w:h="16838"/>
          <w:pgMar w:top="1440" w:right="1800" w:bottom="1440" w:left="1800" w:header="851" w:footer="992" w:gutter="0"/>
          <w:cols w:space="720" w:num="1"/>
          <w:docGrid w:type="lines" w:linePitch="312" w:charSpace="0"/>
        </w:sectPr>
      </w:pPr>
    </w:p>
    <w:p w14:paraId="19545550">
      <w:pPr>
        <w:pStyle w:val="35"/>
        <w:pageBreakBefore w:val="0"/>
        <w:kinsoku/>
        <w:bidi w:val="0"/>
        <w:spacing w:line="360" w:lineRule="auto"/>
        <w:ind w:left="0" w:firstLine="0"/>
        <w:jc w:val="center"/>
        <w:rPr>
          <w:rFonts w:hint="eastAsia" w:ascii="宋体" w:hAnsi="宋体" w:cs="宋体"/>
          <w:sz w:val="21"/>
          <w:szCs w:val="21"/>
          <w:highlight w:val="none"/>
        </w:rPr>
      </w:pPr>
      <w:bookmarkStart w:id="76" w:name="_Toc20755"/>
      <w:bookmarkStart w:id="77" w:name="_Toc15683"/>
      <w:r>
        <w:rPr>
          <w:rFonts w:hint="eastAsia" w:ascii="宋体" w:hAnsi="宋体" w:cs="宋体"/>
          <w:sz w:val="21"/>
          <w:szCs w:val="21"/>
          <w:highlight w:val="none"/>
        </w:rPr>
        <w:t>10.商务条款响应及偏离表</w:t>
      </w:r>
      <w:bookmarkEnd w:id="76"/>
      <w:bookmarkEnd w:id="77"/>
    </w:p>
    <w:tbl>
      <w:tblPr>
        <w:tblStyle w:val="2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4"/>
        <w:gridCol w:w="2008"/>
        <w:gridCol w:w="2127"/>
        <w:gridCol w:w="1659"/>
        <w:gridCol w:w="1884"/>
      </w:tblGrid>
      <w:tr w14:paraId="095AC8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359AD90">
            <w:pPr>
              <w:pageBreakBefore w:val="0"/>
              <w:kinsoku/>
              <w:bidi w:val="0"/>
              <w:snapToGrid w:val="0"/>
              <w:spacing w:before="156" w:beforeLines="50" w:line="360" w:lineRule="auto"/>
              <w:jc w:val="center"/>
              <w:rPr>
                <w:szCs w:val="21"/>
                <w:highlight w:val="none"/>
              </w:rPr>
            </w:pPr>
            <w:r>
              <w:rPr>
                <w:szCs w:val="21"/>
                <w:highlight w:val="none"/>
              </w:rPr>
              <w:t>序号</w:t>
            </w:r>
          </w:p>
        </w:tc>
        <w:tc>
          <w:tcPr>
            <w:tcW w:w="2008" w:type="dxa"/>
            <w:tcBorders>
              <w:top w:val="single" w:color="auto" w:sz="4" w:space="0"/>
              <w:left w:val="single" w:color="auto" w:sz="4" w:space="0"/>
              <w:bottom w:val="single" w:color="auto" w:sz="4" w:space="0"/>
              <w:right w:val="single" w:color="auto" w:sz="4" w:space="0"/>
            </w:tcBorders>
            <w:vAlign w:val="center"/>
          </w:tcPr>
          <w:p w14:paraId="32643C70">
            <w:pPr>
              <w:pageBreakBefore w:val="0"/>
              <w:kinsoku/>
              <w:bidi w:val="0"/>
              <w:snapToGrid w:val="0"/>
              <w:spacing w:before="156" w:beforeLines="50" w:line="360" w:lineRule="auto"/>
              <w:jc w:val="center"/>
              <w:rPr>
                <w:szCs w:val="21"/>
                <w:highlight w:val="none"/>
              </w:rPr>
            </w:pPr>
            <w:r>
              <w:rPr>
                <w:szCs w:val="21"/>
                <w:highlight w:val="none"/>
              </w:rPr>
              <w:t>项目</w:t>
            </w:r>
          </w:p>
        </w:tc>
        <w:tc>
          <w:tcPr>
            <w:tcW w:w="2127" w:type="dxa"/>
            <w:tcBorders>
              <w:top w:val="single" w:color="auto" w:sz="4" w:space="0"/>
              <w:left w:val="single" w:color="auto" w:sz="4" w:space="0"/>
              <w:bottom w:val="single" w:color="auto" w:sz="4" w:space="0"/>
              <w:right w:val="single" w:color="auto" w:sz="4" w:space="0"/>
            </w:tcBorders>
            <w:vAlign w:val="center"/>
          </w:tcPr>
          <w:p w14:paraId="4A6F6755">
            <w:pPr>
              <w:pageBreakBefore w:val="0"/>
              <w:kinsoku/>
              <w:bidi w:val="0"/>
              <w:snapToGrid w:val="0"/>
              <w:spacing w:before="156" w:beforeLines="50" w:line="360" w:lineRule="auto"/>
              <w:jc w:val="center"/>
              <w:rPr>
                <w:szCs w:val="21"/>
                <w:highlight w:val="none"/>
              </w:rPr>
            </w:pPr>
            <w:r>
              <w:rPr>
                <w:rFonts w:hint="eastAsia"/>
                <w:szCs w:val="21"/>
                <w:highlight w:val="none"/>
              </w:rPr>
              <w:t>磋商文件</w:t>
            </w:r>
            <w:r>
              <w:rPr>
                <w:szCs w:val="21"/>
                <w:highlight w:val="none"/>
              </w:rPr>
              <w:t>要求</w:t>
            </w:r>
          </w:p>
        </w:tc>
        <w:tc>
          <w:tcPr>
            <w:tcW w:w="1659" w:type="dxa"/>
            <w:tcBorders>
              <w:top w:val="single" w:color="auto" w:sz="4" w:space="0"/>
              <w:left w:val="single" w:color="auto" w:sz="4" w:space="0"/>
              <w:bottom w:val="single" w:color="auto" w:sz="4" w:space="0"/>
              <w:right w:val="single" w:color="auto" w:sz="4" w:space="0"/>
            </w:tcBorders>
            <w:vAlign w:val="center"/>
          </w:tcPr>
          <w:p w14:paraId="2EDC0F22">
            <w:pPr>
              <w:pageBreakBefore w:val="0"/>
              <w:kinsoku/>
              <w:bidi w:val="0"/>
              <w:spacing w:line="360" w:lineRule="auto"/>
              <w:jc w:val="center"/>
              <w:rPr>
                <w:szCs w:val="21"/>
                <w:highlight w:val="none"/>
              </w:rPr>
            </w:pPr>
            <w:r>
              <w:rPr>
                <w:rFonts w:hint="eastAsia" w:ascii="宋体" w:hAnsi="宋体" w:cs="宋体"/>
                <w:szCs w:val="21"/>
                <w:highlight w:val="none"/>
              </w:rPr>
              <w:t>响应文件响应情况</w:t>
            </w:r>
          </w:p>
        </w:tc>
        <w:tc>
          <w:tcPr>
            <w:tcW w:w="1884" w:type="dxa"/>
            <w:tcBorders>
              <w:top w:val="single" w:color="auto" w:sz="4" w:space="0"/>
              <w:left w:val="single" w:color="auto" w:sz="4" w:space="0"/>
              <w:bottom w:val="single" w:color="auto" w:sz="4" w:space="0"/>
              <w:right w:val="single" w:color="auto" w:sz="4" w:space="0"/>
            </w:tcBorders>
            <w:vAlign w:val="center"/>
          </w:tcPr>
          <w:p w14:paraId="4B3D4A5E">
            <w:pPr>
              <w:pageBreakBefore w:val="0"/>
              <w:kinsoku/>
              <w:bidi w:val="0"/>
              <w:spacing w:line="360" w:lineRule="auto"/>
              <w:jc w:val="center"/>
              <w:rPr>
                <w:szCs w:val="21"/>
                <w:highlight w:val="none"/>
              </w:rPr>
            </w:pPr>
            <w:r>
              <w:rPr>
                <w:rFonts w:hint="eastAsia" w:ascii="宋体" w:hAnsi="宋体" w:cs="宋体"/>
                <w:szCs w:val="21"/>
                <w:highlight w:val="none"/>
              </w:rPr>
              <w:t>偏离说明</w:t>
            </w:r>
          </w:p>
        </w:tc>
      </w:tr>
      <w:tr w14:paraId="786067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AD5187C">
            <w:pPr>
              <w:pageBreakBefore w:val="0"/>
              <w:kinsoku/>
              <w:bidi w:val="0"/>
              <w:snapToGrid w:val="0"/>
              <w:spacing w:before="156" w:beforeLines="50" w:line="360" w:lineRule="auto"/>
              <w:jc w:val="center"/>
              <w:rPr>
                <w:rFonts w:ascii="Times New Roman" w:hAnsi="Times New Roman"/>
                <w:szCs w:val="21"/>
                <w:highlight w:val="none"/>
              </w:rPr>
            </w:pPr>
            <w:r>
              <w:rPr>
                <w:rFonts w:ascii="Times New Roman" w:hAnsi="Times New Roman"/>
                <w:szCs w:val="21"/>
                <w:highlight w:val="none"/>
              </w:rPr>
              <w:t>1</w:t>
            </w:r>
          </w:p>
        </w:tc>
        <w:tc>
          <w:tcPr>
            <w:tcW w:w="2008" w:type="dxa"/>
            <w:tcBorders>
              <w:top w:val="single" w:color="auto" w:sz="4" w:space="0"/>
              <w:left w:val="single" w:color="auto" w:sz="4" w:space="0"/>
              <w:bottom w:val="single" w:color="auto" w:sz="4" w:space="0"/>
              <w:right w:val="single" w:color="auto" w:sz="4" w:space="0"/>
            </w:tcBorders>
            <w:vAlign w:val="center"/>
          </w:tcPr>
          <w:p w14:paraId="5C1954F7">
            <w:pPr>
              <w:pageBreakBefore w:val="0"/>
              <w:kinsoku/>
              <w:bidi w:val="0"/>
              <w:snapToGrid w:val="0"/>
              <w:spacing w:before="156" w:beforeLines="50" w:line="360" w:lineRule="auto"/>
              <w:jc w:val="center"/>
              <w:rPr>
                <w:rFonts w:ascii="Times New Roman" w:hAnsi="Times New Roman"/>
                <w:szCs w:val="21"/>
                <w:highlight w:val="none"/>
              </w:rPr>
            </w:pPr>
            <w:r>
              <w:rPr>
                <w:rFonts w:hint="eastAsia" w:ascii="Times New Roman" w:hAnsi="Times New Roman"/>
                <w:szCs w:val="21"/>
                <w:highlight w:val="none"/>
              </w:rPr>
              <w:t>合同履行期限</w:t>
            </w:r>
          </w:p>
        </w:tc>
        <w:tc>
          <w:tcPr>
            <w:tcW w:w="2127" w:type="dxa"/>
            <w:tcBorders>
              <w:top w:val="single" w:color="auto" w:sz="4" w:space="0"/>
              <w:left w:val="single" w:color="auto" w:sz="4" w:space="0"/>
              <w:bottom w:val="single" w:color="auto" w:sz="4" w:space="0"/>
              <w:right w:val="single" w:color="auto" w:sz="4" w:space="0"/>
            </w:tcBorders>
            <w:vAlign w:val="center"/>
          </w:tcPr>
          <w:p w14:paraId="52DD74C0">
            <w:pPr>
              <w:pageBreakBefore w:val="0"/>
              <w:kinsoku/>
              <w:bidi w:val="0"/>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14D4CE9B">
            <w:pPr>
              <w:pageBreakBefore w:val="0"/>
              <w:kinsoku/>
              <w:bidi w:val="0"/>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4306D684">
            <w:pPr>
              <w:pageBreakBefore w:val="0"/>
              <w:kinsoku/>
              <w:bidi w:val="0"/>
              <w:snapToGrid w:val="0"/>
              <w:spacing w:before="156" w:beforeLines="50" w:line="360" w:lineRule="auto"/>
              <w:rPr>
                <w:szCs w:val="21"/>
                <w:highlight w:val="none"/>
              </w:rPr>
            </w:pPr>
          </w:p>
        </w:tc>
      </w:tr>
      <w:tr w14:paraId="35E5CD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56A135C">
            <w:pPr>
              <w:pageBreakBefore w:val="0"/>
              <w:kinsoku/>
              <w:bidi w:val="0"/>
              <w:snapToGrid w:val="0"/>
              <w:spacing w:before="156" w:beforeLines="50" w:line="360" w:lineRule="auto"/>
              <w:jc w:val="center"/>
              <w:rPr>
                <w:rFonts w:ascii="Times New Roman" w:hAnsi="Times New Roman"/>
                <w:szCs w:val="21"/>
                <w:highlight w:val="none"/>
              </w:rPr>
            </w:pPr>
            <w:r>
              <w:rPr>
                <w:rFonts w:ascii="Times New Roman" w:hAnsi="Times New Roman"/>
                <w:szCs w:val="21"/>
                <w:highlight w:val="none"/>
              </w:rPr>
              <w:t>2</w:t>
            </w:r>
          </w:p>
        </w:tc>
        <w:tc>
          <w:tcPr>
            <w:tcW w:w="2008" w:type="dxa"/>
            <w:tcBorders>
              <w:top w:val="single" w:color="auto" w:sz="4" w:space="0"/>
              <w:left w:val="single" w:color="auto" w:sz="4" w:space="0"/>
              <w:bottom w:val="single" w:color="auto" w:sz="4" w:space="0"/>
              <w:right w:val="single" w:color="auto" w:sz="4" w:space="0"/>
            </w:tcBorders>
            <w:vAlign w:val="center"/>
          </w:tcPr>
          <w:p w14:paraId="7175694A">
            <w:pPr>
              <w:pageBreakBefore w:val="0"/>
              <w:kinsoku/>
              <w:bidi w:val="0"/>
              <w:snapToGrid w:val="0"/>
              <w:spacing w:before="156" w:beforeLines="50" w:line="360" w:lineRule="auto"/>
              <w:jc w:val="center"/>
              <w:rPr>
                <w:rFonts w:ascii="Times New Roman" w:hAnsi="Times New Roman"/>
                <w:szCs w:val="21"/>
                <w:highlight w:val="none"/>
              </w:rPr>
            </w:pPr>
            <w:r>
              <w:rPr>
                <w:rFonts w:hint="eastAsia" w:ascii="Times New Roman" w:hAnsi="Times New Roman"/>
                <w:szCs w:val="21"/>
                <w:highlight w:val="none"/>
              </w:rPr>
              <w:t>服务地点</w:t>
            </w:r>
          </w:p>
        </w:tc>
        <w:tc>
          <w:tcPr>
            <w:tcW w:w="2127" w:type="dxa"/>
            <w:tcBorders>
              <w:top w:val="single" w:color="auto" w:sz="4" w:space="0"/>
              <w:left w:val="single" w:color="auto" w:sz="4" w:space="0"/>
              <w:bottom w:val="single" w:color="auto" w:sz="4" w:space="0"/>
              <w:right w:val="single" w:color="auto" w:sz="4" w:space="0"/>
            </w:tcBorders>
            <w:vAlign w:val="center"/>
          </w:tcPr>
          <w:p w14:paraId="405536EA">
            <w:pPr>
              <w:pageBreakBefore w:val="0"/>
              <w:kinsoku/>
              <w:bidi w:val="0"/>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202892BD">
            <w:pPr>
              <w:pageBreakBefore w:val="0"/>
              <w:kinsoku/>
              <w:bidi w:val="0"/>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4F922D6F">
            <w:pPr>
              <w:pageBreakBefore w:val="0"/>
              <w:kinsoku/>
              <w:bidi w:val="0"/>
              <w:snapToGrid w:val="0"/>
              <w:spacing w:before="156" w:beforeLines="50" w:line="360" w:lineRule="auto"/>
              <w:rPr>
                <w:szCs w:val="21"/>
                <w:highlight w:val="none"/>
              </w:rPr>
            </w:pPr>
          </w:p>
        </w:tc>
      </w:tr>
      <w:tr w14:paraId="21E43D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C15CA9A">
            <w:pPr>
              <w:pageBreakBefore w:val="0"/>
              <w:kinsoku/>
              <w:bidi w:val="0"/>
              <w:snapToGrid w:val="0"/>
              <w:spacing w:before="156" w:beforeLines="50" w:line="360" w:lineRule="auto"/>
              <w:jc w:val="center"/>
              <w:rPr>
                <w:rFonts w:ascii="Times New Roman" w:hAnsi="Times New Roman"/>
                <w:szCs w:val="21"/>
                <w:highlight w:val="none"/>
              </w:rPr>
            </w:pPr>
            <w:r>
              <w:rPr>
                <w:rFonts w:ascii="Times New Roman" w:hAnsi="Times New Roman"/>
                <w:szCs w:val="21"/>
                <w:highlight w:val="none"/>
              </w:rPr>
              <w:t>3</w:t>
            </w:r>
          </w:p>
        </w:tc>
        <w:tc>
          <w:tcPr>
            <w:tcW w:w="2008" w:type="dxa"/>
            <w:tcBorders>
              <w:top w:val="single" w:color="auto" w:sz="4" w:space="0"/>
              <w:left w:val="single" w:color="auto" w:sz="4" w:space="0"/>
              <w:bottom w:val="single" w:color="auto" w:sz="4" w:space="0"/>
              <w:right w:val="single" w:color="auto" w:sz="4" w:space="0"/>
            </w:tcBorders>
            <w:vAlign w:val="center"/>
          </w:tcPr>
          <w:p w14:paraId="7B0A6390">
            <w:pPr>
              <w:pageBreakBefore w:val="0"/>
              <w:kinsoku/>
              <w:bidi w:val="0"/>
              <w:snapToGrid w:val="0"/>
              <w:spacing w:before="156" w:beforeLines="50" w:line="360" w:lineRule="auto"/>
              <w:jc w:val="center"/>
              <w:rPr>
                <w:rFonts w:ascii="Times New Roman" w:hAnsi="Times New Roman"/>
                <w:szCs w:val="21"/>
                <w:highlight w:val="none"/>
              </w:rPr>
            </w:pPr>
            <w:r>
              <w:rPr>
                <w:rFonts w:hint="eastAsia" w:ascii="Times New Roman" w:hAnsi="Times New Roman"/>
                <w:szCs w:val="21"/>
                <w:highlight w:val="none"/>
              </w:rPr>
              <w:t>付款方式</w:t>
            </w:r>
          </w:p>
        </w:tc>
        <w:tc>
          <w:tcPr>
            <w:tcW w:w="2127" w:type="dxa"/>
            <w:tcBorders>
              <w:top w:val="single" w:color="auto" w:sz="4" w:space="0"/>
              <w:left w:val="single" w:color="auto" w:sz="4" w:space="0"/>
              <w:bottom w:val="single" w:color="auto" w:sz="4" w:space="0"/>
              <w:right w:val="single" w:color="auto" w:sz="4" w:space="0"/>
            </w:tcBorders>
            <w:vAlign w:val="center"/>
          </w:tcPr>
          <w:p w14:paraId="589A818C">
            <w:pPr>
              <w:pageBreakBefore w:val="0"/>
              <w:kinsoku/>
              <w:bidi w:val="0"/>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3A68C9FA">
            <w:pPr>
              <w:pageBreakBefore w:val="0"/>
              <w:kinsoku/>
              <w:bidi w:val="0"/>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611947CC">
            <w:pPr>
              <w:pageBreakBefore w:val="0"/>
              <w:kinsoku/>
              <w:bidi w:val="0"/>
              <w:snapToGrid w:val="0"/>
              <w:spacing w:before="156" w:beforeLines="50" w:line="360" w:lineRule="auto"/>
              <w:rPr>
                <w:szCs w:val="21"/>
                <w:highlight w:val="none"/>
              </w:rPr>
            </w:pPr>
          </w:p>
        </w:tc>
      </w:tr>
      <w:tr w14:paraId="499F64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C2B0DCB">
            <w:pPr>
              <w:pageBreakBefore w:val="0"/>
              <w:kinsoku/>
              <w:bidi w:val="0"/>
              <w:snapToGrid w:val="0"/>
              <w:spacing w:before="156" w:beforeLines="50" w:line="360" w:lineRule="auto"/>
              <w:jc w:val="center"/>
              <w:rPr>
                <w:rFonts w:hint="default" w:ascii="Times New Roman" w:hAnsi="Times New Roman" w:eastAsia="宋体"/>
                <w:szCs w:val="21"/>
                <w:highlight w:val="none"/>
                <w:lang w:val="en-US" w:eastAsia="zh-CN"/>
              </w:rPr>
            </w:pPr>
            <w:r>
              <w:rPr>
                <w:rFonts w:hint="eastAsia" w:ascii="Times New Roman" w:hAnsi="Times New Roman"/>
                <w:szCs w:val="21"/>
                <w:highlight w:val="none"/>
                <w:lang w:val="en-US" w:eastAsia="zh-CN"/>
              </w:rPr>
              <w:t>...</w:t>
            </w:r>
          </w:p>
        </w:tc>
        <w:tc>
          <w:tcPr>
            <w:tcW w:w="2008" w:type="dxa"/>
            <w:tcBorders>
              <w:top w:val="single" w:color="auto" w:sz="4" w:space="0"/>
              <w:left w:val="single" w:color="auto" w:sz="4" w:space="0"/>
              <w:bottom w:val="single" w:color="auto" w:sz="4" w:space="0"/>
              <w:right w:val="single" w:color="auto" w:sz="4" w:space="0"/>
            </w:tcBorders>
            <w:vAlign w:val="center"/>
          </w:tcPr>
          <w:p w14:paraId="2ABCFA64">
            <w:pPr>
              <w:pageBreakBefore w:val="0"/>
              <w:kinsoku/>
              <w:bidi w:val="0"/>
              <w:snapToGrid w:val="0"/>
              <w:spacing w:before="156" w:beforeLines="50" w:line="360" w:lineRule="auto"/>
              <w:jc w:val="center"/>
              <w:rPr>
                <w:rFonts w:hint="default" w:ascii="Times New Roman" w:hAnsi="Times New Roman" w:eastAsia="宋体"/>
                <w:szCs w:val="21"/>
                <w:highlight w:val="none"/>
                <w:lang w:val="en-US" w:eastAsia="zh-CN"/>
              </w:rPr>
            </w:pPr>
            <w:r>
              <w:rPr>
                <w:rFonts w:hint="eastAsia" w:ascii="Times New Roman" w:hAnsi="Times New Roman"/>
                <w:szCs w:val="21"/>
                <w:highlight w:val="none"/>
                <w:lang w:val="en-US" w:eastAsia="zh-CN"/>
              </w:rPr>
              <w:t>...</w:t>
            </w:r>
          </w:p>
        </w:tc>
        <w:tc>
          <w:tcPr>
            <w:tcW w:w="2127" w:type="dxa"/>
            <w:tcBorders>
              <w:top w:val="single" w:color="auto" w:sz="4" w:space="0"/>
              <w:left w:val="single" w:color="auto" w:sz="4" w:space="0"/>
              <w:bottom w:val="single" w:color="auto" w:sz="4" w:space="0"/>
              <w:right w:val="single" w:color="auto" w:sz="4" w:space="0"/>
            </w:tcBorders>
            <w:vAlign w:val="center"/>
          </w:tcPr>
          <w:p w14:paraId="2EDE9968">
            <w:pPr>
              <w:pageBreakBefore w:val="0"/>
              <w:kinsoku/>
              <w:bidi w:val="0"/>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2CB004C6">
            <w:pPr>
              <w:pageBreakBefore w:val="0"/>
              <w:kinsoku/>
              <w:bidi w:val="0"/>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77B3D92C">
            <w:pPr>
              <w:pageBreakBefore w:val="0"/>
              <w:kinsoku/>
              <w:bidi w:val="0"/>
              <w:snapToGrid w:val="0"/>
              <w:spacing w:before="156" w:beforeLines="50" w:line="360" w:lineRule="auto"/>
              <w:rPr>
                <w:szCs w:val="21"/>
                <w:highlight w:val="none"/>
              </w:rPr>
            </w:pPr>
          </w:p>
        </w:tc>
      </w:tr>
      <w:tr w14:paraId="207BF6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02DF2B31">
            <w:pPr>
              <w:pageBreakBefore w:val="0"/>
              <w:kinsoku/>
              <w:bidi w:val="0"/>
              <w:snapToGrid w:val="0"/>
              <w:spacing w:before="156" w:beforeLines="50"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46889C1D">
            <w:pPr>
              <w:pageBreakBefore w:val="0"/>
              <w:kinsoku/>
              <w:bidi w:val="0"/>
              <w:snapToGrid w:val="0"/>
              <w:spacing w:before="156" w:beforeLines="50"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01D9EFEA">
            <w:pPr>
              <w:pageBreakBefore w:val="0"/>
              <w:kinsoku/>
              <w:bidi w:val="0"/>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20D5934A">
            <w:pPr>
              <w:pageBreakBefore w:val="0"/>
              <w:kinsoku/>
              <w:bidi w:val="0"/>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3C8048F7">
            <w:pPr>
              <w:pageBreakBefore w:val="0"/>
              <w:kinsoku/>
              <w:bidi w:val="0"/>
              <w:snapToGrid w:val="0"/>
              <w:spacing w:before="156" w:beforeLines="50" w:line="360" w:lineRule="auto"/>
              <w:rPr>
                <w:szCs w:val="21"/>
                <w:highlight w:val="none"/>
              </w:rPr>
            </w:pPr>
          </w:p>
        </w:tc>
      </w:tr>
      <w:tr w14:paraId="2E223E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EA6FDF7">
            <w:pPr>
              <w:pageBreakBefore w:val="0"/>
              <w:kinsoku/>
              <w:bidi w:val="0"/>
              <w:snapToGrid w:val="0"/>
              <w:spacing w:before="156" w:beforeLines="50"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7769BEB3">
            <w:pPr>
              <w:pageBreakBefore w:val="0"/>
              <w:kinsoku/>
              <w:bidi w:val="0"/>
              <w:snapToGrid w:val="0"/>
              <w:spacing w:before="156" w:beforeLines="50"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2EC5CE4B">
            <w:pPr>
              <w:pageBreakBefore w:val="0"/>
              <w:kinsoku/>
              <w:bidi w:val="0"/>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7587D10F">
            <w:pPr>
              <w:pageBreakBefore w:val="0"/>
              <w:kinsoku/>
              <w:bidi w:val="0"/>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766C2707">
            <w:pPr>
              <w:pageBreakBefore w:val="0"/>
              <w:kinsoku/>
              <w:bidi w:val="0"/>
              <w:snapToGrid w:val="0"/>
              <w:spacing w:before="156" w:beforeLines="50" w:line="360" w:lineRule="auto"/>
              <w:rPr>
                <w:szCs w:val="21"/>
                <w:highlight w:val="none"/>
              </w:rPr>
            </w:pPr>
          </w:p>
        </w:tc>
      </w:tr>
      <w:tr w14:paraId="567E9A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2B2E144">
            <w:pPr>
              <w:pageBreakBefore w:val="0"/>
              <w:kinsoku/>
              <w:bidi w:val="0"/>
              <w:snapToGrid w:val="0"/>
              <w:spacing w:before="156" w:beforeLines="50"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5378F386">
            <w:pPr>
              <w:pageBreakBefore w:val="0"/>
              <w:kinsoku/>
              <w:bidi w:val="0"/>
              <w:snapToGrid w:val="0"/>
              <w:spacing w:before="156" w:beforeLines="50"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62234567">
            <w:pPr>
              <w:pageBreakBefore w:val="0"/>
              <w:kinsoku/>
              <w:bidi w:val="0"/>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7E2A6591">
            <w:pPr>
              <w:pageBreakBefore w:val="0"/>
              <w:kinsoku/>
              <w:bidi w:val="0"/>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3B87741F">
            <w:pPr>
              <w:pageBreakBefore w:val="0"/>
              <w:kinsoku/>
              <w:bidi w:val="0"/>
              <w:snapToGrid w:val="0"/>
              <w:spacing w:before="156" w:beforeLines="50" w:line="360" w:lineRule="auto"/>
              <w:rPr>
                <w:szCs w:val="21"/>
                <w:highlight w:val="none"/>
              </w:rPr>
            </w:pPr>
          </w:p>
        </w:tc>
      </w:tr>
      <w:tr w14:paraId="3BA783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51F0BD60">
            <w:pPr>
              <w:pageBreakBefore w:val="0"/>
              <w:kinsoku/>
              <w:bidi w:val="0"/>
              <w:snapToGrid w:val="0"/>
              <w:spacing w:before="156" w:beforeLines="50"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1B9DFF31">
            <w:pPr>
              <w:pageBreakBefore w:val="0"/>
              <w:kinsoku/>
              <w:bidi w:val="0"/>
              <w:snapToGrid w:val="0"/>
              <w:spacing w:before="156" w:beforeLines="50"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1753C32F">
            <w:pPr>
              <w:pageBreakBefore w:val="0"/>
              <w:kinsoku/>
              <w:bidi w:val="0"/>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0373A763">
            <w:pPr>
              <w:pageBreakBefore w:val="0"/>
              <w:kinsoku/>
              <w:bidi w:val="0"/>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06E9351E">
            <w:pPr>
              <w:pageBreakBefore w:val="0"/>
              <w:kinsoku/>
              <w:bidi w:val="0"/>
              <w:snapToGrid w:val="0"/>
              <w:spacing w:before="156" w:beforeLines="50" w:line="360" w:lineRule="auto"/>
              <w:rPr>
                <w:szCs w:val="21"/>
                <w:highlight w:val="none"/>
              </w:rPr>
            </w:pPr>
          </w:p>
        </w:tc>
      </w:tr>
      <w:tr w14:paraId="574D6D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46EDF9D">
            <w:pPr>
              <w:pageBreakBefore w:val="0"/>
              <w:kinsoku/>
              <w:bidi w:val="0"/>
              <w:snapToGrid w:val="0"/>
              <w:spacing w:before="156" w:beforeLines="50" w:line="360" w:lineRule="auto"/>
              <w:jc w:val="center"/>
              <w:rPr>
                <w:szCs w:val="21"/>
                <w:highlight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4C855BA2">
            <w:pPr>
              <w:pageBreakBefore w:val="0"/>
              <w:kinsoku/>
              <w:bidi w:val="0"/>
              <w:snapToGrid w:val="0"/>
              <w:spacing w:before="156" w:beforeLines="50" w:line="360" w:lineRule="auto"/>
              <w:rPr>
                <w:szCs w:val="21"/>
                <w:highlight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33192846">
            <w:pPr>
              <w:pageBreakBefore w:val="0"/>
              <w:kinsoku/>
              <w:bidi w:val="0"/>
              <w:snapToGrid w:val="0"/>
              <w:spacing w:before="156" w:beforeLines="50" w:line="360" w:lineRule="auto"/>
              <w:rPr>
                <w:szCs w:val="21"/>
                <w:highlight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672AD7C6">
            <w:pPr>
              <w:pageBreakBefore w:val="0"/>
              <w:kinsoku/>
              <w:bidi w:val="0"/>
              <w:snapToGrid w:val="0"/>
              <w:spacing w:before="156" w:beforeLines="50" w:line="360" w:lineRule="auto"/>
              <w:rPr>
                <w:szCs w:val="21"/>
                <w:highlight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71A4B8AB">
            <w:pPr>
              <w:pageBreakBefore w:val="0"/>
              <w:kinsoku/>
              <w:bidi w:val="0"/>
              <w:snapToGrid w:val="0"/>
              <w:spacing w:before="156" w:beforeLines="50" w:line="360" w:lineRule="auto"/>
              <w:rPr>
                <w:szCs w:val="21"/>
                <w:highlight w:val="none"/>
              </w:rPr>
            </w:pPr>
          </w:p>
        </w:tc>
      </w:tr>
    </w:tbl>
    <w:p w14:paraId="50812BBF">
      <w:pPr>
        <w:pStyle w:val="7"/>
        <w:pageBreakBefore w:val="0"/>
        <w:kinsoku/>
        <w:bidi w:val="0"/>
        <w:spacing w:line="360" w:lineRule="auto"/>
        <w:ind w:firstLine="4200" w:firstLineChars="2000"/>
        <w:rPr>
          <w:szCs w:val="21"/>
          <w:highlight w:val="none"/>
        </w:rPr>
      </w:pPr>
      <w:r>
        <w:rPr>
          <w:rFonts w:hint="eastAsia"/>
          <w:szCs w:val="21"/>
          <w:highlight w:val="none"/>
          <w:lang w:eastAsia="zh-CN"/>
        </w:rPr>
        <w:t>响应供应商</w:t>
      </w:r>
      <w:r>
        <w:rPr>
          <w:rFonts w:hint="eastAsia"/>
          <w:szCs w:val="21"/>
          <w:highlight w:val="none"/>
        </w:rPr>
        <w:t xml:space="preserve">名称（公章）：   </w:t>
      </w:r>
      <w:r>
        <w:rPr>
          <w:rFonts w:hint="eastAsia" w:ascii="宋体" w:hAnsi="宋体" w:cs="宋体"/>
          <w:szCs w:val="24"/>
          <w:highlight w:val="none"/>
          <w:u w:val="single"/>
        </w:rPr>
        <w:t xml:space="preserve">                     </w:t>
      </w:r>
      <w:r>
        <w:rPr>
          <w:rFonts w:hint="eastAsia" w:ascii="宋体" w:hAnsi="宋体" w:cs="宋体"/>
          <w:szCs w:val="24"/>
          <w:highlight w:val="none"/>
        </w:rPr>
        <w:t xml:space="preserve">   </w:t>
      </w:r>
      <w:r>
        <w:rPr>
          <w:rFonts w:hint="eastAsia"/>
          <w:szCs w:val="21"/>
          <w:highlight w:val="none"/>
        </w:rPr>
        <w:t xml:space="preserve">                   </w:t>
      </w:r>
    </w:p>
    <w:p w14:paraId="06781801">
      <w:pPr>
        <w:pStyle w:val="7"/>
        <w:pageBreakBefore w:val="0"/>
        <w:kinsoku/>
        <w:bidi w:val="0"/>
        <w:spacing w:line="360" w:lineRule="auto"/>
        <w:ind w:firstLineChars="200"/>
        <w:rPr>
          <w:szCs w:val="21"/>
          <w:highlight w:val="none"/>
        </w:rPr>
      </w:pPr>
    </w:p>
    <w:p w14:paraId="483D9B21">
      <w:pPr>
        <w:pageBreakBefore w:val="0"/>
        <w:kinsoku/>
        <w:bidi w:val="0"/>
        <w:spacing w:line="360" w:lineRule="auto"/>
        <w:ind w:hanging="315"/>
        <w:rPr>
          <w:szCs w:val="21"/>
          <w:highlight w:val="none"/>
        </w:rPr>
      </w:pPr>
      <w:r>
        <w:rPr>
          <w:szCs w:val="21"/>
          <w:highlight w:val="none"/>
        </w:rPr>
        <w:t xml:space="preserve">                                           </w:t>
      </w:r>
      <w:r>
        <w:rPr>
          <w:rFonts w:hint="eastAsia"/>
          <w:szCs w:val="21"/>
          <w:highlight w:val="none"/>
        </w:rPr>
        <w:t xml:space="preserve">                   </w:t>
      </w:r>
      <w:r>
        <w:rPr>
          <w:szCs w:val="21"/>
          <w:highlight w:val="none"/>
        </w:rPr>
        <w:t xml:space="preserve">日期： </w:t>
      </w:r>
      <w:r>
        <w:rPr>
          <w:rFonts w:hint="eastAsia"/>
          <w:szCs w:val="21"/>
          <w:highlight w:val="none"/>
        </w:rPr>
        <w:t xml:space="preserve">   </w:t>
      </w:r>
      <w:r>
        <w:rPr>
          <w:szCs w:val="21"/>
          <w:highlight w:val="none"/>
        </w:rPr>
        <w:t>年</w:t>
      </w:r>
      <w:r>
        <w:rPr>
          <w:rFonts w:hint="eastAsia"/>
          <w:szCs w:val="21"/>
          <w:highlight w:val="none"/>
        </w:rPr>
        <w:t xml:space="preserve">  </w:t>
      </w:r>
      <w:r>
        <w:rPr>
          <w:szCs w:val="21"/>
          <w:highlight w:val="none"/>
        </w:rPr>
        <w:t>月</w:t>
      </w:r>
      <w:r>
        <w:rPr>
          <w:rFonts w:hint="eastAsia"/>
          <w:szCs w:val="21"/>
          <w:highlight w:val="none"/>
        </w:rPr>
        <w:t xml:space="preserve">   </w:t>
      </w:r>
      <w:r>
        <w:rPr>
          <w:szCs w:val="21"/>
          <w:highlight w:val="none"/>
        </w:rPr>
        <w:t>日</w:t>
      </w:r>
    </w:p>
    <w:p w14:paraId="7E7526BD">
      <w:pPr>
        <w:pageBreakBefore w:val="0"/>
        <w:kinsoku/>
        <w:bidi w:val="0"/>
        <w:spacing w:line="360" w:lineRule="auto"/>
        <w:rPr>
          <w:rFonts w:hint="eastAsia" w:ascii="宋体" w:hAnsi="宋体" w:cs="宋体"/>
          <w:b/>
          <w:bCs/>
          <w:sz w:val="24"/>
          <w:highlight w:val="none"/>
        </w:rPr>
        <w:sectPr>
          <w:pgSz w:w="11906" w:h="16838"/>
          <w:pgMar w:top="1440" w:right="1800" w:bottom="1440" w:left="1800" w:header="851" w:footer="992" w:gutter="0"/>
          <w:cols w:space="720" w:num="1"/>
          <w:docGrid w:type="lines" w:linePitch="312" w:charSpace="0"/>
        </w:sectPr>
      </w:pPr>
    </w:p>
    <w:bookmarkEnd w:id="69"/>
    <w:bookmarkEnd w:id="70"/>
    <w:bookmarkEnd w:id="71"/>
    <w:bookmarkEnd w:id="72"/>
    <w:p w14:paraId="6F5C141F">
      <w:pPr>
        <w:pageBreakBefore w:val="0"/>
        <w:kinsoku/>
        <w:bidi w:val="0"/>
        <w:spacing w:line="360" w:lineRule="auto"/>
        <w:jc w:val="center"/>
        <w:rPr>
          <w:rFonts w:hint="eastAsia" w:ascii="宋体" w:hAnsi="宋体"/>
          <w:b/>
          <w:szCs w:val="21"/>
          <w:highlight w:val="none"/>
        </w:rPr>
      </w:pPr>
      <w:r>
        <w:rPr>
          <w:rFonts w:hint="eastAsia" w:ascii="宋体" w:hAnsi="宋体"/>
          <w:b/>
          <w:szCs w:val="21"/>
          <w:highlight w:val="none"/>
        </w:rPr>
        <w:t>11.项目组成人员表</w:t>
      </w:r>
    </w:p>
    <w:p w14:paraId="3A7CE605">
      <w:pPr>
        <w:pageBreakBefore w:val="0"/>
        <w:kinsoku/>
        <w:bidi w:val="0"/>
        <w:spacing w:line="360" w:lineRule="auto"/>
        <w:rPr>
          <w:rFonts w:hint="eastAsia" w:ascii="宋体" w:hAnsi="宋体"/>
          <w:szCs w:val="21"/>
          <w:highlight w:val="none"/>
        </w:rPr>
      </w:pPr>
    </w:p>
    <w:tbl>
      <w:tblPr>
        <w:tblStyle w:val="20"/>
        <w:tblW w:w="9360" w:type="dxa"/>
        <w:tblInd w:w="99" w:type="dxa"/>
        <w:tblLayout w:type="fixed"/>
        <w:tblCellMar>
          <w:top w:w="0" w:type="dxa"/>
          <w:left w:w="108" w:type="dxa"/>
          <w:bottom w:w="0" w:type="dxa"/>
          <w:right w:w="108" w:type="dxa"/>
        </w:tblCellMar>
      </w:tblPr>
      <w:tblGrid>
        <w:gridCol w:w="1486"/>
        <w:gridCol w:w="1134"/>
        <w:gridCol w:w="933"/>
        <w:gridCol w:w="1276"/>
        <w:gridCol w:w="1276"/>
        <w:gridCol w:w="1701"/>
        <w:gridCol w:w="1554"/>
      </w:tblGrid>
      <w:tr w14:paraId="1953627D">
        <w:tblPrEx>
          <w:tblCellMar>
            <w:top w:w="0" w:type="dxa"/>
            <w:left w:w="108" w:type="dxa"/>
            <w:bottom w:w="0" w:type="dxa"/>
            <w:right w:w="108" w:type="dxa"/>
          </w:tblCellMar>
        </w:tblPrEx>
        <w:trPr>
          <w:trHeight w:val="480" w:hRule="atLeast"/>
        </w:trPr>
        <w:tc>
          <w:tcPr>
            <w:tcW w:w="1486" w:type="dxa"/>
            <w:vMerge w:val="restart"/>
            <w:tcBorders>
              <w:top w:val="single" w:color="auto" w:sz="8" w:space="0"/>
              <w:left w:val="single" w:color="auto" w:sz="8" w:space="0"/>
              <w:bottom w:val="single" w:color="000000" w:sz="8" w:space="0"/>
              <w:right w:val="single" w:color="auto" w:sz="8" w:space="0"/>
            </w:tcBorders>
            <w:vAlign w:val="center"/>
          </w:tcPr>
          <w:p w14:paraId="649111ED">
            <w:pPr>
              <w:pageBreakBefore w:val="0"/>
              <w:widowControl/>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岗位</w:t>
            </w:r>
          </w:p>
        </w:tc>
        <w:tc>
          <w:tcPr>
            <w:tcW w:w="1134" w:type="dxa"/>
            <w:vMerge w:val="restart"/>
            <w:tcBorders>
              <w:top w:val="single" w:color="auto" w:sz="8" w:space="0"/>
              <w:left w:val="single" w:color="auto" w:sz="8" w:space="0"/>
              <w:bottom w:val="single" w:color="000000" w:sz="8" w:space="0"/>
              <w:right w:val="single" w:color="auto" w:sz="8" w:space="0"/>
            </w:tcBorders>
            <w:vAlign w:val="center"/>
          </w:tcPr>
          <w:p w14:paraId="2C698F36">
            <w:pPr>
              <w:pageBreakBefore w:val="0"/>
              <w:widowControl/>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姓名</w:t>
            </w:r>
          </w:p>
        </w:tc>
        <w:tc>
          <w:tcPr>
            <w:tcW w:w="933" w:type="dxa"/>
            <w:vMerge w:val="restart"/>
            <w:tcBorders>
              <w:top w:val="single" w:color="auto" w:sz="8" w:space="0"/>
              <w:left w:val="single" w:color="auto" w:sz="8" w:space="0"/>
              <w:bottom w:val="single" w:color="000000" w:sz="8" w:space="0"/>
              <w:right w:val="single" w:color="auto" w:sz="8" w:space="0"/>
            </w:tcBorders>
            <w:vAlign w:val="center"/>
          </w:tcPr>
          <w:p w14:paraId="68A7C37C">
            <w:pPr>
              <w:pageBreakBefore w:val="0"/>
              <w:widowControl/>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性别</w:t>
            </w:r>
          </w:p>
        </w:tc>
        <w:tc>
          <w:tcPr>
            <w:tcW w:w="1276" w:type="dxa"/>
            <w:vMerge w:val="restart"/>
            <w:tcBorders>
              <w:top w:val="single" w:color="auto" w:sz="8" w:space="0"/>
              <w:left w:val="single" w:color="auto" w:sz="8" w:space="0"/>
              <w:bottom w:val="single" w:color="000000" w:sz="8" w:space="0"/>
              <w:right w:val="single" w:color="auto" w:sz="8" w:space="0"/>
            </w:tcBorders>
            <w:vAlign w:val="center"/>
          </w:tcPr>
          <w:p w14:paraId="07036715">
            <w:pPr>
              <w:pageBreakBefore w:val="0"/>
              <w:widowControl/>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年龄</w:t>
            </w:r>
          </w:p>
        </w:tc>
        <w:tc>
          <w:tcPr>
            <w:tcW w:w="1276" w:type="dxa"/>
            <w:vMerge w:val="restart"/>
            <w:tcBorders>
              <w:top w:val="single" w:color="auto" w:sz="8" w:space="0"/>
              <w:left w:val="single" w:color="auto" w:sz="8" w:space="0"/>
              <w:bottom w:val="single" w:color="000000" w:sz="8" w:space="0"/>
              <w:right w:val="single" w:color="auto" w:sz="8" w:space="0"/>
            </w:tcBorders>
            <w:vAlign w:val="center"/>
          </w:tcPr>
          <w:p w14:paraId="28964DD9">
            <w:pPr>
              <w:pageBreakBefore w:val="0"/>
              <w:widowControl/>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专业</w:t>
            </w:r>
          </w:p>
        </w:tc>
        <w:tc>
          <w:tcPr>
            <w:tcW w:w="1701" w:type="dxa"/>
            <w:vMerge w:val="restart"/>
            <w:tcBorders>
              <w:top w:val="single" w:color="auto" w:sz="8" w:space="0"/>
              <w:left w:val="single" w:color="auto" w:sz="8" w:space="0"/>
              <w:bottom w:val="single" w:color="000000" w:sz="8" w:space="0"/>
              <w:right w:val="single" w:color="auto" w:sz="8" w:space="0"/>
            </w:tcBorders>
            <w:vAlign w:val="center"/>
          </w:tcPr>
          <w:p w14:paraId="293540AB">
            <w:pPr>
              <w:pageBreakBefore w:val="0"/>
              <w:widowControl/>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职称</w:t>
            </w:r>
          </w:p>
        </w:tc>
        <w:tc>
          <w:tcPr>
            <w:tcW w:w="1554" w:type="dxa"/>
            <w:vMerge w:val="restart"/>
            <w:tcBorders>
              <w:top w:val="single" w:color="auto" w:sz="8" w:space="0"/>
              <w:left w:val="single" w:color="auto" w:sz="8" w:space="0"/>
              <w:bottom w:val="single" w:color="000000" w:sz="8" w:space="0"/>
              <w:right w:val="single" w:color="auto" w:sz="8" w:space="0"/>
            </w:tcBorders>
            <w:vAlign w:val="center"/>
          </w:tcPr>
          <w:p w14:paraId="7AFEBADB">
            <w:pPr>
              <w:pageBreakBefore w:val="0"/>
              <w:widowControl/>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资格证书</w:t>
            </w:r>
          </w:p>
        </w:tc>
      </w:tr>
      <w:tr w14:paraId="7B682158">
        <w:tblPrEx>
          <w:tblCellMar>
            <w:top w:w="0" w:type="dxa"/>
            <w:left w:w="108" w:type="dxa"/>
            <w:bottom w:w="0" w:type="dxa"/>
            <w:right w:w="108" w:type="dxa"/>
          </w:tblCellMar>
        </w:tblPrEx>
        <w:trPr>
          <w:trHeight w:val="566" w:hRule="atLeast"/>
        </w:trPr>
        <w:tc>
          <w:tcPr>
            <w:tcW w:w="1486" w:type="dxa"/>
            <w:vMerge w:val="continue"/>
            <w:tcBorders>
              <w:top w:val="single" w:color="auto" w:sz="8" w:space="0"/>
              <w:left w:val="single" w:color="auto" w:sz="8" w:space="0"/>
              <w:bottom w:val="single" w:color="000000" w:sz="8" w:space="0"/>
              <w:right w:val="single" w:color="auto" w:sz="8" w:space="0"/>
            </w:tcBorders>
            <w:vAlign w:val="center"/>
          </w:tcPr>
          <w:p w14:paraId="2EF623DD">
            <w:pPr>
              <w:pageBreakBefore w:val="0"/>
              <w:widowControl/>
              <w:kinsoku/>
              <w:bidi w:val="0"/>
              <w:spacing w:line="360" w:lineRule="auto"/>
              <w:jc w:val="center"/>
              <w:rPr>
                <w:rFonts w:hint="eastAsia" w:ascii="宋体" w:hAnsi="宋体" w:cs="宋体"/>
                <w:szCs w:val="21"/>
                <w:highlight w:val="none"/>
              </w:rPr>
            </w:pPr>
          </w:p>
        </w:tc>
        <w:tc>
          <w:tcPr>
            <w:tcW w:w="1134" w:type="dxa"/>
            <w:vMerge w:val="continue"/>
            <w:tcBorders>
              <w:top w:val="single" w:color="auto" w:sz="8" w:space="0"/>
              <w:left w:val="single" w:color="auto" w:sz="8" w:space="0"/>
              <w:bottom w:val="single" w:color="000000" w:sz="8" w:space="0"/>
              <w:right w:val="single" w:color="auto" w:sz="8" w:space="0"/>
            </w:tcBorders>
            <w:vAlign w:val="center"/>
          </w:tcPr>
          <w:p w14:paraId="33CA8F95">
            <w:pPr>
              <w:pageBreakBefore w:val="0"/>
              <w:widowControl/>
              <w:kinsoku/>
              <w:bidi w:val="0"/>
              <w:spacing w:line="360" w:lineRule="auto"/>
              <w:jc w:val="center"/>
              <w:rPr>
                <w:rFonts w:hint="eastAsia" w:ascii="宋体" w:hAnsi="宋体" w:cs="宋体"/>
                <w:szCs w:val="21"/>
                <w:highlight w:val="none"/>
              </w:rPr>
            </w:pPr>
          </w:p>
        </w:tc>
        <w:tc>
          <w:tcPr>
            <w:tcW w:w="933" w:type="dxa"/>
            <w:vMerge w:val="continue"/>
            <w:tcBorders>
              <w:top w:val="single" w:color="auto" w:sz="8" w:space="0"/>
              <w:left w:val="single" w:color="auto" w:sz="8" w:space="0"/>
              <w:bottom w:val="single" w:color="000000" w:sz="8" w:space="0"/>
              <w:right w:val="single" w:color="auto" w:sz="8" w:space="0"/>
            </w:tcBorders>
            <w:vAlign w:val="center"/>
          </w:tcPr>
          <w:p w14:paraId="7CF306BD">
            <w:pPr>
              <w:pageBreakBefore w:val="0"/>
              <w:widowControl/>
              <w:kinsoku/>
              <w:bidi w:val="0"/>
              <w:spacing w:line="360" w:lineRule="auto"/>
              <w:jc w:val="center"/>
              <w:rPr>
                <w:rFonts w:hint="eastAsia" w:ascii="宋体" w:hAnsi="宋体" w:cs="宋体"/>
                <w:szCs w:val="21"/>
                <w:highlight w:val="none"/>
              </w:rPr>
            </w:pPr>
          </w:p>
        </w:tc>
        <w:tc>
          <w:tcPr>
            <w:tcW w:w="1276" w:type="dxa"/>
            <w:vMerge w:val="continue"/>
            <w:tcBorders>
              <w:top w:val="single" w:color="auto" w:sz="8" w:space="0"/>
              <w:left w:val="single" w:color="auto" w:sz="8" w:space="0"/>
              <w:bottom w:val="single" w:color="000000" w:sz="8" w:space="0"/>
              <w:right w:val="single" w:color="auto" w:sz="8" w:space="0"/>
            </w:tcBorders>
            <w:vAlign w:val="center"/>
          </w:tcPr>
          <w:p w14:paraId="12568908">
            <w:pPr>
              <w:pageBreakBefore w:val="0"/>
              <w:widowControl/>
              <w:kinsoku/>
              <w:bidi w:val="0"/>
              <w:spacing w:line="360" w:lineRule="auto"/>
              <w:jc w:val="center"/>
              <w:rPr>
                <w:rFonts w:hint="eastAsia" w:ascii="宋体" w:hAnsi="宋体" w:cs="宋体"/>
                <w:szCs w:val="21"/>
                <w:highlight w:val="none"/>
              </w:rPr>
            </w:pPr>
          </w:p>
        </w:tc>
        <w:tc>
          <w:tcPr>
            <w:tcW w:w="1276" w:type="dxa"/>
            <w:vMerge w:val="continue"/>
            <w:tcBorders>
              <w:top w:val="single" w:color="auto" w:sz="8" w:space="0"/>
              <w:left w:val="single" w:color="auto" w:sz="8" w:space="0"/>
              <w:bottom w:val="single" w:color="000000" w:sz="8" w:space="0"/>
              <w:right w:val="single" w:color="auto" w:sz="8" w:space="0"/>
            </w:tcBorders>
            <w:vAlign w:val="center"/>
          </w:tcPr>
          <w:p w14:paraId="1CD3C1DD">
            <w:pPr>
              <w:pageBreakBefore w:val="0"/>
              <w:widowControl/>
              <w:kinsoku/>
              <w:bidi w:val="0"/>
              <w:spacing w:line="360" w:lineRule="auto"/>
              <w:jc w:val="center"/>
              <w:rPr>
                <w:rFonts w:hint="eastAsia" w:ascii="宋体" w:hAnsi="宋体" w:cs="宋体"/>
                <w:szCs w:val="21"/>
                <w:highlight w:val="none"/>
              </w:rPr>
            </w:pPr>
          </w:p>
        </w:tc>
        <w:tc>
          <w:tcPr>
            <w:tcW w:w="1701" w:type="dxa"/>
            <w:vMerge w:val="continue"/>
            <w:tcBorders>
              <w:top w:val="single" w:color="auto" w:sz="8" w:space="0"/>
              <w:left w:val="single" w:color="auto" w:sz="8" w:space="0"/>
              <w:bottom w:val="single" w:color="000000" w:sz="8" w:space="0"/>
              <w:right w:val="single" w:color="auto" w:sz="8" w:space="0"/>
            </w:tcBorders>
            <w:vAlign w:val="center"/>
          </w:tcPr>
          <w:p w14:paraId="02C0F97B">
            <w:pPr>
              <w:pageBreakBefore w:val="0"/>
              <w:widowControl/>
              <w:kinsoku/>
              <w:bidi w:val="0"/>
              <w:spacing w:line="360" w:lineRule="auto"/>
              <w:jc w:val="center"/>
              <w:rPr>
                <w:rFonts w:hint="eastAsia" w:ascii="宋体" w:hAnsi="宋体" w:cs="宋体"/>
                <w:szCs w:val="21"/>
                <w:highlight w:val="none"/>
              </w:rPr>
            </w:pPr>
          </w:p>
        </w:tc>
        <w:tc>
          <w:tcPr>
            <w:tcW w:w="1554" w:type="dxa"/>
            <w:vMerge w:val="continue"/>
            <w:tcBorders>
              <w:top w:val="single" w:color="auto" w:sz="8" w:space="0"/>
              <w:left w:val="single" w:color="auto" w:sz="8" w:space="0"/>
              <w:bottom w:val="single" w:color="000000" w:sz="8" w:space="0"/>
              <w:right w:val="single" w:color="auto" w:sz="8" w:space="0"/>
            </w:tcBorders>
            <w:vAlign w:val="center"/>
          </w:tcPr>
          <w:p w14:paraId="402F8E05">
            <w:pPr>
              <w:pageBreakBefore w:val="0"/>
              <w:widowControl/>
              <w:kinsoku/>
              <w:bidi w:val="0"/>
              <w:spacing w:line="360" w:lineRule="auto"/>
              <w:jc w:val="center"/>
              <w:rPr>
                <w:rFonts w:hint="eastAsia" w:ascii="宋体" w:hAnsi="宋体" w:cs="宋体"/>
                <w:szCs w:val="21"/>
                <w:highlight w:val="none"/>
              </w:rPr>
            </w:pPr>
          </w:p>
        </w:tc>
      </w:tr>
      <w:tr w14:paraId="28D4E966">
        <w:tblPrEx>
          <w:tblCellMar>
            <w:top w:w="0" w:type="dxa"/>
            <w:left w:w="108" w:type="dxa"/>
            <w:bottom w:w="0" w:type="dxa"/>
            <w:right w:w="108" w:type="dxa"/>
          </w:tblCellMar>
        </w:tblPrEx>
        <w:trPr>
          <w:trHeight w:val="508" w:hRule="atLeast"/>
        </w:trPr>
        <w:tc>
          <w:tcPr>
            <w:tcW w:w="1486" w:type="dxa"/>
            <w:tcBorders>
              <w:top w:val="nil"/>
              <w:left w:val="single" w:color="auto" w:sz="8" w:space="0"/>
              <w:bottom w:val="single" w:color="auto" w:sz="8" w:space="0"/>
              <w:right w:val="single" w:color="auto" w:sz="8" w:space="0"/>
            </w:tcBorders>
            <w:vAlign w:val="center"/>
          </w:tcPr>
          <w:p w14:paraId="64D42168">
            <w:pPr>
              <w:pageBreakBefore w:val="0"/>
              <w:widowControl/>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项目负责人</w:t>
            </w:r>
          </w:p>
        </w:tc>
        <w:tc>
          <w:tcPr>
            <w:tcW w:w="1134" w:type="dxa"/>
            <w:tcBorders>
              <w:top w:val="nil"/>
              <w:left w:val="nil"/>
              <w:bottom w:val="single" w:color="auto" w:sz="8" w:space="0"/>
              <w:right w:val="single" w:color="auto" w:sz="8" w:space="0"/>
            </w:tcBorders>
            <w:vAlign w:val="center"/>
          </w:tcPr>
          <w:p w14:paraId="3912771C">
            <w:pPr>
              <w:pageBreakBefore w:val="0"/>
              <w:widowControl/>
              <w:kinsoku/>
              <w:bidi w:val="0"/>
              <w:spacing w:line="360" w:lineRule="auto"/>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14704F55">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33A02168">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212E6F18">
            <w:pPr>
              <w:pageBreakBefore w:val="0"/>
              <w:widowControl/>
              <w:kinsoku/>
              <w:bidi w:val="0"/>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0D68BD2B">
            <w:pPr>
              <w:pageBreakBefore w:val="0"/>
              <w:widowControl/>
              <w:kinsoku/>
              <w:bidi w:val="0"/>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062DDF1C">
            <w:pPr>
              <w:pageBreakBefore w:val="0"/>
              <w:widowControl/>
              <w:kinsoku/>
              <w:bidi w:val="0"/>
              <w:spacing w:line="360" w:lineRule="auto"/>
              <w:jc w:val="center"/>
              <w:rPr>
                <w:rFonts w:hint="eastAsia" w:ascii="宋体" w:hAnsi="宋体" w:cs="宋体"/>
                <w:szCs w:val="21"/>
                <w:highlight w:val="none"/>
              </w:rPr>
            </w:pPr>
          </w:p>
        </w:tc>
      </w:tr>
      <w:tr w14:paraId="2F941ECD">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0B0AB8B0">
            <w:pPr>
              <w:pageBreakBefore w:val="0"/>
              <w:widowControl/>
              <w:kinsoku/>
              <w:bidi w:val="0"/>
              <w:spacing w:line="360" w:lineRule="auto"/>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355BE81E">
            <w:pPr>
              <w:pageBreakBefore w:val="0"/>
              <w:widowControl/>
              <w:kinsoku/>
              <w:bidi w:val="0"/>
              <w:spacing w:line="360" w:lineRule="auto"/>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21E498DF">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59C971E9">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2023DBC0">
            <w:pPr>
              <w:pageBreakBefore w:val="0"/>
              <w:widowControl/>
              <w:kinsoku/>
              <w:bidi w:val="0"/>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1AB22201">
            <w:pPr>
              <w:pageBreakBefore w:val="0"/>
              <w:widowControl/>
              <w:kinsoku/>
              <w:bidi w:val="0"/>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3ECF3E41">
            <w:pPr>
              <w:pageBreakBefore w:val="0"/>
              <w:widowControl/>
              <w:kinsoku/>
              <w:bidi w:val="0"/>
              <w:spacing w:line="360" w:lineRule="auto"/>
              <w:jc w:val="center"/>
              <w:rPr>
                <w:rFonts w:hint="eastAsia" w:ascii="宋体" w:hAnsi="宋体" w:cs="宋体"/>
                <w:szCs w:val="21"/>
                <w:highlight w:val="none"/>
              </w:rPr>
            </w:pPr>
          </w:p>
        </w:tc>
      </w:tr>
      <w:tr w14:paraId="5633A2F1">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606E7A7C">
            <w:pPr>
              <w:pageBreakBefore w:val="0"/>
              <w:widowControl/>
              <w:kinsoku/>
              <w:bidi w:val="0"/>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095DC2FD">
            <w:pPr>
              <w:pageBreakBefore w:val="0"/>
              <w:widowControl/>
              <w:kinsoku/>
              <w:bidi w:val="0"/>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6D0E1283">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4FE92B0B">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3F251DC9">
            <w:pPr>
              <w:pageBreakBefore w:val="0"/>
              <w:widowControl/>
              <w:kinsoku/>
              <w:bidi w:val="0"/>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0DF48B3A">
            <w:pPr>
              <w:pageBreakBefore w:val="0"/>
              <w:widowControl/>
              <w:kinsoku/>
              <w:bidi w:val="0"/>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798DF66D">
            <w:pPr>
              <w:pageBreakBefore w:val="0"/>
              <w:widowControl/>
              <w:kinsoku/>
              <w:bidi w:val="0"/>
              <w:spacing w:line="360" w:lineRule="auto"/>
              <w:jc w:val="center"/>
              <w:rPr>
                <w:rFonts w:hint="eastAsia" w:ascii="宋体" w:hAnsi="宋体" w:cs="宋体"/>
                <w:szCs w:val="21"/>
                <w:highlight w:val="none"/>
              </w:rPr>
            </w:pPr>
          </w:p>
        </w:tc>
      </w:tr>
      <w:tr w14:paraId="4CA3090E">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15FECE65">
            <w:pPr>
              <w:pageBreakBefore w:val="0"/>
              <w:widowControl/>
              <w:kinsoku/>
              <w:bidi w:val="0"/>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6B40C02C">
            <w:pPr>
              <w:pageBreakBefore w:val="0"/>
              <w:widowControl/>
              <w:kinsoku/>
              <w:bidi w:val="0"/>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2E193CC4">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193CEA85">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50FDB673">
            <w:pPr>
              <w:pageBreakBefore w:val="0"/>
              <w:widowControl/>
              <w:kinsoku/>
              <w:bidi w:val="0"/>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304D3438">
            <w:pPr>
              <w:pageBreakBefore w:val="0"/>
              <w:widowControl/>
              <w:kinsoku/>
              <w:bidi w:val="0"/>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1CD9050A">
            <w:pPr>
              <w:pageBreakBefore w:val="0"/>
              <w:widowControl/>
              <w:kinsoku/>
              <w:bidi w:val="0"/>
              <w:spacing w:line="360" w:lineRule="auto"/>
              <w:jc w:val="center"/>
              <w:rPr>
                <w:rFonts w:hint="eastAsia" w:ascii="宋体" w:hAnsi="宋体" w:cs="宋体"/>
                <w:szCs w:val="21"/>
                <w:highlight w:val="none"/>
              </w:rPr>
            </w:pPr>
          </w:p>
        </w:tc>
      </w:tr>
      <w:tr w14:paraId="45B738B1">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259F2F4F">
            <w:pPr>
              <w:pageBreakBefore w:val="0"/>
              <w:widowControl/>
              <w:kinsoku/>
              <w:bidi w:val="0"/>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66E6BFA4">
            <w:pPr>
              <w:pageBreakBefore w:val="0"/>
              <w:widowControl/>
              <w:kinsoku/>
              <w:bidi w:val="0"/>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3D52DD88">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2F0973EA">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18B092C1">
            <w:pPr>
              <w:pageBreakBefore w:val="0"/>
              <w:widowControl/>
              <w:kinsoku/>
              <w:bidi w:val="0"/>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48FAB92D">
            <w:pPr>
              <w:pageBreakBefore w:val="0"/>
              <w:widowControl/>
              <w:kinsoku/>
              <w:bidi w:val="0"/>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559EBCA0">
            <w:pPr>
              <w:pageBreakBefore w:val="0"/>
              <w:widowControl/>
              <w:kinsoku/>
              <w:bidi w:val="0"/>
              <w:spacing w:line="360" w:lineRule="auto"/>
              <w:jc w:val="center"/>
              <w:rPr>
                <w:rFonts w:hint="eastAsia" w:ascii="宋体" w:hAnsi="宋体" w:cs="宋体"/>
                <w:szCs w:val="21"/>
                <w:highlight w:val="none"/>
              </w:rPr>
            </w:pPr>
          </w:p>
        </w:tc>
      </w:tr>
      <w:tr w14:paraId="3A19D040">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2106ADBA">
            <w:pPr>
              <w:pageBreakBefore w:val="0"/>
              <w:widowControl/>
              <w:kinsoku/>
              <w:bidi w:val="0"/>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184380BB">
            <w:pPr>
              <w:pageBreakBefore w:val="0"/>
              <w:widowControl/>
              <w:kinsoku/>
              <w:bidi w:val="0"/>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70AE3656">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6667681E">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28122FE0">
            <w:pPr>
              <w:pageBreakBefore w:val="0"/>
              <w:widowControl/>
              <w:kinsoku/>
              <w:bidi w:val="0"/>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5CC36A35">
            <w:pPr>
              <w:pageBreakBefore w:val="0"/>
              <w:widowControl/>
              <w:kinsoku/>
              <w:bidi w:val="0"/>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4FCE582F">
            <w:pPr>
              <w:pageBreakBefore w:val="0"/>
              <w:widowControl/>
              <w:kinsoku/>
              <w:bidi w:val="0"/>
              <w:spacing w:line="360" w:lineRule="auto"/>
              <w:jc w:val="center"/>
              <w:rPr>
                <w:rFonts w:hint="eastAsia" w:ascii="宋体" w:hAnsi="宋体" w:cs="宋体"/>
                <w:szCs w:val="21"/>
                <w:highlight w:val="none"/>
              </w:rPr>
            </w:pPr>
          </w:p>
        </w:tc>
      </w:tr>
      <w:tr w14:paraId="58BA6FC1">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0B57048A">
            <w:pPr>
              <w:pageBreakBefore w:val="0"/>
              <w:widowControl/>
              <w:kinsoku/>
              <w:bidi w:val="0"/>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2455DB15">
            <w:pPr>
              <w:pageBreakBefore w:val="0"/>
              <w:widowControl/>
              <w:kinsoku/>
              <w:bidi w:val="0"/>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0CC269E8">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1965A261">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6B132672">
            <w:pPr>
              <w:pageBreakBefore w:val="0"/>
              <w:widowControl/>
              <w:kinsoku/>
              <w:bidi w:val="0"/>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58B6E0FE">
            <w:pPr>
              <w:pageBreakBefore w:val="0"/>
              <w:widowControl/>
              <w:kinsoku/>
              <w:bidi w:val="0"/>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7AE25A98">
            <w:pPr>
              <w:pageBreakBefore w:val="0"/>
              <w:widowControl/>
              <w:kinsoku/>
              <w:bidi w:val="0"/>
              <w:spacing w:line="360" w:lineRule="auto"/>
              <w:jc w:val="center"/>
              <w:rPr>
                <w:rFonts w:hint="eastAsia" w:ascii="宋体" w:hAnsi="宋体" w:cs="宋体"/>
                <w:szCs w:val="21"/>
                <w:highlight w:val="none"/>
              </w:rPr>
            </w:pPr>
          </w:p>
        </w:tc>
      </w:tr>
      <w:tr w14:paraId="2BA58F04">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035E26BE">
            <w:pPr>
              <w:pageBreakBefore w:val="0"/>
              <w:widowControl/>
              <w:kinsoku/>
              <w:bidi w:val="0"/>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4E010284">
            <w:pPr>
              <w:pageBreakBefore w:val="0"/>
              <w:widowControl/>
              <w:kinsoku/>
              <w:bidi w:val="0"/>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17CA6456">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4A77FDAD">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784BA5CB">
            <w:pPr>
              <w:pageBreakBefore w:val="0"/>
              <w:widowControl/>
              <w:kinsoku/>
              <w:bidi w:val="0"/>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092455AF">
            <w:pPr>
              <w:pageBreakBefore w:val="0"/>
              <w:widowControl/>
              <w:kinsoku/>
              <w:bidi w:val="0"/>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51F7D4A5">
            <w:pPr>
              <w:pageBreakBefore w:val="0"/>
              <w:widowControl/>
              <w:kinsoku/>
              <w:bidi w:val="0"/>
              <w:spacing w:line="360" w:lineRule="auto"/>
              <w:jc w:val="center"/>
              <w:rPr>
                <w:rFonts w:hint="eastAsia" w:ascii="宋体" w:hAnsi="宋体" w:cs="宋体"/>
                <w:szCs w:val="21"/>
                <w:highlight w:val="none"/>
              </w:rPr>
            </w:pPr>
          </w:p>
        </w:tc>
      </w:tr>
      <w:tr w14:paraId="61995CC0">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096C5476">
            <w:pPr>
              <w:pageBreakBefore w:val="0"/>
              <w:widowControl/>
              <w:kinsoku/>
              <w:bidi w:val="0"/>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1BF0FBB3">
            <w:pPr>
              <w:pageBreakBefore w:val="0"/>
              <w:widowControl/>
              <w:kinsoku/>
              <w:bidi w:val="0"/>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06F4CAC9">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781442CE">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3C53C51C">
            <w:pPr>
              <w:pageBreakBefore w:val="0"/>
              <w:widowControl/>
              <w:kinsoku/>
              <w:bidi w:val="0"/>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74BD88C7">
            <w:pPr>
              <w:pageBreakBefore w:val="0"/>
              <w:widowControl/>
              <w:kinsoku/>
              <w:bidi w:val="0"/>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263530AE">
            <w:pPr>
              <w:pageBreakBefore w:val="0"/>
              <w:widowControl/>
              <w:kinsoku/>
              <w:bidi w:val="0"/>
              <w:spacing w:line="360" w:lineRule="auto"/>
              <w:jc w:val="center"/>
              <w:rPr>
                <w:rFonts w:hint="eastAsia" w:ascii="宋体" w:hAnsi="宋体" w:cs="宋体"/>
                <w:szCs w:val="21"/>
                <w:highlight w:val="none"/>
              </w:rPr>
            </w:pPr>
          </w:p>
        </w:tc>
      </w:tr>
      <w:tr w14:paraId="4112AA69">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53880DE9">
            <w:pPr>
              <w:pageBreakBefore w:val="0"/>
              <w:widowControl/>
              <w:kinsoku/>
              <w:bidi w:val="0"/>
              <w:spacing w:line="360" w:lineRule="auto"/>
              <w:jc w:val="center"/>
              <w:rPr>
                <w:rFonts w:hint="eastAsia" w:ascii="宋体" w:hAnsi="宋体" w:cs="宋体"/>
                <w:szCs w:val="21"/>
                <w:highlight w:val="none"/>
              </w:rPr>
            </w:pPr>
          </w:p>
        </w:tc>
        <w:tc>
          <w:tcPr>
            <w:tcW w:w="1134" w:type="dxa"/>
            <w:tcBorders>
              <w:top w:val="nil"/>
              <w:left w:val="nil"/>
              <w:bottom w:val="single" w:color="auto" w:sz="8" w:space="0"/>
              <w:right w:val="single" w:color="auto" w:sz="8" w:space="0"/>
            </w:tcBorders>
            <w:vAlign w:val="center"/>
          </w:tcPr>
          <w:p w14:paraId="258A8D85">
            <w:pPr>
              <w:pageBreakBefore w:val="0"/>
              <w:widowControl/>
              <w:kinsoku/>
              <w:bidi w:val="0"/>
              <w:spacing w:line="360" w:lineRule="auto"/>
              <w:jc w:val="center"/>
              <w:rPr>
                <w:rFonts w:hint="eastAsia" w:ascii="宋体" w:hAnsi="宋体" w:cs="宋体"/>
                <w:szCs w:val="21"/>
                <w:highlight w:val="none"/>
              </w:rPr>
            </w:pPr>
          </w:p>
        </w:tc>
        <w:tc>
          <w:tcPr>
            <w:tcW w:w="933" w:type="dxa"/>
            <w:tcBorders>
              <w:top w:val="nil"/>
              <w:left w:val="nil"/>
              <w:bottom w:val="single" w:color="auto" w:sz="8" w:space="0"/>
              <w:right w:val="single" w:color="auto" w:sz="8" w:space="0"/>
            </w:tcBorders>
            <w:vAlign w:val="center"/>
          </w:tcPr>
          <w:p w14:paraId="4F63F40B">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489623D6">
            <w:pPr>
              <w:pageBreakBefore w:val="0"/>
              <w:widowControl/>
              <w:kinsoku/>
              <w:bidi w:val="0"/>
              <w:spacing w:line="360" w:lineRule="auto"/>
              <w:jc w:val="center"/>
              <w:rPr>
                <w:rFonts w:hint="eastAsia" w:ascii="宋体" w:hAnsi="宋体" w:cs="宋体"/>
                <w:szCs w:val="21"/>
                <w:highlight w:val="none"/>
              </w:rPr>
            </w:pPr>
          </w:p>
        </w:tc>
        <w:tc>
          <w:tcPr>
            <w:tcW w:w="1276" w:type="dxa"/>
            <w:tcBorders>
              <w:top w:val="nil"/>
              <w:left w:val="nil"/>
              <w:bottom w:val="single" w:color="auto" w:sz="8" w:space="0"/>
              <w:right w:val="single" w:color="auto" w:sz="8" w:space="0"/>
            </w:tcBorders>
            <w:vAlign w:val="center"/>
          </w:tcPr>
          <w:p w14:paraId="42E99A6A">
            <w:pPr>
              <w:pageBreakBefore w:val="0"/>
              <w:widowControl/>
              <w:kinsoku/>
              <w:bidi w:val="0"/>
              <w:spacing w:line="360" w:lineRule="auto"/>
              <w:jc w:val="center"/>
              <w:rPr>
                <w:rFonts w:hint="eastAsia" w:ascii="宋体" w:hAnsi="宋体" w:cs="宋体"/>
                <w:szCs w:val="21"/>
                <w:highlight w:val="none"/>
              </w:rPr>
            </w:pPr>
          </w:p>
        </w:tc>
        <w:tc>
          <w:tcPr>
            <w:tcW w:w="1701" w:type="dxa"/>
            <w:tcBorders>
              <w:top w:val="nil"/>
              <w:left w:val="nil"/>
              <w:bottom w:val="single" w:color="auto" w:sz="8" w:space="0"/>
              <w:right w:val="single" w:color="auto" w:sz="8" w:space="0"/>
            </w:tcBorders>
            <w:vAlign w:val="center"/>
          </w:tcPr>
          <w:p w14:paraId="16D5ADE6">
            <w:pPr>
              <w:pageBreakBefore w:val="0"/>
              <w:widowControl/>
              <w:kinsoku/>
              <w:bidi w:val="0"/>
              <w:spacing w:line="360" w:lineRule="auto"/>
              <w:jc w:val="center"/>
              <w:rPr>
                <w:rFonts w:hint="eastAsia" w:ascii="宋体" w:hAnsi="宋体" w:cs="宋体"/>
                <w:szCs w:val="21"/>
                <w:highlight w:val="none"/>
              </w:rPr>
            </w:pPr>
          </w:p>
        </w:tc>
        <w:tc>
          <w:tcPr>
            <w:tcW w:w="1554" w:type="dxa"/>
            <w:tcBorders>
              <w:top w:val="nil"/>
              <w:left w:val="nil"/>
              <w:bottom w:val="single" w:color="auto" w:sz="8" w:space="0"/>
              <w:right w:val="single" w:color="auto" w:sz="8" w:space="0"/>
            </w:tcBorders>
            <w:vAlign w:val="center"/>
          </w:tcPr>
          <w:p w14:paraId="1E7D1EC8">
            <w:pPr>
              <w:pageBreakBefore w:val="0"/>
              <w:widowControl/>
              <w:kinsoku/>
              <w:bidi w:val="0"/>
              <w:spacing w:line="360" w:lineRule="auto"/>
              <w:jc w:val="center"/>
              <w:rPr>
                <w:rFonts w:hint="eastAsia" w:ascii="宋体" w:hAnsi="宋体" w:cs="宋体"/>
                <w:szCs w:val="21"/>
                <w:highlight w:val="none"/>
              </w:rPr>
            </w:pPr>
          </w:p>
        </w:tc>
      </w:tr>
    </w:tbl>
    <w:p w14:paraId="04204A20">
      <w:pPr>
        <w:pageBreakBefore w:val="0"/>
        <w:kinsoku/>
        <w:bidi w:val="0"/>
        <w:spacing w:line="360" w:lineRule="auto"/>
        <w:rPr>
          <w:rFonts w:hint="eastAsia" w:ascii="宋体" w:hAnsi="宋体"/>
          <w:szCs w:val="21"/>
          <w:highlight w:val="none"/>
        </w:rPr>
      </w:pPr>
    </w:p>
    <w:p w14:paraId="65C86824">
      <w:pPr>
        <w:pageBreakBefore w:val="0"/>
        <w:kinsoku/>
        <w:bidi w:val="0"/>
        <w:spacing w:line="360" w:lineRule="auto"/>
        <w:rPr>
          <w:rFonts w:hint="eastAsia" w:ascii="宋体" w:hAnsi="宋体"/>
          <w:szCs w:val="21"/>
          <w:highlight w:val="none"/>
        </w:rPr>
      </w:pPr>
    </w:p>
    <w:p w14:paraId="545027F6">
      <w:pPr>
        <w:pStyle w:val="36"/>
        <w:pageBreakBefore w:val="0"/>
        <w:kinsoku/>
        <w:overflowPunct w:val="0"/>
        <w:bidi w:val="0"/>
        <w:spacing w:line="360" w:lineRule="auto"/>
        <w:ind w:firstLine="420" w:firstLineChars="200"/>
        <w:rPr>
          <w:rFonts w:hint="eastAsia" w:ascii="宋体" w:hAnsi="宋体"/>
          <w:highlight w:val="none"/>
        </w:rPr>
      </w:pPr>
    </w:p>
    <w:p w14:paraId="2219DE03">
      <w:pPr>
        <w:pageBreakBefore w:val="0"/>
        <w:kinsoku/>
        <w:bidi w:val="0"/>
        <w:spacing w:line="360" w:lineRule="auto"/>
        <w:ind w:firstLine="480"/>
        <w:jc w:val="right"/>
        <w:rPr>
          <w:rFonts w:hint="eastAsia" w:ascii="宋体" w:hAnsi="宋体" w:cs="宋体"/>
          <w:szCs w:val="21"/>
          <w:highlight w:val="none"/>
        </w:rPr>
      </w:pPr>
    </w:p>
    <w:p w14:paraId="5566E42B">
      <w:pPr>
        <w:pageBreakBefore w:val="0"/>
        <w:kinsoku/>
        <w:bidi w:val="0"/>
        <w:spacing w:line="360" w:lineRule="auto"/>
        <w:ind w:firstLine="480"/>
        <w:jc w:val="center"/>
        <w:rPr>
          <w:rFonts w:hint="eastAsia" w:ascii="宋体" w:hAnsi="宋体" w:cs="宋体"/>
          <w:szCs w:val="21"/>
          <w:highlight w:val="none"/>
        </w:rPr>
      </w:pPr>
      <w:r>
        <w:rPr>
          <w:rFonts w:hint="eastAsia" w:ascii="宋体" w:hAnsi="宋体" w:cs="宋体"/>
          <w:szCs w:val="21"/>
          <w:highlight w:val="none"/>
        </w:rPr>
        <w:t xml:space="preserve">                             供应商（公章）：</w:t>
      </w:r>
    </w:p>
    <w:p w14:paraId="674C1F9C">
      <w:pPr>
        <w:pageBreakBefore w:val="0"/>
        <w:kinsoku/>
        <w:bidi w:val="0"/>
        <w:spacing w:line="360" w:lineRule="auto"/>
        <w:ind w:firstLine="480"/>
        <w:jc w:val="right"/>
        <w:rPr>
          <w:rFonts w:hint="eastAsia" w:ascii="宋体" w:hAnsi="宋体" w:cs="宋体"/>
          <w:szCs w:val="21"/>
          <w:highlight w:val="none"/>
        </w:rPr>
      </w:pPr>
      <w:r>
        <w:rPr>
          <w:rFonts w:hint="eastAsia" w:ascii="宋体" w:hAnsi="宋体" w:cs="宋体"/>
          <w:szCs w:val="21"/>
          <w:highlight w:val="none"/>
        </w:rPr>
        <w:t>法定代表人或授权代表（签字或盖章）：</w:t>
      </w:r>
    </w:p>
    <w:p w14:paraId="6E658347">
      <w:pPr>
        <w:pageBreakBefore w:val="0"/>
        <w:kinsoku/>
        <w:bidi w:val="0"/>
        <w:spacing w:line="360" w:lineRule="auto"/>
        <w:ind w:firstLine="480"/>
        <w:jc w:val="center"/>
        <w:rPr>
          <w:rFonts w:hint="eastAsia" w:ascii="宋体" w:hAnsi="宋体" w:cs="宋体"/>
          <w:szCs w:val="21"/>
          <w:highlight w:val="none"/>
        </w:rPr>
      </w:pPr>
      <w:r>
        <w:rPr>
          <w:rFonts w:hint="eastAsia" w:ascii="宋体" w:hAnsi="宋体" w:cs="宋体"/>
          <w:szCs w:val="21"/>
          <w:highlight w:val="none"/>
        </w:rPr>
        <w:t xml:space="preserve">                                 日期：  　年　月　日</w:t>
      </w:r>
    </w:p>
    <w:p w14:paraId="476A324E">
      <w:pPr>
        <w:pStyle w:val="36"/>
        <w:pageBreakBefore w:val="0"/>
        <w:kinsoku/>
        <w:overflowPunct w:val="0"/>
        <w:bidi w:val="0"/>
        <w:spacing w:line="360" w:lineRule="auto"/>
        <w:ind w:firstLine="420" w:firstLineChars="200"/>
        <w:rPr>
          <w:rFonts w:hint="eastAsia" w:ascii="宋体" w:hAnsi="宋体"/>
          <w:highlight w:val="none"/>
        </w:rPr>
      </w:pPr>
    </w:p>
    <w:p w14:paraId="5018A962">
      <w:pPr>
        <w:pageBreakBefore w:val="0"/>
        <w:widowControl/>
        <w:kinsoku/>
        <w:bidi w:val="0"/>
        <w:spacing w:line="360" w:lineRule="auto"/>
        <w:jc w:val="center"/>
        <w:rPr>
          <w:rFonts w:hint="eastAsia" w:ascii="宋体" w:hAnsi="宋体" w:cs="宋体"/>
          <w:b/>
          <w:szCs w:val="21"/>
          <w:highlight w:val="none"/>
        </w:rPr>
      </w:pPr>
      <w:r>
        <w:rPr>
          <w:rFonts w:ascii="宋体" w:hAnsi="宋体"/>
          <w:b/>
          <w:szCs w:val="21"/>
          <w:highlight w:val="none"/>
        </w:rPr>
        <w:br w:type="page"/>
      </w:r>
      <w:r>
        <w:rPr>
          <w:rFonts w:hint="eastAsia" w:ascii="宋体" w:hAnsi="宋体" w:cs="宋体"/>
          <w:b/>
          <w:szCs w:val="21"/>
          <w:highlight w:val="none"/>
        </w:rPr>
        <w:t>12.</w:t>
      </w:r>
      <w:r>
        <w:rPr>
          <w:rFonts w:hint="eastAsia" w:ascii="宋体" w:hAnsi="宋体" w:cs="宋体"/>
          <w:b/>
          <w:bCs/>
          <w:szCs w:val="21"/>
          <w:highlight w:val="none"/>
        </w:rPr>
        <w:t>供应商一般情况表</w:t>
      </w: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6"/>
        <w:gridCol w:w="897"/>
        <w:gridCol w:w="1021"/>
        <w:gridCol w:w="1160"/>
        <w:gridCol w:w="311"/>
        <w:gridCol w:w="1246"/>
        <w:gridCol w:w="63"/>
        <w:gridCol w:w="720"/>
        <w:gridCol w:w="1923"/>
      </w:tblGrid>
      <w:tr w14:paraId="7595C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5D2706A4">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供应商名称</w:t>
            </w:r>
          </w:p>
        </w:tc>
        <w:tc>
          <w:tcPr>
            <w:tcW w:w="7341" w:type="dxa"/>
            <w:gridSpan w:val="8"/>
            <w:vAlign w:val="center"/>
          </w:tcPr>
          <w:p w14:paraId="3D36ACF3">
            <w:pPr>
              <w:pageBreakBefore w:val="0"/>
              <w:kinsoku/>
              <w:bidi w:val="0"/>
              <w:spacing w:line="360" w:lineRule="auto"/>
              <w:jc w:val="center"/>
              <w:rPr>
                <w:rFonts w:hint="eastAsia" w:ascii="宋体" w:hAnsi="宋体" w:cs="宋体"/>
                <w:szCs w:val="21"/>
                <w:highlight w:val="none"/>
              </w:rPr>
            </w:pPr>
          </w:p>
        </w:tc>
      </w:tr>
      <w:tr w14:paraId="0B4A1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0EA45D4E">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注册地址</w:t>
            </w:r>
          </w:p>
        </w:tc>
        <w:tc>
          <w:tcPr>
            <w:tcW w:w="3389" w:type="dxa"/>
            <w:gridSpan w:val="4"/>
            <w:vAlign w:val="center"/>
          </w:tcPr>
          <w:p w14:paraId="529C2C36">
            <w:pPr>
              <w:pageBreakBefore w:val="0"/>
              <w:kinsoku/>
              <w:bidi w:val="0"/>
              <w:spacing w:line="360" w:lineRule="auto"/>
              <w:jc w:val="center"/>
              <w:rPr>
                <w:rFonts w:hint="eastAsia" w:ascii="宋体" w:hAnsi="宋体" w:cs="宋体"/>
                <w:szCs w:val="21"/>
                <w:highlight w:val="none"/>
              </w:rPr>
            </w:pPr>
          </w:p>
        </w:tc>
        <w:tc>
          <w:tcPr>
            <w:tcW w:w="1246" w:type="dxa"/>
            <w:vAlign w:val="center"/>
          </w:tcPr>
          <w:p w14:paraId="4C58FA45">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邮政编码</w:t>
            </w:r>
          </w:p>
        </w:tc>
        <w:tc>
          <w:tcPr>
            <w:tcW w:w="2706" w:type="dxa"/>
            <w:gridSpan w:val="3"/>
            <w:vAlign w:val="center"/>
          </w:tcPr>
          <w:p w14:paraId="0C85FD11">
            <w:pPr>
              <w:pageBreakBefore w:val="0"/>
              <w:kinsoku/>
              <w:bidi w:val="0"/>
              <w:spacing w:line="360" w:lineRule="auto"/>
              <w:jc w:val="center"/>
              <w:rPr>
                <w:rFonts w:hint="eastAsia" w:ascii="宋体" w:hAnsi="宋体" w:cs="宋体"/>
                <w:szCs w:val="21"/>
                <w:highlight w:val="none"/>
              </w:rPr>
            </w:pPr>
          </w:p>
        </w:tc>
      </w:tr>
      <w:tr w14:paraId="790D5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restart"/>
            <w:vAlign w:val="center"/>
          </w:tcPr>
          <w:p w14:paraId="34D5D98F">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联系方式</w:t>
            </w:r>
          </w:p>
        </w:tc>
        <w:tc>
          <w:tcPr>
            <w:tcW w:w="897" w:type="dxa"/>
            <w:vAlign w:val="center"/>
          </w:tcPr>
          <w:p w14:paraId="0B081A52">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联系人</w:t>
            </w:r>
          </w:p>
        </w:tc>
        <w:tc>
          <w:tcPr>
            <w:tcW w:w="2492" w:type="dxa"/>
            <w:gridSpan w:val="3"/>
            <w:vAlign w:val="center"/>
          </w:tcPr>
          <w:p w14:paraId="50E66752">
            <w:pPr>
              <w:pageBreakBefore w:val="0"/>
              <w:kinsoku/>
              <w:bidi w:val="0"/>
              <w:spacing w:line="360" w:lineRule="auto"/>
              <w:jc w:val="center"/>
              <w:rPr>
                <w:rFonts w:hint="eastAsia" w:ascii="宋体" w:hAnsi="宋体" w:cs="宋体"/>
                <w:szCs w:val="21"/>
                <w:highlight w:val="none"/>
              </w:rPr>
            </w:pPr>
          </w:p>
        </w:tc>
        <w:tc>
          <w:tcPr>
            <w:tcW w:w="1246" w:type="dxa"/>
            <w:vAlign w:val="center"/>
          </w:tcPr>
          <w:p w14:paraId="3216A316">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电话</w:t>
            </w:r>
          </w:p>
        </w:tc>
        <w:tc>
          <w:tcPr>
            <w:tcW w:w="2706" w:type="dxa"/>
            <w:gridSpan w:val="3"/>
            <w:vAlign w:val="center"/>
          </w:tcPr>
          <w:p w14:paraId="297B44DB">
            <w:pPr>
              <w:pageBreakBefore w:val="0"/>
              <w:kinsoku/>
              <w:bidi w:val="0"/>
              <w:spacing w:line="360" w:lineRule="auto"/>
              <w:jc w:val="center"/>
              <w:rPr>
                <w:rFonts w:hint="eastAsia" w:ascii="宋体" w:hAnsi="宋体" w:cs="宋体"/>
                <w:szCs w:val="21"/>
                <w:highlight w:val="none"/>
              </w:rPr>
            </w:pPr>
          </w:p>
        </w:tc>
      </w:tr>
      <w:tr w14:paraId="0D3D3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continue"/>
            <w:vAlign w:val="center"/>
          </w:tcPr>
          <w:p w14:paraId="0F20541A">
            <w:pPr>
              <w:pageBreakBefore w:val="0"/>
              <w:kinsoku/>
              <w:bidi w:val="0"/>
              <w:spacing w:line="360" w:lineRule="auto"/>
              <w:jc w:val="center"/>
              <w:rPr>
                <w:rFonts w:hint="eastAsia" w:ascii="宋体" w:hAnsi="宋体" w:cs="宋体"/>
                <w:szCs w:val="21"/>
                <w:highlight w:val="none"/>
              </w:rPr>
            </w:pPr>
          </w:p>
        </w:tc>
        <w:tc>
          <w:tcPr>
            <w:tcW w:w="897" w:type="dxa"/>
            <w:vAlign w:val="center"/>
          </w:tcPr>
          <w:p w14:paraId="664732F3">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传真</w:t>
            </w:r>
          </w:p>
        </w:tc>
        <w:tc>
          <w:tcPr>
            <w:tcW w:w="2492" w:type="dxa"/>
            <w:gridSpan w:val="3"/>
            <w:vAlign w:val="center"/>
          </w:tcPr>
          <w:p w14:paraId="547A7562">
            <w:pPr>
              <w:pageBreakBefore w:val="0"/>
              <w:kinsoku/>
              <w:bidi w:val="0"/>
              <w:spacing w:line="360" w:lineRule="auto"/>
              <w:jc w:val="center"/>
              <w:rPr>
                <w:rFonts w:hint="eastAsia" w:ascii="宋体" w:hAnsi="宋体" w:cs="宋体"/>
                <w:szCs w:val="21"/>
                <w:highlight w:val="none"/>
              </w:rPr>
            </w:pPr>
          </w:p>
        </w:tc>
        <w:tc>
          <w:tcPr>
            <w:tcW w:w="1246" w:type="dxa"/>
            <w:vAlign w:val="center"/>
          </w:tcPr>
          <w:p w14:paraId="78F61A06">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网址</w:t>
            </w:r>
          </w:p>
        </w:tc>
        <w:tc>
          <w:tcPr>
            <w:tcW w:w="2706" w:type="dxa"/>
            <w:gridSpan w:val="3"/>
            <w:vAlign w:val="center"/>
          </w:tcPr>
          <w:p w14:paraId="145147D3">
            <w:pPr>
              <w:pageBreakBefore w:val="0"/>
              <w:kinsoku/>
              <w:bidi w:val="0"/>
              <w:spacing w:line="360" w:lineRule="auto"/>
              <w:jc w:val="center"/>
              <w:rPr>
                <w:rFonts w:hint="eastAsia" w:ascii="宋体" w:hAnsi="宋体" w:cs="宋体"/>
                <w:szCs w:val="21"/>
                <w:highlight w:val="none"/>
              </w:rPr>
            </w:pPr>
          </w:p>
        </w:tc>
      </w:tr>
      <w:tr w14:paraId="2C4B98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004DA1BA">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企业统一社会信用代码</w:t>
            </w:r>
          </w:p>
        </w:tc>
        <w:tc>
          <w:tcPr>
            <w:tcW w:w="7341" w:type="dxa"/>
            <w:gridSpan w:val="8"/>
            <w:vAlign w:val="center"/>
          </w:tcPr>
          <w:p w14:paraId="3D421C7C">
            <w:pPr>
              <w:pageBreakBefore w:val="0"/>
              <w:kinsoku/>
              <w:bidi w:val="0"/>
              <w:spacing w:line="360" w:lineRule="auto"/>
              <w:jc w:val="center"/>
              <w:rPr>
                <w:rFonts w:hint="eastAsia" w:ascii="宋体" w:hAnsi="宋体" w:cs="宋体"/>
                <w:szCs w:val="21"/>
                <w:highlight w:val="none"/>
              </w:rPr>
            </w:pPr>
          </w:p>
        </w:tc>
      </w:tr>
      <w:tr w14:paraId="41C682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6B28BA88">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法定代表人</w:t>
            </w:r>
          </w:p>
        </w:tc>
        <w:tc>
          <w:tcPr>
            <w:tcW w:w="897" w:type="dxa"/>
            <w:vAlign w:val="center"/>
          </w:tcPr>
          <w:p w14:paraId="1488D4AB">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姓名</w:t>
            </w:r>
          </w:p>
        </w:tc>
        <w:tc>
          <w:tcPr>
            <w:tcW w:w="1021" w:type="dxa"/>
            <w:vAlign w:val="center"/>
          </w:tcPr>
          <w:p w14:paraId="60534EE7">
            <w:pPr>
              <w:pageBreakBefore w:val="0"/>
              <w:kinsoku/>
              <w:bidi w:val="0"/>
              <w:spacing w:line="360" w:lineRule="auto"/>
              <w:jc w:val="center"/>
              <w:rPr>
                <w:rFonts w:hint="eastAsia" w:ascii="宋体" w:hAnsi="宋体" w:cs="宋体"/>
                <w:szCs w:val="21"/>
                <w:highlight w:val="none"/>
              </w:rPr>
            </w:pPr>
          </w:p>
        </w:tc>
        <w:tc>
          <w:tcPr>
            <w:tcW w:w="1160" w:type="dxa"/>
            <w:vAlign w:val="center"/>
          </w:tcPr>
          <w:p w14:paraId="7706E941">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技术职称</w:t>
            </w:r>
          </w:p>
        </w:tc>
        <w:tc>
          <w:tcPr>
            <w:tcW w:w="1620" w:type="dxa"/>
            <w:gridSpan w:val="3"/>
            <w:vAlign w:val="center"/>
          </w:tcPr>
          <w:p w14:paraId="5F2F4DAF">
            <w:pPr>
              <w:pageBreakBefore w:val="0"/>
              <w:kinsoku/>
              <w:bidi w:val="0"/>
              <w:spacing w:line="360" w:lineRule="auto"/>
              <w:jc w:val="center"/>
              <w:rPr>
                <w:rFonts w:hint="eastAsia" w:ascii="宋体" w:hAnsi="宋体" w:cs="宋体"/>
                <w:szCs w:val="21"/>
                <w:highlight w:val="none"/>
              </w:rPr>
            </w:pPr>
          </w:p>
        </w:tc>
        <w:tc>
          <w:tcPr>
            <w:tcW w:w="720" w:type="dxa"/>
            <w:vAlign w:val="center"/>
          </w:tcPr>
          <w:p w14:paraId="34C42225">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电话</w:t>
            </w:r>
          </w:p>
        </w:tc>
        <w:tc>
          <w:tcPr>
            <w:tcW w:w="1923" w:type="dxa"/>
            <w:vAlign w:val="center"/>
          </w:tcPr>
          <w:p w14:paraId="635EAAAC">
            <w:pPr>
              <w:pageBreakBefore w:val="0"/>
              <w:kinsoku/>
              <w:bidi w:val="0"/>
              <w:spacing w:line="360" w:lineRule="auto"/>
              <w:jc w:val="center"/>
              <w:rPr>
                <w:rFonts w:hint="eastAsia" w:ascii="宋体" w:hAnsi="宋体" w:cs="宋体"/>
                <w:szCs w:val="21"/>
                <w:highlight w:val="none"/>
              </w:rPr>
            </w:pPr>
          </w:p>
        </w:tc>
      </w:tr>
      <w:tr w14:paraId="5C9C8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77852478">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技术负责人</w:t>
            </w:r>
          </w:p>
        </w:tc>
        <w:tc>
          <w:tcPr>
            <w:tcW w:w="897" w:type="dxa"/>
            <w:vAlign w:val="center"/>
          </w:tcPr>
          <w:p w14:paraId="49D5103F">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姓名</w:t>
            </w:r>
          </w:p>
        </w:tc>
        <w:tc>
          <w:tcPr>
            <w:tcW w:w="1021" w:type="dxa"/>
            <w:vAlign w:val="center"/>
          </w:tcPr>
          <w:p w14:paraId="0DDD1615">
            <w:pPr>
              <w:pageBreakBefore w:val="0"/>
              <w:kinsoku/>
              <w:bidi w:val="0"/>
              <w:spacing w:line="360" w:lineRule="auto"/>
              <w:jc w:val="center"/>
              <w:rPr>
                <w:rFonts w:hint="eastAsia" w:ascii="宋体" w:hAnsi="宋体" w:cs="宋体"/>
                <w:szCs w:val="21"/>
                <w:highlight w:val="none"/>
              </w:rPr>
            </w:pPr>
          </w:p>
        </w:tc>
        <w:tc>
          <w:tcPr>
            <w:tcW w:w="1160" w:type="dxa"/>
            <w:vAlign w:val="center"/>
          </w:tcPr>
          <w:p w14:paraId="75A4EB42">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技术职称</w:t>
            </w:r>
          </w:p>
        </w:tc>
        <w:tc>
          <w:tcPr>
            <w:tcW w:w="1620" w:type="dxa"/>
            <w:gridSpan w:val="3"/>
            <w:vAlign w:val="center"/>
          </w:tcPr>
          <w:p w14:paraId="52E235B1">
            <w:pPr>
              <w:pageBreakBefore w:val="0"/>
              <w:kinsoku/>
              <w:bidi w:val="0"/>
              <w:spacing w:line="360" w:lineRule="auto"/>
              <w:jc w:val="center"/>
              <w:rPr>
                <w:rFonts w:hint="eastAsia" w:ascii="宋体" w:hAnsi="宋体" w:cs="宋体"/>
                <w:szCs w:val="21"/>
                <w:highlight w:val="none"/>
              </w:rPr>
            </w:pPr>
          </w:p>
        </w:tc>
        <w:tc>
          <w:tcPr>
            <w:tcW w:w="720" w:type="dxa"/>
            <w:vAlign w:val="center"/>
          </w:tcPr>
          <w:p w14:paraId="4B32A4BC">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电话</w:t>
            </w:r>
          </w:p>
        </w:tc>
        <w:tc>
          <w:tcPr>
            <w:tcW w:w="1923" w:type="dxa"/>
            <w:vAlign w:val="center"/>
          </w:tcPr>
          <w:p w14:paraId="70E6AD8A">
            <w:pPr>
              <w:pageBreakBefore w:val="0"/>
              <w:kinsoku/>
              <w:bidi w:val="0"/>
              <w:spacing w:line="360" w:lineRule="auto"/>
              <w:jc w:val="center"/>
              <w:rPr>
                <w:rFonts w:hint="eastAsia" w:ascii="宋体" w:hAnsi="宋体" w:cs="宋体"/>
                <w:szCs w:val="21"/>
                <w:highlight w:val="none"/>
              </w:rPr>
            </w:pPr>
          </w:p>
        </w:tc>
      </w:tr>
      <w:tr w14:paraId="25965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7B098B1C">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成立时间</w:t>
            </w:r>
          </w:p>
        </w:tc>
        <w:tc>
          <w:tcPr>
            <w:tcW w:w="1918" w:type="dxa"/>
            <w:gridSpan w:val="2"/>
            <w:vAlign w:val="center"/>
          </w:tcPr>
          <w:p w14:paraId="382A9AAC">
            <w:pPr>
              <w:pageBreakBefore w:val="0"/>
              <w:kinsoku/>
              <w:bidi w:val="0"/>
              <w:spacing w:line="360" w:lineRule="auto"/>
              <w:jc w:val="center"/>
              <w:rPr>
                <w:rFonts w:hint="eastAsia" w:ascii="宋体" w:hAnsi="宋体" w:cs="宋体"/>
                <w:szCs w:val="21"/>
                <w:highlight w:val="none"/>
              </w:rPr>
            </w:pPr>
          </w:p>
        </w:tc>
        <w:tc>
          <w:tcPr>
            <w:tcW w:w="5423" w:type="dxa"/>
            <w:gridSpan w:val="6"/>
            <w:vAlign w:val="center"/>
          </w:tcPr>
          <w:p w14:paraId="557C88BB">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员工总人数：</w:t>
            </w:r>
          </w:p>
        </w:tc>
      </w:tr>
      <w:tr w14:paraId="3AFF1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1462C50A">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企业资质等级</w:t>
            </w:r>
          </w:p>
        </w:tc>
        <w:tc>
          <w:tcPr>
            <w:tcW w:w="1918" w:type="dxa"/>
            <w:gridSpan w:val="2"/>
            <w:vAlign w:val="center"/>
          </w:tcPr>
          <w:p w14:paraId="2C2DD545">
            <w:pPr>
              <w:pageBreakBefore w:val="0"/>
              <w:kinsoku/>
              <w:bidi w:val="0"/>
              <w:spacing w:line="360" w:lineRule="auto"/>
              <w:jc w:val="center"/>
              <w:rPr>
                <w:rFonts w:hint="eastAsia" w:ascii="宋体" w:hAnsi="宋体" w:cs="宋体"/>
                <w:szCs w:val="21"/>
                <w:highlight w:val="none"/>
              </w:rPr>
            </w:pPr>
          </w:p>
        </w:tc>
        <w:tc>
          <w:tcPr>
            <w:tcW w:w="1160" w:type="dxa"/>
            <w:vMerge w:val="restart"/>
            <w:vAlign w:val="center"/>
          </w:tcPr>
          <w:p w14:paraId="755B7A3A">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其中</w:t>
            </w:r>
          </w:p>
        </w:tc>
        <w:tc>
          <w:tcPr>
            <w:tcW w:w="1620" w:type="dxa"/>
            <w:gridSpan w:val="3"/>
            <w:vAlign w:val="center"/>
          </w:tcPr>
          <w:p w14:paraId="516CEBD2">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注册建造师</w:t>
            </w:r>
          </w:p>
        </w:tc>
        <w:tc>
          <w:tcPr>
            <w:tcW w:w="2643" w:type="dxa"/>
            <w:gridSpan w:val="2"/>
            <w:vAlign w:val="center"/>
          </w:tcPr>
          <w:p w14:paraId="5A9FAEBB">
            <w:pPr>
              <w:pageBreakBefore w:val="0"/>
              <w:kinsoku/>
              <w:bidi w:val="0"/>
              <w:spacing w:line="360" w:lineRule="auto"/>
              <w:jc w:val="center"/>
              <w:rPr>
                <w:rFonts w:hint="eastAsia" w:ascii="宋体" w:hAnsi="宋体" w:cs="宋体"/>
                <w:szCs w:val="21"/>
                <w:highlight w:val="none"/>
              </w:rPr>
            </w:pPr>
          </w:p>
        </w:tc>
      </w:tr>
      <w:tr w14:paraId="7683B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66CDC048">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营业执照号</w:t>
            </w:r>
          </w:p>
        </w:tc>
        <w:tc>
          <w:tcPr>
            <w:tcW w:w="1918" w:type="dxa"/>
            <w:gridSpan w:val="2"/>
            <w:vAlign w:val="center"/>
          </w:tcPr>
          <w:p w14:paraId="7E5672C1">
            <w:pPr>
              <w:pageBreakBefore w:val="0"/>
              <w:kinsoku/>
              <w:bidi w:val="0"/>
              <w:spacing w:line="360" w:lineRule="auto"/>
              <w:jc w:val="center"/>
              <w:rPr>
                <w:rFonts w:hint="eastAsia" w:ascii="宋体" w:hAnsi="宋体" w:cs="宋体"/>
                <w:szCs w:val="21"/>
                <w:highlight w:val="none"/>
              </w:rPr>
            </w:pPr>
          </w:p>
        </w:tc>
        <w:tc>
          <w:tcPr>
            <w:tcW w:w="1160" w:type="dxa"/>
            <w:vMerge w:val="continue"/>
            <w:vAlign w:val="center"/>
          </w:tcPr>
          <w:p w14:paraId="557D45D5">
            <w:pPr>
              <w:pageBreakBefore w:val="0"/>
              <w:kinsoku/>
              <w:bidi w:val="0"/>
              <w:spacing w:line="360" w:lineRule="auto"/>
              <w:jc w:val="center"/>
              <w:rPr>
                <w:rFonts w:hint="eastAsia" w:ascii="宋体" w:hAnsi="宋体" w:cs="宋体"/>
                <w:szCs w:val="21"/>
                <w:highlight w:val="none"/>
              </w:rPr>
            </w:pPr>
          </w:p>
        </w:tc>
        <w:tc>
          <w:tcPr>
            <w:tcW w:w="1620" w:type="dxa"/>
            <w:gridSpan w:val="3"/>
            <w:vAlign w:val="center"/>
          </w:tcPr>
          <w:p w14:paraId="41ECCFA0">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高级职称人员</w:t>
            </w:r>
          </w:p>
        </w:tc>
        <w:tc>
          <w:tcPr>
            <w:tcW w:w="2643" w:type="dxa"/>
            <w:gridSpan w:val="2"/>
            <w:vAlign w:val="center"/>
          </w:tcPr>
          <w:p w14:paraId="34E5FF66">
            <w:pPr>
              <w:pageBreakBefore w:val="0"/>
              <w:kinsoku/>
              <w:bidi w:val="0"/>
              <w:spacing w:line="360" w:lineRule="auto"/>
              <w:jc w:val="center"/>
              <w:rPr>
                <w:rFonts w:hint="eastAsia" w:ascii="宋体" w:hAnsi="宋体" w:cs="宋体"/>
                <w:szCs w:val="21"/>
                <w:highlight w:val="none"/>
              </w:rPr>
            </w:pPr>
          </w:p>
        </w:tc>
      </w:tr>
      <w:tr w14:paraId="1A45B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351598DA">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注册资金</w:t>
            </w:r>
          </w:p>
        </w:tc>
        <w:tc>
          <w:tcPr>
            <w:tcW w:w="1918" w:type="dxa"/>
            <w:gridSpan w:val="2"/>
            <w:vAlign w:val="center"/>
          </w:tcPr>
          <w:p w14:paraId="1895B1F3">
            <w:pPr>
              <w:pageBreakBefore w:val="0"/>
              <w:kinsoku/>
              <w:bidi w:val="0"/>
              <w:spacing w:line="360" w:lineRule="auto"/>
              <w:jc w:val="center"/>
              <w:rPr>
                <w:rFonts w:hint="eastAsia" w:ascii="宋体" w:hAnsi="宋体" w:cs="宋体"/>
                <w:szCs w:val="21"/>
                <w:highlight w:val="none"/>
              </w:rPr>
            </w:pPr>
          </w:p>
        </w:tc>
        <w:tc>
          <w:tcPr>
            <w:tcW w:w="1160" w:type="dxa"/>
            <w:vMerge w:val="continue"/>
            <w:vAlign w:val="center"/>
          </w:tcPr>
          <w:p w14:paraId="41D86715">
            <w:pPr>
              <w:pageBreakBefore w:val="0"/>
              <w:kinsoku/>
              <w:bidi w:val="0"/>
              <w:spacing w:line="360" w:lineRule="auto"/>
              <w:jc w:val="center"/>
              <w:rPr>
                <w:rFonts w:hint="eastAsia" w:ascii="宋体" w:hAnsi="宋体" w:cs="宋体"/>
                <w:szCs w:val="21"/>
                <w:highlight w:val="none"/>
              </w:rPr>
            </w:pPr>
          </w:p>
        </w:tc>
        <w:tc>
          <w:tcPr>
            <w:tcW w:w="1620" w:type="dxa"/>
            <w:gridSpan w:val="3"/>
            <w:vAlign w:val="center"/>
          </w:tcPr>
          <w:p w14:paraId="25F76620">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中级职称人员</w:t>
            </w:r>
          </w:p>
        </w:tc>
        <w:tc>
          <w:tcPr>
            <w:tcW w:w="2643" w:type="dxa"/>
            <w:gridSpan w:val="2"/>
            <w:vAlign w:val="center"/>
          </w:tcPr>
          <w:p w14:paraId="1F1596C5">
            <w:pPr>
              <w:pageBreakBefore w:val="0"/>
              <w:kinsoku/>
              <w:bidi w:val="0"/>
              <w:spacing w:line="360" w:lineRule="auto"/>
              <w:jc w:val="center"/>
              <w:rPr>
                <w:rFonts w:hint="eastAsia" w:ascii="宋体" w:hAnsi="宋体" w:cs="宋体"/>
                <w:szCs w:val="21"/>
                <w:highlight w:val="none"/>
              </w:rPr>
            </w:pPr>
          </w:p>
        </w:tc>
      </w:tr>
      <w:tr w14:paraId="6D819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00CDE430">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开户银行</w:t>
            </w:r>
          </w:p>
        </w:tc>
        <w:tc>
          <w:tcPr>
            <w:tcW w:w="1918" w:type="dxa"/>
            <w:gridSpan w:val="2"/>
            <w:vAlign w:val="center"/>
          </w:tcPr>
          <w:p w14:paraId="75B7B743">
            <w:pPr>
              <w:pageBreakBefore w:val="0"/>
              <w:kinsoku/>
              <w:bidi w:val="0"/>
              <w:spacing w:line="360" w:lineRule="auto"/>
              <w:jc w:val="center"/>
              <w:rPr>
                <w:rFonts w:hint="eastAsia" w:ascii="宋体" w:hAnsi="宋体" w:cs="宋体"/>
                <w:szCs w:val="21"/>
                <w:highlight w:val="none"/>
              </w:rPr>
            </w:pPr>
          </w:p>
        </w:tc>
        <w:tc>
          <w:tcPr>
            <w:tcW w:w="1160" w:type="dxa"/>
            <w:vMerge w:val="continue"/>
            <w:vAlign w:val="center"/>
          </w:tcPr>
          <w:p w14:paraId="23FE7D87">
            <w:pPr>
              <w:pageBreakBefore w:val="0"/>
              <w:kinsoku/>
              <w:bidi w:val="0"/>
              <w:spacing w:line="360" w:lineRule="auto"/>
              <w:jc w:val="center"/>
              <w:rPr>
                <w:rFonts w:hint="eastAsia" w:ascii="宋体" w:hAnsi="宋体" w:cs="宋体"/>
                <w:szCs w:val="21"/>
                <w:highlight w:val="none"/>
              </w:rPr>
            </w:pPr>
          </w:p>
        </w:tc>
        <w:tc>
          <w:tcPr>
            <w:tcW w:w="1620" w:type="dxa"/>
            <w:gridSpan w:val="3"/>
            <w:vAlign w:val="center"/>
          </w:tcPr>
          <w:p w14:paraId="7522708B">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初级职称人员</w:t>
            </w:r>
          </w:p>
        </w:tc>
        <w:tc>
          <w:tcPr>
            <w:tcW w:w="2643" w:type="dxa"/>
            <w:gridSpan w:val="2"/>
            <w:vAlign w:val="center"/>
          </w:tcPr>
          <w:p w14:paraId="45446FCB">
            <w:pPr>
              <w:pageBreakBefore w:val="0"/>
              <w:kinsoku/>
              <w:bidi w:val="0"/>
              <w:spacing w:line="360" w:lineRule="auto"/>
              <w:jc w:val="center"/>
              <w:rPr>
                <w:rFonts w:hint="eastAsia" w:ascii="宋体" w:hAnsi="宋体" w:cs="宋体"/>
                <w:szCs w:val="21"/>
                <w:highlight w:val="none"/>
              </w:rPr>
            </w:pPr>
          </w:p>
        </w:tc>
      </w:tr>
      <w:tr w14:paraId="712E8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20687CED">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账号</w:t>
            </w:r>
          </w:p>
        </w:tc>
        <w:tc>
          <w:tcPr>
            <w:tcW w:w="1918" w:type="dxa"/>
            <w:gridSpan w:val="2"/>
            <w:vAlign w:val="center"/>
          </w:tcPr>
          <w:p w14:paraId="638D42AC">
            <w:pPr>
              <w:pageBreakBefore w:val="0"/>
              <w:kinsoku/>
              <w:bidi w:val="0"/>
              <w:spacing w:line="360" w:lineRule="auto"/>
              <w:jc w:val="center"/>
              <w:rPr>
                <w:rFonts w:hint="eastAsia" w:ascii="宋体" w:hAnsi="宋体" w:cs="宋体"/>
                <w:szCs w:val="21"/>
                <w:highlight w:val="none"/>
              </w:rPr>
            </w:pPr>
          </w:p>
        </w:tc>
        <w:tc>
          <w:tcPr>
            <w:tcW w:w="1160" w:type="dxa"/>
            <w:vMerge w:val="continue"/>
            <w:vAlign w:val="center"/>
          </w:tcPr>
          <w:p w14:paraId="3D43B1A0">
            <w:pPr>
              <w:pageBreakBefore w:val="0"/>
              <w:kinsoku/>
              <w:bidi w:val="0"/>
              <w:spacing w:line="360" w:lineRule="auto"/>
              <w:jc w:val="center"/>
              <w:rPr>
                <w:rFonts w:hint="eastAsia" w:ascii="宋体" w:hAnsi="宋体" w:cs="宋体"/>
                <w:szCs w:val="21"/>
                <w:highlight w:val="none"/>
              </w:rPr>
            </w:pPr>
          </w:p>
        </w:tc>
        <w:tc>
          <w:tcPr>
            <w:tcW w:w="1620" w:type="dxa"/>
            <w:gridSpan w:val="3"/>
            <w:vAlign w:val="center"/>
          </w:tcPr>
          <w:p w14:paraId="69022B9A">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技工</w:t>
            </w:r>
          </w:p>
        </w:tc>
        <w:tc>
          <w:tcPr>
            <w:tcW w:w="2643" w:type="dxa"/>
            <w:gridSpan w:val="2"/>
            <w:vAlign w:val="center"/>
          </w:tcPr>
          <w:p w14:paraId="134FA30B">
            <w:pPr>
              <w:pageBreakBefore w:val="0"/>
              <w:kinsoku/>
              <w:bidi w:val="0"/>
              <w:spacing w:line="360" w:lineRule="auto"/>
              <w:jc w:val="center"/>
              <w:rPr>
                <w:rFonts w:hint="eastAsia" w:ascii="宋体" w:hAnsi="宋体" w:cs="宋体"/>
                <w:szCs w:val="21"/>
                <w:highlight w:val="none"/>
              </w:rPr>
            </w:pPr>
          </w:p>
        </w:tc>
      </w:tr>
      <w:tr w14:paraId="6C2ABA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7" w:hRule="atLeast"/>
          <w:jc w:val="center"/>
        </w:trPr>
        <w:tc>
          <w:tcPr>
            <w:tcW w:w="1626" w:type="dxa"/>
            <w:vAlign w:val="center"/>
          </w:tcPr>
          <w:p w14:paraId="20E25538">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经营范围</w:t>
            </w:r>
          </w:p>
        </w:tc>
        <w:tc>
          <w:tcPr>
            <w:tcW w:w="7341" w:type="dxa"/>
            <w:gridSpan w:val="8"/>
            <w:vAlign w:val="center"/>
          </w:tcPr>
          <w:p w14:paraId="25EC0FE6">
            <w:pPr>
              <w:pageBreakBefore w:val="0"/>
              <w:kinsoku/>
              <w:bidi w:val="0"/>
              <w:spacing w:line="360" w:lineRule="auto"/>
              <w:jc w:val="center"/>
              <w:rPr>
                <w:rFonts w:hint="eastAsia" w:ascii="宋体" w:hAnsi="宋体" w:cs="宋体"/>
                <w:szCs w:val="21"/>
                <w:highlight w:val="none"/>
              </w:rPr>
            </w:pPr>
          </w:p>
        </w:tc>
      </w:tr>
      <w:tr w14:paraId="33DCE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3E335A15">
            <w:pPr>
              <w:pageBreakBefore w:val="0"/>
              <w:kinsoku/>
              <w:bidi w:val="0"/>
              <w:spacing w:line="360" w:lineRule="auto"/>
              <w:jc w:val="center"/>
              <w:rPr>
                <w:rFonts w:hint="eastAsia" w:ascii="宋体" w:hAnsi="宋体" w:cs="宋体"/>
                <w:szCs w:val="21"/>
                <w:highlight w:val="none"/>
              </w:rPr>
            </w:pPr>
            <w:r>
              <w:rPr>
                <w:rFonts w:hint="eastAsia" w:ascii="宋体" w:hAnsi="宋体" w:cs="宋体"/>
                <w:szCs w:val="21"/>
                <w:highlight w:val="none"/>
              </w:rPr>
              <w:t>备注</w:t>
            </w:r>
          </w:p>
        </w:tc>
        <w:tc>
          <w:tcPr>
            <w:tcW w:w="7341" w:type="dxa"/>
            <w:gridSpan w:val="8"/>
            <w:vAlign w:val="center"/>
          </w:tcPr>
          <w:p w14:paraId="5313A63A">
            <w:pPr>
              <w:pageBreakBefore w:val="0"/>
              <w:kinsoku/>
              <w:bidi w:val="0"/>
              <w:spacing w:line="360" w:lineRule="auto"/>
              <w:jc w:val="center"/>
              <w:rPr>
                <w:rFonts w:hint="eastAsia" w:ascii="宋体" w:hAnsi="宋体" w:cs="宋体"/>
                <w:szCs w:val="21"/>
                <w:highlight w:val="none"/>
              </w:rPr>
            </w:pPr>
          </w:p>
        </w:tc>
      </w:tr>
    </w:tbl>
    <w:p w14:paraId="3D96707E">
      <w:pPr>
        <w:pageBreakBefore w:val="0"/>
        <w:kinsoku/>
        <w:bidi w:val="0"/>
        <w:spacing w:line="360" w:lineRule="auto"/>
        <w:ind w:firstLine="480"/>
        <w:jc w:val="right"/>
        <w:rPr>
          <w:rFonts w:hint="eastAsia" w:ascii="宋体" w:hAnsi="宋体" w:cs="宋体"/>
          <w:szCs w:val="21"/>
          <w:highlight w:val="none"/>
        </w:rPr>
      </w:pPr>
    </w:p>
    <w:p w14:paraId="4F667487">
      <w:pPr>
        <w:pageBreakBefore w:val="0"/>
        <w:kinsoku/>
        <w:bidi w:val="0"/>
        <w:spacing w:line="360" w:lineRule="auto"/>
        <w:ind w:firstLine="480"/>
        <w:jc w:val="right"/>
        <w:rPr>
          <w:rFonts w:hint="eastAsia" w:ascii="宋体" w:hAnsi="宋体" w:cs="宋体"/>
          <w:szCs w:val="21"/>
          <w:highlight w:val="none"/>
        </w:rPr>
      </w:pPr>
      <w:r>
        <w:rPr>
          <w:rFonts w:hint="eastAsia" w:ascii="宋体" w:hAnsi="宋体" w:cs="宋体"/>
          <w:szCs w:val="21"/>
          <w:highlight w:val="none"/>
        </w:rPr>
        <w:t>供应商：（加盖公章）</w:t>
      </w:r>
    </w:p>
    <w:p w14:paraId="28914852">
      <w:pPr>
        <w:pageBreakBefore w:val="0"/>
        <w:kinsoku/>
        <w:bidi w:val="0"/>
        <w:spacing w:line="360" w:lineRule="auto"/>
        <w:ind w:firstLine="480"/>
        <w:jc w:val="right"/>
        <w:rPr>
          <w:rFonts w:hint="eastAsia" w:ascii="宋体" w:hAnsi="宋体" w:cs="宋体"/>
          <w:szCs w:val="21"/>
          <w:highlight w:val="none"/>
        </w:rPr>
      </w:pPr>
      <w:r>
        <w:rPr>
          <w:rFonts w:hint="eastAsia" w:ascii="宋体" w:hAnsi="宋体" w:cs="宋体"/>
          <w:szCs w:val="21"/>
          <w:highlight w:val="none"/>
        </w:rPr>
        <w:t>法定代表人或被授权人：（签字或盖章）</w:t>
      </w:r>
    </w:p>
    <w:p w14:paraId="68902D21">
      <w:pPr>
        <w:pageBreakBefore w:val="0"/>
        <w:kinsoku/>
        <w:bidi w:val="0"/>
        <w:spacing w:line="360" w:lineRule="auto"/>
        <w:ind w:firstLine="1320"/>
        <w:jc w:val="right"/>
        <w:rPr>
          <w:rFonts w:hint="eastAsia" w:ascii="宋体" w:hAnsi="宋体" w:cs="宋体"/>
          <w:szCs w:val="21"/>
          <w:highlight w:val="none"/>
        </w:rPr>
      </w:pPr>
      <w:r>
        <w:rPr>
          <w:rFonts w:hint="eastAsia" w:ascii="宋体" w:hAnsi="宋体" w:cs="宋体"/>
          <w:szCs w:val="21"/>
          <w:highlight w:val="none"/>
        </w:rPr>
        <w:t>年      月     日</w:t>
      </w:r>
    </w:p>
    <w:p w14:paraId="7E2045CB">
      <w:pPr>
        <w:pageBreakBefore w:val="0"/>
        <w:kinsoku/>
        <w:bidi w:val="0"/>
        <w:spacing w:line="360" w:lineRule="auto"/>
        <w:ind w:firstLine="422" w:firstLineChars="200"/>
        <w:rPr>
          <w:rFonts w:hint="eastAsia" w:ascii="宋体" w:hAnsi="宋体"/>
          <w:b/>
          <w:szCs w:val="21"/>
          <w:highlight w:val="none"/>
          <w:u w:val="single"/>
        </w:rPr>
      </w:pPr>
      <w:r>
        <w:rPr>
          <w:rFonts w:hint="eastAsia" w:ascii="宋体" w:hAnsi="宋体" w:cs="宋体"/>
          <w:b/>
          <w:szCs w:val="21"/>
          <w:highlight w:val="none"/>
        </w:rPr>
        <w:br w:type="page" w:clear="all"/>
      </w:r>
      <w:bookmarkStart w:id="78" w:name="_Toc55639393"/>
      <w:bookmarkStart w:id="79" w:name="_Toc55707673"/>
      <w:bookmarkStart w:id="80" w:name="_Toc56141898"/>
      <w:bookmarkStart w:id="81" w:name="_Toc434481560"/>
      <w:bookmarkStart w:id="82" w:name="_Toc55654540"/>
      <w:bookmarkStart w:id="83" w:name="_Toc59896715"/>
      <w:bookmarkStart w:id="84" w:name="_Toc54372071"/>
      <w:bookmarkStart w:id="85" w:name="_Toc59900983"/>
      <w:bookmarkStart w:id="86" w:name="_Toc56153862"/>
      <w:bookmarkStart w:id="87" w:name="_Toc56409114"/>
      <w:bookmarkStart w:id="88" w:name="_Toc54372655"/>
      <w:bookmarkStart w:id="89" w:name="_Toc55705168"/>
      <w:bookmarkStart w:id="90" w:name="_Toc56139088"/>
      <w:bookmarkStart w:id="91" w:name="_Toc439777351"/>
      <w:bookmarkStart w:id="92" w:name="_Toc440442375"/>
      <w:bookmarkStart w:id="93" w:name="_Toc439777159"/>
      <w:bookmarkStart w:id="94" w:name="_Toc54372237"/>
    </w:p>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14:paraId="372271C9">
      <w:pPr>
        <w:pageBreakBefore w:val="0"/>
        <w:kinsoku/>
        <w:bidi w:val="0"/>
        <w:spacing w:line="360" w:lineRule="auto"/>
        <w:jc w:val="left"/>
        <w:rPr>
          <w:rFonts w:hint="eastAsia" w:ascii="宋体" w:hAnsi="宋体"/>
          <w:szCs w:val="21"/>
          <w:highlight w:val="none"/>
        </w:rPr>
      </w:pPr>
    </w:p>
    <w:p w14:paraId="3F73FB5E">
      <w:pPr>
        <w:pStyle w:val="6"/>
        <w:pageBreakBefore w:val="0"/>
        <w:kinsoku/>
        <w:bidi w:val="0"/>
        <w:spacing w:before="0" w:after="0" w:line="360" w:lineRule="auto"/>
        <w:ind w:firstLine="422" w:firstLineChars="200"/>
        <w:rPr>
          <w:rFonts w:hint="eastAsia" w:ascii="宋体" w:hAnsi="宋体" w:eastAsia="宋体"/>
          <w:sz w:val="21"/>
          <w:szCs w:val="21"/>
          <w:highlight w:val="none"/>
        </w:rPr>
      </w:pPr>
      <w:r>
        <w:rPr>
          <w:rFonts w:hint="eastAsia" w:ascii="宋体" w:hAnsi="宋体" w:eastAsia="宋体"/>
          <w:sz w:val="21"/>
          <w:szCs w:val="21"/>
          <w:highlight w:val="none"/>
        </w:rPr>
        <w:t>13.首次响应报价表</w:t>
      </w:r>
    </w:p>
    <w:p w14:paraId="5F7F2CB3">
      <w:pPr>
        <w:pStyle w:val="6"/>
        <w:pageBreakBefore w:val="0"/>
        <w:kinsoku/>
        <w:bidi w:val="0"/>
        <w:spacing w:before="0" w:after="0" w:line="360" w:lineRule="auto"/>
        <w:jc w:val="both"/>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w:t>
      </w:r>
    </w:p>
    <w:tbl>
      <w:tblPr>
        <w:tblStyle w:val="20"/>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857"/>
        <w:gridCol w:w="2638"/>
        <w:gridCol w:w="1690"/>
        <w:gridCol w:w="3225"/>
        <w:gridCol w:w="1015"/>
      </w:tblGrid>
      <w:tr w14:paraId="79B0FB3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16" w:hRule="atLeast"/>
          <w:jc w:val="center"/>
        </w:trPr>
        <w:tc>
          <w:tcPr>
            <w:tcW w:w="455" w:type="pct"/>
            <w:tcBorders>
              <w:top w:val="single" w:color="000000" w:sz="4" w:space="0"/>
              <w:left w:val="single" w:color="000000" w:sz="4" w:space="0"/>
              <w:bottom w:val="single" w:color="000000" w:sz="4" w:space="0"/>
              <w:right w:val="single" w:color="000000" w:sz="4" w:space="0"/>
            </w:tcBorders>
            <w:vAlign w:val="center"/>
          </w:tcPr>
          <w:p w14:paraId="2CE2A9EB">
            <w:pPr>
              <w:pageBreakBefore w:val="0"/>
              <w:kinsoku/>
              <w:bidi w:val="0"/>
              <w:spacing w:line="360" w:lineRule="auto"/>
              <w:jc w:val="center"/>
              <w:rPr>
                <w:rFonts w:hint="eastAsia" w:ascii="宋体" w:hAnsi="宋体" w:cs="宋体"/>
                <w:b/>
                <w:szCs w:val="21"/>
                <w:highlight w:val="none"/>
              </w:rPr>
            </w:pPr>
            <w:r>
              <w:rPr>
                <w:rFonts w:hint="eastAsia" w:ascii="宋体" w:hAnsi="宋体" w:cs="宋体"/>
                <w:b/>
                <w:szCs w:val="21"/>
                <w:highlight w:val="none"/>
              </w:rPr>
              <w:t>序号</w:t>
            </w:r>
          </w:p>
        </w:tc>
        <w:tc>
          <w:tcPr>
            <w:tcW w:w="1399" w:type="pct"/>
            <w:tcBorders>
              <w:top w:val="single" w:color="000000" w:sz="4" w:space="0"/>
              <w:left w:val="single" w:color="000000" w:sz="4" w:space="0"/>
              <w:bottom w:val="single" w:color="000000" w:sz="4" w:space="0"/>
              <w:right w:val="single" w:color="000000" w:sz="4" w:space="0"/>
            </w:tcBorders>
            <w:vAlign w:val="center"/>
          </w:tcPr>
          <w:p w14:paraId="0E9D5C83">
            <w:pPr>
              <w:pageBreakBefore w:val="0"/>
              <w:kinsoku/>
              <w:bidi w:val="0"/>
              <w:spacing w:line="360" w:lineRule="auto"/>
              <w:jc w:val="center"/>
              <w:rPr>
                <w:rFonts w:hint="eastAsia" w:ascii="宋体" w:hAnsi="宋体" w:cs="宋体"/>
                <w:b/>
                <w:szCs w:val="21"/>
                <w:highlight w:val="none"/>
              </w:rPr>
            </w:pPr>
            <w:r>
              <w:rPr>
                <w:rFonts w:hint="eastAsia" w:ascii="宋体" w:hAnsi="宋体" w:cs="宋体"/>
                <w:b/>
                <w:szCs w:val="21"/>
                <w:highlight w:val="none"/>
              </w:rPr>
              <w:t>项目内容</w:t>
            </w:r>
          </w:p>
        </w:tc>
        <w:tc>
          <w:tcPr>
            <w:tcW w:w="896" w:type="pct"/>
            <w:tcBorders>
              <w:top w:val="single" w:color="000000" w:sz="4" w:space="0"/>
              <w:left w:val="single" w:color="000000" w:sz="4" w:space="0"/>
              <w:bottom w:val="single" w:color="000000" w:sz="4" w:space="0"/>
              <w:right w:val="single" w:color="000000" w:sz="4" w:space="0"/>
            </w:tcBorders>
            <w:vAlign w:val="center"/>
          </w:tcPr>
          <w:p w14:paraId="45F2D3A6">
            <w:pPr>
              <w:pageBreakBefore w:val="0"/>
              <w:kinsoku/>
              <w:bidi w:val="0"/>
              <w:spacing w:line="360" w:lineRule="auto"/>
              <w:jc w:val="center"/>
              <w:rPr>
                <w:rFonts w:hint="eastAsia" w:ascii="宋体" w:hAnsi="宋体" w:cs="宋体"/>
                <w:b/>
                <w:szCs w:val="21"/>
                <w:highlight w:val="none"/>
              </w:rPr>
            </w:pPr>
            <w:r>
              <w:rPr>
                <w:rFonts w:hint="eastAsia" w:ascii="宋体" w:hAnsi="宋体" w:cs="宋体"/>
                <w:b/>
                <w:szCs w:val="21"/>
                <w:highlight w:val="none"/>
              </w:rPr>
              <w:t>报价轮次</w:t>
            </w:r>
          </w:p>
        </w:tc>
        <w:tc>
          <w:tcPr>
            <w:tcW w:w="1710" w:type="pct"/>
            <w:tcBorders>
              <w:top w:val="single" w:color="000000" w:sz="4" w:space="0"/>
              <w:left w:val="single" w:color="000000" w:sz="4" w:space="0"/>
              <w:bottom w:val="single" w:color="000000" w:sz="4" w:space="0"/>
              <w:right w:val="single" w:color="000000" w:sz="4" w:space="0"/>
            </w:tcBorders>
            <w:vAlign w:val="center"/>
          </w:tcPr>
          <w:p w14:paraId="0FAE5AC7">
            <w:pPr>
              <w:pageBreakBefore w:val="0"/>
              <w:kinsoku/>
              <w:bidi w:val="0"/>
              <w:spacing w:line="360" w:lineRule="auto"/>
              <w:jc w:val="center"/>
              <w:rPr>
                <w:rFonts w:hint="eastAsia" w:ascii="宋体" w:hAnsi="宋体" w:cs="宋体"/>
                <w:b/>
                <w:szCs w:val="21"/>
                <w:highlight w:val="none"/>
              </w:rPr>
            </w:pPr>
            <w:r>
              <w:rPr>
                <w:rFonts w:hint="eastAsia" w:ascii="宋体" w:hAnsi="宋体" w:cs="宋体"/>
                <w:b/>
                <w:szCs w:val="21"/>
                <w:highlight w:val="none"/>
              </w:rPr>
              <w:t>磋商响应报价（元）</w:t>
            </w:r>
          </w:p>
        </w:tc>
        <w:tc>
          <w:tcPr>
            <w:tcW w:w="538" w:type="pct"/>
            <w:tcBorders>
              <w:top w:val="single" w:color="000000" w:sz="4" w:space="0"/>
              <w:left w:val="single" w:color="000000" w:sz="4" w:space="0"/>
              <w:bottom w:val="single" w:color="000000" w:sz="4" w:space="0"/>
              <w:right w:val="single" w:color="000000" w:sz="4" w:space="0"/>
            </w:tcBorders>
            <w:vAlign w:val="center"/>
          </w:tcPr>
          <w:p w14:paraId="2EDD451B">
            <w:pPr>
              <w:pageBreakBefore w:val="0"/>
              <w:kinsoku/>
              <w:bidi w:val="0"/>
              <w:spacing w:line="360" w:lineRule="auto"/>
              <w:jc w:val="center"/>
              <w:rPr>
                <w:rFonts w:hint="eastAsia" w:ascii="宋体" w:hAnsi="宋体" w:cs="宋体"/>
                <w:b/>
                <w:szCs w:val="21"/>
                <w:highlight w:val="none"/>
              </w:rPr>
            </w:pPr>
            <w:r>
              <w:rPr>
                <w:rFonts w:hint="eastAsia" w:ascii="宋体" w:hAnsi="宋体" w:cs="宋体"/>
                <w:b/>
                <w:szCs w:val="21"/>
                <w:highlight w:val="none"/>
              </w:rPr>
              <w:t>备注</w:t>
            </w:r>
          </w:p>
        </w:tc>
      </w:tr>
      <w:tr w14:paraId="1D529F4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006" w:hRule="atLeast"/>
          <w:jc w:val="center"/>
        </w:trPr>
        <w:tc>
          <w:tcPr>
            <w:tcW w:w="455" w:type="pct"/>
            <w:tcBorders>
              <w:top w:val="single" w:color="000000" w:sz="4" w:space="0"/>
              <w:left w:val="single" w:color="000000" w:sz="4" w:space="0"/>
              <w:bottom w:val="single" w:color="000000" w:sz="4" w:space="0"/>
              <w:right w:val="single" w:color="000000" w:sz="4" w:space="0"/>
            </w:tcBorders>
            <w:vAlign w:val="center"/>
          </w:tcPr>
          <w:p w14:paraId="15A26817">
            <w:pPr>
              <w:pageBreakBefore w:val="0"/>
              <w:kinsoku/>
              <w:bidi w:val="0"/>
              <w:spacing w:line="360" w:lineRule="auto"/>
              <w:jc w:val="center"/>
              <w:rPr>
                <w:rFonts w:hint="eastAsia" w:ascii="宋体" w:hAnsi="宋体" w:cs="宋体"/>
                <w:bCs/>
                <w:szCs w:val="21"/>
                <w:highlight w:val="none"/>
              </w:rPr>
            </w:pPr>
            <w:r>
              <w:rPr>
                <w:rFonts w:hint="eastAsia" w:ascii="宋体" w:hAnsi="宋体" w:cs="宋体"/>
                <w:bCs/>
                <w:szCs w:val="21"/>
                <w:highlight w:val="none"/>
              </w:rPr>
              <w:t>1</w:t>
            </w:r>
          </w:p>
        </w:tc>
        <w:tc>
          <w:tcPr>
            <w:tcW w:w="1399" w:type="pct"/>
            <w:tcBorders>
              <w:top w:val="single" w:color="000000" w:sz="4" w:space="0"/>
              <w:left w:val="single" w:color="000000" w:sz="4" w:space="0"/>
              <w:right w:val="single" w:color="000000" w:sz="4" w:space="0"/>
            </w:tcBorders>
            <w:vAlign w:val="center"/>
          </w:tcPr>
          <w:p w14:paraId="127FFE9E">
            <w:pPr>
              <w:pageBreakBefore w:val="0"/>
              <w:kinsoku/>
              <w:bidi w:val="0"/>
              <w:spacing w:line="360" w:lineRule="auto"/>
              <w:jc w:val="center"/>
              <w:rPr>
                <w:rFonts w:hint="eastAsia" w:ascii="宋体" w:hAnsi="宋体" w:eastAsia="宋体" w:cs="宋体"/>
                <w:b/>
                <w:bCs/>
                <w:szCs w:val="21"/>
                <w:highlight w:val="none"/>
                <w:lang w:eastAsia="zh-CN"/>
              </w:rPr>
            </w:pPr>
            <w:r>
              <w:rPr>
                <w:rFonts w:hint="eastAsia" w:ascii="宋体" w:hAnsi="宋体" w:cs="宋体"/>
                <w:bCs/>
                <w:szCs w:val="21"/>
                <w:highlight w:val="none"/>
                <w:lang w:eastAsia="zh-CN"/>
              </w:rPr>
              <w:t>“中国医药城大健康产业论坛”策划执行服务项目</w:t>
            </w:r>
          </w:p>
        </w:tc>
        <w:tc>
          <w:tcPr>
            <w:tcW w:w="896" w:type="pct"/>
            <w:tcBorders>
              <w:top w:val="single" w:color="000000" w:sz="4" w:space="0"/>
              <w:left w:val="single" w:color="000000" w:sz="4" w:space="0"/>
              <w:bottom w:val="single" w:color="000000" w:sz="4" w:space="0"/>
              <w:right w:val="single" w:color="000000" w:sz="4" w:space="0"/>
            </w:tcBorders>
            <w:vAlign w:val="center"/>
          </w:tcPr>
          <w:p w14:paraId="5357B915">
            <w:pPr>
              <w:pageBreakBefore w:val="0"/>
              <w:kinsoku/>
              <w:bidi w:val="0"/>
              <w:spacing w:line="360" w:lineRule="auto"/>
              <w:jc w:val="center"/>
              <w:rPr>
                <w:rFonts w:hint="eastAsia" w:ascii="宋体" w:hAnsi="宋体" w:cs="宋体"/>
                <w:bCs/>
                <w:szCs w:val="21"/>
                <w:highlight w:val="none"/>
              </w:rPr>
            </w:pPr>
            <w:r>
              <w:rPr>
                <w:rFonts w:hint="eastAsia" w:ascii="宋体" w:hAnsi="宋体" w:cs="宋体"/>
                <w:bCs/>
                <w:szCs w:val="21"/>
                <w:highlight w:val="none"/>
              </w:rPr>
              <w:t>首次报价</w:t>
            </w:r>
          </w:p>
        </w:tc>
        <w:tc>
          <w:tcPr>
            <w:tcW w:w="1710" w:type="pct"/>
            <w:tcBorders>
              <w:top w:val="single" w:color="000000" w:sz="4" w:space="0"/>
              <w:left w:val="single" w:color="000000" w:sz="4" w:space="0"/>
              <w:bottom w:val="single" w:color="000000" w:sz="4" w:space="0"/>
              <w:right w:val="single" w:color="000000" w:sz="4" w:space="0"/>
            </w:tcBorders>
            <w:vAlign w:val="center"/>
          </w:tcPr>
          <w:p w14:paraId="6764319E">
            <w:pPr>
              <w:pageBreakBefore w:val="0"/>
              <w:kinsoku/>
              <w:bidi w:val="0"/>
              <w:spacing w:line="360" w:lineRule="auto"/>
              <w:rPr>
                <w:rFonts w:hint="eastAsia" w:ascii="宋体" w:hAnsi="宋体" w:cs="宋体"/>
                <w:szCs w:val="21"/>
                <w:highlight w:val="none"/>
              </w:rPr>
            </w:pPr>
          </w:p>
        </w:tc>
        <w:tc>
          <w:tcPr>
            <w:tcW w:w="538" w:type="pct"/>
            <w:tcBorders>
              <w:top w:val="single" w:color="000000" w:sz="4" w:space="0"/>
              <w:left w:val="single" w:color="000000" w:sz="4" w:space="0"/>
              <w:bottom w:val="single" w:color="000000" w:sz="4" w:space="0"/>
              <w:right w:val="single" w:color="000000" w:sz="4" w:space="0"/>
            </w:tcBorders>
            <w:vAlign w:val="center"/>
          </w:tcPr>
          <w:p w14:paraId="09D0762F">
            <w:pPr>
              <w:pageBreakBefore w:val="0"/>
              <w:kinsoku/>
              <w:bidi w:val="0"/>
              <w:spacing w:line="360" w:lineRule="auto"/>
              <w:rPr>
                <w:rFonts w:hint="eastAsia" w:ascii="宋体" w:hAnsi="宋体" w:cs="宋体"/>
                <w:szCs w:val="21"/>
                <w:highlight w:val="none"/>
              </w:rPr>
            </w:pPr>
          </w:p>
        </w:tc>
      </w:tr>
    </w:tbl>
    <w:p w14:paraId="05B41A3E">
      <w:pPr>
        <w:pageBreakBefore w:val="0"/>
        <w:kinsoku/>
        <w:bidi w:val="0"/>
        <w:spacing w:line="360" w:lineRule="auto"/>
        <w:rPr>
          <w:rFonts w:hint="eastAsia" w:ascii="宋体" w:hAnsi="宋体" w:cs="宋体"/>
          <w:szCs w:val="21"/>
          <w:highlight w:val="none"/>
        </w:rPr>
      </w:pPr>
    </w:p>
    <w:p w14:paraId="695F74A4">
      <w:pPr>
        <w:pageBreakBefore w:val="0"/>
        <w:kinsoku/>
        <w:bidi w:val="0"/>
        <w:spacing w:line="360" w:lineRule="auto"/>
        <w:ind w:firstLine="4620" w:firstLineChars="2200"/>
        <w:rPr>
          <w:rFonts w:hint="eastAsia" w:ascii="宋体" w:hAnsi="宋体" w:cs="宋体"/>
          <w:szCs w:val="21"/>
          <w:highlight w:val="none"/>
        </w:rPr>
      </w:pPr>
      <w:r>
        <w:rPr>
          <w:rFonts w:hint="eastAsia" w:ascii="宋体" w:hAnsi="宋体" w:cs="宋体"/>
          <w:szCs w:val="21"/>
          <w:highlight w:val="none"/>
        </w:rPr>
        <w:t>竞争性磋商响应单位：（加盖公章）</w:t>
      </w:r>
    </w:p>
    <w:p w14:paraId="0E0AB9A8">
      <w:pPr>
        <w:pageBreakBefore w:val="0"/>
        <w:kinsoku/>
        <w:bidi w:val="0"/>
        <w:spacing w:line="360" w:lineRule="auto"/>
        <w:ind w:firstLine="4410" w:firstLineChars="2100"/>
        <w:rPr>
          <w:rFonts w:hint="eastAsia" w:ascii="宋体" w:hAnsi="宋体" w:cs="宋体"/>
          <w:szCs w:val="21"/>
          <w:highlight w:val="none"/>
        </w:rPr>
      </w:pPr>
      <w:r>
        <w:rPr>
          <w:rFonts w:hint="eastAsia" w:ascii="宋体" w:hAnsi="宋体" w:cs="宋体"/>
          <w:szCs w:val="21"/>
          <w:highlight w:val="none"/>
          <w:lang w:val="zh-CN"/>
        </w:rPr>
        <w:t>法定代表人或其授权委托人：</w:t>
      </w:r>
      <w:r>
        <w:rPr>
          <w:rFonts w:hint="eastAsia" w:ascii="宋体" w:hAnsi="宋体" w:cs="宋体"/>
          <w:bCs/>
          <w:spacing w:val="10"/>
          <w:szCs w:val="21"/>
          <w:highlight w:val="none"/>
        </w:rPr>
        <w:t>（签字或盖章）</w:t>
      </w:r>
    </w:p>
    <w:p w14:paraId="4C812218">
      <w:pPr>
        <w:pageBreakBefore w:val="0"/>
        <w:kinsoku/>
        <w:bidi w:val="0"/>
        <w:spacing w:line="360" w:lineRule="auto"/>
        <w:rPr>
          <w:sz w:val="20"/>
          <w:highlight w:val="none"/>
        </w:rPr>
      </w:pPr>
    </w:p>
    <w:p w14:paraId="1105D82D">
      <w:pPr>
        <w:pStyle w:val="37"/>
        <w:pageBreakBefore w:val="0"/>
        <w:kinsoku/>
        <w:bidi w:val="0"/>
        <w:spacing w:line="360" w:lineRule="auto"/>
        <w:ind w:firstLine="5400"/>
        <w:jc w:val="left"/>
        <w:rPr>
          <w:rFonts w:ascii="Times New Roman" w:hAnsi="Times New Roman" w:cs="宋体"/>
          <w:b/>
          <w:bCs/>
          <w:szCs w:val="21"/>
          <w:highlight w:val="none"/>
        </w:rPr>
      </w:pPr>
      <w:r>
        <w:rPr>
          <w:rFonts w:hint="eastAsia" w:ascii="Times New Roman" w:hAnsi="Times New Roman" w:cs="宋体"/>
          <w:szCs w:val="21"/>
          <w:highlight w:val="none"/>
        </w:rPr>
        <w:t>年  月  日</w:t>
      </w:r>
    </w:p>
    <w:p w14:paraId="2842E794">
      <w:pPr>
        <w:pageBreakBefore w:val="0"/>
        <w:kinsoku/>
        <w:bidi w:val="0"/>
        <w:spacing w:line="360" w:lineRule="auto"/>
        <w:ind w:firstLine="422" w:firstLineChars="200"/>
        <w:rPr>
          <w:rFonts w:hint="eastAsia" w:ascii="宋体" w:hAnsi="宋体"/>
          <w:b/>
          <w:szCs w:val="21"/>
          <w:highlight w:val="none"/>
        </w:rPr>
      </w:pPr>
    </w:p>
    <w:p w14:paraId="29BAD935">
      <w:pPr>
        <w:pageBreakBefore w:val="0"/>
        <w:kinsoku/>
        <w:bidi w:val="0"/>
        <w:spacing w:line="360" w:lineRule="auto"/>
        <w:ind w:firstLine="482"/>
        <w:rPr>
          <w:rFonts w:hint="eastAsia" w:ascii="宋体" w:hAnsi="宋体" w:cs="宋体"/>
          <w:b/>
          <w:szCs w:val="21"/>
          <w:highlight w:val="none"/>
        </w:rPr>
      </w:pPr>
      <w:r>
        <w:rPr>
          <w:rFonts w:hint="eastAsia" w:ascii="宋体" w:hAnsi="宋体" w:cs="宋体"/>
          <w:b/>
          <w:szCs w:val="21"/>
          <w:highlight w:val="none"/>
        </w:rPr>
        <w:t>注：1.</w:t>
      </w:r>
      <w:r>
        <w:rPr>
          <w:rFonts w:hint="eastAsia" w:ascii="宋体" w:hAnsi="宋体" w:cs="宋体"/>
          <w:szCs w:val="21"/>
          <w:highlight w:val="none"/>
        </w:rPr>
        <w:t>磋商报价（以人民币计价）</w:t>
      </w:r>
      <w:r>
        <w:rPr>
          <w:rFonts w:hint="eastAsia" w:ascii="宋体" w:hAnsi="宋体" w:cs="宋体"/>
          <w:bCs/>
          <w:szCs w:val="21"/>
          <w:highlight w:val="none"/>
        </w:rPr>
        <w:t>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的各种因素、风险及所需的全部费用</w:t>
      </w:r>
      <w:r>
        <w:rPr>
          <w:rFonts w:hint="eastAsia" w:ascii="宋体" w:hAnsi="宋体" w:cs="宋体"/>
          <w:szCs w:val="21"/>
          <w:highlight w:val="none"/>
        </w:rPr>
        <w:t>。</w:t>
      </w:r>
    </w:p>
    <w:p w14:paraId="002B81D3">
      <w:pPr>
        <w:pageBreakBefore w:val="0"/>
        <w:kinsoku/>
        <w:bidi w:val="0"/>
        <w:spacing w:line="360" w:lineRule="auto"/>
        <w:ind w:firstLine="482"/>
        <w:rPr>
          <w:rFonts w:hint="eastAsia" w:ascii="宋体" w:hAnsi="宋体" w:cs="宋体"/>
          <w:b/>
          <w:szCs w:val="21"/>
          <w:highlight w:val="none"/>
        </w:rPr>
      </w:pPr>
      <w:r>
        <w:rPr>
          <w:rFonts w:hint="eastAsia" w:ascii="宋体" w:hAnsi="宋体" w:cs="宋体"/>
          <w:b/>
          <w:szCs w:val="21"/>
          <w:highlight w:val="none"/>
        </w:rPr>
        <w:t>2.第二次报价将在磋商现场进行，响应文件提交时只需填写磋商报价表（首次）。在二次报价环节，代理机构在苏采云系统发送二次报价通知后，所有的响应供应商须在15分钟内填写完成二次报价，并按苏采云系统要求提交二次报价表。</w:t>
      </w:r>
    </w:p>
    <w:p w14:paraId="20203EA4">
      <w:pPr>
        <w:pageBreakBefore w:val="0"/>
        <w:kinsoku/>
        <w:bidi w:val="0"/>
        <w:spacing w:line="360" w:lineRule="auto"/>
        <w:ind w:firstLine="420" w:firstLineChars="200"/>
        <w:rPr>
          <w:rFonts w:hint="eastAsia" w:ascii="宋体" w:hAnsi="宋体" w:cs="宋体"/>
          <w:szCs w:val="21"/>
          <w:highlight w:val="none"/>
        </w:rPr>
      </w:pPr>
      <w:r>
        <w:rPr>
          <w:rFonts w:hint="eastAsia" w:ascii="宋体" w:hAnsi="宋体" w:cs="宋体"/>
          <w:szCs w:val="21"/>
          <w:highlight w:val="none"/>
          <w:lang w:bidi="zh-CN"/>
        </w:rPr>
        <w:br w:type="page" w:clear="all"/>
      </w:r>
    </w:p>
    <w:p w14:paraId="100FDBE5">
      <w:pPr>
        <w:pageBreakBefore w:val="0"/>
        <w:kinsoku/>
        <w:bidi w:val="0"/>
        <w:spacing w:line="360" w:lineRule="auto"/>
        <w:ind w:firstLine="420" w:firstLineChars="200"/>
        <w:rPr>
          <w:rFonts w:hint="eastAsia" w:ascii="宋体" w:hAnsi="宋体"/>
          <w:szCs w:val="21"/>
          <w:highlight w:val="none"/>
        </w:rPr>
        <w:sectPr>
          <w:pgSz w:w="11907" w:h="16840"/>
          <w:pgMar w:top="1134" w:right="1134" w:bottom="1134" w:left="1560" w:header="851" w:footer="851" w:gutter="0"/>
          <w:cols w:space="720" w:num="1"/>
          <w:docGrid w:linePitch="312" w:charSpace="0"/>
        </w:sectPr>
      </w:pPr>
      <w:bookmarkStart w:id="95" w:name="_Toc162919810"/>
      <w:bookmarkStart w:id="96" w:name="_Toc162859072"/>
    </w:p>
    <w:bookmarkEnd w:id="95"/>
    <w:bookmarkEnd w:id="96"/>
    <w:p w14:paraId="4B73988A">
      <w:pPr>
        <w:pageBreakBefore w:val="0"/>
        <w:kinsoku/>
        <w:bidi w:val="0"/>
        <w:spacing w:line="360" w:lineRule="auto"/>
        <w:rPr>
          <w:rFonts w:hint="eastAsia" w:ascii="宋体" w:hAnsi="宋体" w:cs="宋体"/>
          <w:b/>
          <w:szCs w:val="21"/>
          <w:highlight w:val="none"/>
        </w:rPr>
      </w:pPr>
      <w:r>
        <w:rPr>
          <w:rFonts w:hint="eastAsia" w:ascii="宋体" w:hAnsi="宋体"/>
          <w:szCs w:val="21"/>
          <w:highlight w:val="none"/>
        </w:rPr>
        <w:t>14.技术说明与服务方案</w:t>
      </w:r>
    </w:p>
    <w:p w14:paraId="2CAFB063">
      <w:pPr>
        <w:pageBreakBefore w:val="0"/>
        <w:kinsoku/>
        <w:bidi w:val="0"/>
        <w:spacing w:line="360" w:lineRule="auto"/>
        <w:rPr>
          <w:rFonts w:hint="eastAsia" w:ascii="宋体" w:hAnsi="宋体"/>
          <w:szCs w:val="21"/>
          <w:highlight w:val="none"/>
        </w:rPr>
      </w:pPr>
      <w:r>
        <w:rPr>
          <w:rFonts w:hint="eastAsia" w:ascii="宋体" w:hAnsi="宋体"/>
          <w:szCs w:val="21"/>
          <w:highlight w:val="none"/>
        </w:rPr>
        <w:t>15.其他（供应商认为有必要提供的声明和文件，如有自拟并自行添加）</w:t>
      </w:r>
    </w:p>
    <w:p w14:paraId="6B0EA007">
      <w:pPr>
        <w:pStyle w:val="38"/>
        <w:pageBreakBefore w:val="0"/>
        <w:shd w:val="clear" w:color="auto" w:fill="FFFFFF"/>
        <w:kinsoku/>
        <w:bidi w:val="0"/>
        <w:spacing w:before="0" w:beforeAutospacing="0" w:after="0" w:afterAutospacing="0" w:line="360" w:lineRule="auto"/>
        <w:ind w:firstLine="482"/>
        <w:jc w:val="center"/>
        <w:rPr>
          <w:rFonts w:hint="eastAsia" w:ascii="宋体" w:hAnsi="宋体" w:cs="宋体"/>
          <w:b/>
          <w:sz w:val="21"/>
          <w:szCs w:val="21"/>
          <w:highlight w:val="none"/>
          <w:lang w:eastAsia="zh-CN"/>
        </w:rPr>
      </w:pPr>
    </w:p>
    <w:p w14:paraId="2B1E131F">
      <w:pPr>
        <w:pStyle w:val="38"/>
        <w:pageBreakBefore w:val="0"/>
        <w:shd w:val="clear" w:color="auto" w:fill="FFFFFF"/>
        <w:kinsoku/>
        <w:bidi w:val="0"/>
        <w:spacing w:before="0" w:beforeAutospacing="0" w:after="0" w:afterAutospacing="0" w:line="360" w:lineRule="auto"/>
        <w:ind w:firstLine="482"/>
        <w:jc w:val="center"/>
        <w:rPr>
          <w:rFonts w:hint="eastAsia" w:ascii="宋体" w:hAnsi="宋体" w:cs="宋体"/>
          <w:sz w:val="21"/>
          <w:szCs w:val="21"/>
          <w:highlight w:val="none"/>
          <w:lang w:eastAsia="zh-CN"/>
        </w:rPr>
      </w:pPr>
      <w:r>
        <w:rPr>
          <w:rFonts w:hint="eastAsia" w:ascii="宋体" w:hAnsi="宋体" w:cs="宋体"/>
          <w:b/>
          <w:sz w:val="21"/>
          <w:szCs w:val="21"/>
          <w:highlight w:val="none"/>
          <w:lang w:eastAsia="zh-CN"/>
        </w:rPr>
        <w:t>中小企业划型标准规定</w:t>
      </w:r>
    </w:p>
    <w:p w14:paraId="3BD0595D">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3011B1A">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各行业划型标准为：</w:t>
      </w:r>
    </w:p>
    <w:p w14:paraId="1C7997E1">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（一）农、林、牧、渔业。营业收入20000万元以下的为中小微型企业。其中，营业收入500万元及以上的为中型企业，营业收入50万元及以上的为小型企业，营业收入50万元以下的为微型企业。</w:t>
      </w:r>
    </w:p>
    <w:p w14:paraId="7FC447A2">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7FD1B32">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409250E">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DDF6665">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E682880">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CE6A159">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6C8ADEC">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BC5015D">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FD22354">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BA21F7C">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59ECD50">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83733E2">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8CE12F5">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4BA2124">
      <w:pPr>
        <w:pageBreakBefore w:val="0"/>
        <w:kinsoku/>
        <w:bidi w:val="0"/>
        <w:spacing w:line="360" w:lineRule="auto"/>
        <w:ind w:firstLine="480"/>
        <w:rPr>
          <w:rFonts w:hint="eastAsia" w:ascii="宋体" w:hAnsi="宋体" w:cs="宋体"/>
          <w:szCs w:val="21"/>
          <w:highlight w:val="none"/>
        </w:rPr>
      </w:pPr>
      <w:r>
        <w:rPr>
          <w:rFonts w:hint="eastAsia" w:ascii="宋体" w:hAnsi="宋体" w:cs="宋体"/>
          <w:szCs w:val="21"/>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3961748">
      <w:pPr>
        <w:pageBreakBefore w:val="0"/>
        <w:kinsoku/>
        <w:bidi w:val="0"/>
        <w:spacing w:line="360" w:lineRule="auto"/>
        <w:ind w:firstLine="480"/>
        <w:rPr>
          <w:highlight w:val="none"/>
        </w:rPr>
      </w:pPr>
      <w:r>
        <w:rPr>
          <w:rFonts w:hint="eastAsia" w:ascii="宋体" w:hAnsi="宋体" w:cs="宋体"/>
          <w:szCs w:val="21"/>
          <w:highlight w:val="none"/>
        </w:rPr>
        <w:t>（十六）其他未列明行业。从业人员300人以下的为中小微型企业。其中，从业人员100人及以上的为中型企业；从业人员10人及以上的为小型企业；从业人员10人以下的为微型企业。</w:t>
      </w:r>
    </w:p>
    <w:p w14:paraId="0007D74A">
      <w:pPr>
        <w:pageBreakBefore w:val="0"/>
        <w:kinsoku/>
        <w:bidi w:val="0"/>
        <w:spacing w:line="360" w:lineRule="auto"/>
        <w:rPr>
          <w:highlight w:val="none"/>
        </w:rPr>
      </w:pPr>
    </w:p>
    <w:p w14:paraId="47DAD2DA">
      <w:pPr>
        <w:pStyle w:val="34"/>
        <w:pageBreakBefore w:val="0"/>
        <w:kinsoku/>
        <w:bidi w:val="0"/>
        <w:spacing w:line="360" w:lineRule="auto"/>
        <w:rPr>
          <w:rFonts w:hint="eastAsia" w:ascii="宋体" w:hAnsi="宋体"/>
          <w:bCs/>
          <w:sz w:val="21"/>
          <w:szCs w:val="21"/>
          <w:highlight w:val="none"/>
        </w:rPr>
      </w:pPr>
    </w:p>
    <w:p w14:paraId="30D7CC0A">
      <w:pPr>
        <w:keepNext/>
        <w:keepLines/>
        <w:pageBreakBefore w:val="0"/>
        <w:kinsoku/>
        <w:bidi w:val="0"/>
        <w:spacing w:before="260" w:after="260" w:line="360" w:lineRule="auto"/>
        <w:jc w:val="center"/>
        <w:outlineLvl w:val="1"/>
        <w:rPr>
          <w:rFonts w:hint="eastAsia" w:ascii="宋体" w:hAnsi="宋体"/>
          <w:szCs w:val="21"/>
          <w:highlight w:val="none"/>
        </w:rPr>
      </w:pPr>
    </w:p>
    <w:p w14:paraId="61BB70C0">
      <w:pPr>
        <w:pageBreakBefore w:val="0"/>
        <w:kinsoku/>
        <w:bidi w:val="0"/>
        <w:spacing w:line="360" w:lineRule="auto"/>
        <w:rPr>
          <w:highlight w:val="none"/>
        </w:rPr>
      </w:pPr>
    </w:p>
    <w:p w14:paraId="6EE15CC6">
      <w:pPr>
        <w:pageBreakBefore w:val="0"/>
        <w:kinsoku/>
        <w:bidi w:val="0"/>
        <w:spacing w:line="360" w:lineRule="auto"/>
        <w:rPr>
          <w:highlight w:val="none"/>
        </w:rPr>
      </w:pPr>
    </w:p>
    <w:p w14:paraId="56B10EC4">
      <w:pPr>
        <w:pageBreakBefore w:val="0"/>
        <w:kinsoku/>
        <w:bidi w:val="0"/>
        <w:spacing w:line="360" w:lineRule="auto"/>
        <w:rPr>
          <w:highlight w:val="none"/>
        </w:rPr>
      </w:pPr>
    </w:p>
    <w:p w14:paraId="61905256">
      <w:pPr>
        <w:pageBreakBefore w:val="0"/>
        <w:kinsoku/>
        <w:bidi w:val="0"/>
        <w:spacing w:line="360" w:lineRule="auto"/>
        <w:rPr>
          <w:highlight w:val="none"/>
        </w:rPr>
      </w:pPr>
    </w:p>
    <w:p w14:paraId="78B3A4F9">
      <w:pPr>
        <w:pageBreakBefore w:val="0"/>
        <w:kinsoku/>
        <w:bidi w:val="0"/>
        <w:spacing w:line="360" w:lineRule="auto"/>
        <w:rPr>
          <w:highlight w:val="none"/>
        </w:rPr>
      </w:pPr>
    </w:p>
    <w:p w14:paraId="1ECCEEB4">
      <w:pPr>
        <w:pageBreakBefore w:val="0"/>
        <w:kinsoku/>
        <w:bidi w:val="0"/>
        <w:spacing w:line="360" w:lineRule="auto"/>
        <w:rPr>
          <w:highlight w:val="none"/>
        </w:rPr>
      </w:pPr>
    </w:p>
    <w:p w14:paraId="36EE27D0">
      <w:pPr>
        <w:pageBreakBefore w:val="0"/>
        <w:kinsoku/>
        <w:bidi w:val="0"/>
        <w:spacing w:line="360" w:lineRule="auto"/>
        <w:rPr>
          <w:highlight w:val="none"/>
        </w:rPr>
      </w:pPr>
    </w:p>
    <w:p w14:paraId="697A27C8">
      <w:pPr>
        <w:pageBreakBefore w:val="0"/>
        <w:kinsoku/>
        <w:bidi w:val="0"/>
        <w:spacing w:line="360" w:lineRule="auto"/>
        <w:rPr>
          <w:highlight w:val="none"/>
        </w:rPr>
      </w:pPr>
    </w:p>
    <w:p w14:paraId="0E551FF7">
      <w:pPr>
        <w:pageBreakBefore w:val="0"/>
        <w:kinsoku/>
        <w:bidi w:val="0"/>
        <w:spacing w:line="360" w:lineRule="auto"/>
        <w:rPr>
          <w:highlight w:val="none"/>
        </w:rPr>
      </w:pPr>
    </w:p>
    <w:sectPr>
      <w:footerReference r:id="rId12"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font>
  <w:font w:name="Microsoft New Tai Lue">
    <w:panose1 w:val="020B0502040204020203"/>
    <w:charset w:val="00"/>
    <w:family w:val="swiss"/>
    <w:pitch w:val="default"/>
    <w:sig w:usb0="00000003" w:usb1="00000000" w:usb2="8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B6D55">
    <w:pPr>
      <w:pStyle w:val="13"/>
      <w:jc w:val="center"/>
      <w:rPr>
        <w:rStyle w:val="23"/>
      </w:rP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43F5F23">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14:paraId="043F5F23">
                    <w:pPr>
                      <w:pStyle w:val="1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rect>
          </w:pict>
        </mc:Fallback>
      </mc:AlternateContent>
    </w:r>
  </w:p>
  <w:p w14:paraId="008E3484">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5555A">
    <w:pPr>
      <w:pStyle w:val="13"/>
      <w:ind w:firstLine="4140" w:firstLineChars="230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95</w:t>
    </w:r>
    <w:r>
      <w:rPr>
        <w:szCs w:val="21"/>
      </w:rPr>
      <w:fldChar w:fldCharType="end"/>
    </w:r>
    <w:r>
      <w:rPr>
        <w:rFonts w:hint="eastAsia"/>
        <w:szCs w:val="21"/>
      </w:rPr>
      <w:t xml:space="preserve"> 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9EFC0">
    <w:pPr>
      <w:pStyle w:val="13"/>
      <w:jc w:val="cente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994F40C">
                          <w:pPr>
                            <w:pStyle w:val="13"/>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Eb63XJAQAAk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cgLw7tjpPKZWyo2Vpg4UKuyumms0iw8zvOth19p+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8RvrdckBAACSAwAADgAAAAAAAAABACAAAAAfAQAAZHJzL2Uyb0Rv&#10;Yy54bWxQSwUGAAAAAAYABgBZAQAAWgUAAAAA&#10;">
              <v:fill on="f" focussize="0,0"/>
              <v:stroke on="f"/>
              <v:imagedata o:title=""/>
              <o:lock v:ext="edit" aspectratio="f"/>
              <v:textbox inset="0mm,0mm,0mm,0mm" style="mso-fit-shape-to-text:t;">
                <w:txbxContent>
                  <w:p w14:paraId="1994F40C">
                    <w:pPr>
                      <w:pStyle w:val="13"/>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87646">
    <w:pPr>
      <w:pStyle w:val="39"/>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7C5A1B6">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52</w:t>
                          </w:r>
                          <w:r>
                            <w:rPr>
                              <w:rFonts w:hint="eastAsia" w:ascii="宋体" w:hAnsi="宋体" w:cs="宋体"/>
                              <w:sz w:val="18"/>
                              <w:szCs w:val="18"/>
                            </w:rPr>
                            <w:fldChar w:fldCharType="end"/>
                          </w:r>
                          <w:r>
                            <w:rPr>
                              <w:rFonts w:hint="eastAsia" w:ascii="宋体" w:hAnsi="宋体" w:cs="宋体"/>
                              <w:sz w:val="18"/>
                              <w:szCs w:val="18"/>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37C5A1B6">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52</w:t>
                    </w:r>
                    <w:r>
                      <w:rPr>
                        <w:rFonts w:hint="eastAsia" w:ascii="宋体" w:hAnsi="宋体" w:cs="宋体"/>
                        <w:sz w:val="18"/>
                        <w:szCs w:val="18"/>
                      </w:rPr>
                      <w:fldChar w:fldCharType="end"/>
                    </w:r>
                    <w:r>
                      <w:rPr>
                        <w:rFonts w:hint="eastAsia" w:ascii="宋体" w:hAnsi="宋体" w:cs="宋体"/>
                        <w:sz w:val="18"/>
                        <w:szCs w:val="18"/>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1A26B">
    <w:pPr>
      <w:pStyle w:val="39"/>
    </w:pPr>
    <w:r>
      <w:rPr>
        <w:lang w:eastAsia="zh-CN"/>
      </w:rP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30069E8E">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52</w:t>
                          </w:r>
                          <w:r>
                            <w:rPr>
                              <w:rFonts w:hint="eastAsia" w:ascii="宋体" w:hAnsi="宋体" w:cs="宋体"/>
                              <w:sz w:val="18"/>
                              <w:szCs w:val="18"/>
                            </w:rPr>
                            <w:fldChar w:fldCharType="end"/>
                          </w:r>
                          <w:r>
                            <w:rPr>
                              <w:rFonts w:hint="eastAsia" w:ascii="宋体" w:hAnsi="宋体" w:cs="宋体"/>
                              <w:sz w:val="18"/>
                              <w:szCs w:val="18"/>
                            </w:rPr>
                            <w:t xml:space="preserve"> 页</w:t>
                          </w:r>
                        </w:p>
                      </w:txbxContent>
                    </wps:txbx>
                    <wps:bodyPr wrap="none" lIns="0" tIns="0" rIns="0" bIns="0" upright="1">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lxQAQcMBAACHAwAADgAAAAAAAAABACAAAAAfAQAAZHJzL2Uyb0RvYy54bWxQ&#10;SwUGAAAAAAYABgBZAQAAVAUAAAAA&#10;">
              <v:fill on="f" focussize="0,0"/>
              <v:stroke on="f"/>
              <v:imagedata o:title=""/>
              <o:lock v:ext="edit" aspectratio="f"/>
              <v:textbox inset="0mm,0mm,0mm,0mm" style="mso-fit-shape-to-text:t;">
                <w:txbxContent>
                  <w:p w14:paraId="30069E8E">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52</w:t>
                    </w:r>
                    <w:r>
                      <w:rPr>
                        <w:rFonts w:hint="eastAsia" w:ascii="宋体" w:hAnsi="宋体" w:cs="宋体"/>
                        <w:sz w:val="18"/>
                        <w:szCs w:val="18"/>
                      </w:rPr>
                      <w:fldChar w:fldCharType="end"/>
                    </w:r>
                    <w:r>
                      <w:rPr>
                        <w:rFonts w:hint="eastAsia" w:ascii="宋体" w:hAnsi="宋体" w:cs="宋体"/>
                        <w:sz w:val="18"/>
                        <w:szCs w:val="18"/>
                      </w:rPr>
                      <w:t xml:space="preserve"> 页</w:t>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62F2F">
    <w:pPr>
      <w:pStyle w:val="13"/>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C7E84D">
                          <w:pPr>
                            <w:pStyle w:val="13"/>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1C7E84D">
                    <w:pPr>
                      <w:pStyle w:val="13"/>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08515">
    <w:pPr>
      <w:pStyle w:val="13"/>
      <w:jc w:val="center"/>
    </w:pPr>
    <w:r>
      <w:rPr>
        <w:rFonts w:hint="eastAsia"/>
      </w:rPr>
      <w:t>第</w:t>
    </w:r>
    <w:r>
      <w:fldChar w:fldCharType="begin"/>
    </w:r>
    <w:r>
      <w:rPr>
        <w:rStyle w:val="23"/>
      </w:rPr>
      <w:instrText xml:space="preserve"> PAGE </w:instrText>
    </w:r>
    <w:r>
      <w:fldChar w:fldCharType="separate"/>
    </w:r>
    <w:r>
      <w:rPr>
        <w:rStyle w:val="23"/>
      </w:rPr>
      <w:t>7</w:t>
    </w:r>
    <w:r>
      <w:fldChar w:fldCharType="end"/>
    </w:r>
    <w:r>
      <w:rPr>
        <w:rFonts w:hint="eastAsia"/>
      </w:rPr>
      <w:t>页共</w:t>
    </w:r>
    <w:r>
      <w:fldChar w:fldCharType="begin"/>
    </w:r>
    <w:r>
      <w:rPr>
        <w:rStyle w:val="23"/>
      </w:rPr>
      <w:instrText xml:space="preserve"> NUMPAGES </w:instrText>
    </w:r>
    <w:r>
      <w:fldChar w:fldCharType="separate"/>
    </w:r>
    <w:r>
      <w:rPr>
        <w:rStyle w:val="23"/>
      </w:rPr>
      <w:t>11</w:t>
    </w:r>
    <w:r>
      <w:fldChar w:fldCharType="end"/>
    </w:r>
    <w:r>
      <w:rPr>
        <w:rFonts w:hint="eastAsia"/>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A154D">
    <w:pPr>
      <w:pStyle w:val="13"/>
    </w:pPr>
    <w:r>
      <mc:AlternateContent>
        <mc:Choice Requires="wps">
          <w:drawing>
            <wp:anchor distT="0" distB="0" distL="0" distR="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4101" name="文本框 4"/>
              <wp:cNvGraphicFramePr/>
              <a:graphic xmlns:a="http://schemas.openxmlformats.org/drawingml/2006/main">
                <a:graphicData uri="http://schemas.microsoft.com/office/word/2010/wordprocessingShape">
                  <wps:wsp>
                    <wps:cNvSpPr/>
                    <wps:spPr>
                      <a:xfrm>
                        <a:off x="0" y="0"/>
                        <a:ext cx="1664335" cy="218440"/>
                      </a:xfrm>
                      <a:prstGeom prst="rect">
                        <a:avLst/>
                      </a:prstGeom>
                      <a:ln>
                        <a:noFill/>
                      </a:ln>
                    </wps:spPr>
                    <wps:txbx>
                      <w:txbxContent>
                        <w:p w14:paraId="7DF42F4A">
                          <w:pPr>
                            <w:pStyle w:val="19"/>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wps:txbx>
                    <wps:bodyPr vert="horz" wrap="square" lIns="0" tIns="0" rIns="0" bIns="0" anchor="t">
                      <a:noAutofit/>
                    </wps:bodyPr>
                  </wps:wsp>
                </a:graphicData>
              </a:graphic>
            </wp:anchor>
          </w:drawing>
        </mc:Choice>
        <mc:Fallback>
          <w:pict>
            <v:rect id="文本框 4" o:spid="_x0000_s1026" o:spt="1" style="position:absolute;left:0pt;margin-top:0pt;height:17.2pt;width:131.05pt;mso-position-horizontal:center;mso-position-horizontal-relative:margin;z-index:251662336;mso-width-relative:page;mso-height-relative:page;" filled="f" stroked="f" coordsize="21600,21600" o:gfxdata="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PlDI4dcAAAAEAQAADwAAAAAAAAABACAAAAAi&#10;AAAAZHJzL2Rvd25yZXYueG1sUEsBAhQAFAAAAAgAh07iQJwVOOLSAQAAkwMAAA4AAAAAAAAAAQAg&#10;AAAAJgEAAGRycy9lMm9Eb2MueG1sUEsFBgAAAAAGAAYAWQEAAGoFAAAAAA==&#10;">
              <v:fill on="f" focussize="0,0"/>
              <v:stroke on="f"/>
              <v:imagedata o:title=""/>
              <o:lock v:ext="edit" aspectratio="f"/>
              <v:textbox inset="0mm,0mm,0mm,0mm">
                <w:txbxContent>
                  <w:p w14:paraId="7DF42F4A">
                    <w:pPr>
                      <w:pStyle w:val="19"/>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75C99">
    <w:pPr>
      <w:pStyle w:val="13"/>
      <w:jc w:val="center"/>
    </w:pPr>
    <w:r>
      <w:rPr>
        <w:rFonts w:hint="eastAsia"/>
      </w:rPr>
      <w:t>第</w:t>
    </w:r>
    <w:r>
      <w:fldChar w:fldCharType="begin"/>
    </w:r>
    <w:r>
      <w:rPr>
        <w:rStyle w:val="23"/>
      </w:rPr>
      <w:instrText xml:space="preserve"> PAGE </w:instrText>
    </w:r>
    <w:r>
      <w:fldChar w:fldCharType="separate"/>
    </w:r>
    <w:r>
      <w:rPr>
        <w:rStyle w:val="23"/>
      </w:rPr>
      <w:t>7</w:t>
    </w:r>
    <w:r>
      <w:fldChar w:fldCharType="end"/>
    </w:r>
    <w:r>
      <w:rPr>
        <w:rFonts w:hint="eastAsia"/>
      </w:rPr>
      <w:t>页共</w:t>
    </w:r>
    <w:r>
      <w:fldChar w:fldCharType="begin"/>
    </w:r>
    <w:r>
      <w:rPr>
        <w:rStyle w:val="23"/>
      </w:rPr>
      <w:instrText xml:space="preserve"> NUMPAGES </w:instrText>
    </w:r>
    <w:r>
      <w:fldChar w:fldCharType="separate"/>
    </w:r>
    <w:r>
      <w:rPr>
        <w:rStyle w:val="23"/>
      </w:rPr>
      <w:t>11</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7F772">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A255C"/>
    <w:multiLevelType w:val="singleLevel"/>
    <w:tmpl w:val="85CA255C"/>
    <w:lvl w:ilvl="0" w:tentative="0">
      <w:start w:val="1"/>
      <w:numFmt w:val="decimal"/>
      <w:suff w:val="nothing"/>
      <w:lvlText w:val="（%1）"/>
      <w:lvlJc w:val="left"/>
    </w:lvl>
  </w:abstractNum>
  <w:abstractNum w:abstractNumId="1">
    <w:nsid w:val="A295A35A"/>
    <w:multiLevelType w:val="singleLevel"/>
    <w:tmpl w:val="A295A35A"/>
    <w:lvl w:ilvl="0" w:tentative="0">
      <w:start w:val="1"/>
      <w:numFmt w:val="decimal"/>
      <w:suff w:val="nothing"/>
      <w:lvlText w:val="（%1）"/>
      <w:lvlJc w:val="left"/>
    </w:lvl>
  </w:abstractNum>
  <w:abstractNum w:abstractNumId="2">
    <w:nsid w:val="00000001"/>
    <w:multiLevelType w:val="singleLevel"/>
    <w:tmpl w:val="00000001"/>
    <w:lvl w:ilvl="0" w:tentative="0">
      <w:start w:val="5"/>
      <w:numFmt w:val="chineseCounting"/>
      <w:suff w:val="space"/>
      <w:lvlText w:val="第%1章"/>
      <w:lvlJc w:val="left"/>
      <w:rPr>
        <w:rFonts w:hint="eastAsia"/>
      </w:rPr>
    </w:lvl>
  </w:abstractNum>
  <w:abstractNum w:abstractNumId="3">
    <w:nsid w:val="00000002"/>
    <w:multiLevelType w:val="singleLevel"/>
    <w:tmpl w:val="00000002"/>
    <w:lvl w:ilvl="0" w:tentative="0">
      <w:start w:val="7"/>
      <w:numFmt w:val="chineseCounting"/>
      <w:suff w:val="nothing"/>
      <w:lvlText w:val="%1、"/>
      <w:lvlJc w:val="left"/>
      <w:rPr>
        <w:rFonts w:hint="eastAsia"/>
      </w:rPr>
    </w:lvl>
  </w:abstractNum>
  <w:abstractNum w:abstractNumId="4">
    <w:nsid w:val="00000003"/>
    <w:multiLevelType w:val="multilevel"/>
    <w:tmpl w:val="00000003"/>
    <w:lvl w:ilvl="0" w:tentative="0">
      <w:start w:val="1"/>
      <w:numFmt w:val="japaneseCounting"/>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5">
    <w:nsid w:val="00000004"/>
    <w:multiLevelType w:val="singleLevel"/>
    <w:tmpl w:val="00000004"/>
    <w:lvl w:ilvl="0" w:tentative="0">
      <w:start w:val="3"/>
      <w:numFmt w:val="chineseCounting"/>
      <w:suff w:val="space"/>
      <w:lvlText w:val="第%1章"/>
      <w:lvlJc w:val="left"/>
      <w:rPr>
        <w:rFonts w:hint="eastAsia"/>
      </w:rPr>
    </w:lvl>
  </w:abstractNum>
  <w:abstractNum w:abstractNumId="6">
    <w:nsid w:val="1A912371"/>
    <w:multiLevelType w:val="singleLevel"/>
    <w:tmpl w:val="1A912371"/>
    <w:lvl w:ilvl="0" w:tentative="0">
      <w:start w:val="1"/>
      <w:numFmt w:val="decimal"/>
      <w:suff w:val="nothing"/>
      <w:lvlText w:val="（%1）"/>
      <w:lvlJc w:val="left"/>
    </w:lvl>
  </w:abstractNum>
  <w:abstractNum w:abstractNumId="7">
    <w:nsid w:val="7BF3B983"/>
    <w:multiLevelType w:val="singleLevel"/>
    <w:tmpl w:val="7BF3B983"/>
    <w:lvl w:ilvl="0" w:tentative="0">
      <w:start w:val="3"/>
      <w:numFmt w:val="chineseCounting"/>
      <w:suff w:val="nothing"/>
      <w:lvlText w:val="（%1）"/>
      <w:lvlJc w:val="left"/>
      <w:rPr>
        <w:rFonts w:hint="eastAsia"/>
      </w:rPr>
    </w:lvl>
  </w:abstractNum>
  <w:num w:numId="1">
    <w:abstractNumId w:val="3"/>
  </w:num>
  <w:num w:numId="2">
    <w:abstractNumId w:val="0"/>
  </w:num>
  <w:num w:numId="3">
    <w:abstractNumId w:val="1"/>
  </w:num>
  <w:num w:numId="4">
    <w:abstractNumId w:val="6"/>
  </w:num>
  <w:num w:numId="5">
    <w:abstractNumId w:val="5"/>
  </w:num>
  <w:num w:numId="6">
    <w:abstractNumId w:val="7"/>
  </w:num>
  <w:num w:numId="7">
    <w:abstractNumId w:val="2"/>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672"/>
    <w:rsid w:val="00086E1F"/>
    <w:rsid w:val="0012317A"/>
    <w:rsid w:val="001473DE"/>
    <w:rsid w:val="001A0ABB"/>
    <w:rsid w:val="002A6CB2"/>
    <w:rsid w:val="002F1672"/>
    <w:rsid w:val="003E4ACC"/>
    <w:rsid w:val="004A25A3"/>
    <w:rsid w:val="005E1BAE"/>
    <w:rsid w:val="00634AC2"/>
    <w:rsid w:val="006B05E1"/>
    <w:rsid w:val="007D5D69"/>
    <w:rsid w:val="009320F9"/>
    <w:rsid w:val="00A1577E"/>
    <w:rsid w:val="00A96D58"/>
    <w:rsid w:val="00AE638A"/>
    <w:rsid w:val="00BE0001"/>
    <w:rsid w:val="00C81C50"/>
    <w:rsid w:val="00C95B94"/>
    <w:rsid w:val="00CA167E"/>
    <w:rsid w:val="00DC7106"/>
    <w:rsid w:val="00E347E3"/>
    <w:rsid w:val="00EA2321"/>
    <w:rsid w:val="00EB4106"/>
    <w:rsid w:val="00F425A3"/>
    <w:rsid w:val="01EE3AED"/>
    <w:rsid w:val="035069BB"/>
    <w:rsid w:val="06A94235"/>
    <w:rsid w:val="0AB64C56"/>
    <w:rsid w:val="0B5A7049"/>
    <w:rsid w:val="0CF83989"/>
    <w:rsid w:val="0E1002EC"/>
    <w:rsid w:val="0EE04D7C"/>
    <w:rsid w:val="11191AAA"/>
    <w:rsid w:val="1142348F"/>
    <w:rsid w:val="125C471A"/>
    <w:rsid w:val="12A561D3"/>
    <w:rsid w:val="12E00F8A"/>
    <w:rsid w:val="138F28CD"/>
    <w:rsid w:val="13A9398F"/>
    <w:rsid w:val="149D09F7"/>
    <w:rsid w:val="14F90D1E"/>
    <w:rsid w:val="150728B7"/>
    <w:rsid w:val="161812A0"/>
    <w:rsid w:val="16481480"/>
    <w:rsid w:val="16492046"/>
    <w:rsid w:val="174C0EB0"/>
    <w:rsid w:val="186E717E"/>
    <w:rsid w:val="19465120"/>
    <w:rsid w:val="195677C1"/>
    <w:rsid w:val="1A682A38"/>
    <w:rsid w:val="1BA22A82"/>
    <w:rsid w:val="1C6C71FA"/>
    <w:rsid w:val="1FEA7078"/>
    <w:rsid w:val="20856823"/>
    <w:rsid w:val="20A21132"/>
    <w:rsid w:val="212F2DA3"/>
    <w:rsid w:val="215D6C36"/>
    <w:rsid w:val="233A4637"/>
    <w:rsid w:val="239C52BE"/>
    <w:rsid w:val="24505CF7"/>
    <w:rsid w:val="247836DB"/>
    <w:rsid w:val="251A2B13"/>
    <w:rsid w:val="26863D20"/>
    <w:rsid w:val="288E3762"/>
    <w:rsid w:val="293F6F31"/>
    <w:rsid w:val="2A4409F1"/>
    <w:rsid w:val="2C2A28AA"/>
    <w:rsid w:val="2CF3193A"/>
    <w:rsid w:val="2D6E6D99"/>
    <w:rsid w:val="2DE25FC3"/>
    <w:rsid w:val="2FA51961"/>
    <w:rsid w:val="311434E1"/>
    <w:rsid w:val="315E75B6"/>
    <w:rsid w:val="318A02A8"/>
    <w:rsid w:val="345E1D0D"/>
    <w:rsid w:val="35E23C6C"/>
    <w:rsid w:val="37034C96"/>
    <w:rsid w:val="38CE730F"/>
    <w:rsid w:val="38D023C8"/>
    <w:rsid w:val="39832D11"/>
    <w:rsid w:val="3C291261"/>
    <w:rsid w:val="400C017D"/>
    <w:rsid w:val="409F5F96"/>
    <w:rsid w:val="41576B3D"/>
    <w:rsid w:val="41F401E1"/>
    <w:rsid w:val="42F563DD"/>
    <w:rsid w:val="43100707"/>
    <w:rsid w:val="43537423"/>
    <w:rsid w:val="43ED3904"/>
    <w:rsid w:val="44D574AE"/>
    <w:rsid w:val="45670373"/>
    <w:rsid w:val="46FA3F26"/>
    <w:rsid w:val="470E1780"/>
    <w:rsid w:val="47113912"/>
    <w:rsid w:val="474431F1"/>
    <w:rsid w:val="4AA43195"/>
    <w:rsid w:val="4B66403D"/>
    <w:rsid w:val="4D024C91"/>
    <w:rsid w:val="4D9D146B"/>
    <w:rsid w:val="4E966F75"/>
    <w:rsid w:val="4EEC3289"/>
    <w:rsid w:val="4FFE3107"/>
    <w:rsid w:val="50567137"/>
    <w:rsid w:val="51E84A9D"/>
    <w:rsid w:val="52BB623A"/>
    <w:rsid w:val="554A58C1"/>
    <w:rsid w:val="55766122"/>
    <w:rsid w:val="579140D1"/>
    <w:rsid w:val="582643D6"/>
    <w:rsid w:val="58504734"/>
    <w:rsid w:val="588E0972"/>
    <w:rsid w:val="5AA55B71"/>
    <w:rsid w:val="5B3951BF"/>
    <w:rsid w:val="5BB04AD9"/>
    <w:rsid w:val="5C583771"/>
    <w:rsid w:val="5CFF1E3E"/>
    <w:rsid w:val="5DE8778C"/>
    <w:rsid w:val="604B4265"/>
    <w:rsid w:val="607C5211"/>
    <w:rsid w:val="60CF2BFD"/>
    <w:rsid w:val="619C2685"/>
    <w:rsid w:val="621648DA"/>
    <w:rsid w:val="6389035D"/>
    <w:rsid w:val="64917820"/>
    <w:rsid w:val="64BD0615"/>
    <w:rsid w:val="6679627A"/>
    <w:rsid w:val="6692162D"/>
    <w:rsid w:val="683525B2"/>
    <w:rsid w:val="688208EF"/>
    <w:rsid w:val="6A994179"/>
    <w:rsid w:val="6D83496C"/>
    <w:rsid w:val="6DE1594B"/>
    <w:rsid w:val="6E026E65"/>
    <w:rsid w:val="70EF575C"/>
    <w:rsid w:val="716C734D"/>
    <w:rsid w:val="71940950"/>
    <w:rsid w:val="71A3298F"/>
    <w:rsid w:val="72A80BFD"/>
    <w:rsid w:val="73110C6E"/>
    <w:rsid w:val="746D2090"/>
    <w:rsid w:val="75D82E83"/>
    <w:rsid w:val="775970B6"/>
    <w:rsid w:val="787677BD"/>
    <w:rsid w:val="7AC44749"/>
    <w:rsid w:val="7B7E7612"/>
    <w:rsid w:val="7C8E404D"/>
    <w:rsid w:val="7DAF3C72"/>
    <w:rsid w:val="7DEB7B49"/>
    <w:rsid w:val="7EED7801"/>
    <w:rsid w:val="7F01339C"/>
    <w:rsid w:val="7F3776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4"/>
      <w:lang w:val="en-US" w:eastAsia="zh-CN" w:bidi="ar-SA"/>
    </w:rPr>
  </w:style>
  <w:style w:type="paragraph" w:styleId="5">
    <w:name w:val="heading 1"/>
    <w:basedOn w:val="1"/>
    <w:next w:val="1"/>
    <w:qFormat/>
    <w:uiPriority w:val="0"/>
    <w:pPr>
      <w:keepNext/>
      <w:outlineLvl w:val="0"/>
    </w:pPr>
    <w:rPr>
      <w:rFonts w:ascii="楷体_GB2312" w:hAnsi="Times New Roman" w:eastAsia="楷体_GB2312"/>
      <w:sz w:val="28"/>
      <w:szCs w:val="20"/>
    </w:rPr>
  </w:style>
  <w:style w:type="paragraph" w:styleId="6">
    <w:name w:val="heading 2"/>
    <w:basedOn w:val="1"/>
    <w:next w:val="1"/>
    <w:qFormat/>
    <w:uiPriority w:val="0"/>
    <w:pPr>
      <w:keepNext/>
      <w:keepLines/>
      <w:spacing w:before="260" w:after="260" w:line="416" w:lineRule="auto"/>
      <w:jc w:val="center"/>
      <w:outlineLvl w:val="1"/>
    </w:pPr>
    <w:rPr>
      <w:rFonts w:ascii="Arial" w:hAnsi="Arial" w:eastAsia="幼圆"/>
      <w:b/>
      <w:sz w:val="44"/>
      <w:szCs w:val="20"/>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rFonts w:cs="宋体"/>
      <w:szCs w:val="21"/>
    </w:rPr>
  </w:style>
  <w:style w:type="paragraph" w:styleId="3">
    <w:name w:val="Body Text Indent"/>
    <w:basedOn w:val="1"/>
    <w:next w:val="4"/>
    <w:link w:val="40"/>
    <w:qFormat/>
    <w:uiPriority w:val="0"/>
    <w:pPr>
      <w:ind w:firstLine="645"/>
    </w:pPr>
    <w:rPr>
      <w:rFonts w:ascii="楷体_GB2312" w:hAnsi="Times New Roman" w:eastAsia="楷体_GB2312"/>
      <w:sz w:val="32"/>
      <w:szCs w:val="20"/>
    </w:rPr>
  </w:style>
  <w:style w:type="paragraph" w:styleId="4">
    <w:name w:val="envelope return"/>
    <w:basedOn w:val="1"/>
    <w:unhideWhenUsed/>
    <w:qFormat/>
    <w:uiPriority w:val="99"/>
    <w:pPr>
      <w:snapToGrid w:val="0"/>
    </w:pPr>
    <w:rPr>
      <w:rFonts w:ascii="Arial" w:hAnsi="Arial"/>
    </w:rPr>
  </w:style>
  <w:style w:type="paragraph" w:styleId="7">
    <w:name w:val="Normal Indent"/>
    <w:basedOn w:val="1"/>
    <w:next w:val="1"/>
    <w:qFormat/>
    <w:uiPriority w:val="0"/>
    <w:pPr>
      <w:ind w:firstLine="420"/>
    </w:pPr>
    <w:rPr>
      <w:rFonts w:ascii="Times New Roman" w:hAnsi="Times New Roman"/>
      <w:szCs w:val="20"/>
    </w:rPr>
  </w:style>
  <w:style w:type="paragraph" w:styleId="8">
    <w:name w:val="Body Text"/>
    <w:basedOn w:val="1"/>
    <w:next w:val="9"/>
    <w:link w:val="41"/>
    <w:qFormat/>
    <w:uiPriority w:val="0"/>
    <w:rPr>
      <w:rFonts w:ascii="楷体_GB2312" w:hAnsi="Arial" w:eastAsia="楷体_GB2312"/>
      <w:sz w:val="28"/>
      <w:szCs w:val="20"/>
    </w:rPr>
  </w:style>
  <w:style w:type="paragraph" w:customStyle="1" w:styleId="9">
    <w:name w:val="Default"/>
    <w:next w:val="10"/>
    <w:qFormat/>
    <w:uiPriority w:val="0"/>
    <w:pPr>
      <w:widowControl w:val="0"/>
    </w:pPr>
    <w:rPr>
      <w:rFonts w:ascii="黑体" w:hAnsi="Times New Roman" w:eastAsia="黑体" w:cs="黑体"/>
      <w:color w:val="000000"/>
      <w:sz w:val="24"/>
      <w:szCs w:val="24"/>
      <w:lang w:val="en-US" w:eastAsia="zh-CN" w:bidi="ar-SA"/>
    </w:rPr>
  </w:style>
  <w:style w:type="paragraph" w:styleId="10">
    <w:name w:val="toc 2"/>
    <w:basedOn w:val="1"/>
    <w:next w:val="1"/>
    <w:qFormat/>
    <w:uiPriority w:val="39"/>
    <w:pPr>
      <w:ind w:left="420" w:firstLine="200"/>
      <w:jc w:val="left"/>
    </w:pPr>
    <w:rPr>
      <w:rFonts w:eastAsia="仿宋"/>
      <w:sz w:val="28"/>
    </w:rPr>
  </w:style>
  <w:style w:type="paragraph" w:styleId="11">
    <w:name w:val="Block Text"/>
    <w:basedOn w:val="1"/>
    <w:qFormat/>
    <w:uiPriority w:val="0"/>
    <w:rPr>
      <w:rFonts w:eastAsia="微软雅黑"/>
    </w:rPr>
  </w:style>
  <w:style w:type="paragraph" w:styleId="12">
    <w:name w:val="Plain Text"/>
    <w:basedOn w:val="1"/>
    <w:next w:val="7"/>
    <w:link w:val="43"/>
    <w:qFormat/>
    <w:uiPriority w:val="99"/>
    <w:rPr>
      <w:rFonts w:ascii="宋体" w:hAnsi="Courier New"/>
      <w:szCs w:val="20"/>
    </w:rPr>
  </w:style>
  <w:style w:type="paragraph" w:styleId="13">
    <w:name w:val="footer"/>
    <w:basedOn w:val="1"/>
    <w:link w:val="44"/>
    <w:qFormat/>
    <w:uiPriority w:val="0"/>
    <w:pPr>
      <w:tabs>
        <w:tab w:val="center" w:pos="4153"/>
        <w:tab w:val="right" w:pos="8306"/>
      </w:tabs>
      <w:jc w:val="left"/>
    </w:pPr>
    <w:rPr>
      <w:rFonts w:ascii="Times New Roman" w:hAnsi="Times New Roman"/>
      <w:sz w:val="18"/>
      <w:szCs w:val="20"/>
    </w:rPr>
  </w:style>
  <w:style w:type="paragraph" w:styleId="14">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pPr>
      <w:tabs>
        <w:tab w:val="right" w:leader="dot" w:pos="9440"/>
      </w:tabs>
      <w:spacing w:before="120" w:after="120" w:line="300" w:lineRule="exact"/>
      <w:jc w:val="left"/>
    </w:pPr>
    <w:rPr>
      <w:rFonts w:ascii="黑体" w:hAnsi="Times New Roman" w:eastAsia="黑体"/>
      <w:b/>
      <w:caps/>
      <w:sz w:val="18"/>
      <w:szCs w:val="28"/>
    </w:rPr>
  </w:style>
  <w:style w:type="paragraph" w:styleId="16">
    <w:name w:val="Body Text 2"/>
    <w:basedOn w:val="1"/>
    <w:qFormat/>
    <w:uiPriority w:val="0"/>
    <w:pPr>
      <w:spacing w:after="120" w:line="480" w:lineRule="auto"/>
    </w:pPr>
  </w:style>
  <w:style w:type="paragraph" w:styleId="17">
    <w:name w:val="Normal (Web)"/>
    <w:basedOn w:val="1"/>
    <w:qFormat/>
    <w:uiPriority w:val="0"/>
    <w:rPr>
      <w:sz w:val="24"/>
    </w:rPr>
  </w:style>
  <w:style w:type="paragraph" w:styleId="18">
    <w:name w:val="Title"/>
    <w:basedOn w:val="1"/>
    <w:next w:val="1"/>
    <w:qFormat/>
    <w:uiPriority w:val="0"/>
    <w:pPr>
      <w:spacing w:before="240" w:after="60"/>
      <w:jc w:val="center"/>
      <w:outlineLvl w:val="0"/>
    </w:pPr>
    <w:rPr>
      <w:rFonts w:ascii="等线 Light" w:hAnsi="等线 Light"/>
      <w:b/>
      <w:bCs/>
      <w:sz w:val="32"/>
      <w:szCs w:val="32"/>
    </w:rPr>
  </w:style>
  <w:style w:type="paragraph" w:styleId="19">
    <w:name w:val="Body Text First Indent"/>
    <w:basedOn w:val="1"/>
    <w:qFormat/>
    <w:uiPriority w:val="0"/>
    <w:pPr>
      <w:spacing w:line="360" w:lineRule="auto"/>
      <w:ind w:firstLine="200" w:firstLineChars="200"/>
    </w:pPr>
    <w:rPr>
      <w:rFonts w:ascii="仿宋_GB2312" w:eastAsia="仿宋_GB2312"/>
      <w:sz w:val="30"/>
      <w:szCs w:val="30"/>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page number"/>
    <w:qFormat/>
    <w:uiPriority w:val="0"/>
    <w:rPr>
      <w:rFonts w:ascii="Times New Roman" w:hAnsi="Times New Roman" w:eastAsia="宋体" w:cs="Times New Roman"/>
    </w:rPr>
  </w:style>
  <w:style w:type="character" w:styleId="24">
    <w:name w:val="Hyperlink"/>
    <w:qFormat/>
    <w:uiPriority w:val="99"/>
    <w:rPr>
      <w:rFonts w:ascii="Times New Roman" w:hAnsi="Times New Roman" w:eastAsia="宋体" w:cs="Times New Roman"/>
      <w:color w:val="0000FF"/>
      <w:u w:val="single"/>
    </w:rPr>
  </w:style>
  <w:style w:type="paragraph" w:customStyle="1" w:styleId="25">
    <w:name w:val="Body text|1"/>
    <w:basedOn w:val="1"/>
    <w:qFormat/>
    <w:uiPriority w:val="0"/>
    <w:pPr>
      <w:spacing w:line="391" w:lineRule="auto"/>
      <w:ind w:firstLine="400"/>
    </w:pPr>
    <w:rPr>
      <w:rFonts w:ascii="宋体" w:hAnsi="宋体" w:cs="宋体"/>
      <w:sz w:val="26"/>
      <w:szCs w:val="26"/>
      <w:lang w:val="zh-TW" w:eastAsia="zh-TW" w:bidi="zh-TW"/>
    </w:rPr>
  </w:style>
  <w:style w:type="character" w:customStyle="1" w:styleId="26">
    <w:name w:val="页眉 字符"/>
    <w:basedOn w:val="22"/>
    <w:link w:val="14"/>
    <w:qFormat/>
    <w:uiPriority w:val="0"/>
    <w:rPr>
      <w:rFonts w:ascii="Calibri" w:hAnsi="Calibri" w:eastAsia="宋体" w:cs="Times New Roman"/>
      <w:sz w:val="18"/>
      <w:szCs w:val="18"/>
    </w:rPr>
  </w:style>
  <w:style w:type="paragraph" w:customStyle="1" w:styleId="27">
    <w:name w:val="普通正文"/>
    <w:basedOn w:val="1"/>
    <w:qFormat/>
    <w:uiPriority w:val="0"/>
    <w:pPr>
      <w:adjustRightInd w:val="0"/>
      <w:spacing w:line="360" w:lineRule="auto"/>
      <w:ind w:firstLine="482" w:firstLineChars="200"/>
      <w:jc w:val="left"/>
      <w:textAlignment w:val="baseline"/>
    </w:pPr>
    <w:rPr>
      <w:rFonts w:ascii="Arial" w:hAnsi="Arial"/>
      <w:sz w:val="24"/>
    </w:rPr>
  </w:style>
  <w:style w:type="paragraph" w:customStyle="1" w:styleId="28">
    <w:name w:val="TOC 标题1"/>
    <w:basedOn w:val="5"/>
    <w:next w:val="1"/>
    <w:qFormat/>
    <w:uiPriority w:val="39"/>
    <w:pPr>
      <w:keepLines/>
      <w:widowControl/>
      <w:spacing w:before="240" w:line="259" w:lineRule="auto"/>
      <w:jc w:val="left"/>
      <w:outlineLvl w:val="9"/>
    </w:pPr>
    <w:rPr>
      <w:rFonts w:ascii="等线 Light" w:hAnsi="等线 Light" w:eastAsia="等线 Light"/>
      <w:color w:val="2F5496"/>
      <w:sz w:val="32"/>
      <w:szCs w:val="32"/>
    </w:rPr>
  </w:style>
  <w:style w:type="paragraph" w:styleId="29">
    <w:name w:val="List Paragraph"/>
    <w:basedOn w:val="1"/>
    <w:qFormat/>
    <w:uiPriority w:val="34"/>
    <w:pPr>
      <w:ind w:firstLine="420" w:firstLineChars="200"/>
    </w:pPr>
  </w:style>
  <w:style w:type="paragraph" w:customStyle="1" w:styleId="30">
    <w:name w:val="目录 31"/>
    <w:basedOn w:val="1"/>
    <w:next w:val="1"/>
    <w:qFormat/>
    <w:uiPriority w:val="0"/>
    <w:pPr>
      <w:ind w:left="840"/>
    </w:pPr>
    <w:rPr>
      <w:lang w:eastAsia="en-US"/>
    </w:rPr>
  </w:style>
  <w:style w:type="paragraph" w:customStyle="1" w:styleId="31">
    <w:name w:val="标题 31"/>
    <w:basedOn w:val="1"/>
    <w:next w:val="1"/>
    <w:qFormat/>
    <w:uiPriority w:val="0"/>
    <w:pPr>
      <w:keepNext/>
      <w:keepLines/>
      <w:spacing w:before="260" w:after="260" w:line="413" w:lineRule="auto"/>
      <w:outlineLvl w:val="2"/>
    </w:pPr>
    <w:rPr>
      <w:b/>
      <w:sz w:val="32"/>
      <w:szCs w:val="20"/>
    </w:rPr>
  </w:style>
  <w:style w:type="paragraph" w:customStyle="1" w:styleId="32">
    <w:name w:val="sh4"/>
    <w:basedOn w:val="1"/>
    <w:qFormat/>
    <w:uiPriority w:val="0"/>
    <w:pPr>
      <w:spacing w:line="460" w:lineRule="exact"/>
      <w:ind w:firstLine="420"/>
    </w:pPr>
    <w:rPr>
      <w:rFonts w:ascii="宋体" w:hAnsi="宋体"/>
      <w:szCs w:val="21"/>
      <w:lang w:eastAsia="en-US"/>
    </w:rPr>
  </w:style>
  <w:style w:type="paragraph" w:customStyle="1" w:styleId="33">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34">
    <w:name w:val="Char"/>
    <w:basedOn w:val="1"/>
    <w:qFormat/>
    <w:uiPriority w:val="0"/>
    <w:pPr>
      <w:tabs>
        <w:tab w:val="left" w:pos="360"/>
      </w:tabs>
    </w:pPr>
    <w:rPr>
      <w:rFonts w:ascii="Times New Roman" w:hAnsi="Times New Roman"/>
      <w:sz w:val="24"/>
    </w:rPr>
  </w:style>
  <w:style w:type="paragraph" w:customStyle="1" w:styleId="35">
    <w:name w:val="二级目录"/>
    <w:next w:val="1"/>
    <w:qFormat/>
    <w:uiPriority w:val="99"/>
    <w:pPr>
      <w:tabs>
        <w:tab w:val="left" w:pos="720"/>
      </w:tabs>
      <w:ind w:left="567" w:hanging="567"/>
    </w:pPr>
    <w:rPr>
      <w:rFonts w:ascii="Times New Roman" w:hAnsi="Times New Roman" w:eastAsia="宋体" w:cs="Times New Roman"/>
      <w:b/>
      <w:kern w:val="2"/>
      <w:sz w:val="30"/>
      <w:szCs w:val="28"/>
      <w:lang w:val="en-US" w:eastAsia="zh-CN" w:bidi="ar-SA"/>
    </w:rPr>
  </w:style>
  <w:style w:type="paragraph" w:customStyle="1" w:styleId="36">
    <w:name w:val="简单回函地址"/>
    <w:basedOn w:val="1"/>
    <w:qFormat/>
    <w:uiPriority w:val="0"/>
    <w:rPr>
      <w:rFonts w:ascii="Times New Roman" w:hAnsi="Times New Roman" w:cs="宋体"/>
      <w:szCs w:val="21"/>
    </w:rPr>
  </w:style>
  <w:style w:type="paragraph" w:customStyle="1" w:styleId="37">
    <w:name w:val="索引 41"/>
    <w:basedOn w:val="1"/>
    <w:next w:val="1"/>
    <w:qFormat/>
    <w:uiPriority w:val="0"/>
    <w:pPr>
      <w:ind w:left="1260"/>
    </w:pPr>
  </w:style>
  <w:style w:type="paragraph" w:customStyle="1" w:styleId="38">
    <w:name w:val="普通(网站)1"/>
    <w:basedOn w:val="1"/>
    <w:qFormat/>
    <w:uiPriority w:val="0"/>
    <w:pPr>
      <w:spacing w:before="100" w:beforeAutospacing="1" w:after="100" w:afterAutospacing="1"/>
      <w:jc w:val="left"/>
    </w:pPr>
    <w:rPr>
      <w:sz w:val="24"/>
      <w:lang w:eastAsia="en-US"/>
    </w:rPr>
  </w:style>
  <w:style w:type="paragraph" w:customStyle="1" w:styleId="39">
    <w:name w:val="页脚11"/>
    <w:basedOn w:val="1"/>
    <w:qFormat/>
    <w:uiPriority w:val="0"/>
    <w:pPr>
      <w:tabs>
        <w:tab w:val="center" w:pos="4153"/>
        <w:tab w:val="right" w:pos="8306"/>
      </w:tabs>
      <w:jc w:val="left"/>
    </w:pPr>
    <w:rPr>
      <w:sz w:val="18"/>
      <w:szCs w:val="18"/>
      <w:lang w:eastAsia="en-US"/>
    </w:rPr>
  </w:style>
  <w:style w:type="character" w:customStyle="1" w:styleId="40">
    <w:name w:val="正文文本缩进 字符"/>
    <w:basedOn w:val="22"/>
    <w:link w:val="3"/>
    <w:qFormat/>
    <w:uiPriority w:val="0"/>
    <w:rPr>
      <w:rFonts w:hint="eastAsia" w:ascii="楷体_GB2312" w:hAnsi="Times New Roman" w:eastAsia="楷体_GB2312" w:cs="楷体_GB2312"/>
      <w:kern w:val="2"/>
      <w:sz w:val="32"/>
    </w:rPr>
  </w:style>
  <w:style w:type="character" w:customStyle="1" w:styleId="41">
    <w:name w:val="正文文本 字符"/>
    <w:basedOn w:val="22"/>
    <w:link w:val="8"/>
    <w:qFormat/>
    <w:uiPriority w:val="0"/>
    <w:rPr>
      <w:kern w:val="2"/>
      <w:sz w:val="21"/>
      <w:szCs w:val="24"/>
    </w:rPr>
  </w:style>
  <w:style w:type="character" w:customStyle="1" w:styleId="42">
    <w:name w:val="纯文本 字符"/>
    <w:basedOn w:val="22"/>
    <w:qFormat/>
    <w:uiPriority w:val="0"/>
    <w:rPr>
      <w:rFonts w:ascii="等线" w:hAnsi="Courier New" w:eastAsia="等线" w:cs="Courier New"/>
      <w:kern w:val="2"/>
      <w:sz w:val="21"/>
      <w:szCs w:val="24"/>
    </w:rPr>
  </w:style>
  <w:style w:type="character" w:customStyle="1" w:styleId="43">
    <w:name w:val="纯文本 字符1"/>
    <w:basedOn w:val="22"/>
    <w:link w:val="12"/>
    <w:qFormat/>
    <w:uiPriority w:val="0"/>
    <w:rPr>
      <w:rFonts w:hint="eastAsia" w:ascii="宋体" w:hAnsi="Courier New" w:eastAsia="宋体" w:cs="宋体"/>
      <w:kern w:val="2"/>
      <w:sz w:val="21"/>
    </w:rPr>
  </w:style>
  <w:style w:type="character" w:customStyle="1" w:styleId="44">
    <w:name w:val="页脚 字符1"/>
    <w:basedOn w:val="22"/>
    <w:link w:val="13"/>
    <w:qFormat/>
    <w:uiPriority w:val="0"/>
    <w:rPr>
      <w:kern w:val="2"/>
      <w:sz w:val="18"/>
    </w:rPr>
  </w:style>
  <w:style w:type="character" w:customStyle="1" w:styleId="45">
    <w:name w:val="页脚 字符"/>
    <w:basedOn w:val="22"/>
    <w:qFormat/>
    <w:uiPriority w:val="0"/>
    <w:rPr>
      <w:rFonts w:hint="default" w:ascii="Calibri" w:hAnsi="Calibri" w:cs="Calibri"/>
      <w:kern w:val="2"/>
      <w:sz w:val="18"/>
      <w:szCs w:val="18"/>
    </w:rPr>
  </w:style>
  <w:style w:type="paragraph" w:customStyle="1" w:styleId="46">
    <w:name w:val="正文文本首行缩进1"/>
    <w:qFormat/>
    <w:uiPriority w:val="0"/>
    <w:pPr>
      <w:widowControl w:val="0"/>
      <w:spacing w:after="120"/>
      <w:ind w:firstLine="420"/>
      <w:jc w:val="both"/>
    </w:pPr>
    <w:rPr>
      <w:rFonts w:ascii="Times New Roman" w:hAnsi="Times New Roman" w:eastAsia="宋体" w:cs="Times New Roman"/>
      <w:sz w:val="21"/>
      <w:szCs w:val="24"/>
      <w:lang w:val="en-US" w:eastAsia="zh-CN" w:bidi="ar-SA"/>
    </w:rPr>
  </w:style>
  <w:style w:type="paragraph" w:customStyle="1" w:styleId="47">
    <w:name w:val="正文缩进11"/>
    <w:basedOn w:val="1"/>
    <w:next w:val="1"/>
    <w:qFormat/>
    <w:uiPriority w:val="0"/>
    <w:pPr>
      <w:ind w:firstLine="420"/>
      <w:jc w:val="left"/>
    </w:pPr>
    <w:rPr>
      <w:rFonts w:eastAsia="楷体_GB2312"/>
      <w:sz w:val="24"/>
      <w:lang w:eastAsia="en-US"/>
    </w:rPr>
  </w:style>
  <w:style w:type="paragraph" w:customStyle="1" w:styleId="48">
    <w:name w:val="msonospacing"/>
    <w:basedOn w:val="1"/>
    <w:qFormat/>
    <w:uiPriority w:val="0"/>
    <w:rPr>
      <w:kern w:val="2"/>
      <w:szCs w:val="22"/>
    </w:rPr>
  </w:style>
  <w:style w:type="paragraph" w:customStyle="1" w:styleId="49">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c3b313cd-9418-46aa-a751-b24317d19330</errorID>
      <errorWord>包括活动</errorWord>
      <group>L1_Grammar</group>
      <groupName>语法问题</groupName>
      <ability>L2_Grammar</ability>
      <abilityName>语法错误</abilityName>
      <candidateList>
        <item>活动</item>
      </candidateList>
      <explain/>
      <paraID>6D058DD6</paraID>
      <start>61</start>
      <end>63</end>
      <status>modified</status>
      <modifiedWord>活动</modifiedWord>
      <trackRevisions>false</trackRevisions>
    </reviewItem>
    <reviewItem>
      <errorID>a4081821-8414-4baf-8998-cd0ee4a5b0b7</errorID>
      <errorWord>（</errorWord>
      <group>L1_Punc</group>
      <groupName>标点问题</groupName>
      <ability>L2_Punc_CN</ability>
      <abilityName>标点符号问题</abilityName>
      <candidateList/>
      <explain>同一形式括号套用。</explain>
      <paraID>5F78096B</paraID>
      <start>35</start>
      <end>36</end>
      <status>ignored</status>
      <modifiedWord/>
      <trackRevisions>false</trackRevisions>
    </reviewItem>
    <reviewItem>
      <errorID>0a59ab39-0050-42b2-bcfb-be652ab7117a</errorID>
      <errorWord>）</errorWord>
      <group>L1_Punc</group>
      <groupName>标点问题</groupName>
      <ability>L2_Punc_CN</ability>
      <abilityName>标点符号问题</abilityName>
      <candidateList/>
      <explain>同一形式括号套用。</explain>
      <paraID>5F78096B</paraID>
      <start>39</start>
      <end>40</end>
      <status>ignored</status>
      <modifiedWord/>
      <trackRevisions>false</trackRevisions>
    </reviewItem>
    <reviewItem>
      <errorID>a7436e34-b724-40e7-b6c2-5d10d47cb61f</errorID>
      <errorWord>投标</errorWord>
      <group>L1_Word</group>
      <groupName>字词问题</groupName>
      <ability>L2_Typo</ability>
      <abilityName>字词错误</abilityName>
      <candidateList>
        <item>响应</item>
      </candidateList>
      <explain/>
      <paraID>707F9C12</paraID>
      <start>79</start>
      <end>81</end>
      <status>modified</status>
      <modifiedWord>响应</modifiedWord>
      <trackRevisions>false</trackRevisions>
    </reviewItem>
    <reviewItem>
      <errorID>61ab392e-84d5-419b-910c-54c43db272b7</errorID>
      <errorWord>或者</errorWord>
      <group>L1_Grammar</group>
      <groupName>语法问题</groupName>
      <ability>L2_Grammar</ability>
      <abilityName>语法错误</abilityName>
      <candidateList>
        <item>或者修改内容。澄清或者</item>
      </candidateList>
      <explain/>
      <paraID>1B4EB89F</paraID>
      <start>48</start>
      <end>50</end>
      <status>ignored</status>
      <modifiedWord/>
      <trackRevisions>false</trackRevisions>
    </reviewItem>
    <reviewItem>
      <errorID>c9e4a7c4-c234-4094-b0ba-7182b2e55e48</errorID>
      <errorWord>“.</errorWord>
      <group>L1_Punc</group>
      <groupName>标点问题</groupName>
      <ability>L2_Punc_CN</ability>
      <abilityName>标点符号问题</abilityName>
      <candidateList>
        <item>“</item>
      </candidateList>
      <explain/>
      <paraID>1B4EB89F</paraID>
      <start>191</start>
      <end>193</end>
      <status>ignored</status>
      <modifiedWord/>
      <trackRevisions>false</trackRevisions>
    </reviewItem>
    <reviewItem>
      <errorID>030010f2-3963-4e43-9e35-a254f5d1e3ba</errorID>
      <errorWord>（</errorWord>
      <group>L1_Punc</group>
      <groupName>标点问题</groupName>
      <ability>L2_Punc_CN</ability>
      <abilityName>标点符号问题</abilityName>
      <candidateList/>
      <explain>同一形式括号套用。</explain>
      <paraID>22BD597D</paraID>
      <start>43</start>
      <end>44</end>
      <status>ignored</status>
      <modifiedWord/>
      <trackRevisions>false</trackRevisions>
    </reviewItem>
    <reviewItem>
      <errorID>88da91da-2752-4d8f-a443-9940521cc700</errorID>
      <errorWord>）</errorWord>
      <group>L1_Punc</group>
      <groupName>标点问题</groupName>
      <ability>L2_Punc_CN</ability>
      <abilityName>标点符号问题</abilityName>
      <candidateList/>
      <explain>同一形式括号套用。</explain>
      <paraID>22BD597D</paraID>
      <start>46</start>
      <end>47</end>
      <status>ignored</status>
      <modifiedWord/>
      <trackRevisions>false</trackRevisions>
    </reviewItem>
    <reviewItem>
      <errorID>42981110-ff76-40cf-b2af-7980cbe860a2</errorID>
      <errorWord>）</errorWord>
      <group>L1_Punc</group>
      <groupName>标点问题</groupName>
      <ability>L2_Punc_CN</ability>
      <abilityName>标点符号问题</abilityName>
      <candidateList>
        <item>）：</item>
      </candidateList>
      <explain/>
      <paraID>7B1773E5</paraID>
      <start>31</start>
      <end>33</end>
      <status>modified</status>
      <modifiedWord>）：</modifiedWord>
      <trackRevisions>false</trackRevisions>
    </reviewItem>
    <reviewItem>
      <errorID>886bd151-be14-4276-990d-06060cccdaf5</errorID>
      <errorWord>&lt;</errorWord>
      <group>L1_Format</group>
      <groupName>格式问题</groupName>
      <ability>L2_HalfPunc_CN</ability>
      <abilityName>全半角问题</abilityName>
      <candidateList>
        <item>〈</item>
      </candidateList>
      <explain>文本全半角错误。</explain>
      <paraID>66C1BB2E</paraID>
      <start>48</start>
      <end>49</end>
      <status>modified</status>
      <modifiedWord>〈</modifiedWord>
      <trackRevisions>false</trackRevisions>
    </reviewItem>
    <reviewItem>
      <errorID>e66ea862-343f-4224-b23f-6ea184c99be5</errorID>
      <errorWord>。</errorWord>
      <group>L1_Word</group>
      <groupName>字词问题</groupName>
      <ability>L2_Typo</ability>
      <abilityName>字词错误</abilityName>
      <candidateList>
        <item>时。</item>
      </candidateList>
      <explain/>
      <paraID>21A38308</paraID>
      <start>45</start>
      <end>46</end>
      <status>ignored</status>
      <modifiedWord/>
      <trackRevisions>false</trackRevisions>
    </reviewItem>
    <reviewItem>
      <errorID>067edd26-0d86-4478-a18a-754c5369fbd1</errorID>
      <errorWord>。</errorWord>
      <group>L1_Punc</group>
      <groupName>标点问题</groupName>
      <ability>L2_Punc_CN</ability>
      <abilityName>标点符号问题</abilityName>
      <candidateList>
        <item>，</item>
      </candidateList>
      <explain/>
      <paraID>1846D915</paraID>
      <start>43</start>
      <end>44</end>
      <status>modified</status>
      <modifiedWord>，</modifiedWord>
      <trackRevisions>false</trackRevisions>
    </reviewItem>
    <reviewItem>
      <errorID>d90d943c-1d6f-4d99-acbd-e4d7a2c9d506</errorID>
      <errorWord>内容</errorWord>
      <group>L1_Word</group>
      <groupName>字词问题</groupName>
      <ability>L2_Typo</ability>
      <abilityName>字词错误</abilityName>
      <candidateList>
        <item>原则</item>
      </candidateList>
      <explain/>
      <paraID>648DAD7D</paraID>
      <start>34</start>
      <end>36</end>
      <status>modified</status>
      <modifiedWord>原则</modifiedWord>
      <trackRevisions>false</trackRevisions>
    </reviewItem>
    <reviewItem>
      <errorID>f37c1811-6a63-4eb5-992f-7319985e7780</errorID>
      <errorWord>，</errorWord>
      <group>L1_Punc</group>
      <groupName>标点问题</groupName>
      <ability>L2_Punc_CN</ability>
      <abilityName>标点符号问题</abilityName>
      <candidateList>
        <item>。</item>
      </candidateList>
      <explain/>
      <paraID>45E86FA4</paraID>
      <start>31</start>
      <end>32</end>
      <status>unmodified</status>
      <modifiedWord/>
      <trackRevisions>false</trackRevisions>
    </reviewItem>
    <reviewItem>
      <errorID>2f3b7a22-4269-4271-8808-fe15e8f82ddb</errorID>
      <errorWord>其</errorWord>
      <group>L1_Grammar</group>
      <groupName>语法问题</groupName>
      <ability>L2_Grammar</ability>
      <abilityName>语法错误</abilityName>
      <candidateList>
        <item>这些供应商</item>
      </candidateList>
      <explain/>
      <paraID>26904404</paraID>
      <start>97</start>
      <end>98</end>
      <status>unmodified</status>
      <modifiedWord/>
      <trackRevisions>false</trackRevisions>
    </reviewItem>
    <reviewItem>
      <errorID>83415442-082b-47d6-880a-86803f3cfe5a</errorID>
      <errorWord>、</errorWord>
      <group>L1_Punc</group>
      <groupName>标点问题</groupName>
      <ability>L2_Punc_CN</ability>
      <abilityName>标点符号问题</abilityName>
      <candidateList>
        <item>，</item>
      </candidateList>
      <explain/>
      <paraID>33BD2E64</paraID>
      <start>54</start>
      <end>55</end>
      <status>modified</status>
      <modifiedWord>，</modifiedWord>
      <trackRevisions>false</trackRevisions>
    </reviewItem>
    <reviewItem>
      <errorID>928c8502-cf16-471c-96bc-91365c648b05</errorID>
      <errorWord>请</errorWord>
      <group>L1_Word</group>
      <groupName>字词问题</groupName>
      <ability>L2_Typo</ability>
      <abilityName>字词错误</abilityName>
      <candidateList>
        <item>应</item>
      </candidateList>
      <explain/>
      <paraID>7BA97B61</paraID>
      <start>34</start>
      <end>35</end>
      <status>modified</status>
      <modifiedWord>应</modifiedWord>
      <trackRevisions>false</trackRevisions>
    </reviewItem>
    <reviewItem>
      <errorID>52756209-d2d5-436e-b736-6dfdb1d6e922</errorID>
      <errorWord>，</errorWord>
      <group>L1_Punc</group>
      <groupName>标点问题</groupName>
      <ability>L2_Punc_CN</ability>
      <abilityName>标点符号问题</abilityName>
      <candidateList>
        <item>。</item>
      </candidateList>
      <explain/>
      <paraID>7BA97B61</paraID>
      <start>51</start>
      <end>52</end>
      <status>modified</status>
      <modifiedWord>。</modifiedWord>
      <trackRevisions>false</trackRevisions>
    </reviewItem>
    <reviewItem>
      <errorID>b92801ee-4af3-4081-a3f7-4cb8524b5cf8</errorID>
      <errorWord>原则上</errorWord>
      <group>L1_Punc</group>
      <groupName>标点问题</groupName>
      <ability>L2_Punc_CN</ability>
      <abilityName>标点符号问题</abilityName>
      <candidateList>
        <item>，原则上</item>
      </candidateList>
      <explain/>
      <paraID>7BA97B61</paraID>
      <start>61</start>
      <end>65</end>
      <status>modified</status>
      <modifiedWord>，原则上</modifiedWord>
      <trackRevisions>false</trackRevisions>
    </reviewItem>
    <reviewItem>
      <errorID>b7f14d09-3ba9-40ca-9173-0f8a1d1756e3</errorID>
      <errorWord>，</errorWord>
      <group>L1_Grammar</group>
      <groupName>语法问题</groupName>
      <ability>L2_Grammar</ability>
      <abilityName>语法错误</abilityName>
      <candidateList>
        <item>，谋取不正当利益的，</item>
      </candidateList>
      <explain/>
      <paraID>2FEF3C43</paraID>
      <start>92</start>
      <end>102</end>
      <status>modified</status>
      <modifiedWord>，谋取不正当利益的，</modifiedWord>
      <trackRevisions>false</trackRevisions>
    </reviewItem>
    <reviewItem>
      <errorID>dc3a392f-060f-4be2-9f2d-8d7e25e7d9af</errorID>
      <errorWord>从</errorWord>
      <group>L1_Punc</group>
      <groupName>标点问题</groupName>
      <ability>L2_Punc_CN</ability>
      <abilityName>标点符号问题</abilityName>
      <candidateList>
        <item>，从</item>
      </candidateList>
      <explain/>
      <paraID> 2CFA17A</paraID>
      <start>41</start>
      <end>43</end>
      <status>modified</status>
      <modifiedWord>，从</modifiedWord>
      <trackRevisions>false</trackRevisions>
    </reviewItem>
    <reviewItem>
      <errorID>3e6b3475-3bd0-410c-817d-1f480f404029</errorID>
      <errorWord>的实际完成</errorWord>
      <group>L1_Word</group>
      <groupName>字词问题</groupName>
      <ability>L2_Typo</ability>
      <abilityName>字词错误</abilityName>
      <candidateList>
        <item>实际完成的</item>
      </candidateList>
      <explain/>
      <paraID>58896A45</paraID>
      <start>40</start>
      <end>45</end>
      <status>modified</status>
      <modifiedWord>实际完成的</modifiedWord>
      <trackRevisions>false</trackRevisions>
    </reviewItem>
    <reviewItem>
      <errorID>5097becc-8aa1-420e-9d19-575d24368f7b</errorID>
      <errorWord>会议</errorWord>
      <group>L1_Punc</group>
      <groupName>标点问题</groupName>
      <ability>L2_Punc_CN</ability>
      <abilityName>标点符号问题</abilityName>
      <candidateList>
        <item>，会议</item>
      </candidateList>
      <explain/>
      <paraID> 4AA0807</paraID>
      <start>11</start>
      <end>14</end>
      <status>modified</status>
      <modifiedWord>，会议</modifiedWord>
      <trackRevisions>false</trackRevisions>
    </reviewItem>
    <reviewItem>
      <errorID>f9e12466-e3f8-41f5-a107-56f5210ffa2a</errorID>
      <errorWord>；</errorWord>
      <group>L1_Punc</group>
      <groupName>标点问题</groupName>
      <ability>L2_Punc_CN</ability>
      <abilityName>标点符号问题</abilityName>
      <candidateList>
        <item>。</item>
      </candidateList>
      <explain/>
      <paraID> 4AA0807</paraID>
      <start>48</start>
      <end>49</end>
      <status>unmodified</status>
      <modifiedWord/>
      <trackRevisions>false</trackRevisions>
    </reviewItem>
    <reviewItem>
      <errorID>7b0581cf-cb32-40dc-b2ff-326360824598</errorID>
      <errorWord>省委省政府</errorWord>
      <group>L1_Political</group>
      <groupName>政治性问题</groupName>
      <ability>L2_Keyword</ability>
      <abilityName>固定表述</abilityName>
      <candidateList>
        <item>省委、省政府</item>
      </candidateList>
      <explain>注意检查当前固定表述标点是否使用规范。</explain>
      <paraID> 53C3D5B</paraID>
      <start>21</start>
      <end>26</end>
      <status>unmodified</status>
      <modifiedWord/>
      <trackRevisions>false</trackRevisions>
    </reviewItem>
    <reviewItem>
      <errorID>05ef8478-d513-448c-a1d9-5a38f8877ca8</errorID>
      <errorWord>期间</errorWord>
      <group>L1_Word</group>
      <groupName>字词问题</groupName>
      <ability>L2_Typo</ability>
      <abilityName>字词错误</abilityName>
      <candidateList>
        <item>其间</item>
      </candidateList>
      <explain/>
      <paraID>1174C1FF</paraID>
      <start>153</start>
      <end>155</end>
      <status>ignored</status>
      <modifiedWord/>
      <trackRevisions>false</trackRevisions>
    </reviewItem>
    <reviewItem>
      <errorID>cae7bf84-45aa-4ceb-be7c-7308429c9069</errorID>
      <errorWord> </errorWord>
      <group>L1_Punc</group>
      <groupName>标点问题</groupName>
      <ability>L2_Punc_CN</ability>
      <abilityName>标点符号问题</abilityName>
      <candidateList>
        <item>：</item>
      </candidateList>
      <explain/>
      <paraID>1174C1FF</paraID>
      <start>186</start>
      <end>187</end>
      <status>unmodified</status>
      <modifiedWord/>
      <trackRevisions>false</trackRevisions>
    </reviewItem>
    <reviewItem>
      <errorID>8d134fad-443c-4ca1-a032-2fa27b26e226</errorID>
      <errorWord>（</errorWord>
      <group>L1_Punc</group>
      <groupName>标点问题</groupName>
      <ability>L2_Punc_CN</ability>
      <abilityName>标点符号问题</abilityName>
      <candidateList/>
      <explain>同一形式括号套用。</explain>
      <paraID>1174C1FF</paraID>
      <start>199</start>
      <end>200</end>
      <status>unmodified</status>
      <modifiedWord/>
      <trackRevisions>false</trackRevisions>
    </reviewItem>
    <reviewItem>
      <errorID>e2cc788f-dc66-4d5a-8610-a9b029852e1e</errorID>
      <errorWord>）</errorWord>
      <group>L1_Punc</group>
      <groupName>标点问题</groupName>
      <ability>L2_Punc_CN</ability>
      <abilityName>标点符号问题</abilityName>
      <candidateList/>
      <explain>同一形式括号套用。</explain>
      <paraID>1174C1FF</paraID>
      <start>201</start>
      <end>202</end>
      <status>unmodified</status>
      <modifiedWord/>
      <trackRevisions>false</trackRevisions>
    </reviewItem>
    <reviewItem>
      <errorID>ce055947-ce3a-4d61-8f13-c5440b9eb823</errorID>
      <errorWord>、</errorWord>
      <group>L1_Punc</group>
      <groupName>标点问题</groupName>
      <ability>L2_Punc_CN</ability>
      <abilityName>标点符号问题</abilityName>
      <candidateList>
        <item>；</item>
      </candidateList>
      <explain/>
      <paraID>1174C1FF</paraID>
      <start>202</start>
      <end>203</end>
      <status>unmodified</status>
      <modifiedWord/>
      <trackRevisions>false</trackRevisions>
    </reviewItem>
    <reviewItem>
      <errorID>4dfa67c3-86f3-453f-9615-3c535a487a8e</errorID>
      <errorWord> </errorWord>
      <group>L1_Punc</group>
      <groupName>标点问题</groupName>
      <ability>L2_Punc_CN</ability>
      <abilityName>标点符号问题</abilityName>
      <candidateList>
        <item>：</item>
      </candidateList>
      <explain/>
      <paraID>1174C1FF</paraID>
      <start>208</start>
      <end>209</end>
      <status>unmodified</status>
      <modifiedWord/>
      <trackRevisions>false</trackRevisions>
    </reviewItem>
    <reviewItem>
      <errorID>c3a2b0ec-f3f2-41d0-b294-b2970afec7d1</errorID>
      <errorWord>（</errorWord>
      <group>L1_Punc</group>
      <groupName>标点问题</groupName>
      <ability>L2_Punc_CN</ability>
      <abilityName>标点符号问题</abilityName>
      <candidateList/>
      <explain>同一形式括号套用。</explain>
      <paraID>1174C1FF</paraID>
      <start>221</start>
      <end>222</end>
      <status>unmodified</status>
      <modifiedWord/>
      <trackRevisions>false</trackRevisions>
    </reviewItem>
    <reviewItem>
      <errorID>9ba02a24-4a14-4f11-86c9-be0afcde53ea</errorID>
      <errorWord>）</errorWord>
      <group>L1_Punc</group>
      <groupName>标点问题</groupName>
      <ability>L2_Punc_CN</ability>
      <abilityName>标点符号问题</abilityName>
      <candidateList/>
      <explain>同一形式括号套用。</explain>
      <paraID>1174C1FF</paraID>
      <start>223</start>
      <end>224</end>
      <status>unmodified</status>
      <modifiedWord/>
      <trackRevisions>false</trackRevisions>
    </reviewItem>
    <reviewItem>
      <errorID>442d21db-caf6-422d-8c88-262d8739a0ab</errorID>
      <errorWord>、</errorWord>
      <group>L1_Punc</group>
      <groupName>标点问题</groupName>
      <ability>L2_Punc_CN</ability>
      <abilityName>标点符号问题</abilityName>
      <candidateList>
        <item>；</item>
      </candidateList>
      <explain/>
      <paraID>1174C1FF</paraID>
      <start>224</start>
      <end>225</end>
      <status>unmodified</status>
      <modifiedWord/>
      <trackRevisions>false</trackRevisions>
    </reviewItem>
    <reviewItem>
      <errorID>5c571eea-13b3-4549-a2d1-6325865015a2</errorID>
      <errorWord> </errorWord>
      <group>L1_Punc</group>
      <groupName>标点问题</groupName>
      <ability>L2_Punc_CN</ability>
      <abilityName>标点符号问题</abilityName>
      <candidateList>
        <item>：</item>
      </candidateList>
      <explain/>
      <paraID>1174C1FF</paraID>
      <start>230</start>
      <end>231</end>
      <status>unmodified</status>
      <modifiedWord/>
      <trackRevisions>false</trackRevisions>
    </reviewItem>
    <reviewItem>
      <errorID>fc0eede8-8d5d-4a62-a55a-970aab178555</errorID>
      <errorWord>（</errorWord>
      <group>L1_Punc</group>
      <groupName>标点问题</groupName>
      <ability>L2_Punc_CN</ability>
      <abilityName>标点符号问题</abilityName>
      <candidateList/>
      <explain>同一形式括号套用。</explain>
      <paraID>1174C1FF</paraID>
      <start>245</start>
      <end>246</end>
      <status>unmodified</status>
      <modifiedWord/>
      <trackRevisions>false</trackRevisions>
    </reviewItem>
    <reviewItem>
      <errorID>c980e21e-3e26-4ad7-8915-f128b350d8c8</errorID>
      <errorWord>）</errorWord>
      <group>L1_Punc</group>
      <groupName>标点问题</groupName>
      <ability>L2_Punc_CN</ability>
      <abilityName>标点符号问题</abilityName>
      <candidateList/>
      <explain>同一形式括号套用。</explain>
      <paraID>1174C1FF</paraID>
      <start>247</start>
      <end>248</end>
      <status>unmodified</status>
      <modifiedWord/>
      <trackRevisions>false</trackRevisions>
    </reviewItem>
    <reviewItem>
      <errorID>e9a14693-e720-4fb4-ab34-bc27c7bd02d3</errorID>
      <errorWord>、</errorWord>
      <group>L1_Punc</group>
      <groupName>标点问题</groupName>
      <ability>L2_Punc_CN</ability>
      <abilityName>标点符号问题</abilityName>
      <candidateList>
        <item>；</item>
      </candidateList>
      <explain/>
      <paraID>1174C1FF</paraID>
      <start>248</start>
      <end>249</end>
      <status>unmodified</status>
      <modifiedWord/>
      <trackRevisions>false</trackRevisions>
    </reviewItem>
    <reviewItem>
      <errorID>1e46bef8-6f48-4561-b6fe-c5a6a6c0f90d</errorID>
      <errorWord> </errorWord>
      <group>L1_Punc</group>
      <groupName>标点问题</groupName>
      <ability>L2_Punc_CN</ability>
      <abilityName>标点符号问题</abilityName>
      <candidateList>
        <item>：</item>
      </candidateList>
      <explain/>
      <paraID>1174C1FF</paraID>
      <start>254</start>
      <end>255</end>
      <status>unmodified</status>
      <modifiedWord/>
      <trackRevisions>false</trackRevisions>
    </reviewItem>
    <reviewItem>
      <errorID>1d465186-6a37-4493-858b-d521d87b7990</errorID>
      <errorWord>（</errorWord>
      <group>L1_Punc</group>
      <groupName>标点问题</groupName>
      <ability>L2_Punc_CN</ability>
      <abilityName>标点符号问题</abilityName>
      <candidateList/>
      <explain>同一形式括号套用。</explain>
      <paraID>1174C1FF</paraID>
      <start>268</start>
      <end>269</end>
      <status>unmodified</status>
      <modifiedWord/>
      <trackRevisions>false</trackRevisions>
    </reviewItem>
    <reviewItem>
      <errorID>9dd001f5-0132-4951-bae8-3e2fbaa965ed</errorID>
      <errorWord>）</errorWord>
      <group>L1_Punc</group>
      <groupName>标点问题</groupName>
      <ability>L2_Punc_CN</ability>
      <abilityName>标点符号问题</abilityName>
      <candidateList/>
      <explain>同一形式括号套用。</explain>
      <paraID>1174C1FF</paraID>
      <start>270</start>
      <end>271</end>
      <status>unmodified</status>
      <modifiedWord/>
      <trackRevisions>false</trackRevisions>
    </reviewItem>
    <reviewItem>
      <errorID>61d811dd-e36f-4bb4-af62-3b9276f54851</errorID>
      <errorWord>、</errorWord>
      <group>L1_Punc</group>
      <groupName>标点问题</groupName>
      <ability>L2_Punc_CN</ability>
      <abilityName>标点符号问题</abilityName>
      <candidateList>
        <item>；</item>
      </candidateList>
      <explain/>
      <paraID>1174C1FF</paraID>
      <start>271</start>
      <end>272</end>
      <status>unmodified</status>
      <modifiedWord/>
      <trackRevisions>false</trackRevisions>
    </reviewItem>
    <reviewItem>
      <errorID>15fb6891-2665-46e8-b0f1-eab18eff81fc</errorID>
      <errorWord> </errorWord>
      <group>L1_Punc</group>
      <groupName>标点问题</groupName>
      <ability>L2_Punc_CN</ability>
      <abilityName>标点符号问题</abilityName>
      <candidateList>
        <item>：</item>
      </candidateList>
      <explain/>
      <paraID>1174C1FF</paraID>
      <start>277</start>
      <end>278</end>
      <status>unmodified</status>
      <modifiedWord/>
      <trackRevisions>false</trackRevisions>
    </reviewItem>
    <reviewItem>
      <errorID>d6d344a8-66d1-481e-a12b-6b5471779766</errorID>
      <errorWord>（</errorWord>
      <group>L1_Punc</group>
      <groupName>标点问题</groupName>
      <ability>L2_Punc_CN</ability>
      <abilityName>标点符号问题</abilityName>
      <candidateList/>
      <explain>同一形式括号套用。</explain>
      <paraID>1174C1FF</paraID>
      <start>290</start>
      <end>291</end>
      <status>unmodified</status>
      <modifiedWord/>
      <trackRevisions>false</trackRevisions>
    </reviewItem>
    <reviewItem>
      <errorID>ff818d48-645c-4886-a074-11f6025511d1</errorID>
      <errorWord>）</errorWord>
      <group>L1_Punc</group>
      <groupName>标点问题</groupName>
      <ability>L2_Punc_CN</ability>
      <abilityName>标点符号问题</abilityName>
      <candidateList/>
      <explain>同一形式括号套用。</explain>
      <paraID>1174C1FF</paraID>
      <start>292</start>
      <end>293</end>
      <status>unmodified</status>
      <modifiedWord/>
      <trackRevisions>false</trackRevisions>
    </reviewItem>
    <reviewItem>
      <errorID>11e2a14d-6abb-4a22-8024-c3e288fbf9e4</errorID>
      <errorWord>、</errorWord>
      <group>L1_Punc</group>
      <groupName>标点问题</groupName>
      <ability>L2_Punc_CN</ability>
      <abilityName>标点符号问题</abilityName>
      <candidateList>
        <item>；</item>
      </candidateList>
      <explain/>
      <paraID>1174C1FF</paraID>
      <start>293</start>
      <end>294</end>
      <status>unmodified</status>
      <modifiedWord/>
      <trackRevisions>false</trackRevisions>
    </reviewItem>
    <reviewItem>
      <errorID>34fb9bb0-5303-4d3a-910d-29c93ab560ac</errorID>
      <errorWord> </errorWord>
      <group>L1_Punc</group>
      <groupName>标点问题</groupName>
      <ability>L2_Punc_CN</ability>
      <abilityName>标点符号问题</abilityName>
      <candidateList>
        <item>：</item>
      </candidateList>
      <explain/>
      <paraID>1174C1FF</paraID>
      <start>299</start>
      <end>300</end>
      <status>unmodified</status>
      <modifiedWord/>
      <trackRevisions>false</trackRevisions>
    </reviewItem>
    <reviewItem>
      <errorID>76af423e-7ca3-413b-a954-54ff81831896</errorID>
      <errorWord>（</errorWord>
      <group>L1_Punc</group>
      <groupName>标点问题</groupName>
      <ability>L2_Punc_CN</ability>
      <abilityName>标点符号问题</abilityName>
      <candidateList/>
      <explain>同一形式括号套用。</explain>
      <paraID>1174C1FF</paraID>
      <start>311</start>
      <end>312</end>
      <status>unmodified</status>
      <modifiedWord/>
      <trackRevisions>false</trackRevisions>
    </reviewItem>
    <reviewItem>
      <errorID>5811afe7-6073-4d44-828d-a2238d9c1302</errorID>
      <errorWord>）</errorWord>
      <group>L1_Punc</group>
      <groupName>标点问题</groupName>
      <ability>L2_Punc_CN</ability>
      <abilityName>标点符号问题</abilityName>
      <candidateList/>
      <explain>同一形式括号套用。</explain>
      <paraID>1174C1FF</paraID>
      <start>313</start>
      <end>314</end>
      <status>unmodified</status>
      <modifiedWord/>
      <trackRevisions>false</trackRevisions>
    </reviewItem>
    <reviewItem>
      <errorID>796c15bf-e274-400d-a7c4-bdf5395b0d59</errorID>
      <errorWord>、</errorWord>
      <group>L1_Word</group>
      <groupName>字词问题</groupName>
      <ability>L2_Typo</ability>
      <abilityName>字词错误</abilityName>
      <candidateList>
        <item>和</item>
      </candidateList>
      <explain/>
      <paraID>1174C1FF</paraID>
      <start>314</start>
      <end>315</end>
      <status>unmodified</status>
      <modifiedWord/>
      <trackRevisions>false</trackRevisions>
    </reviewItem>
    <reviewItem>
      <errorID>5b6666bf-716a-4453-bf89-3677630caef8</errorID>
      <errorWord>并行</errorWord>
      <group>L1_Grammar</group>
      <groupName>语法问题</groupName>
      <ability>L2_Grammar</ability>
      <abilityName>语法错误</abilityName>
      <candidateList>
        <item>活动并行</item>
      </candidateList>
      <explain/>
      <paraID>55115821</paraID>
      <start>94</start>
      <end>98</end>
      <status>modified</status>
      <modifiedWord>活动并行</modifiedWord>
      <trackRevisions>false</trackRevisions>
    </reviewItem>
    <reviewItem>
      <errorID>7f7be625-8713-4fe2-9e5d-a24d7efcb7dc</errorID>
      <errorWord>部共建联席会议</errorWord>
      <group>L1_Political</group>
      <groupName>政治性问题</groupName>
      <ability>L2_Keyword</ability>
      <abilityName>固定表述</abilityName>
      <candidateList>
        <item>部际联席会议</item>
      </candidateList>
      <explain>词汇“部际联席会议”在特定场景下为固定表述形式，请确认此处的“部共建联席会议”是否存在不当。</explain>
      <paraID> BBF6D8A</paraID>
      <start>4</start>
      <end>11</end>
      <status>unmodified</status>
      <modifiedWord/>
      <trackRevisions>false</trackRevisions>
    </reviewItem>
    <reviewItem>
      <errorID>cd730e58-b997-41ee-a1f2-32ef645da7b2</errorID>
      <errorWord>包括活动</errorWord>
      <group>L1_Grammar</group>
      <groupName>语法问题</groupName>
      <ability>L2_Grammar</ability>
      <abilityName>语法错误</abilityName>
      <candidateList>
        <item>活动</item>
      </candidateList>
      <explain/>
      <paraID>7A3FC330</paraID>
      <start>56</start>
      <end>58</end>
      <status>modified</status>
      <modifiedWord>活动</modifiedWord>
      <trackRevisions>false</trackRevisions>
    </reviewItem>
    <reviewItem>
      <errorID>78f19c0c-4279-4381-aa09-0426e901ea20</errorID>
      <errorWord>负责在</errorWord>
      <group>L1_Word</group>
      <groupName>字词问题</groupName>
      <ability>L2_Typo</ability>
      <abilityName>字词错误</abilityName>
      <candidateList>
        <item>负责</item>
      </candidateList>
      <explain/>
      <paraID>74F208F0</paraID>
      <start>3</start>
      <end>6</end>
      <status>unmodified</status>
      <modifiedWord/>
      <trackRevisions>false</trackRevisions>
    </reviewItem>
    <reviewItem>
      <errorID>84dd60fc-339f-4fc2-9fbe-5cb6dc4cad58</errorID>
      <errorWord>版块</errorWord>
      <group>L1_Word</group>
      <groupName>字词问题</groupName>
      <ability>L2_Typo</ability>
      <abilityName>字词错误</abilityName>
      <candidateList>
        <item>板块</item>
      </candidateList>
      <explain>存在发音相同字词的误用。</explain>
      <paraID>2B5EBC16</paraID>
      <start>119</start>
      <end>121</end>
      <status>ignored</status>
      <modifiedWord/>
      <trackRevisions>false</trackRevisions>
    </reviewItem>
    <reviewItem>
      <errorID>1a0149ae-bb6f-4335-a5fc-5f2e991285be</errorID>
      <errorWord>住宿</errorWord>
      <group>L1_Word</group>
      <groupName>字词问题</groupName>
      <ability>L2_Typo</ability>
      <abilityName>字词错误</abilityName>
      <candidateList>
        <item>的住宿</item>
      </candidateList>
      <explain/>
      <paraID>6262F27F</paraID>
      <start>48</start>
      <end>50</end>
      <status>unmodified</status>
      <modifiedWord/>
      <trackRevisions>false</trackRevisions>
    </reviewItem>
    <reviewItem>
      <errorID>9ddd1352-4f4e-4bc2-ac35-1f1981fb8332</errorID>
      <errorWord>保密</errorWord>
      <group>L1_Word</group>
      <groupName>字词问题</groupName>
      <ability>L2_Typo</ability>
      <abilityName>字词错误</abilityName>
      <candidateList>
        <item>应保密</item>
      </candidateList>
      <explain/>
      <paraID>1C7FD39A</paraID>
      <start>93</start>
      <end>95</end>
      <status>unmodified</status>
      <modifiedWord/>
      <trackRevisions>false</trackRevisions>
    </reviewItem>
    <reviewItem>
      <errorID>984496ab-9025-4521-ab5c-68e2ab2b81cc</errorID>
      <errorWord>，</errorWord>
      <group>L1_Grammar</group>
      <groupName>语法问题</groupName>
      <ability>L2_Grammar</ability>
      <abilityName>语法错误</abilityName>
      <candidateList>
        <item>营造，</item>
      </candidateList>
      <explain/>
      <paraID>1D3988BD</paraID>
      <start>97</start>
      <end>100</end>
      <status>modified</status>
      <modifiedWord>营造，</modifiedWord>
      <trackRevisions>false</trackRevisions>
    </reviewItem>
    <reviewItem>
      <errorID>03a1a86b-60b7-4e86-ae4a-4ca64abb9fcd</errorID>
      <errorWord>，</errorWord>
      <group>L1_Punc</group>
      <groupName>标点问题</groupName>
      <ability>L2_Punc_CN</ability>
      <abilityName>标点符号问题</abilityName>
      <candidateList>
        <item>、</item>
      </candidateList>
      <explain/>
      <paraID>1D3988BD</paraID>
      <start>222</start>
      <end>223</end>
      <status>modified</status>
      <modifiedWord>、</modifiedWord>
      <trackRevisions>false</trackRevisions>
    </reviewItem>
    <reviewItem>
      <errorID>bbaa7a69-da17-4787-97ce-8339865581ad</errorID>
      <errorWord>资源库</errorWord>
      <group>L1_Word</group>
      <groupName>字词问题</groupName>
      <ability>L2_Typo</ability>
      <abilityName>字词错误</abilityName>
      <candidateList>
        <item>资源</item>
      </candidateList>
      <explain/>
      <paraID>14EECD0A</paraID>
      <start>28</start>
      <end>30</end>
      <status>modified</status>
      <modifiedWord>资源</modifiedWord>
      <trackRevisions>false</trackRevisions>
    </reviewItem>
    <reviewItem>
      <errorID>d70d0f95-6841-49fd-a17d-2b52a8efbbba</errorID>
      <errorWord>全部</errorWord>
      <group>L1_Word</group>
      <groupName>字词问题</groupName>
      <ability>L2_Typo</ability>
      <abilityName>字词错误</abilityName>
      <candidateList>
        <item>的全部</item>
      </candidateList>
      <explain/>
      <paraID>2C2EFDC6</paraID>
      <start>144</start>
      <end>147</end>
      <status>modified</status>
      <modifiedWord>的全部</modifiedWord>
      <trackRevisions>false</trackRevisions>
    </reviewItem>
    <reviewItem>
      <errorID>b93f57bc-eece-463a-b9de-7f1441133393</errorID>
      <errorWord>逐一分别</errorWord>
      <group>L1_Grammar</group>
      <groupName>语法问题</groupName>
      <ability>L2_Grammar</ability>
      <abilityName>语法错误</abilityName>
      <candidateList>
        <item>逐一</item>
      </candidateList>
      <explain/>
      <paraID>671AD342</paraID>
      <start>21</start>
      <end>23</end>
      <status>modified</status>
      <modifiedWord>逐一</modifiedWord>
      <trackRevisions>false</trackRevisions>
    </reviewItem>
    <reviewItem>
      <errorID>be31e449-3f36-4000-b61b-dc0f33c37f27</errorID>
      <errorWord>逐一分别</errorWord>
      <group>L1_Grammar</group>
      <groupName>语法问题</groupName>
      <ability>L2_Grammar</ability>
      <abilityName>语法错误</abilityName>
      <candidateList>
        <item>逐一</item>
      </candidateList>
      <explain/>
      <paraID>6622307A</paraID>
      <start>32</start>
      <end>34</end>
      <status>modified</status>
      <modifiedWord>逐一</modifiedWord>
      <trackRevisions>false</trackRevisions>
    </reviewItem>
    <reviewItem>
      <errorID>33037ef8-c8e4-405f-a66a-08c88d6dd1a7</errorID>
      <errorWord>其他响应磋商的</errorWord>
      <group>L1_Grammar</group>
      <groupName>语法问题</groupName>
      <ability>L2_Grammar</ability>
      <abilityName>语法错误</abilityName>
      <candidateList>
        <item>其他</item>
      </candidateList>
      <explain/>
      <paraID>3AF3AF12</paraID>
      <start>24</start>
      <end>26</end>
      <status>modified</status>
      <modifiedWord>其他</modifiedWord>
      <trackRevisions>false</trackRevisions>
    </reviewItem>
    <reviewItem>
      <errorID>6c0a60c1-6edf-47dc-87ff-026d1174ee65</errorID>
      <errorWord> </errorWord>
      <group>L1_Punc</group>
      <groupName>标点问题</groupName>
      <ability>L2_Punc_CN</ability>
      <abilityName>标点符号问题</abilityName>
      <candidateList>
        <item> - </item>
      </candidateList>
      <explain/>
      <paraID>6E6116DA</paraID>
      <start>2</start>
      <end>5</end>
      <status>modified</status>
      <modifiedWord> - </modifiedWord>
      <trackRevisions>false</trackRevisions>
    </reviewItem>
    <reviewItem>
      <errorID>b764944b-ba4a-414a-b1d1-f993879d0bcd</errorID>
      <errorWord> </errorWord>
      <group>L1_Punc</group>
      <groupName>标点问题</groupName>
      <ability>L2_Punc_CN</ability>
      <abilityName>标点符号问题</abilityName>
      <candidateList>
        <item> - </item>
      </candidateList>
      <explain/>
      <paraID>4C78F995</paraID>
      <start>2</start>
      <end>5</end>
      <status>modified</status>
      <modifiedWord> -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0eb0de-e101-43f8-9578-cc30283c043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53</Pages>
  <Words>25213</Words>
  <Characters>26171</Characters>
  <Lines>1265</Lines>
  <Paragraphs>1168</Paragraphs>
  <TotalTime>16</TotalTime>
  <ScaleCrop>false</ScaleCrop>
  <LinksUpToDate>false</LinksUpToDate>
  <CharactersWithSpaces>26876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2025-07-09T08:22:00Z</dcterms:created>
  <dc:creator>Administrator</dc:creator>
  <cp:lastModifiedBy>歪点羊子</cp:lastModifiedBy>
  <dcterms:modified xsi:type="dcterms:W3CDTF">2026-10-09T07:16:28Z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eyJoZGlkIjoiNjZjY2E1ZjhjOTY5ZWM3MTZlNzk1NGExOWYyZDJkYTEiLCJ1c2VySWQiOiIyODkwODU3NTEifQ==</vt:lpwstr>
  </property>
  <property fmtid="{D5CDD505-2E9C-101B-9397-08002B2CF9AE}" pid="4" name="ICV">
    <vt:lpwstr>9A1671E5829140298FB7EE27095C3BB4_13</vt:lpwstr>
  </property>
</Properties>
</file>